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FB017" w14:textId="02ABB410" w:rsidR="001B7078" w:rsidRPr="001603AB" w:rsidRDefault="001C3C17" w:rsidP="001603AB">
      <w:pPr>
        <w:spacing w:after="0" w:line="480" w:lineRule="auto"/>
        <w:jc w:val="center"/>
        <w:rPr>
          <w:rFonts w:ascii="Arial" w:hAnsi="Arial" w:cs="Arial"/>
          <w:sz w:val="36"/>
          <w:szCs w:val="36"/>
        </w:rPr>
      </w:pPr>
      <w:bookmarkStart w:id="0" w:name="_GoBack"/>
      <w:bookmarkEnd w:id="0"/>
      <w:r w:rsidRPr="001603AB">
        <w:rPr>
          <w:rFonts w:ascii="Arial" w:hAnsi="Arial" w:cs="Arial"/>
          <w:b/>
          <w:sz w:val="36"/>
          <w:szCs w:val="36"/>
        </w:rPr>
        <w:t>The Health and Quality of Life of Thalidomide Survivors as they Age – Evidence from a UK survey</w:t>
      </w:r>
    </w:p>
    <w:p w14:paraId="4098405F" w14:textId="77777777" w:rsidR="00C10C5B" w:rsidRDefault="00C10C5B" w:rsidP="00C10C5B">
      <w:pPr>
        <w:spacing w:after="0" w:line="480" w:lineRule="auto"/>
        <w:rPr>
          <w:rFonts w:ascii="Arial" w:hAnsi="Arial" w:cs="Arial"/>
        </w:rPr>
      </w:pPr>
    </w:p>
    <w:p w14:paraId="267DAEDF" w14:textId="77777777" w:rsidR="00C10C5B" w:rsidRDefault="00C10C5B" w:rsidP="00C10C5B">
      <w:pPr>
        <w:spacing w:after="0" w:line="480" w:lineRule="auto"/>
        <w:rPr>
          <w:rFonts w:ascii="Arial" w:hAnsi="Arial" w:cs="Arial"/>
        </w:rPr>
      </w:pPr>
    </w:p>
    <w:p w14:paraId="63CA954C" w14:textId="77777777" w:rsidR="00C10C5B" w:rsidRPr="00C10C5B" w:rsidRDefault="00C10C5B" w:rsidP="00C10C5B">
      <w:pPr>
        <w:spacing w:after="0" w:line="480" w:lineRule="auto"/>
        <w:jc w:val="center"/>
        <w:rPr>
          <w:rFonts w:ascii="Arial" w:hAnsi="Arial" w:cs="Arial"/>
          <w:b/>
        </w:rPr>
      </w:pPr>
      <w:r w:rsidRPr="00C10C5B">
        <w:rPr>
          <w:rFonts w:ascii="Arial" w:hAnsi="Arial" w:cs="Arial"/>
          <w:b/>
        </w:rPr>
        <w:t>Short title: The health of UK Thalidomide survivors as they age</w:t>
      </w:r>
    </w:p>
    <w:p w14:paraId="6DCE7CDE" w14:textId="77777777" w:rsidR="00C10C5B" w:rsidRPr="00C10C5B" w:rsidRDefault="00C10C5B" w:rsidP="00C10C5B">
      <w:pPr>
        <w:spacing w:after="0" w:line="480" w:lineRule="auto"/>
        <w:rPr>
          <w:rFonts w:ascii="Arial" w:hAnsi="Arial" w:cs="Arial"/>
        </w:rPr>
      </w:pPr>
    </w:p>
    <w:p w14:paraId="25993EF2" w14:textId="77777777" w:rsidR="00C10C5B" w:rsidRPr="00C10C5B" w:rsidRDefault="00C10C5B" w:rsidP="00C10C5B">
      <w:pPr>
        <w:spacing w:after="0" w:line="480" w:lineRule="auto"/>
        <w:rPr>
          <w:rFonts w:ascii="Arial" w:hAnsi="Arial" w:cs="Arial"/>
        </w:rPr>
      </w:pPr>
    </w:p>
    <w:p w14:paraId="03108BC8" w14:textId="77777777" w:rsidR="00C10C5B" w:rsidRPr="00C10C5B" w:rsidRDefault="00C10C5B" w:rsidP="00C10C5B">
      <w:pPr>
        <w:spacing w:after="0" w:line="480" w:lineRule="auto"/>
        <w:rPr>
          <w:rFonts w:ascii="Arial" w:hAnsi="Arial" w:cs="Arial"/>
        </w:rPr>
      </w:pPr>
      <w:r w:rsidRPr="00C10C5B">
        <w:rPr>
          <w:rFonts w:ascii="Arial" w:hAnsi="Arial" w:cs="Arial"/>
        </w:rPr>
        <w:t>Elizabeth Newbronner 1*</w:t>
      </w:r>
    </w:p>
    <w:p w14:paraId="2CCF1E2C" w14:textId="77777777" w:rsidR="00C10C5B" w:rsidRPr="00C10C5B" w:rsidRDefault="00C10C5B" w:rsidP="00C10C5B">
      <w:pPr>
        <w:spacing w:after="0" w:line="480" w:lineRule="auto"/>
        <w:rPr>
          <w:rFonts w:ascii="Arial" w:hAnsi="Arial" w:cs="Arial"/>
        </w:rPr>
      </w:pPr>
      <w:r w:rsidRPr="00C10C5B">
        <w:rPr>
          <w:rFonts w:ascii="Arial" w:hAnsi="Arial" w:cs="Arial"/>
        </w:rPr>
        <w:t>Caroline Glendinning 2</w:t>
      </w:r>
    </w:p>
    <w:p w14:paraId="20C53F67" w14:textId="77777777" w:rsidR="00C10C5B" w:rsidRPr="00C10C5B" w:rsidRDefault="00C10C5B" w:rsidP="00C10C5B">
      <w:pPr>
        <w:spacing w:after="0" w:line="480" w:lineRule="auto"/>
        <w:rPr>
          <w:rFonts w:ascii="Arial" w:hAnsi="Arial" w:cs="Arial"/>
        </w:rPr>
      </w:pPr>
      <w:r w:rsidRPr="00C10C5B">
        <w:rPr>
          <w:rFonts w:ascii="Arial" w:hAnsi="Arial" w:cs="Arial"/>
        </w:rPr>
        <w:t>Karl Atkin 1</w:t>
      </w:r>
    </w:p>
    <w:p w14:paraId="4A1E0C7D" w14:textId="77777777" w:rsidR="00C10C5B" w:rsidRPr="00C10C5B" w:rsidRDefault="00C10C5B" w:rsidP="00C10C5B">
      <w:pPr>
        <w:spacing w:after="0" w:line="480" w:lineRule="auto"/>
        <w:rPr>
          <w:rFonts w:ascii="Arial" w:hAnsi="Arial" w:cs="Arial"/>
        </w:rPr>
      </w:pPr>
      <w:r w:rsidRPr="00C10C5B">
        <w:rPr>
          <w:rFonts w:ascii="Arial" w:hAnsi="Arial" w:cs="Arial"/>
        </w:rPr>
        <w:t>Ruth Wadman 1</w:t>
      </w:r>
    </w:p>
    <w:p w14:paraId="7DD1E87B" w14:textId="77777777" w:rsidR="00C10C5B" w:rsidRPr="00C10C5B" w:rsidRDefault="00C10C5B" w:rsidP="00C10C5B">
      <w:pPr>
        <w:spacing w:after="0" w:line="480" w:lineRule="auto"/>
        <w:rPr>
          <w:rFonts w:ascii="Arial" w:hAnsi="Arial" w:cs="Arial"/>
        </w:rPr>
      </w:pPr>
    </w:p>
    <w:p w14:paraId="78D0A50D" w14:textId="77777777" w:rsidR="00C10C5B" w:rsidRPr="00C10C5B" w:rsidRDefault="00C10C5B" w:rsidP="00C10C5B">
      <w:pPr>
        <w:spacing w:after="0" w:line="480" w:lineRule="auto"/>
        <w:rPr>
          <w:rFonts w:ascii="Arial" w:hAnsi="Arial" w:cs="Arial"/>
        </w:rPr>
      </w:pPr>
    </w:p>
    <w:p w14:paraId="7758D2FD" w14:textId="77777777" w:rsidR="00C10C5B" w:rsidRPr="00C10C5B" w:rsidRDefault="00C10C5B" w:rsidP="00C10C5B">
      <w:pPr>
        <w:spacing w:after="0" w:line="480" w:lineRule="auto"/>
        <w:rPr>
          <w:rFonts w:ascii="Arial" w:hAnsi="Arial" w:cs="Arial"/>
        </w:rPr>
      </w:pPr>
    </w:p>
    <w:p w14:paraId="25A32A13" w14:textId="77777777" w:rsidR="00C10C5B" w:rsidRPr="00C10C5B" w:rsidRDefault="00C10C5B" w:rsidP="00C10C5B">
      <w:pPr>
        <w:spacing w:after="0" w:line="480" w:lineRule="auto"/>
        <w:rPr>
          <w:rFonts w:ascii="Arial" w:hAnsi="Arial" w:cs="Arial"/>
        </w:rPr>
      </w:pPr>
      <w:r w:rsidRPr="00C10C5B">
        <w:rPr>
          <w:rFonts w:ascii="Arial" w:hAnsi="Arial" w:cs="Arial"/>
        </w:rPr>
        <w:t>1 Department of Health Sciences, University of York, UK</w:t>
      </w:r>
    </w:p>
    <w:p w14:paraId="7F91DF9C" w14:textId="77777777" w:rsidR="00C10C5B" w:rsidRPr="00C10C5B" w:rsidRDefault="00C10C5B" w:rsidP="00C10C5B">
      <w:pPr>
        <w:spacing w:after="0" w:line="480" w:lineRule="auto"/>
        <w:rPr>
          <w:rFonts w:ascii="Arial" w:hAnsi="Arial" w:cs="Arial"/>
        </w:rPr>
      </w:pPr>
      <w:r w:rsidRPr="00C10C5B">
        <w:rPr>
          <w:rFonts w:ascii="Arial" w:hAnsi="Arial" w:cs="Arial"/>
        </w:rPr>
        <w:t>2 Social Policy Research Unit, University of York, UK</w:t>
      </w:r>
    </w:p>
    <w:p w14:paraId="1A3C532B" w14:textId="77777777" w:rsidR="00C10C5B" w:rsidRPr="00C10C5B" w:rsidRDefault="00C10C5B" w:rsidP="00C10C5B">
      <w:pPr>
        <w:spacing w:after="0" w:line="480" w:lineRule="auto"/>
        <w:rPr>
          <w:rFonts w:ascii="Arial" w:hAnsi="Arial" w:cs="Arial"/>
        </w:rPr>
      </w:pPr>
    </w:p>
    <w:p w14:paraId="174F56E4" w14:textId="77777777" w:rsidR="00C10C5B" w:rsidRPr="00C10C5B" w:rsidRDefault="00C10C5B" w:rsidP="00C10C5B">
      <w:pPr>
        <w:spacing w:after="0" w:line="480" w:lineRule="auto"/>
        <w:rPr>
          <w:rFonts w:ascii="Arial" w:hAnsi="Arial" w:cs="Arial"/>
        </w:rPr>
      </w:pPr>
    </w:p>
    <w:p w14:paraId="59C51A21" w14:textId="77777777" w:rsidR="00C10C5B" w:rsidRPr="00C10C5B" w:rsidRDefault="00C10C5B" w:rsidP="00C10C5B">
      <w:pPr>
        <w:spacing w:after="0" w:line="480" w:lineRule="auto"/>
        <w:rPr>
          <w:rFonts w:ascii="Arial" w:hAnsi="Arial" w:cs="Arial"/>
        </w:rPr>
      </w:pPr>
    </w:p>
    <w:p w14:paraId="798851C1" w14:textId="77777777" w:rsidR="00C10C5B" w:rsidRPr="00C10C5B" w:rsidRDefault="00C10C5B" w:rsidP="00C10C5B">
      <w:pPr>
        <w:spacing w:after="0" w:line="480" w:lineRule="auto"/>
        <w:rPr>
          <w:rFonts w:ascii="Arial" w:hAnsi="Arial" w:cs="Arial"/>
        </w:rPr>
      </w:pPr>
      <w:r w:rsidRPr="00C10C5B">
        <w:rPr>
          <w:rFonts w:ascii="Arial" w:hAnsi="Arial" w:cs="Arial"/>
        </w:rPr>
        <w:t>* Corresponding Author:</w:t>
      </w:r>
    </w:p>
    <w:p w14:paraId="737FC646" w14:textId="7DB55D49" w:rsidR="001C3C17" w:rsidRDefault="00C10C5B" w:rsidP="00C10C5B">
      <w:pPr>
        <w:spacing w:after="0" w:line="480" w:lineRule="auto"/>
        <w:rPr>
          <w:rFonts w:ascii="Arial" w:hAnsi="Arial" w:cs="Arial"/>
        </w:rPr>
      </w:pPr>
      <w:r w:rsidRPr="00C10C5B">
        <w:rPr>
          <w:rFonts w:ascii="Arial" w:hAnsi="Arial" w:cs="Arial"/>
        </w:rPr>
        <w:t>Email: liz.newbronner@york.ac.uk</w:t>
      </w:r>
    </w:p>
    <w:p w14:paraId="75F98348" w14:textId="77777777" w:rsidR="00C10C5B" w:rsidRDefault="00C10C5B">
      <w:pPr>
        <w:rPr>
          <w:rFonts w:ascii="Arial" w:hAnsi="Arial" w:cs="Arial"/>
          <w:b/>
          <w:sz w:val="36"/>
          <w:szCs w:val="36"/>
        </w:rPr>
      </w:pPr>
      <w:r>
        <w:rPr>
          <w:rFonts w:ascii="Arial" w:hAnsi="Arial" w:cs="Arial"/>
          <w:b/>
          <w:sz w:val="36"/>
          <w:szCs w:val="36"/>
        </w:rPr>
        <w:br w:type="page"/>
      </w:r>
    </w:p>
    <w:p w14:paraId="68EB0B97" w14:textId="3BC0FEBE" w:rsidR="002A3387" w:rsidRPr="00DB1D90" w:rsidRDefault="00DB1D90" w:rsidP="00305DAE">
      <w:pPr>
        <w:spacing w:after="0" w:line="480" w:lineRule="auto"/>
        <w:rPr>
          <w:rFonts w:ascii="Arial" w:hAnsi="Arial" w:cs="Arial"/>
          <w:b/>
          <w:sz w:val="36"/>
          <w:szCs w:val="36"/>
        </w:rPr>
      </w:pPr>
      <w:r w:rsidRPr="00DB1D90">
        <w:rPr>
          <w:rFonts w:ascii="Arial" w:hAnsi="Arial" w:cs="Arial"/>
          <w:b/>
          <w:sz w:val="36"/>
          <w:szCs w:val="36"/>
        </w:rPr>
        <w:lastRenderedPageBreak/>
        <w:t>Abstract</w:t>
      </w:r>
    </w:p>
    <w:p w14:paraId="4ACA53E7" w14:textId="0B0F1758" w:rsidR="00585866" w:rsidRPr="003B7EF2" w:rsidRDefault="00585866" w:rsidP="00305DAE">
      <w:pPr>
        <w:spacing w:after="0" w:line="480" w:lineRule="auto"/>
        <w:rPr>
          <w:rFonts w:ascii="Arial" w:hAnsi="Arial" w:cs="Arial"/>
          <w:b/>
        </w:rPr>
      </w:pPr>
      <w:r w:rsidRPr="003B7EF2">
        <w:rPr>
          <w:rFonts w:ascii="Arial" w:hAnsi="Arial" w:cs="Arial"/>
          <w:b/>
        </w:rPr>
        <w:t>Background</w:t>
      </w:r>
    </w:p>
    <w:p w14:paraId="6EB7BE30" w14:textId="3CC4509D" w:rsidR="003B7EF2" w:rsidRDefault="00FA37CE" w:rsidP="00305DAE">
      <w:pPr>
        <w:spacing w:after="0" w:line="480" w:lineRule="auto"/>
        <w:rPr>
          <w:rFonts w:ascii="Arial" w:hAnsi="Arial" w:cs="Arial"/>
        </w:rPr>
      </w:pPr>
      <w:r>
        <w:rPr>
          <w:rFonts w:ascii="Arial" w:hAnsi="Arial" w:cs="Arial"/>
        </w:rPr>
        <w:t xml:space="preserve">In the late 1950s and </w:t>
      </w:r>
      <w:r w:rsidRPr="00FA37CE">
        <w:rPr>
          <w:rFonts w:ascii="Arial" w:hAnsi="Arial" w:cs="Arial"/>
        </w:rPr>
        <w:t>early 1960s the drug Thalidomide was marketed across the world as a non-addictive tranquilizer. Despite being given to pregnant women as a safe treatment for morning sickness, Thalidomide caused ser</w:t>
      </w:r>
      <w:r>
        <w:rPr>
          <w:rFonts w:ascii="Arial" w:hAnsi="Arial" w:cs="Arial"/>
        </w:rPr>
        <w:t xml:space="preserve">ious damage to the unborn child. </w:t>
      </w:r>
      <w:r w:rsidRPr="00FA37CE">
        <w:rPr>
          <w:rFonts w:ascii="Arial" w:hAnsi="Arial" w:cs="Arial"/>
        </w:rPr>
        <w:t>Much has been written about the drug and the birth defects it caused but evidence about the health of Thalidomide survivors as they age is limited.</w:t>
      </w:r>
    </w:p>
    <w:p w14:paraId="4F01971D" w14:textId="038FBE27" w:rsidR="00585866" w:rsidRPr="003B7EF2" w:rsidRDefault="00585866" w:rsidP="00305DAE">
      <w:pPr>
        <w:spacing w:after="0" w:line="480" w:lineRule="auto"/>
        <w:rPr>
          <w:rFonts w:ascii="Arial" w:hAnsi="Arial" w:cs="Arial"/>
          <w:b/>
        </w:rPr>
      </w:pPr>
      <w:r w:rsidRPr="003B7EF2">
        <w:rPr>
          <w:rFonts w:ascii="Arial" w:hAnsi="Arial" w:cs="Arial"/>
          <w:b/>
        </w:rPr>
        <w:t>Aim</w:t>
      </w:r>
    </w:p>
    <w:p w14:paraId="5DDA7603" w14:textId="1755585B" w:rsidR="003B7EF2" w:rsidRDefault="000365A0" w:rsidP="00305DAE">
      <w:pPr>
        <w:spacing w:after="0" w:line="480" w:lineRule="auto"/>
        <w:rPr>
          <w:rFonts w:ascii="Arial" w:hAnsi="Arial" w:cs="Arial"/>
        </w:rPr>
      </w:pPr>
      <w:r>
        <w:rPr>
          <w:rFonts w:ascii="Arial" w:hAnsi="Arial" w:cs="Arial"/>
        </w:rPr>
        <w:t>The aim of this study was to:</w:t>
      </w:r>
      <w:r w:rsidR="00FA37CE" w:rsidRPr="00FA37CE">
        <w:rPr>
          <w:rFonts w:ascii="Arial" w:hAnsi="Arial" w:cs="Arial"/>
        </w:rPr>
        <w:t xml:space="preserve"> explore the health and wellbeing UK Thalidomide survivors; document the health problems experienced by them as they reach their mid-50s; </w:t>
      </w:r>
      <w:r w:rsidR="00FA37CE">
        <w:rPr>
          <w:rFonts w:ascii="Arial" w:hAnsi="Arial" w:cs="Arial"/>
        </w:rPr>
        <w:t xml:space="preserve">and </w:t>
      </w:r>
      <w:r w:rsidR="00FA37CE" w:rsidRPr="00FA37CE">
        <w:rPr>
          <w:rFonts w:ascii="Arial" w:hAnsi="Arial" w:cs="Arial"/>
        </w:rPr>
        <w:t>examine the impacts on their health-related quality of life and employment</w:t>
      </w:r>
      <w:r w:rsidR="00950876">
        <w:rPr>
          <w:rFonts w:ascii="Arial" w:hAnsi="Arial" w:cs="Arial"/>
        </w:rPr>
        <w:t>.</w:t>
      </w:r>
    </w:p>
    <w:p w14:paraId="0CB12972" w14:textId="5FD12B29" w:rsidR="00585866" w:rsidRPr="003B7EF2" w:rsidRDefault="00585866" w:rsidP="00305DAE">
      <w:pPr>
        <w:spacing w:after="0" w:line="480" w:lineRule="auto"/>
        <w:rPr>
          <w:rFonts w:ascii="Arial" w:hAnsi="Arial" w:cs="Arial"/>
          <w:b/>
        </w:rPr>
      </w:pPr>
      <w:r w:rsidRPr="003B7EF2">
        <w:rPr>
          <w:rFonts w:ascii="Arial" w:hAnsi="Arial" w:cs="Arial"/>
          <w:b/>
        </w:rPr>
        <w:t>Methods</w:t>
      </w:r>
    </w:p>
    <w:p w14:paraId="03A44FFE" w14:textId="1B85864D" w:rsidR="003B7EF2" w:rsidRDefault="003B7EF2" w:rsidP="00305DAE">
      <w:pPr>
        <w:spacing w:after="0" w:line="480" w:lineRule="auto"/>
        <w:rPr>
          <w:rFonts w:ascii="Arial" w:hAnsi="Arial" w:cs="Arial"/>
        </w:rPr>
      </w:pPr>
      <w:r>
        <w:rPr>
          <w:rFonts w:ascii="Arial" w:hAnsi="Arial" w:cs="Arial"/>
        </w:rPr>
        <w:t>A</w:t>
      </w:r>
      <w:r w:rsidRPr="003B7EF2">
        <w:rPr>
          <w:rFonts w:ascii="Arial" w:hAnsi="Arial" w:cs="Arial"/>
        </w:rPr>
        <w:t xml:space="preserve"> hea</w:t>
      </w:r>
      <w:r>
        <w:rPr>
          <w:rFonts w:ascii="Arial" w:hAnsi="Arial" w:cs="Arial"/>
        </w:rPr>
        <w:t xml:space="preserve">lth and wellbeing survey of </w:t>
      </w:r>
      <w:r w:rsidR="00FA37CE">
        <w:rPr>
          <w:rFonts w:ascii="Arial" w:hAnsi="Arial" w:cs="Arial"/>
        </w:rPr>
        <w:t xml:space="preserve">351 </w:t>
      </w:r>
      <w:r>
        <w:rPr>
          <w:rFonts w:ascii="Arial" w:hAnsi="Arial" w:cs="Arial"/>
        </w:rPr>
        <w:t>UK Thalidomide survivors</w:t>
      </w:r>
      <w:r w:rsidR="00FA37CE">
        <w:rPr>
          <w:rFonts w:ascii="Arial" w:hAnsi="Arial" w:cs="Arial"/>
        </w:rPr>
        <w:t>, which</w:t>
      </w:r>
      <w:r>
        <w:rPr>
          <w:rFonts w:ascii="Arial" w:hAnsi="Arial" w:cs="Arial"/>
        </w:rPr>
        <w:t xml:space="preserve"> gathered </w:t>
      </w:r>
      <w:r w:rsidR="00FA37CE">
        <w:rPr>
          <w:rFonts w:ascii="Arial" w:hAnsi="Arial" w:cs="Arial"/>
        </w:rPr>
        <w:t xml:space="preserve">information </w:t>
      </w:r>
      <w:r>
        <w:rPr>
          <w:rFonts w:ascii="Arial" w:hAnsi="Arial" w:cs="Arial"/>
        </w:rPr>
        <w:t>about</w:t>
      </w:r>
      <w:r w:rsidRPr="003B7EF2">
        <w:rPr>
          <w:rFonts w:ascii="Arial" w:hAnsi="Arial" w:cs="Arial"/>
        </w:rPr>
        <w:t xml:space="preserve"> home </w:t>
      </w:r>
      <w:r>
        <w:rPr>
          <w:rFonts w:ascii="Arial" w:hAnsi="Arial" w:cs="Arial"/>
        </w:rPr>
        <w:t>and employment circumstances,</w:t>
      </w:r>
      <w:r w:rsidRPr="003B7EF2">
        <w:rPr>
          <w:rFonts w:ascii="Arial" w:hAnsi="Arial" w:cs="Arial"/>
        </w:rPr>
        <w:t xml:space="preserve"> recent heal</w:t>
      </w:r>
      <w:r>
        <w:rPr>
          <w:rFonts w:ascii="Arial" w:hAnsi="Arial" w:cs="Arial"/>
        </w:rPr>
        <w:t>th problems, and</w:t>
      </w:r>
      <w:r w:rsidRPr="003B7EF2">
        <w:rPr>
          <w:rFonts w:ascii="Arial" w:hAnsi="Arial" w:cs="Arial"/>
        </w:rPr>
        <w:t xml:space="preserve"> health related quality of life</w:t>
      </w:r>
      <w:r>
        <w:rPr>
          <w:rFonts w:ascii="Arial" w:hAnsi="Arial" w:cs="Arial"/>
        </w:rPr>
        <w:t xml:space="preserve"> (using SF12 Health Survey)</w:t>
      </w:r>
      <w:r w:rsidRPr="003B7EF2">
        <w:rPr>
          <w:rFonts w:ascii="Arial" w:hAnsi="Arial" w:cs="Arial"/>
        </w:rPr>
        <w:t>.</w:t>
      </w:r>
      <w:r>
        <w:rPr>
          <w:rFonts w:ascii="Arial" w:hAnsi="Arial" w:cs="Arial"/>
        </w:rPr>
        <w:t xml:space="preserve"> O</w:t>
      </w:r>
      <w:r w:rsidRPr="003B7EF2">
        <w:rPr>
          <w:rFonts w:ascii="Arial" w:hAnsi="Arial" w:cs="Arial"/>
        </w:rPr>
        <w:t xml:space="preserve">verall </w:t>
      </w:r>
      <w:r>
        <w:rPr>
          <w:rFonts w:ascii="Arial" w:hAnsi="Arial" w:cs="Arial"/>
        </w:rPr>
        <w:t>analysis</w:t>
      </w:r>
      <w:r w:rsidRPr="003B7EF2">
        <w:rPr>
          <w:rFonts w:ascii="Arial" w:hAnsi="Arial" w:cs="Arial"/>
        </w:rPr>
        <w:t xml:space="preserve"> focused on descriptive statistics; the association between respondents’ health related quality of life and original impairment was examined using Pearson Correlation; and a three step Hierarchical Regression was used to explore the i</w:t>
      </w:r>
      <w:r w:rsidR="00FA37CE">
        <w:rPr>
          <w:rFonts w:ascii="Arial" w:hAnsi="Arial" w:cs="Arial"/>
        </w:rPr>
        <w:t>nfluence of five factors</w:t>
      </w:r>
      <w:r w:rsidR="00950876">
        <w:rPr>
          <w:rFonts w:ascii="Arial" w:hAnsi="Arial" w:cs="Arial"/>
        </w:rPr>
        <w:t xml:space="preserve"> which narrative responses suggested might be important</w:t>
      </w:r>
      <w:r w:rsidR="00FA37CE">
        <w:rPr>
          <w:rFonts w:ascii="Arial" w:hAnsi="Arial" w:cs="Arial"/>
        </w:rPr>
        <w:t>.</w:t>
      </w:r>
    </w:p>
    <w:p w14:paraId="3C7E9970" w14:textId="046E90EA" w:rsidR="00585866" w:rsidRPr="003B7EF2" w:rsidRDefault="00585866" w:rsidP="00305DAE">
      <w:pPr>
        <w:spacing w:after="0" w:line="480" w:lineRule="auto"/>
        <w:rPr>
          <w:rFonts w:ascii="Arial" w:hAnsi="Arial" w:cs="Arial"/>
          <w:b/>
        </w:rPr>
      </w:pPr>
      <w:r w:rsidRPr="003B7EF2">
        <w:rPr>
          <w:rFonts w:ascii="Arial" w:hAnsi="Arial" w:cs="Arial"/>
          <w:b/>
        </w:rPr>
        <w:t>Results</w:t>
      </w:r>
    </w:p>
    <w:p w14:paraId="2FEA068D" w14:textId="3E06E863" w:rsidR="002E02D8" w:rsidRPr="00CB4F28" w:rsidRDefault="00FA37CE" w:rsidP="00305DAE">
      <w:pPr>
        <w:spacing w:after="0" w:line="480" w:lineRule="auto"/>
        <w:rPr>
          <w:rFonts w:ascii="Arial" w:hAnsi="Arial" w:cs="Arial"/>
        </w:rPr>
      </w:pPr>
      <w:r>
        <w:rPr>
          <w:rFonts w:ascii="Arial" w:hAnsi="Arial" w:cs="Arial"/>
        </w:rPr>
        <w:t xml:space="preserve">As </w:t>
      </w:r>
      <w:r w:rsidRPr="00FA37CE">
        <w:rPr>
          <w:rFonts w:ascii="Arial" w:hAnsi="Arial" w:cs="Arial"/>
        </w:rPr>
        <w:t xml:space="preserve">Thalidomide survivors reach their mid-50’s they are experiencing a wide range of secondary health problems, in particular musculoskeletal problems, and depression and anxiety, with multimorbidity a growing issue. These health problems are having a negative impact on their </w:t>
      </w:r>
      <w:r w:rsidR="00CB4F28">
        <w:rPr>
          <w:rFonts w:ascii="Arial" w:hAnsi="Arial" w:cs="Arial"/>
        </w:rPr>
        <w:t>employment</w:t>
      </w:r>
      <w:r w:rsidR="00CB4F28" w:rsidRPr="00FA37CE">
        <w:rPr>
          <w:rFonts w:ascii="Arial" w:hAnsi="Arial" w:cs="Arial"/>
        </w:rPr>
        <w:t xml:space="preserve"> </w:t>
      </w:r>
      <w:r w:rsidR="00CB4F28">
        <w:rPr>
          <w:rFonts w:ascii="Arial" w:hAnsi="Arial" w:cs="Arial"/>
        </w:rPr>
        <w:t>(two fifths are unable to work)</w:t>
      </w:r>
      <w:r w:rsidR="00CB4F28" w:rsidRPr="00FA37CE">
        <w:rPr>
          <w:rFonts w:ascii="Arial" w:hAnsi="Arial" w:cs="Arial"/>
        </w:rPr>
        <w:t xml:space="preserve"> and </w:t>
      </w:r>
      <w:r w:rsidR="00CB4F28">
        <w:rPr>
          <w:rFonts w:ascii="Arial" w:hAnsi="Arial" w:cs="Arial"/>
        </w:rPr>
        <w:t xml:space="preserve">their physical </w:t>
      </w:r>
      <w:r w:rsidRPr="00FA37CE">
        <w:rPr>
          <w:rFonts w:ascii="Arial" w:hAnsi="Arial" w:cs="Arial"/>
        </w:rPr>
        <w:t>health related quality of life</w:t>
      </w:r>
      <w:r w:rsidR="00CB4F28">
        <w:rPr>
          <w:rFonts w:ascii="Arial" w:hAnsi="Arial" w:cs="Arial"/>
        </w:rPr>
        <w:t xml:space="preserve">, which is significantly poorer than the general population. </w:t>
      </w:r>
    </w:p>
    <w:p w14:paraId="7671BD0D" w14:textId="20BA17C8" w:rsidR="00585866" w:rsidRDefault="00585866" w:rsidP="00305DAE">
      <w:pPr>
        <w:spacing w:after="0" w:line="480" w:lineRule="auto"/>
        <w:rPr>
          <w:rFonts w:ascii="Arial" w:hAnsi="Arial" w:cs="Arial"/>
          <w:b/>
        </w:rPr>
      </w:pPr>
      <w:r w:rsidRPr="003B7EF2">
        <w:rPr>
          <w:rFonts w:ascii="Arial" w:hAnsi="Arial" w:cs="Arial"/>
          <w:b/>
        </w:rPr>
        <w:t>Discussion</w:t>
      </w:r>
    </w:p>
    <w:p w14:paraId="5B50EFA2" w14:textId="1A0C11AD" w:rsidR="000767B9" w:rsidRDefault="00FA37CE" w:rsidP="00305DAE">
      <w:pPr>
        <w:spacing w:after="0" w:line="480" w:lineRule="auto"/>
        <w:rPr>
          <w:rFonts w:ascii="Arial" w:hAnsi="Arial" w:cs="Arial"/>
        </w:rPr>
      </w:pPr>
      <w:r w:rsidRPr="00FA37CE">
        <w:rPr>
          <w:rFonts w:ascii="Arial" w:hAnsi="Arial" w:cs="Arial"/>
        </w:rPr>
        <w:lastRenderedPageBreak/>
        <w:t xml:space="preserve">Having lived relatively independent lives, many </w:t>
      </w:r>
      <w:r>
        <w:rPr>
          <w:rFonts w:ascii="Arial" w:hAnsi="Arial" w:cs="Arial"/>
        </w:rPr>
        <w:t>Thalidomide survivors are</w:t>
      </w:r>
      <w:r w:rsidRPr="00FA37CE">
        <w:rPr>
          <w:rFonts w:ascii="Arial" w:hAnsi="Arial" w:cs="Arial"/>
        </w:rPr>
        <w:t xml:space="preserve"> now having to </w:t>
      </w:r>
      <w:r>
        <w:rPr>
          <w:rFonts w:ascii="Arial" w:hAnsi="Arial" w:cs="Arial"/>
        </w:rPr>
        <w:t>adjust to growing disability. The study</w:t>
      </w:r>
      <w:r w:rsidRPr="00FA37CE">
        <w:rPr>
          <w:rFonts w:ascii="Arial" w:hAnsi="Arial" w:cs="Arial"/>
        </w:rPr>
        <w:t xml:space="preserve"> provides further evidence of the accumulative impact of disability over peoples’ lifetimes and highlights the value of a life course perspective in understanding the complex experience of growing older with a disability.</w:t>
      </w:r>
    </w:p>
    <w:p w14:paraId="400A29F6" w14:textId="77777777" w:rsidR="002E02D8" w:rsidRDefault="002E02D8" w:rsidP="00305DAE">
      <w:pPr>
        <w:spacing w:after="0" w:line="480" w:lineRule="auto"/>
        <w:rPr>
          <w:rFonts w:ascii="Arial" w:hAnsi="Arial" w:cs="Arial"/>
        </w:rPr>
      </w:pPr>
    </w:p>
    <w:p w14:paraId="1D9556CF" w14:textId="20BA471C" w:rsidR="00545E1C" w:rsidRDefault="00545E1C" w:rsidP="00305DAE">
      <w:pPr>
        <w:spacing w:after="0" w:line="480" w:lineRule="auto"/>
        <w:rPr>
          <w:rFonts w:ascii="Arial" w:hAnsi="Arial" w:cs="Arial"/>
        </w:rPr>
      </w:pPr>
      <w:r>
        <w:rPr>
          <w:rFonts w:ascii="Arial" w:hAnsi="Arial" w:cs="Arial"/>
        </w:rPr>
        <w:t>Key words: Thalidomide; disability; ageing; health</w:t>
      </w:r>
    </w:p>
    <w:p w14:paraId="4B05FCE8" w14:textId="77777777" w:rsidR="000767B9" w:rsidRDefault="000767B9" w:rsidP="00305DAE">
      <w:pPr>
        <w:spacing w:after="0" w:line="480" w:lineRule="auto"/>
        <w:rPr>
          <w:rFonts w:ascii="Arial" w:hAnsi="Arial" w:cs="Arial"/>
        </w:rPr>
      </w:pPr>
    </w:p>
    <w:p w14:paraId="1226788A" w14:textId="77777777" w:rsidR="002A3387" w:rsidRPr="00316752" w:rsidRDefault="002A3387" w:rsidP="00305DAE">
      <w:pPr>
        <w:spacing w:after="0" w:line="480" w:lineRule="auto"/>
        <w:rPr>
          <w:rFonts w:ascii="Arial" w:hAnsi="Arial" w:cs="Arial"/>
        </w:rPr>
      </w:pPr>
    </w:p>
    <w:p w14:paraId="3AA67795" w14:textId="4BA3211F" w:rsidR="0085346F" w:rsidRPr="00DB1D90" w:rsidRDefault="00DB1D90" w:rsidP="00305DAE">
      <w:pPr>
        <w:spacing w:after="0" w:line="480" w:lineRule="auto"/>
        <w:rPr>
          <w:rFonts w:ascii="Arial" w:hAnsi="Arial" w:cs="Arial"/>
          <w:b/>
          <w:sz w:val="36"/>
          <w:szCs w:val="36"/>
        </w:rPr>
      </w:pPr>
      <w:r w:rsidRPr="00DB1D90">
        <w:rPr>
          <w:rFonts w:ascii="Arial" w:hAnsi="Arial" w:cs="Arial"/>
          <w:b/>
          <w:sz w:val="36"/>
          <w:szCs w:val="36"/>
        </w:rPr>
        <w:t>Introduction</w:t>
      </w:r>
    </w:p>
    <w:p w14:paraId="7D5C8B77" w14:textId="5C3C43BA" w:rsidR="002247A1" w:rsidRDefault="002247A1" w:rsidP="00305DAE">
      <w:pPr>
        <w:spacing w:after="0" w:line="480" w:lineRule="auto"/>
        <w:rPr>
          <w:rFonts w:ascii="Arial" w:hAnsi="Arial" w:cs="Arial"/>
        </w:rPr>
      </w:pPr>
      <w:r w:rsidRPr="002247A1">
        <w:rPr>
          <w:rFonts w:ascii="Arial" w:hAnsi="Arial" w:cs="Arial"/>
        </w:rPr>
        <w:t>In the late 1950s and early 1960s the drug</w:t>
      </w:r>
      <w:r>
        <w:rPr>
          <w:rFonts w:ascii="Arial" w:hAnsi="Arial" w:cs="Arial"/>
        </w:rPr>
        <w:t xml:space="preserve"> Thalidomide was marketed</w:t>
      </w:r>
      <w:r w:rsidRPr="002247A1">
        <w:rPr>
          <w:rFonts w:ascii="Arial" w:hAnsi="Arial" w:cs="Arial"/>
        </w:rPr>
        <w:t xml:space="preserve"> across the world as a non-addictive tranquilizer. Despite being given to pregnant women as a safe treatment for morning sickness, Thalidomide caused serious damage to the unborn child when taken during the first trimester.</w:t>
      </w:r>
      <w:r>
        <w:rPr>
          <w:rFonts w:ascii="Arial" w:hAnsi="Arial" w:cs="Arial"/>
        </w:rPr>
        <w:t xml:space="preserve"> </w:t>
      </w:r>
      <w:r w:rsidRPr="002247A1">
        <w:rPr>
          <w:rFonts w:ascii="Arial" w:hAnsi="Arial" w:cs="Arial"/>
        </w:rPr>
        <w:t>Much has been written about the drug and the birth defects it caused but evidence about the health of Thalidomide survivors as they age is limited.</w:t>
      </w:r>
      <w:r>
        <w:rPr>
          <w:rFonts w:ascii="Arial" w:hAnsi="Arial" w:cs="Arial"/>
        </w:rPr>
        <w:t xml:space="preserve"> The wider literature on the experience of </w:t>
      </w:r>
      <w:r w:rsidRPr="002247A1">
        <w:rPr>
          <w:rFonts w:ascii="Arial" w:hAnsi="Arial" w:cs="Arial"/>
        </w:rPr>
        <w:t>ageing wit</w:t>
      </w:r>
      <w:r>
        <w:rPr>
          <w:rFonts w:ascii="Arial" w:hAnsi="Arial" w:cs="Arial"/>
        </w:rPr>
        <w:t xml:space="preserve">h disability also remains relatively sparse, although there has been growing interest in the past decade, in part </w:t>
      </w:r>
      <w:r w:rsidRPr="002247A1">
        <w:rPr>
          <w:rFonts w:ascii="Arial" w:hAnsi="Arial" w:cs="Arial"/>
        </w:rPr>
        <w:t>because</w:t>
      </w:r>
      <w:r>
        <w:rPr>
          <w:rFonts w:ascii="Arial" w:hAnsi="Arial" w:cs="Arial"/>
        </w:rPr>
        <w:t xml:space="preserve"> the number of people with </w:t>
      </w:r>
      <w:r w:rsidRPr="002247A1">
        <w:rPr>
          <w:rFonts w:ascii="Arial" w:hAnsi="Arial" w:cs="Arial"/>
        </w:rPr>
        <w:t>early acquired disabil</w:t>
      </w:r>
      <w:r w:rsidR="000365A0">
        <w:rPr>
          <w:rFonts w:ascii="Arial" w:hAnsi="Arial" w:cs="Arial"/>
        </w:rPr>
        <w:t>ities who are reaching mid and later life</w:t>
      </w:r>
      <w:r w:rsidRPr="002247A1">
        <w:rPr>
          <w:rFonts w:ascii="Arial" w:hAnsi="Arial" w:cs="Arial"/>
        </w:rPr>
        <w:t xml:space="preserve"> is increasing</w:t>
      </w:r>
      <w:r>
        <w:rPr>
          <w:rFonts w:ascii="Arial" w:hAnsi="Arial" w:cs="Arial"/>
        </w:rPr>
        <w:t xml:space="preserve">. </w:t>
      </w:r>
    </w:p>
    <w:p w14:paraId="6F6C1927" w14:textId="77777777" w:rsidR="00AB1EB0" w:rsidRDefault="00AB1EB0" w:rsidP="00305DAE">
      <w:pPr>
        <w:spacing w:after="0" w:line="480" w:lineRule="auto"/>
        <w:rPr>
          <w:rFonts w:ascii="Arial" w:hAnsi="Arial" w:cs="Arial"/>
        </w:rPr>
      </w:pPr>
    </w:p>
    <w:p w14:paraId="05C12E9F" w14:textId="60F89AEE" w:rsidR="00AB1EB0" w:rsidRDefault="002247A1" w:rsidP="00305DAE">
      <w:pPr>
        <w:spacing w:after="0" w:line="480" w:lineRule="auto"/>
        <w:rPr>
          <w:rFonts w:ascii="Arial" w:hAnsi="Arial" w:cs="Arial"/>
        </w:rPr>
      </w:pPr>
      <w:r>
        <w:rPr>
          <w:rFonts w:ascii="Arial" w:hAnsi="Arial" w:cs="Arial"/>
        </w:rPr>
        <w:t xml:space="preserve">The </w:t>
      </w:r>
      <w:r w:rsidR="00AB1EB0">
        <w:rPr>
          <w:rFonts w:ascii="Arial" w:hAnsi="Arial" w:cs="Arial"/>
        </w:rPr>
        <w:t>aim of this study was to: explore</w:t>
      </w:r>
      <w:r>
        <w:rPr>
          <w:rFonts w:ascii="Arial" w:hAnsi="Arial" w:cs="Arial"/>
        </w:rPr>
        <w:t xml:space="preserve"> the </w:t>
      </w:r>
      <w:r w:rsidR="00641CF3">
        <w:rPr>
          <w:rFonts w:ascii="Arial" w:hAnsi="Arial" w:cs="Arial"/>
        </w:rPr>
        <w:t xml:space="preserve">health and wellbeing </w:t>
      </w:r>
      <w:r w:rsidR="00C1444C">
        <w:rPr>
          <w:rFonts w:ascii="Arial" w:hAnsi="Arial" w:cs="Arial"/>
        </w:rPr>
        <w:t xml:space="preserve">UK </w:t>
      </w:r>
      <w:r w:rsidR="00202D34">
        <w:rPr>
          <w:rFonts w:ascii="Arial" w:hAnsi="Arial" w:cs="Arial"/>
        </w:rPr>
        <w:t>Thalidomide survivors</w:t>
      </w:r>
      <w:r w:rsidR="00AB1EB0">
        <w:rPr>
          <w:rFonts w:ascii="Arial" w:hAnsi="Arial" w:cs="Arial"/>
        </w:rPr>
        <w:t>; document</w:t>
      </w:r>
      <w:r w:rsidR="00ED44EC" w:rsidRPr="00316752">
        <w:rPr>
          <w:rFonts w:ascii="Arial" w:hAnsi="Arial" w:cs="Arial"/>
        </w:rPr>
        <w:t xml:space="preserve"> the health problems experienced by </w:t>
      </w:r>
      <w:r w:rsidR="00AB1EB0">
        <w:rPr>
          <w:rFonts w:ascii="Arial" w:hAnsi="Arial" w:cs="Arial"/>
        </w:rPr>
        <w:t>them</w:t>
      </w:r>
      <w:r w:rsidR="007119FD" w:rsidRPr="00316752">
        <w:rPr>
          <w:rFonts w:ascii="Arial" w:hAnsi="Arial" w:cs="Arial"/>
        </w:rPr>
        <w:t xml:space="preserve"> as they reach their mid-50s</w:t>
      </w:r>
      <w:r w:rsidR="00AB1EB0">
        <w:rPr>
          <w:rFonts w:ascii="Arial" w:hAnsi="Arial" w:cs="Arial"/>
        </w:rPr>
        <w:t>;</w:t>
      </w:r>
      <w:r w:rsidR="00ED44EC" w:rsidRPr="00316752">
        <w:rPr>
          <w:rFonts w:ascii="Arial" w:hAnsi="Arial" w:cs="Arial"/>
        </w:rPr>
        <w:t xml:space="preserve"> </w:t>
      </w:r>
      <w:r w:rsidR="00AB1EB0">
        <w:rPr>
          <w:rFonts w:ascii="Arial" w:hAnsi="Arial" w:cs="Arial"/>
        </w:rPr>
        <w:t xml:space="preserve">examine </w:t>
      </w:r>
      <w:r w:rsidR="00834B50" w:rsidRPr="00316752">
        <w:rPr>
          <w:rFonts w:ascii="Arial" w:hAnsi="Arial" w:cs="Arial"/>
        </w:rPr>
        <w:t>th</w:t>
      </w:r>
      <w:r w:rsidR="00ED44EC" w:rsidRPr="00316752">
        <w:rPr>
          <w:rFonts w:ascii="Arial" w:hAnsi="Arial" w:cs="Arial"/>
        </w:rPr>
        <w:t>e impacts on their health-related quality of life</w:t>
      </w:r>
      <w:r w:rsidR="00AB1EB0">
        <w:rPr>
          <w:rFonts w:ascii="Arial" w:hAnsi="Arial" w:cs="Arial"/>
        </w:rPr>
        <w:t xml:space="preserve"> and employment; </w:t>
      </w:r>
      <w:r w:rsidR="00944754">
        <w:rPr>
          <w:rFonts w:ascii="Arial" w:hAnsi="Arial" w:cs="Arial"/>
        </w:rPr>
        <w:t>and</w:t>
      </w:r>
      <w:r w:rsidR="00254364">
        <w:rPr>
          <w:rFonts w:ascii="Arial" w:hAnsi="Arial" w:cs="Arial"/>
        </w:rPr>
        <w:t>,</w:t>
      </w:r>
      <w:r w:rsidR="00944754">
        <w:rPr>
          <w:rFonts w:ascii="Arial" w:hAnsi="Arial" w:cs="Arial"/>
        </w:rPr>
        <w:t xml:space="preserve"> where possible, </w:t>
      </w:r>
      <w:r w:rsidR="00AB1EB0">
        <w:rPr>
          <w:rFonts w:ascii="Arial" w:hAnsi="Arial" w:cs="Arial"/>
        </w:rPr>
        <w:t xml:space="preserve">make comparisons </w:t>
      </w:r>
      <w:r w:rsidR="00303D4F" w:rsidRPr="00303D4F">
        <w:rPr>
          <w:rFonts w:ascii="Arial" w:hAnsi="Arial" w:cs="Arial"/>
        </w:rPr>
        <w:t>with the incidence of similar problems in the general population</w:t>
      </w:r>
      <w:r w:rsidR="00F652C2">
        <w:rPr>
          <w:rFonts w:ascii="Arial" w:hAnsi="Arial" w:cs="Arial"/>
        </w:rPr>
        <w:t>,</w:t>
      </w:r>
      <w:r w:rsidR="00303D4F" w:rsidRPr="00303D4F">
        <w:rPr>
          <w:rFonts w:ascii="Arial" w:hAnsi="Arial" w:cs="Arial"/>
        </w:rPr>
        <w:t xml:space="preserve"> a</w:t>
      </w:r>
      <w:r w:rsidR="00FB02DE">
        <w:rPr>
          <w:rFonts w:ascii="Arial" w:hAnsi="Arial" w:cs="Arial"/>
        </w:rPr>
        <w:t xml:space="preserve">nd with research on Thalidomide </w:t>
      </w:r>
      <w:r w:rsidR="00303D4F" w:rsidRPr="00303D4F">
        <w:rPr>
          <w:rFonts w:ascii="Arial" w:hAnsi="Arial" w:cs="Arial"/>
        </w:rPr>
        <w:t>survivors in other countries.</w:t>
      </w:r>
      <w:r w:rsidR="00303D4F">
        <w:rPr>
          <w:rFonts w:ascii="Arial" w:hAnsi="Arial" w:cs="Arial"/>
        </w:rPr>
        <w:t xml:space="preserve"> </w:t>
      </w:r>
      <w:r w:rsidR="00944754">
        <w:rPr>
          <w:rFonts w:ascii="Arial" w:hAnsi="Arial" w:cs="Arial"/>
        </w:rPr>
        <w:t xml:space="preserve">By focusing on </w:t>
      </w:r>
      <w:r w:rsidR="00944754" w:rsidRPr="00AB1EB0">
        <w:rPr>
          <w:rFonts w:ascii="Arial" w:hAnsi="Arial" w:cs="Arial"/>
        </w:rPr>
        <w:t>an identifiable group who are ageing together</w:t>
      </w:r>
      <w:r w:rsidR="00944754">
        <w:rPr>
          <w:rFonts w:ascii="Arial" w:hAnsi="Arial" w:cs="Arial"/>
        </w:rPr>
        <w:t xml:space="preserve">, the study was also designed to contribute to the wider understanding of ageing with </w:t>
      </w:r>
      <w:r w:rsidR="00944754" w:rsidRPr="00944754">
        <w:rPr>
          <w:rFonts w:ascii="Arial" w:hAnsi="Arial" w:cs="Arial"/>
        </w:rPr>
        <w:t>early onset disability</w:t>
      </w:r>
      <w:r w:rsidR="00944754">
        <w:rPr>
          <w:rFonts w:ascii="Arial" w:hAnsi="Arial" w:cs="Arial"/>
        </w:rPr>
        <w:t>.</w:t>
      </w:r>
    </w:p>
    <w:p w14:paraId="0EFF2A7D" w14:textId="77777777" w:rsidR="000365A0" w:rsidRDefault="000365A0" w:rsidP="00305DAE">
      <w:pPr>
        <w:spacing w:after="0" w:line="480" w:lineRule="auto"/>
        <w:rPr>
          <w:rFonts w:ascii="Arial" w:hAnsi="Arial" w:cs="Arial"/>
        </w:rPr>
      </w:pPr>
    </w:p>
    <w:p w14:paraId="6C74D568" w14:textId="296F1804" w:rsidR="00882172" w:rsidRDefault="00944754" w:rsidP="00305DAE">
      <w:pPr>
        <w:spacing w:after="0" w:line="480" w:lineRule="auto"/>
        <w:rPr>
          <w:rFonts w:ascii="Arial" w:hAnsi="Arial" w:cs="Arial"/>
        </w:rPr>
      </w:pPr>
      <w:r>
        <w:rPr>
          <w:rFonts w:ascii="Arial" w:hAnsi="Arial" w:cs="Arial"/>
        </w:rPr>
        <w:lastRenderedPageBreak/>
        <w:t>Our</w:t>
      </w:r>
      <w:r w:rsidR="00ED44EC" w:rsidRPr="00316752">
        <w:rPr>
          <w:rFonts w:ascii="Arial" w:hAnsi="Arial" w:cs="Arial"/>
        </w:rPr>
        <w:t xml:space="preserve"> </w:t>
      </w:r>
      <w:r>
        <w:rPr>
          <w:rFonts w:ascii="Arial" w:hAnsi="Arial" w:cs="Arial"/>
        </w:rPr>
        <w:t>findings</w:t>
      </w:r>
      <w:r w:rsidR="00ED44EC" w:rsidRPr="00316752">
        <w:rPr>
          <w:rFonts w:ascii="Arial" w:hAnsi="Arial" w:cs="Arial"/>
        </w:rPr>
        <w:t xml:space="preserve"> illustrates the challenges of ageing with lifelong </w:t>
      </w:r>
      <w:r w:rsidR="00341476" w:rsidRPr="00316752">
        <w:rPr>
          <w:rFonts w:ascii="Arial" w:hAnsi="Arial" w:cs="Arial"/>
        </w:rPr>
        <w:t xml:space="preserve">impairments, </w:t>
      </w:r>
      <w:r w:rsidR="00ED44EC" w:rsidRPr="00316752">
        <w:rPr>
          <w:rFonts w:ascii="Arial" w:hAnsi="Arial" w:cs="Arial"/>
        </w:rPr>
        <w:t>particularly the</w:t>
      </w:r>
      <w:r w:rsidR="00341476" w:rsidRPr="00316752">
        <w:rPr>
          <w:rFonts w:ascii="Arial" w:hAnsi="Arial" w:cs="Arial"/>
        </w:rPr>
        <w:t xml:space="preserve"> interactions </w:t>
      </w:r>
      <w:r w:rsidR="00ED44EC" w:rsidRPr="00316752">
        <w:rPr>
          <w:rFonts w:ascii="Arial" w:hAnsi="Arial" w:cs="Arial"/>
        </w:rPr>
        <w:t>between</w:t>
      </w:r>
      <w:r w:rsidR="007119FD" w:rsidRPr="00316752">
        <w:rPr>
          <w:rFonts w:ascii="Arial" w:hAnsi="Arial" w:cs="Arial"/>
        </w:rPr>
        <w:t xml:space="preserve"> </w:t>
      </w:r>
      <w:r w:rsidR="009F4F5B" w:rsidRPr="00316752">
        <w:rPr>
          <w:rFonts w:ascii="Arial" w:hAnsi="Arial" w:cs="Arial"/>
        </w:rPr>
        <w:t>ori</w:t>
      </w:r>
      <w:r w:rsidR="00ED44EC" w:rsidRPr="00316752">
        <w:rPr>
          <w:rFonts w:ascii="Arial" w:hAnsi="Arial" w:cs="Arial"/>
        </w:rPr>
        <w:t>ginal</w:t>
      </w:r>
      <w:r w:rsidR="00DB122B" w:rsidRPr="00316752">
        <w:rPr>
          <w:rFonts w:ascii="Arial" w:hAnsi="Arial" w:cs="Arial"/>
        </w:rPr>
        <w:t>, congenital</w:t>
      </w:r>
      <w:r w:rsidR="00ED44EC" w:rsidRPr="00316752">
        <w:rPr>
          <w:rFonts w:ascii="Arial" w:hAnsi="Arial" w:cs="Arial"/>
        </w:rPr>
        <w:t xml:space="preserve"> impairments and </w:t>
      </w:r>
      <w:r w:rsidR="009F4F5B" w:rsidRPr="00316752">
        <w:rPr>
          <w:rFonts w:ascii="Arial" w:hAnsi="Arial" w:cs="Arial"/>
        </w:rPr>
        <w:t xml:space="preserve">subsequent </w:t>
      </w:r>
      <w:r w:rsidR="00ED44EC" w:rsidRPr="00316752">
        <w:rPr>
          <w:rFonts w:ascii="Arial" w:hAnsi="Arial" w:cs="Arial"/>
        </w:rPr>
        <w:t>ageing process</w:t>
      </w:r>
      <w:r w:rsidR="00341476" w:rsidRPr="00316752">
        <w:rPr>
          <w:rFonts w:ascii="Arial" w:hAnsi="Arial" w:cs="Arial"/>
        </w:rPr>
        <w:t>es</w:t>
      </w:r>
      <w:r w:rsidR="00ED44EC" w:rsidRPr="00316752">
        <w:rPr>
          <w:rFonts w:ascii="Arial" w:hAnsi="Arial" w:cs="Arial"/>
        </w:rPr>
        <w:t>.</w:t>
      </w:r>
      <w:r w:rsidR="009F4F5B" w:rsidRPr="00316752">
        <w:rPr>
          <w:rFonts w:ascii="Arial" w:hAnsi="Arial" w:cs="Arial"/>
        </w:rPr>
        <w:t xml:space="preserve"> </w:t>
      </w:r>
      <w:r w:rsidR="00ED44EC" w:rsidRPr="00316752">
        <w:rPr>
          <w:rFonts w:ascii="Arial" w:hAnsi="Arial" w:cs="Arial"/>
        </w:rPr>
        <w:t xml:space="preserve"> </w:t>
      </w:r>
      <w:r>
        <w:rPr>
          <w:rFonts w:ascii="Arial" w:hAnsi="Arial" w:cs="Arial"/>
        </w:rPr>
        <w:t>They</w:t>
      </w:r>
      <w:r w:rsidR="00C37B27" w:rsidRPr="00316752">
        <w:rPr>
          <w:rFonts w:ascii="Arial" w:hAnsi="Arial" w:cs="Arial"/>
        </w:rPr>
        <w:t xml:space="preserve"> shows the compounding </w:t>
      </w:r>
      <w:r w:rsidR="00EB0EA6">
        <w:rPr>
          <w:rFonts w:ascii="Arial" w:hAnsi="Arial" w:cs="Arial"/>
        </w:rPr>
        <w:t>and accumulated impact</w:t>
      </w:r>
      <w:r w:rsidR="00C37B27" w:rsidRPr="00316752">
        <w:rPr>
          <w:rFonts w:ascii="Arial" w:hAnsi="Arial" w:cs="Arial"/>
        </w:rPr>
        <w:t xml:space="preserve"> of impairment and ageing</w:t>
      </w:r>
      <w:r w:rsidR="00FB02DE">
        <w:rPr>
          <w:rFonts w:ascii="Arial" w:hAnsi="Arial" w:cs="Arial"/>
        </w:rPr>
        <w:t>, in which the</w:t>
      </w:r>
      <w:r w:rsidR="00C37B27">
        <w:rPr>
          <w:rFonts w:ascii="Arial" w:hAnsi="Arial" w:cs="Arial"/>
        </w:rPr>
        <w:t xml:space="preserve"> biological </w:t>
      </w:r>
      <w:r w:rsidR="00FB02DE">
        <w:rPr>
          <w:rFonts w:ascii="Arial" w:hAnsi="Arial" w:cs="Arial"/>
        </w:rPr>
        <w:t>connects to the social, thereby</w:t>
      </w:r>
      <w:r w:rsidR="003E1283">
        <w:rPr>
          <w:rFonts w:ascii="Arial" w:hAnsi="Arial" w:cs="Arial"/>
        </w:rPr>
        <w:t xml:space="preserve"> exposing</w:t>
      </w:r>
      <w:r w:rsidR="00FB02DE">
        <w:rPr>
          <w:rFonts w:ascii="Arial" w:hAnsi="Arial" w:cs="Arial"/>
        </w:rPr>
        <w:t xml:space="preserve"> individuals to environmental</w:t>
      </w:r>
      <w:r w:rsidR="003E1283">
        <w:rPr>
          <w:rFonts w:ascii="Arial" w:hAnsi="Arial" w:cs="Arial"/>
        </w:rPr>
        <w:t xml:space="preserve"> factors that</w:t>
      </w:r>
      <w:r w:rsidR="00FB02DE">
        <w:rPr>
          <w:rFonts w:ascii="Arial" w:hAnsi="Arial" w:cs="Arial"/>
        </w:rPr>
        <w:t xml:space="preserve"> further </w:t>
      </w:r>
      <w:r w:rsidR="003E1283">
        <w:rPr>
          <w:rFonts w:ascii="Arial" w:hAnsi="Arial" w:cs="Arial"/>
        </w:rPr>
        <w:t>generate the potential for</w:t>
      </w:r>
      <w:r w:rsidR="00FB02DE">
        <w:rPr>
          <w:rFonts w:ascii="Arial" w:hAnsi="Arial" w:cs="Arial"/>
        </w:rPr>
        <w:t xml:space="preserve"> disadvantage and social exclusion</w:t>
      </w:r>
      <w:r w:rsidR="00466DA0">
        <w:rPr>
          <w:rFonts w:ascii="Arial" w:hAnsi="Arial" w:cs="Arial"/>
        </w:rPr>
        <w:t xml:space="preserve"> </w:t>
      </w:r>
      <w:r w:rsidR="00B01055">
        <w:rPr>
          <w:rFonts w:ascii="Arial" w:hAnsi="Arial" w:cs="Arial"/>
        </w:rPr>
        <w:t>[1]</w:t>
      </w:r>
      <w:r w:rsidR="003E1283">
        <w:rPr>
          <w:rStyle w:val="CommentReference"/>
        </w:rPr>
        <w:t>.</w:t>
      </w:r>
      <w:r w:rsidR="00FB02DE">
        <w:rPr>
          <w:rFonts w:ascii="Arial" w:hAnsi="Arial" w:cs="Arial"/>
        </w:rPr>
        <w:t xml:space="preserve">  These include</w:t>
      </w:r>
      <w:r w:rsidR="003E1283">
        <w:rPr>
          <w:rFonts w:ascii="Arial" w:hAnsi="Arial" w:cs="Arial"/>
        </w:rPr>
        <w:t xml:space="preserve"> access to</w:t>
      </w:r>
      <w:r w:rsidR="00C37B27" w:rsidRPr="00316752">
        <w:rPr>
          <w:rFonts w:ascii="Arial" w:hAnsi="Arial" w:cs="Arial"/>
        </w:rPr>
        <w:t xml:space="preserve"> paid work and self-care</w:t>
      </w:r>
      <w:r w:rsidR="00987DDD">
        <w:rPr>
          <w:rFonts w:ascii="Arial" w:hAnsi="Arial" w:cs="Arial"/>
        </w:rPr>
        <w:t>,</w:t>
      </w:r>
      <w:r w:rsidR="00C37B27">
        <w:rPr>
          <w:rFonts w:ascii="Arial" w:hAnsi="Arial" w:cs="Arial"/>
        </w:rPr>
        <w:t xml:space="preserve"> </w:t>
      </w:r>
      <w:r w:rsidR="00C37B27" w:rsidRPr="00316752">
        <w:rPr>
          <w:rFonts w:ascii="Arial" w:hAnsi="Arial" w:cs="Arial"/>
        </w:rPr>
        <w:t>previously characterised by high le</w:t>
      </w:r>
      <w:r w:rsidR="00C37B27">
        <w:rPr>
          <w:rFonts w:ascii="Arial" w:hAnsi="Arial" w:cs="Arial"/>
        </w:rPr>
        <w:t>vels of personal independence.</w:t>
      </w:r>
      <w:r w:rsidR="00DB122B" w:rsidRPr="00316752">
        <w:rPr>
          <w:rFonts w:ascii="Arial" w:hAnsi="Arial" w:cs="Arial"/>
        </w:rPr>
        <w:t xml:space="preserve"> As former adaptive mechanisms are compromised</w:t>
      </w:r>
      <w:r w:rsidR="008664DE">
        <w:rPr>
          <w:rFonts w:ascii="Arial" w:hAnsi="Arial" w:cs="Arial"/>
        </w:rPr>
        <w:t>,</w:t>
      </w:r>
      <w:r w:rsidR="00DB122B" w:rsidRPr="00316752">
        <w:rPr>
          <w:rFonts w:ascii="Arial" w:hAnsi="Arial" w:cs="Arial"/>
        </w:rPr>
        <w:t xml:space="preserve"> new experiences of disability arise</w:t>
      </w:r>
      <w:r w:rsidR="003E1283">
        <w:rPr>
          <w:rFonts w:ascii="Arial" w:hAnsi="Arial" w:cs="Arial"/>
        </w:rPr>
        <w:t xml:space="preserve"> </w:t>
      </w:r>
      <w:r w:rsidR="00B01055">
        <w:rPr>
          <w:rFonts w:ascii="Arial" w:hAnsi="Arial" w:cs="Arial"/>
        </w:rPr>
        <w:t>[2].</w:t>
      </w:r>
    </w:p>
    <w:p w14:paraId="51D4F517" w14:textId="77777777" w:rsidR="00AB1EB0" w:rsidRPr="00316752" w:rsidRDefault="00AB1EB0" w:rsidP="00305DAE">
      <w:pPr>
        <w:spacing w:after="0" w:line="480" w:lineRule="auto"/>
        <w:rPr>
          <w:rFonts w:ascii="Arial" w:hAnsi="Arial" w:cs="Arial"/>
        </w:rPr>
      </w:pPr>
    </w:p>
    <w:p w14:paraId="592BF974" w14:textId="77777777" w:rsidR="009F4F5B" w:rsidRPr="00DB1D90" w:rsidRDefault="009F4F5B" w:rsidP="00305DAE">
      <w:pPr>
        <w:spacing w:after="0" w:line="480" w:lineRule="auto"/>
        <w:rPr>
          <w:rFonts w:ascii="Arial" w:hAnsi="Arial" w:cs="Arial"/>
          <w:b/>
          <w:sz w:val="32"/>
          <w:szCs w:val="32"/>
        </w:rPr>
      </w:pPr>
      <w:r w:rsidRPr="00DB1D90">
        <w:rPr>
          <w:rFonts w:ascii="Arial" w:hAnsi="Arial" w:cs="Arial"/>
          <w:b/>
          <w:sz w:val="32"/>
          <w:szCs w:val="32"/>
        </w:rPr>
        <w:t xml:space="preserve">Background </w:t>
      </w:r>
    </w:p>
    <w:p w14:paraId="661B4856" w14:textId="72957931" w:rsidR="00B265B4" w:rsidRDefault="00C37B27" w:rsidP="00305DAE">
      <w:pPr>
        <w:spacing w:after="0" w:line="480" w:lineRule="auto"/>
        <w:rPr>
          <w:rFonts w:ascii="Arial" w:hAnsi="Arial" w:cs="Arial"/>
        </w:rPr>
      </w:pPr>
      <w:r>
        <w:rPr>
          <w:rFonts w:ascii="Arial" w:hAnsi="Arial" w:cs="Arial"/>
        </w:rPr>
        <w:t>Between 1958</w:t>
      </w:r>
      <w:r w:rsidR="000C5DBB" w:rsidRPr="00316752">
        <w:rPr>
          <w:rFonts w:ascii="Arial" w:hAnsi="Arial" w:cs="Arial"/>
        </w:rPr>
        <w:t xml:space="preserve"> and 1961, Thalidomide was widely</w:t>
      </w:r>
      <w:r w:rsidR="00745CBD" w:rsidRPr="00316752">
        <w:rPr>
          <w:rFonts w:ascii="Arial" w:hAnsi="Arial" w:cs="Arial"/>
        </w:rPr>
        <w:t xml:space="preserve"> prescribed </w:t>
      </w:r>
      <w:r>
        <w:rPr>
          <w:rFonts w:ascii="Arial" w:hAnsi="Arial" w:cs="Arial"/>
        </w:rPr>
        <w:t xml:space="preserve">in the UK </w:t>
      </w:r>
      <w:r w:rsidR="000C5DBB" w:rsidRPr="00316752">
        <w:rPr>
          <w:rFonts w:ascii="Arial" w:hAnsi="Arial" w:cs="Arial"/>
        </w:rPr>
        <w:t xml:space="preserve">as a </w:t>
      </w:r>
      <w:r w:rsidR="00F55FB8" w:rsidRPr="00316752">
        <w:rPr>
          <w:rFonts w:ascii="Arial" w:hAnsi="Arial" w:cs="Arial"/>
        </w:rPr>
        <w:t xml:space="preserve">safe, </w:t>
      </w:r>
      <w:r w:rsidR="000C5DBB" w:rsidRPr="00316752">
        <w:rPr>
          <w:rFonts w:ascii="Arial" w:hAnsi="Arial" w:cs="Arial"/>
        </w:rPr>
        <w:t>non</w:t>
      </w:r>
      <w:r w:rsidR="00681AE8">
        <w:rPr>
          <w:rFonts w:ascii="Arial" w:hAnsi="Arial" w:cs="Arial"/>
        </w:rPr>
        <w:t xml:space="preserve">e </w:t>
      </w:r>
      <w:r w:rsidR="000C5DBB" w:rsidRPr="00316752">
        <w:rPr>
          <w:rFonts w:ascii="Arial" w:hAnsi="Arial" w:cs="Arial"/>
        </w:rPr>
        <w:t xml:space="preserve">addictive sedative and tranquiliser. </w:t>
      </w:r>
      <w:r w:rsidR="00DB122B" w:rsidRPr="00316752">
        <w:rPr>
          <w:rFonts w:ascii="Arial" w:hAnsi="Arial" w:cs="Arial"/>
        </w:rPr>
        <w:t xml:space="preserve"> It </w:t>
      </w:r>
      <w:r w:rsidR="00F55FB8" w:rsidRPr="00316752">
        <w:rPr>
          <w:rFonts w:ascii="Arial" w:hAnsi="Arial" w:cs="Arial"/>
        </w:rPr>
        <w:t xml:space="preserve">was manufactured by a German company, Chemie </w:t>
      </w:r>
      <w:r w:rsidR="00681AE8" w:rsidRPr="00316752">
        <w:rPr>
          <w:rFonts w:ascii="Arial" w:hAnsi="Arial" w:cs="Arial"/>
        </w:rPr>
        <w:t>Grünenthal</w:t>
      </w:r>
      <w:r w:rsidR="00F55FB8" w:rsidRPr="00316752">
        <w:rPr>
          <w:rFonts w:ascii="Arial" w:hAnsi="Arial" w:cs="Arial"/>
        </w:rPr>
        <w:t xml:space="preserve">, and distributed in the UK by Distillers Company (Biochemicals) Limited.   </w:t>
      </w:r>
      <w:r w:rsidR="00745CBD" w:rsidRPr="00316752">
        <w:rPr>
          <w:rFonts w:ascii="Arial" w:hAnsi="Arial" w:cs="Arial"/>
        </w:rPr>
        <w:t xml:space="preserve"> </w:t>
      </w:r>
      <w:r w:rsidR="00ED44EC" w:rsidRPr="00316752">
        <w:rPr>
          <w:rFonts w:ascii="Arial" w:hAnsi="Arial" w:cs="Arial"/>
        </w:rPr>
        <w:t>D</w:t>
      </w:r>
      <w:r w:rsidR="00F55FB8" w:rsidRPr="00316752">
        <w:rPr>
          <w:rFonts w:ascii="Arial" w:hAnsi="Arial" w:cs="Arial"/>
        </w:rPr>
        <w:t xml:space="preserve">espite being marketed as an entirely </w:t>
      </w:r>
      <w:r w:rsidR="00745CBD" w:rsidRPr="00316752">
        <w:rPr>
          <w:rFonts w:ascii="Arial" w:hAnsi="Arial" w:cs="Arial"/>
        </w:rPr>
        <w:t xml:space="preserve">safe </w:t>
      </w:r>
      <w:r w:rsidR="00F55FB8" w:rsidRPr="00316752">
        <w:rPr>
          <w:rFonts w:ascii="Arial" w:hAnsi="Arial" w:cs="Arial"/>
        </w:rPr>
        <w:t xml:space="preserve">treatment for the discomforts of pregnancy (including morning sickness), </w:t>
      </w:r>
      <w:r w:rsidR="000C5DBB" w:rsidRPr="00316752">
        <w:rPr>
          <w:rFonts w:ascii="Arial" w:hAnsi="Arial" w:cs="Arial"/>
        </w:rPr>
        <w:t>Thalidomide caused serious da</w:t>
      </w:r>
      <w:r w:rsidR="0000287A" w:rsidRPr="00316752">
        <w:rPr>
          <w:rFonts w:ascii="Arial" w:hAnsi="Arial" w:cs="Arial"/>
        </w:rPr>
        <w:t xml:space="preserve">mage to the </w:t>
      </w:r>
      <w:r w:rsidR="0030009E">
        <w:rPr>
          <w:rFonts w:ascii="Arial" w:hAnsi="Arial" w:cs="Arial"/>
        </w:rPr>
        <w:t>unborn child</w:t>
      </w:r>
      <w:r w:rsidR="0059009B">
        <w:rPr>
          <w:rFonts w:ascii="Arial" w:hAnsi="Arial" w:cs="Arial"/>
        </w:rPr>
        <w:t xml:space="preserve"> </w:t>
      </w:r>
      <w:r w:rsidR="0059009B" w:rsidRPr="0059009B">
        <w:rPr>
          <w:rFonts w:ascii="Arial" w:hAnsi="Arial" w:cs="Arial"/>
        </w:rPr>
        <w:t>when taken during the first trimester</w:t>
      </w:r>
      <w:r w:rsidR="0059009B">
        <w:rPr>
          <w:rFonts w:ascii="Arial" w:hAnsi="Arial" w:cs="Arial"/>
        </w:rPr>
        <w:t>.</w:t>
      </w:r>
      <w:r w:rsidR="0000287A" w:rsidRPr="00316752">
        <w:rPr>
          <w:rFonts w:ascii="Arial" w:hAnsi="Arial" w:cs="Arial"/>
        </w:rPr>
        <w:t xml:space="preserve">  </w:t>
      </w:r>
      <w:r w:rsidR="00DB122B" w:rsidRPr="00316752">
        <w:rPr>
          <w:rFonts w:ascii="Arial" w:hAnsi="Arial" w:cs="Arial"/>
        </w:rPr>
        <w:t>D</w:t>
      </w:r>
      <w:r w:rsidR="00F55FB8" w:rsidRPr="00316752">
        <w:rPr>
          <w:rFonts w:ascii="Arial" w:hAnsi="Arial" w:cs="Arial"/>
        </w:rPr>
        <w:t>epending on the</w:t>
      </w:r>
      <w:r w:rsidR="00745CBD" w:rsidRPr="00316752">
        <w:rPr>
          <w:rFonts w:ascii="Arial" w:hAnsi="Arial" w:cs="Arial"/>
        </w:rPr>
        <w:t xml:space="preserve"> t</w:t>
      </w:r>
      <w:r w:rsidR="00F55FB8" w:rsidRPr="00316752">
        <w:rPr>
          <w:rFonts w:ascii="Arial" w:hAnsi="Arial" w:cs="Arial"/>
        </w:rPr>
        <w:t>im</w:t>
      </w:r>
      <w:r w:rsidR="00DB122B" w:rsidRPr="00316752">
        <w:rPr>
          <w:rFonts w:ascii="Arial" w:hAnsi="Arial" w:cs="Arial"/>
        </w:rPr>
        <w:t xml:space="preserve">ing and level of </w:t>
      </w:r>
      <w:r w:rsidR="00F55FB8" w:rsidRPr="00316752">
        <w:rPr>
          <w:rFonts w:ascii="Arial" w:hAnsi="Arial" w:cs="Arial"/>
        </w:rPr>
        <w:t>ingestion</w:t>
      </w:r>
      <w:r w:rsidR="00DB122B" w:rsidRPr="00316752">
        <w:rPr>
          <w:rFonts w:ascii="Arial" w:hAnsi="Arial" w:cs="Arial"/>
        </w:rPr>
        <w:t>, foetal damage typically inclu</w:t>
      </w:r>
      <w:r w:rsidR="00F55FB8" w:rsidRPr="00316752">
        <w:rPr>
          <w:rFonts w:ascii="Arial" w:hAnsi="Arial" w:cs="Arial"/>
        </w:rPr>
        <w:t>ded</w:t>
      </w:r>
      <w:r w:rsidR="00B265B4">
        <w:rPr>
          <w:rFonts w:ascii="Arial" w:hAnsi="Arial" w:cs="Arial"/>
        </w:rPr>
        <w:t>:</w:t>
      </w:r>
      <w:r w:rsidR="00F55FB8" w:rsidRPr="00316752">
        <w:rPr>
          <w:rFonts w:ascii="Arial" w:hAnsi="Arial" w:cs="Arial"/>
        </w:rPr>
        <w:t xml:space="preserve"> </w:t>
      </w:r>
    </w:p>
    <w:p w14:paraId="4AA2A1EA" w14:textId="3AF837D9" w:rsidR="00B265B4" w:rsidRPr="00280A98" w:rsidRDefault="00B265B4" w:rsidP="00280A98">
      <w:pPr>
        <w:pStyle w:val="ListParagraph"/>
        <w:numPr>
          <w:ilvl w:val="0"/>
          <w:numId w:val="11"/>
        </w:numPr>
        <w:spacing w:after="0" w:line="480" w:lineRule="auto"/>
        <w:rPr>
          <w:rFonts w:ascii="Arial" w:hAnsi="Arial" w:cs="Arial"/>
        </w:rPr>
      </w:pPr>
      <w:r w:rsidRPr="00280A98">
        <w:rPr>
          <w:rFonts w:ascii="Arial" w:hAnsi="Arial" w:cs="Arial"/>
        </w:rPr>
        <w:t xml:space="preserve">Missing, shortened or malformed upper limbs – ranging from complete absence of the arm (upper limb </w:t>
      </w:r>
      <w:r w:rsidRPr="00B265B4">
        <w:rPr>
          <w:rFonts w:ascii="Arial" w:hAnsi="Arial" w:cs="Arial"/>
        </w:rPr>
        <w:t>Amelia</w:t>
      </w:r>
      <w:r w:rsidRPr="00280A98">
        <w:rPr>
          <w:rFonts w:ascii="Arial" w:hAnsi="Arial" w:cs="Arial"/>
        </w:rPr>
        <w:t>) with one or more digits attached directly to the shoulder, to short or missing long bones and missing or damaged thumbs and fingers</w:t>
      </w:r>
    </w:p>
    <w:p w14:paraId="5C2A5A6F" w14:textId="6C36FE19" w:rsidR="00B265B4" w:rsidRPr="00280A98" w:rsidRDefault="00B265B4" w:rsidP="00280A98">
      <w:pPr>
        <w:pStyle w:val="ListParagraph"/>
        <w:numPr>
          <w:ilvl w:val="0"/>
          <w:numId w:val="11"/>
        </w:numPr>
        <w:spacing w:after="0" w:line="480" w:lineRule="auto"/>
        <w:rPr>
          <w:rFonts w:ascii="Arial" w:hAnsi="Arial" w:cs="Arial"/>
        </w:rPr>
      </w:pPr>
      <w:r w:rsidRPr="00280A98">
        <w:rPr>
          <w:rFonts w:ascii="Arial" w:hAnsi="Arial" w:cs="Arial"/>
        </w:rPr>
        <w:t>Shortened or malformed lower limbs – including short or missing long bones, congenital dislocation of the hip, club foot, and extra toes</w:t>
      </w:r>
    </w:p>
    <w:p w14:paraId="5FDC38A7" w14:textId="75DC2DEA" w:rsidR="00B265B4" w:rsidRPr="00280A98" w:rsidRDefault="00B265B4" w:rsidP="00280A98">
      <w:pPr>
        <w:pStyle w:val="ListParagraph"/>
        <w:numPr>
          <w:ilvl w:val="0"/>
          <w:numId w:val="11"/>
        </w:numPr>
        <w:spacing w:after="0" w:line="480" w:lineRule="auto"/>
        <w:rPr>
          <w:rFonts w:ascii="Arial" w:hAnsi="Arial" w:cs="Arial"/>
        </w:rPr>
      </w:pPr>
      <w:r w:rsidRPr="00280A98">
        <w:rPr>
          <w:rFonts w:ascii="Arial" w:hAnsi="Arial" w:cs="Arial"/>
        </w:rPr>
        <w:t>Eye</w:t>
      </w:r>
      <w:r w:rsidR="00CB3F61">
        <w:rPr>
          <w:rFonts w:ascii="Arial" w:hAnsi="Arial" w:cs="Arial"/>
        </w:rPr>
        <w:t>, ear and facial damage</w:t>
      </w:r>
      <w:r w:rsidRPr="00280A98">
        <w:rPr>
          <w:rFonts w:ascii="Arial" w:hAnsi="Arial" w:cs="Arial"/>
        </w:rPr>
        <w:t xml:space="preserve"> – these are the second most common group of birth defects and include missing or damaged ears, narrow ear canals, small or damaged eyes, restricted eye movement and facial palsy</w:t>
      </w:r>
    </w:p>
    <w:p w14:paraId="2F0FFFEE" w14:textId="39A1B68B" w:rsidR="00B265B4" w:rsidRPr="00280A98" w:rsidRDefault="00B265B4" w:rsidP="00280A98">
      <w:pPr>
        <w:pStyle w:val="ListParagraph"/>
        <w:numPr>
          <w:ilvl w:val="0"/>
          <w:numId w:val="11"/>
        </w:numPr>
        <w:spacing w:after="0" w:line="480" w:lineRule="auto"/>
        <w:rPr>
          <w:rFonts w:ascii="Arial" w:hAnsi="Arial" w:cs="Arial"/>
        </w:rPr>
      </w:pPr>
      <w:r w:rsidRPr="00280A98">
        <w:rPr>
          <w:rFonts w:ascii="Arial" w:hAnsi="Arial" w:cs="Arial"/>
        </w:rPr>
        <w:t xml:space="preserve">Malformation of internal organs – such as damage to the heart, urinary and alimentary tracts, and reproductive organs </w:t>
      </w:r>
      <w:r w:rsidR="00B01055" w:rsidRPr="00280A98">
        <w:rPr>
          <w:rFonts w:ascii="Arial" w:hAnsi="Arial" w:cs="Arial"/>
        </w:rPr>
        <w:t>[3]</w:t>
      </w:r>
      <w:r w:rsidR="00F55FB8" w:rsidRPr="00280A98">
        <w:rPr>
          <w:rFonts w:ascii="Arial" w:hAnsi="Arial" w:cs="Arial"/>
        </w:rPr>
        <w:t xml:space="preserve">. </w:t>
      </w:r>
    </w:p>
    <w:p w14:paraId="070DCEF4" w14:textId="7B36B56A" w:rsidR="00DB122B" w:rsidRDefault="00E44928" w:rsidP="00305DAE">
      <w:pPr>
        <w:spacing w:after="0" w:line="480" w:lineRule="auto"/>
        <w:rPr>
          <w:rFonts w:ascii="Arial" w:hAnsi="Arial" w:cs="Arial"/>
        </w:rPr>
      </w:pPr>
      <w:r>
        <w:rPr>
          <w:rFonts w:ascii="Arial" w:hAnsi="Arial" w:cs="Arial"/>
        </w:rPr>
        <w:lastRenderedPageBreak/>
        <w:t>Together, these birth defects are referred to as Thalidomide Embryopathy or Thalidomide Syndrome.</w:t>
      </w:r>
    </w:p>
    <w:p w14:paraId="37C92B20" w14:textId="77777777" w:rsidR="00316752" w:rsidRPr="00316752" w:rsidRDefault="00316752" w:rsidP="00305DAE">
      <w:pPr>
        <w:spacing w:after="0" w:line="480" w:lineRule="auto"/>
        <w:rPr>
          <w:rFonts w:ascii="Arial" w:hAnsi="Arial" w:cs="Arial"/>
        </w:rPr>
      </w:pPr>
    </w:p>
    <w:p w14:paraId="3B884537" w14:textId="74BE4083" w:rsidR="000C5DBB" w:rsidRDefault="00F55FB8" w:rsidP="00305DAE">
      <w:pPr>
        <w:spacing w:after="0" w:line="480" w:lineRule="auto"/>
        <w:rPr>
          <w:rFonts w:ascii="Arial" w:hAnsi="Arial" w:cs="Arial"/>
        </w:rPr>
      </w:pPr>
      <w:r w:rsidRPr="00316752">
        <w:rPr>
          <w:rFonts w:ascii="Arial" w:hAnsi="Arial" w:cs="Arial"/>
        </w:rPr>
        <w:t>Th</w:t>
      </w:r>
      <w:r w:rsidR="00DB122B" w:rsidRPr="00316752">
        <w:rPr>
          <w:rFonts w:ascii="Arial" w:hAnsi="Arial" w:cs="Arial"/>
        </w:rPr>
        <w:t xml:space="preserve">alidomide </w:t>
      </w:r>
      <w:r w:rsidR="00303D4F">
        <w:rPr>
          <w:rFonts w:ascii="Arial" w:hAnsi="Arial" w:cs="Arial"/>
        </w:rPr>
        <w:t>constituted a m</w:t>
      </w:r>
      <w:r w:rsidR="00381CB9">
        <w:rPr>
          <w:rFonts w:ascii="Arial" w:hAnsi="Arial" w:cs="Arial"/>
        </w:rPr>
        <w:t>a</w:t>
      </w:r>
      <w:r w:rsidR="00303D4F">
        <w:rPr>
          <w:rFonts w:ascii="Arial" w:hAnsi="Arial" w:cs="Arial"/>
        </w:rPr>
        <w:t>jor medical safely scandal and</w:t>
      </w:r>
      <w:r w:rsidR="005D6476">
        <w:rPr>
          <w:rFonts w:ascii="Arial" w:hAnsi="Arial" w:cs="Arial"/>
        </w:rPr>
        <w:t xml:space="preserve"> has, in Sarah Ferber’s </w:t>
      </w:r>
      <w:r w:rsidR="00B01055">
        <w:rPr>
          <w:rFonts w:ascii="Arial" w:hAnsi="Arial" w:cs="Arial"/>
        </w:rPr>
        <w:t>[4]</w:t>
      </w:r>
      <w:r w:rsidR="005D6476">
        <w:rPr>
          <w:rFonts w:ascii="Arial" w:hAnsi="Arial" w:cs="Arial"/>
        </w:rPr>
        <w:t xml:space="preserve"> words become </w:t>
      </w:r>
      <w:r w:rsidR="005D6476" w:rsidRPr="005D6476">
        <w:rPr>
          <w:rFonts w:ascii="Arial" w:hAnsi="Arial" w:cs="Arial"/>
          <w:i/>
        </w:rPr>
        <w:t>“emblematic of the advance then shocked reversal of the optimism of the ‘pharmaceutical revolution’ of the mid twentieth century”</w:t>
      </w:r>
      <w:r w:rsidR="005D6476">
        <w:rPr>
          <w:rFonts w:ascii="Arial" w:hAnsi="Arial" w:cs="Arial"/>
        </w:rPr>
        <w:t xml:space="preserve"> (p133)</w:t>
      </w:r>
      <w:r w:rsidR="00A55313" w:rsidRPr="00316752">
        <w:rPr>
          <w:rFonts w:ascii="Arial" w:hAnsi="Arial" w:cs="Arial"/>
        </w:rPr>
        <w:t>.  I</w:t>
      </w:r>
      <w:r w:rsidR="000365A0">
        <w:rPr>
          <w:rFonts w:ascii="Arial" w:hAnsi="Arial" w:cs="Arial"/>
        </w:rPr>
        <w:t>n the UK i</w:t>
      </w:r>
      <w:r w:rsidR="00A55313" w:rsidRPr="00316752">
        <w:rPr>
          <w:rFonts w:ascii="Arial" w:hAnsi="Arial" w:cs="Arial"/>
        </w:rPr>
        <w:t>t prompted e</w:t>
      </w:r>
      <w:r w:rsidR="0000287A" w:rsidRPr="00316752">
        <w:rPr>
          <w:rFonts w:ascii="Arial" w:hAnsi="Arial" w:cs="Arial"/>
        </w:rPr>
        <w:t xml:space="preserve">xtended public </w:t>
      </w:r>
      <w:r w:rsidR="00BD7876" w:rsidRPr="00316752">
        <w:rPr>
          <w:rFonts w:ascii="Arial" w:hAnsi="Arial" w:cs="Arial"/>
        </w:rPr>
        <w:t>campaigns by</w:t>
      </w:r>
      <w:r w:rsidRPr="00316752">
        <w:rPr>
          <w:rFonts w:ascii="Arial" w:hAnsi="Arial" w:cs="Arial"/>
        </w:rPr>
        <w:t xml:space="preserve"> the Sunday Times</w:t>
      </w:r>
      <w:r w:rsidR="0000287A" w:rsidRPr="00316752">
        <w:rPr>
          <w:rFonts w:ascii="Arial" w:hAnsi="Arial" w:cs="Arial"/>
        </w:rPr>
        <w:t xml:space="preserve"> newspaper</w:t>
      </w:r>
      <w:r w:rsidRPr="00316752">
        <w:rPr>
          <w:rFonts w:ascii="Arial" w:hAnsi="Arial" w:cs="Arial"/>
        </w:rPr>
        <w:t xml:space="preserve"> and the parents of</w:t>
      </w:r>
      <w:r w:rsidR="00DB122B" w:rsidRPr="00316752">
        <w:rPr>
          <w:rFonts w:ascii="Arial" w:hAnsi="Arial" w:cs="Arial"/>
        </w:rPr>
        <w:t xml:space="preserve"> UK</w:t>
      </w:r>
      <w:r w:rsidRPr="00316752">
        <w:rPr>
          <w:rFonts w:ascii="Arial" w:hAnsi="Arial" w:cs="Arial"/>
        </w:rPr>
        <w:t xml:space="preserve"> </w:t>
      </w:r>
      <w:r w:rsidR="00BD7876" w:rsidRPr="00316752">
        <w:rPr>
          <w:rFonts w:ascii="Arial" w:hAnsi="Arial" w:cs="Arial"/>
        </w:rPr>
        <w:t>Thalidomide</w:t>
      </w:r>
      <w:r w:rsidR="00745CBD" w:rsidRPr="00316752">
        <w:rPr>
          <w:rFonts w:ascii="Arial" w:hAnsi="Arial" w:cs="Arial"/>
        </w:rPr>
        <w:t>-</w:t>
      </w:r>
      <w:r w:rsidR="00BD7876" w:rsidRPr="00316752">
        <w:rPr>
          <w:rFonts w:ascii="Arial" w:hAnsi="Arial" w:cs="Arial"/>
        </w:rPr>
        <w:t>damaged children</w:t>
      </w:r>
      <w:r w:rsidR="0000287A" w:rsidRPr="00316752">
        <w:rPr>
          <w:rFonts w:ascii="Arial" w:hAnsi="Arial" w:cs="Arial"/>
        </w:rPr>
        <w:t xml:space="preserve"> for</w:t>
      </w:r>
      <w:r w:rsidR="0059009B">
        <w:rPr>
          <w:rFonts w:ascii="Arial" w:hAnsi="Arial" w:cs="Arial"/>
        </w:rPr>
        <w:t xml:space="preserve"> recognition and</w:t>
      </w:r>
      <w:r w:rsidR="0000287A" w:rsidRPr="00316752">
        <w:rPr>
          <w:rFonts w:ascii="Arial" w:hAnsi="Arial" w:cs="Arial"/>
        </w:rPr>
        <w:t xml:space="preserve"> compensation.  </w:t>
      </w:r>
      <w:r w:rsidR="00DB122B" w:rsidRPr="00316752">
        <w:rPr>
          <w:rFonts w:ascii="Arial" w:hAnsi="Arial" w:cs="Arial"/>
        </w:rPr>
        <w:t xml:space="preserve">It </w:t>
      </w:r>
      <w:r w:rsidR="0000287A" w:rsidRPr="00316752">
        <w:rPr>
          <w:rFonts w:ascii="Arial" w:hAnsi="Arial" w:cs="Arial"/>
        </w:rPr>
        <w:t xml:space="preserve">led to </w:t>
      </w:r>
      <w:r w:rsidR="00DD2DBD">
        <w:rPr>
          <w:rFonts w:ascii="Arial" w:hAnsi="Arial" w:cs="Arial"/>
        </w:rPr>
        <w:t>global changes in the way in which drugs are tested and regulat</w:t>
      </w:r>
      <w:r w:rsidR="00970313">
        <w:rPr>
          <w:rFonts w:ascii="Arial" w:hAnsi="Arial" w:cs="Arial"/>
        </w:rPr>
        <w:t xml:space="preserve">ed </w:t>
      </w:r>
      <w:r w:rsidR="00B01055">
        <w:rPr>
          <w:rFonts w:ascii="Arial" w:hAnsi="Arial" w:cs="Arial"/>
        </w:rPr>
        <w:t>[5]</w:t>
      </w:r>
      <w:r w:rsidR="00970313">
        <w:rPr>
          <w:rFonts w:ascii="Arial" w:hAnsi="Arial" w:cs="Arial"/>
        </w:rPr>
        <w:t xml:space="preserve">, and in the UK to: </w:t>
      </w:r>
      <w:r w:rsidR="0000287A" w:rsidRPr="00316752">
        <w:rPr>
          <w:rFonts w:ascii="Arial" w:hAnsi="Arial" w:cs="Arial"/>
        </w:rPr>
        <w:t>t</w:t>
      </w:r>
      <w:r w:rsidR="00BD7876" w:rsidRPr="00316752">
        <w:rPr>
          <w:rFonts w:ascii="Arial" w:hAnsi="Arial" w:cs="Arial"/>
        </w:rPr>
        <w:t>he establishment of a Royal Commission on Civil Liabili</w:t>
      </w:r>
      <w:r w:rsidR="0000287A" w:rsidRPr="00316752">
        <w:rPr>
          <w:rFonts w:ascii="Arial" w:hAnsi="Arial" w:cs="Arial"/>
        </w:rPr>
        <w:t>t</w:t>
      </w:r>
      <w:r w:rsidR="00BD7876" w:rsidRPr="00316752">
        <w:rPr>
          <w:rFonts w:ascii="Arial" w:hAnsi="Arial" w:cs="Arial"/>
        </w:rPr>
        <w:t xml:space="preserve">y and Compensation for Personal Injury; changes </w:t>
      </w:r>
      <w:r w:rsidR="00A55313" w:rsidRPr="00316752">
        <w:rPr>
          <w:rFonts w:ascii="Arial" w:hAnsi="Arial" w:cs="Arial"/>
        </w:rPr>
        <w:t xml:space="preserve">to </w:t>
      </w:r>
      <w:r w:rsidR="007119FD" w:rsidRPr="00316752">
        <w:rPr>
          <w:rFonts w:ascii="Arial" w:hAnsi="Arial" w:cs="Arial"/>
        </w:rPr>
        <w:t xml:space="preserve">definitions of contempt in </w:t>
      </w:r>
      <w:r w:rsidR="00BD7876" w:rsidRPr="00316752">
        <w:rPr>
          <w:rFonts w:ascii="Arial" w:hAnsi="Arial" w:cs="Arial"/>
        </w:rPr>
        <w:t xml:space="preserve">civil </w:t>
      </w:r>
      <w:r w:rsidR="007119FD" w:rsidRPr="00316752">
        <w:rPr>
          <w:rFonts w:ascii="Arial" w:hAnsi="Arial" w:cs="Arial"/>
        </w:rPr>
        <w:t>law cas</w:t>
      </w:r>
      <w:r w:rsidR="00BD7876" w:rsidRPr="00316752">
        <w:rPr>
          <w:rFonts w:ascii="Arial" w:hAnsi="Arial" w:cs="Arial"/>
        </w:rPr>
        <w:t xml:space="preserve">es; </w:t>
      </w:r>
      <w:r w:rsidR="00987DDD">
        <w:rPr>
          <w:rFonts w:ascii="Arial" w:hAnsi="Arial" w:cs="Arial"/>
        </w:rPr>
        <w:t xml:space="preserve">and </w:t>
      </w:r>
      <w:r w:rsidR="00BD7876" w:rsidRPr="00316752">
        <w:rPr>
          <w:rFonts w:ascii="Arial" w:hAnsi="Arial" w:cs="Arial"/>
        </w:rPr>
        <w:t>a Law Commission report and legislation on civil liability in ante-natal injury</w:t>
      </w:r>
      <w:r w:rsidR="00987DDD">
        <w:rPr>
          <w:rFonts w:ascii="Arial" w:hAnsi="Arial" w:cs="Arial"/>
        </w:rPr>
        <w:t>.</w:t>
      </w:r>
    </w:p>
    <w:p w14:paraId="75D4199B" w14:textId="77777777" w:rsidR="00C37B27" w:rsidRPr="00316752" w:rsidRDefault="00C37B27" w:rsidP="00305DAE">
      <w:pPr>
        <w:spacing w:after="0" w:line="480" w:lineRule="auto"/>
        <w:rPr>
          <w:rFonts w:ascii="Arial" w:hAnsi="Arial" w:cs="Arial"/>
        </w:rPr>
      </w:pPr>
    </w:p>
    <w:p w14:paraId="64E74C36" w14:textId="08892E2D" w:rsidR="00C37B27" w:rsidRPr="00316752" w:rsidRDefault="00C37B27" w:rsidP="00305DAE">
      <w:pPr>
        <w:spacing w:after="0" w:line="480" w:lineRule="auto"/>
        <w:rPr>
          <w:rFonts w:ascii="Arial" w:hAnsi="Arial" w:cs="Arial"/>
        </w:rPr>
      </w:pPr>
      <w:r w:rsidRPr="00316752">
        <w:rPr>
          <w:rFonts w:ascii="Arial" w:hAnsi="Arial" w:cs="Arial"/>
        </w:rPr>
        <w:t xml:space="preserve">A charitable </w:t>
      </w:r>
      <w:r>
        <w:rPr>
          <w:rFonts w:ascii="Arial" w:hAnsi="Arial" w:cs="Arial"/>
        </w:rPr>
        <w:t>t</w:t>
      </w:r>
      <w:r w:rsidRPr="00316752">
        <w:rPr>
          <w:rFonts w:ascii="Arial" w:hAnsi="Arial" w:cs="Arial"/>
        </w:rPr>
        <w:t xml:space="preserve">rust </w:t>
      </w:r>
      <w:r>
        <w:rPr>
          <w:rFonts w:ascii="Arial" w:hAnsi="Arial" w:cs="Arial"/>
        </w:rPr>
        <w:t xml:space="preserve">- the Thalidomide Children’s Trust (now the Thalidomide Trust – see </w:t>
      </w:r>
      <w:hyperlink r:id="rId8" w:history="1">
        <w:r w:rsidRPr="0063523C">
          <w:rPr>
            <w:rStyle w:val="Hyperlink"/>
            <w:rFonts w:ascii="Arial" w:hAnsi="Arial" w:cs="Arial"/>
          </w:rPr>
          <w:t>www.thalidomidetrust.org</w:t>
        </w:r>
      </w:hyperlink>
      <w:r>
        <w:rPr>
          <w:rFonts w:ascii="Arial" w:hAnsi="Arial" w:cs="Arial"/>
        </w:rPr>
        <w:t xml:space="preserve">), </w:t>
      </w:r>
      <w:r w:rsidRPr="00316752">
        <w:rPr>
          <w:rFonts w:ascii="Arial" w:hAnsi="Arial" w:cs="Arial"/>
        </w:rPr>
        <w:t xml:space="preserve">was established to oversee compensation payments from Distillers to </w:t>
      </w:r>
      <w:r>
        <w:rPr>
          <w:rFonts w:ascii="Arial" w:hAnsi="Arial" w:cs="Arial"/>
        </w:rPr>
        <w:t>the families</w:t>
      </w:r>
      <w:r w:rsidRPr="00316752">
        <w:rPr>
          <w:rFonts w:ascii="Arial" w:hAnsi="Arial" w:cs="Arial"/>
        </w:rPr>
        <w:t xml:space="preserve"> </w:t>
      </w:r>
      <w:r>
        <w:rPr>
          <w:rFonts w:ascii="Arial" w:hAnsi="Arial" w:cs="Arial"/>
        </w:rPr>
        <w:t xml:space="preserve">affected by </w:t>
      </w:r>
      <w:r w:rsidRPr="00316752">
        <w:rPr>
          <w:rFonts w:ascii="Arial" w:hAnsi="Arial" w:cs="Arial"/>
        </w:rPr>
        <w:t>Thalidomide in the UK.  Individual payments were determined th</w:t>
      </w:r>
      <w:r w:rsidR="00987DDD">
        <w:rPr>
          <w:rFonts w:ascii="Arial" w:hAnsi="Arial" w:cs="Arial"/>
        </w:rPr>
        <w:t>r</w:t>
      </w:r>
      <w:r w:rsidRPr="00316752">
        <w:rPr>
          <w:rFonts w:ascii="Arial" w:hAnsi="Arial" w:cs="Arial"/>
        </w:rPr>
        <w:t>ough assessments of level of impairment</w:t>
      </w:r>
      <w:r>
        <w:rPr>
          <w:rFonts w:ascii="Arial" w:hAnsi="Arial" w:cs="Arial"/>
        </w:rPr>
        <w:t xml:space="preserve">, with points being given for different types and severity (totalling from 3.5 to 75 points). </w:t>
      </w:r>
      <w:r w:rsidRPr="00316752">
        <w:rPr>
          <w:rFonts w:ascii="Arial" w:hAnsi="Arial" w:cs="Arial"/>
        </w:rPr>
        <w:t xml:space="preserve">The Thalidomide Trust continues to distribute annual payments from the global company Diageo (successor to Distillers) to </w:t>
      </w:r>
      <w:r>
        <w:rPr>
          <w:rFonts w:ascii="Arial" w:hAnsi="Arial" w:cs="Arial"/>
        </w:rPr>
        <w:t xml:space="preserve">all </w:t>
      </w:r>
      <w:r w:rsidRPr="00316752">
        <w:rPr>
          <w:rFonts w:ascii="Arial" w:hAnsi="Arial" w:cs="Arial"/>
        </w:rPr>
        <w:t>UK</w:t>
      </w:r>
      <w:r>
        <w:rPr>
          <w:rFonts w:ascii="Arial" w:hAnsi="Arial" w:cs="Arial"/>
        </w:rPr>
        <w:t xml:space="preserve"> born Thalidomide survivors. </w:t>
      </w:r>
      <w:r w:rsidRPr="00316752">
        <w:rPr>
          <w:rFonts w:ascii="Arial" w:hAnsi="Arial" w:cs="Arial"/>
        </w:rPr>
        <w:t xml:space="preserve">An elected beneficiary National Advisory Council (NAC) advises the Trust.  Subsequent campaigns by Thalidomide survivors themselves </w:t>
      </w:r>
      <w:r>
        <w:rPr>
          <w:rFonts w:ascii="Arial" w:hAnsi="Arial" w:cs="Arial"/>
        </w:rPr>
        <w:t xml:space="preserve">have </w:t>
      </w:r>
      <w:r w:rsidRPr="00316752">
        <w:rPr>
          <w:rFonts w:ascii="Arial" w:hAnsi="Arial" w:cs="Arial"/>
        </w:rPr>
        <w:t>focused on the UK Government</w:t>
      </w:r>
      <w:r>
        <w:rPr>
          <w:rFonts w:ascii="Arial" w:hAnsi="Arial" w:cs="Arial"/>
        </w:rPr>
        <w:t>’s ill-judged licensing of the drug, which had not been adequately tested</w:t>
      </w:r>
      <w:r w:rsidRPr="00316752">
        <w:rPr>
          <w:rFonts w:ascii="Arial" w:hAnsi="Arial" w:cs="Arial"/>
        </w:rPr>
        <w:t xml:space="preserve">.  In </w:t>
      </w:r>
      <w:r>
        <w:rPr>
          <w:rFonts w:ascii="Arial" w:hAnsi="Arial" w:cs="Arial"/>
        </w:rPr>
        <w:t xml:space="preserve">response, in </w:t>
      </w:r>
      <w:r w:rsidRPr="00316752">
        <w:rPr>
          <w:rFonts w:ascii="Arial" w:hAnsi="Arial" w:cs="Arial"/>
        </w:rPr>
        <w:t xml:space="preserve">2010 the Departments of Health (DH) in England, Scotland, Wales and Northern Ireland began paying an annual </w:t>
      </w:r>
      <w:r>
        <w:rPr>
          <w:rFonts w:ascii="Arial" w:hAnsi="Arial" w:cs="Arial"/>
        </w:rPr>
        <w:t>Health G</w:t>
      </w:r>
      <w:r w:rsidRPr="00316752">
        <w:rPr>
          <w:rFonts w:ascii="Arial" w:hAnsi="Arial" w:cs="Arial"/>
        </w:rPr>
        <w:t>rant</w:t>
      </w:r>
      <w:r>
        <w:rPr>
          <w:rFonts w:ascii="Arial" w:hAnsi="Arial" w:cs="Arial"/>
        </w:rPr>
        <w:t xml:space="preserve"> to Thalidomide survivors, in recognition of</w:t>
      </w:r>
      <w:r w:rsidRPr="00316752">
        <w:rPr>
          <w:rFonts w:ascii="Arial" w:hAnsi="Arial" w:cs="Arial"/>
        </w:rPr>
        <w:t xml:space="preserve"> the</w:t>
      </w:r>
      <w:r>
        <w:rPr>
          <w:rFonts w:ascii="Arial" w:hAnsi="Arial" w:cs="Arial"/>
        </w:rPr>
        <w:t>ir</w:t>
      </w:r>
      <w:r w:rsidRPr="00316752">
        <w:rPr>
          <w:rFonts w:ascii="Arial" w:hAnsi="Arial" w:cs="Arial"/>
        </w:rPr>
        <w:t xml:space="preserve"> growing health and health-related needs</w:t>
      </w:r>
      <w:r>
        <w:rPr>
          <w:rFonts w:ascii="Arial" w:hAnsi="Arial" w:cs="Arial"/>
        </w:rPr>
        <w:t xml:space="preserve">. </w:t>
      </w:r>
      <w:r w:rsidRPr="00316752">
        <w:rPr>
          <w:rFonts w:ascii="Arial" w:hAnsi="Arial" w:cs="Arial"/>
        </w:rPr>
        <w:t>The DH grant</w:t>
      </w:r>
      <w:r>
        <w:rPr>
          <w:rFonts w:ascii="Arial" w:hAnsi="Arial" w:cs="Arial"/>
        </w:rPr>
        <w:t xml:space="preserve">s, which have been agreed until April 2022, </w:t>
      </w:r>
      <w:r w:rsidRPr="00316752">
        <w:rPr>
          <w:rFonts w:ascii="Arial" w:hAnsi="Arial" w:cs="Arial"/>
        </w:rPr>
        <w:t>are also administere</w:t>
      </w:r>
      <w:r w:rsidR="00EF7B87">
        <w:rPr>
          <w:rFonts w:ascii="Arial" w:hAnsi="Arial" w:cs="Arial"/>
        </w:rPr>
        <w:t xml:space="preserve">d by the Thalidomide Trust and </w:t>
      </w:r>
      <w:r w:rsidRPr="00316752">
        <w:rPr>
          <w:rFonts w:ascii="Arial" w:hAnsi="Arial" w:cs="Arial"/>
        </w:rPr>
        <w:t xml:space="preserve">distributed annually in line with the severity of initial impairment. </w:t>
      </w:r>
    </w:p>
    <w:p w14:paraId="1863AC08" w14:textId="77777777" w:rsidR="00316752" w:rsidRDefault="00316752" w:rsidP="00305DAE">
      <w:pPr>
        <w:spacing w:after="0" w:line="480" w:lineRule="auto"/>
        <w:rPr>
          <w:rFonts w:ascii="Arial" w:hAnsi="Arial" w:cs="Arial"/>
        </w:rPr>
      </w:pPr>
    </w:p>
    <w:p w14:paraId="42CB5E69" w14:textId="3BB36856" w:rsidR="00ED44EC" w:rsidRPr="00316752" w:rsidRDefault="00745CBD" w:rsidP="00305DAE">
      <w:pPr>
        <w:spacing w:after="0" w:line="480" w:lineRule="auto"/>
        <w:rPr>
          <w:rFonts w:ascii="Arial" w:hAnsi="Arial" w:cs="Arial"/>
        </w:rPr>
      </w:pPr>
      <w:r w:rsidRPr="00316752">
        <w:rPr>
          <w:rFonts w:ascii="Arial" w:hAnsi="Arial" w:cs="Arial"/>
        </w:rPr>
        <w:lastRenderedPageBreak/>
        <w:t xml:space="preserve">Compared to </w:t>
      </w:r>
      <w:r w:rsidR="00DE4590" w:rsidRPr="00316752">
        <w:rPr>
          <w:rFonts w:ascii="Arial" w:hAnsi="Arial" w:cs="Arial"/>
        </w:rPr>
        <w:t>Thalidomide survivors</w:t>
      </w:r>
      <w:r w:rsidRPr="00316752">
        <w:rPr>
          <w:rFonts w:ascii="Arial" w:hAnsi="Arial" w:cs="Arial"/>
        </w:rPr>
        <w:t xml:space="preserve"> worldwide, </w:t>
      </w:r>
      <w:r w:rsidR="009F4F5B" w:rsidRPr="00316752">
        <w:rPr>
          <w:rFonts w:ascii="Arial" w:hAnsi="Arial" w:cs="Arial"/>
        </w:rPr>
        <w:t xml:space="preserve">UK survivors </w:t>
      </w:r>
      <w:r w:rsidR="00DE4590" w:rsidRPr="00316752">
        <w:rPr>
          <w:rFonts w:ascii="Arial" w:hAnsi="Arial" w:cs="Arial"/>
        </w:rPr>
        <w:t>are relatively unusual in that their families</w:t>
      </w:r>
      <w:r w:rsidR="00A26429">
        <w:rPr>
          <w:rFonts w:ascii="Arial" w:hAnsi="Arial" w:cs="Arial"/>
        </w:rPr>
        <w:t>,</w:t>
      </w:r>
      <w:r w:rsidR="00DE4590" w:rsidRPr="00316752">
        <w:rPr>
          <w:rFonts w:ascii="Arial" w:hAnsi="Arial" w:cs="Arial"/>
        </w:rPr>
        <w:t xml:space="preserve"> (and now they themselves) have received</w:t>
      </w:r>
      <w:r w:rsidR="00CA0ACF" w:rsidRPr="00316752">
        <w:rPr>
          <w:rFonts w:ascii="Arial" w:hAnsi="Arial" w:cs="Arial"/>
        </w:rPr>
        <w:t xml:space="preserve"> </w:t>
      </w:r>
      <w:r w:rsidR="00DE4590" w:rsidRPr="00316752">
        <w:rPr>
          <w:rFonts w:ascii="Arial" w:hAnsi="Arial" w:cs="Arial"/>
        </w:rPr>
        <w:t>compensation</w:t>
      </w:r>
      <w:r w:rsidRPr="00316752">
        <w:rPr>
          <w:rFonts w:ascii="Arial" w:hAnsi="Arial" w:cs="Arial"/>
        </w:rPr>
        <w:t xml:space="preserve"> payments</w:t>
      </w:r>
      <w:r w:rsidR="00DE4590" w:rsidRPr="00316752">
        <w:rPr>
          <w:rFonts w:ascii="Arial" w:hAnsi="Arial" w:cs="Arial"/>
        </w:rPr>
        <w:t xml:space="preserve"> fro</w:t>
      </w:r>
      <w:r w:rsidRPr="00316752">
        <w:rPr>
          <w:rFonts w:ascii="Arial" w:hAnsi="Arial" w:cs="Arial"/>
        </w:rPr>
        <w:t>m childhood.  The level of this</w:t>
      </w:r>
      <w:r w:rsidR="00DE4590" w:rsidRPr="00316752">
        <w:rPr>
          <w:rFonts w:ascii="Arial" w:hAnsi="Arial" w:cs="Arial"/>
        </w:rPr>
        <w:t xml:space="preserve"> </w:t>
      </w:r>
      <w:r w:rsidR="007119FD" w:rsidRPr="00316752">
        <w:rPr>
          <w:rFonts w:ascii="Arial" w:hAnsi="Arial" w:cs="Arial"/>
        </w:rPr>
        <w:t xml:space="preserve">compensation </w:t>
      </w:r>
      <w:r w:rsidR="00DE4590" w:rsidRPr="00316752">
        <w:rPr>
          <w:rFonts w:ascii="Arial" w:hAnsi="Arial" w:cs="Arial"/>
        </w:rPr>
        <w:t>has increased significantly</w:t>
      </w:r>
      <w:r w:rsidR="00A55313" w:rsidRPr="00316752">
        <w:rPr>
          <w:rFonts w:ascii="Arial" w:hAnsi="Arial" w:cs="Arial"/>
        </w:rPr>
        <w:t xml:space="preserve"> over the past decade, as a r</w:t>
      </w:r>
      <w:r w:rsidR="00DE4590" w:rsidRPr="00316752">
        <w:rPr>
          <w:rFonts w:ascii="Arial" w:hAnsi="Arial" w:cs="Arial"/>
        </w:rPr>
        <w:t>esult of both increased payments from Diageo and the DH Grant</w:t>
      </w:r>
      <w:r w:rsidR="00CA0ACF" w:rsidRPr="00316752">
        <w:rPr>
          <w:rFonts w:ascii="Arial" w:hAnsi="Arial" w:cs="Arial"/>
        </w:rPr>
        <w:t>s</w:t>
      </w:r>
      <w:r w:rsidR="00DE4590" w:rsidRPr="00316752">
        <w:rPr>
          <w:rFonts w:ascii="Arial" w:hAnsi="Arial" w:cs="Arial"/>
        </w:rPr>
        <w:t xml:space="preserve">. </w:t>
      </w:r>
      <w:r w:rsidR="0061793D">
        <w:rPr>
          <w:rFonts w:ascii="Arial" w:hAnsi="Arial" w:cs="Arial"/>
        </w:rPr>
        <w:t>T</w:t>
      </w:r>
      <w:r w:rsidR="003E1283">
        <w:rPr>
          <w:rFonts w:ascii="Arial" w:hAnsi="Arial" w:cs="Arial"/>
        </w:rPr>
        <w:t xml:space="preserve">his </w:t>
      </w:r>
      <w:r w:rsidR="0061793D">
        <w:rPr>
          <w:rFonts w:ascii="Arial" w:hAnsi="Arial" w:cs="Arial"/>
        </w:rPr>
        <w:t>should offer a degree of protection against the disabling consequences of impairments</w:t>
      </w:r>
      <w:r w:rsidR="00033307">
        <w:rPr>
          <w:rFonts w:ascii="Arial" w:hAnsi="Arial" w:cs="Arial"/>
        </w:rPr>
        <w:t xml:space="preserve"> [6]</w:t>
      </w:r>
      <w:r w:rsidR="0061793D">
        <w:rPr>
          <w:rFonts w:ascii="Arial" w:hAnsi="Arial" w:cs="Arial"/>
        </w:rPr>
        <w:t>.</w:t>
      </w:r>
      <w:r w:rsidR="00DE4590" w:rsidRPr="00316752">
        <w:rPr>
          <w:rFonts w:ascii="Arial" w:hAnsi="Arial" w:cs="Arial"/>
        </w:rPr>
        <w:t xml:space="preserve"> I</w:t>
      </w:r>
      <w:r w:rsidR="001259F2">
        <w:rPr>
          <w:rFonts w:ascii="Arial" w:hAnsi="Arial" w:cs="Arial"/>
        </w:rPr>
        <w:t xml:space="preserve">n </w:t>
      </w:r>
      <w:r w:rsidR="00673EB6">
        <w:rPr>
          <w:rFonts w:ascii="Arial" w:hAnsi="Arial" w:cs="Arial"/>
        </w:rPr>
        <w:t xml:space="preserve">other countries compensation arrangements have been much poorer. In Canada for example, when an out of court settlement </w:t>
      </w:r>
      <w:r w:rsidR="005F54D9">
        <w:rPr>
          <w:rFonts w:ascii="Arial" w:hAnsi="Arial" w:cs="Arial"/>
        </w:rPr>
        <w:t xml:space="preserve">was </w:t>
      </w:r>
      <w:r w:rsidR="00673EB6">
        <w:rPr>
          <w:rFonts w:ascii="Arial" w:hAnsi="Arial" w:cs="Arial"/>
        </w:rPr>
        <w:t>reached between Richardson Merrell and 26 families, the company imposed a strict secrecy clause, which resulted in wide disparities in compensation amounts for individuals with similar levels of impairment</w:t>
      </w:r>
      <w:r w:rsidR="00303D4F">
        <w:rPr>
          <w:rFonts w:ascii="Arial" w:hAnsi="Arial" w:cs="Arial"/>
        </w:rPr>
        <w:t xml:space="preserve"> </w:t>
      </w:r>
      <w:r w:rsidR="00B01055">
        <w:rPr>
          <w:rFonts w:ascii="Arial" w:hAnsi="Arial" w:cs="Arial"/>
        </w:rPr>
        <w:t xml:space="preserve">[5]. </w:t>
      </w:r>
      <w:r w:rsidR="00673EB6">
        <w:rPr>
          <w:rFonts w:ascii="Arial" w:hAnsi="Arial" w:cs="Arial"/>
        </w:rPr>
        <w:t>In Spain Thalidomide survivors have never received</w:t>
      </w:r>
      <w:r w:rsidR="00611064">
        <w:rPr>
          <w:rFonts w:ascii="Arial" w:hAnsi="Arial" w:cs="Arial"/>
        </w:rPr>
        <w:t xml:space="preserve"> any compensation from the company </w:t>
      </w:r>
      <w:r w:rsidR="008664DE">
        <w:rPr>
          <w:rFonts w:ascii="Arial" w:hAnsi="Arial" w:cs="Arial"/>
        </w:rPr>
        <w:t>that</w:t>
      </w:r>
      <w:r w:rsidR="00611064">
        <w:rPr>
          <w:rFonts w:ascii="Arial" w:hAnsi="Arial" w:cs="Arial"/>
        </w:rPr>
        <w:t xml:space="preserve"> made the drug. However, in 2011, after a long campaign by Avite (the Spanish Thalidomide group), the Spanish government did make a small payme</w:t>
      </w:r>
      <w:r w:rsidR="005F54D9">
        <w:rPr>
          <w:rFonts w:ascii="Arial" w:hAnsi="Arial" w:cs="Arial"/>
        </w:rPr>
        <w:t>nt to 23 Thalidomide survivors</w:t>
      </w:r>
      <w:r w:rsidR="00E010C7">
        <w:rPr>
          <w:rFonts w:ascii="Arial" w:hAnsi="Arial" w:cs="Arial"/>
        </w:rPr>
        <w:t>;</w:t>
      </w:r>
      <w:r w:rsidR="005F54D9">
        <w:rPr>
          <w:rFonts w:ascii="Arial" w:hAnsi="Arial" w:cs="Arial"/>
        </w:rPr>
        <w:t xml:space="preserve"> </w:t>
      </w:r>
      <w:r w:rsidR="00611064">
        <w:rPr>
          <w:rFonts w:ascii="Arial" w:hAnsi="Arial" w:cs="Arial"/>
        </w:rPr>
        <w:t>a fraction of the number beli</w:t>
      </w:r>
      <w:r w:rsidR="005F54D9">
        <w:rPr>
          <w:rFonts w:ascii="Arial" w:hAnsi="Arial" w:cs="Arial"/>
        </w:rPr>
        <w:t>eved to have been born in Spain</w:t>
      </w:r>
      <w:r w:rsidR="00C630D0">
        <w:rPr>
          <w:rFonts w:ascii="Arial" w:hAnsi="Arial" w:cs="Arial"/>
        </w:rPr>
        <w:t xml:space="preserve"> </w:t>
      </w:r>
      <w:r w:rsidR="00B01055">
        <w:rPr>
          <w:rFonts w:ascii="Arial" w:hAnsi="Arial" w:cs="Arial"/>
        </w:rPr>
        <w:t>[7]</w:t>
      </w:r>
      <w:r w:rsidR="00611064">
        <w:rPr>
          <w:rFonts w:ascii="Arial" w:hAnsi="Arial" w:cs="Arial"/>
        </w:rPr>
        <w:t xml:space="preserve">. </w:t>
      </w:r>
    </w:p>
    <w:p w14:paraId="0EF1C222" w14:textId="77777777" w:rsidR="00730442" w:rsidRDefault="00730442" w:rsidP="00305DAE">
      <w:pPr>
        <w:spacing w:after="0" w:line="480" w:lineRule="auto"/>
        <w:rPr>
          <w:rFonts w:ascii="Arial" w:hAnsi="Arial" w:cs="Arial"/>
          <w:b/>
        </w:rPr>
      </w:pPr>
    </w:p>
    <w:p w14:paraId="6BB1399D" w14:textId="2904D27C" w:rsidR="000B6BEC" w:rsidRPr="00DB1D90" w:rsidRDefault="000B6BEC" w:rsidP="00305DAE">
      <w:pPr>
        <w:spacing w:after="0" w:line="480" w:lineRule="auto"/>
        <w:rPr>
          <w:rFonts w:ascii="Arial" w:hAnsi="Arial" w:cs="Arial"/>
          <w:b/>
          <w:sz w:val="32"/>
          <w:szCs w:val="32"/>
        </w:rPr>
      </w:pPr>
      <w:r w:rsidRPr="00DB1D90">
        <w:rPr>
          <w:rFonts w:ascii="Arial" w:hAnsi="Arial" w:cs="Arial"/>
          <w:b/>
          <w:sz w:val="32"/>
          <w:szCs w:val="32"/>
        </w:rPr>
        <w:t>Ageing wi</w:t>
      </w:r>
      <w:r w:rsidR="00E44D47">
        <w:rPr>
          <w:rFonts w:ascii="Arial" w:hAnsi="Arial" w:cs="Arial"/>
          <w:b/>
          <w:sz w:val="32"/>
          <w:szCs w:val="32"/>
        </w:rPr>
        <w:t>th Thalidomide Embryopathy and ageing with d</w:t>
      </w:r>
      <w:r w:rsidRPr="00DB1D90">
        <w:rPr>
          <w:rFonts w:ascii="Arial" w:hAnsi="Arial" w:cs="Arial"/>
          <w:b/>
          <w:sz w:val="32"/>
          <w:szCs w:val="32"/>
        </w:rPr>
        <w:t>isability</w:t>
      </w:r>
    </w:p>
    <w:p w14:paraId="08FC1CC5" w14:textId="289E62C7" w:rsidR="00C32932" w:rsidRDefault="00C32932" w:rsidP="00305DAE">
      <w:pPr>
        <w:spacing w:after="0" w:line="480" w:lineRule="auto"/>
        <w:rPr>
          <w:rFonts w:ascii="Arial" w:hAnsi="Arial" w:cs="Arial"/>
        </w:rPr>
      </w:pPr>
      <w:r w:rsidRPr="00C32932">
        <w:rPr>
          <w:rFonts w:ascii="Arial" w:hAnsi="Arial" w:cs="Arial"/>
        </w:rPr>
        <w:t>The combination of impairments experienced by many Thalidomide survivors (particularly limb difference) is rare, and the historical, social and legal context of their experience is unique. However, because they are such an identifiable group who are ageing together, comparing the similarities and differences between their experiences of ageing with those of other groups with early onset disability may offer new insights</w:t>
      </w:r>
      <w:r w:rsidR="00750087">
        <w:rPr>
          <w:rFonts w:ascii="Arial" w:hAnsi="Arial" w:cs="Arial"/>
        </w:rPr>
        <w:t xml:space="preserve"> into disability and the life-course</w:t>
      </w:r>
      <w:r w:rsidR="001259F2">
        <w:rPr>
          <w:rFonts w:ascii="Arial" w:hAnsi="Arial" w:cs="Arial"/>
        </w:rPr>
        <w:t>.</w:t>
      </w:r>
    </w:p>
    <w:p w14:paraId="4AE87839" w14:textId="77777777" w:rsidR="00C32932" w:rsidRDefault="00C32932" w:rsidP="00305DAE">
      <w:pPr>
        <w:spacing w:after="0" w:line="480" w:lineRule="auto"/>
        <w:rPr>
          <w:rFonts w:ascii="Arial" w:hAnsi="Arial" w:cs="Arial"/>
        </w:rPr>
      </w:pPr>
    </w:p>
    <w:p w14:paraId="5359078F" w14:textId="678A86C4" w:rsidR="00316752" w:rsidRPr="00316752" w:rsidRDefault="00435666" w:rsidP="00305DAE">
      <w:pPr>
        <w:spacing w:after="0" w:line="480" w:lineRule="auto"/>
        <w:rPr>
          <w:rFonts w:ascii="Arial" w:hAnsi="Arial" w:cs="Arial"/>
        </w:rPr>
      </w:pPr>
      <w:r w:rsidRPr="00316752">
        <w:rPr>
          <w:rFonts w:ascii="Arial" w:hAnsi="Arial" w:cs="Arial"/>
        </w:rPr>
        <w:t>Evidence about the health of Thalidomide survivors as they age is limited</w:t>
      </w:r>
      <w:r w:rsidR="00F22D39">
        <w:rPr>
          <w:rFonts w:ascii="Arial" w:hAnsi="Arial" w:cs="Arial"/>
        </w:rPr>
        <w:t xml:space="preserve"> </w:t>
      </w:r>
      <w:r w:rsidR="00033307">
        <w:rPr>
          <w:rFonts w:ascii="Arial" w:hAnsi="Arial" w:cs="Arial"/>
        </w:rPr>
        <w:t>[8]</w:t>
      </w:r>
      <w:r w:rsidR="00F22D39">
        <w:rPr>
          <w:rFonts w:ascii="Arial" w:hAnsi="Arial" w:cs="Arial"/>
        </w:rPr>
        <w:t>. In particular, few studies have explored</w:t>
      </w:r>
      <w:r w:rsidR="00F22D39" w:rsidRPr="000B044C">
        <w:rPr>
          <w:rFonts w:ascii="Arial" w:hAnsi="Arial" w:cs="Arial"/>
        </w:rPr>
        <w:t xml:space="preserve"> the interactions between </w:t>
      </w:r>
      <w:r w:rsidR="00F22D39">
        <w:rPr>
          <w:rFonts w:ascii="Arial" w:hAnsi="Arial" w:cs="Arial"/>
        </w:rPr>
        <w:t xml:space="preserve">original Thalidomide impairment, </w:t>
      </w:r>
      <w:r w:rsidR="00F22D39" w:rsidRPr="000B044C">
        <w:rPr>
          <w:rFonts w:ascii="Arial" w:hAnsi="Arial" w:cs="Arial"/>
        </w:rPr>
        <w:t xml:space="preserve">newly emerging secondary damage </w:t>
      </w:r>
      <w:r w:rsidR="00F22D39">
        <w:rPr>
          <w:rFonts w:ascii="Arial" w:hAnsi="Arial" w:cs="Arial"/>
        </w:rPr>
        <w:t>and co-morbidities.</w:t>
      </w:r>
      <w:r w:rsidR="00B35E81">
        <w:rPr>
          <w:rFonts w:ascii="Arial" w:hAnsi="Arial" w:cs="Arial"/>
        </w:rPr>
        <w:t xml:space="preserve">  There has also been little attempt to understand how changes to impairment impact on the disabling experience.</w:t>
      </w:r>
      <w:r w:rsidR="0061793D">
        <w:rPr>
          <w:rFonts w:ascii="Arial" w:hAnsi="Arial" w:cs="Arial"/>
        </w:rPr>
        <w:t xml:space="preserve">  </w:t>
      </w:r>
      <w:r w:rsidR="00F22D39" w:rsidRPr="00F22D39">
        <w:t xml:space="preserve"> </w:t>
      </w:r>
      <w:r w:rsidR="005F54D9">
        <w:rPr>
          <w:rFonts w:ascii="Arial" w:hAnsi="Arial" w:cs="Arial"/>
        </w:rPr>
        <w:t xml:space="preserve">In the 2000s, </w:t>
      </w:r>
      <w:r w:rsidR="005F54D9">
        <w:rPr>
          <w:rFonts w:ascii="Arial" w:hAnsi="Arial" w:cs="Arial"/>
        </w:rPr>
        <w:lastRenderedPageBreak/>
        <w:t xml:space="preserve">when Thalidomide </w:t>
      </w:r>
      <w:r w:rsidR="00F26256">
        <w:rPr>
          <w:rFonts w:ascii="Arial" w:hAnsi="Arial" w:cs="Arial"/>
        </w:rPr>
        <w:t xml:space="preserve">survivors </w:t>
      </w:r>
      <w:r w:rsidR="005F54D9">
        <w:rPr>
          <w:rFonts w:ascii="Arial" w:hAnsi="Arial" w:cs="Arial"/>
        </w:rPr>
        <w:t>reached</w:t>
      </w:r>
      <w:r w:rsidR="00F26256">
        <w:rPr>
          <w:rFonts w:ascii="Arial" w:hAnsi="Arial" w:cs="Arial"/>
        </w:rPr>
        <w:t xml:space="preserve"> their 50s,</w:t>
      </w:r>
      <w:r w:rsidR="005F54D9">
        <w:rPr>
          <w:rFonts w:ascii="Arial" w:hAnsi="Arial" w:cs="Arial"/>
        </w:rPr>
        <w:t xml:space="preserve"> more research into the health of Thalidomide </w:t>
      </w:r>
      <w:r w:rsidR="00640B60">
        <w:rPr>
          <w:rFonts w:ascii="Arial" w:hAnsi="Arial" w:cs="Arial"/>
        </w:rPr>
        <w:t xml:space="preserve">survivors, </w:t>
      </w:r>
      <w:r w:rsidR="005F54D9">
        <w:rPr>
          <w:rFonts w:ascii="Arial" w:hAnsi="Arial" w:cs="Arial"/>
        </w:rPr>
        <w:t xml:space="preserve">began to be undertaken. </w:t>
      </w:r>
      <w:r w:rsidR="0033779E">
        <w:rPr>
          <w:rFonts w:ascii="Arial" w:hAnsi="Arial" w:cs="Arial"/>
        </w:rPr>
        <w:t>Whilst m</w:t>
      </w:r>
      <w:r w:rsidRPr="00316752">
        <w:rPr>
          <w:rFonts w:ascii="Arial" w:hAnsi="Arial" w:cs="Arial"/>
        </w:rPr>
        <w:t xml:space="preserve">any </w:t>
      </w:r>
      <w:r w:rsidR="002B56AC" w:rsidRPr="00316752">
        <w:rPr>
          <w:rFonts w:ascii="Arial" w:hAnsi="Arial" w:cs="Arial"/>
        </w:rPr>
        <w:t xml:space="preserve">studies have a </w:t>
      </w:r>
      <w:r w:rsidR="005F54D9">
        <w:rPr>
          <w:rFonts w:ascii="Arial" w:hAnsi="Arial" w:cs="Arial"/>
        </w:rPr>
        <w:t>narrow biomedical focus</w:t>
      </w:r>
      <w:r w:rsidR="002B56AC" w:rsidRPr="00316752">
        <w:rPr>
          <w:rFonts w:ascii="Arial" w:hAnsi="Arial" w:cs="Arial"/>
        </w:rPr>
        <w:t xml:space="preserve">, </w:t>
      </w:r>
      <w:r w:rsidR="0033779E">
        <w:rPr>
          <w:rFonts w:ascii="Arial" w:hAnsi="Arial" w:cs="Arial"/>
        </w:rPr>
        <w:t xml:space="preserve">together </w:t>
      </w:r>
      <w:r w:rsidR="002B56AC" w:rsidRPr="00316752">
        <w:rPr>
          <w:rFonts w:ascii="Arial" w:hAnsi="Arial" w:cs="Arial"/>
        </w:rPr>
        <w:t xml:space="preserve">they </w:t>
      </w:r>
      <w:r w:rsidR="009F4F5B" w:rsidRPr="00316752">
        <w:rPr>
          <w:rFonts w:ascii="Arial" w:hAnsi="Arial" w:cs="Arial"/>
        </w:rPr>
        <w:t xml:space="preserve">do suggest </w:t>
      </w:r>
      <w:r w:rsidR="00CB2146" w:rsidRPr="0033779E">
        <w:rPr>
          <w:rFonts w:ascii="Arial" w:hAnsi="Arial" w:cs="Arial"/>
        </w:rPr>
        <w:t>widespread</w:t>
      </w:r>
      <w:r w:rsidR="002B56AC" w:rsidRPr="00316752">
        <w:rPr>
          <w:rFonts w:ascii="Arial" w:hAnsi="Arial" w:cs="Arial"/>
        </w:rPr>
        <w:t xml:space="preserve"> age-related</w:t>
      </w:r>
      <w:r w:rsidRPr="00316752">
        <w:rPr>
          <w:rFonts w:ascii="Arial" w:hAnsi="Arial" w:cs="Arial"/>
        </w:rPr>
        <w:t xml:space="preserve"> secondary damage</w:t>
      </w:r>
      <w:r w:rsidR="002B56AC" w:rsidRPr="00316752">
        <w:rPr>
          <w:rFonts w:ascii="Arial" w:hAnsi="Arial" w:cs="Arial"/>
        </w:rPr>
        <w:t xml:space="preserve">, particularly </w:t>
      </w:r>
      <w:r w:rsidRPr="00316752">
        <w:rPr>
          <w:rFonts w:ascii="Arial" w:hAnsi="Arial" w:cs="Arial"/>
        </w:rPr>
        <w:t xml:space="preserve">musculoskeletal </w:t>
      </w:r>
      <w:r w:rsidR="00CB4821">
        <w:rPr>
          <w:rFonts w:ascii="Arial" w:hAnsi="Arial" w:cs="Arial"/>
        </w:rPr>
        <w:t xml:space="preserve">problems (often related to overuse of ‘good’ limbs) </w:t>
      </w:r>
      <w:r w:rsidRPr="00316752">
        <w:rPr>
          <w:rFonts w:ascii="Arial" w:hAnsi="Arial" w:cs="Arial"/>
        </w:rPr>
        <w:t xml:space="preserve">and </w:t>
      </w:r>
      <w:r w:rsidR="000B6BEC">
        <w:rPr>
          <w:rFonts w:ascii="Arial" w:hAnsi="Arial" w:cs="Arial"/>
        </w:rPr>
        <w:t xml:space="preserve">common </w:t>
      </w:r>
      <w:r w:rsidRPr="00316752">
        <w:rPr>
          <w:rFonts w:ascii="Arial" w:hAnsi="Arial" w:cs="Arial"/>
        </w:rPr>
        <w:t xml:space="preserve">mental health </w:t>
      </w:r>
      <w:r w:rsidR="00CB4821">
        <w:rPr>
          <w:rFonts w:ascii="Arial" w:hAnsi="Arial" w:cs="Arial"/>
        </w:rPr>
        <w:t>disorders</w:t>
      </w:r>
      <w:r w:rsidR="000B6BEC">
        <w:rPr>
          <w:rFonts w:ascii="Arial" w:hAnsi="Arial" w:cs="Arial"/>
        </w:rPr>
        <w:t>, notably depression and anxiety</w:t>
      </w:r>
      <w:r w:rsidR="00033307">
        <w:rPr>
          <w:rFonts w:ascii="Arial" w:hAnsi="Arial" w:cs="Arial"/>
        </w:rPr>
        <w:t xml:space="preserve"> [9, 10, 11]</w:t>
      </w:r>
      <w:r w:rsidRPr="00316752">
        <w:rPr>
          <w:rFonts w:ascii="Arial" w:hAnsi="Arial" w:cs="Arial"/>
        </w:rPr>
        <w:t>.</w:t>
      </w:r>
      <w:r w:rsidR="0033779E">
        <w:rPr>
          <w:rFonts w:ascii="Arial" w:hAnsi="Arial" w:cs="Arial"/>
        </w:rPr>
        <w:t xml:space="preserve"> </w:t>
      </w:r>
      <w:r w:rsidR="00CB2146" w:rsidRPr="00316752">
        <w:rPr>
          <w:rFonts w:ascii="Arial" w:hAnsi="Arial" w:cs="Arial"/>
        </w:rPr>
        <w:t>T</w:t>
      </w:r>
      <w:r w:rsidR="005F54D9">
        <w:rPr>
          <w:rFonts w:ascii="Arial" w:hAnsi="Arial" w:cs="Arial"/>
        </w:rPr>
        <w:t xml:space="preserve">hese two </w:t>
      </w:r>
      <w:r w:rsidR="002B56AC" w:rsidRPr="00316752">
        <w:rPr>
          <w:rFonts w:ascii="Arial" w:hAnsi="Arial" w:cs="Arial"/>
        </w:rPr>
        <w:t xml:space="preserve">conditions may of course be related, </w:t>
      </w:r>
      <w:r w:rsidR="007119FD" w:rsidRPr="00316752">
        <w:rPr>
          <w:rFonts w:ascii="Arial" w:hAnsi="Arial" w:cs="Arial"/>
        </w:rPr>
        <w:t xml:space="preserve">if </w:t>
      </w:r>
      <w:r w:rsidR="002B56AC" w:rsidRPr="00316752">
        <w:rPr>
          <w:rFonts w:ascii="Arial" w:hAnsi="Arial" w:cs="Arial"/>
        </w:rPr>
        <w:t>emerging musculoskeletal conditions</w:t>
      </w:r>
      <w:r w:rsidR="007119FD" w:rsidRPr="00316752">
        <w:rPr>
          <w:rFonts w:ascii="Arial" w:hAnsi="Arial" w:cs="Arial"/>
        </w:rPr>
        <w:t xml:space="preserve"> and consequent loss of function (especially difficulties with activities of daily living</w:t>
      </w:r>
      <w:r w:rsidR="00CB4821">
        <w:rPr>
          <w:rFonts w:ascii="Arial" w:hAnsi="Arial" w:cs="Arial"/>
        </w:rPr>
        <w:t xml:space="preserve"> and/or reduced ability to work</w:t>
      </w:r>
      <w:r w:rsidR="007119FD" w:rsidRPr="00316752">
        <w:rPr>
          <w:rFonts w:ascii="Arial" w:hAnsi="Arial" w:cs="Arial"/>
        </w:rPr>
        <w:t xml:space="preserve">) place </w:t>
      </w:r>
      <w:r w:rsidRPr="00316752">
        <w:rPr>
          <w:rFonts w:ascii="Arial" w:hAnsi="Arial" w:cs="Arial"/>
        </w:rPr>
        <w:t>Thalidomide survivors at greater risk of mental hea</w:t>
      </w:r>
      <w:r w:rsidR="000B0040">
        <w:rPr>
          <w:rFonts w:ascii="Arial" w:hAnsi="Arial" w:cs="Arial"/>
        </w:rPr>
        <w:t xml:space="preserve">lth problems </w:t>
      </w:r>
      <w:r w:rsidR="00C22951">
        <w:rPr>
          <w:rFonts w:ascii="Arial" w:hAnsi="Arial" w:cs="Arial"/>
        </w:rPr>
        <w:t>[12]</w:t>
      </w:r>
      <w:r w:rsidRPr="00316752">
        <w:rPr>
          <w:rFonts w:ascii="Arial" w:hAnsi="Arial" w:cs="Arial"/>
        </w:rPr>
        <w:t>.</w:t>
      </w:r>
      <w:r w:rsidR="000B044C">
        <w:rPr>
          <w:rFonts w:ascii="Arial" w:hAnsi="Arial" w:cs="Arial"/>
        </w:rPr>
        <w:t xml:space="preserve"> </w:t>
      </w:r>
    </w:p>
    <w:p w14:paraId="1983E586" w14:textId="77777777" w:rsidR="005F54D9" w:rsidRDefault="005F54D9" w:rsidP="00305DAE">
      <w:pPr>
        <w:spacing w:after="0" w:line="480" w:lineRule="auto"/>
        <w:rPr>
          <w:rFonts w:ascii="Arial" w:hAnsi="Arial" w:cs="Arial"/>
        </w:rPr>
      </w:pPr>
    </w:p>
    <w:p w14:paraId="740900B8" w14:textId="4F541DE8" w:rsidR="00466A0C" w:rsidRDefault="00CB4821" w:rsidP="00305DAE">
      <w:pPr>
        <w:spacing w:after="0" w:line="480" w:lineRule="auto"/>
        <w:rPr>
          <w:rFonts w:ascii="Arial" w:hAnsi="Arial" w:cs="Arial"/>
        </w:rPr>
      </w:pPr>
      <w:r>
        <w:rPr>
          <w:rFonts w:ascii="Arial" w:hAnsi="Arial" w:cs="Arial"/>
        </w:rPr>
        <w:t>In the</w:t>
      </w:r>
      <w:r w:rsidR="00F22D39">
        <w:rPr>
          <w:rFonts w:ascii="Arial" w:hAnsi="Arial" w:cs="Arial"/>
        </w:rPr>
        <w:t xml:space="preserve"> broader field of disability research, the</w:t>
      </w:r>
      <w:r>
        <w:rPr>
          <w:rFonts w:ascii="Arial" w:hAnsi="Arial" w:cs="Arial"/>
        </w:rPr>
        <w:t xml:space="preserve"> past </w:t>
      </w:r>
      <w:r w:rsidR="00F22D39">
        <w:rPr>
          <w:rFonts w:ascii="Arial" w:hAnsi="Arial" w:cs="Arial"/>
        </w:rPr>
        <w:t>decade has s</w:t>
      </w:r>
      <w:r>
        <w:rPr>
          <w:rFonts w:ascii="Arial" w:hAnsi="Arial" w:cs="Arial"/>
        </w:rPr>
        <w:t>een</w:t>
      </w:r>
      <w:r w:rsidR="00F22D39">
        <w:rPr>
          <w:rFonts w:ascii="Arial" w:hAnsi="Arial" w:cs="Arial"/>
        </w:rPr>
        <w:t xml:space="preserve"> </w:t>
      </w:r>
      <w:r>
        <w:rPr>
          <w:rFonts w:ascii="Arial" w:hAnsi="Arial" w:cs="Arial"/>
        </w:rPr>
        <w:t xml:space="preserve">growing interest </w:t>
      </w:r>
      <w:r w:rsidR="00B304BD">
        <w:rPr>
          <w:rFonts w:ascii="Arial" w:hAnsi="Arial" w:cs="Arial"/>
        </w:rPr>
        <w:t xml:space="preserve">in the experience of </w:t>
      </w:r>
      <w:r>
        <w:rPr>
          <w:rFonts w:ascii="Arial" w:hAnsi="Arial" w:cs="Arial"/>
        </w:rPr>
        <w:t>ageing with disability</w:t>
      </w:r>
      <w:r w:rsidR="00033307">
        <w:rPr>
          <w:rFonts w:ascii="Arial" w:hAnsi="Arial" w:cs="Arial"/>
        </w:rPr>
        <w:t xml:space="preserve"> [13, 14]</w:t>
      </w:r>
      <w:r>
        <w:rPr>
          <w:rFonts w:ascii="Arial" w:hAnsi="Arial" w:cs="Arial"/>
        </w:rPr>
        <w:t xml:space="preserve">, not least because the number of people with from birth or early acquired disabilities who are reaching </w:t>
      </w:r>
      <w:r w:rsidR="006547BF">
        <w:rPr>
          <w:rFonts w:ascii="Arial" w:hAnsi="Arial" w:cs="Arial"/>
        </w:rPr>
        <w:t xml:space="preserve">middle and </w:t>
      </w:r>
      <w:r>
        <w:rPr>
          <w:rFonts w:ascii="Arial" w:hAnsi="Arial" w:cs="Arial"/>
        </w:rPr>
        <w:t xml:space="preserve">older age is increasing </w:t>
      </w:r>
      <w:r w:rsidR="00033307">
        <w:rPr>
          <w:rFonts w:ascii="Arial" w:hAnsi="Arial" w:cs="Arial"/>
        </w:rPr>
        <w:t>[15, 16]</w:t>
      </w:r>
      <w:r w:rsidR="000B044C">
        <w:rPr>
          <w:rFonts w:ascii="Arial" w:hAnsi="Arial" w:cs="Arial"/>
        </w:rPr>
        <w:t>.</w:t>
      </w:r>
      <w:r>
        <w:rPr>
          <w:rFonts w:ascii="Arial" w:hAnsi="Arial" w:cs="Arial"/>
        </w:rPr>
        <w:t xml:space="preserve"> </w:t>
      </w:r>
      <w:r w:rsidR="00D249C2">
        <w:rPr>
          <w:rFonts w:ascii="Arial" w:hAnsi="Arial" w:cs="Arial"/>
        </w:rPr>
        <w:t>S</w:t>
      </w:r>
      <w:r w:rsidR="00D07378">
        <w:rPr>
          <w:rFonts w:ascii="Arial" w:hAnsi="Arial" w:cs="Arial"/>
        </w:rPr>
        <w:t>everal overarching them</w:t>
      </w:r>
      <w:r w:rsidR="000721E1">
        <w:rPr>
          <w:rFonts w:ascii="Arial" w:hAnsi="Arial" w:cs="Arial"/>
        </w:rPr>
        <w:t xml:space="preserve">es emerge from the </w:t>
      </w:r>
      <w:r w:rsidR="00D249C2">
        <w:rPr>
          <w:rFonts w:ascii="Arial" w:hAnsi="Arial" w:cs="Arial"/>
        </w:rPr>
        <w:t xml:space="preserve">current </w:t>
      </w:r>
      <w:r w:rsidR="006547BF">
        <w:rPr>
          <w:rFonts w:ascii="Arial" w:hAnsi="Arial" w:cs="Arial"/>
        </w:rPr>
        <w:t>literature</w:t>
      </w:r>
      <w:r w:rsidR="000721E1">
        <w:rPr>
          <w:rFonts w:ascii="Arial" w:hAnsi="Arial" w:cs="Arial"/>
        </w:rPr>
        <w:t xml:space="preserve">. First, </w:t>
      </w:r>
      <w:r w:rsidR="00D07378">
        <w:rPr>
          <w:rFonts w:ascii="Arial" w:hAnsi="Arial" w:cs="Arial"/>
        </w:rPr>
        <w:t xml:space="preserve">people ageing with disability often </w:t>
      </w:r>
      <w:r w:rsidR="000721E1">
        <w:rPr>
          <w:rFonts w:ascii="Arial" w:hAnsi="Arial" w:cs="Arial"/>
        </w:rPr>
        <w:t>face particular difficulties such as sec</w:t>
      </w:r>
      <w:r w:rsidR="008119FF">
        <w:rPr>
          <w:rFonts w:ascii="Arial" w:hAnsi="Arial" w:cs="Arial"/>
        </w:rPr>
        <w:t>ondary conditions</w:t>
      </w:r>
      <w:r w:rsidR="00987DDD">
        <w:rPr>
          <w:rFonts w:ascii="Arial" w:hAnsi="Arial" w:cs="Arial"/>
        </w:rPr>
        <w:t xml:space="preserve"> and </w:t>
      </w:r>
      <w:r w:rsidR="006547BF">
        <w:rPr>
          <w:rFonts w:ascii="Arial" w:hAnsi="Arial" w:cs="Arial"/>
        </w:rPr>
        <w:t xml:space="preserve">overuse syndromes, </w:t>
      </w:r>
      <w:r w:rsidR="000721E1">
        <w:rPr>
          <w:rFonts w:ascii="Arial" w:hAnsi="Arial" w:cs="Arial"/>
        </w:rPr>
        <w:t xml:space="preserve">post onset syndromes (e.g. post-polio syndrome) and a sense of premature ageing. As </w:t>
      </w:r>
      <w:r w:rsidR="00F0735A">
        <w:rPr>
          <w:rFonts w:ascii="Arial" w:hAnsi="Arial" w:cs="Arial"/>
        </w:rPr>
        <w:t>Mo</w:t>
      </w:r>
      <w:r w:rsidR="000721E1" w:rsidRPr="000721E1">
        <w:rPr>
          <w:rFonts w:ascii="Arial" w:hAnsi="Arial" w:cs="Arial"/>
        </w:rPr>
        <w:t xml:space="preserve">lton and Yorkston </w:t>
      </w:r>
      <w:r w:rsidR="00B24E49">
        <w:rPr>
          <w:rFonts w:ascii="Arial" w:hAnsi="Arial" w:cs="Arial"/>
        </w:rPr>
        <w:t>[16]</w:t>
      </w:r>
      <w:r w:rsidR="000721E1">
        <w:rPr>
          <w:rFonts w:ascii="Arial" w:hAnsi="Arial" w:cs="Arial"/>
        </w:rPr>
        <w:t xml:space="preserve"> note, even </w:t>
      </w:r>
      <w:r w:rsidR="00B37D91">
        <w:rPr>
          <w:rFonts w:ascii="Arial" w:hAnsi="Arial" w:cs="Arial"/>
        </w:rPr>
        <w:t xml:space="preserve">in </w:t>
      </w:r>
      <w:r w:rsidR="000721E1">
        <w:rPr>
          <w:rFonts w:ascii="Arial" w:hAnsi="Arial" w:cs="Arial"/>
        </w:rPr>
        <w:t xml:space="preserve">conditions which are regarded as </w:t>
      </w:r>
      <w:r w:rsidR="00B37D91">
        <w:rPr>
          <w:rFonts w:ascii="Arial" w:hAnsi="Arial" w:cs="Arial"/>
        </w:rPr>
        <w:t>‘</w:t>
      </w:r>
      <w:r w:rsidR="000721E1">
        <w:rPr>
          <w:rFonts w:ascii="Arial" w:hAnsi="Arial" w:cs="Arial"/>
        </w:rPr>
        <w:t>static</w:t>
      </w:r>
      <w:r w:rsidR="00B37D91">
        <w:rPr>
          <w:rFonts w:ascii="Arial" w:hAnsi="Arial" w:cs="Arial"/>
        </w:rPr>
        <w:t>’</w:t>
      </w:r>
      <w:r w:rsidR="000721E1">
        <w:rPr>
          <w:rFonts w:ascii="Arial" w:hAnsi="Arial" w:cs="Arial"/>
        </w:rPr>
        <w:t xml:space="preserve"> (e.g. </w:t>
      </w:r>
      <w:r w:rsidR="00B37D91">
        <w:rPr>
          <w:rFonts w:ascii="Arial" w:hAnsi="Arial" w:cs="Arial"/>
        </w:rPr>
        <w:t>Cerebral Palsy), peoples’ functional limitations can change across the life course</w:t>
      </w:r>
      <w:r w:rsidR="00B35E81">
        <w:rPr>
          <w:rFonts w:ascii="Arial" w:hAnsi="Arial" w:cs="Arial"/>
        </w:rPr>
        <w:t>, creating further potential for disability.</w:t>
      </w:r>
      <w:r w:rsidR="00B37D91">
        <w:rPr>
          <w:rFonts w:ascii="Arial" w:hAnsi="Arial" w:cs="Arial"/>
        </w:rPr>
        <w:t xml:space="preserve"> Moreover, they suggest that </w:t>
      </w:r>
      <w:r w:rsidR="00B37D91" w:rsidRPr="00B37D91">
        <w:rPr>
          <w:rFonts w:ascii="Arial" w:hAnsi="Arial" w:cs="Arial"/>
          <w:i/>
        </w:rPr>
        <w:t>“there is now mounting evidence that the cumulative effects of living with a disability condition for many years contribute to premature declines in health”</w:t>
      </w:r>
      <w:r w:rsidR="00B37D91">
        <w:rPr>
          <w:rFonts w:ascii="Arial" w:hAnsi="Arial" w:cs="Arial"/>
        </w:rPr>
        <w:t xml:space="preserve"> (p291). Secondly, people experiencing </w:t>
      </w:r>
      <w:r w:rsidR="00D249C2">
        <w:rPr>
          <w:rFonts w:ascii="Arial" w:hAnsi="Arial" w:cs="Arial"/>
        </w:rPr>
        <w:t xml:space="preserve">the later life effects of early acquired disabilities appear to be more at risk of depression and lower life satisfaction </w:t>
      </w:r>
      <w:r w:rsidR="00033307">
        <w:rPr>
          <w:rFonts w:ascii="Arial" w:hAnsi="Arial" w:cs="Arial"/>
        </w:rPr>
        <w:t>[15,17]</w:t>
      </w:r>
      <w:r w:rsidR="008119FF">
        <w:rPr>
          <w:rFonts w:ascii="Arial" w:hAnsi="Arial" w:cs="Arial"/>
        </w:rPr>
        <w:t>, although there is evidence that poor overall health, rather than the extent of (original) impairments is more significant in terms of social isolation</w:t>
      </w:r>
      <w:r w:rsidR="00033307">
        <w:rPr>
          <w:rFonts w:ascii="Arial" w:hAnsi="Arial" w:cs="Arial"/>
        </w:rPr>
        <w:t xml:space="preserve"> [13]</w:t>
      </w:r>
      <w:r w:rsidR="008119FF">
        <w:rPr>
          <w:rFonts w:ascii="Arial" w:hAnsi="Arial" w:cs="Arial"/>
        </w:rPr>
        <w:t xml:space="preserve">. </w:t>
      </w:r>
      <w:r w:rsidR="00B367F8">
        <w:rPr>
          <w:rFonts w:ascii="Arial" w:hAnsi="Arial" w:cs="Arial"/>
        </w:rPr>
        <w:t>Lastly, people growing older with disability often have an elevated risk of acquiring age-related chronic conditions</w:t>
      </w:r>
      <w:r w:rsidR="00033307">
        <w:rPr>
          <w:rFonts w:ascii="Arial" w:hAnsi="Arial" w:cs="Arial"/>
        </w:rPr>
        <w:t xml:space="preserve"> [18, 19]</w:t>
      </w:r>
      <w:r w:rsidR="00B24E49">
        <w:rPr>
          <w:rFonts w:ascii="Arial" w:hAnsi="Arial" w:cs="Arial"/>
        </w:rPr>
        <w:t xml:space="preserve">, </w:t>
      </w:r>
      <w:r w:rsidR="0063568E">
        <w:rPr>
          <w:rFonts w:ascii="Arial" w:hAnsi="Arial" w:cs="Arial"/>
        </w:rPr>
        <w:t xml:space="preserve">which disability may </w:t>
      </w:r>
      <w:r w:rsidR="00466A0C">
        <w:rPr>
          <w:rFonts w:ascii="Arial" w:hAnsi="Arial" w:cs="Arial"/>
        </w:rPr>
        <w:t>in turn</w:t>
      </w:r>
      <w:r w:rsidR="0063568E">
        <w:rPr>
          <w:rFonts w:ascii="Arial" w:hAnsi="Arial" w:cs="Arial"/>
        </w:rPr>
        <w:t xml:space="preserve"> make more difficult to manage.  </w:t>
      </w:r>
    </w:p>
    <w:p w14:paraId="186D9825" w14:textId="77777777" w:rsidR="00C37B27" w:rsidRDefault="00C37B27" w:rsidP="00305DAE">
      <w:pPr>
        <w:spacing w:after="0" w:line="480" w:lineRule="auto"/>
        <w:rPr>
          <w:rFonts w:ascii="Arial" w:hAnsi="Arial" w:cs="Arial"/>
        </w:rPr>
      </w:pPr>
    </w:p>
    <w:p w14:paraId="297C6C82" w14:textId="65416D54" w:rsidR="00AE3C80" w:rsidRDefault="00C37B27" w:rsidP="00305DAE">
      <w:pPr>
        <w:spacing w:after="0" w:line="480" w:lineRule="auto"/>
        <w:rPr>
          <w:rFonts w:ascii="Arial" w:hAnsi="Arial" w:cs="Arial"/>
        </w:rPr>
      </w:pPr>
      <w:r w:rsidRPr="0019306E">
        <w:rPr>
          <w:rFonts w:ascii="Arial" w:hAnsi="Arial" w:cs="Arial"/>
        </w:rPr>
        <w:t>Within the disability literature, a few authors</w:t>
      </w:r>
      <w:r w:rsidR="00033307">
        <w:rPr>
          <w:rFonts w:ascii="Arial" w:hAnsi="Arial" w:cs="Arial"/>
        </w:rPr>
        <w:t xml:space="preserve"> [1, 14, 20, 21]</w:t>
      </w:r>
      <w:r w:rsidRPr="0019306E">
        <w:rPr>
          <w:rFonts w:ascii="Arial" w:hAnsi="Arial" w:cs="Arial"/>
        </w:rPr>
        <w:t xml:space="preserve"> have proposed that a life course approach might provide a productive and more holistic framework for thinking about how </w:t>
      </w:r>
      <w:r w:rsidRPr="0019306E">
        <w:rPr>
          <w:rFonts w:ascii="Arial" w:hAnsi="Arial" w:cs="Arial"/>
        </w:rPr>
        <w:lastRenderedPageBreak/>
        <w:t xml:space="preserve">disability affects people at different points in their lives, including ageing with disability. As Naidoo </w:t>
      </w:r>
      <w:r w:rsidR="00415BE0" w:rsidRPr="00415BE0">
        <w:rPr>
          <w:rFonts w:ascii="Arial" w:hAnsi="Arial" w:cs="Arial"/>
        </w:rPr>
        <w:t>et al.</w:t>
      </w:r>
      <w:r w:rsidRPr="0019306E">
        <w:rPr>
          <w:rFonts w:ascii="Arial" w:hAnsi="Arial" w:cs="Arial"/>
        </w:rPr>
        <w:t xml:space="preserve"> </w:t>
      </w:r>
      <w:r w:rsidR="00B24E49">
        <w:rPr>
          <w:rFonts w:ascii="Arial" w:hAnsi="Arial" w:cs="Arial"/>
        </w:rPr>
        <w:t>[14]</w:t>
      </w:r>
      <w:r w:rsidRPr="0019306E">
        <w:rPr>
          <w:rFonts w:ascii="Arial" w:hAnsi="Arial" w:cs="Arial"/>
        </w:rPr>
        <w:t xml:space="preserve"> point out, </w:t>
      </w:r>
      <w:r w:rsidRPr="0019306E">
        <w:rPr>
          <w:rFonts w:ascii="Arial" w:hAnsi="Arial" w:cs="Arial"/>
          <w:i/>
        </w:rPr>
        <w:t xml:space="preserve">“age and disability are not defining traits </w:t>
      </w:r>
      <w:r>
        <w:rPr>
          <w:rFonts w:ascii="Arial" w:hAnsi="Arial" w:cs="Arial"/>
          <w:i/>
        </w:rPr>
        <w:t>of</w:t>
      </w:r>
      <w:r w:rsidRPr="0019306E">
        <w:rPr>
          <w:rFonts w:ascii="Arial" w:hAnsi="Arial" w:cs="Arial"/>
          <w:i/>
        </w:rPr>
        <w:t xml:space="preserve"> an individual but overlapping phenomena that occur throughout the span of the life course”</w:t>
      </w:r>
      <w:r w:rsidRPr="0019306E">
        <w:rPr>
          <w:rFonts w:ascii="Arial" w:hAnsi="Arial" w:cs="Arial"/>
        </w:rPr>
        <w:t xml:space="preserve"> (p3). </w:t>
      </w:r>
      <w:r>
        <w:rPr>
          <w:rFonts w:ascii="Arial" w:hAnsi="Arial" w:cs="Arial"/>
        </w:rPr>
        <w:t xml:space="preserve">Drawing on the principles of life course theory developed by Elder </w:t>
      </w:r>
      <w:r w:rsidR="00415BE0" w:rsidRPr="00415BE0">
        <w:rPr>
          <w:rFonts w:ascii="Arial" w:hAnsi="Arial" w:cs="Arial"/>
        </w:rPr>
        <w:t>et al.</w:t>
      </w:r>
      <w:r>
        <w:rPr>
          <w:rFonts w:ascii="Arial" w:hAnsi="Arial" w:cs="Arial"/>
        </w:rPr>
        <w:t xml:space="preserve"> </w:t>
      </w:r>
      <w:r w:rsidR="00B24E49">
        <w:rPr>
          <w:rFonts w:ascii="Arial" w:hAnsi="Arial" w:cs="Arial"/>
        </w:rPr>
        <w:t>[22]</w:t>
      </w:r>
      <w:r>
        <w:rPr>
          <w:rFonts w:ascii="Arial" w:hAnsi="Arial" w:cs="Arial"/>
        </w:rPr>
        <w:t xml:space="preserve">, they suggest that a life course perspective brings to the fore </w:t>
      </w:r>
      <w:r w:rsidRPr="00540985">
        <w:rPr>
          <w:rFonts w:ascii="Arial" w:hAnsi="Arial" w:cs="Arial"/>
          <w:i/>
        </w:rPr>
        <w:t>“individual choice and circumstance”</w:t>
      </w:r>
      <w:r>
        <w:rPr>
          <w:rFonts w:ascii="Arial" w:hAnsi="Arial" w:cs="Arial"/>
        </w:rPr>
        <w:t xml:space="preserve"> and locates them </w:t>
      </w:r>
      <w:r w:rsidRPr="00540985">
        <w:rPr>
          <w:rFonts w:ascii="Arial" w:hAnsi="Arial" w:cs="Arial"/>
          <w:i/>
        </w:rPr>
        <w:t>“within larger social and historical context”</w:t>
      </w:r>
      <w:r>
        <w:rPr>
          <w:rFonts w:ascii="Arial" w:hAnsi="Arial" w:cs="Arial"/>
        </w:rPr>
        <w:t xml:space="preserve"> (p3)</w:t>
      </w:r>
    </w:p>
    <w:p w14:paraId="7CA23283" w14:textId="1246C246" w:rsidR="00316752" w:rsidRDefault="00C37B27" w:rsidP="00305DAE">
      <w:pPr>
        <w:spacing w:after="0" w:line="480" w:lineRule="auto"/>
        <w:rPr>
          <w:rFonts w:ascii="Arial" w:hAnsi="Arial" w:cs="Arial"/>
          <w:b/>
        </w:rPr>
      </w:pPr>
      <w:r>
        <w:rPr>
          <w:rFonts w:ascii="Arial" w:hAnsi="Arial" w:cs="Arial"/>
        </w:rPr>
        <w:t>This paper contributes to the literature on ageing with disability by focusing on the experience of UK Thalidomide survivors.</w:t>
      </w:r>
      <w:r w:rsidRPr="00316752">
        <w:rPr>
          <w:rFonts w:ascii="Arial" w:hAnsi="Arial" w:cs="Arial"/>
        </w:rPr>
        <w:t xml:space="preserve"> </w:t>
      </w:r>
      <w:r>
        <w:rPr>
          <w:rFonts w:ascii="Arial" w:hAnsi="Arial" w:cs="Arial"/>
        </w:rPr>
        <w:t>I</w:t>
      </w:r>
      <w:r w:rsidRPr="00316752">
        <w:rPr>
          <w:rFonts w:ascii="Arial" w:hAnsi="Arial" w:cs="Arial"/>
        </w:rPr>
        <w:t>t presents evidence that the</w:t>
      </w:r>
      <w:r>
        <w:rPr>
          <w:rFonts w:ascii="Arial" w:hAnsi="Arial" w:cs="Arial"/>
        </w:rPr>
        <w:t xml:space="preserve"> health</w:t>
      </w:r>
      <w:r w:rsidRPr="00316752">
        <w:rPr>
          <w:rFonts w:ascii="Arial" w:hAnsi="Arial" w:cs="Arial"/>
        </w:rPr>
        <w:t xml:space="preserve"> problems caused by Thalido</w:t>
      </w:r>
      <w:r w:rsidR="00874514">
        <w:rPr>
          <w:rFonts w:ascii="Arial" w:hAnsi="Arial" w:cs="Arial"/>
        </w:rPr>
        <w:t xml:space="preserve">mide are not restricted to the </w:t>
      </w:r>
      <w:r w:rsidRPr="00316752">
        <w:rPr>
          <w:rFonts w:ascii="Arial" w:hAnsi="Arial" w:cs="Arial"/>
        </w:rPr>
        <w:t>well-documented neonatal impairments.  On the contrary, it argues that</w:t>
      </w:r>
      <w:r w:rsidR="00970313">
        <w:rPr>
          <w:rFonts w:ascii="Arial" w:hAnsi="Arial" w:cs="Arial"/>
        </w:rPr>
        <w:t>:</w:t>
      </w:r>
      <w:r w:rsidRPr="00316752">
        <w:rPr>
          <w:rFonts w:ascii="Arial" w:hAnsi="Arial" w:cs="Arial"/>
        </w:rPr>
        <w:t xml:space="preserve"> survivors are encountering significant </w:t>
      </w:r>
      <w:r w:rsidRPr="00316752">
        <w:rPr>
          <w:rFonts w:ascii="Arial" w:hAnsi="Arial" w:cs="Arial"/>
          <w:i/>
        </w:rPr>
        <w:t>new</w:t>
      </w:r>
      <w:r w:rsidRPr="00316752">
        <w:rPr>
          <w:rFonts w:ascii="Arial" w:hAnsi="Arial" w:cs="Arial"/>
        </w:rPr>
        <w:t xml:space="preserve"> Thalidomide-related challenges to their physical and mental he</w:t>
      </w:r>
      <w:r>
        <w:rPr>
          <w:rFonts w:ascii="Arial" w:hAnsi="Arial" w:cs="Arial"/>
        </w:rPr>
        <w:t>alth and well-being as they age; that these changes in health are linked to individual choice and circumstance; but also to the social and historical context in which Thalidomide survivors have lived their lives.</w:t>
      </w:r>
    </w:p>
    <w:p w14:paraId="7578B4C9" w14:textId="77777777" w:rsidR="00C37B27" w:rsidRDefault="00C37B27" w:rsidP="00305DAE">
      <w:pPr>
        <w:spacing w:after="0" w:line="480" w:lineRule="auto"/>
        <w:rPr>
          <w:rFonts w:ascii="Arial" w:hAnsi="Arial" w:cs="Arial"/>
          <w:b/>
        </w:rPr>
      </w:pPr>
    </w:p>
    <w:p w14:paraId="32BC841F" w14:textId="028D5654" w:rsidR="00115346" w:rsidRPr="00DB1D90" w:rsidRDefault="00627990" w:rsidP="00305DAE">
      <w:pPr>
        <w:spacing w:after="0" w:line="480" w:lineRule="auto"/>
        <w:rPr>
          <w:rFonts w:ascii="Arial" w:hAnsi="Arial" w:cs="Arial"/>
          <w:b/>
          <w:sz w:val="36"/>
          <w:szCs w:val="36"/>
        </w:rPr>
      </w:pPr>
      <w:r w:rsidRPr="00DB1D90">
        <w:rPr>
          <w:rFonts w:ascii="Arial" w:hAnsi="Arial" w:cs="Arial"/>
          <w:b/>
          <w:sz w:val="36"/>
          <w:szCs w:val="36"/>
        </w:rPr>
        <w:t>M</w:t>
      </w:r>
      <w:r w:rsidR="00DB1D90" w:rsidRPr="00DB1D90">
        <w:rPr>
          <w:rFonts w:ascii="Arial" w:hAnsi="Arial" w:cs="Arial"/>
          <w:b/>
          <w:sz w:val="36"/>
          <w:szCs w:val="36"/>
        </w:rPr>
        <w:t xml:space="preserve">ethods </w:t>
      </w:r>
    </w:p>
    <w:p w14:paraId="052571E8" w14:textId="6F793C77" w:rsidR="00624AD6" w:rsidRDefault="00623EF2" w:rsidP="00305DAE">
      <w:pPr>
        <w:spacing w:after="0" w:line="480" w:lineRule="auto"/>
        <w:rPr>
          <w:rFonts w:ascii="Arial" w:hAnsi="Arial" w:cs="Arial"/>
        </w:rPr>
      </w:pPr>
      <w:r w:rsidRPr="00316752">
        <w:rPr>
          <w:rFonts w:ascii="Arial" w:hAnsi="Arial" w:cs="Arial"/>
        </w:rPr>
        <w:t>The</w:t>
      </w:r>
      <w:r w:rsidR="00C30E10">
        <w:rPr>
          <w:rFonts w:ascii="Arial" w:hAnsi="Arial" w:cs="Arial"/>
        </w:rPr>
        <w:t xml:space="preserve"> </w:t>
      </w:r>
      <w:r w:rsidRPr="00316752">
        <w:rPr>
          <w:rFonts w:ascii="Arial" w:hAnsi="Arial" w:cs="Arial"/>
        </w:rPr>
        <w:t xml:space="preserve"> UK Thalidomide Trust, which holds details of all those to whom it </w:t>
      </w:r>
      <w:r w:rsidR="0083017F" w:rsidRPr="00316752">
        <w:rPr>
          <w:rFonts w:ascii="Arial" w:hAnsi="Arial" w:cs="Arial"/>
        </w:rPr>
        <w:t>makes Diageo and DH payments</w:t>
      </w:r>
      <w:r w:rsidR="00C30E10">
        <w:rPr>
          <w:rFonts w:ascii="Arial" w:hAnsi="Arial" w:cs="Arial"/>
        </w:rPr>
        <w:t>,</w:t>
      </w:r>
      <w:r w:rsidRPr="00316752">
        <w:rPr>
          <w:rFonts w:ascii="Arial" w:hAnsi="Arial" w:cs="Arial"/>
        </w:rPr>
        <w:t xml:space="preserve"> commissioned a survey of </w:t>
      </w:r>
      <w:r w:rsidR="0083017F" w:rsidRPr="00316752">
        <w:rPr>
          <w:rFonts w:ascii="Arial" w:hAnsi="Arial" w:cs="Arial"/>
        </w:rPr>
        <w:t xml:space="preserve">the health and wellbeing of </w:t>
      </w:r>
      <w:r w:rsidRPr="00316752">
        <w:rPr>
          <w:rFonts w:ascii="Arial" w:hAnsi="Arial" w:cs="Arial"/>
        </w:rPr>
        <w:t xml:space="preserve">its </w:t>
      </w:r>
      <w:r w:rsidRPr="00681AE8">
        <w:rPr>
          <w:rFonts w:ascii="Arial" w:hAnsi="Arial" w:cs="Arial"/>
        </w:rPr>
        <w:t>467</w:t>
      </w:r>
      <w:r w:rsidRPr="00316752">
        <w:rPr>
          <w:rFonts w:ascii="Arial" w:hAnsi="Arial" w:cs="Arial"/>
        </w:rPr>
        <w:t xml:space="preserve"> beneficiaries</w:t>
      </w:r>
      <w:r w:rsidR="006F356F">
        <w:rPr>
          <w:rFonts w:ascii="Arial" w:hAnsi="Arial" w:cs="Arial"/>
        </w:rPr>
        <w:t xml:space="preserve"> </w:t>
      </w:r>
      <w:r w:rsidR="008E7833" w:rsidRPr="00316752">
        <w:rPr>
          <w:rFonts w:ascii="Arial" w:hAnsi="Arial" w:cs="Arial"/>
        </w:rPr>
        <w:t>to help develop appropriate support for beneficiaries as they aged.</w:t>
      </w:r>
      <w:r w:rsidR="00681AE8">
        <w:rPr>
          <w:rFonts w:ascii="Arial" w:hAnsi="Arial" w:cs="Arial"/>
        </w:rPr>
        <w:t xml:space="preserve"> </w:t>
      </w:r>
      <w:r w:rsidRPr="00316752">
        <w:rPr>
          <w:rFonts w:ascii="Arial" w:hAnsi="Arial" w:cs="Arial"/>
        </w:rPr>
        <w:t xml:space="preserve">The survey </w:t>
      </w:r>
      <w:r w:rsidR="00CB3F61">
        <w:rPr>
          <w:rFonts w:ascii="Arial" w:hAnsi="Arial" w:cs="Arial"/>
        </w:rPr>
        <w:t>was primarily intended to gather information to inform the Trust’</w:t>
      </w:r>
      <w:r w:rsidR="00173FD1">
        <w:rPr>
          <w:rFonts w:ascii="Arial" w:hAnsi="Arial" w:cs="Arial"/>
        </w:rPr>
        <w:t>s</w:t>
      </w:r>
      <w:r w:rsidR="00CB3F61">
        <w:rPr>
          <w:rFonts w:ascii="Arial" w:hAnsi="Arial" w:cs="Arial"/>
        </w:rPr>
        <w:t xml:space="preserve"> </w:t>
      </w:r>
      <w:r w:rsidR="00173FD1">
        <w:rPr>
          <w:rFonts w:ascii="Arial" w:hAnsi="Arial" w:cs="Arial"/>
        </w:rPr>
        <w:t>work and s</w:t>
      </w:r>
      <w:r w:rsidR="00CB3F61">
        <w:rPr>
          <w:rFonts w:ascii="Arial" w:hAnsi="Arial" w:cs="Arial"/>
        </w:rPr>
        <w:t>pec</w:t>
      </w:r>
      <w:r w:rsidR="00173FD1">
        <w:rPr>
          <w:rFonts w:ascii="Arial" w:hAnsi="Arial" w:cs="Arial"/>
        </w:rPr>
        <w:t xml:space="preserve">ifically </w:t>
      </w:r>
      <w:r w:rsidRPr="00316752">
        <w:rPr>
          <w:rFonts w:ascii="Arial" w:hAnsi="Arial" w:cs="Arial"/>
        </w:rPr>
        <w:t>aimed to</w:t>
      </w:r>
      <w:r w:rsidR="00624AD6" w:rsidRPr="00316752">
        <w:rPr>
          <w:rFonts w:ascii="Arial" w:hAnsi="Arial" w:cs="Arial"/>
        </w:rPr>
        <w:t xml:space="preserve">: </w:t>
      </w:r>
    </w:p>
    <w:p w14:paraId="088F8031" w14:textId="77777777" w:rsidR="00316752" w:rsidRPr="00316752" w:rsidRDefault="00316752" w:rsidP="00305DAE">
      <w:pPr>
        <w:spacing w:after="0" w:line="480" w:lineRule="auto"/>
        <w:rPr>
          <w:rFonts w:ascii="Arial" w:hAnsi="Arial" w:cs="Arial"/>
        </w:rPr>
      </w:pPr>
    </w:p>
    <w:p w14:paraId="0435800B" w14:textId="77777777" w:rsidR="00624AD6" w:rsidRPr="00316752" w:rsidRDefault="00624AD6" w:rsidP="00305DAE">
      <w:pPr>
        <w:pStyle w:val="Bulletedtext"/>
        <w:spacing w:after="0" w:line="480" w:lineRule="auto"/>
        <w:rPr>
          <w:rFonts w:cs="Arial"/>
          <w:szCs w:val="22"/>
        </w:rPr>
      </w:pPr>
      <w:r w:rsidRPr="00316752">
        <w:rPr>
          <w:rFonts w:cs="Arial"/>
          <w:szCs w:val="22"/>
        </w:rPr>
        <w:t>Quantify</w:t>
      </w:r>
      <w:r w:rsidR="00623EF2" w:rsidRPr="00316752">
        <w:rPr>
          <w:rFonts w:cs="Arial"/>
          <w:szCs w:val="22"/>
        </w:rPr>
        <w:t xml:space="preserve"> the incidence of </w:t>
      </w:r>
      <w:r w:rsidR="0083017F" w:rsidRPr="00316752">
        <w:rPr>
          <w:rFonts w:cs="Arial"/>
          <w:szCs w:val="22"/>
        </w:rPr>
        <w:t>beneficiar</w:t>
      </w:r>
      <w:r w:rsidR="008E7833" w:rsidRPr="00316752">
        <w:rPr>
          <w:rFonts w:cs="Arial"/>
          <w:szCs w:val="22"/>
        </w:rPr>
        <w:t>ies’ h</w:t>
      </w:r>
      <w:r w:rsidRPr="00316752">
        <w:rPr>
          <w:rFonts w:cs="Arial"/>
          <w:szCs w:val="22"/>
        </w:rPr>
        <w:t>ealth problems</w:t>
      </w:r>
    </w:p>
    <w:p w14:paraId="137DC7DE" w14:textId="77777777" w:rsidR="00624AD6" w:rsidRPr="00316752" w:rsidRDefault="00624AD6" w:rsidP="00305DAE">
      <w:pPr>
        <w:pStyle w:val="Bulletedtext"/>
        <w:spacing w:after="0" w:line="480" w:lineRule="auto"/>
        <w:rPr>
          <w:rFonts w:cs="Arial"/>
          <w:szCs w:val="22"/>
        </w:rPr>
      </w:pPr>
      <w:r w:rsidRPr="00316752">
        <w:rPr>
          <w:rFonts w:cs="Arial"/>
          <w:szCs w:val="22"/>
        </w:rPr>
        <w:t>Examine  beneficiaries’ mental and emotional wellbeing</w:t>
      </w:r>
    </w:p>
    <w:p w14:paraId="5B694705" w14:textId="77777777" w:rsidR="00623EF2" w:rsidRPr="00316752" w:rsidRDefault="008E7833" w:rsidP="00305DAE">
      <w:pPr>
        <w:pStyle w:val="Bulletedtext"/>
        <w:spacing w:after="0" w:line="480" w:lineRule="auto"/>
        <w:rPr>
          <w:rFonts w:cs="Arial"/>
          <w:szCs w:val="22"/>
        </w:rPr>
      </w:pPr>
      <w:r w:rsidRPr="00316752">
        <w:rPr>
          <w:rFonts w:cs="Arial"/>
          <w:szCs w:val="22"/>
        </w:rPr>
        <w:t xml:space="preserve">Investigate </w:t>
      </w:r>
      <w:r w:rsidR="00623EF2" w:rsidRPr="00316752">
        <w:rPr>
          <w:rFonts w:cs="Arial"/>
          <w:szCs w:val="22"/>
        </w:rPr>
        <w:t>beneficiaries’ wider circumstances and anticipated future needs.</w:t>
      </w:r>
    </w:p>
    <w:p w14:paraId="70D66D92" w14:textId="77777777" w:rsidR="00316752" w:rsidRDefault="00316752" w:rsidP="00305DAE">
      <w:pPr>
        <w:spacing w:after="0" w:line="480" w:lineRule="auto"/>
        <w:rPr>
          <w:rFonts w:ascii="Arial" w:hAnsi="Arial" w:cs="Arial"/>
        </w:rPr>
      </w:pPr>
    </w:p>
    <w:p w14:paraId="6D366350" w14:textId="34085701" w:rsidR="00624AD6" w:rsidRPr="00316752" w:rsidRDefault="00623EF2" w:rsidP="00305DAE">
      <w:pPr>
        <w:spacing w:after="0" w:line="480" w:lineRule="auto"/>
        <w:rPr>
          <w:rFonts w:ascii="Arial" w:hAnsi="Arial" w:cs="Arial"/>
        </w:rPr>
      </w:pPr>
      <w:r w:rsidRPr="00316752">
        <w:rPr>
          <w:rFonts w:ascii="Arial" w:hAnsi="Arial" w:cs="Arial"/>
        </w:rPr>
        <w:t xml:space="preserve">Survey questions </w:t>
      </w:r>
      <w:r w:rsidR="00624AD6" w:rsidRPr="00316752">
        <w:rPr>
          <w:rFonts w:ascii="Arial" w:hAnsi="Arial" w:cs="Arial"/>
        </w:rPr>
        <w:t>were developed in co</w:t>
      </w:r>
      <w:r w:rsidRPr="00316752">
        <w:rPr>
          <w:rFonts w:ascii="Arial" w:hAnsi="Arial" w:cs="Arial"/>
        </w:rPr>
        <w:t xml:space="preserve">llaboration </w:t>
      </w:r>
      <w:r w:rsidR="00624AD6" w:rsidRPr="00316752">
        <w:rPr>
          <w:rFonts w:ascii="Arial" w:hAnsi="Arial" w:cs="Arial"/>
        </w:rPr>
        <w:t>with the Trust’s Research Committee</w:t>
      </w:r>
      <w:r w:rsidRPr="00316752">
        <w:rPr>
          <w:rFonts w:ascii="Arial" w:hAnsi="Arial" w:cs="Arial"/>
        </w:rPr>
        <w:t>, Trust staff and NAC</w:t>
      </w:r>
      <w:r w:rsidR="00624AD6" w:rsidRPr="00316752">
        <w:rPr>
          <w:rFonts w:ascii="Arial" w:hAnsi="Arial" w:cs="Arial"/>
        </w:rPr>
        <w:t xml:space="preserve">. </w:t>
      </w:r>
      <w:r w:rsidRPr="00316752">
        <w:rPr>
          <w:rFonts w:ascii="Arial" w:hAnsi="Arial" w:cs="Arial"/>
        </w:rPr>
        <w:t xml:space="preserve"> </w:t>
      </w:r>
      <w:r w:rsidR="009177F3">
        <w:rPr>
          <w:rFonts w:ascii="Arial" w:hAnsi="Arial" w:cs="Arial"/>
        </w:rPr>
        <w:t>They covered nine</w:t>
      </w:r>
      <w:r w:rsidR="00CB3F61">
        <w:rPr>
          <w:rFonts w:ascii="Arial" w:hAnsi="Arial" w:cs="Arial"/>
        </w:rPr>
        <w:t xml:space="preserve"> main topics: family and housing; work and pensions; original Thalidomide impairment</w:t>
      </w:r>
      <w:r w:rsidR="009D623D">
        <w:rPr>
          <w:rFonts w:ascii="Arial" w:hAnsi="Arial" w:cs="Arial"/>
        </w:rPr>
        <w:t>s</w:t>
      </w:r>
      <w:r w:rsidR="00CB3F61">
        <w:rPr>
          <w:rFonts w:ascii="Arial" w:hAnsi="Arial" w:cs="Arial"/>
        </w:rPr>
        <w:t xml:space="preserve">; mobility and equipment; health problems; use of </w:t>
      </w:r>
      <w:r w:rsidR="00CB3F61">
        <w:rPr>
          <w:rFonts w:ascii="Arial" w:hAnsi="Arial" w:cs="Arial"/>
        </w:rPr>
        <w:lastRenderedPageBreak/>
        <w:t>health services; social care support; emotional wellbeing</w:t>
      </w:r>
      <w:r w:rsidR="009177F3">
        <w:rPr>
          <w:rFonts w:ascii="Arial" w:hAnsi="Arial" w:cs="Arial"/>
        </w:rPr>
        <w:t>;</w:t>
      </w:r>
      <w:r w:rsidR="00CB3F61">
        <w:rPr>
          <w:rFonts w:ascii="Arial" w:hAnsi="Arial" w:cs="Arial"/>
        </w:rPr>
        <w:t xml:space="preserve"> and health related quality of life. </w:t>
      </w:r>
      <w:r w:rsidR="00987DDD">
        <w:rPr>
          <w:rFonts w:ascii="Arial" w:hAnsi="Arial" w:cs="Arial"/>
        </w:rPr>
        <w:t xml:space="preserve"> </w:t>
      </w:r>
      <w:r w:rsidR="00CB3F61">
        <w:rPr>
          <w:rFonts w:ascii="Arial" w:hAnsi="Arial" w:cs="Arial"/>
        </w:rPr>
        <w:t xml:space="preserve">This final topic was explored using </w:t>
      </w:r>
      <w:r w:rsidR="00DF4EA0">
        <w:rPr>
          <w:rFonts w:ascii="Arial" w:hAnsi="Arial" w:cs="Arial"/>
        </w:rPr>
        <w:t>the</w:t>
      </w:r>
      <w:r w:rsidR="00624AD6" w:rsidRPr="00316752">
        <w:rPr>
          <w:rFonts w:ascii="Arial" w:hAnsi="Arial" w:cs="Arial"/>
        </w:rPr>
        <w:t xml:space="preserve"> </w:t>
      </w:r>
      <w:r w:rsidR="00DF4EA0">
        <w:rPr>
          <w:rFonts w:ascii="Arial" w:hAnsi="Arial" w:cs="Arial"/>
        </w:rPr>
        <w:t xml:space="preserve">Short Form 12 Health Survey (SF12), </w:t>
      </w:r>
      <w:r w:rsidR="00DF4EA0" w:rsidRPr="00DF4EA0">
        <w:rPr>
          <w:rFonts w:ascii="Arial" w:hAnsi="Arial" w:cs="Arial"/>
        </w:rPr>
        <w:t>a 12-item version of the Short Form-36 Health Survey Questionnaire</w:t>
      </w:r>
      <w:r w:rsidR="002B0BB1">
        <w:rPr>
          <w:rFonts w:ascii="Arial" w:hAnsi="Arial" w:cs="Arial"/>
        </w:rPr>
        <w:t>,</w:t>
      </w:r>
      <w:r w:rsidR="002B0BB1" w:rsidRPr="002B0BB1">
        <w:rPr>
          <w:rFonts w:ascii="Arial" w:hAnsi="Arial" w:cs="Arial"/>
        </w:rPr>
        <w:t xml:space="preserve"> widely used in health research in the UK and internationally, </w:t>
      </w:r>
      <w:r w:rsidR="00DF4EA0">
        <w:rPr>
          <w:rFonts w:ascii="Arial" w:hAnsi="Arial" w:cs="Arial"/>
        </w:rPr>
        <w:t>to measure</w:t>
      </w:r>
      <w:r w:rsidR="00DF4EA0" w:rsidRPr="00DF4EA0">
        <w:rPr>
          <w:rFonts w:ascii="Arial" w:hAnsi="Arial" w:cs="Arial"/>
        </w:rPr>
        <w:t xml:space="preserve"> </w:t>
      </w:r>
      <w:r w:rsidR="00DF4EA0">
        <w:rPr>
          <w:rFonts w:ascii="Arial" w:hAnsi="Arial" w:cs="Arial"/>
        </w:rPr>
        <w:t>health related q</w:t>
      </w:r>
      <w:r w:rsidR="0033779E" w:rsidRPr="0033779E">
        <w:rPr>
          <w:rFonts w:ascii="Arial" w:hAnsi="Arial" w:cs="Arial"/>
        </w:rPr>
        <w:t>uali</w:t>
      </w:r>
      <w:r w:rsidR="00DF4EA0">
        <w:rPr>
          <w:rFonts w:ascii="Arial" w:hAnsi="Arial" w:cs="Arial"/>
        </w:rPr>
        <w:t>ty of life</w:t>
      </w:r>
      <w:r w:rsidR="0033779E">
        <w:rPr>
          <w:rFonts w:ascii="Arial" w:hAnsi="Arial" w:cs="Arial"/>
        </w:rPr>
        <w:t xml:space="preserve">. </w:t>
      </w:r>
      <w:r w:rsidR="00CB3F61">
        <w:rPr>
          <w:rFonts w:ascii="Arial" w:hAnsi="Arial" w:cs="Arial"/>
        </w:rPr>
        <w:t xml:space="preserve">This </w:t>
      </w:r>
      <w:r w:rsidR="00942EC5">
        <w:rPr>
          <w:rFonts w:ascii="Arial" w:hAnsi="Arial" w:cs="Arial"/>
        </w:rPr>
        <w:t xml:space="preserve">paper draws on the survey data about respondents’ characteristics and then focuses on two topics - health problems and health related quality of life. Data on the other topics explored in the survey have proved valuable to the Thalidomide Trust but are not discussed here. </w:t>
      </w:r>
    </w:p>
    <w:p w14:paraId="5A8CD5D8" w14:textId="77777777" w:rsidR="00316752" w:rsidRDefault="00316752" w:rsidP="00305DAE">
      <w:pPr>
        <w:pStyle w:val="BodyText"/>
        <w:spacing w:after="0" w:line="480" w:lineRule="auto"/>
        <w:rPr>
          <w:rFonts w:cs="Arial"/>
          <w:szCs w:val="22"/>
        </w:rPr>
      </w:pPr>
    </w:p>
    <w:p w14:paraId="67F49AF4" w14:textId="29E8F760" w:rsidR="00F70F67" w:rsidRPr="00316752" w:rsidRDefault="00624AD6" w:rsidP="00305DAE">
      <w:pPr>
        <w:pStyle w:val="BodyText"/>
        <w:spacing w:after="0" w:line="480" w:lineRule="auto"/>
        <w:rPr>
          <w:rFonts w:cs="Arial"/>
          <w:szCs w:val="22"/>
        </w:rPr>
      </w:pPr>
      <w:r w:rsidRPr="00316752">
        <w:rPr>
          <w:rFonts w:cs="Arial"/>
          <w:szCs w:val="22"/>
        </w:rPr>
        <w:t xml:space="preserve">The </w:t>
      </w:r>
      <w:r w:rsidR="00F26256">
        <w:rPr>
          <w:rFonts w:cs="Arial"/>
          <w:szCs w:val="22"/>
        </w:rPr>
        <w:t>self-completion</w:t>
      </w:r>
      <w:r w:rsidRPr="00316752">
        <w:rPr>
          <w:rFonts w:cs="Arial"/>
          <w:szCs w:val="22"/>
        </w:rPr>
        <w:t xml:space="preserve"> questionnaire was piloted on</w:t>
      </w:r>
      <w:r w:rsidR="008E7833" w:rsidRPr="00316752">
        <w:rPr>
          <w:rFonts w:cs="Arial"/>
          <w:szCs w:val="22"/>
        </w:rPr>
        <w:t>l</w:t>
      </w:r>
      <w:r w:rsidRPr="00316752">
        <w:rPr>
          <w:rFonts w:cs="Arial"/>
          <w:szCs w:val="22"/>
        </w:rPr>
        <w:t xml:space="preserve">ine and on paper with </w:t>
      </w:r>
      <w:r w:rsidR="00C30E10">
        <w:rPr>
          <w:rFonts w:cs="Arial"/>
          <w:szCs w:val="22"/>
        </w:rPr>
        <w:t>ten</w:t>
      </w:r>
      <w:r w:rsidR="008E7833" w:rsidRPr="00316752">
        <w:rPr>
          <w:rFonts w:cs="Arial"/>
          <w:szCs w:val="22"/>
        </w:rPr>
        <w:t xml:space="preserve"> </w:t>
      </w:r>
      <w:r w:rsidRPr="00316752">
        <w:rPr>
          <w:rFonts w:cs="Arial"/>
          <w:szCs w:val="22"/>
        </w:rPr>
        <w:t>beneficiaries</w:t>
      </w:r>
      <w:r w:rsidR="00F70F67" w:rsidRPr="00316752">
        <w:rPr>
          <w:rFonts w:cs="Arial"/>
          <w:szCs w:val="22"/>
        </w:rPr>
        <w:t xml:space="preserve"> </w:t>
      </w:r>
      <w:r w:rsidR="00970313">
        <w:rPr>
          <w:rFonts w:cs="Arial"/>
          <w:szCs w:val="22"/>
        </w:rPr>
        <w:t xml:space="preserve">with a </w:t>
      </w:r>
      <w:r w:rsidR="00C37B27">
        <w:rPr>
          <w:rFonts w:cs="Arial"/>
          <w:szCs w:val="22"/>
        </w:rPr>
        <w:t xml:space="preserve">range of </w:t>
      </w:r>
      <w:r w:rsidR="008E7833" w:rsidRPr="00316752">
        <w:rPr>
          <w:rFonts w:cs="Arial"/>
          <w:szCs w:val="22"/>
        </w:rPr>
        <w:t>i</w:t>
      </w:r>
      <w:r w:rsidRPr="00316752">
        <w:rPr>
          <w:rFonts w:cs="Arial"/>
          <w:szCs w:val="22"/>
        </w:rPr>
        <w:t xml:space="preserve">mpairment </w:t>
      </w:r>
      <w:r w:rsidR="00F70F67" w:rsidRPr="00316752">
        <w:rPr>
          <w:rFonts w:cs="Arial"/>
          <w:szCs w:val="22"/>
        </w:rPr>
        <w:t>severit</w:t>
      </w:r>
      <w:r w:rsidR="00C37B27">
        <w:rPr>
          <w:rFonts w:cs="Arial"/>
          <w:szCs w:val="22"/>
        </w:rPr>
        <w:t>y</w:t>
      </w:r>
      <w:r w:rsidR="00F70F67" w:rsidRPr="00316752">
        <w:rPr>
          <w:rFonts w:cs="Arial"/>
          <w:szCs w:val="22"/>
        </w:rPr>
        <w:t xml:space="preserve">. </w:t>
      </w:r>
      <w:r w:rsidR="00CB2146" w:rsidRPr="00316752">
        <w:rPr>
          <w:rFonts w:cs="Arial"/>
          <w:szCs w:val="22"/>
        </w:rPr>
        <w:t xml:space="preserve">  </w:t>
      </w:r>
      <w:r w:rsidR="008E7833" w:rsidRPr="00316752">
        <w:rPr>
          <w:rFonts w:cs="Arial"/>
          <w:szCs w:val="22"/>
        </w:rPr>
        <w:t xml:space="preserve">Paper copies of the final version were </w:t>
      </w:r>
      <w:r w:rsidRPr="00316752">
        <w:rPr>
          <w:rFonts w:cs="Arial"/>
          <w:szCs w:val="22"/>
        </w:rPr>
        <w:t>sent to all ben</w:t>
      </w:r>
      <w:r w:rsidR="00337DFC" w:rsidRPr="00316752">
        <w:rPr>
          <w:rFonts w:cs="Arial"/>
          <w:szCs w:val="22"/>
        </w:rPr>
        <w:t>eficiaries in early August 2015</w:t>
      </w:r>
      <w:r w:rsidRPr="00316752">
        <w:rPr>
          <w:rFonts w:cs="Arial"/>
          <w:szCs w:val="22"/>
        </w:rPr>
        <w:t xml:space="preserve"> together with an information sheet and covering </w:t>
      </w:r>
      <w:r w:rsidR="00F26256">
        <w:rPr>
          <w:rFonts w:cs="Arial"/>
          <w:szCs w:val="22"/>
        </w:rPr>
        <w:t xml:space="preserve">joint </w:t>
      </w:r>
      <w:r w:rsidRPr="00316752">
        <w:rPr>
          <w:rFonts w:cs="Arial"/>
          <w:szCs w:val="22"/>
        </w:rPr>
        <w:t>letter fro</w:t>
      </w:r>
      <w:r w:rsidR="008E7833" w:rsidRPr="00316752">
        <w:rPr>
          <w:rFonts w:cs="Arial"/>
          <w:szCs w:val="22"/>
        </w:rPr>
        <w:t>m the Trust</w:t>
      </w:r>
      <w:r w:rsidRPr="00316752">
        <w:rPr>
          <w:rFonts w:cs="Arial"/>
          <w:szCs w:val="22"/>
        </w:rPr>
        <w:t xml:space="preserve"> Director and </w:t>
      </w:r>
      <w:r w:rsidR="008E7833" w:rsidRPr="00316752">
        <w:rPr>
          <w:rFonts w:cs="Arial"/>
          <w:szCs w:val="22"/>
        </w:rPr>
        <w:t xml:space="preserve">NAC </w:t>
      </w:r>
      <w:r w:rsidRPr="00316752">
        <w:rPr>
          <w:rFonts w:cs="Arial"/>
          <w:szCs w:val="22"/>
        </w:rPr>
        <w:t>Health and Wellbeing Committee</w:t>
      </w:r>
      <w:r w:rsidR="00F70F67" w:rsidRPr="00316752">
        <w:rPr>
          <w:rFonts w:cs="Arial"/>
          <w:szCs w:val="22"/>
        </w:rPr>
        <w:t xml:space="preserve"> Chair</w:t>
      </w:r>
      <w:r w:rsidRPr="00316752">
        <w:rPr>
          <w:rFonts w:cs="Arial"/>
          <w:szCs w:val="22"/>
        </w:rPr>
        <w:t xml:space="preserve">. </w:t>
      </w:r>
      <w:r w:rsidR="008E7833" w:rsidRPr="00316752">
        <w:rPr>
          <w:rFonts w:cs="Arial"/>
          <w:szCs w:val="22"/>
        </w:rPr>
        <w:t xml:space="preserve"> B</w:t>
      </w:r>
      <w:r w:rsidRPr="00316752">
        <w:rPr>
          <w:rFonts w:cs="Arial"/>
          <w:szCs w:val="22"/>
        </w:rPr>
        <w:t>eneficiaries who had previously informed the Trust they were</w:t>
      </w:r>
      <w:r w:rsidR="00337DFC" w:rsidRPr="00316752">
        <w:rPr>
          <w:rFonts w:cs="Arial"/>
          <w:szCs w:val="22"/>
        </w:rPr>
        <w:t xml:space="preserve"> willing </w:t>
      </w:r>
      <w:r w:rsidRPr="00316752">
        <w:rPr>
          <w:rFonts w:cs="Arial"/>
          <w:szCs w:val="22"/>
        </w:rPr>
        <w:t>to be conta</w:t>
      </w:r>
      <w:r w:rsidR="00F70F67" w:rsidRPr="00316752">
        <w:rPr>
          <w:rFonts w:cs="Arial"/>
          <w:szCs w:val="22"/>
        </w:rPr>
        <w:t xml:space="preserve">cted by email were also sent </w:t>
      </w:r>
      <w:r w:rsidR="00CB2146" w:rsidRPr="00316752">
        <w:rPr>
          <w:rFonts w:cs="Arial"/>
          <w:szCs w:val="22"/>
        </w:rPr>
        <w:t xml:space="preserve">the </w:t>
      </w:r>
      <w:r w:rsidRPr="00316752">
        <w:rPr>
          <w:rFonts w:cs="Arial"/>
          <w:szCs w:val="22"/>
        </w:rPr>
        <w:t>link t</w:t>
      </w:r>
      <w:r w:rsidR="00CB2146" w:rsidRPr="00316752">
        <w:rPr>
          <w:rFonts w:cs="Arial"/>
          <w:szCs w:val="22"/>
        </w:rPr>
        <w:t xml:space="preserve">o an online version; </w:t>
      </w:r>
      <w:r w:rsidR="00337DFC" w:rsidRPr="00316752">
        <w:rPr>
          <w:rFonts w:cs="Arial"/>
          <w:szCs w:val="22"/>
        </w:rPr>
        <w:t>the option of a t</w:t>
      </w:r>
      <w:r w:rsidR="00F70F67" w:rsidRPr="00316752">
        <w:rPr>
          <w:rFonts w:cs="Arial"/>
          <w:szCs w:val="22"/>
        </w:rPr>
        <w:t>elephone interview with a member of the research team</w:t>
      </w:r>
      <w:r w:rsidR="00337DFC" w:rsidRPr="00316752">
        <w:rPr>
          <w:rFonts w:cs="Arial"/>
          <w:szCs w:val="22"/>
        </w:rPr>
        <w:t xml:space="preserve"> was also offered</w:t>
      </w:r>
      <w:r w:rsidR="00F70F67" w:rsidRPr="00316752">
        <w:rPr>
          <w:rFonts w:cs="Arial"/>
          <w:szCs w:val="22"/>
        </w:rPr>
        <w:t xml:space="preserve">.  One reminder letter was sent and the survey </w:t>
      </w:r>
      <w:r w:rsidRPr="00316752">
        <w:rPr>
          <w:rFonts w:cs="Arial"/>
          <w:szCs w:val="22"/>
        </w:rPr>
        <w:t>closed end September</w:t>
      </w:r>
      <w:r w:rsidR="00CB2146" w:rsidRPr="00316752">
        <w:rPr>
          <w:rFonts w:cs="Arial"/>
          <w:szCs w:val="22"/>
        </w:rPr>
        <w:t xml:space="preserve"> </w:t>
      </w:r>
      <w:r w:rsidR="00337DFC" w:rsidRPr="00316752">
        <w:rPr>
          <w:rFonts w:cs="Arial"/>
          <w:szCs w:val="22"/>
        </w:rPr>
        <w:t xml:space="preserve">2015 </w:t>
      </w:r>
      <w:r w:rsidR="00CB2146" w:rsidRPr="00316752">
        <w:rPr>
          <w:rFonts w:cs="Arial"/>
          <w:szCs w:val="22"/>
        </w:rPr>
        <w:t>with responses f</w:t>
      </w:r>
      <w:r w:rsidR="00337DFC" w:rsidRPr="00316752">
        <w:rPr>
          <w:rFonts w:cs="Arial"/>
          <w:szCs w:val="22"/>
        </w:rPr>
        <w:t>rom 351 Thalidomide survivors (</w:t>
      </w:r>
      <w:r w:rsidR="00CB2146" w:rsidRPr="00316752">
        <w:rPr>
          <w:rFonts w:cs="Arial"/>
          <w:szCs w:val="22"/>
        </w:rPr>
        <w:t xml:space="preserve">75% </w:t>
      </w:r>
      <w:r w:rsidR="00F70F67" w:rsidRPr="00316752">
        <w:rPr>
          <w:rFonts w:cs="Arial"/>
          <w:szCs w:val="22"/>
        </w:rPr>
        <w:t>respon</w:t>
      </w:r>
      <w:r w:rsidRPr="00316752">
        <w:rPr>
          <w:rFonts w:cs="Arial"/>
          <w:szCs w:val="22"/>
        </w:rPr>
        <w:t>se rate</w:t>
      </w:r>
      <w:r w:rsidR="00CB2146" w:rsidRPr="00316752">
        <w:rPr>
          <w:rFonts w:cs="Arial"/>
          <w:szCs w:val="22"/>
        </w:rPr>
        <w:t xml:space="preserve">).  </w:t>
      </w:r>
      <w:r w:rsidRPr="00316752">
        <w:rPr>
          <w:rFonts w:cs="Arial"/>
          <w:szCs w:val="22"/>
        </w:rPr>
        <w:t xml:space="preserve"> Four </w:t>
      </w:r>
      <w:r w:rsidR="00F70F67" w:rsidRPr="00316752">
        <w:rPr>
          <w:rFonts w:cs="Arial"/>
          <w:szCs w:val="22"/>
        </w:rPr>
        <w:t xml:space="preserve">responses were completed </w:t>
      </w:r>
      <w:r w:rsidRPr="00316752">
        <w:rPr>
          <w:rFonts w:cs="Arial"/>
          <w:szCs w:val="22"/>
        </w:rPr>
        <w:t>by</w:t>
      </w:r>
      <w:r w:rsidR="00CB2146" w:rsidRPr="00316752">
        <w:rPr>
          <w:rFonts w:cs="Arial"/>
          <w:szCs w:val="22"/>
        </w:rPr>
        <w:t xml:space="preserve"> </w:t>
      </w:r>
      <w:r w:rsidRPr="00316752">
        <w:rPr>
          <w:rFonts w:cs="Arial"/>
          <w:szCs w:val="22"/>
        </w:rPr>
        <w:t>family member</w:t>
      </w:r>
      <w:r w:rsidR="00CB2146" w:rsidRPr="00316752">
        <w:rPr>
          <w:rFonts w:cs="Arial"/>
          <w:szCs w:val="22"/>
        </w:rPr>
        <w:t>s/g</w:t>
      </w:r>
      <w:r w:rsidRPr="00316752">
        <w:rPr>
          <w:rFonts w:cs="Arial"/>
          <w:szCs w:val="22"/>
        </w:rPr>
        <w:t>uardian</w:t>
      </w:r>
      <w:r w:rsidR="00CB2146" w:rsidRPr="00316752">
        <w:rPr>
          <w:rFonts w:cs="Arial"/>
          <w:szCs w:val="22"/>
        </w:rPr>
        <w:t xml:space="preserve">s on behalf of beneficiaries.  </w:t>
      </w:r>
      <w:r w:rsidR="002E469C" w:rsidRPr="00316752">
        <w:rPr>
          <w:rFonts w:cs="Arial"/>
          <w:szCs w:val="22"/>
        </w:rPr>
        <w:t xml:space="preserve">Although respondents could opt to complete the survey anonymously, 87% gave their names, which enabled </w:t>
      </w:r>
      <w:r w:rsidR="006F356F">
        <w:rPr>
          <w:rFonts w:cs="Arial"/>
          <w:szCs w:val="22"/>
        </w:rPr>
        <w:t xml:space="preserve">their survey responses to be linked to information </w:t>
      </w:r>
      <w:r w:rsidR="00E44928">
        <w:rPr>
          <w:rFonts w:cs="Arial"/>
          <w:szCs w:val="22"/>
        </w:rPr>
        <w:t xml:space="preserve">held by the Trust </w:t>
      </w:r>
      <w:r w:rsidR="006F356F">
        <w:rPr>
          <w:rFonts w:cs="Arial"/>
          <w:szCs w:val="22"/>
        </w:rPr>
        <w:t xml:space="preserve">about </w:t>
      </w:r>
      <w:r w:rsidR="00E44928">
        <w:rPr>
          <w:rFonts w:cs="Arial"/>
          <w:szCs w:val="22"/>
        </w:rPr>
        <w:t xml:space="preserve">their </w:t>
      </w:r>
      <w:r w:rsidR="002E469C" w:rsidRPr="00316752">
        <w:rPr>
          <w:rFonts w:cs="Arial"/>
          <w:szCs w:val="22"/>
        </w:rPr>
        <w:t xml:space="preserve">impairment </w:t>
      </w:r>
      <w:r w:rsidR="006F356F">
        <w:rPr>
          <w:rFonts w:cs="Arial"/>
          <w:szCs w:val="22"/>
        </w:rPr>
        <w:t>level</w:t>
      </w:r>
      <w:r w:rsidR="00337DFC" w:rsidRPr="00316752">
        <w:rPr>
          <w:rFonts w:cs="Arial"/>
          <w:szCs w:val="22"/>
        </w:rPr>
        <w:t xml:space="preserve"> </w:t>
      </w:r>
      <w:r w:rsidR="00CB2146" w:rsidRPr="00316752">
        <w:rPr>
          <w:rFonts w:cs="Arial"/>
          <w:szCs w:val="22"/>
        </w:rPr>
        <w:t>and count</w:t>
      </w:r>
      <w:r w:rsidR="006F356F">
        <w:rPr>
          <w:rFonts w:cs="Arial"/>
          <w:szCs w:val="22"/>
        </w:rPr>
        <w:t>ry of residence</w:t>
      </w:r>
      <w:r w:rsidR="00CB2146" w:rsidRPr="00316752">
        <w:rPr>
          <w:rFonts w:cs="Arial"/>
          <w:szCs w:val="22"/>
        </w:rPr>
        <w:t xml:space="preserve">.  </w:t>
      </w:r>
      <w:r w:rsidR="002E469C" w:rsidRPr="00316752">
        <w:rPr>
          <w:rFonts w:cs="Arial"/>
          <w:szCs w:val="22"/>
        </w:rPr>
        <w:t xml:space="preserve"> </w:t>
      </w:r>
    </w:p>
    <w:p w14:paraId="2DE97A87" w14:textId="77777777" w:rsidR="006F356F" w:rsidRDefault="006F356F" w:rsidP="00305DAE">
      <w:pPr>
        <w:pStyle w:val="BodyText"/>
        <w:spacing w:after="0" w:line="480" w:lineRule="auto"/>
        <w:rPr>
          <w:rFonts w:cs="Arial"/>
          <w:szCs w:val="22"/>
        </w:rPr>
      </w:pPr>
    </w:p>
    <w:p w14:paraId="710E587E" w14:textId="5F0E798C" w:rsidR="00624AD6" w:rsidRDefault="002A3629" w:rsidP="00305DAE">
      <w:pPr>
        <w:pStyle w:val="BodyText"/>
        <w:spacing w:after="0" w:line="480" w:lineRule="auto"/>
        <w:rPr>
          <w:rFonts w:cs="Arial"/>
          <w:szCs w:val="22"/>
        </w:rPr>
      </w:pPr>
      <w:r>
        <w:rPr>
          <w:rFonts w:cs="Arial"/>
          <w:szCs w:val="22"/>
        </w:rPr>
        <w:t>The overall analysis</w:t>
      </w:r>
      <w:r w:rsidR="00C30E10">
        <w:rPr>
          <w:rFonts w:cs="Arial"/>
          <w:szCs w:val="22"/>
        </w:rPr>
        <w:t xml:space="preserve"> – using SPSS (version 24)</w:t>
      </w:r>
      <w:r>
        <w:rPr>
          <w:rFonts w:cs="Arial"/>
          <w:szCs w:val="22"/>
        </w:rPr>
        <w:t xml:space="preserve"> focused on </w:t>
      </w:r>
      <w:r w:rsidR="00624AD6" w:rsidRPr="00316752">
        <w:rPr>
          <w:rFonts w:cs="Arial"/>
          <w:szCs w:val="22"/>
        </w:rPr>
        <w:t>descriptive statistics</w:t>
      </w:r>
      <w:r>
        <w:rPr>
          <w:rFonts w:cs="Arial"/>
          <w:szCs w:val="22"/>
        </w:rPr>
        <w:t xml:space="preserve">. </w:t>
      </w:r>
      <w:r w:rsidR="00CD505A">
        <w:rPr>
          <w:rFonts w:cs="Arial"/>
          <w:szCs w:val="22"/>
        </w:rPr>
        <w:t xml:space="preserve"> </w:t>
      </w:r>
      <w:r w:rsidR="00C30E10">
        <w:rPr>
          <w:rFonts w:cs="Arial"/>
          <w:szCs w:val="22"/>
        </w:rPr>
        <w:t>W</w:t>
      </w:r>
      <w:r>
        <w:rPr>
          <w:rFonts w:cs="Arial"/>
          <w:szCs w:val="22"/>
        </w:rPr>
        <w:t>e also examined t</w:t>
      </w:r>
      <w:r w:rsidR="00717C5A">
        <w:rPr>
          <w:rFonts w:cs="Arial"/>
          <w:szCs w:val="22"/>
        </w:rPr>
        <w:t xml:space="preserve">he </w:t>
      </w:r>
      <w:r w:rsidR="006B2DE0">
        <w:rPr>
          <w:rFonts w:cs="Arial"/>
          <w:szCs w:val="22"/>
        </w:rPr>
        <w:t>association</w:t>
      </w:r>
      <w:r w:rsidR="00717C5A">
        <w:rPr>
          <w:rFonts w:cs="Arial"/>
          <w:szCs w:val="22"/>
        </w:rPr>
        <w:t xml:space="preserve"> between </w:t>
      </w:r>
      <w:r w:rsidR="00E44928">
        <w:rPr>
          <w:rFonts w:cs="Arial"/>
          <w:szCs w:val="22"/>
        </w:rPr>
        <w:t xml:space="preserve">respondents’ </w:t>
      </w:r>
      <w:r w:rsidR="006F356F">
        <w:rPr>
          <w:rFonts w:cs="Arial"/>
          <w:szCs w:val="22"/>
        </w:rPr>
        <w:t>health related quality of life</w:t>
      </w:r>
      <w:r>
        <w:rPr>
          <w:rFonts w:cs="Arial"/>
          <w:szCs w:val="22"/>
        </w:rPr>
        <w:t xml:space="preserve"> and</w:t>
      </w:r>
      <w:r w:rsidR="00717C5A">
        <w:rPr>
          <w:rFonts w:cs="Arial"/>
          <w:szCs w:val="22"/>
        </w:rPr>
        <w:t xml:space="preserve"> original impairment</w:t>
      </w:r>
      <w:r w:rsidRPr="002A3629">
        <w:rPr>
          <w:rFonts w:cs="Arial"/>
          <w:szCs w:val="22"/>
        </w:rPr>
        <w:t xml:space="preserve"> </w:t>
      </w:r>
      <w:r>
        <w:rPr>
          <w:rFonts w:cs="Arial"/>
          <w:szCs w:val="22"/>
        </w:rPr>
        <w:t>using P</w:t>
      </w:r>
      <w:r w:rsidR="00CD505A">
        <w:rPr>
          <w:rFonts w:cs="Arial"/>
          <w:szCs w:val="22"/>
        </w:rPr>
        <w:t>earson</w:t>
      </w:r>
      <w:r>
        <w:rPr>
          <w:rFonts w:cs="Arial"/>
          <w:szCs w:val="22"/>
        </w:rPr>
        <w:t xml:space="preserve"> Correlation</w:t>
      </w:r>
      <w:r w:rsidR="00717C5A">
        <w:rPr>
          <w:rFonts w:cs="Arial"/>
          <w:szCs w:val="22"/>
        </w:rPr>
        <w:t xml:space="preserve">, and </w:t>
      </w:r>
      <w:r w:rsidR="00CD505A">
        <w:rPr>
          <w:rFonts w:cs="Arial"/>
          <w:szCs w:val="22"/>
        </w:rPr>
        <w:t xml:space="preserve">then used a three step Hierarchical Regression to explore the influence of </w:t>
      </w:r>
      <w:r w:rsidR="00717C5A">
        <w:rPr>
          <w:rFonts w:cs="Arial"/>
          <w:szCs w:val="22"/>
        </w:rPr>
        <w:t>othe</w:t>
      </w:r>
      <w:r w:rsidR="006B2DE0">
        <w:rPr>
          <w:rFonts w:cs="Arial"/>
          <w:szCs w:val="22"/>
        </w:rPr>
        <w:t xml:space="preserve">r factors, </w:t>
      </w:r>
      <w:r w:rsidR="00717C5A">
        <w:rPr>
          <w:rFonts w:cs="Arial"/>
          <w:szCs w:val="22"/>
        </w:rPr>
        <w:t>which the narrative responses in the survey had suggested might be</w:t>
      </w:r>
      <w:r w:rsidR="00CD505A">
        <w:rPr>
          <w:rFonts w:cs="Arial"/>
          <w:szCs w:val="22"/>
        </w:rPr>
        <w:t xml:space="preserve"> important</w:t>
      </w:r>
      <w:r w:rsidR="006B2DE0">
        <w:rPr>
          <w:rFonts w:cs="Arial"/>
          <w:szCs w:val="22"/>
        </w:rPr>
        <w:t xml:space="preserve"> (i.e. step 1 - </w:t>
      </w:r>
      <w:r w:rsidR="006B2DE0">
        <w:rPr>
          <w:rFonts w:eastAsia="Calibri" w:cs="Arial"/>
        </w:rPr>
        <w:t>original impairment level</w:t>
      </w:r>
      <w:r w:rsidR="006B2DE0" w:rsidRPr="00C8126A">
        <w:rPr>
          <w:rFonts w:eastAsia="Calibri" w:cs="Arial"/>
        </w:rPr>
        <w:t xml:space="preserve">; </w:t>
      </w:r>
      <w:r w:rsidR="006B2DE0">
        <w:rPr>
          <w:rFonts w:eastAsia="Calibri" w:cs="Arial"/>
        </w:rPr>
        <w:t xml:space="preserve">step 2 - </w:t>
      </w:r>
      <w:r w:rsidR="006B2DE0" w:rsidRPr="00C8126A">
        <w:rPr>
          <w:rFonts w:eastAsia="Calibri" w:cs="Arial"/>
        </w:rPr>
        <w:t xml:space="preserve">being unable to work and qualifications; and </w:t>
      </w:r>
      <w:r w:rsidR="006B2DE0">
        <w:rPr>
          <w:rFonts w:eastAsia="Calibri" w:cs="Arial"/>
        </w:rPr>
        <w:t xml:space="preserve">step 3 - </w:t>
      </w:r>
      <w:r w:rsidR="006B2DE0" w:rsidRPr="00C8126A">
        <w:rPr>
          <w:rFonts w:eastAsia="Calibri" w:cs="Arial"/>
        </w:rPr>
        <w:t>gender and living alone</w:t>
      </w:r>
      <w:r w:rsidR="006B2DE0">
        <w:rPr>
          <w:rFonts w:eastAsia="Calibri" w:cs="Arial"/>
        </w:rPr>
        <w:t>)</w:t>
      </w:r>
      <w:r w:rsidR="00624AD6" w:rsidRPr="00316752">
        <w:rPr>
          <w:rFonts w:cs="Arial"/>
          <w:szCs w:val="22"/>
        </w:rPr>
        <w:t xml:space="preserve">. </w:t>
      </w:r>
      <w:r w:rsidR="006B2DE0" w:rsidRPr="006B2DE0">
        <w:rPr>
          <w:rFonts w:cs="Arial"/>
          <w:szCs w:val="22"/>
        </w:rPr>
        <w:t>Multicollinearity checks were run on all predictor varia</w:t>
      </w:r>
      <w:r w:rsidR="006B2DE0">
        <w:rPr>
          <w:rFonts w:cs="Arial"/>
          <w:szCs w:val="22"/>
        </w:rPr>
        <w:t xml:space="preserve">bles included in the models. </w:t>
      </w:r>
      <w:r w:rsidR="00DB553B">
        <w:rPr>
          <w:rFonts w:cs="Arial"/>
          <w:szCs w:val="22"/>
        </w:rPr>
        <w:t xml:space="preserve">Where possible and appropriate, the </w:t>
      </w:r>
      <w:r w:rsidR="00DB553B">
        <w:rPr>
          <w:rFonts w:cs="Arial"/>
          <w:szCs w:val="22"/>
        </w:rPr>
        <w:lastRenderedPageBreak/>
        <w:t>findings from the survey were compared with the gene</w:t>
      </w:r>
      <w:r w:rsidR="00CC7E74">
        <w:rPr>
          <w:rFonts w:cs="Arial"/>
          <w:szCs w:val="22"/>
        </w:rPr>
        <w:t>ral population of a similar ag</w:t>
      </w:r>
      <w:r w:rsidR="00641CF3">
        <w:rPr>
          <w:rFonts w:cs="Arial"/>
          <w:szCs w:val="22"/>
        </w:rPr>
        <w:t xml:space="preserve">e </w:t>
      </w:r>
      <w:r w:rsidR="00DB553B">
        <w:rPr>
          <w:rFonts w:cs="Arial"/>
          <w:szCs w:val="22"/>
        </w:rPr>
        <w:t>and/or to findings from studies of the health of Thalidomide survivors in other countries.</w:t>
      </w:r>
      <w:r w:rsidR="00CB2146" w:rsidRPr="00316752">
        <w:rPr>
          <w:rFonts w:cs="Arial"/>
          <w:szCs w:val="22"/>
        </w:rPr>
        <w:t xml:space="preserve"> C</w:t>
      </w:r>
      <w:r w:rsidR="00624AD6" w:rsidRPr="00316752">
        <w:rPr>
          <w:rFonts w:cs="Arial"/>
          <w:szCs w:val="22"/>
        </w:rPr>
        <w:t>omments and additional information provided in free text boxes were analysed thematically.</w:t>
      </w:r>
      <w:r w:rsidR="00987DDD">
        <w:rPr>
          <w:rFonts w:cs="Arial"/>
          <w:szCs w:val="22"/>
        </w:rPr>
        <w:t xml:space="preserve"> </w:t>
      </w:r>
      <w:r w:rsidR="00B672C9">
        <w:rPr>
          <w:rFonts w:cs="Arial"/>
          <w:szCs w:val="22"/>
        </w:rPr>
        <w:t>This are not reported here in detail but quotations from these narrative responses are used to illustrate findings form the survey.</w:t>
      </w:r>
    </w:p>
    <w:p w14:paraId="722407EF" w14:textId="77777777" w:rsidR="00627990" w:rsidRDefault="00627990" w:rsidP="00305DAE">
      <w:pPr>
        <w:pStyle w:val="BodyText"/>
        <w:spacing w:after="0" w:line="480" w:lineRule="auto"/>
        <w:rPr>
          <w:rFonts w:cs="Arial"/>
          <w:szCs w:val="22"/>
        </w:rPr>
      </w:pPr>
    </w:p>
    <w:p w14:paraId="304DA2B8" w14:textId="789A03AE" w:rsidR="00B24E49" w:rsidRDefault="00627990" w:rsidP="001603AB">
      <w:pPr>
        <w:spacing w:after="0" w:line="480" w:lineRule="auto"/>
        <w:rPr>
          <w:rFonts w:ascii="Arial" w:hAnsi="Arial" w:cs="Arial"/>
        </w:rPr>
      </w:pPr>
      <w:r w:rsidRPr="00627990">
        <w:rPr>
          <w:rFonts w:ascii="Arial" w:hAnsi="Arial" w:cs="Arial"/>
        </w:rPr>
        <w:t xml:space="preserve">Ethical approval was </w:t>
      </w:r>
      <w:r>
        <w:rPr>
          <w:rFonts w:ascii="Arial" w:hAnsi="Arial" w:cs="Arial"/>
        </w:rPr>
        <w:t xml:space="preserve">obtained from the Department of Health Sciences </w:t>
      </w:r>
      <w:r w:rsidRPr="00627990">
        <w:rPr>
          <w:rFonts w:ascii="Arial" w:hAnsi="Arial" w:cs="Arial"/>
        </w:rPr>
        <w:t xml:space="preserve">Research Governance Committee, </w:t>
      </w:r>
      <w:r>
        <w:rPr>
          <w:rFonts w:ascii="Arial" w:hAnsi="Arial" w:cs="Arial"/>
        </w:rPr>
        <w:t xml:space="preserve">at the </w:t>
      </w:r>
      <w:r w:rsidRPr="00627990">
        <w:rPr>
          <w:rFonts w:ascii="Arial" w:hAnsi="Arial" w:cs="Arial"/>
        </w:rPr>
        <w:t>University of UK</w:t>
      </w:r>
      <w:r>
        <w:rPr>
          <w:rFonts w:ascii="Arial" w:hAnsi="Arial" w:cs="Arial"/>
        </w:rPr>
        <w:t xml:space="preserve"> on the 1</w:t>
      </w:r>
      <w:r w:rsidRPr="00627990">
        <w:rPr>
          <w:rFonts w:ascii="Arial" w:hAnsi="Arial" w:cs="Arial"/>
        </w:rPr>
        <w:t xml:space="preserve">9 May 2014. </w:t>
      </w:r>
    </w:p>
    <w:p w14:paraId="478C1D00" w14:textId="77777777" w:rsidR="001603AB" w:rsidRDefault="001603AB" w:rsidP="001603AB">
      <w:pPr>
        <w:spacing w:after="0" w:line="480" w:lineRule="auto"/>
        <w:rPr>
          <w:rFonts w:ascii="Arial" w:hAnsi="Arial" w:cs="Arial"/>
        </w:rPr>
      </w:pPr>
    </w:p>
    <w:p w14:paraId="5C0ECB60" w14:textId="77777777" w:rsidR="001603AB" w:rsidRDefault="001603AB" w:rsidP="001603AB">
      <w:pPr>
        <w:spacing w:after="0" w:line="480" w:lineRule="auto"/>
        <w:rPr>
          <w:rFonts w:ascii="Arial" w:hAnsi="Arial" w:cs="Arial"/>
        </w:rPr>
      </w:pPr>
    </w:p>
    <w:p w14:paraId="3E9CFE30" w14:textId="77777777" w:rsidR="001603AB" w:rsidRDefault="001603AB" w:rsidP="001603AB">
      <w:pPr>
        <w:spacing w:after="0" w:line="480" w:lineRule="auto"/>
        <w:rPr>
          <w:rFonts w:ascii="Arial" w:hAnsi="Arial" w:cs="Arial"/>
        </w:rPr>
      </w:pPr>
    </w:p>
    <w:p w14:paraId="27D048E3" w14:textId="77777777" w:rsidR="001603AB" w:rsidRPr="001603AB" w:rsidRDefault="001603AB" w:rsidP="001603AB">
      <w:pPr>
        <w:spacing w:after="0" w:line="480" w:lineRule="auto"/>
        <w:rPr>
          <w:rFonts w:ascii="Arial" w:hAnsi="Arial" w:cs="Arial"/>
        </w:rPr>
      </w:pPr>
    </w:p>
    <w:p w14:paraId="11BD37A3" w14:textId="378AAE8B" w:rsidR="00EF7B87" w:rsidRPr="00DB1D90" w:rsidRDefault="00DB1D90" w:rsidP="00305DAE">
      <w:pPr>
        <w:pStyle w:val="BodyTextBold"/>
        <w:spacing w:after="0" w:line="480" w:lineRule="auto"/>
        <w:rPr>
          <w:rFonts w:cs="Arial"/>
          <w:sz w:val="36"/>
          <w:szCs w:val="36"/>
        </w:rPr>
      </w:pPr>
      <w:r w:rsidRPr="00DB1D90">
        <w:rPr>
          <w:rFonts w:cs="Arial"/>
          <w:sz w:val="36"/>
          <w:szCs w:val="36"/>
        </w:rPr>
        <w:t>Results</w:t>
      </w:r>
    </w:p>
    <w:p w14:paraId="32EE4566" w14:textId="77777777" w:rsidR="00834B50" w:rsidRPr="00DB1D90" w:rsidRDefault="00CB2146" w:rsidP="00305DAE">
      <w:pPr>
        <w:pStyle w:val="BodyTextBold"/>
        <w:spacing w:after="0" w:line="480" w:lineRule="auto"/>
        <w:rPr>
          <w:rFonts w:cs="Arial"/>
          <w:sz w:val="32"/>
          <w:szCs w:val="32"/>
        </w:rPr>
      </w:pPr>
      <w:r w:rsidRPr="00DB1D90">
        <w:rPr>
          <w:rFonts w:cs="Arial"/>
          <w:sz w:val="32"/>
          <w:szCs w:val="32"/>
        </w:rPr>
        <w:t xml:space="preserve">Survey respondent characteristics </w:t>
      </w:r>
    </w:p>
    <w:p w14:paraId="79E93085" w14:textId="31CCA9F2" w:rsidR="00316752" w:rsidRDefault="00293CD2" w:rsidP="00305DAE">
      <w:pPr>
        <w:pStyle w:val="BodyText"/>
        <w:spacing w:after="0" w:line="480" w:lineRule="auto"/>
        <w:rPr>
          <w:rFonts w:cs="Arial"/>
          <w:szCs w:val="22"/>
        </w:rPr>
      </w:pPr>
      <w:r>
        <w:rPr>
          <w:rFonts w:cs="Arial"/>
          <w:szCs w:val="22"/>
        </w:rPr>
        <w:t>Here we describe the characteristics of the survey respondents, in order</w:t>
      </w:r>
      <w:r w:rsidRPr="00C37B27">
        <w:rPr>
          <w:rFonts w:cs="Arial"/>
          <w:szCs w:val="22"/>
        </w:rPr>
        <w:t xml:space="preserve"> </w:t>
      </w:r>
      <w:r>
        <w:rPr>
          <w:rFonts w:cs="Arial"/>
          <w:szCs w:val="22"/>
        </w:rPr>
        <w:t xml:space="preserve">to provide context for the results presented in later sections. </w:t>
      </w:r>
      <w:r w:rsidR="00FE5007">
        <w:rPr>
          <w:rFonts w:cs="Arial"/>
          <w:szCs w:val="22"/>
        </w:rPr>
        <w:t>In the UK and internationally, l</w:t>
      </w:r>
      <w:r w:rsidR="00834B50" w:rsidRPr="00316752">
        <w:rPr>
          <w:rFonts w:cs="Arial"/>
          <w:szCs w:val="22"/>
        </w:rPr>
        <w:t>imb d</w:t>
      </w:r>
      <w:r w:rsidR="00CB2146" w:rsidRPr="00316752">
        <w:rPr>
          <w:rFonts w:cs="Arial"/>
          <w:szCs w:val="22"/>
        </w:rPr>
        <w:t>efects</w:t>
      </w:r>
      <w:r w:rsidR="00EC21B7" w:rsidRPr="00316752">
        <w:rPr>
          <w:rFonts w:cs="Arial"/>
          <w:szCs w:val="22"/>
        </w:rPr>
        <w:t xml:space="preserve">, </w:t>
      </w:r>
      <w:r w:rsidR="00834B50" w:rsidRPr="00316752">
        <w:rPr>
          <w:rFonts w:cs="Arial"/>
          <w:szCs w:val="22"/>
        </w:rPr>
        <w:t>particular</w:t>
      </w:r>
      <w:r w:rsidR="00CB2146" w:rsidRPr="00316752">
        <w:rPr>
          <w:rFonts w:cs="Arial"/>
          <w:szCs w:val="22"/>
        </w:rPr>
        <w:t>ly</w:t>
      </w:r>
      <w:r w:rsidR="00834B50" w:rsidRPr="00316752">
        <w:rPr>
          <w:rFonts w:cs="Arial"/>
          <w:szCs w:val="22"/>
        </w:rPr>
        <w:t xml:space="preserve"> missing or short arms</w:t>
      </w:r>
      <w:r w:rsidR="00EC21B7" w:rsidRPr="00316752">
        <w:rPr>
          <w:rFonts w:cs="Arial"/>
          <w:szCs w:val="22"/>
        </w:rPr>
        <w:t>, ar</w:t>
      </w:r>
      <w:r w:rsidR="00CB2146" w:rsidRPr="00316752">
        <w:rPr>
          <w:rFonts w:cs="Arial"/>
          <w:szCs w:val="22"/>
        </w:rPr>
        <w:t xml:space="preserve">e </w:t>
      </w:r>
      <w:r w:rsidR="00834B50" w:rsidRPr="00316752">
        <w:rPr>
          <w:rFonts w:cs="Arial"/>
          <w:szCs w:val="22"/>
        </w:rPr>
        <w:t>the most commonly recognised feature of Thalidomide damage</w:t>
      </w:r>
      <w:r w:rsidR="00CB2146" w:rsidRPr="00316752">
        <w:rPr>
          <w:rFonts w:cs="Arial"/>
          <w:szCs w:val="22"/>
        </w:rPr>
        <w:t xml:space="preserve">.  </w:t>
      </w:r>
      <w:r w:rsidR="00834B50" w:rsidRPr="00316752">
        <w:rPr>
          <w:rFonts w:cs="Arial"/>
          <w:szCs w:val="22"/>
        </w:rPr>
        <w:t>However, damage took many forms and varied considerably in severity</w:t>
      </w:r>
      <w:r w:rsidR="006F356F">
        <w:rPr>
          <w:rFonts w:cs="Arial"/>
          <w:szCs w:val="22"/>
        </w:rPr>
        <w:t>. T</w:t>
      </w:r>
      <w:r w:rsidR="00834B50" w:rsidRPr="00316752">
        <w:rPr>
          <w:rFonts w:cs="Arial"/>
          <w:szCs w:val="22"/>
        </w:rPr>
        <w:t xml:space="preserve">he </w:t>
      </w:r>
      <w:r w:rsidR="00EC21B7" w:rsidRPr="00316752">
        <w:rPr>
          <w:rFonts w:cs="Arial"/>
          <w:szCs w:val="22"/>
        </w:rPr>
        <w:t xml:space="preserve">drug was also </w:t>
      </w:r>
      <w:r w:rsidR="00834B50" w:rsidRPr="00316752">
        <w:rPr>
          <w:rFonts w:cs="Arial"/>
          <w:szCs w:val="22"/>
        </w:rPr>
        <w:t>no respecter of class or culture, so survivors are</w:t>
      </w:r>
      <w:r w:rsidR="00CB2146" w:rsidRPr="00316752">
        <w:rPr>
          <w:rFonts w:cs="Arial"/>
          <w:szCs w:val="22"/>
        </w:rPr>
        <w:t xml:space="preserve"> a widely </w:t>
      </w:r>
      <w:r w:rsidR="00834B50" w:rsidRPr="00316752">
        <w:rPr>
          <w:rFonts w:cs="Arial"/>
          <w:szCs w:val="22"/>
        </w:rPr>
        <w:t xml:space="preserve">heterogeneous group. </w:t>
      </w:r>
      <w:r w:rsidR="00CB2146" w:rsidRPr="00316752">
        <w:rPr>
          <w:rFonts w:cs="Arial"/>
          <w:szCs w:val="22"/>
        </w:rPr>
        <w:t>Respondents were evenly spl</w:t>
      </w:r>
      <w:r w:rsidR="009C4138">
        <w:rPr>
          <w:rFonts w:cs="Arial"/>
          <w:szCs w:val="22"/>
        </w:rPr>
        <w:t xml:space="preserve">it between </w:t>
      </w:r>
      <w:r w:rsidR="00F652C2">
        <w:rPr>
          <w:rFonts w:cs="Arial"/>
          <w:szCs w:val="22"/>
        </w:rPr>
        <w:t xml:space="preserve">women and </w:t>
      </w:r>
      <w:r w:rsidR="009C4138">
        <w:rPr>
          <w:rFonts w:cs="Arial"/>
          <w:szCs w:val="22"/>
        </w:rPr>
        <w:t xml:space="preserve">men (174 respectively; </w:t>
      </w:r>
      <w:r w:rsidR="00C853B5">
        <w:rPr>
          <w:rFonts w:cs="Arial"/>
          <w:szCs w:val="22"/>
        </w:rPr>
        <w:t>three respondent did not give their gender</w:t>
      </w:r>
      <w:r w:rsidR="00CB2146" w:rsidRPr="00316752">
        <w:rPr>
          <w:rFonts w:cs="Arial"/>
          <w:szCs w:val="22"/>
        </w:rPr>
        <w:t xml:space="preserve">).  </w:t>
      </w:r>
      <w:r w:rsidR="00C37B27">
        <w:rPr>
          <w:rFonts w:cs="Arial"/>
          <w:szCs w:val="22"/>
        </w:rPr>
        <w:t>At the time of the survey,</w:t>
      </w:r>
      <w:r w:rsidR="00C37B27" w:rsidRPr="00CA6FBC">
        <w:rPr>
          <w:rFonts w:cs="Arial"/>
        </w:rPr>
        <w:t xml:space="preserve"> the Trust grouped </w:t>
      </w:r>
      <w:r w:rsidR="00C37B27">
        <w:rPr>
          <w:rFonts w:cs="Arial"/>
        </w:rPr>
        <w:t xml:space="preserve">its beneficiaries </w:t>
      </w:r>
      <w:r w:rsidR="00C37B27" w:rsidRPr="00CA6FBC">
        <w:rPr>
          <w:rFonts w:cs="Arial"/>
        </w:rPr>
        <w:t>in to five impairment bands, with band 1 covering beneficiaries with the least severe impairments and band 5 those with the most severe.</w:t>
      </w:r>
      <w:r w:rsidR="00C37B27">
        <w:rPr>
          <w:rFonts w:cs="Arial"/>
          <w:szCs w:val="22"/>
        </w:rPr>
        <w:t xml:space="preserve"> Based on these bands, t</w:t>
      </w:r>
      <w:r w:rsidR="00C37B27" w:rsidRPr="00316752">
        <w:rPr>
          <w:rFonts w:cs="Arial"/>
          <w:szCs w:val="22"/>
        </w:rPr>
        <w:t xml:space="preserve">he distribution of the </w:t>
      </w:r>
      <w:r w:rsidR="00C37B27">
        <w:rPr>
          <w:rFonts w:cs="Arial"/>
          <w:szCs w:val="22"/>
        </w:rPr>
        <w:t xml:space="preserve">overall </w:t>
      </w:r>
      <w:r w:rsidR="00C37B27" w:rsidRPr="00316752">
        <w:rPr>
          <w:rFonts w:cs="Arial"/>
          <w:szCs w:val="22"/>
        </w:rPr>
        <w:t>severity of their impairments was similar to that</w:t>
      </w:r>
      <w:r w:rsidR="00E44D47">
        <w:rPr>
          <w:rFonts w:cs="Arial"/>
          <w:szCs w:val="22"/>
        </w:rPr>
        <w:t xml:space="preserve"> of all UK beneficiaries (Fig</w:t>
      </w:r>
      <w:r w:rsidR="00C37B27" w:rsidRPr="00316752">
        <w:rPr>
          <w:rFonts w:cs="Arial"/>
          <w:szCs w:val="22"/>
        </w:rPr>
        <w:t xml:space="preserve"> 1).</w:t>
      </w:r>
    </w:p>
    <w:p w14:paraId="01F74FB0" w14:textId="77777777" w:rsidR="00C37B27" w:rsidRPr="00316752" w:rsidRDefault="00C37B27" w:rsidP="00305DAE">
      <w:pPr>
        <w:pStyle w:val="BodyText"/>
        <w:spacing w:after="0" w:line="480" w:lineRule="auto"/>
        <w:rPr>
          <w:rFonts w:cs="Arial"/>
          <w:szCs w:val="22"/>
        </w:rPr>
      </w:pPr>
    </w:p>
    <w:p w14:paraId="07B8BFAC" w14:textId="299FBC9B" w:rsidR="00834B50" w:rsidRPr="00316752" w:rsidRDefault="00E44D47" w:rsidP="00305DAE">
      <w:pPr>
        <w:pStyle w:val="ChartPictureHeading"/>
        <w:spacing w:before="0" w:after="0" w:line="480" w:lineRule="auto"/>
        <w:rPr>
          <w:rFonts w:cs="Arial"/>
          <w:szCs w:val="22"/>
        </w:rPr>
      </w:pPr>
      <w:r>
        <w:rPr>
          <w:rFonts w:cs="Arial"/>
          <w:szCs w:val="22"/>
        </w:rPr>
        <w:lastRenderedPageBreak/>
        <w:t>Fig</w:t>
      </w:r>
      <w:r w:rsidR="00834B50" w:rsidRPr="00316752">
        <w:rPr>
          <w:rFonts w:cs="Arial"/>
          <w:szCs w:val="22"/>
        </w:rPr>
        <w:t xml:space="preserve"> 1</w:t>
      </w:r>
      <w:r w:rsidR="00337DFC" w:rsidRPr="00316752">
        <w:rPr>
          <w:rFonts w:cs="Arial"/>
          <w:szCs w:val="22"/>
        </w:rPr>
        <w:t xml:space="preserve">. </w:t>
      </w:r>
      <w:r w:rsidR="00834B50" w:rsidRPr="00316752">
        <w:rPr>
          <w:rFonts w:cs="Arial"/>
          <w:szCs w:val="22"/>
        </w:rPr>
        <w:t xml:space="preserve"> </w:t>
      </w:r>
      <w:r w:rsidR="00337DFC" w:rsidRPr="00316752">
        <w:rPr>
          <w:rFonts w:cs="Arial"/>
          <w:szCs w:val="22"/>
        </w:rPr>
        <w:t>Distributions of s</w:t>
      </w:r>
      <w:r w:rsidR="00834B50" w:rsidRPr="00316752">
        <w:rPr>
          <w:rFonts w:cs="Arial"/>
          <w:szCs w:val="22"/>
        </w:rPr>
        <w:t xml:space="preserve">urvey </w:t>
      </w:r>
      <w:r w:rsidR="00337DFC" w:rsidRPr="00316752">
        <w:rPr>
          <w:rFonts w:cs="Arial"/>
          <w:szCs w:val="22"/>
        </w:rPr>
        <w:t>r</w:t>
      </w:r>
      <w:r w:rsidR="00834B50" w:rsidRPr="00316752">
        <w:rPr>
          <w:rFonts w:cs="Arial"/>
          <w:szCs w:val="22"/>
        </w:rPr>
        <w:t xml:space="preserve">espondents and all </w:t>
      </w:r>
      <w:r w:rsidR="00337DFC" w:rsidRPr="00316752">
        <w:rPr>
          <w:rFonts w:cs="Arial"/>
          <w:szCs w:val="22"/>
        </w:rPr>
        <w:t>b</w:t>
      </w:r>
      <w:r w:rsidR="00834B50" w:rsidRPr="00316752">
        <w:rPr>
          <w:rFonts w:cs="Arial"/>
          <w:szCs w:val="22"/>
        </w:rPr>
        <w:t>eneficiaries by</w:t>
      </w:r>
      <w:r w:rsidR="00337DFC" w:rsidRPr="00316752">
        <w:rPr>
          <w:rFonts w:cs="Arial"/>
          <w:szCs w:val="22"/>
        </w:rPr>
        <w:t xml:space="preserve"> i</w:t>
      </w:r>
      <w:r w:rsidR="00834B50" w:rsidRPr="00316752">
        <w:rPr>
          <w:rFonts w:cs="Arial"/>
          <w:szCs w:val="22"/>
        </w:rPr>
        <w:t xml:space="preserve">mpairment </w:t>
      </w:r>
      <w:r w:rsidR="00337DFC" w:rsidRPr="00316752">
        <w:rPr>
          <w:rFonts w:cs="Arial"/>
          <w:szCs w:val="22"/>
        </w:rPr>
        <w:t>b</w:t>
      </w:r>
      <w:r w:rsidR="00834B50" w:rsidRPr="00316752">
        <w:rPr>
          <w:rFonts w:cs="Arial"/>
          <w:szCs w:val="22"/>
        </w:rPr>
        <w:t>and</w:t>
      </w:r>
    </w:p>
    <w:p w14:paraId="559DEDD2" w14:textId="2F24E43A" w:rsidR="00834B50" w:rsidRPr="00316752" w:rsidRDefault="00834B50" w:rsidP="00316752">
      <w:pPr>
        <w:pStyle w:val="ChartPictureHeading"/>
        <w:spacing w:before="0" w:after="0" w:line="360" w:lineRule="auto"/>
        <w:rPr>
          <w:rFonts w:cs="Arial"/>
          <w:szCs w:val="22"/>
        </w:rPr>
      </w:pPr>
    </w:p>
    <w:p w14:paraId="26B974F0" w14:textId="4CF9B056" w:rsidR="00834B50" w:rsidRPr="006F03DE" w:rsidRDefault="006F03DE" w:rsidP="00316752">
      <w:pPr>
        <w:pStyle w:val="ChartPictureHeading"/>
        <w:spacing w:before="0" w:after="0" w:line="360" w:lineRule="auto"/>
        <w:rPr>
          <w:rFonts w:cs="Arial"/>
          <w:b w:val="0"/>
          <w:szCs w:val="22"/>
        </w:rPr>
      </w:pPr>
      <w:r w:rsidRPr="006F03DE">
        <w:rPr>
          <w:rFonts w:cs="Arial"/>
          <w:b w:val="0"/>
          <w:szCs w:val="22"/>
        </w:rPr>
        <w:t>Insert Figure 1</w:t>
      </w:r>
    </w:p>
    <w:p w14:paraId="352F577E" w14:textId="77777777" w:rsidR="0014251F" w:rsidRDefault="0014251F" w:rsidP="00316752">
      <w:pPr>
        <w:pStyle w:val="BodyText"/>
        <w:spacing w:after="0" w:line="360" w:lineRule="auto"/>
        <w:rPr>
          <w:rFonts w:cs="Arial"/>
          <w:i/>
          <w:iCs/>
          <w:szCs w:val="22"/>
        </w:rPr>
      </w:pPr>
    </w:p>
    <w:p w14:paraId="743C5B1B" w14:textId="74D5832B" w:rsidR="00EC21B7" w:rsidRPr="00316752" w:rsidRDefault="00E44D47" w:rsidP="00305DAE">
      <w:pPr>
        <w:pStyle w:val="BodyText"/>
        <w:spacing w:after="0" w:line="480" w:lineRule="auto"/>
        <w:rPr>
          <w:rFonts w:cs="Arial"/>
          <w:szCs w:val="22"/>
        </w:rPr>
      </w:pPr>
      <w:r>
        <w:rPr>
          <w:rFonts w:cs="Arial"/>
          <w:i/>
          <w:iCs/>
          <w:szCs w:val="22"/>
        </w:rPr>
        <w:t>NOTE: n</w:t>
      </w:r>
      <w:r w:rsidR="00EC21B7" w:rsidRPr="00316752">
        <w:rPr>
          <w:rFonts w:cs="Arial"/>
          <w:i/>
          <w:iCs/>
          <w:szCs w:val="22"/>
        </w:rPr>
        <w:t>=302; it was only possible to identify the impairment band for respondents who gave their names</w:t>
      </w:r>
    </w:p>
    <w:p w14:paraId="2A7CDAC6" w14:textId="77777777" w:rsidR="009F252D" w:rsidRDefault="009F252D" w:rsidP="00305DAE">
      <w:pPr>
        <w:pStyle w:val="BodyText"/>
        <w:spacing w:after="0" w:line="480" w:lineRule="auto"/>
        <w:rPr>
          <w:rFonts w:cs="Arial"/>
          <w:szCs w:val="22"/>
        </w:rPr>
      </w:pPr>
    </w:p>
    <w:p w14:paraId="4A800EF2" w14:textId="6D3265D9" w:rsidR="00316752" w:rsidRDefault="009F252D" w:rsidP="00305DAE">
      <w:pPr>
        <w:pStyle w:val="BodyText"/>
        <w:spacing w:after="0" w:line="480" w:lineRule="auto"/>
        <w:rPr>
          <w:rFonts w:cs="Arial"/>
          <w:szCs w:val="22"/>
        </w:rPr>
      </w:pPr>
      <w:r w:rsidRPr="009F252D">
        <w:rPr>
          <w:rFonts w:cs="Arial"/>
          <w:szCs w:val="22"/>
        </w:rPr>
        <w:t>Respondents were asked to describe their original Thalidomide impairments using 25 categories covering limb damage, sensory impairments and internal organ damage, plus a free text box for other damage.  For ease of analysis, these were collapsed into eight groupings and their incidence compared (in aggregate form) with data held by the Trust.  This enabled us to check that the survey respondents were broadly representative, in terms of the range of impairment, of all UK Thalidomide survivors. For example, the proportions in survey and in the Trust’s data were very similar for respondents with upper limb only damage (survey 58%</w:t>
      </w:r>
      <w:r w:rsidR="00E44D47">
        <w:rPr>
          <w:rFonts w:cs="Arial"/>
          <w:szCs w:val="22"/>
        </w:rPr>
        <w:t>/</w:t>
      </w:r>
      <w:r w:rsidRPr="009F252D">
        <w:rPr>
          <w:rFonts w:cs="Arial"/>
          <w:szCs w:val="22"/>
        </w:rPr>
        <w:t>Trust 54%), lower limb only damage (survey 5%/Trust 4%), and no limb damage, (survey 12%/Trust 11%). However, there was a difference in the proportion with both upper and lower limb damage (survey 25%/Trust 34%).</w:t>
      </w:r>
    </w:p>
    <w:p w14:paraId="417A1CC9" w14:textId="77777777" w:rsidR="00E44D47" w:rsidRDefault="00E44D47" w:rsidP="00305DAE">
      <w:pPr>
        <w:pStyle w:val="BodyText"/>
        <w:spacing w:after="0" w:line="480" w:lineRule="auto"/>
        <w:rPr>
          <w:rFonts w:cs="Arial"/>
          <w:szCs w:val="22"/>
        </w:rPr>
      </w:pPr>
    </w:p>
    <w:p w14:paraId="1FC49BB7" w14:textId="0F80007D" w:rsidR="005F3048" w:rsidRDefault="009F252D" w:rsidP="00305DAE">
      <w:pPr>
        <w:pStyle w:val="BodyText"/>
        <w:spacing w:after="0" w:line="480" w:lineRule="auto"/>
        <w:rPr>
          <w:rFonts w:cs="Arial"/>
          <w:szCs w:val="22"/>
        </w:rPr>
      </w:pPr>
      <w:r w:rsidRPr="009F252D">
        <w:rPr>
          <w:rFonts w:cs="Arial"/>
          <w:szCs w:val="22"/>
        </w:rPr>
        <w:t xml:space="preserve">However, because the Trust’s information was collected at the time beneficiaries were </w:t>
      </w:r>
      <w:r w:rsidR="00173FD1">
        <w:rPr>
          <w:rFonts w:cs="Arial"/>
          <w:szCs w:val="22"/>
        </w:rPr>
        <w:t>assessed for their compensation claim</w:t>
      </w:r>
      <w:r w:rsidR="009177F3">
        <w:rPr>
          <w:rFonts w:cs="Arial"/>
          <w:szCs w:val="22"/>
        </w:rPr>
        <w:t>s</w:t>
      </w:r>
      <w:r w:rsidRPr="009F252D">
        <w:rPr>
          <w:rFonts w:cs="Arial"/>
          <w:szCs w:val="22"/>
        </w:rPr>
        <w:t xml:space="preserve"> i.e. from the 1970’s onwards, the survey also provided a more up to date picture of impairments, particularly damage to internal organs which for many had only come to light later in life as a result of diagnostic scans. This was reflected in survey results. For example, 31% of survey respondents said they had damage to internal organs, whereas the Trust’s data showed just 22% with this type of damage. Thalidomide survivors who were blind or partially sighted appear to be under represented in the survey. This may reflect the method of data collection, although large print version of the questionnaire were available and respondent could choose to complete the survey by telephone. Importantly, the survey confirmed that many Thalidomide survivors have multiple </w:t>
      </w:r>
      <w:r w:rsidRPr="009F252D">
        <w:rPr>
          <w:rFonts w:cs="Arial"/>
          <w:szCs w:val="22"/>
        </w:rPr>
        <w:lastRenderedPageBreak/>
        <w:t>impairments e.g. 73 respondents had upper limb damage and were deaf/partially deaf and 27 respondents had both sight and hearing impairments; and almost all respondents reporting internal organ damage also had other impairment/s.</w:t>
      </w:r>
    </w:p>
    <w:p w14:paraId="52C5A50B" w14:textId="77777777" w:rsidR="009F252D" w:rsidRPr="00316752" w:rsidRDefault="009F252D" w:rsidP="00305DAE">
      <w:pPr>
        <w:pStyle w:val="BodyText"/>
        <w:spacing w:after="0" w:line="480" w:lineRule="auto"/>
        <w:rPr>
          <w:rFonts w:cs="Arial"/>
          <w:szCs w:val="22"/>
        </w:rPr>
      </w:pPr>
    </w:p>
    <w:p w14:paraId="549677DF" w14:textId="3B85FD5B" w:rsidR="00834B50" w:rsidRDefault="00834B50" w:rsidP="00305DAE">
      <w:pPr>
        <w:pStyle w:val="BodyText"/>
        <w:spacing w:after="0" w:line="480" w:lineRule="auto"/>
        <w:rPr>
          <w:rFonts w:cs="Arial"/>
          <w:szCs w:val="22"/>
        </w:rPr>
      </w:pPr>
      <w:r w:rsidRPr="00316752">
        <w:rPr>
          <w:rFonts w:cs="Arial"/>
          <w:szCs w:val="22"/>
        </w:rPr>
        <w:t>Almost two thirds of respondents lived with partner</w:t>
      </w:r>
      <w:r w:rsidR="005242FF" w:rsidRPr="00316752">
        <w:rPr>
          <w:rFonts w:cs="Arial"/>
          <w:szCs w:val="22"/>
        </w:rPr>
        <w:t>s/</w:t>
      </w:r>
      <w:r w:rsidRPr="00316752">
        <w:rPr>
          <w:rFonts w:cs="Arial"/>
          <w:szCs w:val="22"/>
        </w:rPr>
        <w:t>spouse</w:t>
      </w:r>
      <w:r w:rsidR="005242FF" w:rsidRPr="00316752">
        <w:rPr>
          <w:rFonts w:cs="Arial"/>
          <w:szCs w:val="22"/>
        </w:rPr>
        <w:t>s</w:t>
      </w:r>
      <w:r w:rsidRPr="00316752">
        <w:rPr>
          <w:rFonts w:cs="Arial"/>
          <w:szCs w:val="22"/>
        </w:rPr>
        <w:t xml:space="preserve"> or with </w:t>
      </w:r>
      <w:r w:rsidR="005242FF" w:rsidRPr="00316752">
        <w:rPr>
          <w:rFonts w:cs="Arial"/>
          <w:szCs w:val="22"/>
        </w:rPr>
        <w:t xml:space="preserve">a </w:t>
      </w:r>
      <w:r w:rsidRPr="00316752">
        <w:rPr>
          <w:rFonts w:cs="Arial"/>
          <w:szCs w:val="22"/>
        </w:rPr>
        <w:t>partner/spouse and</w:t>
      </w:r>
      <w:r w:rsidR="0008665C" w:rsidRPr="00316752">
        <w:rPr>
          <w:rFonts w:cs="Arial"/>
          <w:szCs w:val="22"/>
        </w:rPr>
        <w:t xml:space="preserve"> </w:t>
      </w:r>
      <w:r w:rsidRPr="00316752">
        <w:rPr>
          <w:rFonts w:cs="Arial"/>
          <w:szCs w:val="22"/>
        </w:rPr>
        <w:t>other family member</w:t>
      </w:r>
      <w:r w:rsidR="005242FF" w:rsidRPr="00316752">
        <w:rPr>
          <w:rFonts w:cs="Arial"/>
          <w:szCs w:val="22"/>
        </w:rPr>
        <w:t>s</w:t>
      </w:r>
      <w:r w:rsidRPr="00316752">
        <w:rPr>
          <w:rFonts w:cs="Arial"/>
          <w:szCs w:val="22"/>
        </w:rPr>
        <w:t>. Nearly a quarter (76/22%) lived alone</w:t>
      </w:r>
      <w:r w:rsidR="00CC7E74">
        <w:rPr>
          <w:rFonts w:cs="Arial"/>
          <w:szCs w:val="22"/>
        </w:rPr>
        <w:t xml:space="preserve"> (compared to 17% of the general UK population aged 50 to 64 </w:t>
      </w:r>
      <w:r w:rsidR="00B24E49">
        <w:rPr>
          <w:rFonts w:cs="Arial"/>
          <w:szCs w:val="22"/>
        </w:rPr>
        <w:t>[23]</w:t>
      </w:r>
      <w:r w:rsidR="0008665C" w:rsidRPr="00316752">
        <w:rPr>
          <w:rFonts w:cs="Arial"/>
          <w:szCs w:val="22"/>
        </w:rPr>
        <w:t xml:space="preserve">; </w:t>
      </w:r>
      <w:r w:rsidRPr="00316752">
        <w:rPr>
          <w:rFonts w:cs="Arial"/>
          <w:szCs w:val="22"/>
        </w:rPr>
        <w:t>10% lived with another family member/s (e.g. parents</w:t>
      </w:r>
      <w:r w:rsidR="0008665C" w:rsidRPr="00316752">
        <w:rPr>
          <w:rFonts w:cs="Arial"/>
          <w:szCs w:val="22"/>
        </w:rPr>
        <w:t>/</w:t>
      </w:r>
      <w:r w:rsidRPr="00316752">
        <w:rPr>
          <w:rFonts w:cs="Arial"/>
          <w:szCs w:val="22"/>
        </w:rPr>
        <w:t>sibling). Nine respondents lived at home with full-time paid car</w:t>
      </w:r>
      <w:r w:rsidR="00711D95" w:rsidRPr="00316752">
        <w:rPr>
          <w:rFonts w:cs="Arial"/>
          <w:szCs w:val="22"/>
        </w:rPr>
        <w:t xml:space="preserve">ers or </w:t>
      </w:r>
      <w:r w:rsidRPr="00316752">
        <w:rPr>
          <w:rFonts w:cs="Arial"/>
          <w:szCs w:val="22"/>
        </w:rPr>
        <w:t xml:space="preserve">in residential care. </w:t>
      </w:r>
      <w:r w:rsidR="005242FF" w:rsidRPr="00316752">
        <w:rPr>
          <w:rFonts w:cs="Arial"/>
          <w:szCs w:val="22"/>
        </w:rPr>
        <w:t xml:space="preserve"> </w:t>
      </w:r>
      <w:r w:rsidRPr="00316752">
        <w:rPr>
          <w:rFonts w:cs="Arial"/>
          <w:szCs w:val="22"/>
        </w:rPr>
        <w:t xml:space="preserve">The majority of respondents (304/87%) owned their house or flat, </w:t>
      </w:r>
      <w:r w:rsidR="00711D95" w:rsidRPr="00316752">
        <w:rPr>
          <w:rFonts w:cs="Arial"/>
          <w:szCs w:val="22"/>
        </w:rPr>
        <w:t xml:space="preserve">compared to 75% of the </w:t>
      </w:r>
      <w:r w:rsidRPr="00316752">
        <w:rPr>
          <w:rFonts w:cs="Arial"/>
          <w:szCs w:val="22"/>
        </w:rPr>
        <w:t xml:space="preserve">general UK population aged 50 to 64 (75%) </w:t>
      </w:r>
      <w:r w:rsidR="00B24E49">
        <w:rPr>
          <w:rFonts w:cs="Arial"/>
          <w:szCs w:val="22"/>
        </w:rPr>
        <w:t>[24]</w:t>
      </w:r>
      <w:r w:rsidRPr="00316752">
        <w:rPr>
          <w:rFonts w:cs="Arial"/>
          <w:szCs w:val="22"/>
        </w:rPr>
        <w:t xml:space="preserve">. </w:t>
      </w:r>
    </w:p>
    <w:p w14:paraId="2B818F4A" w14:textId="77777777" w:rsidR="001F13B2" w:rsidRDefault="001F13B2" w:rsidP="00305DAE">
      <w:pPr>
        <w:pStyle w:val="BodyText"/>
        <w:spacing w:after="0" w:line="480" w:lineRule="auto"/>
        <w:rPr>
          <w:rFonts w:cs="Arial"/>
          <w:szCs w:val="22"/>
        </w:rPr>
      </w:pPr>
    </w:p>
    <w:p w14:paraId="7C88F0F2" w14:textId="77777777" w:rsidR="001603AB" w:rsidRPr="00316752" w:rsidRDefault="001603AB" w:rsidP="00305DAE">
      <w:pPr>
        <w:pStyle w:val="BodyText"/>
        <w:spacing w:after="0" w:line="480" w:lineRule="auto"/>
        <w:rPr>
          <w:rFonts w:cs="Arial"/>
          <w:szCs w:val="22"/>
        </w:rPr>
      </w:pPr>
    </w:p>
    <w:p w14:paraId="2462C53A" w14:textId="0EB2D151" w:rsidR="00834B50" w:rsidRPr="00DB1D90" w:rsidRDefault="00E44D47" w:rsidP="00305DAE">
      <w:pPr>
        <w:pStyle w:val="BodyTextBold"/>
        <w:spacing w:after="0" w:line="480" w:lineRule="auto"/>
        <w:jc w:val="both"/>
        <w:rPr>
          <w:rFonts w:cs="Arial"/>
          <w:sz w:val="32"/>
          <w:szCs w:val="32"/>
        </w:rPr>
      </w:pPr>
      <w:r>
        <w:rPr>
          <w:rFonts w:cs="Arial"/>
          <w:sz w:val="32"/>
          <w:szCs w:val="32"/>
        </w:rPr>
        <w:t>Self-reported health p</w:t>
      </w:r>
      <w:r w:rsidR="00834B50" w:rsidRPr="00DB1D90">
        <w:rPr>
          <w:rFonts w:cs="Arial"/>
          <w:sz w:val="32"/>
          <w:szCs w:val="32"/>
        </w:rPr>
        <w:t>roblems</w:t>
      </w:r>
    </w:p>
    <w:p w14:paraId="60576BE4" w14:textId="04AF14AE" w:rsidR="00EF7B87" w:rsidRPr="00F652C2" w:rsidRDefault="00F652C2" w:rsidP="00305DAE">
      <w:pPr>
        <w:pStyle w:val="BodyTextBold"/>
        <w:spacing w:after="0" w:line="480" w:lineRule="auto"/>
        <w:jc w:val="both"/>
        <w:rPr>
          <w:rFonts w:cs="Arial"/>
          <w:b w:val="0"/>
          <w:szCs w:val="22"/>
        </w:rPr>
      </w:pPr>
      <w:r w:rsidRPr="00F652C2">
        <w:rPr>
          <w:rFonts w:cs="Arial"/>
          <w:b w:val="0"/>
          <w:szCs w:val="22"/>
        </w:rPr>
        <w:t>The survey asked Thalidomide survivors about additional health problems</w:t>
      </w:r>
      <w:r w:rsidR="00E44D47">
        <w:rPr>
          <w:rFonts w:cs="Arial"/>
          <w:b w:val="0"/>
          <w:szCs w:val="22"/>
        </w:rPr>
        <w:t>,</w:t>
      </w:r>
      <w:r w:rsidRPr="00F652C2">
        <w:rPr>
          <w:rFonts w:cs="Arial"/>
          <w:b w:val="0"/>
          <w:szCs w:val="22"/>
        </w:rPr>
        <w:t xml:space="preserve"> over and above their original impairments.  </w:t>
      </w:r>
    </w:p>
    <w:p w14:paraId="56C01161" w14:textId="77777777" w:rsidR="00EF7B87" w:rsidRPr="00DB1D90" w:rsidRDefault="00F652C2" w:rsidP="00EF7B87">
      <w:pPr>
        <w:pStyle w:val="BodyText"/>
        <w:spacing w:after="0" w:line="480" w:lineRule="auto"/>
        <w:jc w:val="both"/>
        <w:rPr>
          <w:rFonts w:cs="Arial"/>
          <w:b/>
          <w:sz w:val="28"/>
          <w:szCs w:val="28"/>
        </w:rPr>
      </w:pPr>
      <w:r w:rsidRPr="00DB1D90">
        <w:rPr>
          <w:rFonts w:cs="Arial"/>
          <w:b/>
          <w:sz w:val="28"/>
          <w:szCs w:val="28"/>
        </w:rPr>
        <w:t>Musculoskeletal problems and pain</w:t>
      </w:r>
      <w:r w:rsidR="00EF7B87" w:rsidRPr="00DB1D90">
        <w:rPr>
          <w:rFonts w:cs="Arial"/>
          <w:b/>
          <w:sz w:val="28"/>
          <w:szCs w:val="28"/>
        </w:rPr>
        <w:t xml:space="preserve"> </w:t>
      </w:r>
    </w:p>
    <w:p w14:paraId="7C351683" w14:textId="231A1876" w:rsidR="00B40180" w:rsidRPr="00EF7B87" w:rsidRDefault="00EF7B87" w:rsidP="00EF7B87">
      <w:pPr>
        <w:pStyle w:val="BodyText"/>
        <w:spacing w:after="0" w:line="480" w:lineRule="auto"/>
        <w:jc w:val="both"/>
        <w:rPr>
          <w:rFonts w:cs="Arial"/>
          <w:szCs w:val="22"/>
        </w:rPr>
      </w:pPr>
      <w:r w:rsidRPr="00316752">
        <w:rPr>
          <w:rFonts w:cs="Arial"/>
          <w:szCs w:val="22"/>
        </w:rPr>
        <w:t xml:space="preserve">Almost all (93%) reported musculoskeletal problems (pain and/or loss of movement in joints, </w:t>
      </w:r>
      <w:r>
        <w:rPr>
          <w:rFonts w:cs="Arial"/>
          <w:szCs w:val="22"/>
        </w:rPr>
        <w:t xml:space="preserve">neck and/or back). </w:t>
      </w:r>
      <w:r w:rsidRPr="00316752">
        <w:rPr>
          <w:rFonts w:cs="Arial"/>
          <w:szCs w:val="22"/>
        </w:rPr>
        <w:t>Back problems were the most commonly reported musculoskeletal problem, closely followed by shoulder pain/loss of movement and problems with hands</w:t>
      </w:r>
      <w:bookmarkStart w:id="1" w:name="_Toc451425527"/>
      <w:r w:rsidR="000C49AD">
        <w:rPr>
          <w:rFonts w:cs="Arial"/>
          <w:szCs w:val="22"/>
        </w:rPr>
        <w:t xml:space="preserve"> (Table 1</w:t>
      </w:r>
      <w:r w:rsidRPr="00316752">
        <w:rPr>
          <w:rFonts w:cs="Arial"/>
          <w:szCs w:val="22"/>
        </w:rPr>
        <w:t xml:space="preserve">). </w:t>
      </w:r>
      <w:bookmarkEnd w:id="1"/>
      <w:r w:rsidRPr="00316752">
        <w:rPr>
          <w:rFonts w:cs="Arial"/>
          <w:szCs w:val="22"/>
        </w:rPr>
        <w:t xml:space="preserve">  In comparison, less than 20% of adults aged 45-64 in the general population report chronic musculoskeletal conditions</w:t>
      </w:r>
      <w:r w:rsidR="00033307">
        <w:rPr>
          <w:rFonts w:cs="Arial"/>
          <w:szCs w:val="22"/>
        </w:rPr>
        <w:t xml:space="preserve"> [25] </w:t>
      </w:r>
      <w:r w:rsidRPr="00316752">
        <w:rPr>
          <w:rFonts w:cs="Arial"/>
          <w:szCs w:val="22"/>
        </w:rPr>
        <w:t xml:space="preserve">and only 15% suffer low back pain </w:t>
      </w:r>
      <w:r w:rsidR="00B24E49">
        <w:rPr>
          <w:rFonts w:cs="Arial"/>
          <w:szCs w:val="22"/>
        </w:rPr>
        <w:t>[26]</w:t>
      </w:r>
      <w:r w:rsidRPr="00316752">
        <w:rPr>
          <w:rFonts w:cs="Arial"/>
          <w:szCs w:val="22"/>
        </w:rPr>
        <w:t xml:space="preserve">.  The prevalence of musculoskeletal problems, particularly back problems, is therefore higher amongst UK Thalidomide survivors than in the general population, a pattern also found in Swedish Thalidomide survivors </w:t>
      </w:r>
      <w:r w:rsidR="00033307">
        <w:rPr>
          <w:rFonts w:cs="Arial"/>
          <w:szCs w:val="22"/>
        </w:rPr>
        <w:t>[27]</w:t>
      </w:r>
      <w:r w:rsidRPr="00316752">
        <w:rPr>
          <w:rFonts w:cs="Arial"/>
          <w:szCs w:val="22"/>
        </w:rPr>
        <w:t xml:space="preserve">.   </w:t>
      </w:r>
      <w:r w:rsidRPr="00192C7C">
        <w:rPr>
          <w:rFonts w:cs="Arial"/>
          <w:szCs w:val="22"/>
        </w:rPr>
        <w:t xml:space="preserve">Many survey respondents reported multiple musculoskeletal problems, with a mean of 4.5 problems and over half reporting five or more problems.  </w:t>
      </w:r>
    </w:p>
    <w:p w14:paraId="2A919D58" w14:textId="77777777" w:rsidR="007B6A21" w:rsidRPr="00316752" w:rsidRDefault="007B6A21" w:rsidP="00305DAE">
      <w:pPr>
        <w:pStyle w:val="BodyText"/>
        <w:spacing w:after="0" w:line="480" w:lineRule="auto"/>
        <w:jc w:val="both"/>
        <w:rPr>
          <w:rFonts w:cs="Arial"/>
          <w:szCs w:val="22"/>
        </w:rPr>
      </w:pPr>
    </w:p>
    <w:p w14:paraId="6F49778F" w14:textId="6849D19B" w:rsidR="00834B50" w:rsidRPr="00316752" w:rsidRDefault="00834B50" w:rsidP="00305DAE">
      <w:pPr>
        <w:pStyle w:val="ChartPictureHeading"/>
        <w:spacing w:before="0" w:after="0" w:line="480" w:lineRule="auto"/>
        <w:jc w:val="both"/>
        <w:rPr>
          <w:rFonts w:cs="Arial"/>
          <w:szCs w:val="22"/>
        </w:rPr>
      </w:pPr>
      <w:r w:rsidRPr="00316752">
        <w:rPr>
          <w:rFonts w:cs="Arial"/>
          <w:szCs w:val="22"/>
        </w:rPr>
        <w:lastRenderedPageBreak/>
        <w:t xml:space="preserve">Table </w:t>
      </w:r>
      <w:r w:rsidR="000C49AD">
        <w:rPr>
          <w:rFonts w:cs="Arial"/>
          <w:szCs w:val="22"/>
        </w:rPr>
        <w:t>1</w:t>
      </w:r>
      <w:r w:rsidR="00C6108C" w:rsidRPr="00316752">
        <w:rPr>
          <w:rFonts w:cs="Arial"/>
          <w:szCs w:val="22"/>
        </w:rPr>
        <w:t xml:space="preserve">. </w:t>
      </w:r>
      <w:r w:rsidRPr="00316752">
        <w:rPr>
          <w:rFonts w:cs="Arial"/>
          <w:szCs w:val="22"/>
        </w:rPr>
        <w:t xml:space="preserve"> </w:t>
      </w:r>
      <w:r w:rsidR="00D15815">
        <w:rPr>
          <w:rFonts w:cs="Arial"/>
          <w:szCs w:val="22"/>
        </w:rPr>
        <w:t>Prevalence</w:t>
      </w:r>
      <w:r w:rsidR="00221EC7" w:rsidRPr="00316752">
        <w:rPr>
          <w:rFonts w:cs="Arial"/>
          <w:szCs w:val="22"/>
        </w:rPr>
        <w:t xml:space="preserve"> o</w:t>
      </w:r>
      <w:r w:rsidRPr="00316752">
        <w:rPr>
          <w:rFonts w:cs="Arial"/>
          <w:szCs w:val="22"/>
        </w:rPr>
        <w:t xml:space="preserve">f </w:t>
      </w:r>
      <w:r w:rsidR="00221EC7" w:rsidRPr="00316752">
        <w:rPr>
          <w:rFonts w:cs="Arial"/>
          <w:szCs w:val="22"/>
        </w:rPr>
        <w:t>m</w:t>
      </w:r>
      <w:r w:rsidRPr="00316752">
        <w:rPr>
          <w:rFonts w:cs="Arial"/>
          <w:szCs w:val="22"/>
        </w:rPr>
        <w:t xml:space="preserve">usculoskeletal </w:t>
      </w:r>
      <w:r w:rsidR="00221EC7" w:rsidRPr="00316752">
        <w:rPr>
          <w:rFonts w:cs="Arial"/>
          <w:szCs w:val="22"/>
        </w:rPr>
        <w:t>p</w:t>
      </w:r>
      <w:r w:rsidRPr="00316752">
        <w:rPr>
          <w:rFonts w:cs="Arial"/>
          <w:szCs w:val="22"/>
        </w:rPr>
        <w:t>roblems</w:t>
      </w:r>
    </w:p>
    <w:tbl>
      <w:tblPr>
        <w:tblW w:w="8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6463"/>
        <w:gridCol w:w="1701"/>
      </w:tblGrid>
      <w:tr w:rsidR="00F57C14" w:rsidRPr="00316752" w14:paraId="5452E9C0" w14:textId="77777777" w:rsidTr="00F57C14">
        <w:trPr>
          <w:trHeight w:val="283"/>
        </w:trPr>
        <w:tc>
          <w:tcPr>
            <w:tcW w:w="6463" w:type="dxa"/>
            <w:shd w:val="clear" w:color="auto" w:fill="D9D9D9" w:themeFill="background1" w:themeFillShade="D9"/>
            <w:noWrap/>
            <w:vAlign w:val="center"/>
          </w:tcPr>
          <w:p w14:paraId="707CAADF" w14:textId="77777777" w:rsidR="00F57C14" w:rsidRPr="00316752" w:rsidRDefault="00F57C14" w:rsidP="00316752">
            <w:pPr>
              <w:pStyle w:val="TableSubheading"/>
              <w:spacing w:line="240" w:lineRule="auto"/>
              <w:contextualSpacing/>
              <w:jc w:val="both"/>
              <w:rPr>
                <w:rFonts w:ascii="Arial" w:hAnsi="Arial" w:cs="Arial"/>
                <w:szCs w:val="22"/>
              </w:rPr>
            </w:pPr>
            <w:r w:rsidRPr="00316752">
              <w:rPr>
                <w:rFonts w:ascii="Arial" w:hAnsi="Arial" w:cs="Arial"/>
                <w:szCs w:val="22"/>
              </w:rPr>
              <w:t>Musculoskeletal Problem</w:t>
            </w:r>
          </w:p>
        </w:tc>
        <w:tc>
          <w:tcPr>
            <w:tcW w:w="1701" w:type="dxa"/>
            <w:shd w:val="clear" w:color="auto" w:fill="D9D9D9" w:themeFill="background1" w:themeFillShade="D9"/>
            <w:noWrap/>
            <w:vAlign w:val="center"/>
          </w:tcPr>
          <w:p w14:paraId="79B42C03" w14:textId="52790333" w:rsidR="00F57C14" w:rsidRPr="00316752" w:rsidRDefault="00F57C14" w:rsidP="00F57C14">
            <w:pPr>
              <w:pStyle w:val="TableNumberSubheading"/>
              <w:spacing w:line="240" w:lineRule="auto"/>
              <w:contextualSpacing/>
              <w:rPr>
                <w:rFonts w:ascii="Arial" w:hAnsi="Arial" w:cs="Arial"/>
                <w:szCs w:val="22"/>
              </w:rPr>
            </w:pPr>
            <w:r w:rsidRPr="00316752">
              <w:rPr>
                <w:rFonts w:ascii="Arial" w:hAnsi="Arial" w:cs="Arial"/>
                <w:szCs w:val="22"/>
                <w:lang w:eastAsia="en-US"/>
              </w:rPr>
              <w:t>Number</w:t>
            </w:r>
            <w:r>
              <w:rPr>
                <w:rFonts w:ascii="Arial" w:hAnsi="Arial" w:cs="Arial"/>
                <w:szCs w:val="22"/>
                <w:lang w:eastAsia="en-US"/>
              </w:rPr>
              <w:t>/</w:t>
            </w:r>
            <w:r w:rsidRPr="00316752">
              <w:rPr>
                <w:rFonts w:ascii="Arial" w:hAnsi="Arial" w:cs="Arial"/>
                <w:szCs w:val="22"/>
              </w:rPr>
              <w:t>%</w:t>
            </w:r>
          </w:p>
        </w:tc>
      </w:tr>
      <w:tr w:rsidR="00F57C14" w:rsidRPr="00316752" w14:paraId="62763A6B" w14:textId="77777777" w:rsidTr="00F57C14">
        <w:trPr>
          <w:trHeight w:val="283"/>
        </w:trPr>
        <w:tc>
          <w:tcPr>
            <w:tcW w:w="6463" w:type="dxa"/>
            <w:shd w:val="clear" w:color="auto" w:fill="auto"/>
            <w:noWrap/>
            <w:vAlign w:val="center"/>
            <w:hideMark/>
          </w:tcPr>
          <w:p w14:paraId="0BDE5C32"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 xml:space="preserve">Back problems – prolapsed disc; damage to vertebrae; scoliosis and/or muscular pain </w:t>
            </w:r>
          </w:p>
        </w:tc>
        <w:tc>
          <w:tcPr>
            <w:tcW w:w="1701" w:type="dxa"/>
            <w:shd w:val="clear" w:color="auto" w:fill="auto"/>
            <w:noWrap/>
            <w:vAlign w:val="center"/>
            <w:hideMark/>
          </w:tcPr>
          <w:p w14:paraId="6C839DCA" w14:textId="56002A09"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254</w:t>
            </w:r>
            <w:r>
              <w:rPr>
                <w:rFonts w:ascii="Arial" w:hAnsi="Arial" w:cs="Arial"/>
                <w:szCs w:val="22"/>
              </w:rPr>
              <w:t>/</w:t>
            </w:r>
            <w:r w:rsidRPr="00316752">
              <w:rPr>
                <w:rFonts w:ascii="Arial" w:hAnsi="Arial" w:cs="Arial"/>
                <w:szCs w:val="22"/>
              </w:rPr>
              <w:t>72%</w:t>
            </w:r>
          </w:p>
        </w:tc>
      </w:tr>
      <w:tr w:rsidR="00F57C14" w:rsidRPr="00316752" w14:paraId="41230D71" w14:textId="77777777" w:rsidTr="00F57C14">
        <w:trPr>
          <w:trHeight w:val="283"/>
        </w:trPr>
        <w:tc>
          <w:tcPr>
            <w:tcW w:w="6463" w:type="dxa"/>
            <w:shd w:val="clear" w:color="auto" w:fill="auto"/>
            <w:noWrap/>
            <w:vAlign w:val="center"/>
            <w:hideMark/>
          </w:tcPr>
          <w:p w14:paraId="6CAC1035"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Shoulder – pain, loss of movement or deterioration of the joint</w:t>
            </w:r>
          </w:p>
        </w:tc>
        <w:tc>
          <w:tcPr>
            <w:tcW w:w="1701" w:type="dxa"/>
            <w:shd w:val="clear" w:color="auto" w:fill="auto"/>
            <w:noWrap/>
            <w:vAlign w:val="center"/>
            <w:hideMark/>
          </w:tcPr>
          <w:p w14:paraId="1FF6AC54" w14:textId="2573F779"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211</w:t>
            </w:r>
            <w:r>
              <w:rPr>
                <w:rFonts w:ascii="Arial" w:hAnsi="Arial" w:cs="Arial"/>
                <w:szCs w:val="22"/>
              </w:rPr>
              <w:t>/</w:t>
            </w:r>
            <w:r w:rsidRPr="00316752">
              <w:rPr>
                <w:rFonts w:ascii="Arial" w:hAnsi="Arial" w:cs="Arial"/>
                <w:szCs w:val="22"/>
              </w:rPr>
              <w:t>60%</w:t>
            </w:r>
          </w:p>
        </w:tc>
      </w:tr>
      <w:tr w:rsidR="00F57C14" w:rsidRPr="00316752" w14:paraId="397453C3" w14:textId="77777777" w:rsidTr="00F57C14">
        <w:trPr>
          <w:trHeight w:val="283"/>
        </w:trPr>
        <w:tc>
          <w:tcPr>
            <w:tcW w:w="6463" w:type="dxa"/>
            <w:shd w:val="clear" w:color="auto" w:fill="auto"/>
            <w:noWrap/>
            <w:vAlign w:val="center"/>
            <w:hideMark/>
          </w:tcPr>
          <w:p w14:paraId="78C77B98"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Hands – pain, loss of grip and/or dexterity</w:t>
            </w:r>
          </w:p>
        </w:tc>
        <w:tc>
          <w:tcPr>
            <w:tcW w:w="1701" w:type="dxa"/>
            <w:shd w:val="clear" w:color="auto" w:fill="auto"/>
            <w:noWrap/>
            <w:vAlign w:val="center"/>
            <w:hideMark/>
          </w:tcPr>
          <w:p w14:paraId="17DD645E" w14:textId="6B7FDC09"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210</w:t>
            </w:r>
            <w:r>
              <w:rPr>
                <w:rFonts w:ascii="Arial" w:hAnsi="Arial" w:cs="Arial"/>
                <w:szCs w:val="22"/>
              </w:rPr>
              <w:t>/</w:t>
            </w:r>
            <w:r w:rsidRPr="00316752">
              <w:rPr>
                <w:rFonts w:ascii="Arial" w:hAnsi="Arial" w:cs="Arial"/>
                <w:szCs w:val="22"/>
              </w:rPr>
              <w:t>59%</w:t>
            </w:r>
          </w:p>
        </w:tc>
      </w:tr>
      <w:tr w:rsidR="00F57C14" w:rsidRPr="00316752" w14:paraId="390AF962" w14:textId="77777777" w:rsidTr="00F57C14">
        <w:trPr>
          <w:trHeight w:val="283"/>
        </w:trPr>
        <w:tc>
          <w:tcPr>
            <w:tcW w:w="6463" w:type="dxa"/>
            <w:shd w:val="clear" w:color="auto" w:fill="auto"/>
            <w:noWrap/>
            <w:vAlign w:val="center"/>
            <w:hideMark/>
          </w:tcPr>
          <w:p w14:paraId="3EBE3EA0" w14:textId="4FDBB39C"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Arms and wrists – pain, loss of strength and/or movement</w:t>
            </w:r>
          </w:p>
        </w:tc>
        <w:tc>
          <w:tcPr>
            <w:tcW w:w="1701" w:type="dxa"/>
            <w:shd w:val="clear" w:color="auto" w:fill="auto"/>
            <w:noWrap/>
            <w:vAlign w:val="center"/>
            <w:hideMark/>
          </w:tcPr>
          <w:p w14:paraId="23755159" w14:textId="3F163F77"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197</w:t>
            </w:r>
            <w:r>
              <w:rPr>
                <w:rFonts w:ascii="Arial" w:hAnsi="Arial" w:cs="Arial"/>
                <w:szCs w:val="22"/>
              </w:rPr>
              <w:t>/</w:t>
            </w:r>
            <w:r w:rsidRPr="00316752">
              <w:rPr>
                <w:rFonts w:ascii="Arial" w:hAnsi="Arial" w:cs="Arial"/>
                <w:szCs w:val="22"/>
              </w:rPr>
              <w:t>56%</w:t>
            </w:r>
          </w:p>
        </w:tc>
      </w:tr>
      <w:tr w:rsidR="00F57C14" w:rsidRPr="00316752" w14:paraId="42622F9B" w14:textId="77777777" w:rsidTr="00F57C14">
        <w:trPr>
          <w:trHeight w:val="283"/>
        </w:trPr>
        <w:tc>
          <w:tcPr>
            <w:tcW w:w="6463" w:type="dxa"/>
            <w:shd w:val="clear" w:color="auto" w:fill="auto"/>
            <w:noWrap/>
            <w:vAlign w:val="center"/>
            <w:hideMark/>
          </w:tcPr>
          <w:p w14:paraId="750DEE1A"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Neck pain and/or loss of movement</w:t>
            </w:r>
          </w:p>
        </w:tc>
        <w:tc>
          <w:tcPr>
            <w:tcW w:w="1701" w:type="dxa"/>
            <w:shd w:val="clear" w:color="auto" w:fill="auto"/>
            <w:noWrap/>
            <w:vAlign w:val="center"/>
            <w:hideMark/>
          </w:tcPr>
          <w:p w14:paraId="327462EB" w14:textId="7BD35F81"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195</w:t>
            </w:r>
            <w:r>
              <w:rPr>
                <w:rFonts w:ascii="Arial" w:hAnsi="Arial" w:cs="Arial"/>
                <w:szCs w:val="22"/>
              </w:rPr>
              <w:t>/</w:t>
            </w:r>
            <w:r w:rsidRPr="00316752">
              <w:rPr>
                <w:rFonts w:ascii="Arial" w:hAnsi="Arial" w:cs="Arial"/>
                <w:szCs w:val="22"/>
              </w:rPr>
              <w:t>55%</w:t>
            </w:r>
          </w:p>
        </w:tc>
      </w:tr>
      <w:tr w:rsidR="00F57C14" w:rsidRPr="00316752" w14:paraId="2BC1AA84" w14:textId="77777777" w:rsidTr="00F57C14">
        <w:trPr>
          <w:trHeight w:val="283"/>
        </w:trPr>
        <w:tc>
          <w:tcPr>
            <w:tcW w:w="6463" w:type="dxa"/>
            <w:shd w:val="clear" w:color="auto" w:fill="auto"/>
            <w:noWrap/>
            <w:vAlign w:val="center"/>
            <w:hideMark/>
          </w:tcPr>
          <w:p w14:paraId="4BC91983"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Knee – pain or deterioration of the joint</w:t>
            </w:r>
          </w:p>
        </w:tc>
        <w:tc>
          <w:tcPr>
            <w:tcW w:w="1701" w:type="dxa"/>
            <w:shd w:val="clear" w:color="auto" w:fill="auto"/>
            <w:noWrap/>
            <w:vAlign w:val="center"/>
            <w:hideMark/>
          </w:tcPr>
          <w:p w14:paraId="7CE48603" w14:textId="31B68BFE"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168</w:t>
            </w:r>
            <w:r>
              <w:rPr>
                <w:rFonts w:ascii="Arial" w:hAnsi="Arial" w:cs="Arial"/>
                <w:szCs w:val="22"/>
              </w:rPr>
              <w:t>/</w:t>
            </w:r>
            <w:r w:rsidRPr="00316752">
              <w:rPr>
                <w:rFonts w:ascii="Arial" w:hAnsi="Arial" w:cs="Arial"/>
                <w:szCs w:val="22"/>
              </w:rPr>
              <w:t>48%</w:t>
            </w:r>
          </w:p>
        </w:tc>
      </w:tr>
      <w:tr w:rsidR="00F57C14" w:rsidRPr="00316752" w14:paraId="770104E2" w14:textId="77777777" w:rsidTr="00F57C14">
        <w:trPr>
          <w:trHeight w:val="283"/>
        </w:trPr>
        <w:tc>
          <w:tcPr>
            <w:tcW w:w="6463" w:type="dxa"/>
            <w:shd w:val="clear" w:color="auto" w:fill="auto"/>
            <w:noWrap/>
            <w:vAlign w:val="center"/>
            <w:hideMark/>
          </w:tcPr>
          <w:p w14:paraId="3FB7516F"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Hip – pain, loss of movement or deterioration of the joint</w:t>
            </w:r>
          </w:p>
        </w:tc>
        <w:tc>
          <w:tcPr>
            <w:tcW w:w="1701" w:type="dxa"/>
            <w:shd w:val="clear" w:color="auto" w:fill="auto"/>
            <w:noWrap/>
            <w:vAlign w:val="center"/>
            <w:hideMark/>
          </w:tcPr>
          <w:p w14:paraId="76BBF41A" w14:textId="24A89DB6"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164</w:t>
            </w:r>
            <w:r>
              <w:rPr>
                <w:rFonts w:ascii="Arial" w:hAnsi="Arial" w:cs="Arial"/>
                <w:szCs w:val="22"/>
              </w:rPr>
              <w:t>/</w:t>
            </w:r>
            <w:r w:rsidRPr="00316752">
              <w:rPr>
                <w:rFonts w:ascii="Arial" w:hAnsi="Arial" w:cs="Arial"/>
                <w:szCs w:val="22"/>
              </w:rPr>
              <w:t>46%</w:t>
            </w:r>
          </w:p>
        </w:tc>
      </w:tr>
      <w:tr w:rsidR="00F57C14" w:rsidRPr="00316752" w14:paraId="1AD6378D" w14:textId="77777777" w:rsidTr="00F57C14">
        <w:trPr>
          <w:trHeight w:val="283"/>
        </w:trPr>
        <w:tc>
          <w:tcPr>
            <w:tcW w:w="6463" w:type="dxa"/>
            <w:shd w:val="clear" w:color="auto" w:fill="auto"/>
            <w:noWrap/>
            <w:vAlign w:val="center"/>
            <w:hideMark/>
          </w:tcPr>
          <w:p w14:paraId="7D255705" w14:textId="77777777" w:rsidR="00F57C14" w:rsidRPr="00316752" w:rsidRDefault="00F57C14" w:rsidP="00316752">
            <w:pPr>
              <w:pStyle w:val="TableText"/>
              <w:spacing w:line="240" w:lineRule="auto"/>
              <w:contextualSpacing/>
              <w:jc w:val="both"/>
              <w:rPr>
                <w:rFonts w:ascii="Arial" w:hAnsi="Arial" w:cs="Arial"/>
                <w:szCs w:val="22"/>
              </w:rPr>
            </w:pPr>
            <w:r w:rsidRPr="00316752">
              <w:rPr>
                <w:rFonts w:ascii="Arial" w:hAnsi="Arial" w:cs="Arial"/>
                <w:szCs w:val="22"/>
              </w:rPr>
              <w:t>Ankles, feet and toes – pain and/or loss of movement</w:t>
            </w:r>
          </w:p>
        </w:tc>
        <w:tc>
          <w:tcPr>
            <w:tcW w:w="1701" w:type="dxa"/>
            <w:shd w:val="clear" w:color="auto" w:fill="auto"/>
            <w:noWrap/>
            <w:vAlign w:val="center"/>
            <w:hideMark/>
          </w:tcPr>
          <w:p w14:paraId="1C886403" w14:textId="7C4BA8CA" w:rsidR="00F57C14" w:rsidRPr="00316752" w:rsidRDefault="00F57C14" w:rsidP="00F57C14">
            <w:pPr>
              <w:pStyle w:val="TableNumbers"/>
              <w:spacing w:line="240" w:lineRule="auto"/>
              <w:contextualSpacing/>
              <w:rPr>
                <w:rFonts w:ascii="Arial" w:hAnsi="Arial" w:cs="Arial"/>
                <w:szCs w:val="22"/>
              </w:rPr>
            </w:pPr>
            <w:r w:rsidRPr="00316752">
              <w:rPr>
                <w:rFonts w:ascii="Arial" w:hAnsi="Arial" w:cs="Arial"/>
                <w:szCs w:val="22"/>
              </w:rPr>
              <w:t>100</w:t>
            </w:r>
            <w:r>
              <w:rPr>
                <w:rFonts w:ascii="Arial" w:hAnsi="Arial" w:cs="Arial"/>
                <w:szCs w:val="22"/>
              </w:rPr>
              <w:t>/</w:t>
            </w:r>
            <w:r w:rsidRPr="00316752">
              <w:rPr>
                <w:rFonts w:ascii="Arial" w:hAnsi="Arial" w:cs="Arial"/>
                <w:szCs w:val="22"/>
              </w:rPr>
              <w:t>28%</w:t>
            </w:r>
          </w:p>
        </w:tc>
      </w:tr>
    </w:tbl>
    <w:p w14:paraId="271DECEC" w14:textId="77777777" w:rsidR="00834B50" w:rsidRPr="00316752" w:rsidRDefault="00834B50" w:rsidP="00316752">
      <w:pPr>
        <w:pStyle w:val="BodyText"/>
        <w:spacing w:after="0" w:line="360" w:lineRule="auto"/>
        <w:jc w:val="both"/>
        <w:rPr>
          <w:rFonts w:cs="Arial"/>
          <w:szCs w:val="22"/>
        </w:rPr>
      </w:pPr>
    </w:p>
    <w:p w14:paraId="4216E543" w14:textId="55158026" w:rsidR="00834B50" w:rsidRDefault="000478E7" w:rsidP="00305DAE">
      <w:pPr>
        <w:pStyle w:val="BodyText"/>
        <w:spacing w:after="0" w:line="480" w:lineRule="auto"/>
        <w:jc w:val="both"/>
        <w:rPr>
          <w:rFonts w:cs="Arial"/>
          <w:szCs w:val="22"/>
        </w:rPr>
      </w:pPr>
      <w:r w:rsidRPr="00316752">
        <w:rPr>
          <w:rFonts w:cs="Arial"/>
          <w:szCs w:val="22"/>
        </w:rPr>
        <w:t>Almost half (</w:t>
      </w:r>
      <w:r w:rsidR="005306EA" w:rsidRPr="00316752">
        <w:rPr>
          <w:rFonts w:cs="Arial"/>
          <w:szCs w:val="22"/>
        </w:rPr>
        <w:t>49%</w:t>
      </w:r>
      <w:r w:rsidRPr="00316752">
        <w:rPr>
          <w:rFonts w:cs="Arial"/>
          <w:szCs w:val="22"/>
        </w:rPr>
        <w:t>)</w:t>
      </w:r>
      <w:r w:rsidR="005306EA" w:rsidRPr="00316752">
        <w:rPr>
          <w:rFonts w:cs="Arial"/>
          <w:szCs w:val="22"/>
        </w:rPr>
        <w:t xml:space="preserve"> of respondents reported </w:t>
      </w:r>
      <w:r w:rsidR="00834B50" w:rsidRPr="00316752">
        <w:rPr>
          <w:rFonts w:cs="Arial"/>
          <w:szCs w:val="22"/>
        </w:rPr>
        <w:t xml:space="preserve">generalised </w:t>
      </w:r>
      <w:r w:rsidR="00500EE4">
        <w:rPr>
          <w:rFonts w:cs="Arial"/>
          <w:szCs w:val="22"/>
        </w:rPr>
        <w:t xml:space="preserve">pain: </w:t>
      </w:r>
      <w:r w:rsidR="00B40180" w:rsidRPr="00316752">
        <w:rPr>
          <w:rFonts w:cs="Arial"/>
          <w:szCs w:val="22"/>
        </w:rPr>
        <w:t>26</w:t>
      </w:r>
      <w:r w:rsidR="00834B50" w:rsidRPr="00316752">
        <w:rPr>
          <w:rFonts w:cs="Arial"/>
          <w:szCs w:val="22"/>
        </w:rPr>
        <w:t>%</w:t>
      </w:r>
      <w:r w:rsidR="00B40180" w:rsidRPr="00316752">
        <w:rPr>
          <w:rFonts w:cs="Arial"/>
          <w:szCs w:val="22"/>
        </w:rPr>
        <w:t xml:space="preserve"> </w:t>
      </w:r>
      <w:r w:rsidR="00834B50" w:rsidRPr="00316752">
        <w:rPr>
          <w:rFonts w:cs="Arial"/>
          <w:szCs w:val="22"/>
        </w:rPr>
        <w:t>said this was severe and/or continuous and a further</w:t>
      </w:r>
      <w:r w:rsidR="00B40180" w:rsidRPr="00316752">
        <w:rPr>
          <w:rFonts w:cs="Arial"/>
          <w:szCs w:val="22"/>
        </w:rPr>
        <w:t xml:space="preserve"> 23%</w:t>
      </w:r>
      <w:r w:rsidR="00834B50" w:rsidRPr="00316752">
        <w:rPr>
          <w:rFonts w:cs="Arial"/>
          <w:szCs w:val="22"/>
        </w:rPr>
        <w:t xml:space="preserve"> described it as moderate and/or intermittent. </w:t>
      </w:r>
      <w:r w:rsidR="00221EC7" w:rsidRPr="00316752">
        <w:rPr>
          <w:rFonts w:cs="Arial"/>
          <w:szCs w:val="22"/>
        </w:rPr>
        <w:t>Re</w:t>
      </w:r>
      <w:r w:rsidR="00B40180" w:rsidRPr="00316752">
        <w:rPr>
          <w:rFonts w:cs="Arial"/>
          <w:szCs w:val="22"/>
        </w:rPr>
        <w:t>spondents with most severe Thalidomide damage</w:t>
      </w:r>
      <w:r w:rsidR="00834B50" w:rsidRPr="00316752">
        <w:rPr>
          <w:rFonts w:cs="Arial"/>
          <w:szCs w:val="22"/>
        </w:rPr>
        <w:t xml:space="preserve"> were the most likely to report generalised pain</w:t>
      </w:r>
      <w:r w:rsidR="00B40180" w:rsidRPr="00316752">
        <w:rPr>
          <w:rFonts w:cs="Arial"/>
          <w:szCs w:val="22"/>
        </w:rPr>
        <w:t xml:space="preserve">.  </w:t>
      </w:r>
      <w:r w:rsidR="00834B50" w:rsidRPr="00316752">
        <w:rPr>
          <w:rFonts w:cs="Arial"/>
          <w:szCs w:val="22"/>
        </w:rPr>
        <w:t xml:space="preserve"> </w:t>
      </w:r>
      <w:r w:rsidR="00B40180" w:rsidRPr="00316752">
        <w:rPr>
          <w:rFonts w:cs="Arial"/>
          <w:szCs w:val="22"/>
        </w:rPr>
        <w:t>For some, the cause of the</w:t>
      </w:r>
      <w:r w:rsidR="00834B50" w:rsidRPr="00316752">
        <w:rPr>
          <w:rFonts w:cs="Arial"/>
          <w:szCs w:val="22"/>
        </w:rPr>
        <w:t xml:space="preserve"> pain was unclear</w:t>
      </w:r>
      <w:r w:rsidR="00C6108C" w:rsidRPr="00316752">
        <w:rPr>
          <w:rFonts w:cs="Arial"/>
          <w:szCs w:val="22"/>
        </w:rPr>
        <w:t xml:space="preserve">: </w:t>
      </w:r>
    </w:p>
    <w:p w14:paraId="036618C8" w14:textId="77777777" w:rsidR="00316752" w:rsidRPr="00316752" w:rsidRDefault="00316752" w:rsidP="00305DAE">
      <w:pPr>
        <w:pStyle w:val="BodyText"/>
        <w:spacing w:after="0" w:line="480" w:lineRule="auto"/>
        <w:jc w:val="both"/>
        <w:rPr>
          <w:rFonts w:cs="Arial"/>
          <w:szCs w:val="22"/>
        </w:rPr>
      </w:pPr>
    </w:p>
    <w:p w14:paraId="7ED1512C" w14:textId="77777777" w:rsidR="00834B50" w:rsidRDefault="00834B50" w:rsidP="00305DAE">
      <w:pPr>
        <w:pStyle w:val="BodyTextIndentedquotations"/>
        <w:spacing w:after="0" w:line="480" w:lineRule="auto"/>
        <w:jc w:val="both"/>
        <w:rPr>
          <w:rFonts w:cs="Arial"/>
          <w:i w:val="0"/>
          <w:szCs w:val="22"/>
        </w:rPr>
      </w:pPr>
      <w:r w:rsidRPr="00316752">
        <w:rPr>
          <w:rFonts w:cs="Arial"/>
          <w:szCs w:val="22"/>
        </w:rPr>
        <w:t xml:space="preserve">“Chronic neuropathic pain in peroneal nerves - both legs, below knee. 5 years. No cause found. Does not respond to treatment/pain management medication.” </w:t>
      </w:r>
      <w:r w:rsidRPr="00316752">
        <w:rPr>
          <w:rFonts w:cs="Arial"/>
          <w:i w:val="0"/>
          <w:szCs w:val="22"/>
        </w:rPr>
        <w:t>(Survey ID298)</w:t>
      </w:r>
    </w:p>
    <w:p w14:paraId="185806C1" w14:textId="77777777" w:rsidR="00B672C9" w:rsidRPr="00316752" w:rsidRDefault="00B672C9" w:rsidP="00305DAE">
      <w:pPr>
        <w:pStyle w:val="BodyTextIndentedquotations"/>
        <w:spacing w:after="0" w:line="480" w:lineRule="auto"/>
        <w:jc w:val="both"/>
        <w:rPr>
          <w:rFonts w:cs="Arial"/>
          <w:i w:val="0"/>
          <w:szCs w:val="22"/>
        </w:rPr>
      </w:pPr>
    </w:p>
    <w:p w14:paraId="62F09F4E" w14:textId="6D9434C9" w:rsidR="00316752" w:rsidRPr="000C49AD" w:rsidRDefault="00834B50" w:rsidP="000C49AD">
      <w:pPr>
        <w:pStyle w:val="BodyTextIndentedquotations"/>
        <w:spacing w:after="0" w:line="480" w:lineRule="auto"/>
        <w:jc w:val="both"/>
        <w:rPr>
          <w:rFonts w:cs="Arial"/>
          <w:i w:val="0"/>
          <w:szCs w:val="22"/>
        </w:rPr>
      </w:pPr>
      <w:r w:rsidRPr="00316752">
        <w:rPr>
          <w:rFonts w:cs="Arial"/>
          <w:szCs w:val="22"/>
        </w:rPr>
        <w:t xml:space="preserve">“I have been suffering with regular bouts of pain in my side. I have had several tests done but I am told there is no conclusive reason for the pain.” </w:t>
      </w:r>
      <w:r w:rsidRPr="00316752">
        <w:rPr>
          <w:rFonts w:cs="Arial"/>
          <w:i w:val="0"/>
          <w:szCs w:val="22"/>
        </w:rPr>
        <w:t>(Survey ID104)</w:t>
      </w:r>
    </w:p>
    <w:p w14:paraId="1698A260" w14:textId="77777777" w:rsidR="001603AB" w:rsidRDefault="001603AB" w:rsidP="00EF7B87">
      <w:pPr>
        <w:pStyle w:val="BodyText"/>
        <w:spacing w:after="0" w:line="480" w:lineRule="auto"/>
        <w:jc w:val="both"/>
        <w:rPr>
          <w:rFonts w:cs="Arial"/>
          <w:szCs w:val="22"/>
        </w:rPr>
      </w:pPr>
    </w:p>
    <w:p w14:paraId="0F224DFE" w14:textId="1AF54D23" w:rsidR="00316752" w:rsidRDefault="00B40180" w:rsidP="00EF7B87">
      <w:pPr>
        <w:pStyle w:val="BodyText"/>
        <w:spacing w:after="0" w:line="480" w:lineRule="auto"/>
        <w:jc w:val="both"/>
        <w:rPr>
          <w:rFonts w:cs="Arial"/>
          <w:szCs w:val="22"/>
        </w:rPr>
      </w:pPr>
      <w:r w:rsidRPr="00316752">
        <w:rPr>
          <w:rFonts w:cs="Arial"/>
          <w:szCs w:val="22"/>
        </w:rPr>
        <w:t>Two</w:t>
      </w:r>
      <w:r w:rsidR="00C6108C" w:rsidRPr="00316752">
        <w:rPr>
          <w:rFonts w:cs="Arial"/>
          <w:szCs w:val="22"/>
        </w:rPr>
        <w:t>-</w:t>
      </w:r>
      <w:r w:rsidRPr="00316752">
        <w:rPr>
          <w:rFonts w:cs="Arial"/>
          <w:szCs w:val="22"/>
        </w:rPr>
        <w:t>thirds (</w:t>
      </w:r>
      <w:r w:rsidR="00834B50" w:rsidRPr="00316752">
        <w:rPr>
          <w:rFonts w:cs="Arial"/>
          <w:szCs w:val="22"/>
        </w:rPr>
        <w:t>66%</w:t>
      </w:r>
      <w:r w:rsidRPr="00316752">
        <w:rPr>
          <w:rFonts w:cs="Arial"/>
          <w:szCs w:val="22"/>
        </w:rPr>
        <w:t>) of r</w:t>
      </w:r>
      <w:r w:rsidR="00834B50" w:rsidRPr="00316752">
        <w:rPr>
          <w:rFonts w:cs="Arial"/>
          <w:szCs w:val="22"/>
        </w:rPr>
        <w:t xml:space="preserve">espondents </w:t>
      </w:r>
      <w:r w:rsidRPr="00316752">
        <w:rPr>
          <w:rFonts w:cs="Arial"/>
          <w:szCs w:val="22"/>
        </w:rPr>
        <w:t xml:space="preserve">also </w:t>
      </w:r>
      <w:r w:rsidR="00834B50" w:rsidRPr="00316752">
        <w:rPr>
          <w:rFonts w:cs="Arial"/>
          <w:szCs w:val="22"/>
        </w:rPr>
        <w:t xml:space="preserve">reported </w:t>
      </w:r>
      <w:r w:rsidRPr="00316752">
        <w:rPr>
          <w:rFonts w:cs="Arial"/>
          <w:szCs w:val="22"/>
        </w:rPr>
        <w:t xml:space="preserve">one or more neurological symptom </w:t>
      </w:r>
      <w:r w:rsidR="00326787">
        <w:rPr>
          <w:rFonts w:cs="Arial"/>
          <w:szCs w:val="22"/>
        </w:rPr>
        <w:t>(e.g. tingling and numbness</w:t>
      </w:r>
      <w:r w:rsidRPr="00316752">
        <w:rPr>
          <w:rFonts w:cs="Arial"/>
          <w:szCs w:val="22"/>
        </w:rPr>
        <w:t xml:space="preserve">).  </w:t>
      </w:r>
      <w:r w:rsidR="00192C7C" w:rsidRPr="00316752">
        <w:rPr>
          <w:rFonts w:cs="Arial"/>
          <w:szCs w:val="22"/>
        </w:rPr>
        <w:t xml:space="preserve">Two fifths reported severe tiredness/fatigue; this was more common among </w:t>
      </w:r>
      <w:r w:rsidR="00500EE4">
        <w:rPr>
          <w:rFonts w:cs="Arial"/>
          <w:szCs w:val="22"/>
        </w:rPr>
        <w:t xml:space="preserve">respondents in </w:t>
      </w:r>
      <w:r w:rsidR="001371BC">
        <w:rPr>
          <w:rFonts w:cs="Arial"/>
          <w:szCs w:val="22"/>
        </w:rPr>
        <w:t>B</w:t>
      </w:r>
      <w:r w:rsidR="00192C7C" w:rsidRPr="00316752">
        <w:rPr>
          <w:rFonts w:cs="Arial"/>
          <w:szCs w:val="22"/>
        </w:rPr>
        <w:t>ands 1 and 2, po</w:t>
      </w:r>
      <w:r w:rsidR="00500EE4">
        <w:rPr>
          <w:rFonts w:cs="Arial"/>
          <w:szCs w:val="22"/>
        </w:rPr>
        <w:t>ssibly because they</w:t>
      </w:r>
      <w:r w:rsidR="00192C7C" w:rsidRPr="00316752">
        <w:rPr>
          <w:rFonts w:cs="Arial"/>
          <w:szCs w:val="22"/>
        </w:rPr>
        <w:t xml:space="preserve"> were more likely still to be in paid work and therefore less able to rest.  </w:t>
      </w:r>
    </w:p>
    <w:p w14:paraId="3216D15B" w14:textId="1249913A" w:rsidR="00834B50" w:rsidRPr="00DB1D90" w:rsidRDefault="00E44D47" w:rsidP="00305DAE">
      <w:pPr>
        <w:pStyle w:val="BodyTextBold"/>
        <w:spacing w:after="0" w:line="480" w:lineRule="auto"/>
        <w:jc w:val="both"/>
        <w:rPr>
          <w:rFonts w:cs="Arial"/>
          <w:sz w:val="28"/>
          <w:szCs w:val="28"/>
        </w:rPr>
      </w:pPr>
      <w:bookmarkStart w:id="2" w:name="_Toc451425529"/>
      <w:r>
        <w:rPr>
          <w:rFonts w:cs="Arial"/>
          <w:sz w:val="28"/>
          <w:szCs w:val="28"/>
        </w:rPr>
        <w:t>Mental h</w:t>
      </w:r>
      <w:r w:rsidR="00834B50" w:rsidRPr="00DB1D90">
        <w:rPr>
          <w:rFonts w:cs="Arial"/>
          <w:sz w:val="28"/>
          <w:szCs w:val="28"/>
        </w:rPr>
        <w:t>ealth</w:t>
      </w:r>
      <w:bookmarkEnd w:id="2"/>
    </w:p>
    <w:p w14:paraId="7BEC3F8E" w14:textId="1B838B3F" w:rsidR="00C6108C" w:rsidRPr="00316752" w:rsidRDefault="00221EC7" w:rsidP="00305DAE">
      <w:pPr>
        <w:pStyle w:val="BodyText"/>
        <w:spacing w:after="0" w:line="480" w:lineRule="auto"/>
        <w:jc w:val="both"/>
        <w:rPr>
          <w:rFonts w:cs="Arial"/>
          <w:szCs w:val="22"/>
        </w:rPr>
      </w:pPr>
      <w:r w:rsidRPr="00316752">
        <w:rPr>
          <w:rFonts w:cs="Arial"/>
          <w:szCs w:val="22"/>
        </w:rPr>
        <w:t>Half the re</w:t>
      </w:r>
      <w:r w:rsidR="00834B50" w:rsidRPr="00316752">
        <w:rPr>
          <w:rFonts w:cs="Arial"/>
          <w:szCs w:val="22"/>
        </w:rPr>
        <w:t>spondents said that they were currently</w:t>
      </w:r>
      <w:r w:rsidRPr="00316752">
        <w:rPr>
          <w:rFonts w:cs="Arial"/>
          <w:szCs w:val="22"/>
        </w:rPr>
        <w:t xml:space="preserve"> o</w:t>
      </w:r>
      <w:r w:rsidR="00834B50" w:rsidRPr="00316752">
        <w:rPr>
          <w:rFonts w:cs="Arial"/>
          <w:szCs w:val="22"/>
        </w:rPr>
        <w:t>r had recently experi</w:t>
      </w:r>
      <w:r w:rsidR="00326787">
        <w:rPr>
          <w:rFonts w:cs="Arial"/>
          <w:szCs w:val="22"/>
        </w:rPr>
        <w:t xml:space="preserve">enced depression and/or anxiety (41% reported anxiety and 34% depression). </w:t>
      </w:r>
      <w:r w:rsidRPr="00316752">
        <w:rPr>
          <w:rFonts w:cs="Arial"/>
          <w:szCs w:val="22"/>
        </w:rPr>
        <w:t xml:space="preserve">This is in stark contrast to the </w:t>
      </w:r>
      <w:r w:rsidRPr="00316752">
        <w:rPr>
          <w:rFonts w:cs="Arial"/>
          <w:szCs w:val="22"/>
        </w:rPr>
        <w:lastRenderedPageBreak/>
        <w:t xml:space="preserve">estimated </w:t>
      </w:r>
      <w:r w:rsidR="0027334A" w:rsidRPr="00316752">
        <w:rPr>
          <w:rFonts w:cs="Arial"/>
          <w:szCs w:val="22"/>
        </w:rPr>
        <w:t>20% of adults in th</w:t>
      </w:r>
      <w:r w:rsidR="00C6108C" w:rsidRPr="00316752">
        <w:rPr>
          <w:rFonts w:cs="Arial"/>
          <w:szCs w:val="22"/>
        </w:rPr>
        <w:t>e general UK population aged 50-</w:t>
      </w:r>
      <w:r w:rsidR="0027334A" w:rsidRPr="00316752">
        <w:rPr>
          <w:rFonts w:cs="Arial"/>
          <w:szCs w:val="22"/>
        </w:rPr>
        <w:t xml:space="preserve">54 </w:t>
      </w:r>
      <w:r w:rsidR="00C6108C" w:rsidRPr="00316752">
        <w:rPr>
          <w:rFonts w:cs="Arial"/>
          <w:szCs w:val="22"/>
        </w:rPr>
        <w:t>reporting</w:t>
      </w:r>
      <w:r w:rsidR="0027334A" w:rsidRPr="00316752">
        <w:rPr>
          <w:rFonts w:cs="Arial"/>
          <w:szCs w:val="22"/>
        </w:rPr>
        <w:t xml:space="preserve"> common mental health problem</w:t>
      </w:r>
      <w:r w:rsidR="00C6108C" w:rsidRPr="00316752">
        <w:rPr>
          <w:rFonts w:cs="Arial"/>
          <w:szCs w:val="22"/>
        </w:rPr>
        <w:t>s (</w:t>
      </w:r>
      <w:r w:rsidR="005F3048">
        <w:rPr>
          <w:rFonts w:cs="Arial"/>
          <w:szCs w:val="22"/>
        </w:rPr>
        <w:t>e.g.</w:t>
      </w:r>
      <w:r w:rsidR="0027334A" w:rsidRPr="00316752">
        <w:rPr>
          <w:rFonts w:cs="Arial"/>
          <w:szCs w:val="22"/>
        </w:rPr>
        <w:t xml:space="preserve"> depression, anxiety or panic) and the estimated 8%-12%</w:t>
      </w:r>
      <w:r w:rsidR="00C6108C" w:rsidRPr="00316752">
        <w:rPr>
          <w:rFonts w:cs="Arial"/>
          <w:szCs w:val="22"/>
        </w:rPr>
        <w:t xml:space="preserve"> adults of all ages reporting </w:t>
      </w:r>
      <w:r w:rsidR="0027334A" w:rsidRPr="00316752">
        <w:rPr>
          <w:rFonts w:cs="Arial"/>
          <w:szCs w:val="22"/>
        </w:rPr>
        <w:t xml:space="preserve">depression in any year </w:t>
      </w:r>
      <w:r w:rsidR="00B24E49">
        <w:rPr>
          <w:rFonts w:cs="Arial"/>
          <w:szCs w:val="22"/>
        </w:rPr>
        <w:t xml:space="preserve">[28]. </w:t>
      </w:r>
      <w:r w:rsidR="0027334A" w:rsidRPr="00316752">
        <w:rPr>
          <w:rFonts w:cs="Arial"/>
          <w:szCs w:val="22"/>
        </w:rPr>
        <w:t xml:space="preserve">The prevalence of poor mental health among UK Thalidomide survivors is also higher than a general population survey of 7500 physically disabled adults (all ages), of whom 19.5% reported depression or mixed depression/anxiety </w:t>
      </w:r>
      <w:r w:rsidR="00751ACB">
        <w:rPr>
          <w:rFonts w:cs="Arial"/>
          <w:szCs w:val="22"/>
        </w:rPr>
        <w:t>[17]</w:t>
      </w:r>
      <w:r w:rsidR="0027334A" w:rsidRPr="00316752">
        <w:rPr>
          <w:rFonts w:cs="Arial"/>
          <w:szCs w:val="22"/>
        </w:rPr>
        <w:t xml:space="preserve">.  However, it is </w:t>
      </w:r>
      <w:r w:rsidR="00834B50" w:rsidRPr="00316752">
        <w:rPr>
          <w:rFonts w:cs="Arial"/>
          <w:szCs w:val="22"/>
        </w:rPr>
        <w:t xml:space="preserve">very similar to the prevalence of mental health problems </w:t>
      </w:r>
      <w:r w:rsidR="0027334A" w:rsidRPr="00316752">
        <w:rPr>
          <w:rFonts w:cs="Arial"/>
          <w:szCs w:val="22"/>
        </w:rPr>
        <w:t xml:space="preserve">among German survivors </w:t>
      </w:r>
      <w:r w:rsidR="00751ACB">
        <w:rPr>
          <w:rFonts w:cs="Arial"/>
          <w:szCs w:val="22"/>
        </w:rPr>
        <w:t>[11]</w:t>
      </w:r>
      <w:r w:rsidR="0027334A" w:rsidRPr="00316752">
        <w:rPr>
          <w:rFonts w:cs="Arial"/>
          <w:szCs w:val="22"/>
        </w:rPr>
        <w:t xml:space="preserve">, where </w:t>
      </w:r>
      <w:r w:rsidR="00834B50" w:rsidRPr="00316752">
        <w:rPr>
          <w:rFonts w:cs="Arial"/>
          <w:szCs w:val="22"/>
        </w:rPr>
        <w:t>face-to-face psychiatric assessment</w:t>
      </w:r>
      <w:r w:rsidR="0027334A" w:rsidRPr="00316752">
        <w:rPr>
          <w:rFonts w:cs="Arial"/>
          <w:szCs w:val="22"/>
        </w:rPr>
        <w:t>s</w:t>
      </w:r>
      <w:r w:rsidR="00834B50" w:rsidRPr="00316752">
        <w:rPr>
          <w:rFonts w:cs="Arial"/>
          <w:szCs w:val="22"/>
        </w:rPr>
        <w:t xml:space="preserve"> found 47.7% of Thalidomide survivors </w:t>
      </w:r>
      <w:r w:rsidR="0027334A" w:rsidRPr="00316752">
        <w:rPr>
          <w:rFonts w:cs="Arial"/>
          <w:szCs w:val="22"/>
        </w:rPr>
        <w:t>currently</w:t>
      </w:r>
      <w:r w:rsidR="00C6108C" w:rsidRPr="00316752">
        <w:rPr>
          <w:rFonts w:cs="Arial"/>
          <w:szCs w:val="22"/>
        </w:rPr>
        <w:t xml:space="preserve"> or recently</w:t>
      </w:r>
      <w:r w:rsidR="0027334A" w:rsidRPr="00316752">
        <w:rPr>
          <w:rFonts w:cs="Arial"/>
          <w:szCs w:val="22"/>
        </w:rPr>
        <w:t xml:space="preserve"> experienc</w:t>
      </w:r>
      <w:r w:rsidR="00C6108C" w:rsidRPr="00316752">
        <w:rPr>
          <w:rFonts w:cs="Arial"/>
          <w:szCs w:val="22"/>
        </w:rPr>
        <w:t xml:space="preserve">ed </w:t>
      </w:r>
      <w:r w:rsidR="0027334A" w:rsidRPr="00316752">
        <w:rPr>
          <w:rFonts w:cs="Arial"/>
          <w:szCs w:val="22"/>
        </w:rPr>
        <w:t>mental health problems</w:t>
      </w:r>
      <w:r w:rsidR="00C6108C" w:rsidRPr="00316752">
        <w:rPr>
          <w:rFonts w:cs="Arial"/>
          <w:szCs w:val="22"/>
        </w:rPr>
        <w:t xml:space="preserve">.  </w:t>
      </w:r>
      <w:r w:rsidR="0027334A" w:rsidRPr="00316752">
        <w:rPr>
          <w:rFonts w:cs="Arial"/>
          <w:szCs w:val="22"/>
        </w:rPr>
        <w:t xml:space="preserve"> </w:t>
      </w:r>
    </w:p>
    <w:p w14:paraId="314F131D" w14:textId="77777777" w:rsidR="00834B50" w:rsidRPr="00DB1D90" w:rsidRDefault="00834B50" w:rsidP="00305DAE">
      <w:pPr>
        <w:pStyle w:val="BodyTextBold"/>
        <w:spacing w:after="0" w:line="480" w:lineRule="auto"/>
        <w:jc w:val="both"/>
        <w:rPr>
          <w:rFonts w:cs="Arial"/>
          <w:sz w:val="28"/>
          <w:szCs w:val="28"/>
        </w:rPr>
      </w:pPr>
      <w:bookmarkStart w:id="3" w:name="_Toc451425530"/>
      <w:r w:rsidRPr="00DB1D90">
        <w:rPr>
          <w:rFonts w:cs="Arial"/>
          <w:sz w:val="28"/>
          <w:szCs w:val="28"/>
        </w:rPr>
        <w:t xml:space="preserve">Hearing, </w:t>
      </w:r>
      <w:r w:rsidR="00CF5539" w:rsidRPr="00DB1D90">
        <w:rPr>
          <w:rFonts w:cs="Arial"/>
          <w:sz w:val="28"/>
          <w:szCs w:val="28"/>
        </w:rPr>
        <w:t>s</w:t>
      </w:r>
      <w:r w:rsidRPr="00DB1D90">
        <w:rPr>
          <w:rFonts w:cs="Arial"/>
          <w:sz w:val="28"/>
          <w:szCs w:val="28"/>
        </w:rPr>
        <w:t xml:space="preserve">ight and </w:t>
      </w:r>
      <w:r w:rsidR="00CF5539" w:rsidRPr="00DB1D90">
        <w:rPr>
          <w:rFonts w:cs="Arial"/>
          <w:sz w:val="28"/>
          <w:szCs w:val="28"/>
        </w:rPr>
        <w:t>d</w:t>
      </w:r>
      <w:r w:rsidRPr="00DB1D90">
        <w:rPr>
          <w:rFonts w:cs="Arial"/>
          <w:sz w:val="28"/>
          <w:szCs w:val="28"/>
        </w:rPr>
        <w:t xml:space="preserve">ental </w:t>
      </w:r>
      <w:r w:rsidR="00CF5539" w:rsidRPr="00DB1D90">
        <w:rPr>
          <w:rFonts w:cs="Arial"/>
          <w:sz w:val="28"/>
          <w:szCs w:val="28"/>
        </w:rPr>
        <w:t>p</w:t>
      </w:r>
      <w:r w:rsidRPr="00DB1D90">
        <w:rPr>
          <w:rFonts w:cs="Arial"/>
          <w:sz w:val="28"/>
          <w:szCs w:val="28"/>
        </w:rPr>
        <w:t>roblems</w:t>
      </w:r>
      <w:bookmarkEnd w:id="3"/>
    </w:p>
    <w:p w14:paraId="17F47B88" w14:textId="298CB8C2" w:rsidR="000C49AD" w:rsidRPr="00585866" w:rsidRDefault="00834B50" w:rsidP="00585866">
      <w:pPr>
        <w:pStyle w:val="BodyText"/>
        <w:spacing w:after="0" w:line="480" w:lineRule="auto"/>
        <w:jc w:val="both"/>
        <w:rPr>
          <w:rFonts w:cs="Arial"/>
          <w:szCs w:val="22"/>
        </w:rPr>
      </w:pPr>
      <w:r w:rsidRPr="00316752">
        <w:rPr>
          <w:rFonts w:cs="Arial"/>
          <w:szCs w:val="22"/>
        </w:rPr>
        <w:t xml:space="preserve">Deteriorating sight/eye problems were a concern for </w:t>
      </w:r>
      <w:r w:rsidR="00CF5539" w:rsidRPr="00316752">
        <w:rPr>
          <w:rFonts w:cs="Arial"/>
          <w:szCs w:val="22"/>
        </w:rPr>
        <w:t xml:space="preserve">43% </w:t>
      </w:r>
      <w:r w:rsidRPr="00316752">
        <w:rPr>
          <w:rFonts w:cs="Arial"/>
          <w:szCs w:val="22"/>
        </w:rPr>
        <w:t xml:space="preserve">of respondents and 38% (133) said that they had deteriorating hearing/other ear problems. </w:t>
      </w:r>
      <w:r w:rsidR="00CF5539" w:rsidRPr="00316752">
        <w:rPr>
          <w:rFonts w:cs="Arial"/>
          <w:szCs w:val="22"/>
        </w:rPr>
        <w:t xml:space="preserve"> Although these figures </w:t>
      </w:r>
      <w:r w:rsidR="00C6108C" w:rsidRPr="00316752">
        <w:rPr>
          <w:rFonts w:cs="Arial"/>
          <w:szCs w:val="22"/>
        </w:rPr>
        <w:t xml:space="preserve">will </w:t>
      </w:r>
      <w:r w:rsidR="00CF5539" w:rsidRPr="00316752">
        <w:rPr>
          <w:rFonts w:cs="Arial"/>
          <w:szCs w:val="22"/>
        </w:rPr>
        <w:t xml:space="preserve">include normal age-related deterioration, this can cause additional </w:t>
      </w:r>
      <w:r w:rsidRPr="00316752">
        <w:rPr>
          <w:rFonts w:cs="Arial"/>
          <w:szCs w:val="22"/>
        </w:rPr>
        <w:t>problems for Thalidomide survivors</w:t>
      </w:r>
      <w:r w:rsidR="00D15815">
        <w:rPr>
          <w:rFonts w:cs="Arial"/>
          <w:szCs w:val="22"/>
        </w:rPr>
        <w:t xml:space="preserve"> e.g. </w:t>
      </w:r>
      <w:r w:rsidRPr="00316752">
        <w:rPr>
          <w:rFonts w:cs="Arial"/>
          <w:szCs w:val="22"/>
        </w:rPr>
        <w:t xml:space="preserve">having very short arms </w:t>
      </w:r>
      <w:r w:rsidR="00C6108C" w:rsidRPr="00316752">
        <w:rPr>
          <w:rFonts w:cs="Arial"/>
          <w:szCs w:val="22"/>
        </w:rPr>
        <w:t xml:space="preserve">makes </w:t>
      </w:r>
      <w:r w:rsidRPr="00316752">
        <w:rPr>
          <w:rFonts w:cs="Arial"/>
          <w:szCs w:val="22"/>
        </w:rPr>
        <w:t>putting glasses on and off difficult</w:t>
      </w:r>
      <w:r w:rsidR="00D15815">
        <w:rPr>
          <w:rFonts w:cs="Arial"/>
          <w:szCs w:val="22"/>
        </w:rPr>
        <w:t>, whilst wearing glasses can be problematic for those with</w:t>
      </w:r>
      <w:r w:rsidRPr="00316752">
        <w:rPr>
          <w:rFonts w:cs="Arial"/>
          <w:szCs w:val="22"/>
        </w:rPr>
        <w:t xml:space="preserve"> facial damage (e.g. a missing ear)</w:t>
      </w:r>
      <w:r w:rsidR="00CF5539" w:rsidRPr="00316752">
        <w:rPr>
          <w:rFonts w:cs="Arial"/>
          <w:szCs w:val="22"/>
        </w:rPr>
        <w:t xml:space="preserve">. Thirty-four percent </w:t>
      </w:r>
      <w:r w:rsidRPr="00316752">
        <w:rPr>
          <w:rFonts w:cs="Arial"/>
          <w:szCs w:val="22"/>
        </w:rPr>
        <w:t xml:space="preserve">of respondents reported dental health problems. </w:t>
      </w:r>
      <w:r w:rsidR="00CF5539" w:rsidRPr="00316752">
        <w:rPr>
          <w:rFonts w:cs="Arial"/>
          <w:szCs w:val="22"/>
        </w:rPr>
        <w:t xml:space="preserve">As with Swedish Thalidomide survivors </w:t>
      </w:r>
      <w:r w:rsidR="00751ACB">
        <w:rPr>
          <w:rFonts w:cs="Arial"/>
          <w:szCs w:val="22"/>
        </w:rPr>
        <w:t>[29]</w:t>
      </w:r>
      <w:r w:rsidR="00CF5539" w:rsidRPr="00316752">
        <w:rPr>
          <w:rFonts w:cs="Arial"/>
          <w:szCs w:val="22"/>
        </w:rPr>
        <w:t xml:space="preserve">, these problems may reflect </w:t>
      </w:r>
      <w:r w:rsidRPr="00316752">
        <w:rPr>
          <w:rFonts w:cs="Arial"/>
          <w:szCs w:val="22"/>
        </w:rPr>
        <w:t>difficulties with tooth brushing</w:t>
      </w:r>
      <w:r w:rsidR="00CF5539" w:rsidRPr="00316752">
        <w:rPr>
          <w:rFonts w:cs="Arial"/>
          <w:szCs w:val="22"/>
        </w:rPr>
        <w:t xml:space="preserve"> and </w:t>
      </w:r>
      <w:r w:rsidR="00C6108C" w:rsidRPr="00316752">
        <w:rPr>
          <w:rFonts w:cs="Arial"/>
          <w:szCs w:val="22"/>
        </w:rPr>
        <w:t>a history of using teeth to grip and hold.</w:t>
      </w:r>
      <w:bookmarkStart w:id="4" w:name="_Toc451425531"/>
    </w:p>
    <w:p w14:paraId="3EB84B5D" w14:textId="77777777" w:rsidR="00834B50" w:rsidRPr="00DB1D90" w:rsidRDefault="00834B50" w:rsidP="00305DAE">
      <w:pPr>
        <w:pStyle w:val="BodyTextBold"/>
        <w:spacing w:after="0" w:line="480" w:lineRule="auto"/>
        <w:jc w:val="both"/>
        <w:rPr>
          <w:rFonts w:cs="Arial"/>
          <w:sz w:val="28"/>
          <w:szCs w:val="28"/>
        </w:rPr>
      </w:pPr>
      <w:r w:rsidRPr="00DB1D90">
        <w:rPr>
          <w:rFonts w:cs="Arial"/>
          <w:sz w:val="28"/>
          <w:szCs w:val="28"/>
        </w:rPr>
        <w:t xml:space="preserve">Other </w:t>
      </w:r>
      <w:r w:rsidR="00CF5539" w:rsidRPr="00DB1D90">
        <w:rPr>
          <w:rFonts w:cs="Arial"/>
          <w:sz w:val="28"/>
          <w:szCs w:val="28"/>
        </w:rPr>
        <w:t>h</w:t>
      </w:r>
      <w:r w:rsidRPr="00DB1D90">
        <w:rPr>
          <w:rFonts w:cs="Arial"/>
          <w:sz w:val="28"/>
          <w:szCs w:val="28"/>
        </w:rPr>
        <w:t xml:space="preserve">ealth </w:t>
      </w:r>
      <w:r w:rsidR="00CF5539" w:rsidRPr="00DB1D90">
        <w:rPr>
          <w:rFonts w:cs="Arial"/>
          <w:sz w:val="28"/>
          <w:szCs w:val="28"/>
        </w:rPr>
        <w:t>p</w:t>
      </w:r>
      <w:r w:rsidRPr="00DB1D90">
        <w:rPr>
          <w:rFonts w:cs="Arial"/>
          <w:sz w:val="28"/>
          <w:szCs w:val="28"/>
        </w:rPr>
        <w:t>roblems</w:t>
      </w:r>
      <w:bookmarkEnd w:id="4"/>
    </w:p>
    <w:p w14:paraId="7FA6BAFB" w14:textId="7D14CBD7" w:rsidR="00316752" w:rsidRPr="00EF7B87" w:rsidRDefault="00834B50" w:rsidP="00EF7B87">
      <w:pPr>
        <w:pStyle w:val="BodyText"/>
        <w:spacing w:after="0" w:line="480" w:lineRule="auto"/>
        <w:jc w:val="both"/>
        <w:rPr>
          <w:rFonts w:cs="Arial"/>
          <w:szCs w:val="22"/>
        </w:rPr>
      </w:pPr>
      <w:r w:rsidRPr="00316752">
        <w:rPr>
          <w:rFonts w:cs="Arial"/>
          <w:szCs w:val="22"/>
        </w:rPr>
        <w:t>Respondents reported a</w:t>
      </w:r>
      <w:r w:rsidR="00312506">
        <w:rPr>
          <w:rFonts w:cs="Arial"/>
          <w:szCs w:val="22"/>
        </w:rPr>
        <w:t xml:space="preserve"> range of other health problems, with w</w:t>
      </w:r>
      <w:r w:rsidR="00312506" w:rsidRPr="00316752">
        <w:rPr>
          <w:rFonts w:cs="Arial"/>
          <w:szCs w:val="22"/>
        </w:rPr>
        <w:t>eight management</w:t>
      </w:r>
      <w:r w:rsidR="00312506">
        <w:rPr>
          <w:rFonts w:cs="Arial"/>
          <w:szCs w:val="22"/>
        </w:rPr>
        <w:t xml:space="preserve"> (n=</w:t>
      </w:r>
      <w:r w:rsidR="00312506" w:rsidRPr="00316752">
        <w:rPr>
          <w:rFonts w:cs="Arial"/>
          <w:szCs w:val="22"/>
        </w:rPr>
        <w:t>141</w:t>
      </w:r>
      <w:r w:rsidR="00312506">
        <w:rPr>
          <w:rFonts w:cs="Arial"/>
          <w:szCs w:val="22"/>
        </w:rPr>
        <w:t>/</w:t>
      </w:r>
      <w:r w:rsidR="00312506" w:rsidRPr="00316752">
        <w:rPr>
          <w:rFonts w:cs="Arial"/>
          <w:szCs w:val="22"/>
        </w:rPr>
        <w:t>40%</w:t>
      </w:r>
      <w:r w:rsidR="00312506">
        <w:rPr>
          <w:rFonts w:cs="Arial"/>
          <w:szCs w:val="22"/>
        </w:rPr>
        <w:t>), bowel and digestive problems (n=</w:t>
      </w:r>
      <w:r w:rsidR="00312506" w:rsidRPr="00316752">
        <w:rPr>
          <w:rFonts w:cs="Arial"/>
          <w:szCs w:val="22"/>
        </w:rPr>
        <w:t>98</w:t>
      </w:r>
      <w:r w:rsidR="00312506">
        <w:rPr>
          <w:rFonts w:cs="Arial"/>
          <w:szCs w:val="22"/>
        </w:rPr>
        <w:t>/</w:t>
      </w:r>
      <w:r w:rsidR="00312506" w:rsidRPr="00316752">
        <w:rPr>
          <w:rFonts w:cs="Arial"/>
          <w:szCs w:val="22"/>
        </w:rPr>
        <w:t>28%</w:t>
      </w:r>
      <w:r w:rsidR="00312506">
        <w:rPr>
          <w:rFonts w:cs="Arial"/>
          <w:szCs w:val="22"/>
        </w:rPr>
        <w:t>), b</w:t>
      </w:r>
      <w:r w:rsidR="00312506" w:rsidRPr="00316752">
        <w:rPr>
          <w:rFonts w:cs="Arial"/>
          <w:szCs w:val="22"/>
        </w:rPr>
        <w:t>ladder or continence problems</w:t>
      </w:r>
      <w:r w:rsidR="00500EE4">
        <w:rPr>
          <w:rFonts w:cs="Arial"/>
          <w:szCs w:val="22"/>
        </w:rPr>
        <w:t xml:space="preserve"> </w:t>
      </w:r>
      <w:r w:rsidR="00312506">
        <w:rPr>
          <w:rFonts w:cs="Arial"/>
          <w:szCs w:val="22"/>
        </w:rPr>
        <w:t>(n=</w:t>
      </w:r>
      <w:r w:rsidR="00312506" w:rsidRPr="00316752">
        <w:rPr>
          <w:rFonts w:cs="Arial"/>
          <w:szCs w:val="22"/>
        </w:rPr>
        <w:t>72</w:t>
      </w:r>
      <w:r w:rsidR="00312506">
        <w:rPr>
          <w:rFonts w:cs="Arial"/>
          <w:szCs w:val="22"/>
        </w:rPr>
        <w:t>/</w:t>
      </w:r>
      <w:r w:rsidR="00312506" w:rsidRPr="00316752">
        <w:rPr>
          <w:rFonts w:cs="Arial"/>
          <w:szCs w:val="22"/>
        </w:rPr>
        <w:t>20%</w:t>
      </w:r>
      <w:r w:rsidR="00312506">
        <w:rPr>
          <w:rFonts w:cs="Arial"/>
          <w:szCs w:val="22"/>
        </w:rPr>
        <w:t xml:space="preserve">) </w:t>
      </w:r>
      <w:r w:rsidR="00500EE4">
        <w:rPr>
          <w:rFonts w:cs="Arial"/>
          <w:szCs w:val="22"/>
        </w:rPr>
        <w:t>and</w:t>
      </w:r>
      <w:r w:rsidR="00312506">
        <w:rPr>
          <w:rFonts w:cs="Arial"/>
          <w:szCs w:val="22"/>
        </w:rPr>
        <w:t xml:space="preserve"> a</w:t>
      </w:r>
      <w:r w:rsidR="00312506" w:rsidRPr="00316752">
        <w:rPr>
          <w:rFonts w:cs="Arial"/>
          <w:szCs w:val="22"/>
        </w:rPr>
        <w:t>sthma or breathing problems</w:t>
      </w:r>
      <w:r w:rsidR="00312506">
        <w:rPr>
          <w:rFonts w:cs="Arial"/>
          <w:szCs w:val="22"/>
        </w:rPr>
        <w:t xml:space="preserve"> (n=</w:t>
      </w:r>
      <w:r w:rsidR="00312506" w:rsidRPr="00316752">
        <w:rPr>
          <w:rFonts w:cs="Arial"/>
          <w:szCs w:val="22"/>
        </w:rPr>
        <w:t>54</w:t>
      </w:r>
      <w:r w:rsidR="00312506">
        <w:rPr>
          <w:rFonts w:cs="Arial"/>
          <w:szCs w:val="22"/>
        </w:rPr>
        <w:t>/</w:t>
      </w:r>
      <w:r w:rsidR="00312506" w:rsidRPr="00316752">
        <w:rPr>
          <w:rFonts w:cs="Arial"/>
          <w:szCs w:val="22"/>
        </w:rPr>
        <w:t>15%</w:t>
      </w:r>
      <w:r w:rsidR="00312506">
        <w:rPr>
          <w:rFonts w:cs="Arial"/>
          <w:szCs w:val="22"/>
        </w:rPr>
        <w:t>)</w:t>
      </w:r>
      <w:r w:rsidR="00500EE4">
        <w:rPr>
          <w:rFonts w:cs="Arial"/>
          <w:szCs w:val="22"/>
        </w:rPr>
        <w:t xml:space="preserve"> </w:t>
      </w:r>
      <w:r w:rsidR="00312506">
        <w:rPr>
          <w:rFonts w:cs="Arial"/>
          <w:szCs w:val="22"/>
        </w:rPr>
        <w:t xml:space="preserve">being the most common. </w:t>
      </w:r>
      <w:r w:rsidR="00C6108C" w:rsidRPr="00316752">
        <w:rPr>
          <w:rFonts w:cs="Arial"/>
          <w:szCs w:val="22"/>
        </w:rPr>
        <w:t>Again, t</w:t>
      </w:r>
      <w:r w:rsidRPr="00316752">
        <w:rPr>
          <w:rFonts w:cs="Arial"/>
          <w:szCs w:val="22"/>
        </w:rPr>
        <w:t>hese health problems may be</w:t>
      </w:r>
      <w:r w:rsidR="00C236FA" w:rsidRPr="00316752">
        <w:rPr>
          <w:rFonts w:cs="Arial"/>
          <w:szCs w:val="22"/>
        </w:rPr>
        <w:t xml:space="preserve"> </w:t>
      </w:r>
      <w:r w:rsidRPr="00316752">
        <w:rPr>
          <w:rFonts w:cs="Arial"/>
          <w:szCs w:val="22"/>
        </w:rPr>
        <w:t>more difficult to manage or exacerbated by Tha</w:t>
      </w:r>
      <w:r w:rsidR="00C42AAF">
        <w:rPr>
          <w:rFonts w:cs="Arial"/>
          <w:szCs w:val="22"/>
        </w:rPr>
        <w:t>lidomide damage.  A</w:t>
      </w:r>
      <w:r w:rsidRPr="00316752">
        <w:rPr>
          <w:rFonts w:cs="Arial"/>
          <w:szCs w:val="22"/>
        </w:rPr>
        <w:t xml:space="preserve"> recent Japanes</w:t>
      </w:r>
      <w:r w:rsidR="00751ACB">
        <w:rPr>
          <w:rFonts w:cs="Arial"/>
          <w:szCs w:val="22"/>
        </w:rPr>
        <w:t xml:space="preserve">e study [30] </w:t>
      </w:r>
      <w:r w:rsidRPr="00316752">
        <w:rPr>
          <w:rFonts w:cs="Arial"/>
          <w:szCs w:val="22"/>
        </w:rPr>
        <w:t>suggest</w:t>
      </w:r>
      <w:r w:rsidR="00C236FA" w:rsidRPr="00316752">
        <w:rPr>
          <w:rFonts w:cs="Arial"/>
          <w:szCs w:val="22"/>
        </w:rPr>
        <w:t xml:space="preserve">s </w:t>
      </w:r>
      <w:r w:rsidRPr="00316752">
        <w:rPr>
          <w:rFonts w:cs="Arial"/>
          <w:szCs w:val="22"/>
        </w:rPr>
        <w:t>that hypertension is a partic</w:t>
      </w:r>
      <w:r w:rsidR="00F652C2">
        <w:rPr>
          <w:rFonts w:cs="Arial"/>
          <w:szCs w:val="22"/>
        </w:rPr>
        <w:t>ular concern because of the difficulties</w:t>
      </w:r>
      <w:r w:rsidRPr="00316752">
        <w:rPr>
          <w:rFonts w:cs="Arial"/>
          <w:szCs w:val="22"/>
        </w:rPr>
        <w:t xml:space="preserve"> many Thalidomide survivors</w:t>
      </w:r>
      <w:r w:rsidR="00C236FA" w:rsidRPr="00316752">
        <w:rPr>
          <w:rFonts w:cs="Arial"/>
          <w:szCs w:val="22"/>
        </w:rPr>
        <w:t xml:space="preserve"> experience in exerci</w:t>
      </w:r>
      <w:r w:rsidRPr="00316752">
        <w:rPr>
          <w:rFonts w:cs="Arial"/>
          <w:szCs w:val="22"/>
        </w:rPr>
        <w:t xml:space="preserve">sing and </w:t>
      </w:r>
      <w:r w:rsidR="00C236FA" w:rsidRPr="00316752">
        <w:rPr>
          <w:rFonts w:cs="Arial"/>
          <w:szCs w:val="22"/>
        </w:rPr>
        <w:t>managing</w:t>
      </w:r>
      <w:r w:rsidRPr="00316752">
        <w:rPr>
          <w:rFonts w:cs="Arial"/>
          <w:szCs w:val="22"/>
        </w:rPr>
        <w:t xml:space="preserve"> weight</w:t>
      </w:r>
      <w:r w:rsidR="00C236FA" w:rsidRPr="00316752">
        <w:rPr>
          <w:rFonts w:cs="Arial"/>
          <w:szCs w:val="22"/>
        </w:rPr>
        <w:t xml:space="preserve">, and </w:t>
      </w:r>
      <w:r w:rsidR="00C6108C" w:rsidRPr="00316752">
        <w:rPr>
          <w:rFonts w:cs="Arial"/>
          <w:szCs w:val="22"/>
        </w:rPr>
        <w:t xml:space="preserve">the </w:t>
      </w:r>
      <w:r w:rsidR="00F652C2">
        <w:rPr>
          <w:rFonts w:cs="Arial"/>
          <w:szCs w:val="22"/>
        </w:rPr>
        <w:t>challenge</w:t>
      </w:r>
      <w:r w:rsidR="00C6108C" w:rsidRPr="00316752">
        <w:rPr>
          <w:rFonts w:cs="Arial"/>
          <w:szCs w:val="22"/>
        </w:rPr>
        <w:t xml:space="preserve"> of </w:t>
      </w:r>
      <w:r w:rsidR="00C236FA" w:rsidRPr="00316752">
        <w:rPr>
          <w:rFonts w:cs="Arial"/>
          <w:szCs w:val="22"/>
        </w:rPr>
        <w:t xml:space="preserve">obtaining accurate </w:t>
      </w:r>
      <w:r w:rsidRPr="00316752">
        <w:rPr>
          <w:rFonts w:cs="Arial"/>
          <w:szCs w:val="22"/>
        </w:rPr>
        <w:t xml:space="preserve">blood pressure </w:t>
      </w:r>
      <w:r w:rsidR="00065794">
        <w:rPr>
          <w:rFonts w:cs="Arial"/>
          <w:szCs w:val="22"/>
        </w:rPr>
        <w:t xml:space="preserve">and body mass index </w:t>
      </w:r>
      <w:r w:rsidRPr="00316752">
        <w:rPr>
          <w:rFonts w:cs="Arial"/>
          <w:szCs w:val="22"/>
        </w:rPr>
        <w:t>measurement</w:t>
      </w:r>
      <w:r w:rsidR="00C236FA" w:rsidRPr="00316752">
        <w:rPr>
          <w:rFonts w:cs="Arial"/>
          <w:szCs w:val="22"/>
        </w:rPr>
        <w:t>s</w:t>
      </w:r>
      <w:r w:rsidRPr="00316752">
        <w:rPr>
          <w:rFonts w:cs="Arial"/>
          <w:szCs w:val="22"/>
        </w:rPr>
        <w:t xml:space="preserve"> in people with limb </w:t>
      </w:r>
      <w:r w:rsidR="00C6108C" w:rsidRPr="00316752">
        <w:rPr>
          <w:rFonts w:cs="Arial"/>
          <w:szCs w:val="22"/>
        </w:rPr>
        <w:t xml:space="preserve">impairments. </w:t>
      </w:r>
    </w:p>
    <w:p w14:paraId="3A60202D" w14:textId="77777777" w:rsidR="00834B50" w:rsidRPr="00DB1D90" w:rsidRDefault="00C07906" w:rsidP="00305DAE">
      <w:pPr>
        <w:pStyle w:val="BodyTextBold"/>
        <w:spacing w:after="0" w:line="480" w:lineRule="auto"/>
        <w:jc w:val="both"/>
        <w:rPr>
          <w:rFonts w:cs="Arial"/>
          <w:sz w:val="28"/>
          <w:szCs w:val="28"/>
        </w:rPr>
      </w:pPr>
      <w:r w:rsidRPr="00DB1D90">
        <w:rPr>
          <w:rFonts w:cs="Arial"/>
          <w:sz w:val="28"/>
          <w:szCs w:val="28"/>
        </w:rPr>
        <w:t>Multi</w:t>
      </w:r>
      <w:r w:rsidR="00C236FA" w:rsidRPr="00DB1D90">
        <w:rPr>
          <w:rFonts w:cs="Arial"/>
          <w:sz w:val="28"/>
          <w:szCs w:val="28"/>
        </w:rPr>
        <w:t>morbidity</w:t>
      </w:r>
    </w:p>
    <w:p w14:paraId="14BF34E5" w14:textId="21DCF8E2" w:rsidR="003F5FAF" w:rsidRDefault="00C236FA" w:rsidP="00305DAE">
      <w:pPr>
        <w:pStyle w:val="BodyText"/>
        <w:spacing w:after="0" w:line="480" w:lineRule="auto"/>
        <w:jc w:val="both"/>
        <w:rPr>
          <w:rFonts w:cs="Arial"/>
          <w:szCs w:val="22"/>
        </w:rPr>
      </w:pPr>
      <w:r w:rsidRPr="00316752">
        <w:rPr>
          <w:rFonts w:cs="Arial"/>
          <w:szCs w:val="22"/>
        </w:rPr>
        <w:lastRenderedPageBreak/>
        <w:t xml:space="preserve">A </w:t>
      </w:r>
      <w:r w:rsidR="00834B50" w:rsidRPr="00316752">
        <w:rPr>
          <w:rFonts w:cs="Arial"/>
          <w:szCs w:val="22"/>
        </w:rPr>
        <w:t>high proportion of Thalidomide survivors</w:t>
      </w:r>
      <w:r w:rsidRPr="00316752">
        <w:rPr>
          <w:rFonts w:cs="Arial"/>
          <w:szCs w:val="22"/>
        </w:rPr>
        <w:t xml:space="preserve"> reported multiple health problems</w:t>
      </w:r>
      <w:r w:rsidR="00E44D47">
        <w:rPr>
          <w:rFonts w:cs="Arial"/>
          <w:szCs w:val="22"/>
        </w:rPr>
        <w:t xml:space="preserve"> (see Fig 2)</w:t>
      </w:r>
      <w:r w:rsidRPr="00316752">
        <w:rPr>
          <w:rFonts w:cs="Arial"/>
          <w:szCs w:val="22"/>
        </w:rPr>
        <w:t xml:space="preserve">.  Just 3% had </w:t>
      </w:r>
      <w:r w:rsidR="00834B50" w:rsidRPr="00316752">
        <w:rPr>
          <w:rFonts w:cs="Arial"/>
          <w:szCs w:val="22"/>
        </w:rPr>
        <w:t xml:space="preserve">no </w:t>
      </w:r>
      <w:r w:rsidR="00C6108C" w:rsidRPr="00316752">
        <w:rPr>
          <w:rFonts w:cs="Arial"/>
          <w:szCs w:val="22"/>
        </w:rPr>
        <w:t>health problem</w:t>
      </w:r>
      <w:r w:rsidR="00834B50" w:rsidRPr="00316752">
        <w:rPr>
          <w:rFonts w:cs="Arial"/>
          <w:szCs w:val="22"/>
        </w:rPr>
        <w:t xml:space="preserve"> </w:t>
      </w:r>
      <w:r w:rsidRPr="00316752">
        <w:rPr>
          <w:rFonts w:cs="Arial"/>
          <w:szCs w:val="22"/>
        </w:rPr>
        <w:t xml:space="preserve">but </w:t>
      </w:r>
      <w:r w:rsidR="00834B50" w:rsidRPr="00316752">
        <w:rPr>
          <w:rFonts w:cs="Arial"/>
          <w:szCs w:val="22"/>
        </w:rPr>
        <w:t>almost half (46%)</w:t>
      </w:r>
      <w:r w:rsidRPr="00316752">
        <w:rPr>
          <w:rFonts w:cs="Arial"/>
          <w:szCs w:val="22"/>
        </w:rPr>
        <w:t xml:space="preserve"> reported between four a</w:t>
      </w:r>
      <w:r w:rsidR="00C07906">
        <w:rPr>
          <w:rFonts w:cs="Arial"/>
          <w:szCs w:val="22"/>
        </w:rPr>
        <w:t>nd nine separate problems. Multi</w:t>
      </w:r>
      <w:r w:rsidR="002C0FDB">
        <w:rPr>
          <w:rFonts w:cs="Arial"/>
          <w:szCs w:val="22"/>
        </w:rPr>
        <w:t>morbidity</w:t>
      </w:r>
      <w:r w:rsidR="00C07906">
        <w:rPr>
          <w:rFonts w:cs="Arial"/>
          <w:szCs w:val="22"/>
        </w:rPr>
        <w:t xml:space="preserve"> or the presence of multiple diseases in one individual</w:t>
      </w:r>
      <w:r w:rsidR="002C0FDB">
        <w:rPr>
          <w:rFonts w:cs="Arial"/>
          <w:szCs w:val="22"/>
        </w:rPr>
        <w:t xml:space="preserve"> is a growing concern in the UK population a</w:t>
      </w:r>
      <w:r w:rsidR="009668EC">
        <w:rPr>
          <w:rFonts w:cs="Arial"/>
          <w:szCs w:val="22"/>
        </w:rPr>
        <w:t xml:space="preserve">s a whole but these results suggest that a higher proportion of Thalidomide survivors are </w:t>
      </w:r>
      <w:r w:rsidR="00C07906">
        <w:rPr>
          <w:rFonts w:cs="Arial"/>
          <w:szCs w:val="22"/>
        </w:rPr>
        <w:t>experiencing multi</w:t>
      </w:r>
      <w:r w:rsidR="009668EC">
        <w:rPr>
          <w:rFonts w:cs="Arial"/>
          <w:szCs w:val="22"/>
        </w:rPr>
        <w:t xml:space="preserve">morbidity than would be expected at this point in their life course. </w:t>
      </w:r>
      <w:r w:rsidR="001371BC">
        <w:rPr>
          <w:rFonts w:cs="Arial"/>
          <w:szCs w:val="22"/>
        </w:rPr>
        <w:t>For example, i</w:t>
      </w:r>
      <w:r w:rsidR="009668EC">
        <w:rPr>
          <w:rFonts w:cs="Arial"/>
          <w:szCs w:val="22"/>
        </w:rPr>
        <w:t xml:space="preserve">n Barnett </w:t>
      </w:r>
      <w:r w:rsidR="009668EC" w:rsidRPr="00A26429">
        <w:rPr>
          <w:rFonts w:cs="Arial"/>
          <w:szCs w:val="22"/>
        </w:rPr>
        <w:t>et al’s</w:t>
      </w:r>
      <w:r w:rsidR="00751ACB">
        <w:rPr>
          <w:rFonts w:cs="Arial"/>
          <w:szCs w:val="22"/>
        </w:rPr>
        <w:t xml:space="preserve"> [31]</w:t>
      </w:r>
      <w:r w:rsidR="009668EC">
        <w:rPr>
          <w:rFonts w:cs="Arial"/>
          <w:szCs w:val="22"/>
        </w:rPr>
        <w:t xml:space="preserve"> study of multimorbidity in Scotland, around a third of patients aged 55 to 59 had two of more morbidities</w:t>
      </w:r>
      <w:r w:rsidR="00C07906">
        <w:rPr>
          <w:rFonts w:cs="Arial"/>
          <w:szCs w:val="22"/>
        </w:rPr>
        <w:t xml:space="preserve"> but less than 10% had four or more morbidities</w:t>
      </w:r>
      <w:r w:rsidR="009668EC">
        <w:rPr>
          <w:rFonts w:cs="Arial"/>
          <w:szCs w:val="22"/>
        </w:rPr>
        <w:t>.</w:t>
      </w:r>
      <w:r w:rsidR="008F0D5D">
        <w:rPr>
          <w:rFonts w:cs="Arial"/>
          <w:szCs w:val="22"/>
        </w:rPr>
        <w:t xml:space="preserve"> Furthermore, </w:t>
      </w:r>
      <w:r w:rsidR="00C07906">
        <w:rPr>
          <w:rFonts w:cs="Arial"/>
          <w:szCs w:val="22"/>
        </w:rPr>
        <w:t xml:space="preserve">for some Thalidomide survivors </w:t>
      </w:r>
      <w:r w:rsidR="002C0FDB">
        <w:rPr>
          <w:rFonts w:cs="Arial"/>
          <w:szCs w:val="22"/>
        </w:rPr>
        <w:t xml:space="preserve">the morbidity burden i.e. the overall impact of </w:t>
      </w:r>
      <w:r w:rsidR="00072610">
        <w:rPr>
          <w:rFonts w:cs="Arial"/>
          <w:szCs w:val="22"/>
        </w:rPr>
        <w:t xml:space="preserve">several conditions on the </w:t>
      </w:r>
      <w:r w:rsidR="002C0FDB">
        <w:rPr>
          <w:rFonts w:cs="Arial"/>
          <w:szCs w:val="22"/>
        </w:rPr>
        <w:t>individual</w:t>
      </w:r>
      <w:r w:rsidR="00072610">
        <w:rPr>
          <w:rFonts w:cs="Arial"/>
          <w:szCs w:val="22"/>
        </w:rPr>
        <w:t>’s</w:t>
      </w:r>
      <w:r w:rsidR="00072610" w:rsidRPr="00072610">
        <w:t xml:space="preserve"> </w:t>
      </w:r>
      <w:r w:rsidR="00072610" w:rsidRPr="00F652C2">
        <w:rPr>
          <w:i/>
        </w:rPr>
        <w:t>“</w:t>
      </w:r>
      <w:r w:rsidR="00072610" w:rsidRPr="00F652C2">
        <w:rPr>
          <w:rFonts w:cs="Arial"/>
          <w:i/>
          <w:szCs w:val="22"/>
        </w:rPr>
        <w:t>physiologic reserve”</w:t>
      </w:r>
      <w:r w:rsidR="00072610">
        <w:rPr>
          <w:rFonts w:cs="Arial"/>
          <w:szCs w:val="22"/>
        </w:rPr>
        <w:t xml:space="preserve"> and functioning</w:t>
      </w:r>
      <w:r w:rsidR="002C0FDB">
        <w:rPr>
          <w:rFonts w:cs="Arial"/>
          <w:szCs w:val="22"/>
        </w:rPr>
        <w:t xml:space="preserve"> </w:t>
      </w:r>
      <w:r w:rsidR="00751ACB">
        <w:rPr>
          <w:rFonts w:cs="Arial"/>
          <w:szCs w:val="22"/>
        </w:rPr>
        <w:t xml:space="preserve">[32] </w:t>
      </w:r>
      <w:r w:rsidR="002C0FDB">
        <w:rPr>
          <w:rFonts w:cs="Arial"/>
          <w:szCs w:val="22"/>
        </w:rPr>
        <w:t xml:space="preserve">is significant. </w:t>
      </w:r>
      <w:r w:rsidR="008C3938">
        <w:rPr>
          <w:rFonts w:cs="Arial"/>
          <w:szCs w:val="22"/>
        </w:rPr>
        <w:t>A comment added by one respondent vividly illustrates this:</w:t>
      </w:r>
    </w:p>
    <w:p w14:paraId="065CE0CE" w14:textId="77777777" w:rsidR="008C3938" w:rsidRDefault="008C3938" w:rsidP="00305DAE">
      <w:pPr>
        <w:pStyle w:val="BodyText"/>
        <w:spacing w:after="0" w:line="480" w:lineRule="auto"/>
        <w:jc w:val="both"/>
        <w:rPr>
          <w:rFonts w:cs="Arial"/>
          <w:szCs w:val="22"/>
        </w:rPr>
      </w:pPr>
    </w:p>
    <w:p w14:paraId="3428E760" w14:textId="77777777" w:rsidR="008C3938" w:rsidRDefault="008C3938" w:rsidP="00305DAE">
      <w:pPr>
        <w:pStyle w:val="BodyText"/>
        <w:spacing w:after="0" w:line="480" w:lineRule="auto"/>
        <w:ind w:left="720"/>
        <w:jc w:val="both"/>
        <w:rPr>
          <w:rFonts w:cs="Arial"/>
          <w:szCs w:val="22"/>
        </w:rPr>
      </w:pPr>
      <w:r w:rsidRPr="008C3938">
        <w:rPr>
          <w:rFonts w:cs="Arial"/>
          <w:i/>
          <w:szCs w:val="22"/>
        </w:rPr>
        <w:t>“After having operations on both shoulders and left elbow the use of my arms and hand were considerably limited e.g. dressing, washing, cooking, and most basic household chores.  Also having a mini stroke has made my balance a bit difficult. And then the cancer came along…”</w:t>
      </w:r>
      <w:r>
        <w:rPr>
          <w:rFonts w:cs="Arial"/>
          <w:szCs w:val="22"/>
        </w:rPr>
        <w:t xml:space="preserve"> (Survey ID21)</w:t>
      </w:r>
    </w:p>
    <w:p w14:paraId="20410B9E" w14:textId="77777777" w:rsidR="00C37B27" w:rsidRPr="009246A5" w:rsidRDefault="00C37B27" w:rsidP="00305DAE">
      <w:pPr>
        <w:pStyle w:val="BodyText"/>
        <w:spacing w:after="0" w:line="480" w:lineRule="auto"/>
        <w:jc w:val="both"/>
        <w:rPr>
          <w:rFonts w:cs="Arial"/>
          <w:szCs w:val="22"/>
        </w:rPr>
      </w:pPr>
    </w:p>
    <w:p w14:paraId="59EF9970" w14:textId="0C162235" w:rsidR="009246A5" w:rsidRPr="006B2263" w:rsidRDefault="00E44D47" w:rsidP="006B2263">
      <w:pPr>
        <w:pStyle w:val="BodyText"/>
        <w:spacing w:after="0" w:line="480" w:lineRule="auto"/>
        <w:jc w:val="both"/>
        <w:rPr>
          <w:rFonts w:cs="Arial"/>
          <w:b/>
          <w:szCs w:val="22"/>
        </w:rPr>
      </w:pPr>
      <w:r>
        <w:rPr>
          <w:rFonts w:cs="Arial"/>
          <w:b/>
          <w:szCs w:val="22"/>
        </w:rPr>
        <w:t>Fig</w:t>
      </w:r>
      <w:r w:rsidR="00C236FA" w:rsidRPr="00316752">
        <w:rPr>
          <w:rFonts w:cs="Arial"/>
          <w:b/>
          <w:szCs w:val="22"/>
        </w:rPr>
        <w:t xml:space="preserve"> </w:t>
      </w:r>
      <w:r w:rsidR="008305BD" w:rsidRPr="00316752">
        <w:rPr>
          <w:rFonts w:cs="Arial"/>
          <w:b/>
          <w:szCs w:val="22"/>
        </w:rPr>
        <w:t>2</w:t>
      </w:r>
      <w:r w:rsidR="00C236FA" w:rsidRPr="00316752">
        <w:rPr>
          <w:rFonts w:cs="Arial"/>
          <w:b/>
          <w:szCs w:val="22"/>
        </w:rPr>
        <w:t>.  P</w:t>
      </w:r>
      <w:r w:rsidR="00834B50" w:rsidRPr="00316752">
        <w:rPr>
          <w:rFonts w:cs="Arial"/>
          <w:b/>
          <w:szCs w:val="22"/>
        </w:rPr>
        <w:t>roportion</w:t>
      </w:r>
      <w:r w:rsidR="00C236FA" w:rsidRPr="00316752">
        <w:rPr>
          <w:rFonts w:cs="Arial"/>
          <w:b/>
          <w:szCs w:val="22"/>
        </w:rPr>
        <w:t>s of Thalidomide survivors re</w:t>
      </w:r>
      <w:r w:rsidR="006B2263">
        <w:rPr>
          <w:rFonts w:cs="Arial"/>
          <w:b/>
          <w:szCs w:val="22"/>
        </w:rPr>
        <w:t>porting multiple health problem</w:t>
      </w:r>
    </w:p>
    <w:p w14:paraId="57DE43E3" w14:textId="77777777" w:rsidR="0014251F" w:rsidRDefault="0014251F" w:rsidP="00316752">
      <w:pPr>
        <w:spacing w:after="0" w:line="360" w:lineRule="auto"/>
        <w:jc w:val="both"/>
        <w:rPr>
          <w:rFonts w:ascii="Arial" w:hAnsi="Arial" w:cs="Arial"/>
          <w:b/>
        </w:rPr>
      </w:pPr>
    </w:p>
    <w:p w14:paraId="54D0EB7E" w14:textId="35C2CEDD" w:rsidR="006B2263" w:rsidRPr="006B2263" w:rsidRDefault="00E44D47" w:rsidP="00316752">
      <w:pPr>
        <w:spacing w:after="0" w:line="360" w:lineRule="auto"/>
        <w:jc w:val="both"/>
        <w:rPr>
          <w:rFonts w:ascii="Arial" w:hAnsi="Arial" w:cs="Arial"/>
        </w:rPr>
      </w:pPr>
      <w:r>
        <w:rPr>
          <w:rFonts w:ascii="Arial" w:hAnsi="Arial" w:cs="Arial"/>
        </w:rPr>
        <w:t>Insert Fig</w:t>
      </w:r>
      <w:r w:rsidR="006B2263">
        <w:rPr>
          <w:rFonts w:ascii="Arial" w:hAnsi="Arial" w:cs="Arial"/>
        </w:rPr>
        <w:t xml:space="preserve"> 2</w:t>
      </w:r>
    </w:p>
    <w:p w14:paraId="598DD5A2" w14:textId="77777777" w:rsidR="00585866" w:rsidRDefault="00585866" w:rsidP="00305DAE">
      <w:pPr>
        <w:spacing w:after="0" w:line="480" w:lineRule="auto"/>
        <w:jc w:val="both"/>
        <w:rPr>
          <w:rFonts w:ascii="Arial" w:hAnsi="Arial" w:cs="Arial"/>
          <w:b/>
          <w:sz w:val="32"/>
          <w:szCs w:val="32"/>
        </w:rPr>
      </w:pPr>
    </w:p>
    <w:p w14:paraId="04DF5261" w14:textId="77777777" w:rsidR="00006665" w:rsidRPr="00DB1D90" w:rsidRDefault="00E50ACE" w:rsidP="00305DAE">
      <w:pPr>
        <w:spacing w:after="0" w:line="480" w:lineRule="auto"/>
        <w:jc w:val="both"/>
        <w:rPr>
          <w:rFonts w:ascii="Arial" w:hAnsi="Arial" w:cs="Arial"/>
          <w:b/>
          <w:sz w:val="32"/>
          <w:szCs w:val="32"/>
        </w:rPr>
      </w:pPr>
      <w:r w:rsidRPr="00DB1D90">
        <w:rPr>
          <w:rFonts w:ascii="Arial" w:hAnsi="Arial" w:cs="Arial"/>
          <w:b/>
          <w:sz w:val="32"/>
          <w:szCs w:val="32"/>
        </w:rPr>
        <w:t xml:space="preserve">The impact of health problems on paid work </w:t>
      </w:r>
    </w:p>
    <w:p w14:paraId="0D86C43D" w14:textId="0623045F" w:rsidR="00E44D47" w:rsidRDefault="00B672C9" w:rsidP="00305DAE">
      <w:pPr>
        <w:pStyle w:val="BodyText"/>
        <w:spacing w:after="0" w:line="480" w:lineRule="auto"/>
        <w:jc w:val="both"/>
        <w:rPr>
          <w:rFonts w:cs="Arial"/>
          <w:szCs w:val="22"/>
        </w:rPr>
      </w:pPr>
      <w:r>
        <w:rPr>
          <w:rFonts w:cs="Arial"/>
          <w:szCs w:val="22"/>
        </w:rPr>
        <w:t>T</w:t>
      </w:r>
      <w:r w:rsidR="00E50ACE" w:rsidRPr="00316752">
        <w:rPr>
          <w:rFonts w:cs="Arial"/>
          <w:szCs w:val="22"/>
        </w:rPr>
        <w:t>hese widespread health problems were reflected in survey</w:t>
      </w:r>
      <w:r w:rsidR="008F0D5D">
        <w:rPr>
          <w:rFonts w:cs="Arial"/>
          <w:szCs w:val="22"/>
        </w:rPr>
        <w:t xml:space="preserve"> respondents’ employment status. T</w:t>
      </w:r>
      <w:r w:rsidR="00E50ACE" w:rsidRPr="00316752">
        <w:rPr>
          <w:rFonts w:cs="Arial"/>
          <w:szCs w:val="22"/>
        </w:rPr>
        <w:t>wo-fifths (145</w:t>
      </w:r>
      <w:r w:rsidR="005734FC">
        <w:rPr>
          <w:rFonts w:cs="Arial"/>
          <w:szCs w:val="22"/>
        </w:rPr>
        <w:t>/41.3%</w:t>
      </w:r>
      <w:r w:rsidR="00E50ACE" w:rsidRPr="00316752">
        <w:rPr>
          <w:rFonts w:cs="Arial"/>
          <w:szCs w:val="22"/>
        </w:rPr>
        <w:t>) were</w:t>
      </w:r>
      <w:r w:rsidR="00507974">
        <w:rPr>
          <w:rFonts w:cs="Arial"/>
          <w:szCs w:val="22"/>
        </w:rPr>
        <w:t xml:space="preserve"> now</w:t>
      </w:r>
      <w:r w:rsidR="00E50ACE" w:rsidRPr="00316752">
        <w:rPr>
          <w:rFonts w:cs="Arial"/>
          <w:szCs w:val="22"/>
        </w:rPr>
        <w:t xml:space="preserve"> unable to work because of their di</w:t>
      </w:r>
      <w:r w:rsidR="00834B50" w:rsidRPr="00316752">
        <w:rPr>
          <w:rFonts w:cs="Arial"/>
          <w:szCs w:val="22"/>
        </w:rPr>
        <w:t>sability or health problem</w:t>
      </w:r>
      <w:r w:rsidR="00E50ACE" w:rsidRPr="00316752">
        <w:rPr>
          <w:rFonts w:cs="Arial"/>
          <w:szCs w:val="22"/>
        </w:rPr>
        <w:t xml:space="preserve">s (Table </w:t>
      </w:r>
      <w:r w:rsidR="009F252D">
        <w:rPr>
          <w:rFonts w:cs="Arial"/>
          <w:szCs w:val="22"/>
        </w:rPr>
        <w:t>2</w:t>
      </w:r>
      <w:r w:rsidR="008F0D5D">
        <w:rPr>
          <w:rFonts w:cs="Arial"/>
          <w:szCs w:val="22"/>
        </w:rPr>
        <w:t xml:space="preserve">). Previous </w:t>
      </w:r>
      <w:r w:rsidR="00507974">
        <w:rPr>
          <w:rFonts w:cs="Arial"/>
          <w:szCs w:val="22"/>
        </w:rPr>
        <w:t xml:space="preserve">research </w:t>
      </w:r>
      <w:r w:rsidR="008F0D5D">
        <w:rPr>
          <w:rFonts w:cs="Arial"/>
          <w:szCs w:val="22"/>
        </w:rPr>
        <w:t>suggests that less than 10% of</w:t>
      </w:r>
      <w:r w:rsidR="00642C37" w:rsidRPr="00642C37">
        <w:rPr>
          <w:rFonts w:cs="Arial"/>
          <w:szCs w:val="22"/>
        </w:rPr>
        <w:t xml:space="preserve"> UK Thalidomide survivors </w:t>
      </w:r>
      <w:r w:rsidR="00F652C2">
        <w:rPr>
          <w:rFonts w:cs="Arial"/>
          <w:szCs w:val="22"/>
        </w:rPr>
        <w:t>have</w:t>
      </w:r>
      <w:r w:rsidR="008F0D5D">
        <w:rPr>
          <w:rFonts w:cs="Arial"/>
          <w:szCs w:val="22"/>
        </w:rPr>
        <w:t xml:space="preserve"> never worked</w:t>
      </w:r>
      <w:r w:rsidR="00751ACB">
        <w:rPr>
          <w:rFonts w:cs="Arial"/>
          <w:szCs w:val="22"/>
        </w:rPr>
        <w:t xml:space="preserve"> [33]</w:t>
      </w:r>
      <w:r w:rsidR="008F0D5D">
        <w:rPr>
          <w:rFonts w:cs="Arial"/>
          <w:szCs w:val="22"/>
        </w:rPr>
        <w:t>.</w:t>
      </w:r>
      <w:r w:rsidR="00E50ACE" w:rsidRPr="00316752">
        <w:rPr>
          <w:rFonts w:cs="Arial"/>
          <w:szCs w:val="22"/>
        </w:rPr>
        <w:t xml:space="preserve"> As in the general population, there were </w:t>
      </w:r>
      <w:r w:rsidR="00834B50" w:rsidRPr="00316752">
        <w:rPr>
          <w:rFonts w:cs="Arial"/>
          <w:szCs w:val="22"/>
        </w:rPr>
        <w:t>significant differences between men and women</w:t>
      </w:r>
      <w:r w:rsidR="008F0D5D">
        <w:rPr>
          <w:rFonts w:cs="Arial"/>
          <w:szCs w:val="22"/>
        </w:rPr>
        <w:t>: m</w:t>
      </w:r>
      <w:r w:rsidR="00834B50" w:rsidRPr="00316752">
        <w:rPr>
          <w:rFonts w:cs="Arial"/>
          <w:szCs w:val="22"/>
        </w:rPr>
        <w:t>en were</w:t>
      </w:r>
      <w:r w:rsidR="00E50ACE" w:rsidRPr="00316752">
        <w:rPr>
          <w:rFonts w:cs="Arial"/>
          <w:szCs w:val="22"/>
        </w:rPr>
        <w:t xml:space="preserve"> </w:t>
      </w:r>
      <w:r w:rsidR="00834B50" w:rsidRPr="00316752">
        <w:rPr>
          <w:rFonts w:cs="Arial"/>
          <w:szCs w:val="22"/>
        </w:rPr>
        <w:t>more likely to be working full-time</w:t>
      </w:r>
      <w:r w:rsidR="00692D59">
        <w:rPr>
          <w:rFonts w:cs="Arial"/>
          <w:szCs w:val="22"/>
        </w:rPr>
        <w:t xml:space="preserve">; </w:t>
      </w:r>
      <w:r w:rsidR="00834B50" w:rsidRPr="00316752">
        <w:rPr>
          <w:rFonts w:cs="Arial"/>
          <w:szCs w:val="22"/>
        </w:rPr>
        <w:t xml:space="preserve">women were </w:t>
      </w:r>
      <w:r w:rsidR="00E50ACE" w:rsidRPr="00316752">
        <w:rPr>
          <w:rFonts w:cs="Arial"/>
          <w:szCs w:val="22"/>
        </w:rPr>
        <w:t xml:space="preserve">more </w:t>
      </w:r>
      <w:r w:rsidR="00834B50" w:rsidRPr="00316752">
        <w:rPr>
          <w:rFonts w:cs="Arial"/>
          <w:szCs w:val="22"/>
        </w:rPr>
        <w:t xml:space="preserve">likely to </w:t>
      </w:r>
      <w:r w:rsidR="00834B50" w:rsidRPr="00316752">
        <w:rPr>
          <w:rFonts w:cs="Arial"/>
          <w:szCs w:val="22"/>
        </w:rPr>
        <w:lastRenderedPageBreak/>
        <w:t>work part-time</w:t>
      </w:r>
      <w:r w:rsidR="00692D59">
        <w:rPr>
          <w:rFonts w:cs="Arial"/>
          <w:szCs w:val="22"/>
        </w:rPr>
        <w:t xml:space="preserve">; and </w:t>
      </w:r>
      <w:r w:rsidR="001371BC">
        <w:rPr>
          <w:rFonts w:cs="Arial"/>
          <w:szCs w:val="22"/>
        </w:rPr>
        <w:t xml:space="preserve">women </w:t>
      </w:r>
      <w:r w:rsidR="00692D59">
        <w:rPr>
          <w:rFonts w:cs="Arial"/>
          <w:szCs w:val="22"/>
        </w:rPr>
        <w:t xml:space="preserve">were </w:t>
      </w:r>
      <w:r w:rsidR="001371BC">
        <w:rPr>
          <w:rFonts w:cs="Arial"/>
          <w:szCs w:val="22"/>
        </w:rPr>
        <w:t xml:space="preserve">also </w:t>
      </w:r>
      <w:r w:rsidR="00692D59">
        <w:rPr>
          <w:rFonts w:cs="Arial"/>
          <w:szCs w:val="22"/>
        </w:rPr>
        <w:t>marginally more likely to be unable to work because of their disability or health problems (69 men compared to 76 women).</w:t>
      </w:r>
    </w:p>
    <w:p w14:paraId="6721C4CB" w14:textId="1ACBC216" w:rsidR="00834B50" w:rsidRPr="00316752" w:rsidRDefault="00834B50" w:rsidP="00305DAE">
      <w:pPr>
        <w:pStyle w:val="TableHeading"/>
        <w:spacing w:before="0" w:after="0" w:line="480" w:lineRule="auto"/>
        <w:jc w:val="both"/>
        <w:rPr>
          <w:rFonts w:cs="Arial"/>
          <w:szCs w:val="22"/>
        </w:rPr>
      </w:pPr>
      <w:r w:rsidRPr="00316752">
        <w:rPr>
          <w:rFonts w:cs="Arial"/>
          <w:szCs w:val="22"/>
        </w:rPr>
        <w:t xml:space="preserve">Table </w:t>
      </w:r>
      <w:r w:rsidR="009F252D">
        <w:rPr>
          <w:rFonts w:cs="Arial"/>
          <w:szCs w:val="22"/>
        </w:rPr>
        <w:t>2</w:t>
      </w:r>
      <w:r w:rsidRPr="00316752">
        <w:rPr>
          <w:rFonts w:cs="Arial"/>
          <w:szCs w:val="22"/>
        </w:rPr>
        <w:t xml:space="preserve"> Work Situation </w:t>
      </w:r>
    </w:p>
    <w:tbl>
      <w:tblPr>
        <w:tblStyle w:val="TableGrid1"/>
        <w:tblW w:w="8447" w:type="dxa"/>
        <w:jc w:val="center"/>
        <w:tblCellMar>
          <w:top w:w="57" w:type="dxa"/>
          <w:left w:w="57" w:type="dxa"/>
          <w:bottom w:w="57" w:type="dxa"/>
          <w:right w:w="57" w:type="dxa"/>
        </w:tblCellMar>
        <w:tblLook w:val="04A0" w:firstRow="1" w:lastRow="0" w:firstColumn="1" w:lastColumn="0" w:noHBand="0" w:noVBand="1"/>
      </w:tblPr>
      <w:tblGrid>
        <w:gridCol w:w="6746"/>
        <w:gridCol w:w="1701"/>
      </w:tblGrid>
      <w:tr w:rsidR="008A4454" w:rsidRPr="00316752" w14:paraId="0A74B4F9" w14:textId="77777777" w:rsidTr="008A4454">
        <w:trPr>
          <w:trHeight w:val="225"/>
          <w:jc w:val="center"/>
        </w:trPr>
        <w:tc>
          <w:tcPr>
            <w:tcW w:w="6746" w:type="dxa"/>
            <w:shd w:val="clear" w:color="auto" w:fill="D9D9D9" w:themeFill="background1" w:themeFillShade="D9"/>
            <w:noWrap/>
            <w:vAlign w:val="center"/>
          </w:tcPr>
          <w:p w14:paraId="1587A08D" w14:textId="77777777" w:rsidR="008A4454" w:rsidRPr="00316752" w:rsidRDefault="008A4454" w:rsidP="00316752">
            <w:pPr>
              <w:pStyle w:val="TableSubheading"/>
              <w:spacing w:line="240" w:lineRule="auto"/>
              <w:jc w:val="both"/>
              <w:rPr>
                <w:rFonts w:ascii="Arial" w:hAnsi="Arial" w:cs="Arial"/>
                <w:szCs w:val="22"/>
                <w:lang w:eastAsia="en-US"/>
              </w:rPr>
            </w:pPr>
            <w:r w:rsidRPr="00316752">
              <w:rPr>
                <w:rFonts w:ascii="Arial" w:hAnsi="Arial" w:cs="Arial"/>
                <w:szCs w:val="22"/>
                <w:lang w:eastAsia="en-US"/>
              </w:rPr>
              <w:t>Work Situation – all respondents</w:t>
            </w:r>
          </w:p>
        </w:tc>
        <w:tc>
          <w:tcPr>
            <w:tcW w:w="1701" w:type="dxa"/>
            <w:shd w:val="clear" w:color="auto" w:fill="D9D9D9" w:themeFill="background1" w:themeFillShade="D9"/>
            <w:noWrap/>
            <w:vAlign w:val="center"/>
          </w:tcPr>
          <w:p w14:paraId="0F26FDEB" w14:textId="7F14C403" w:rsidR="008A4454" w:rsidRPr="00316752" w:rsidRDefault="008A4454" w:rsidP="008A4454">
            <w:pPr>
              <w:pStyle w:val="TableNumberSubheading"/>
              <w:spacing w:line="240" w:lineRule="auto"/>
              <w:rPr>
                <w:rFonts w:ascii="Arial" w:hAnsi="Arial" w:cs="Arial"/>
                <w:szCs w:val="22"/>
                <w:lang w:eastAsia="en-US"/>
              </w:rPr>
            </w:pPr>
            <w:r w:rsidRPr="00316752">
              <w:rPr>
                <w:rFonts w:ascii="Arial" w:hAnsi="Arial" w:cs="Arial"/>
                <w:szCs w:val="22"/>
                <w:lang w:eastAsia="en-US"/>
              </w:rPr>
              <w:t>Number</w:t>
            </w:r>
            <w:r>
              <w:rPr>
                <w:rFonts w:ascii="Arial" w:hAnsi="Arial" w:cs="Arial"/>
                <w:szCs w:val="22"/>
                <w:lang w:eastAsia="en-US"/>
              </w:rPr>
              <w:t>/%</w:t>
            </w:r>
          </w:p>
        </w:tc>
      </w:tr>
      <w:tr w:rsidR="008A4454" w:rsidRPr="00316752" w14:paraId="3569B0BA" w14:textId="77777777" w:rsidTr="008A4454">
        <w:trPr>
          <w:trHeight w:val="225"/>
          <w:jc w:val="center"/>
        </w:trPr>
        <w:tc>
          <w:tcPr>
            <w:tcW w:w="6746" w:type="dxa"/>
            <w:noWrap/>
            <w:vAlign w:val="center"/>
            <w:hideMark/>
          </w:tcPr>
          <w:p w14:paraId="3A4F640A"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I’m unable to work because of my disability or health problems</w:t>
            </w:r>
          </w:p>
        </w:tc>
        <w:tc>
          <w:tcPr>
            <w:tcW w:w="1701" w:type="dxa"/>
            <w:noWrap/>
            <w:vAlign w:val="center"/>
            <w:hideMark/>
          </w:tcPr>
          <w:p w14:paraId="12BD9439" w14:textId="7A49109C"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145</w:t>
            </w:r>
            <w:r>
              <w:rPr>
                <w:rFonts w:ascii="Arial" w:hAnsi="Arial" w:cs="Arial"/>
                <w:szCs w:val="22"/>
              </w:rPr>
              <w:t>/</w:t>
            </w:r>
            <w:r w:rsidRPr="00316752">
              <w:rPr>
                <w:rFonts w:ascii="Arial" w:hAnsi="Arial" w:cs="Arial"/>
                <w:szCs w:val="22"/>
              </w:rPr>
              <w:t>41.4%</w:t>
            </w:r>
          </w:p>
        </w:tc>
      </w:tr>
      <w:tr w:rsidR="008A4454" w:rsidRPr="00316752" w14:paraId="22D75503" w14:textId="77777777" w:rsidTr="008A4454">
        <w:trPr>
          <w:trHeight w:val="225"/>
          <w:jc w:val="center"/>
        </w:trPr>
        <w:tc>
          <w:tcPr>
            <w:tcW w:w="6746" w:type="dxa"/>
            <w:noWrap/>
            <w:vAlign w:val="center"/>
            <w:hideMark/>
          </w:tcPr>
          <w:p w14:paraId="32AD92A2"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 work full-time</w:t>
            </w:r>
          </w:p>
        </w:tc>
        <w:tc>
          <w:tcPr>
            <w:tcW w:w="1701" w:type="dxa"/>
            <w:noWrap/>
            <w:vAlign w:val="center"/>
            <w:hideMark/>
          </w:tcPr>
          <w:p w14:paraId="47DF1A22" w14:textId="7415B02E"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54</w:t>
            </w:r>
            <w:r>
              <w:rPr>
                <w:rFonts w:ascii="Arial" w:hAnsi="Arial" w:cs="Arial"/>
                <w:szCs w:val="22"/>
              </w:rPr>
              <w:t>/</w:t>
            </w:r>
            <w:r w:rsidRPr="00316752">
              <w:rPr>
                <w:rFonts w:ascii="Arial" w:hAnsi="Arial" w:cs="Arial"/>
                <w:szCs w:val="22"/>
              </w:rPr>
              <w:t>15.4%</w:t>
            </w:r>
          </w:p>
        </w:tc>
      </w:tr>
      <w:tr w:rsidR="008A4454" w:rsidRPr="00316752" w14:paraId="7C592164" w14:textId="77777777" w:rsidTr="008A4454">
        <w:trPr>
          <w:trHeight w:val="225"/>
          <w:jc w:val="center"/>
        </w:trPr>
        <w:tc>
          <w:tcPr>
            <w:tcW w:w="6746" w:type="dxa"/>
            <w:noWrap/>
            <w:vAlign w:val="center"/>
            <w:hideMark/>
          </w:tcPr>
          <w:p w14:paraId="39E51C3F"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 have chosen not to work in order to preserve my health/functioning</w:t>
            </w:r>
          </w:p>
        </w:tc>
        <w:tc>
          <w:tcPr>
            <w:tcW w:w="1701" w:type="dxa"/>
            <w:noWrap/>
            <w:vAlign w:val="center"/>
            <w:hideMark/>
          </w:tcPr>
          <w:p w14:paraId="257973A8" w14:textId="54F0F63E"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45</w:t>
            </w:r>
            <w:r>
              <w:rPr>
                <w:rFonts w:ascii="Arial" w:hAnsi="Arial" w:cs="Arial"/>
                <w:szCs w:val="22"/>
              </w:rPr>
              <w:t>/</w:t>
            </w:r>
            <w:r w:rsidRPr="00316752">
              <w:rPr>
                <w:rFonts w:ascii="Arial" w:hAnsi="Arial" w:cs="Arial"/>
                <w:szCs w:val="22"/>
              </w:rPr>
              <w:t>12.9%</w:t>
            </w:r>
          </w:p>
        </w:tc>
      </w:tr>
      <w:tr w:rsidR="008A4454" w:rsidRPr="00316752" w14:paraId="23BC7AF9" w14:textId="77777777" w:rsidTr="008A4454">
        <w:trPr>
          <w:trHeight w:val="225"/>
          <w:jc w:val="center"/>
        </w:trPr>
        <w:tc>
          <w:tcPr>
            <w:tcW w:w="6746" w:type="dxa"/>
            <w:noWrap/>
            <w:vAlign w:val="center"/>
            <w:hideMark/>
          </w:tcPr>
          <w:p w14:paraId="026304EC"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 work part-time because of my disability or health problems</w:t>
            </w:r>
          </w:p>
        </w:tc>
        <w:tc>
          <w:tcPr>
            <w:tcW w:w="1701" w:type="dxa"/>
            <w:noWrap/>
            <w:vAlign w:val="center"/>
            <w:hideMark/>
          </w:tcPr>
          <w:p w14:paraId="2BC0947F" w14:textId="21B1FE69"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30</w:t>
            </w:r>
            <w:r>
              <w:rPr>
                <w:rFonts w:ascii="Arial" w:hAnsi="Arial" w:cs="Arial"/>
                <w:szCs w:val="22"/>
              </w:rPr>
              <w:t>/</w:t>
            </w:r>
            <w:r w:rsidRPr="00316752">
              <w:rPr>
                <w:rFonts w:ascii="Arial" w:hAnsi="Arial" w:cs="Arial"/>
                <w:szCs w:val="22"/>
              </w:rPr>
              <w:t>8.6%</w:t>
            </w:r>
          </w:p>
        </w:tc>
      </w:tr>
      <w:tr w:rsidR="008A4454" w:rsidRPr="00316752" w14:paraId="22555050" w14:textId="77777777" w:rsidTr="008A4454">
        <w:trPr>
          <w:trHeight w:val="225"/>
          <w:jc w:val="center"/>
        </w:trPr>
        <w:tc>
          <w:tcPr>
            <w:tcW w:w="6746" w:type="dxa"/>
            <w:noWrap/>
            <w:vAlign w:val="center"/>
            <w:hideMark/>
          </w:tcPr>
          <w:p w14:paraId="10C66752"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 work part time in order to preserve my health/functioning</w:t>
            </w:r>
          </w:p>
        </w:tc>
        <w:tc>
          <w:tcPr>
            <w:tcW w:w="1701" w:type="dxa"/>
            <w:noWrap/>
            <w:vAlign w:val="center"/>
            <w:hideMark/>
          </w:tcPr>
          <w:p w14:paraId="2676657F" w14:textId="6D61E5CD"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29</w:t>
            </w:r>
            <w:r>
              <w:rPr>
                <w:rFonts w:ascii="Arial" w:hAnsi="Arial" w:cs="Arial"/>
                <w:szCs w:val="22"/>
              </w:rPr>
              <w:t>/</w:t>
            </w:r>
            <w:r w:rsidRPr="00316752">
              <w:rPr>
                <w:rFonts w:ascii="Arial" w:hAnsi="Arial" w:cs="Arial"/>
                <w:szCs w:val="22"/>
              </w:rPr>
              <w:t>8.3%</w:t>
            </w:r>
          </w:p>
        </w:tc>
      </w:tr>
      <w:tr w:rsidR="008A4454" w:rsidRPr="00316752" w14:paraId="336EB12C" w14:textId="77777777" w:rsidTr="008A4454">
        <w:trPr>
          <w:trHeight w:val="225"/>
          <w:jc w:val="center"/>
        </w:trPr>
        <w:tc>
          <w:tcPr>
            <w:tcW w:w="6746" w:type="dxa"/>
            <w:noWrap/>
            <w:vAlign w:val="center"/>
            <w:hideMark/>
          </w:tcPr>
          <w:p w14:paraId="3DF6CD6D"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 work part-time for family or personal reasons</w:t>
            </w:r>
          </w:p>
        </w:tc>
        <w:tc>
          <w:tcPr>
            <w:tcW w:w="1701" w:type="dxa"/>
            <w:noWrap/>
            <w:vAlign w:val="center"/>
            <w:hideMark/>
          </w:tcPr>
          <w:p w14:paraId="4033A990" w14:textId="6EA4BC8E"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17</w:t>
            </w:r>
            <w:r>
              <w:rPr>
                <w:rFonts w:ascii="Arial" w:hAnsi="Arial" w:cs="Arial"/>
                <w:szCs w:val="22"/>
              </w:rPr>
              <w:t>/</w:t>
            </w:r>
            <w:r w:rsidRPr="00316752">
              <w:rPr>
                <w:rFonts w:ascii="Arial" w:hAnsi="Arial" w:cs="Arial"/>
                <w:szCs w:val="22"/>
              </w:rPr>
              <w:t>4.9%</w:t>
            </w:r>
          </w:p>
        </w:tc>
      </w:tr>
      <w:tr w:rsidR="008A4454" w:rsidRPr="00316752" w14:paraId="6220BD93" w14:textId="77777777" w:rsidTr="008A4454">
        <w:trPr>
          <w:trHeight w:val="225"/>
          <w:jc w:val="center"/>
        </w:trPr>
        <w:tc>
          <w:tcPr>
            <w:tcW w:w="6746" w:type="dxa"/>
            <w:noWrap/>
            <w:vAlign w:val="center"/>
            <w:hideMark/>
          </w:tcPr>
          <w:p w14:paraId="388FB8D4"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I’m not working at the moment but would like to</w:t>
            </w:r>
          </w:p>
        </w:tc>
        <w:tc>
          <w:tcPr>
            <w:tcW w:w="1701" w:type="dxa"/>
            <w:noWrap/>
            <w:vAlign w:val="center"/>
            <w:hideMark/>
          </w:tcPr>
          <w:p w14:paraId="7CB280AB" w14:textId="1AB355B4"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15</w:t>
            </w:r>
            <w:r>
              <w:rPr>
                <w:rFonts w:ascii="Arial" w:hAnsi="Arial" w:cs="Arial"/>
                <w:szCs w:val="22"/>
              </w:rPr>
              <w:t>/</w:t>
            </w:r>
            <w:r w:rsidRPr="00316752">
              <w:rPr>
                <w:rFonts w:ascii="Arial" w:hAnsi="Arial" w:cs="Arial"/>
                <w:szCs w:val="22"/>
              </w:rPr>
              <w:t>4.3%</w:t>
            </w:r>
          </w:p>
        </w:tc>
      </w:tr>
      <w:tr w:rsidR="008A4454" w:rsidRPr="00316752" w14:paraId="1FD8BF3D" w14:textId="77777777" w:rsidTr="008A4454">
        <w:trPr>
          <w:trHeight w:val="225"/>
          <w:jc w:val="center"/>
        </w:trPr>
        <w:tc>
          <w:tcPr>
            <w:tcW w:w="6746" w:type="dxa"/>
            <w:noWrap/>
            <w:vAlign w:val="center"/>
            <w:hideMark/>
          </w:tcPr>
          <w:p w14:paraId="1D159050"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I’ve chosen not to work for family or personal reasons</w:t>
            </w:r>
          </w:p>
        </w:tc>
        <w:tc>
          <w:tcPr>
            <w:tcW w:w="1701" w:type="dxa"/>
            <w:noWrap/>
            <w:vAlign w:val="center"/>
            <w:hideMark/>
          </w:tcPr>
          <w:p w14:paraId="5F4E13B8" w14:textId="34B0196B"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8</w:t>
            </w:r>
            <w:r>
              <w:rPr>
                <w:rFonts w:ascii="Arial" w:hAnsi="Arial" w:cs="Arial"/>
                <w:szCs w:val="22"/>
              </w:rPr>
              <w:t>/</w:t>
            </w:r>
            <w:r w:rsidRPr="00316752">
              <w:rPr>
                <w:rFonts w:ascii="Arial" w:hAnsi="Arial" w:cs="Arial"/>
                <w:szCs w:val="22"/>
              </w:rPr>
              <w:t>2.3%</w:t>
            </w:r>
          </w:p>
        </w:tc>
      </w:tr>
      <w:tr w:rsidR="008A4454" w:rsidRPr="00316752" w14:paraId="2F535D44" w14:textId="77777777" w:rsidTr="008A4454">
        <w:trPr>
          <w:trHeight w:val="225"/>
          <w:jc w:val="center"/>
        </w:trPr>
        <w:tc>
          <w:tcPr>
            <w:tcW w:w="6746" w:type="dxa"/>
            <w:noWrap/>
            <w:vAlign w:val="center"/>
          </w:tcPr>
          <w:p w14:paraId="592D4234" w14:textId="77777777" w:rsidR="008A4454" w:rsidRPr="00316752" w:rsidRDefault="008A4454" w:rsidP="00316752">
            <w:pPr>
              <w:pStyle w:val="TableText"/>
              <w:spacing w:line="240" w:lineRule="auto"/>
              <w:jc w:val="both"/>
              <w:rPr>
                <w:rFonts w:ascii="Arial" w:hAnsi="Arial" w:cs="Arial"/>
                <w:szCs w:val="22"/>
              </w:rPr>
            </w:pPr>
            <w:r w:rsidRPr="00316752">
              <w:rPr>
                <w:rFonts w:ascii="Arial" w:hAnsi="Arial" w:cs="Arial"/>
                <w:szCs w:val="22"/>
              </w:rPr>
              <w:t>Other (e.g. education)</w:t>
            </w:r>
          </w:p>
        </w:tc>
        <w:tc>
          <w:tcPr>
            <w:tcW w:w="1701" w:type="dxa"/>
            <w:noWrap/>
            <w:vAlign w:val="center"/>
          </w:tcPr>
          <w:p w14:paraId="3851A3D3" w14:textId="4748BC0C" w:rsidR="008A4454" w:rsidRPr="00316752" w:rsidRDefault="008A4454" w:rsidP="008A4454">
            <w:pPr>
              <w:pStyle w:val="TableNumbers"/>
              <w:spacing w:line="240" w:lineRule="auto"/>
              <w:rPr>
                <w:rFonts w:ascii="Arial" w:hAnsi="Arial" w:cs="Arial"/>
                <w:szCs w:val="22"/>
              </w:rPr>
            </w:pPr>
            <w:r w:rsidRPr="00316752">
              <w:rPr>
                <w:rFonts w:ascii="Arial" w:hAnsi="Arial" w:cs="Arial"/>
                <w:szCs w:val="22"/>
              </w:rPr>
              <w:t>7</w:t>
            </w:r>
            <w:r>
              <w:rPr>
                <w:rFonts w:ascii="Arial" w:hAnsi="Arial" w:cs="Arial"/>
                <w:szCs w:val="22"/>
              </w:rPr>
              <w:t>/</w:t>
            </w:r>
            <w:r w:rsidRPr="00316752">
              <w:rPr>
                <w:rFonts w:ascii="Arial" w:hAnsi="Arial" w:cs="Arial"/>
                <w:szCs w:val="22"/>
              </w:rPr>
              <w:t>2.0%</w:t>
            </w:r>
          </w:p>
        </w:tc>
      </w:tr>
    </w:tbl>
    <w:p w14:paraId="2C2DBB0B" w14:textId="77777777" w:rsidR="00E50ACE" w:rsidRPr="00316752" w:rsidRDefault="00E50ACE" w:rsidP="00316752">
      <w:pPr>
        <w:pStyle w:val="BodyText"/>
        <w:spacing w:after="0" w:line="360" w:lineRule="auto"/>
        <w:jc w:val="both"/>
        <w:rPr>
          <w:rFonts w:cs="Arial"/>
          <w:szCs w:val="22"/>
        </w:rPr>
      </w:pPr>
    </w:p>
    <w:p w14:paraId="30EB37D9" w14:textId="256414FC" w:rsidR="00585866" w:rsidRDefault="004E0C92" w:rsidP="00751ACB">
      <w:pPr>
        <w:pStyle w:val="BodyText"/>
        <w:spacing w:after="0" w:line="480" w:lineRule="auto"/>
        <w:jc w:val="both"/>
        <w:rPr>
          <w:rFonts w:cs="Arial"/>
          <w:szCs w:val="22"/>
        </w:rPr>
      </w:pPr>
      <w:r>
        <w:rPr>
          <w:rFonts w:cs="Arial"/>
          <w:szCs w:val="22"/>
        </w:rPr>
        <w:t>T</w:t>
      </w:r>
      <w:r w:rsidR="00E50ACE" w:rsidRPr="00316752">
        <w:rPr>
          <w:rFonts w:cs="Arial"/>
          <w:szCs w:val="22"/>
        </w:rPr>
        <w:t>he likelihood of not working increased w</w:t>
      </w:r>
      <w:r>
        <w:rPr>
          <w:rFonts w:cs="Arial"/>
          <w:szCs w:val="22"/>
        </w:rPr>
        <w:t>ith the severity of impairment</w:t>
      </w:r>
      <w:r w:rsidR="00B672C9">
        <w:rPr>
          <w:rFonts w:cs="Arial"/>
          <w:szCs w:val="22"/>
        </w:rPr>
        <w:t>:</w:t>
      </w:r>
      <w:r w:rsidR="00E50ACE" w:rsidRPr="00316752">
        <w:rPr>
          <w:rFonts w:cs="Arial"/>
          <w:szCs w:val="22"/>
        </w:rPr>
        <w:t xml:space="preserve"> the proportions reporting currently being unable to work increased from </w:t>
      </w:r>
      <w:r w:rsidR="00834B50" w:rsidRPr="00316752">
        <w:rPr>
          <w:rFonts w:cs="Arial"/>
          <w:szCs w:val="22"/>
        </w:rPr>
        <w:t xml:space="preserve">35% of those in Band 1 </w:t>
      </w:r>
      <w:r w:rsidR="00E44D47">
        <w:rPr>
          <w:rFonts w:cs="Arial"/>
          <w:szCs w:val="22"/>
        </w:rPr>
        <w:t xml:space="preserve">(least severe) </w:t>
      </w:r>
      <w:r w:rsidR="00834B50" w:rsidRPr="00316752">
        <w:rPr>
          <w:rFonts w:cs="Arial"/>
          <w:szCs w:val="22"/>
        </w:rPr>
        <w:t>to 75% in Band 5</w:t>
      </w:r>
      <w:r w:rsidR="00E44D47">
        <w:rPr>
          <w:rFonts w:cs="Arial"/>
          <w:szCs w:val="22"/>
        </w:rPr>
        <w:t xml:space="preserve"> (most severe)</w:t>
      </w:r>
      <w:r w:rsidR="00B672C9">
        <w:rPr>
          <w:rFonts w:cs="Arial"/>
          <w:szCs w:val="22"/>
        </w:rPr>
        <w:t>;</w:t>
      </w:r>
      <w:r w:rsidR="00F652C2">
        <w:rPr>
          <w:rFonts w:cs="Arial"/>
          <w:szCs w:val="22"/>
        </w:rPr>
        <w:t xml:space="preserve"> </w:t>
      </w:r>
      <w:r w:rsidR="00B672C9">
        <w:rPr>
          <w:rFonts w:cs="Arial"/>
          <w:szCs w:val="22"/>
        </w:rPr>
        <w:t xml:space="preserve">whilst </w:t>
      </w:r>
      <w:r w:rsidR="00507974">
        <w:rPr>
          <w:rFonts w:cs="Arial"/>
          <w:szCs w:val="22"/>
        </w:rPr>
        <w:t>t</w:t>
      </w:r>
      <w:r w:rsidR="00882172" w:rsidRPr="00316752">
        <w:rPr>
          <w:rFonts w:cs="Arial"/>
          <w:szCs w:val="22"/>
        </w:rPr>
        <w:t>he p</w:t>
      </w:r>
      <w:r w:rsidR="00834B50" w:rsidRPr="00316752">
        <w:rPr>
          <w:rFonts w:cs="Arial"/>
          <w:szCs w:val="22"/>
        </w:rPr>
        <w:t xml:space="preserve">roportion </w:t>
      </w:r>
      <w:r w:rsidR="00882172" w:rsidRPr="00316752">
        <w:rPr>
          <w:rFonts w:cs="Arial"/>
          <w:szCs w:val="22"/>
        </w:rPr>
        <w:t xml:space="preserve">currently </w:t>
      </w:r>
      <w:r w:rsidR="00834B50" w:rsidRPr="00316752">
        <w:rPr>
          <w:rFonts w:cs="Arial"/>
          <w:szCs w:val="22"/>
        </w:rPr>
        <w:t>in full-tim</w:t>
      </w:r>
      <w:r w:rsidR="00882172" w:rsidRPr="00316752">
        <w:rPr>
          <w:rFonts w:cs="Arial"/>
          <w:szCs w:val="22"/>
        </w:rPr>
        <w:t xml:space="preserve">e work decreased from 32% </w:t>
      </w:r>
      <w:r w:rsidR="001371BC">
        <w:rPr>
          <w:rFonts w:cs="Arial"/>
          <w:szCs w:val="22"/>
        </w:rPr>
        <w:t xml:space="preserve">(Band 1) </w:t>
      </w:r>
      <w:r w:rsidR="00882172" w:rsidRPr="00316752">
        <w:rPr>
          <w:rFonts w:cs="Arial"/>
          <w:szCs w:val="22"/>
        </w:rPr>
        <w:t xml:space="preserve">to 8% </w:t>
      </w:r>
      <w:r w:rsidR="001371BC">
        <w:rPr>
          <w:rFonts w:cs="Arial"/>
          <w:szCs w:val="22"/>
        </w:rPr>
        <w:t>(Band 5)</w:t>
      </w:r>
      <w:r w:rsidR="00882172" w:rsidRPr="00316752">
        <w:rPr>
          <w:rFonts w:cs="Arial"/>
          <w:szCs w:val="22"/>
        </w:rPr>
        <w:t xml:space="preserve">.  </w:t>
      </w:r>
      <w:r w:rsidR="00507974">
        <w:rPr>
          <w:rFonts w:cs="Arial"/>
          <w:szCs w:val="22"/>
        </w:rPr>
        <w:t xml:space="preserve">Moreover, </w:t>
      </w:r>
      <w:r w:rsidR="00834B50" w:rsidRPr="00316752">
        <w:rPr>
          <w:rFonts w:cs="Arial"/>
          <w:szCs w:val="22"/>
        </w:rPr>
        <w:t xml:space="preserve">although respondents in impairment bands 1 and 2 were more likely </w:t>
      </w:r>
      <w:r w:rsidR="001371BC" w:rsidRPr="001371BC">
        <w:rPr>
          <w:rFonts w:cs="Arial"/>
          <w:szCs w:val="22"/>
        </w:rPr>
        <w:t xml:space="preserve">than their peers with more severe impairments </w:t>
      </w:r>
      <w:r w:rsidR="00834B50" w:rsidRPr="00316752">
        <w:rPr>
          <w:rFonts w:cs="Arial"/>
          <w:szCs w:val="22"/>
        </w:rPr>
        <w:t xml:space="preserve">to </w:t>
      </w:r>
      <w:r w:rsidR="001371BC">
        <w:rPr>
          <w:rFonts w:cs="Arial"/>
          <w:szCs w:val="22"/>
        </w:rPr>
        <w:t xml:space="preserve">still </w:t>
      </w:r>
      <w:r w:rsidR="00834B50" w:rsidRPr="00316752">
        <w:rPr>
          <w:rFonts w:cs="Arial"/>
          <w:szCs w:val="22"/>
        </w:rPr>
        <w:t xml:space="preserve">be in full time work, around a third of them </w:t>
      </w:r>
      <w:r w:rsidR="00507974">
        <w:rPr>
          <w:rFonts w:cs="Arial"/>
          <w:szCs w:val="22"/>
        </w:rPr>
        <w:t xml:space="preserve">still </w:t>
      </w:r>
      <w:r w:rsidR="008305BD" w:rsidRPr="00316752">
        <w:rPr>
          <w:rFonts w:cs="Arial"/>
          <w:szCs w:val="22"/>
        </w:rPr>
        <w:t>reported being</w:t>
      </w:r>
      <w:r w:rsidR="00834B50" w:rsidRPr="00316752">
        <w:rPr>
          <w:rFonts w:cs="Arial"/>
          <w:szCs w:val="22"/>
        </w:rPr>
        <w:t xml:space="preserve"> unable to work because of their disability or health problems. </w:t>
      </w:r>
      <w:r w:rsidR="00507974">
        <w:rPr>
          <w:rFonts w:cs="Arial"/>
          <w:szCs w:val="22"/>
        </w:rPr>
        <w:t xml:space="preserve">Patterns for those working part-time were less clear. </w:t>
      </w:r>
    </w:p>
    <w:p w14:paraId="66B042DA" w14:textId="77777777" w:rsidR="009F252D" w:rsidRPr="00751ACB" w:rsidRDefault="009F252D" w:rsidP="00751ACB">
      <w:pPr>
        <w:pStyle w:val="BodyText"/>
        <w:spacing w:after="0" w:line="480" w:lineRule="auto"/>
        <w:jc w:val="both"/>
        <w:rPr>
          <w:rFonts w:cs="Arial"/>
          <w:szCs w:val="22"/>
        </w:rPr>
      </w:pPr>
    </w:p>
    <w:p w14:paraId="43991538" w14:textId="2B9ECD06" w:rsidR="008305BD" w:rsidRPr="00316752" w:rsidRDefault="00834B50" w:rsidP="00305DAE">
      <w:pPr>
        <w:pStyle w:val="BodyText"/>
        <w:spacing w:after="0" w:line="480" w:lineRule="auto"/>
        <w:jc w:val="both"/>
        <w:rPr>
          <w:rFonts w:cs="Arial"/>
          <w:szCs w:val="22"/>
        </w:rPr>
      </w:pPr>
      <w:r w:rsidRPr="00316752">
        <w:rPr>
          <w:rFonts w:cs="Arial"/>
          <w:szCs w:val="22"/>
        </w:rPr>
        <w:t xml:space="preserve">Comparisons with the general population, and/or with people with disabilities as a whole are difficult, as different sources use different terminology, definitions and age groupings. </w:t>
      </w:r>
      <w:r w:rsidR="00D25E9A">
        <w:rPr>
          <w:rFonts w:cs="Arial"/>
          <w:szCs w:val="22"/>
        </w:rPr>
        <w:t xml:space="preserve"> However, i</w:t>
      </w:r>
      <w:r w:rsidR="00882172" w:rsidRPr="00316752">
        <w:rPr>
          <w:rFonts w:cs="Arial"/>
          <w:szCs w:val="22"/>
        </w:rPr>
        <w:t xml:space="preserve">n </w:t>
      </w:r>
      <w:r w:rsidRPr="00316752">
        <w:rPr>
          <w:rFonts w:cs="Arial"/>
          <w:szCs w:val="22"/>
        </w:rPr>
        <w:t>2015,</w:t>
      </w:r>
      <w:r w:rsidR="00882172" w:rsidRPr="00316752">
        <w:rPr>
          <w:rFonts w:cs="Arial"/>
          <w:szCs w:val="22"/>
        </w:rPr>
        <w:t xml:space="preserve"> 82% of the general population aged 50 – 54 (78% of women, 86% of men) were in paid work </w:t>
      </w:r>
      <w:r w:rsidR="00751ACB">
        <w:rPr>
          <w:rFonts w:cs="Arial"/>
          <w:szCs w:val="22"/>
        </w:rPr>
        <w:t xml:space="preserve">[34] </w:t>
      </w:r>
      <w:r w:rsidRPr="00316752">
        <w:rPr>
          <w:rFonts w:cs="Arial"/>
          <w:szCs w:val="22"/>
        </w:rPr>
        <w:t>(DWP</w:t>
      </w:r>
      <w:r w:rsidR="00882172" w:rsidRPr="00316752">
        <w:rPr>
          <w:rFonts w:cs="Arial"/>
          <w:szCs w:val="22"/>
        </w:rPr>
        <w:t xml:space="preserve"> 2015), suggesting that only</w:t>
      </w:r>
      <w:r w:rsidRPr="00316752">
        <w:rPr>
          <w:rFonts w:cs="Arial"/>
          <w:szCs w:val="22"/>
        </w:rPr>
        <w:t xml:space="preserve"> 18% of t</w:t>
      </w:r>
      <w:r w:rsidR="00882172" w:rsidRPr="00316752">
        <w:rPr>
          <w:rFonts w:cs="Arial"/>
          <w:szCs w:val="22"/>
        </w:rPr>
        <w:t xml:space="preserve">he </w:t>
      </w:r>
      <w:r w:rsidRPr="00316752">
        <w:rPr>
          <w:rFonts w:cs="Arial"/>
          <w:szCs w:val="22"/>
        </w:rPr>
        <w:t>age group were ‘economically inactive’</w:t>
      </w:r>
      <w:r w:rsidR="00882172" w:rsidRPr="00316752">
        <w:rPr>
          <w:rFonts w:cs="Arial"/>
          <w:szCs w:val="22"/>
        </w:rPr>
        <w:t>, co</w:t>
      </w:r>
      <w:r w:rsidRPr="00316752">
        <w:rPr>
          <w:rFonts w:cs="Arial"/>
          <w:szCs w:val="22"/>
        </w:rPr>
        <w:t xml:space="preserve">mpared to 63% of </w:t>
      </w:r>
      <w:r w:rsidR="00882172" w:rsidRPr="00316752">
        <w:rPr>
          <w:rFonts w:cs="Arial"/>
          <w:szCs w:val="22"/>
        </w:rPr>
        <w:t xml:space="preserve">Thalidomide survivors.  </w:t>
      </w:r>
    </w:p>
    <w:p w14:paraId="774018E9" w14:textId="77777777" w:rsidR="00642C37" w:rsidRDefault="00642C37" w:rsidP="00305DAE">
      <w:pPr>
        <w:pStyle w:val="BodyText"/>
        <w:spacing w:after="0" w:line="480" w:lineRule="auto"/>
        <w:jc w:val="both"/>
        <w:rPr>
          <w:rFonts w:cs="Arial"/>
          <w:szCs w:val="22"/>
        </w:rPr>
      </w:pPr>
    </w:p>
    <w:p w14:paraId="34F8551B" w14:textId="7E6AAAE2" w:rsidR="00316752" w:rsidRDefault="00E44D47" w:rsidP="00305DAE">
      <w:pPr>
        <w:pStyle w:val="BodyText"/>
        <w:spacing w:after="0" w:line="480" w:lineRule="auto"/>
        <w:jc w:val="both"/>
        <w:rPr>
          <w:rFonts w:cs="Arial"/>
          <w:szCs w:val="22"/>
        </w:rPr>
      </w:pPr>
      <w:r>
        <w:rPr>
          <w:rFonts w:cs="Arial"/>
          <w:szCs w:val="22"/>
        </w:rPr>
        <w:t>In the UK, d</w:t>
      </w:r>
      <w:r w:rsidR="00834B50" w:rsidRPr="00316752">
        <w:rPr>
          <w:rFonts w:cs="Arial"/>
          <w:szCs w:val="22"/>
        </w:rPr>
        <w:t xml:space="preserve">isabled people </w:t>
      </w:r>
      <w:r w:rsidR="00882172" w:rsidRPr="00316752">
        <w:rPr>
          <w:rFonts w:cs="Arial"/>
          <w:szCs w:val="22"/>
        </w:rPr>
        <w:t xml:space="preserve">may be </w:t>
      </w:r>
      <w:r w:rsidR="00834B50" w:rsidRPr="00316752">
        <w:rPr>
          <w:rFonts w:cs="Arial"/>
          <w:szCs w:val="22"/>
        </w:rPr>
        <w:t>four times as likely as their non-disabled peers to be</w:t>
      </w:r>
      <w:r w:rsidR="00642C37">
        <w:rPr>
          <w:rFonts w:cs="Arial"/>
          <w:szCs w:val="22"/>
        </w:rPr>
        <w:t xml:space="preserve"> </w:t>
      </w:r>
      <w:r w:rsidR="00834B50" w:rsidRPr="00316752">
        <w:rPr>
          <w:rFonts w:cs="Arial"/>
          <w:szCs w:val="22"/>
        </w:rPr>
        <w:t>unemployed or involuntarily out of work</w:t>
      </w:r>
      <w:r w:rsidR="00751ACB">
        <w:rPr>
          <w:rFonts w:cs="Arial"/>
          <w:szCs w:val="22"/>
        </w:rPr>
        <w:t xml:space="preserve"> [35]</w:t>
      </w:r>
      <w:r w:rsidR="00834B50" w:rsidRPr="00316752">
        <w:rPr>
          <w:rFonts w:cs="Arial"/>
          <w:szCs w:val="22"/>
        </w:rPr>
        <w:t>.</w:t>
      </w:r>
      <w:r w:rsidR="008305BD" w:rsidRPr="00316752">
        <w:rPr>
          <w:rFonts w:cs="Arial"/>
          <w:szCs w:val="22"/>
        </w:rPr>
        <w:t xml:space="preserve">  However, the lifetime economic activity patterns </w:t>
      </w:r>
      <w:r w:rsidR="008305BD" w:rsidRPr="00316752">
        <w:rPr>
          <w:rFonts w:cs="Arial"/>
          <w:szCs w:val="22"/>
        </w:rPr>
        <w:lastRenderedPageBreak/>
        <w:t xml:space="preserve">of Thalidomide survivors </w:t>
      </w:r>
      <w:r w:rsidR="001371BC">
        <w:rPr>
          <w:rFonts w:cs="Arial"/>
          <w:szCs w:val="22"/>
        </w:rPr>
        <w:t>appear to</w:t>
      </w:r>
      <w:r w:rsidR="008305BD" w:rsidRPr="00316752">
        <w:rPr>
          <w:rFonts w:cs="Arial"/>
          <w:szCs w:val="22"/>
        </w:rPr>
        <w:t xml:space="preserve"> be somewhat different from those of other disabled people.  First, their current employment patterns do not reflect </w:t>
      </w:r>
      <w:r w:rsidR="00EE244E">
        <w:rPr>
          <w:rFonts w:cs="Arial"/>
          <w:szCs w:val="22"/>
        </w:rPr>
        <w:t xml:space="preserve">the </w:t>
      </w:r>
      <w:r w:rsidR="008305BD" w:rsidRPr="00316752">
        <w:rPr>
          <w:rFonts w:cs="Arial"/>
          <w:szCs w:val="22"/>
        </w:rPr>
        <w:t>lower levels of educational achievement</w:t>
      </w:r>
      <w:r w:rsidR="00EE244E">
        <w:rPr>
          <w:rFonts w:cs="Arial"/>
          <w:szCs w:val="22"/>
        </w:rPr>
        <w:t xml:space="preserve"> which </w:t>
      </w:r>
      <w:r w:rsidR="001371BC">
        <w:rPr>
          <w:rFonts w:cs="Arial"/>
          <w:szCs w:val="22"/>
        </w:rPr>
        <w:t>commonly</w:t>
      </w:r>
      <w:r w:rsidR="00EE244E">
        <w:rPr>
          <w:rFonts w:cs="Arial"/>
          <w:szCs w:val="22"/>
        </w:rPr>
        <w:t xml:space="preserve"> disadvantage disabled people</w:t>
      </w:r>
      <w:r w:rsidR="008305BD" w:rsidRPr="00316752">
        <w:rPr>
          <w:rFonts w:cs="Arial"/>
          <w:szCs w:val="22"/>
        </w:rPr>
        <w:t>; the</w:t>
      </w:r>
      <w:r w:rsidR="00EE244E">
        <w:rPr>
          <w:rFonts w:cs="Arial"/>
          <w:szCs w:val="22"/>
        </w:rPr>
        <w:t>ir</w:t>
      </w:r>
      <w:r w:rsidR="008305BD" w:rsidRPr="00316752">
        <w:rPr>
          <w:rFonts w:cs="Arial"/>
          <w:szCs w:val="22"/>
        </w:rPr>
        <w:t xml:space="preserve"> </w:t>
      </w:r>
      <w:r w:rsidR="00EE244E">
        <w:rPr>
          <w:rFonts w:cs="Arial"/>
          <w:szCs w:val="22"/>
        </w:rPr>
        <w:t xml:space="preserve">educational achievements </w:t>
      </w:r>
      <w:r w:rsidR="008305BD" w:rsidRPr="00316752">
        <w:rPr>
          <w:rFonts w:cs="Arial"/>
          <w:szCs w:val="22"/>
        </w:rPr>
        <w:t>were b</w:t>
      </w:r>
      <w:r w:rsidR="00882172" w:rsidRPr="00316752">
        <w:rPr>
          <w:rFonts w:cs="Arial"/>
          <w:szCs w:val="22"/>
        </w:rPr>
        <w:t>roadly similar to th</w:t>
      </w:r>
      <w:r w:rsidR="001371BC">
        <w:rPr>
          <w:rFonts w:cs="Arial"/>
          <w:szCs w:val="22"/>
        </w:rPr>
        <w:t>ose of the</w:t>
      </w:r>
      <w:r w:rsidR="00882172" w:rsidRPr="00316752">
        <w:rPr>
          <w:rFonts w:cs="Arial"/>
          <w:szCs w:val="22"/>
        </w:rPr>
        <w:t xml:space="preserve"> general population of a similar age</w:t>
      </w:r>
      <w:r w:rsidR="00751ACB">
        <w:rPr>
          <w:rFonts w:cs="Arial"/>
          <w:szCs w:val="22"/>
        </w:rPr>
        <w:t xml:space="preserve"> [36]</w:t>
      </w:r>
      <w:r w:rsidR="00882172" w:rsidRPr="00316752">
        <w:rPr>
          <w:rFonts w:cs="Arial"/>
          <w:szCs w:val="22"/>
        </w:rPr>
        <w:t xml:space="preserve">.  </w:t>
      </w:r>
      <w:r w:rsidR="00EE244E">
        <w:rPr>
          <w:rFonts w:cs="Arial"/>
          <w:szCs w:val="22"/>
        </w:rPr>
        <w:t>The p</w:t>
      </w:r>
      <w:r w:rsidR="00882172" w:rsidRPr="00316752">
        <w:rPr>
          <w:rFonts w:cs="Arial"/>
          <w:szCs w:val="22"/>
        </w:rPr>
        <w:t>roportion of Thalidomide survivors with no qualifications w</w:t>
      </w:r>
      <w:r w:rsidR="00EE244E">
        <w:rPr>
          <w:rFonts w:cs="Arial"/>
          <w:szCs w:val="22"/>
        </w:rPr>
        <w:t>as</w:t>
      </w:r>
      <w:r w:rsidR="00882172" w:rsidRPr="00316752">
        <w:rPr>
          <w:rFonts w:cs="Arial"/>
          <w:szCs w:val="22"/>
        </w:rPr>
        <w:t xml:space="preserve"> similar to those of working age disabled people</w:t>
      </w:r>
      <w:r w:rsidR="00EE244E">
        <w:rPr>
          <w:rFonts w:cs="Arial"/>
          <w:szCs w:val="22"/>
        </w:rPr>
        <w:t xml:space="preserve"> in general</w:t>
      </w:r>
      <w:r w:rsidR="00882172" w:rsidRPr="00316752">
        <w:rPr>
          <w:rFonts w:cs="Arial"/>
          <w:szCs w:val="22"/>
        </w:rPr>
        <w:t>.  On the other hand, the proportion</w:t>
      </w:r>
      <w:r w:rsidR="00EE244E">
        <w:rPr>
          <w:rFonts w:cs="Arial"/>
          <w:szCs w:val="22"/>
        </w:rPr>
        <w:t xml:space="preserve"> </w:t>
      </w:r>
      <w:r w:rsidR="00882172" w:rsidRPr="00316752">
        <w:rPr>
          <w:rFonts w:cs="Arial"/>
          <w:szCs w:val="22"/>
        </w:rPr>
        <w:t xml:space="preserve">with degree-level qualifications was higher than working age disabled people in general </w:t>
      </w:r>
      <w:r w:rsidR="00B24E49">
        <w:rPr>
          <w:rFonts w:cs="Arial"/>
          <w:szCs w:val="22"/>
        </w:rPr>
        <w:t>[37]</w:t>
      </w:r>
      <w:r w:rsidR="00882172" w:rsidRPr="00316752">
        <w:rPr>
          <w:rFonts w:cs="Arial"/>
          <w:szCs w:val="22"/>
        </w:rPr>
        <w:t>.</w:t>
      </w:r>
      <w:r w:rsidR="009246A5">
        <w:rPr>
          <w:rFonts w:cs="Arial"/>
          <w:szCs w:val="22"/>
        </w:rPr>
        <w:t xml:space="preserve"> </w:t>
      </w:r>
      <w:r w:rsidR="00D25E9A" w:rsidRPr="00316752">
        <w:rPr>
          <w:rFonts w:cs="Arial"/>
          <w:szCs w:val="22"/>
        </w:rPr>
        <w:t xml:space="preserve">Similar educational qualification patterns have been found among German Thalidomide survivors </w:t>
      </w:r>
      <w:r w:rsidR="00B24E49">
        <w:rPr>
          <w:rFonts w:cs="Arial"/>
          <w:szCs w:val="22"/>
        </w:rPr>
        <w:t>[11]</w:t>
      </w:r>
      <w:r w:rsidR="008D5F9D">
        <w:rPr>
          <w:rFonts w:cs="Arial"/>
          <w:szCs w:val="22"/>
        </w:rPr>
        <w:t xml:space="preserve">.  </w:t>
      </w:r>
      <w:r w:rsidR="00D25E9A" w:rsidRPr="00D25E9A">
        <w:rPr>
          <w:rFonts w:cs="Arial"/>
          <w:szCs w:val="22"/>
        </w:rPr>
        <w:t xml:space="preserve">Secondly, </w:t>
      </w:r>
      <w:r w:rsidR="001371BC">
        <w:rPr>
          <w:rFonts w:cs="Arial"/>
          <w:szCs w:val="22"/>
        </w:rPr>
        <w:t>at</w:t>
      </w:r>
      <w:r w:rsidR="001371BC" w:rsidRPr="00D25E9A">
        <w:rPr>
          <w:rFonts w:cs="Arial"/>
          <w:szCs w:val="22"/>
        </w:rPr>
        <w:t xml:space="preserve"> </w:t>
      </w:r>
      <w:r w:rsidR="00D25E9A" w:rsidRPr="00D25E9A">
        <w:rPr>
          <w:rFonts w:cs="Arial"/>
          <w:szCs w:val="22"/>
        </w:rPr>
        <w:t xml:space="preserve">each </w:t>
      </w:r>
      <w:r w:rsidR="001371BC">
        <w:rPr>
          <w:rFonts w:cs="Arial"/>
          <w:szCs w:val="22"/>
        </w:rPr>
        <w:t xml:space="preserve">level of educational </w:t>
      </w:r>
      <w:r w:rsidR="00D25E9A" w:rsidRPr="00D25E9A">
        <w:rPr>
          <w:rFonts w:cs="Arial"/>
          <w:szCs w:val="22"/>
        </w:rPr>
        <w:t>qualification, there was a range of severity and type of impairment (e.g. the 19 respondents with degrees working full time were spread across all five severity bands and most types of impairment</w:t>
      </w:r>
      <w:r w:rsidR="00D25E9A">
        <w:rPr>
          <w:rFonts w:cs="Arial"/>
          <w:szCs w:val="22"/>
        </w:rPr>
        <w:t>)</w:t>
      </w:r>
      <w:r w:rsidR="00D25E9A" w:rsidRPr="00D25E9A">
        <w:rPr>
          <w:rFonts w:cs="Arial"/>
          <w:szCs w:val="22"/>
        </w:rPr>
        <w:t xml:space="preserve">.  This suggests that whilst respondents’ ability to work </w:t>
      </w:r>
      <w:r w:rsidR="00EE244E">
        <w:rPr>
          <w:rFonts w:cs="Arial"/>
          <w:szCs w:val="22"/>
        </w:rPr>
        <w:t>wa</w:t>
      </w:r>
      <w:r w:rsidR="00D25E9A" w:rsidRPr="00D25E9A">
        <w:rPr>
          <w:rFonts w:cs="Arial"/>
          <w:szCs w:val="22"/>
        </w:rPr>
        <w:t>s strongly linked to the severity of their impairment, educational qualifications also ha</w:t>
      </w:r>
      <w:r w:rsidR="00EE244E">
        <w:rPr>
          <w:rFonts w:cs="Arial"/>
          <w:szCs w:val="22"/>
        </w:rPr>
        <w:t>d</w:t>
      </w:r>
      <w:r w:rsidR="00D25E9A" w:rsidRPr="00D25E9A">
        <w:rPr>
          <w:rFonts w:cs="Arial"/>
          <w:szCs w:val="22"/>
        </w:rPr>
        <w:t xml:space="preserve"> an important influence. </w:t>
      </w:r>
      <w:r w:rsidR="00BC7C68" w:rsidRPr="00316752">
        <w:rPr>
          <w:rFonts w:cs="Arial"/>
          <w:szCs w:val="22"/>
        </w:rPr>
        <w:t>Thirdly, the survey showed that Thalidomide survivors’ work situation ha</w:t>
      </w:r>
      <w:r w:rsidR="00EE244E">
        <w:rPr>
          <w:rFonts w:cs="Arial"/>
          <w:szCs w:val="22"/>
        </w:rPr>
        <w:t>d</w:t>
      </w:r>
      <w:r w:rsidR="00BC7C68" w:rsidRPr="00316752">
        <w:rPr>
          <w:rFonts w:cs="Arial"/>
          <w:szCs w:val="22"/>
        </w:rPr>
        <w:t xml:space="preserve"> changed significantly </w:t>
      </w:r>
      <w:r w:rsidR="00834B50" w:rsidRPr="00316752">
        <w:rPr>
          <w:rFonts w:cs="Arial"/>
          <w:szCs w:val="22"/>
        </w:rPr>
        <w:t xml:space="preserve">over the last 10 </w:t>
      </w:r>
      <w:r w:rsidR="00692D59">
        <w:rPr>
          <w:rFonts w:cs="Arial"/>
          <w:szCs w:val="22"/>
        </w:rPr>
        <w:t>to</w:t>
      </w:r>
      <w:r w:rsidR="00BC7C68" w:rsidRPr="00316752">
        <w:rPr>
          <w:rFonts w:cs="Arial"/>
          <w:szCs w:val="22"/>
        </w:rPr>
        <w:t xml:space="preserve"> </w:t>
      </w:r>
      <w:r w:rsidR="00834B50" w:rsidRPr="00316752">
        <w:rPr>
          <w:rFonts w:cs="Arial"/>
          <w:szCs w:val="22"/>
        </w:rPr>
        <w:t>15 years</w:t>
      </w:r>
      <w:r w:rsidR="00C42AAF">
        <w:rPr>
          <w:rFonts w:cs="Arial"/>
          <w:szCs w:val="22"/>
        </w:rPr>
        <w:t xml:space="preserve">. </w:t>
      </w:r>
      <w:r w:rsidR="00C42AAF" w:rsidRPr="00316752">
        <w:rPr>
          <w:rFonts w:cs="Arial"/>
          <w:szCs w:val="22"/>
        </w:rPr>
        <w:t>Overall</w:t>
      </w:r>
      <w:r w:rsidR="00C42AAF">
        <w:rPr>
          <w:rFonts w:cs="Arial"/>
          <w:szCs w:val="22"/>
        </w:rPr>
        <w:t>,</w:t>
      </w:r>
      <w:r w:rsidR="00C42AAF" w:rsidRPr="00316752">
        <w:rPr>
          <w:rFonts w:cs="Arial"/>
          <w:szCs w:val="22"/>
        </w:rPr>
        <w:t xml:space="preserve"> 207 </w:t>
      </w:r>
      <w:r w:rsidR="00C42AAF">
        <w:rPr>
          <w:rFonts w:cs="Arial"/>
          <w:szCs w:val="22"/>
        </w:rPr>
        <w:t>respondents (59</w:t>
      </w:r>
      <w:r w:rsidR="00C42AAF" w:rsidRPr="00316752">
        <w:rPr>
          <w:rFonts w:cs="Arial"/>
          <w:szCs w:val="22"/>
        </w:rPr>
        <w:t>%) reported changes in their work situation since 2000</w:t>
      </w:r>
      <w:r w:rsidR="00C42AAF">
        <w:rPr>
          <w:rFonts w:cs="Arial"/>
          <w:szCs w:val="22"/>
        </w:rPr>
        <w:t xml:space="preserve">, </w:t>
      </w:r>
      <w:r w:rsidR="00C42AAF" w:rsidRPr="00316752">
        <w:rPr>
          <w:rFonts w:cs="Arial"/>
          <w:szCs w:val="22"/>
        </w:rPr>
        <w:t>with most changes taking place in the last five years</w:t>
      </w:r>
      <w:r w:rsidR="008D5F9D">
        <w:rPr>
          <w:rFonts w:cs="Arial"/>
          <w:szCs w:val="22"/>
        </w:rPr>
        <w:t xml:space="preserve"> (Fig</w:t>
      </w:r>
      <w:r w:rsidR="00C42AAF">
        <w:rPr>
          <w:rFonts w:cs="Arial"/>
          <w:szCs w:val="22"/>
        </w:rPr>
        <w:t xml:space="preserve"> 3). This</w:t>
      </w:r>
      <w:r w:rsidR="00692D59">
        <w:rPr>
          <w:rFonts w:cs="Arial"/>
          <w:szCs w:val="22"/>
        </w:rPr>
        <w:t xml:space="preserve"> trend </w:t>
      </w:r>
      <w:r w:rsidR="00C42AAF">
        <w:rPr>
          <w:rFonts w:cs="Arial"/>
          <w:szCs w:val="22"/>
        </w:rPr>
        <w:t xml:space="preserve">has </w:t>
      </w:r>
      <w:r w:rsidR="00692D59">
        <w:rPr>
          <w:rFonts w:cs="Arial"/>
          <w:szCs w:val="22"/>
        </w:rPr>
        <w:t xml:space="preserve">also </w:t>
      </w:r>
      <w:r w:rsidR="00C42AAF">
        <w:rPr>
          <w:rFonts w:cs="Arial"/>
          <w:szCs w:val="22"/>
        </w:rPr>
        <w:t xml:space="preserve">been </w:t>
      </w:r>
      <w:r w:rsidR="00692D59">
        <w:rPr>
          <w:rFonts w:cs="Arial"/>
          <w:szCs w:val="22"/>
        </w:rPr>
        <w:t>seen</w:t>
      </w:r>
      <w:r w:rsidR="00D25E9A">
        <w:rPr>
          <w:rFonts w:cs="Arial"/>
          <w:szCs w:val="22"/>
        </w:rPr>
        <w:t xml:space="preserve"> amongst Thalidomide </w:t>
      </w:r>
      <w:r w:rsidR="00EE244E">
        <w:rPr>
          <w:rFonts w:cs="Arial"/>
          <w:szCs w:val="22"/>
        </w:rPr>
        <w:t>s</w:t>
      </w:r>
      <w:r w:rsidR="00D25E9A">
        <w:rPr>
          <w:rFonts w:cs="Arial"/>
          <w:szCs w:val="22"/>
        </w:rPr>
        <w:t>urvivors in</w:t>
      </w:r>
      <w:r w:rsidR="00692D59">
        <w:rPr>
          <w:rFonts w:cs="Arial"/>
          <w:szCs w:val="22"/>
        </w:rPr>
        <w:t xml:space="preserve"> Canada and Germany</w:t>
      </w:r>
      <w:r w:rsidR="00834B50" w:rsidRPr="00316752">
        <w:rPr>
          <w:rFonts w:cs="Arial"/>
          <w:szCs w:val="22"/>
        </w:rPr>
        <w:t xml:space="preserve"> </w:t>
      </w:r>
      <w:r w:rsidR="00751ACB">
        <w:rPr>
          <w:rFonts w:cs="Arial"/>
          <w:szCs w:val="22"/>
        </w:rPr>
        <w:t>[9, 38</w:t>
      </w:r>
      <w:r w:rsidR="00B24E49">
        <w:rPr>
          <w:rFonts w:cs="Arial"/>
          <w:szCs w:val="22"/>
        </w:rPr>
        <w:t>].</w:t>
      </w:r>
    </w:p>
    <w:p w14:paraId="5FE34BD9" w14:textId="77777777" w:rsidR="00C42AAF" w:rsidRPr="00316752" w:rsidRDefault="00C42AAF" w:rsidP="00305DAE">
      <w:pPr>
        <w:pStyle w:val="BodyText"/>
        <w:spacing w:after="0" w:line="480" w:lineRule="auto"/>
        <w:jc w:val="both"/>
        <w:rPr>
          <w:rFonts w:cs="Arial"/>
          <w:szCs w:val="22"/>
        </w:rPr>
      </w:pPr>
    </w:p>
    <w:p w14:paraId="4834004F" w14:textId="39EC031B" w:rsidR="00C37B27" w:rsidRPr="00316752" w:rsidRDefault="002F1AC7" w:rsidP="00305DAE">
      <w:pPr>
        <w:pStyle w:val="BodyTextIndentedquotations"/>
        <w:spacing w:after="0" w:line="480" w:lineRule="auto"/>
        <w:jc w:val="both"/>
        <w:rPr>
          <w:rFonts w:cs="Arial"/>
          <w:szCs w:val="22"/>
        </w:rPr>
      </w:pPr>
      <w:r w:rsidRPr="00316752">
        <w:rPr>
          <w:rFonts w:cs="Arial"/>
          <w:szCs w:val="22"/>
        </w:rPr>
        <w:t xml:space="preserve">“Increasingly from 2002 onwards, at which time I was a Director of a limited company working in excess of 50 hours per week. I now struggle to manage 18 hours per week. I have now reached the point where stopping work altogether is imminent.” </w:t>
      </w:r>
      <w:r w:rsidRPr="00316752">
        <w:rPr>
          <w:rFonts w:cs="Arial"/>
          <w:i w:val="0"/>
          <w:szCs w:val="22"/>
        </w:rPr>
        <w:t>(Survey ID2)</w:t>
      </w:r>
      <w:r w:rsidR="00E80D95" w:rsidRPr="00316752">
        <w:rPr>
          <w:rFonts w:cs="Arial"/>
          <w:i w:val="0"/>
          <w:szCs w:val="22"/>
        </w:rPr>
        <w:t xml:space="preserve"> </w:t>
      </w:r>
    </w:p>
    <w:p w14:paraId="3FC42F11" w14:textId="77777777" w:rsidR="000767B9" w:rsidRDefault="000767B9" w:rsidP="00305DAE">
      <w:pPr>
        <w:pStyle w:val="ChartPictureHeading"/>
        <w:spacing w:before="0" w:after="0" w:line="480" w:lineRule="auto"/>
        <w:jc w:val="both"/>
        <w:rPr>
          <w:rFonts w:cs="Arial"/>
          <w:szCs w:val="22"/>
        </w:rPr>
      </w:pPr>
    </w:p>
    <w:p w14:paraId="0DFCAA8C" w14:textId="4540DA15" w:rsidR="002F1AC7" w:rsidRPr="00316752" w:rsidRDefault="002F1AC7" w:rsidP="00305DAE">
      <w:pPr>
        <w:pStyle w:val="ChartPictureHeading"/>
        <w:spacing w:before="0" w:after="0" w:line="480" w:lineRule="auto"/>
        <w:jc w:val="both"/>
        <w:rPr>
          <w:rFonts w:cs="Arial"/>
          <w:szCs w:val="22"/>
        </w:rPr>
      </w:pPr>
      <w:r w:rsidRPr="00681AE8">
        <w:rPr>
          <w:rFonts w:cs="Arial"/>
          <w:szCs w:val="22"/>
        </w:rPr>
        <w:t>F</w:t>
      </w:r>
      <w:r w:rsidR="008D5F9D">
        <w:rPr>
          <w:rFonts w:cs="Arial"/>
          <w:szCs w:val="22"/>
        </w:rPr>
        <w:t>ig</w:t>
      </w:r>
      <w:r w:rsidRPr="00316752">
        <w:rPr>
          <w:rFonts w:cs="Arial"/>
          <w:szCs w:val="22"/>
        </w:rPr>
        <w:t xml:space="preserve"> 3 Changes in Work Situation since 2000</w:t>
      </w:r>
    </w:p>
    <w:p w14:paraId="31277A27" w14:textId="36D0AF0B" w:rsidR="002F1AC7" w:rsidRPr="00316752" w:rsidRDefault="002F1AC7" w:rsidP="00316752">
      <w:pPr>
        <w:pStyle w:val="BodyText"/>
        <w:spacing w:after="0" w:line="360" w:lineRule="auto"/>
        <w:jc w:val="both"/>
        <w:rPr>
          <w:rFonts w:cs="Arial"/>
          <w:szCs w:val="22"/>
        </w:rPr>
      </w:pPr>
    </w:p>
    <w:p w14:paraId="5285F3F9" w14:textId="37F02B65" w:rsidR="002F1AC7" w:rsidRPr="00316752" w:rsidRDefault="008D5F9D" w:rsidP="00316752">
      <w:pPr>
        <w:pStyle w:val="BodyText"/>
        <w:spacing w:after="0" w:line="360" w:lineRule="auto"/>
        <w:jc w:val="both"/>
        <w:rPr>
          <w:rFonts w:cs="Arial"/>
          <w:szCs w:val="22"/>
        </w:rPr>
      </w:pPr>
      <w:r>
        <w:rPr>
          <w:rFonts w:cs="Arial"/>
          <w:szCs w:val="22"/>
        </w:rPr>
        <w:t>Insert Fig</w:t>
      </w:r>
      <w:r w:rsidR="006B2263">
        <w:rPr>
          <w:rFonts w:cs="Arial"/>
          <w:szCs w:val="22"/>
        </w:rPr>
        <w:t xml:space="preserve"> 3</w:t>
      </w:r>
    </w:p>
    <w:p w14:paraId="2F02854F" w14:textId="77777777" w:rsidR="005F3048" w:rsidRDefault="005F3048" w:rsidP="00316752">
      <w:pPr>
        <w:pStyle w:val="BodyText"/>
        <w:spacing w:after="0" w:line="360" w:lineRule="auto"/>
        <w:jc w:val="both"/>
        <w:rPr>
          <w:rFonts w:cs="Arial"/>
          <w:i/>
          <w:szCs w:val="22"/>
        </w:rPr>
      </w:pPr>
    </w:p>
    <w:p w14:paraId="0EC0E97D" w14:textId="77777777" w:rsidR="00BC7C68" w:rsidRPr="00316752" w:rsidRDefault="002F1AC7" w:rsidP="00305DAE">
      <w:pPr>
        <w:pStyle w:val="BodyText"/>
        <w:spacing w:after="0" w:line="480" w:lineRule="auto"/>
        <w:jc w:val="both"/>
        <w:rPr>
          <w:rFonts w:cs="Arial"/>
          <w:i/>
          <w:szCs w:val="22"/>
        </w:rPr>
      </w:pPr>
      <w:r w:rsidRPr="00316752">
        <w:rPr>
          <w:rFonts w:cs="Arial"/>
          <w:i/>
          <w:szCs w:val="22"/>
        </w:rPr>
        <w:t xml:space="preserve">Note: 15 </w:t>
      </w:r>
      <w:r w:rsidR="00BC7C68" w:rsidRPr="00316752">
        <w:rPr>
          <w:rFonts w:cs="Arial"/>
          <w:i/>
          <w:szCs w:val="22"/>
        </w:rPr>
        <w:t>respondents reported more than one change, so appear in more than one category; all had reduced working hours and all</w:t>
      </w:r>
      <w:r w:rsidRPr="00316752">
        <w:rPr>
          <w:rFonts w:cs="Arial"/>
          <w:i/>
          <w:szCs w:val="22"/>
        </w:rPr>
        <w:t xml:space="preserve"> but one </w:t>
      </w:r>
      <w:r w:rsidR="00BC7C68" w:rsidRPr="00316752">
        <w:rPr>
          <w:rFonts w:cs="Arial"/>
          <w:i/>
          <w:szCs w:val="22"/>
        </w:rPr>
        <w:t>had changed the type of work they did.</w:t>
      </w:r>
    </w:p>
    <w:p w14:paraId="19CA2652" w14:textId="77777777" w:rsidR="002F1AC7" w:rsidRPr="00316752" w:rsidRDefault="002F1AC7" w:rsidP="00305DAE">
      <w:pPr>
        <w:pStyle w:val="BodyText"/>
        <w:spacing w:after="0" w:line="480" w:lineRule="auto"/>
        <w:jc w:val="both"/>
        <w:rPr>
          <w:rFonts w:cs="Arial"/>
          <w:szCs w:val="22"/>
        </w:rPr>
      </w:pPr>
    </w:p>
    <w:p w14:paraId="7B2CDD52" w14:textId="559F2281" w:rsidR="002F1AC7" w:rsidRDefault="002F1AC7" w:rsidP="00305DAE">
      <w:pPr>
        <w:pStyle w:val="BodyText"/>
        <w:spacing w:after="0" w:line="480" w:lineRule="auto"/>
        <w:jc w:val="both"/>
        <w:rPr>
          <w:rFonts w:cs="Arial"/>
          <w:szCs w:val="22"/>
        </w:rPr>
      </w:pPr>
      <w:r w:rsidRPr="00316752">
        <w:rPr>
          <w:rFonts w:cs="Arial"/>
          <w:szCs w:val="22"/>
        </w:rPr>
        <w:t>Less severely</w:t>
      </w:r>
      <w:r w:rsidR="00D25E9A">
        <w:rPr>
          <w:rFonts w:cs="Arial"/>
          <w:szCs w:val="22"/>
        </w:rPr>
        <w:t xml:space="preserve"> impaired respondents (</w:t>
      </w:r>
      <w:r w:rsidR="001371BC">
        <w:rPr>
          <w:rFonts w:cs="Arial"/>
          <w:szCs w:val="22"/>
        </w:rPr>
        <w:t>B</w:t>
      </w:r>
      <w:r w:rsidR="00D25E9A">
        <w:rPr>
          <w:rFonts w:cs="Arial"/>
          <w:szCs w:val="22"/>
        </w:rPr>
        <w:t>ands 1 to</w:t>
      </w:r>
      <w:r w:rsidRPr="00316752">
        <w:rPr>
          <w:rFonts w:cs="Arial"/>
          <w:szCs w:val="22"/>
        </w:rPr>
        <w:t xml:space="preserve"> 3) were </w:t>
      </w:r>
      <w:r w:rsidR="00834B50" w:rsidRPr="00316752">
        <w:rPr>
          <w:rFonts w:cs="Arial"/>
          <w:szCs w:val="22"/>
        </w:rPr>
        <w:t xml:space="preserve">more likely to have reduced their working hours or </w:t>
      </w:r>
      <w:r w:rsidRPr="00316752">
        <w:rPr>
          <w:rFonts w:cs="Arial"/>
          <w:szCs w:val="22"/>
        </w:rPr>
        <w:t>changed the type of work they did</w:t>
      </w:r>
      <w:r w:rsidR="00834B50" w:rsidRPr="00316752">
        <w:rPr>
          <w:rFonts w:cs="Arial"/>
          <w:szCs w:val="22"/>
        </w:rPr>
        <w:t xml:space="preserve">. </w:t>
      </w:r>
      <w:r w:rsidRPr="00316752">
        <w:rPr>
          <w:rFonts w:cs="Arial"/>
          <w:szCs w:val="22"/>
        </w:rPr>
        <w:t xml:space="preserve"> Although greater proportions of more severely impaired beneficiaries (</w:t>
      </w:r>
      <w:r w:rsidR="001371BC">
        <w:rPr>
          <w:rFonts w:cs="Arial"/>
          <w:szCs w:val="22"/>
        </w:rPr>
        <w:t>B</w:t>
      </w:r>
      <w:r w:rsidRPr="00316752">
        <w:rPr>
          <w:rFonts w:cs="Arial"/>
          <w:szCs w:val="22"/>
        </w:rPr>
        <w:t xml:space="preserve">ands </w:t>
      </w:r>
      <w:r w:rsidR="00834B50" w:rsidRPr="00316752">
        <w:rPr>
          <w:rFonts w:cs="Arial"/>
          <w:szCs w:val="22"/>
        </w:rPr>
        <w:t>4 and 5</w:t>
      </w:r>
      <w:r w:rsidRPr="00316752">
        <w:rPr>
          <w:rFonts w:cs="Arial"/>
          <w:szCs w:val="22"/>
        </w:rPr>
        <w:t>)</w:t>
      </w:r>
      <w:r w:rsidR="00834B50" w:rsidRPr="00316752">
        <w:rPr>
          <w:rFonts w:cs="Arial"/>
          <w:szCs w:val="22"/>
        </w:rPr>
        <w:t xml:space="preserve"> had stopped working</w:t>
      </w:r>
      <w:r w:rsidRPr="00316752">
        <w:rPr>
          <w:rFonts w:cs="Arial"/>
          <w:szCs w:val="22"/>
        </w:rPr>
        <w:t xml:space="preserve"> since 2000</w:t>
      </w:r>
      <w:r w:rsidR="00834B50" w:rsidRPr="00316752">
        <w:rPr>
          <w:rFonts w:cs="Arial"/>
          <w:szCs w:val="22"/>
        </w:rPr>
        <w:t xml:space="preserve">, this change </w:t>
      </w:r>
      <w:r w:rsidR="001371BC">
        <w:rPr>
          <w:rFonts w:cs="Arial"/>
          <w:szCs w:val="22"/>
        </w:rPr>
        <w:t xml:space="preserve">had </w:t>
      </w:r>
      <w:r w:rsidRPr="00316752">
        <w:rPr>
          <w:rFonts w:cs="Arial"/>
          <w:szCs w:val="22"/>
        </w:rPr>
        <w:t>also occurred</w:t>
      </w:r>
      <w:r w:rsidR="00834B50" w:rsidRPr="00316752">
        <w:rPr>
          <w:rFonts w:cs="Arial"/>
          <w:szCs w:val="22"/>
        </w:rPr>
        <w:t xml:space="preserve"> across all </w:t>
      </w:r>
      <w:r w:rsidR="00692D59">
        <w:rPr>
          <w:rFonts w:cs="Arial"/>
          <w:szCs w:val="22"/>
        </w:rPr>
        <w:t>impairment</w:t>
      </w:r>
      <w:r w:rsidRPr="00316752">
        <w:rPr>
          <w:rFonts w:cs="Arial"/>
          <w:szCs w:val="22"/>
        </w:rPr>
        <w:t xml:space="preserve"> band</w:t>
      </w:r>
      <w:r w:rsidR="000C49AD">
        <w:rPr>
          <w:rFonts w:cs="Arial"/>
          <w:szCs w:val="22"/>
        </w:rPr>
        <w:t xml:space="preserve">s. For example, </w:t>
      </w:r>
      <w:r w:rsidR="00834B50" w:rsidRPr="00316752">
        <w:rPr>
          <w:rFonts w:cs="Arial"/>
          <w:szCs w:val="22"/>
        </w:rPr>
        <w:t xml:space="preserve">over three quarters of respondents in bands 1 to 4 were working prior to 2000. By 2015, less than half of all respondents were working and, moving from band 1 to band 5, there </w:t>
      </w:r>
      <w:r w:rsidRPr="00316752">
        <w:rPr>
          <w:rFonts w:cs="Arial"/>
          <w:szCs w:val="22"/>
        </w:rPr>
        <w:t>wa</w:t>
      </w:r>
      <w:r w:rsidR="00834B50" w:rsidRPr="00316752">
        <w:rPr>
          <w:rFonts w:cs="Arial"/>
          <w:szCs w:val="22"/>
        </w:rPr>
        <w:t>s a gradual fall in the proportion</w:t>
      </w:r>
      <w:r w:rsidR="00EE244E">
        <w:rPr>
          <w:rFonts w:cs="Arial"/>
          <w:szCs w:val="22"/>
        </w:rPr>
        <w:t>s still</w:t>
      </w:r>
      <w:r w:rsidR="00834B50" w:rsidRPr="00316752">
        <w:rPr>
          <w:rFonts w:cs="Arial"/>
          <w:szCs w:val="22"/>
        </w:rPr>
        <w:t xml:space="preserve"> working.</w:t>
      </w:r>
    </w:p>
    <w:p w14:paraId="03338236" w14:textId="77777777" w:rsidR="00316752" w:rsidRPr="00316752" w:rsidRDefault="00316752" w:rsidP="00305DAE">
      <w:pPr>
        <w:pStyle w:val="BodyText"/>
        <w:spacing w:after="0" w:line="480" w:lineRule="auto"/>
        <w:jc w:val="both"/>
        <w:rPr>
          <w:rFonts w:cs="Arial"/>
          <w:szCs w:val="22"/>
        </w:rPr>
      </w:pPr>
    </w:p>
    <w:p w14:paraId="6A1708FD" w14:textId="77777777" w:rsidR="00E80D95" w:rsidRDefault="00E80D95" w:rsidP="00305DAE">
      <w:pPr>
        <w:pStyle w:val="BodyTextIndentedquotations"/>
        <w:spacing w:after="0" w:line="480" w:lineRule="auto"/>
        <w:jc w:val="both"/>
        <w:rPr>
          <w:rFonts w:cs="Arial"/>
          <w:i w:val="0"/>
          <w:szCs w:val="22"/>
        </w:rPr>
      </w:pPr>
      <w:r w:rsidRPr="00316752">
        <w:rPr>
          <w:rFonts w:cs="Arial"/>
          <w:szCs w:val="22"/>
        </w:rPr>
        <w:t xml:space="preserve">“2011 I was forced to make a difficult decision to stop working due to continued failing health.” </w:t>
      </w:r>
      <w:r w:rsidR="003F5FAF">
        <w:rPr>
          <w:rFonts w:cs="Arial"/>
          <w:i w:val="0"/>
          <w:szCs w:val="22"/>
        </w:rPr>
        <w:t>(Survey ID183)</w:t>
      </w:r>
    </w:p>
    <w:p w14:paraId="10C0B4AC" w14:textId="77777777" w:rsidR="009246A5" w:rsidRPr="00316752" w:rsidRDefault="009246A5" w:rsidP="00305DAE">
      <w:pPr>
        <w:pStyle w:val="BodyTextIndentedquotations"/>
        <w:spacing w:after="0" w:line="480" w:lineRule="auto"/>
        <w:jc w:val="both"/>
        <w:rPr>
          <w:rFonts w:cs="Arial"/>
          <w:szCs w:val="22"/>
        </w:rPr>
      </w:pPr>
    </w:p>
    <w:p w14:paraId="0130ED34" w14:textId="1933BF17" w:rsidR="000C49AD" w:rsidRPr="000C49AD" w:rsidRDefault="00E80D95" w:rsidP="000C49AD">
      <w:pPr>
        <w:pStyle w:val="BodyTextIndentedquotations"/>
        <w:spacing w:after="0" w:line="480" w:lineRule="auto"/>
        <w:jc w:val="both"/>
        <w:rPr>
          <w:rFonts w:cs="Arial"/>
          <w:i w:val="0"/>
          <w:szCs w:val="22"/>
        </w:rPr>
      </w:pPr>
      <w:r w:rsidRPr="00316752">
        <w:rPr>
          <w:rFonts w:cs="Arial"/>
          <w:szCs w:val="22"/>
        </w:rPr>
        <w:t xml:space="preserve">“In 2009 I had to reduce my hours in line with medical advice.  In 2010 I had further problems… and in 2011 I was medically retired (not at my request) as my employer had no role for me.” </w:t>
      </w:r>
      <w:r w:rsidR="003F5FAF">
        <w:rPr>
          <w:rFonts w:cs="Arial"/>
          <w:i w:val="0"/>
          <w:szCs w:val="22"/>
        </w:rPr>
        <w:t>(Survey ID276)</w:t>
      </w:r>
    </w:p>
    <w:p w14:paraId="7DF09C09" w14:textId="77777777" w:rsidR="001603AB" w:rsidRDefault="001603AB" w:rsidP="00305DAE">
      <w:pPr>
        <w:spacing w:after="0" w:line="480" w:lineRule="auto"/>
        <w:jc w:val="both"/>
        <w:rPr>
          <w:rFonts w:ascii="Arial" w:hAnsi="Arial" w:cs="Arial"/>
          <w:b/>
          <w:sz w:val="32"/>
          <w:szCs w:val="32"/>
        </w:rPr>
      </w:pPr>
    </w:p>
    <w:p w14:paraId="3173FFF9" w14:textId="77777777" w:rsidR="00202D34" w:rsidRPr="00DB1D90" w:rsidRDefault="00E80D95" w:rsidP="00305DAE">
      <w:pPr>
        <w:spacing w:after="0" w:line="480" w:lineRule="auto"/>
        <w:jc w:val="both"/>
        <w:rPr>
          <w:rFonts w:ascii="Arial" w:hAnsi="Arial" w:cs="Arial"/>
          <w:b/>
          <w:sz w:val="32"/>
          <w:szCs w:val="32"/>
        </w:rPr>
      </w:pPr>
      <w:r w:rsidRPr="00DB1D90">
        <w:rPr>
          <w:rFonts w:ascii="Arial" w:hAnsi="Arial" w:cs="Arial"/>
          <w:b/>
          <w:sz w:val="32"/>
          <w:szCs w:val="32"/>
        </w:rPr>
        <w:t xml:space="preserve">Thalidomide survivors’ health-related quality of life </w:t>
      </w:r>
    </w:p>
    <w:p w14:paraId="2D75863E" w14:textId="0AE44199" w:rsidR="00202D34" w:rsidRPr="003E56E4" w:rsidRDefault="002B0BB1" w:rsidP="00305DAE">
      <w:pPr>
        <w:spacing w:after="0" w:line="480" w:lineRule="auto"/>
        <w:jc w:val="both"/>
        <w:rPr>
          <w:rFonts w:ascii="Arial" w:hAnsi="Arial" w:cs="Arial"/>
          <w:b/>
        </w:rPr>
      </w:pPr>
      <w:r>
        <w:rPr>
          <w:rFonts w:ascii="Arial" w:hAnsi="Arial" w:cs="Arial"/>
        </w:rPr>
        <w:t xml:space="preserve">The SF12 Health Survey </w:t>
      </w:r>
      <w:r w:rsidR="00692D59" w:rsidRPr="00720D63">
        <w:rPr>
          <w:rFonts w:ascii="Arial" w:hAnsi="Arial" w:cs="Arial"/>
        </w:rPr>
        <w:t>was used to measure health related quality of life</w:t>
      </w:r>
      <w:r w:rsidR="004463E4">
        <w:rPr>
          <w:rFonts w:ascii="Arial" w:hAnsi="Arial" w:cs="Arial"/>
        </w:rPr>
        <w:t xml:space="preserve">. </w:t>
      </w:r>
      <w:r w:rsidR="00202D34" w:rsidRPr="00720D63">
        <w:rPr>
          <w:rFonts w:ascii="Arial" w:hAnsi="Arial" w:cs="Arial"/>
        </w:rPr>
        <w:t>SF12 consists of eight scaled sections (General Health; Pain; Physical Functioning; Role Limitation Physical; Mental Health; Role Limitation Emotional; Social Functioning; Vitality)</w:t>
      </w:r>
      <w:r w:rsidR="00EB4760">
        <w:rPr>
          <w:rFonts w:ascii="Arial" w:hAnsi="Arial" w:cs="Arial"/>
        </w:rPr>
        <w:t>,</w:t>
      </w:r>
      <w:r w:rsidR="00202D34" w:rsidRPr="00720D63">
        <w:rPr>
          <w:rFonts w:ascii="Arial" w:hAnsi="Arial" w:cs="Arial"/>
        </w:rPr>
        <w:t xml:space="preserve"> which can be ‘aggregated’ into two domains</w:t>
      </w:r>
      <w:r w:rsidR="00EB4760">
        <w:rPr>
          <w:rFonts w:ascii="Arial" w:hAnsi="Arial" w:cs="Arial"/>
        </w:rPr>
        <w:t>:</w:t>
      </w:r>
      <w:r w:rsidR="00202D34" w:rsidRPr="00720D63">
        <w:rPr>
          <w:rFonts w:ascii="Arial" w:hAnsi="Arial" w:cs="Arial"/>
        </w:rPr>
        <w:t xml:space="preserve"> physical health related quality of life and mental health related quality of life. Of the 351 survey respondents, 335 returned SF12 questionnaires that were useable for analysis</w:t>
      </w:r>
      <w:r w:rsidR="005734FC">
        <w:rPr>
          <w:rFonts w:ascii="Arial" w:hAnsi="Arial" w:cs="Arial"/>
        </w:rPr>
        <w:t xml:space="preserve"> (i.e. no missing data)</w:t>
      </w:r>
      <w:r w:rsidR="00202D34" w:rsidRPr="00720D63">
        <w:rPr>
          <w:rFonts w:ascii="Arial" w:hAnsi="Arial" w:cs="Arial"/>
        </w:rPr>
        <w:t xml:space="preserve"> and for 285 of these we were able to link SF12 scor</w:t>
      </w:r>
      <w:r w:rsidR="00692D59" w:rsidRPr="00720D63">
        <w:rPr>
          <w:rFonts w:ascii="Arial" w:hAnsi="Arial" w:cs="Arial"/>
        </w:rPr>
        <w:t xml:space="preserve">es to level of impairment (as indicated by the number of </w:t>
      </w:r>
      <w:r w:rsidR="007F7BEE" w:rsidRPr="00720D63">
        <w:rPr>
          <w:rFonts w:ascii="Arial" w:hAnsi="Arial" w:cs="Arial"/>
        </w:rPr>
        <w:t xml:space="preserve">impairment </w:t>
      </w:r>
      <w:r w:rsidR="00692D59" w:rsidRPr="00720D63">
        <w:rPr>
          <w:rFonts w:ascii="Arial" w:hAnsi="Arial" w:cs="Arial"/>
        </w:rPr>
        <w:t xml:space="preserve">points </w:t>
      </w:r>
      <w:r w:rsidR="007F7BEE" w:rsidRPr="00720D63">
        <w:rPr>
          <w:rFonts w:ascii="Arial" w:hAnsi="Arial" w:cs="Arial"/>
        </w:rPr>
        <w:t>the individual had).</w:t>
      </w:r>
      <w:r w:rsidR="003E56E4">
        <w:rPr>
          <w:rFonts w:ascii="Arial" w:hAnsi="Arial" w:cs="Arial"/>
          <w:b/>
        </w:rPr>
        <w:t xml:space="preserve"> </w:t>
      </w:r>
      <w:r w:rsidR="008D5F9D">
        <w:rPr>
          <w:rFonts w:ascii="Arial" w:hAnsi="Arial" w:cs="Arial"/>
        </w:rPr>
        <w:t>Fig</w:t>
      </w:r>
      <w:r w:rsidR="007F7BEE" w:rsidRPr="00720D63">
        <w:rPr>
          <w:rFonts w:ascii="Arial" w:hAnsi="Arial" w:cs="Arial"/>
        </w:rPr>
        <w:t xml:space="preserve"> </w:t>
      </w:r>
      <w:r w:rsidR="00D055E1">
        <w:rPr>
          <w:rFonts w:ascii="Arial" w:hAnsi="Arial" w:cs="Arial"/>
        </w:rPr>
        <w:t>4</w:t>
      </w:r>
      <w:r w:rsidR="00D055E1" w:rsidRPr="00720D63">
        <w:rPr>
          <w:rFonts w:ascii="Arial" w:hAnsi="Arial" w:cs="Arial"/>
        </w:rPr>
        <w:t xml:space="preserve"> </w:t>
      </w:r>
      <w:r w:rsidR="00202D34" w:rsidRPr="00720D63">
        <w:rPr>
          <w:rFonts w:ascii="Arial" w:hAnsi="Arial" w:cs="Arial"/>
        </w:rPr>
        <w:t xml:space="preserve">shows the </w:t>
      </w:r>
      <w:r w:rsidR="007F7BEE" w:rsidRPr="00720D63">
        <w:rPr>
          <w:rFonts w:ascii="Arial" w:hAnsi="Arial" w:cs="Arial"/>
        </w:rPr>
        <w:t>range of scores</w:t>
      </w:r>
      <w:r w:rsidR="00202D34" w:rsidRPr="00720D63">
        <w:rPr>
          <w:rFonts w:ascii="Arial" w:hAnsi="Arial" w:cs="Arial"/>
        </w:rPr>
        <w:t xml:space="preserve"> for the survey respondents compared to the general population aged 45-54, based on responses to the Central England Healthy Life Survey </w:t>
      </w:r>
      <w:r w:rsidR="00751ACB">
        <w:rPr>
          <w:rFonts w:ascii="Arial" w:hAnsi="Arial" w:cs="Arial"/>
        </w:rPr>
        <w:t>[39]</w:t>
      </w:r>
      <w:r w:rsidR="00202D34" w:rsidRPr="00720D63">
        <w:rPr>
          <w:rFonts w:ascii="Arial" w:hAnsi="Arial" w:cs="Arial"/>
        </w:rPr>
        <w:t>.</w:t>
      </w:r>
    </w:p>
    <w:p w14:paraId="0CB930E1" w14:textId="77777777" w:rsidR="003E56E4" w:rsidRPr="00874514" w:rsidRDefault="003E56E4" w:rsidP="00305DAE">
      <w:pPr>
        <w:spacing w:after="0" w:line="480" w:lineRule="auto"/>
        <w:jc w:val="both"/>
        <w:rPr>
          <w:rFonts w:ascii="Arial" w:hAnsi="Arial" w:cs="Arial"/>
        </w:rPr>
      </w:pPr>
    </w:p>
    <w:p w14:paraId="10ABBE96" w14:textId="02BCEF58" w:rsidR="007F7BEE" w:rsidRPr="00BE17C1" w:rsidRDefault="008D5F9D" w:rsidP="00202D34">
      <w:pPr>
        <w:spacing w:after="160" w:line="259" w:lineRule="auto"/>
        <w:rPr>
          <w:rFonts w:ascii="Arial" w:eastAsia="MS Mincho" w:hAnsi="Arial" w:cs="Arial"/>
          <w:b/>
          <w:lang w:eastAsia="ja-JP"/>
        </w:rPr>
      </w:pPr>
      <w:r>
        <w:rPr>
          <w:rFonts w:ascii="Arial" w:eastAsia="MS Mincho" w:hAnsi="Arial" w:cs="Arial"/>
          <w:b/>
          <w:lang w:eastAsia="ja-JP"/>
        </w:rPr>
        <w:lastRenderedPageBreak/>
        <w:t>Fig</w:t>
      </w:r>
      <w:r w:rsidR="000C49AD">
        <w:rPr>
          <w:rFonts w:ascii="Arial" w:eastAsia="MS Mincho" w:hAnsi="Arial" w:cs="Arial"/>
          <w:b/>
          <w:lang w:eastAsia="ja-JP"/>
        </w:rPr>
        <w:t xml:space="preserve"> 4</w:t>
      </w:r>
      <w:r w:rsidR="00BE17C1" w:rsidRPr="00BE17C1">
        <w:rPr>
          <w:rFonts w:ascii="Arial" w:eastAsia="MS Mincho" w:hAnsi="Arial" w:cs="Arial"/>
          <w:b/>
          <w:lang w:eastAsia="ja-JP"/>
        </w:rPr>
        <w:t xml:space="preserve"> Normalised SF-12 physical and mental health scores for survey group</w:t>
      </w:r>
    </w:p>
    <w:p w14:paraId="27BB2D9A" w14:textId="77777777" w:rsidR="007F7BEE" w:rsidRPr="006B2263" w:rsidRDefault="007F7BEE" w:rsidP="00202D34">
      <w:pPr>
        <w:spacing w:after="160" w:line="259" w:lineRule="auto"/>
        <w:rPr>
          <w:rFonts w:ascii="Arial" w:eastAsia="MS Mincho" w:hAnsi="Arial" w:cs="Arial"/>
          <w:lang w:eastAsia="ja-JP"/>
        </w:rPr>
      </w:pPr>
    </w:p>
    <w:p w14:paraId="3DD549E3" w14:textId="3DDCD248" w:rsidR="007F7BEE" w:rsidRPr="006B2263" w:rsidRDefault="008D5F9D" w:rsidP="00202D34">
      <w:pPr>
        <w:spacing w:after="160" w:line="259" w:lineRule="auto"/>
        <w:rPr>
          <w:rFonts w:ascii="Arial" w:eastAsia="MS Mincho" w:hAnsi="Arial" w:cs="Arial"/>
          <w:lang w:eastAsia="ja-JP"/>
        </w:rPr>
      </w:pPr>
      <w:r>
        <w:rPr>
          <w:rFonts w:ascii="Arial" w:eastAsia="MS Mincho" w:hAnsi="Arial" w:cs="Arial"/>
          <w:lang w:eastAsia="ja-JP"/>
        </w:rPr>
        <w:t>Insert Fig</w:t>
      </w:r>
      <w:r w:rsidR="000C49AD">
        <w:rPr>
          <w:rFonts w:ascii="Arial" w:eastAsia="MS Mincho" w:hAnsi="Arial" w:cs="Arial"/>
          <w:lang w:eastAsia="ja-JP"/>
        </w:rPr>
        <w:t xml:space="preserve"> 4</w:t>
      </w:r>
    </w:p>
    <w:p w14:paraId="7C91BBFF" w14:textId="77777777" w:rsidR="00B24E49" w:rsidRDefault="00B24E49" w:rsidP="00305DAE">
      <w:pPr>
        <w:spacing w:after="0" w:line="480" w:lineRule="auto"/>
        <w:jc w:val="both"/>
        <w:rPr>
          <w:rFonts w:ascii="Arial" w:hAnsi="Arial" w:cs="Arial"/>
        </w:rPr>
      </w:pPr>
    </w:p>
    <w:p w14:paraId="58DAE7F0" w14:textId="05078884" w:rsidR="00457A74" w:rsidRPr="00720D63" w:rsidRDefault="00202D34" w:rsidP="00305DAE">
      <w:pPr>
        <w:spacing w:after="0" w:line="480" w:lineRule="auto"/>
        <w:jc w:val="both"/>
        <w:rPr>
          <w:rFonts w:ascii="Arial" w:hAnsi="Arial" w:cs="Arial"/>
        </w:rPr>
      </w:pPr>
      <w:r w:rsidRPr="00720D63">
        <w:rPr>
          <w:rFonts w:ascii="Arial" w:hAnsi="Arial" w:cs="Arial"/>
        </w:rPr>
        <w:t xml:space="preserve">In the physical health domain respondents had a </w:t>
      </w:r>
      <w:r w:rsidR="006E66B2">
        <w:rPr>
          <w:rFonts w:ascii="Arial" w:hAnsi="Arial" w:cs="Arial"/>
        </w:rPr>
        <w:t>markedly</w:t>
      </w:r>
      <w:r w:rsidRPr="00720D63">
        <w:rPr>
          <w:rFonts w:ascii="Arial" w:hAnsi="Arial" w:cs="Arial"/>
        </w:rPr>
        <w:t xml:space="preserve"> lower average aggregat</w:t>
      </w:r>
      <w:r w:rsidR="00457A74" w:rsidRPr="00720D63">
        <w:rPr>
          <w:rFonts w:ascii="Arial" w:hAnsi="Arial" w:cs="Arial"/>
        </w:rPr>
        <w:t xml:space="preserve">e score than </w:t>
      </w:r>
      <w:r w:rsidRPr="00720D63">
        <w:rPr>
          <w:rFonts w:ascii="Arial" w:hAnsi="Arial" w:cs="Arial"/>
        </w:rPr>
        <w:t>the general population (i.e. a mean of 26.7 compared to</w:t>
      </w:r>
      <w:r w:rsidR="00B20C27">
        <w:rPr>
          <w:rFonts w:ascii="Arial" w:hAnsi="Arial" w:cs="Arial"/>
        </w:rPr>
        <w:t xml:space="preserve"> </w:t>
      </w:r>
      <w:r w:rsidRPr="00720D63">
        <w:rPr>
          <w:rFonts w:ascii="Arial" w:hAnsi="Arial" w:cs="Arial"/>
        </w:rPr>
        <w:t>50</w:t>
      </w:r>
      <w:r w:rsidR="00F652C2">
        <w:rPr>
          <w:rFonts w:ascii="Arial" w:hAnsi="Arial" w:cs="Arial"/>
        </w:rPr>
        <w:t>)</w:t>
      </w:r>
      <w:r w:rsidRPr="00720D63">
        <w:rPr>
          <w:rFonts w:ascii="Arial" w:hAnsi="Arial" w:cs="Arial"/>
        </w:rPr>
        <w:t xml:space="preserve"> indicating that their physical health related quality of life is </w:t>
      </w:r>
      <w:r w:rsidR="002B0BB1">
        <w:rPr>
          <w:rFonts w:ascii="Arial" w:hAnsi="Arial" w:cs="Arial"/>
        </w:rPr>
        <w:t>much</w:t>
      </w:r>
      <w:r w:rsidRPr="00720D63">
        <w:rPr>
          <w:rFonts w:ascii="Arial" w:hAnsi="Arial" w:cs="Arial"/>
        </w:rPr>
        <w:t xml:space="preserve"> poorer. 59.7% (n=200) of the respondents had a score below 30 i.e. the same as or worse than the 2% of the general population group with the poorest physical health related quality of life, and only 7.5% (n=25) of the respondents had a score above the average for</w:t>
      </w:r>
      <w:r w:rsidR="00457A74" w:rsidRPr="00720D63">
        <w:rPr>
          <w:rFonts w:ascii="Arial" w:hAnsi="Arial" w:cs="Arial"/>
        </w:rPr>
        <w:t xml:space="preserve"> the general population group. </w:t>
      </w:r>
    </w:p>
    <w:p w14:paraId="6100D9C5" w14:textId="77777777" w:rsidR="00457A74" w:rsidRPr="00720D63" w:rsidRDefault="00457A74" w:rsidP="00305DAE">
      <w:pPr>
        <w:spacing w:after="0" w:line="480" w:lineRule="auto"/>
        <w:jc w:val="both"/>
        <w:rPr>
          <w:rFonts w:ascii="Arial" w:hAnsi="Arial" w:cs="Arial"/>
        </w:rPr>
      </w:pPr>
    </w:p>
    <w:p w14:paraId="78AF56DF" w14:textId="7C2FF504" w:rsidR="00202D34" w:rsidRPr="004463E4" w:rsidRDefault="00202D34" w:rsidP="00305DAE">
      <w:pPr>
        <w:spacing w:after="0" w:line="480" w:lineRule="auto"/>
        <w:jc w:val="both"/>
        <w:rPr>
          <w:rFonts w:ascii="Arial" w:hAnsi="Arial" w:cs="Arial"/>
        </w:rPr>
      </w:pPr>
      <w:r w:rsidRPr="00720D63">
        <w:rPr>
          <w:rFonts w:ascii="Arial" w:hAnsi="Arial" w:cs="Arial"/>
        </w:rPr>
        <w:t>In the mental health domain the average aggregate score f</w:t>
      </w:r>
      <w:r w:rsidR="00457A74" w:rsidRPr="00720D63">
        <w:rPr>
          <w:rFonts w:ascii="Arial" w:hAnsi="Arial" w:cs="Arial"/>
        </w:rPr>
        <w:t xml:space="preserve">or respondents was 46.5, </w:t>
      </w:r>
      <w:r w:rsidRPr="00720D63">
        <w:rPr>
          <w:rFonts w:ascii="Arial" w:hAnsi="Arial" w:cs="Arial"/>
        </w:rPr>
        <w:t>slightly lower than the general population (score 50). This suggest</w:t>
      </w:r>
      <w:r w:rsidR="00EE244E">
        <w:rPr>
          <w:rFonts w:ascii="Arial" w:hAnsi="Arial" w:cs="Arial"/>
        </w:rPr>
        <w:t>s</w:t>
      </w:r>
      <w:r w:rsidRPr="00720D63">
        <w:rPr>
          <w:rFonts w:ascii="Arial" w:hAnsi="Arial" w:cs="Arial"/>
        </w:rPr>
        <w:t xml:space="preserve"> that on average Thalidomide survivors’ mental health related quality of life is only marginally poorer than their peers in the general population</w:t>
      </w:r>
      <w:r w:rsidR="00EE244E">
        <w:rPr>
          <w:rFonts w:ascii="Arial" w:hAnsi="Arial" w:cs="Arial"/>
        </w:rPr>
        <w:t>;</w:t>
      </w:r>
      <w:r w:rsidRPr="00720D63">
        <w:rPr>
          <w:rFonts w:ascii="Arial" w:hAnsi="Arial" w:cs="Arial"/>
        </w:rPr>
        <w:t xml:space="preserve"> </w:t>
      </w:r>
      <w:r w:rsidR="00EE244E">
        <w:rPr>
          <w:rFonts w:ascii="Arial" w:hAnsi="Arial" w:cs="Arial"/>
        </w:rPr>
        <w:t xml:space="preserve">indeed </w:t>
      </w:r>
      <w:r w:rsidRPr="00720D63">
        <w:rPr>
          <w:rFonts w:ascii="Arial" w:hAnsi="Arial" w:cs="Arial"/>
        </w:rPr>
        <w:t>40.9% of respondents (n=137) had a score above the average for the general population. However, 10.7% (n=36) had a score below 30 i.e. the same as or worse than the 2% of the general population with the poorest mental health related quality of life.</w:t>
      </w:r>
      <w:r w:rsidR="007C4B86">
        <w:rPr>
          <w:rFonts w:ascii="Arial" w:hAnsi="Arial" w:cs="Arial"/>
        </w:rPr>
        <w:t xml:space="preserve"> O</w:t>
      </w:r>
      <w:r w:rsidR="00457A74" w:rsidRPr="00720D63">
        <w:rPr>
          <w:rFonts w:ascii="Arial" w:hAnsi="Arial" w:cs="Arial"/>
        </w:rPr>
        <w:t xml:space="preserve">verall men had a higher mean score for physical health (28.6 compared to 24.7) </w:t>
      </w:r>
      <w:r w:rsidR="007C4B86">
        <w:rPr>
          <w:rFonts w:ascii="Arial" w:hAnsi="Arial" w:cs="Arial"/>
        </w:rPr>
        <w:t>which was significant (</w:t>
      </w:r>
      <w:r w:rsidR="007C4B86" w:rsidRPr="007C4B86">
        <w:rPr>
          <w:rFonts w:ascii="Arial" w:hAnsi="Arial" w:cs="Arial"/>
        </w:rPr>
        <w:t>t (327) = 2.567, p = 0.01.</w:t>
      </w:r>
      <w:r w:rsidR="007C4B86">
        <w:rPr>
          <w:rFonts w:ascii="Arial" w:hAnsi="Arial" w:cs="Arial"/>
        </w:rPr>
        <w:t>). W</w:t>
      </w:r>
      <w:r w:rsidR="00457A74" w:rsidRPr="00720D63">
        <w:rPr>
          <w:rFonts w:ascii="Arial" w:hAnsi="Arial" w:cs="Arial"/>
        </w:rPr>
        <w:t>omen had a higher mental health</w:t>
      </w:r>
      <w:r w:rsidR="007C4B86">
        <w:rPr>
          <w:rFonts w:ascii="Arial" w:hAnsi="Arial" w:cs="Arial"/>
        </w:rPr>
        <w:t xml:space="preserve"> score (47.8 compared to 45.1), which was not significant (</w:t>
      </w:r>
      <w:r w:rsidR="007C4B86" w:rsidRPr="007C4B86">
        <w:rPr>
          <w:rFonts w:ascii="Arial" w:hAnsi="Arial" w:cs="Arial"/>
        </w:rPr>
        <w:t>t (327) = -1.981, p = 0.05</w:t>
      </w:r>
      <w:r w:rsidR="007C4B86">
        <w:rPr>
          <w:rFonts w:ascii="Arial" w:hAnsi="Arial" w:cs="Arial"/>
        </w:rPr>
        <w:t>).</w:t>
      </w:r>
    </w:p>
    <w:p w14:paraId="79A48FF6" w14:textId="77777777" w:rsidR="00457A74" w:rsidRPr="009246A5" w:rsidRDefault="00457A74" w:rsidP="00305DAE">
      <w:pPr>
        <w:spacing w:after="0" w:line="480" w:lineRule="auto"/>
        <w:jc w:val="both"/>
        <w:rPr>
          <w:rFonts w:ascii="Arial" w:hAnsi="Arial" w:cs="Arial"/>
        </w:rPr>
      </w:pPr>
    </w:p>
    <w:p w14:paraId="3933C063" w14:textId="4CC197FF" w:rsidR="000E4768" w:rsidRPr="009246A5" w:rsidRDefault="003D1BD1" w:rsidP="00305DAE">
      <w:pPr>
        <w:spacing w:after="0" w:line="480" w:lineRule="auto"/>
        <w:jc w:val="both"/>
        <w:rPr>
          <w:rFonts w:ascii="Arial" w:hAnsi="Arial" w:cs="Arial"/>
        </w:rPr>
      </w:pPr>
      <w:r w:rsidRPr="009246A5">
        <w:rPr>
          <w:rFonts w:ascii="Arial" w:hAnsi="Arial" w:cs="Arial"/>
        </w:rPr>
        <w:t>We also use</w:t>
      </w:r>
      <w:r w:rsidR="00EE244E">
        <w:rPr>
          <w:rFonts w:ascii="Arial" w:hAnsi="Arial" w:cs="Arial"/>
        </w:rPr>
        <w:t>d</w:t>
      </w:r>
      <w:r w:rsidRPr="009246A5">
        <w:rPr>
          <w:rFonts w:ascii="Arial" w:hAnsi="Arial" w:cs="Arial"/>
        </w:rPr>
        <w:t xml:space="preserve"> t</w:t>
      </w:r>
      <w:r w:rsidR="00202D34" w:rsidRPr="009246A5">
        <w:rPr>
          <w:rFonts w:ascii="Arial" w:hAnsi="Arial" w:cs="Arial"/>
        </w:rPr>
        <w:t xml:space="preserve">he SF12 results </w:t>
      </w:r>
      <w:r w:rsidR="00EE244E">
        <w:rPr>
          <w:rFonts w:ascii="Arial" w:hAnsi="Arial" w:cs="Arial"/>
        </w:rPr>
        <w:t xml:space="preserve">to </w:t>
      </w:r>
      <w:r w:rsidRPr="009246A5">
        <w:rPr>
          <w:rFonts w:ascii="Arial" w:hAnsi="Arial" w:cs="Arial"/>
        </w:rPr>
        <w:t>examine</w:t>
      </w:r>
      <w:r w:rsidR="00202D34" w:rsidRPr="009246A5">
        <w:rPr>
          <w:rFonts w:ascii="Arial" w:hAnsi="Arial" w:cs="Arial"/>
        </w:rPr>
        <w:t xml:space="preserve"> whether there was any relationship between </w:t>
      </w:r>
      <w:r w:rsidR="00827C08">
        <w:rPr>
          <w:rFonts w:ascii="Arial" w:hAnsi="Arial" w:cs="Arial"/>
        </w:rPr>
        <w:t>health-</w:t>
      </w:r>
      <w:r w:rsidRPr="009246A5">
        <w:rPr>
          <w:rFonts w:ascii="Arial" w:hAnsi="Arial" w:cs="Arial"/>
        </w:rPr>
        <w:t xml:space="preserve">related quality of life </w:t>
      </w:r>
      <w:r w:rsidR="00BC534E" w:rsidRPr="009246A5">
        <w:rPr>
          <w:rFonts w:ascii="Arial" w:hAnsi="Arial" w:cs="Arial"/>
        </w:rPr>
        <w:t>and level</w:t>
      </w:r>
      <w:r w:rsidRPr="009246A5">
        <w:rPr>
          <w:rFonts w:ascii="Arial" w:hAnsi="Arial" w:cs="Arial"/>
        </w:rPr>
        <w:t xml:space="preserve"> of impai</w:t>
      </w:r>
      <w:r w:rsidR="009D6A09" w:rsidRPr="009246A5">
        <w:rPr>
          <w:rFonts w:ascii="Arial" w:hAnsi="Arial" w:cs="Arial"/>
        </w:rPr>
        <w:t>rment</w:t>
      </w:r>
      <w:r w:rsidRPr="009246A5">
        <w:rPr>
          <w:rFonts w:ascii="Arial" w:hAnsi="Arial" w:cs="Arial"/>
        </w:rPr>
        <w:t xml:space="preserve">. We found that </w:t>
      </w:r>
      <w:r w:rsidR="00202D34" w:rsidRPr="009246A5">
        <w:rPr>
          <w:rFonts w:ascii="Arial" w:hAnsi="Arial" w:cs="Arial"/>
        </w:rPr>
        <w:t>ther</w:t>
      </w:r>
      <w:r w:rsidR="00BC534E" w:rsidRPr="009246A5">
        <w:rPr>
          <w:rFonts w:ascii="Arial" w:hAnsi="Arial" w:cs="Arial"/>
        </w:rPr>
        <w:t xml:space="preserve">e was a strong </w:t>
      </w:r>
      <w:r w:rsidR="009D6A09" w:rsidRPr="009246A5">
        <w:rPr>
          <w:rFonts w:ascii="Arial" w:hAnsi="Arial" w:cs="Arial"/>
        </w:rPr>
        <w:t xml:space="preserve">negative </w:t>
      </w:r>
      <w:r w:rsidR="005734FC">
        <w:rPr>
          <w:rFonts w:ascii="Arial" w:hAnsi="Arial" w:cs="Arial"/>
        </w:rPr>
        <w:t>correlation (</w:t>
      </w:r>
      <w:r w:rsidR="005734FC" w:rsidRPr="005734FC">
        <w:rPr>
          <w:rFonts w:ascii="Arial" w:hAnsi="Arial" w:cs="Arial"/>
          <w:i/>
        </w:rPr>
        <w:t>r</w:t>
      </w:r>
      <w:r w:rsidR="005734FC">
        <w:rPr>
          <w:rFonts w:ascii="Arial" w:hAnsi="Arial" w:cs="Arial"/>
        </w:rPr>
        <w:t xml:space="preserve"> = -</w:t>
      </w:r>
      <w:r w:rsidR="00BC534E" w:rsidRPr="009246A5">
        <w:rPr>
          <w:rFonts w:ascii="Arial" w:hAnsi="Arial" w:cs="Arial"/>
        </w:rPr>
        <w:t xml:space="preserve">.276; </w:t>
      </w:r>
      <w:r w:rsidR="00BC534E" w:rsidRPr="009246A5">
        <w:rPr>
          <w:rFonts w:ascii="Arial" w:hAnsi="Arial" w:cs="Arial"/>
          <w:i/>
        </w:rPr>
        <w:t>p</w:t>
      </w:r>
      <w:r w:rsidR="000E60FA">
        <w:rPr>
          <w:rFonts w:ascii="Arial" w:hAnsi="Arial" w:cs="Arial"/>
          <w:i/>
        </w:rPr>
        <w:t xml:space="preserve"> </w:t>
      </w:r>
      <w:r w:rsidR="000E60FA">
        <w:rPr>
          <w:rFonts w:ascii="Arial" w:hAnsi="Arial" w:cs="Arial"/>
        </w:rPr>
        <w:t>=</w:t>
      </w:r>
      <w:r w:rsidR="00BC534E" w:rsidRPr="009246A5">
        <w:rPr>
          <w:rFonts w:ascii="Arial" w:hAnsi="Arial" w:cs="Arial"/>
        </w:rPr>
        <w:t>.000</w:t>
      </w:r>
      <w:r w:rsidR="00202D34" w:rsidRPr="009246A5">
        <w:rPr>
          <w:rFonts w:ascii="Arial" w:hAnsi="Arial" w:cs="Arial"/>
        </w:rPr>
        <w:t>) between lower SF12 physical health s</w:t>
      </w:r>
      <w:r w:rsidR="00BC534E" w:rsidRPr="009246A5">
        <w:rPr>
          <w:rFonts w:ascii="Arial" w:hAnsi="Arial" w:cs="Arial"/>
        </w:rPr>
        <w:t>cores and severity of</w:t>
      </w:r>
      <w:r w:rsidRPr="009246A5">
        <w:rPr>
          <w:rFonts w:ascii="Arial" w:hAnsi="Arial" w:cs="Arial"/>
        </w:rPr>
        <w:t xml:space="preserve"> impairment</w:t>
      </w:r>
      <w:r w:rsidR="009D6A09" w:rsidRPr="009246A5">
        <w:rPr>
          <w:rFonts w:ascii="Arial" w:hAnsi="Arial" w:cs="Arial"/>
        </w:rPr>
        <w:t xml:space="preserve"> i.e. the </w:t>
      </w:r>
      <w:r w:rsidR="009D6A09" w:rsidRPr="002B0BB1">
        <w:rPr>
          <w:rFonts w:ascii="Arial" w:hAnsi="Arial" w:cs="Arial"/>
          <w:i/>
        </w:rPr>
        <w:t>more</w:t>
      </w:r>
      <w:r w:rsidR="009D6A09" w:rsidRPr="009246A5">
        <w:rPr>
          <w:rFonts w:ascii="Arial" w:hAnsi="Arial" w:cs="Arial"/>
        </w:rPr>
        <w:t xml:space="preserve"> severe a respondent’s Thalidomide damage, the poorer their physical health related quality of life was likely to be</w:t>
      </w:r>
      <w:r w:rsidR="00BC534E" w:rsidRPr="009246A5">
        <w:rPr>
          <w:rFonts w:ascii="Arial" w:hAnsi="Arial" w:cs="Arial"/>
        </w:rPr>
        <w:t xml:space="preserve">. </w:t>
      </w:r>
      <w:r w:rsidR="000E4768" w:rsidRPr="009246A5">
        <w:rPr>
          <w:rFonts w:ascii="Arial" w:hAnsi="Arial" w:cs="Arial"/>
        </w:rPr>
        <w:t>In contrast</w:t>
      </w:r>
      <w:r w:rsidR="009D6A09" w:rsidRPr="009246A5">
        <w:rPr>
          <w:rFonts w:ascii="Arial" w:hAnsi="Arial" w:cs="Arial"/>
        </w:rPr>
        <w:t xml:space="preserve">, when we examined the same relationship for mental health related quality of life, we found that the </w:t>
      </w:r>
      <w:r w:rsidR="009D6A09" w:rsidRPr="002B0BB1">
        <w:rPr>
          <w:rFonts w:ascii="Arial" w:hAnsi="Arial" w:cs="Arial"/>
          <w:i/>
        </w:rPr>
        <w:t>less</w:t>
      </w:r>
      <w:r w:rsidR="009D6A09" w:rsidRPr="009246A5">
        <w:rPr>
          <w:rFonts w:ascii="Arial" w:hAnsi="Arial" w:cs="Arial"/>
        </w:rPr>
        <w:t xml:space="preserve"> severe a respondent’s Thalidomide damage, the poorer their mental health related quality of life was </w:t>
      </w:r>
      <w:r w:rsidR="009D6A09" w:rsidRPr="009246A5">
        <w:rPr>
          <w:rFonts w:ascii="Arial" w:hAnsi="Arial" w:cs="Arial"/>
        </w:rPr>
        <w:lastRenderedPageBreak/>
        <w:t xml:space="preserve">likely to be i.e. there was </w:t>
      </w:r>
      <w:r w:rsidR="00BC534E" w:rsidRPr="009246A5">
        <w:rPr>
          <w:rFonts w:ascii="Arial" w:hAnsi="Arial" w:cs="Arial"/>
        </w:rPr>
        <w:t xml:space="preserve">a </w:t>
      </w:r>
      <w:r w:rsidR="000E4768" w:rsidRPr="009246A5">
        <w:rPr>
          <w:rFonts w:ascii="Arial" w:hAnsi="Arial" w:cs="Arial"/>
        </w:rPr>
        <w:t xml:space="preserve">positive (but weaker) </w:t>
      </w:r>
      <w:r w:rsidR="00BC534E" w:rsidRPr="009246A5">
        <w:rPr>
          <w:rFonts w:ascii="Arial" w:hAnsi="Arial" w:cs="Arial"/>
        </w:rPr>
        <w:t>correlation</w:t>
      </w:r>
      <w:r w:rsidR="00202D34" w:rsidRPr="009246A5">
        <w:rPr>
          <w:rFonts w:ascii="Arial" w:hAnsi="Arial" w:cs="Arial"/>
        </w:rPr>
        <w:t xml:space="preserve"> between lower SF12 mental health </w:t>
      </w:r>
      <w:r w:rsidR="00BC534E" w:rsidRPr="009246A5">
        <w:rPr>
          <w:rFonts w:ascii="Arial" w:hAnsi="Arial" w:cs="Arial"/>
        </w:rPr>
        <w:t xml:space="preserve">scores and </w:t>
      </w:r>
      <w:r w:rsidR="000E4768" w:rsidRPr="009246A5">
        <w:rPr>
          <w:rFonts w:ascii="Arial" w:hAnsi="Arial" w:cs="Arial"/>
        </w:rPr>
        <w:t xml:space="preserve">less severe </w:t>
      </w:r>
      <w:r w:rsidR="00BC534E" w:rsidRPr="009246A5">
        <w:rPr>
          <w:rFonts w:ascii="Arial" w:hAnsi="Arial" w:cs="Arial"/>
        </w:rPr>
        <w:t xml:space="preserve">impairment </w:t>
      </w:r>
      <w:r w:rsidR="000E60FA">
        <w:rPr>
          <w:rFonts w:ascii="Arial" w:hAnsi="Arial" w:cs="Arial"/>
        </w:rPr>
        <w:t>(</w:t>
      </w:r>
      <w:r w:rsidR="000E60FA" w:rsidRPr="000E60FA">
        <w:rPr>
          <w:rFonts w:ascii="Arial" w:hAnsi="Arial" w:cs="Arial"/>
          <w:i/>
        </w:rPr>
        <w:t>r</w:t>
      </w:r>
      <w:r w:rsidR="000E60FA">
        <w:rPr>
          <w:rFonts w:ascii="Arial" w:hAnsi="Arial" w:cs="Arial"/>
          <w:i/>
        </w:rPr>
        <w:t xml:space="preserve"> </w:t>
      </w:r>
      <w:r w:rsidR="000E60FA">
        <w:rPr>
          <w:rFonts w:ascii="Arial" w:hAnsi="Arial" w:cs="Arial"/>
        </w:rPr>
        <w:t>=</w:t>
      </w:r>
      <w:r w:rsidR="000E4768" w:rsidRPr="009246A5">
        <w:rPr>
          <w:rFonts w:ascii="Arial" w:hAnsi="Arial" w:cs="Arial"/>
        </w:rPr>
        <w:t xml:space="preserve">.148; </w:t>
      </w:r>
      <w:r w:rsidR="000E4768" w:rsidRPr="009246A5">
        <w:rPr>
          <w:rFonts w:ascii="Arial" w:hAnsi="Arial" w:cs="Arial"/>
          <w:i/>
        </w:rPr>
        <w:t>p</w:t>
      </w:r>
      <w:r w:rsidR="000E60FA">
        <w:rPr>
          <w:rFonts w:ascii="Arial" w:hAnsi="Arial" w:cs="Arial"/>
          <w:i/>
        </w:rPr>
        <w:t xml:space="preserve"> </w:t>
      </w:r>
      <w:r w:rsidR="000E60FA">
        <w:rPr>
          <w:rFonts w:ascii="Arial" w:hAnsi="Arial" w:cs="Arial"/>
        </w:rPr>
        <w:t>=</w:t>
      </w:r>
      <w:r w:rsidR="000E4768" w:rsidRPr="009246A5">
        <w:rPr>
          <w:rFonts w:ascii="Arial" w:hAnsi="Arial" w:cs="Arial"/>
        </w:rPr>
        <w:t xml:space="preserve">.012). </w:t>
      </w:r>
    </w:p>
    <w:p w14:paraId="11685EB9" w14:textId="77777777" w:rsidR="000E4768" w:rsidRPr="009246A5" w:rsidRDefault="000E4768" w:rsidP="00305DAE">
      <w:pPr>
        <w:spacing w:after="0" w:line="480" w:lineRule="auto"/>
        <w:jc w:val="both"/>
        <w:rPr>
          <w:rFonts w:ascii="Arial" w:hAnsi="Arial" w:cs="Arial"/>
        </w:rPr>
      </w:pPr>
    </w:p>
    <w:p w14:paraId="2516879E" w14:textId="151E9014" w:rsidR="00FF7F17" w:rsidRDefault="00FF7F17" w:rsidP="00305DAE">
      <w:pPr>
        <w:spacing w:after="0" w:line="480" w:lineRule="auto"/>
        <w:jc w:val="both"/>
        <w:rPr>
          <w:rFonts w:ascii="Arial" w:eastAsia="Calibri" w:hAnsi="Arial" w:cs="Arial"/>
        </w:rPr>
      </w:pPr>
      <w:r w:rsidRPr="00C8126A">
        <w:rPr>
          <w:rFonts w:ascii="Arial" w:eastAsia="Calibri" w:hAnsi="Arial" w:cs="Arial"/>
        </w:rPr>
        <w:t>The responses to the narrative questions in the survey suggested that other factors, in particular being unable to work because of secondary health problems, could be important in explaining variance in both physical and mental health-related quality of life. To examine if this was the case we used hierarchical regression,</w:t>
      </w:r>
      <w:r w:rsidR="000E60FA">
        <w:rPr>
          <w:rFonts w:ascii="Arial" w:eastAsia="Calibri" w:hAnsi="Arial" w:cs="Arial"/>
        </w:rPr>
        <w:t xml:space="preserve"> using three sets of variables: </w:t>
      </w:r>
      <w:r w:rsidRPr="00C8126A">
        <w:rPr>
          <w:rFonts w:ascii="Arial" w:eastAsia="Calibri" w:hAnsi="Arial" w:cs="Arial"/>
        </w:rPr>
        <w:t>original impairment level (as indicated by the number of impairment points)</w:t>
      </w:r>
      <w:r w:rsidR="006E66B2">
        <w:rPr>
          <w:rFonts w:ascii="Arial" w:eastAsia="Calibri" w:hAnsi="Arial" w:cs="Arial"/>
        </w:rPr>
        <w:t xml:space="preserve"> (step 1)</w:t>
      </w:r>
      <w:r w:rsidRPr="00C8126A">
        <w:rPr>
          <w:rFonts w:ascii="Arial" w:eastAsia="Calibri" w:hAnsi="Arial" w:cs="Arial"/>
        </w:rPr>
        <w:t>; being unable</w:t>
      </w:r>
      <w:r w:rsidR="000E60FA">
        <w:rPr>
          <w:rFonts w:ascii="Arial" w:eastAsia="Calibri" w:hAnsi="Arial" w:cs="Arial"/>
        </w:rPr>
        <w:t>/able</w:t>
      </w:r>
      <w:r w:rsidRPr="00C8126A">
        <w:rPr>
          <w:rFonts w:ascii="Arial" w:eastAsia="Calibri" w:hAnsi="Arial" w:cs="Arial"/>
        </w:rPr>
        <w:t xml:space="preserve"> to work and qualifications</w:t>
      </w:r>
      <w:r w:rsidR="006E66B2">
        <w:rPr>
          <w:rFonts w:ascii="Arial" w:eastAsia="Calibri" w:hAnsi="Arial" w:cs="Arial"/>
        </w:rPr>
        <w:t xml:space="preserve"> (step 2)</w:t>
      </w:r>
      <w:r w:rsidRPr="00C8126A">
        <w:rPr>
          <w:rFonts w:ascii="Arial" w:eastAsia="Calibri" w:hAnsi="Arial" w:cs="Arial"/>
        </w:rPr>
        <w:t>; and gender and living alone</w:t>
      </w:r>
      <w:r w:rsidR="000E60FA">
        <w:rPr>
          <w:rFonts w:ascii="Arial" w:eastAsia="Calibri" w:hAnsi="Arial" w:cs="Arial"/>
        </w:rPr>
        <w:t>/living with others</w:t>
      </w:r>
      <w:r w:rsidR="006E66B2">
        <w:rPr>
          <w:rFonts w:ascii="Arial" w:eastAsia="Calibri" w:hAnsi="Arial" w:cs="Arial"/>
        </w:rPr>
        <w:t xml:space="preserve"> (step 3)</w:t>
      </w:r>
      <w:r w:rsidRPr="00C8126A">
        <w:rPr>
          <w:rFonts w:ascii="Arial" w:eastAsia="Calibri" w:hAnsi="Arial" w:cs="Arial"/>
        </w:rPr>
        <w:t>. Table</w:t>
      </w:r>
      <w:r w:rsidR="000C49AD">
        <w:rPr>
          <w:rFonts w:ascii="Arial" w:eastAsia="Calibri" w:hAnsi="Arial" w:cs="Arial"/>
        </w:rPr>
        <w:t>s 3</w:t>
      </w:r>
      <w:r w:rsidR="00874514">
        <w:rPr>
          <w:rFonts w:ascii="Arial" w:eastAsia="Calibri" w:hAnsi="Arial" w:cs="Arial"/>
        </w:rPr>
        <w:t xml:space="preserve"> an</w:t>
      </w:r>
      <w:r w:rsidR="000C49AD">
        <w:rPr>
          <w:rFonts w:ascii="Arial" w:eastAsia="Calibri" w:hAnsi="Arial" w:cs="Arial"/>
        </w:rPr>
        <w:t>d 4</w:t>
      </w:r>
      <w:r w:rsidRPr="00C8126A">
        <w:rPr>
          <w:rFonts w:ascii="Arial" w:eastAsia="Calibri" w:hAnsi="Arial" w:cs="Arial"/>
        </w:rPr>
        <w:t xml:space="preserve"> below show the results for SF12 physical and mental health scores.</w:t>
      </w:r>
    </w:p>
    <w:p w14:paraId="129F0DB8" w14:textId="77777777" w:rsidR="001603AB" w:rsidRPr="00C8126A" w:rsidRDefault="001603AB" w:rsidP="00305DAE">
      <w:pPr>
        <w:spacing w:after="0" w:line="480" w:lineRule="auto"/>
        <w:jc w:val="both"/>
        <w:rPr>
          <w:rFonts w:ascii="Arial" w:eastAsia="Calibri" w:hAnsi="Arial" w:cs="Arial"/>
        </w:rPr>
      </w:pPr>
    </w:p>
    <w:p w14:paraId="6C5D91EF" w14:textId="2D34DA01" w:rsidR="00FF7F17" w:rsidRPr="00C8126A" w:rsidRDefault="000C49AD" w:rsidP="00305DAE">
      <w:pPr>
        <w:spacing w:after="0" w:line="480" w:lineRule="auto"/>
        <w:rPr>
          <w:rFonts w:ascii="Arial" w:eastAsia="Calibri" w:hAnsi="Arial" w:cs="Arial"/>
          <w:b/>
        </w:rPr>
      </w:pPr>
      <w:r>
        <w:rPr>
          <w:rFonts w:ascii="Arial" w:eastAsia="Calibri" w:hAnsi="Arial" w:cs="Arial"/>
          <w:b/>
        </w:rPr>
        <w:t>Table 3</w:t>
      </w:r>
      <w:r w:rsidR="00FF7F17" w:rsidRPr="00C8126A">
        <w:rPr>
          <w:rFonts w:ascii="Arial" w:eastAsia="Calibri" w:hAnsi="Arial" w:cs="Arial"/>
          <w:b/>
        </w:rPr>
        <w:t xml:space="preserve"> Hierarchical Regression results for SF12 Physical</w:t>
      </w:r>
    </w:p>
    <w:tbl>
      <w:tblPr>
        <w:tblStyle w:val="TableGrid2"/>
        <w:tblW w:w="8219" w:type="dxa"/>
        <w:tblLook w:val="04A0" w:firstRow="1" w:lastRow="0" w:firstColumn="1" w:lastColumn="0" w:noHBand="0" w:noVBand="1"/>
      </w:tblPr>
      <w:tblGrid>
        <w:gridCol w:w="2551"/>
        <w:gridCol w:w="1417"/>
        <w:gridCol w:w="1417"/>
        <w:gridCol w:w="1417"/>
        <w:gridCol w:w="1417"/>
      </w:tblGrid>
      <w:tr w:rsidR="009D4BA5" w:rsidRPr="00C8126A" w14:paraId="086618F4" w14:textId="77777777" w:rsidTr="00305DAE">
        <w:tc>
          <w:tcPr>
            <w:tcW w:w="2551" w:type="dxa"/>
            <w:shd w:val="clear" w:color="auto" w:fill="D9D9D9" w:themeFill="background1" w:themeFillShade="D9"/>
            <w:tcMar>
              <w:top w:w="57" w:type="dxa"/>
              <w:bottom w:w="57" w:type="dxa"/>
            </w:tcMar>
          </w:tcPr>
          <w:p w14:paraId="5CB48059" w14:textId="77777777" w:rsidR="009D4BA5" w:rsidRPr="00C8126A" w:rsidRDefault="009D4BA5" w:rsidP="006E66B2">
            <w:pPr>
              <w:rPr>
                <w:rFonts w:ascii="Arial" w:eastAsia="Calibri" w:hAnsi="Arial" w:cs="Arial"/>
              </w:rPr>
            </w:pPr>
          </w:p>
        </w:tc>
        <w:tc>
          <w:tcPr>
            <w:tcW w:w="1417" w:type="dxa"/>
            <w:shd w:val="clear" w:color="auto" w:fill="D9D9D9" w:themeFill="background1" w:themeFillShade="D9"/>
            <w:tcMar>
              <w:top w:w="57" w:type="dxa"/>
              <w:bottom w:w="57" w:type="dxa"/>
            </w:tcMar>
          </w:tcPr>
          <w:p w14:paraId="65CBD187" w14:textId="4C769F24" w:rsidR="009D4BA5" w:rsidRPr="00C8126A" w:rsidRDefault="009D4BA5" w:rsidP="002F0FFB">
            <w:pPr>
              <w:jc w:val="center"/>
              <w:rPr>
                <w:rFonts w:ascii="Arial" w:eastAsia="Calibri" w:hAnsi="Arial" w:cs="Arial"/>
              </w:rPr>
            </w:pPr>
            <w:r>
              <w:rPr>
                <w:rFonts w:ascii="Arial" w:eastAsia="Calibri" w:hAnsi="Arial" w:cs="Arial"/>
              </w:rPr>
              <w:t>B</w:t>
            </w:r>
          </w:p>
        </w:tc>
        <w:tc>
          <w:tcPr>
            <w:tcW w:w="1417" w:type="dxa"/>
            <w:shd w:val="clear" w:color="auto" w:fill="D9D9D9" w:themeFill="background1" w:themeFillShade="D9"/>
            <w:tcMar>
              <w:top w:w="57" w:type="dxa"/>
              <w:bottom w:w="57" w:type="dxa"/>
            </w:tcMar>
          </w:tcPr>
          <w:p w14:paraId="38B7DC26" w14:textId="7DC3F2EE" w:rsidR="009D4BA5" w:rsidRPr="00C8126A" w:rsidRDefault="009D4BA5" w:rsidP="00DA68D8">
            <w:pPr>
              <w:jc w:val="center"/>
              <w:rPr>
                <w:rFonts w:ascii="Arial" w:eastAsia="Calibri" w:hAnsi="Arial" w:cs="Arial"/>
              </w:rPr>
            </w:pPr>
            <w:r w:rsidRPr="00DA68D8">
              <w:rPr>
                <w:rFonts w:ascii="Arial" w:eastAsia="Calibri" w:hAnsi="Arial" w:cs="Arial"/>
                <w:i/>
              </w:rPr>
              <w:t>SE</w:t>
            </w:r>
            <w:r>
              <w:rPr>
                <w:rFonts w:ascii="Arial" w:eastAsia="Calibri" w:hAnsi="Arial" w:cs="Arial"/>
              </w:rPr>
              <w:t xml:space="preserve"> B</w:t>
            </w:r>
          </w:p>
        </w:tc>
        <w:tc>
          <w:tcPr>
            <w:tcW w:w="1417" w:type="dxa"/>
            <w:shd w:val="clear" w:color="auto" w:fill="D9D9D9" w:themeFill="background1" w:themeFillShade="D9"/>
          </w:tcPr>
          <w:p w14:paraId="00856836" w14:textId="78838A29" w:rsidR="009D4BA5" w:rsidRDefault="009D4BA5" w:rsidP="00DA68D8">
            <w:pPr>
              <w:jc w:val="center"/>
              <w:rPr>
                <w:rFonts w:ascii="Arial" w:eastAsia="Calibri" w:hAnsi="Arial" w:cs="Arial"/>
              </w:rPr>
            </w:pPr>
            <w:r>
              <w:rPr>
                <w:rFonts w:ascii="Arial" w:eastAsia="Calibri" w:hAnsi="Arial" w:cs="Arial"/>
              </w:rPr>
              <w:t>B (95% CI)</w:t>
            </w:r>
          </w:p>
        </w:tc>
        <w:tc>
          <w:tcPr>
            <w:tcW w:w="1417" w:type="dxa"/>
            <w:shd w:val="clear" w:color="auto" w:fill="D9D9D9" w:themeFill="background1" w:themeFillShade="D9"/>
            <w:tcMar>
              <w:top w:w="57" w:type="dxa"/>
              <w:bottom w:w="57" w:type="dxa"/>
            </w:tcMar>
          </w:tcPr>
          <w:p w14:paraId="18FBA142" w14:textId="77777777" w:rsidR="009D4BA5" w:rsidRPr="00C8126A" w:rsidRDefault="009D4BA5" w:rsidP="006E66B2">
            <w:pPr>
              <w:jc w:val="center"/>
              <w:rPr>
                <w:rFonts w:ascii="Arial" w:eastAsia="Calibri" w:hAnsi="Arial" w:cs="Arial"/>
              </w:rPr>
            </w:pPr>
            <w:r>
              <w:rPr>
                <w:rFonts w:ascii="Arial" w:eastAsia="Calibri" w:hAnsi="Arial" w:cs="Arial"/>
              </w:rPr>
              <w:t>Sig.</w:t>
            </w:r>
          </w:p>
        </w:tc>
      </w:tr>
      <w:tr w:rsidR="009D4BA5" w:rsidRPr="00C8126A" w14:paraId="1EA5F97B" w14:textId="77777777" w:rsidTr="009D4BA5">
        <w:trPr>
          <w:trHeight w:val="227"/>
        </w:trPr>
        <w:tc>
          <w:tcPr>
            <w:tcW w:w="2551" w:type="dxa"/>
            <w:tcMar>
              <w:top w:w="57" w:type="dxa"/>
              <w:bottom w:w="57" w:type="dxa"/>
            </w:tcMar>
          </w:tcPr>
          <w:p w14:paraId="2C7383FD" w14:textId="77777777" w:rsidR="009D4BA5" w:rsidRPr="00C8126A" w:rsidRDefault="009D4BA5" w:rsidP="006E66B2">
            <w:pPr>
              <w:rPr>
                <w:rFonts w:ascii="Arial" w:eastAsia="Calibri" w:hAnsi="Arial" w:cs="Arial"/>
              </w:rPr>
            </w:pPr>
            <w:r w:rsidRPr="00C8126A">
              <w:rPr>
                <w:rFonts w:ascii="Arial" w:eastAsia="Calibri" w:hAnsi="Arial" w:cs="Arial"/>
              </w:rPr>
              <w:t>Impairment Level</w:t>
            </w:r>
          </w:p>
        </w:tc>
        <w:tc>
          <w:tcPr>
            <w:tcW w:w="1417" w:type="dxa"/>
            <w:tcMar>
              <w:top w:w="57" w:type="dxa"/>
              <w:bottom w:w="57" w:type="dxa"/>
            </w:tcMar>
          </w:tcPr>
          <w:p w14:paraId="0D4DCE9B" w14:textId="77777777" w:rsidR="009D4BA5" w:rsidRPr="00C8126A" w:rsidRDefault="009D4BA5" w:rsidP="006E66B2">
            <w:pPr>
              <w:jc w:val="center"/>
              <w:rPr>
                <w:rFonts w:ascii="Arial" w:eastAsia="Calibri" w:hAnsi="Arial" w:cs="Arial"/>
              </w:rPr>
            </w:pPr>
            <w:r w:rsidRPr="00C8126A">
              <w:rPr>
                <w:rFonts w:ascii="Arial" w:eastAsia="Calibri" w:hAnsi="Arial" w:cs="Arial"/>
              </w:rPr>
              <w:t>- 0.194</w:t>
            </w:r>
          </w:p>
        </w:tc>
        <w:tc>
          <w:tcPr>
            <w:tcW w:w="1417" w:type="dxa"/>
            <w:tcMar>
              <w:top w:w="57" w:type="dxa"/>
              <w:bottom w:w="57" w:type="dxa"/>
            </w:tcMar>
          </w:tcPr>
          <w:p w14:paraId="7CFBCB46" w14:textId="77777777" w:rsidR="009D4BA5" w:rsidRPr="00C8126A" w:rsidRDefault="009D4BA5" w:rsidP="006E66B2">
            <w:pPr>
              <w:jc w:val="center"/>
              <w:rPr>
                <w:rFonts w:ascii="Arial" w:eastAsia="Calibri" w:hAnsi="Arial" w:cs="Arial"/>
              </w:rPr>
            </w:pPr>
            <w:r w:rsidRPr="00C8126A">
              <w:rPr>
                <w:rFonts w:ascii="Arial" w:eastAsia="Calibri" w:hAnsi="Arial" w:cs="Arial"/>
              </w:rPr>
              <w:t>0.063</w:t>
            </w:r>
          </w:p>
        </w:tc>
        <w:tc>
          <w:tcPr>
            <w:tcW w:w="1417" w:type="dxa"/>
          </w:tcPr>
          <w:p w14:paraId="6A8507E7" w14:textId="74DDF119" w:rsidR="009D4BA5" w:rsidRPr="00C8126A" w:rsidRDefault="009D4BA5" w:rsidP="009D4BA5">
            <w:pPr>
              <w:jc w:val="center"/>
              <w:rPr>
                <w:rFonts w:ascii="Arial" w:eastAsia="Calibri" w:hAnsi="Arial" w:cs="Arial"/>
              </w:rPr>
            </w:pPr>
            <w:r>
              <w:rPr>
                <w:rFonts w:ascii="Arial" w:eastAsia="Calibri" w:hAnsi="Arial" w:cs="Arial"/>
              </w:rPr>
              <w:t>-0.31, -0.07</w:t>
            </w:r>
          </w:p>
        </w:tc>
        <w:tc>
          <w:tcPr>
            <w:tcW w:w="1417" w:type="dxa"/>
            <w:tcMar>
              <w:top w:w="57" w:type="dxa"/>
              <w:bottom w:w="57" w:type="dxa"/>
            </w:tcMar>
          </w:tcPr>
          <w:p w14:paraId="0C8D2A8C" w14:textId="77777777" w:rsidR="009D4BA5" w:rsidRPr="00C8126A" w:rsidRDefault="009D4BA5" w:rsidP="006E66B2">
            <w:pPr>
              <w:jc w:val="center"/>
              <w:rPr>
                <w:rFonts w:ascii="Arial" w:eastAsia="Calibri" w:hAnsi="Arial" w:cs="Arial"/>
              </w:rPr>
            </w:pPr>
            <w:r w:rsidRPr="00C8126A">
              <w:rPr>
                <w:rFonts w:ascii="Arial" w:eastAsia="Calibri" w:hAnsi="Arial" w:cs="Arial"/>
              </w:rPr>
              <w:t>0.002</w:t>
            </w:r>
          </w:p>
        </w:tc>
      </w:tr>
      <w:tr w:rsidR="009D4BA5" w:rsidRPr="00C8126A" w14:paraId="1B5E8D53" w14:textId="77777777" w:rsidTr="009D4BA5">
        <w:tc>
          <w:tcPr>
            <w:tcW w:w="2551" w:type="dxa"/>
            <w:tcMar>
              <w:top w:w="57" w:type="dxa"/>
              <w:bottom w:w="57" w:type="dxa"/>
            </w:tcMar>
          </w:tcPr>
          <w:p w14:paraId="16CA2C56" w14:textId="77777777" w:rsidR="009D4BA5" w:rsidRPr="00C8126A" w:rsidRDefault="009D4BA5" w:rsidP="006E66B2">
            <w:pPr>
              <w:rPr>
                <w:rFonts w:ascii="Arial" w:eastAsia="Calibri" w:hAnsi="Arial" w:cs="Arial"/>
              </w:rPr>
            </w:pPr>
            <w:r w:rsidRPr="00C8126A">
              <w:rPr>
                <w:rFonts w:ascii="Arial" w:eastAsia="Calibri" w:hAnsi="Arial" w:cs="Arial"/>
              </w:rPr>
              <w:t>Unable to Work</w:t>
            </w:r>
          </w:p>
        </w:tc>
        <w:tc>
          <w:tcPr>
            <w:tcW w:w="1417" w:type="dxa"/>
            <w:tcMar>
              <w:top w:w="57" w:type="dxa"/>
              <w:bottom w:w="57" w:type="dxa"/>
            </w:tcMar>
          </w:tcPr>
          <w:p w14:paraId="1127F62B" w14:textId="77777777" w:rsidR="009D4BA5" w:rsidRPr="00C8126A" w:rsidRDefault="009D4BA5" w:rsidP="006E66B2">
            <w:pPr>
              <w:jc w:val="center"/>
              <w:rPr>
                <w:rFonts w:ascii="Arial" w:eastAsia="Calibri" w:hAnsi="Arial" w:cs="Arial"/>
              </w:rPr>
            </w:pPr>
            <w:r w:rsidRPr="00C8126A">
              <w:rPr>
                <w:rFonts w:ascii="Arial" w:eastAsia="Calibri" w:hAnsi="Arial" w:cs="Arial"/>
              </w:rPr>
              <w:t>11.556</w:t>
            </w:r>
          </w:p>
        </w:tc>
        <w:tc>
          <w:tcPr>
            <w:tcW w:w="1417" w:type="dxa"/>
            <w:tcMar>
              <w:top w:w="57" w:type="dxa"/>
              <w:bottom w:w="57" w:type="dxa"/>
            </w:tcMar>
          </w:tcPr>
          <w:p w14:paraId="451B7995" w14:textId="77777777" w:rsidR="009D4BA5" w:rsidRPr="00C8126A" w:rsidRDefault="009D4BA5" w:rsidP="006E66B2">
            <w:pPr>
              <w:jc w:val="center"/>
              <w:rPr>
                <w:rFonts w:ascii="Arial" w:eastAsia="Calibri" w:hAnsi="Arial" w:cs="Arial"/>
              </w:rPr>
            </w:pPr>
            <w:r w:rsidRPr="00C8126A">
              <w:rPr>
                <w:rFonts w:ascii="Arial" w:eastAsia="Calibri" w:hAnsi="Arial" w:cs="Arial"/>
              </w:rPr>
              <w:t>1.572</w:t>
            </w:r>
          </w:p>
        </w:tc>
        <w:tc>
          <w:tcPr>
            <w:tcW w:w="1417" w:type="dxa"/>
          </w:tcPr>
          <w:p w14:paraId="7FF06863" w14:textId="112DBE1E" w:rsidR="009D4BA5" w:rsidRPr="00C8126A" w:rsidRDefault="009D4BA5" w:rsidP="009D4BA5">
            <w:pPr>
              <w:jc w:val="center"/>
              <w:rPr>
                <w:rFonts w:ascii="Arial" w:eastAsia="Calibri" w:hAnsi="Arial" w:cs="Arial"/>
              </w:rPr>
            </w:pPr>
            <w:r>
              <w:rPr>
                <w:rFonts w:ascii="Arial" w:eastAsia="Calibri" w:hAnsi="Arial" w:cs="Arial"/>
              </w:rPr>
              <w:t>8.46, 14.65</w:t>
            </w:r>
          </w:p>
        </w:tc>
        <w:tc>
          <w:tcPr>
            <w:tcW w:w="1417" w:type="dxa"/>
            <w:tcMar>
              <w:top w:w="57" w:type="dxa"/>
              <w:bottom w:w="57" w:type="dxa"/>
            </w:tcMar>
          </w:tcPr>
          <w:p w14:paraId="44E18956" w14:textId="77777777" w:rsidR="009D4BA5" w:rsidRPr="00C8126A" w:rsidRDefault="009D4BA5" w:rsidP="006E66B2">
            <w:pPr>
              <w:jc w:val="center"/>
              <w:rPr>
                <w:rFonts w:ascii="Arial" w:eastAsia="Calibri" w:hAnsi="Arial" w:cs="Arial"/>
              </w:rPr>
            </w:pPr>
            <w:r w:rsidRPr="00C8126A">
              <w:rPr>
                <w:rFonts w:ascii="Arial" w:eastAsia="Calibri" w:hAnsi="Arial" w:cs="Arial"/>
              </w:rPr>
              <w:t>0.000</w:t>
            </w:r>
          </w:p>
        </w:tc>
      </w:tr>
      <w:tr w:rsidR="009D4BA5" w:rsidRPr="00C8126A" w14:paraId="4A17050D" w14:textId="77777777" w:rsidTr="009D4BA5">
        <w:tc>
          <w:tcPr>
            <w:tcW w:w="2551" w:type="dxa"/>
            <w:tcMar>
              <w:top w:w="57" w:type="dxa"/>
              <w:bottom w:w="57" w:type="dxa"/>
            </w:tcMar>
          </w:tcPr>
          <w:p w14:paraId="15605DE8" w14:textId="77777777" w:rsidR="009D4BA5" w:rsidRPr="00C8126A" w:rsidRDefault="009D4BA5" w:rsidP="006E66B2">
            <w:pPr>
              <w:rPr>
                <w:rFonts w:ascii="Arial" w:eastAsia="Calibri" w:hAnsi="Arial" w:cs="Arial"/>
              </w:rPr>
            </w:pPr>
            <w:r w:rsidRPr="00C8126A">
              <w:rPr>
                <w:rFonts w:ascii="Arial" w:eastAsia="Calibri" w:hAnsi="Arial" w:cs="Arial"/>
              </w:rPr>
              <w:t>Qualifications</w:t>
            </w:r>
          </w:p>
        </w:tc>
        <w:tc>
          <w:tcPr>
            <w:tcW w:w="1417" w:type="dxa"/>
            <w:tcMar>
              <w:top w:w="57" w:type="dxa"/>
              <w:bottom w:w="57" w:type="dxa"/>
            </w:tcMar>
          </w:tcPr>
          <w:p w14:paraId="10D06378" w14:textId="77777777" w:rsidR="009D4BA5" w:rsidRPr="00C8126A" w:rsidRDefault="009D4BA5" w:rsidP="006E66B2">
            <w:pPr>
              <w:jc w:val="center"/>
              <w:rPr>
                <w:rFonts w:ascii="Arial" w:eastAsia="Calibri" w:hAnsi="Arial" w:cs="Arial"/>
              </w:rPr>
            </w:pPr>
            <w:r w:rsidRPr="00C8126A">
              <w:rPr>
                <w:rFonts w:ascii="Arial" w:eastAsia="Calibri" w:hAnsi="Arial" w:cs="Arial"/>
              </w:rPr>
              <w:t>- 0.184</w:t>
            </w:r>
          </w:p>
        </w:tc>
        <w:tc>
          <w:tcPr>
            <w:tcW w:w="1417" w:type="dxa"/>
            <w:tcMar>
              <w:top w:w="57" w:type="dxa"/>
              <w:bottom w:w="57" w:type="dxa"/>
            </w:tcMar>
          </w:tcPr>
          <w:p w14:paraId="2584A699" w14:textId="77777777" w:rsidR="009D4BA5" w:rsidRPr="00C8126A" w:rsidRDefault="009D4BA5" w:rsidP="006E66B2">
            <w:pPr>
              <w:jc w:val="center"/>
              <w:rPr>
                <w:rFonts w:ascii="Arial" w:eastAsia="Calibri" w:hAnsi="Arial" w:cs="Arial"/>
              </w:rPr>
            </w:pPr>
            <w:r w:rsidRPr="00C8126A">
              <w:rPr>
                <w:rFonts w:ascii="Arial" w:eastAsia="Calibri" w:hAnsi="Arial" w:cs="Arial"/>
              </w:rPr>
              <w:t>0.290</w:t>
            </w:r>
          </w:p>
        </w:tc>
        <w:tc>
          <w:tcPr>
            <w:tcW w:w="1417" w:type="dxa"/>
          </w:tcPr>
          <w:p w14:paraId="7EF1203D" w14:textId="02A024EC" w:rsidR="009D4BA5" w:rsidRPr="00C8126A" w:rsidRDefault="009D4BA5" w:rsidP="009D4BA5">
            <w:pPr>
              <w:jc w:val="center"/>
              <w:rPr>
                <w:rFonts w:ascii="Arial" w:eastAsia="Calibri" w:hAnsi="Arial" w:cs="Arial"/>
              </w:rPr>
            </w:pPr>
            <w:r>
              <w:rPr>
                <w:rFonts w:ascii="Arial" w:eastAsia="Calibri" w:hAnsi="Arial" w:cs="Arial"/>
              </w:rPr>
              <w:t>-0.75, 0.38</w:t>
            </w:r>
          </w:p>
        </w:tc>
        <w:tc>
          <w:tcPr>
            <w:tcW w:w="1417" w:type="dxa"/>
            <w:tcMar>
              <w:top w:w="57" w:type="dxa"/>
              <w:bottom w:w="57" w:type="dxa"/>
            </w:tcMar>
          </w:tcPr>
          <w:p w14:paraId="036EBB60" w14:textId="77777777" w:rsidR="009D4BA5" w:rsidRPr="00C8126A" w:rsidRDefault="009D4BA5" w:rsidP="006E66B2">
            <w:pPr>
              <w:jc w:val="center"/>
              <w:rPr>
                <w:rFonts w:ascii="Arial" w:eastAsia="Calibri" w:hAnsi="Arial" w:cs="Arial"/>
              </w:rPr>
            </w:pPr>
            <w:r w:rsidRPr="00C8126A">
              <w:rPr>
                <w:rFonts w:ascii="Arial" w:eastAsia="Calibri" w:hAnsi="Arial" w:cs="Arial"/>
              </w:rPr>
              <w:t>0.526</w:t>
            </w:r>
          </w:p>
        </w:tc>
      </w:tr>
      <w:tr w:rsidR="009D4BA5" w:rsidRPr="00C8126A" w14:paraId="74EF04CE" w14:textId="77777777" w:rsidTr="009D4BA5">
        <w:tc>
          <w:tcPr>
            <w:tcW w:w="2551" w:type="dxa"/>
            <w:tcMar>
              <w:top w:w="57" w:type="dxa"/>
              <w:bottom w:w="57" w:type="dxa"/>
            </w:tcMar>
          </w:tcPr>
          <w:p w14:paraId="335947E3" w14:textId="77777777" w:rsidR="009D4BA5" w:rsidRPr="00C8126A" w:rsidRDefault="009D4BA5" w:rsidP="006E66B2">
            <w:pPr>
              <w:rPr>
                <w:rFonts w:ascii="Arial" w:eastAsia="Calibri" w:hAnsi="Arial" w:cs="Arial"/>
              </w:rPr>
            </w:pPr>
            <w:r w:rsidRPr="00C8126A">
              <w:rPr>
                <w:rFonts w:ascii="Arial" w:eastAsia="Calibri" w:hAnsi="Arial" w:cs="Arial"/>
              </w:rPr>
              <w:t>Gender</w:t>
            </w:r>
          </w:p>
        </w:tc>
        <w:tc>
          <w:tcPr>
            <w:tcW w:w="1417" w:type="dxa"/>
            <w:tcMar>
              <w:top w:w="57" w:type="dxa"/>
              <w:bottom w:w="57" w:type="dxa"/>
            </w:tcMar>
          </w:tcPr>
          <w:p w14:paraId="72E6C9A3" w14:textId="77777777" w:rsidR="009D4BA5" w:rsidRPr="00C8126A" w:rsidRDefault="009D4BA5" w:rsidP="006E66B2">
            <w:pPr>
              <w:jc w:val="center"/>
              <w:rPr>
                <w:rFonts w:ascii="Arial" w:eastAsia="Calibri" w:hAnsi="Arial" w:cs="Arial"/>
              </w:rPr>
            </w:pPr>
            <w:r w:rsidRPr="00C8126A">
              <w:rPr>
                <w:rFonts w:ascii="Arial" w:eastAsia="Calibri" w:hAnsi="Arial" w:cs="Arial"/>
              </w:rPr>
              <w:t>- 3.207</w:t>
            </w:r>
          </w:p>
        </w:tc>
        <w:tc>
          <w:tcPr>
            <w:tcW w:w="1417" w:type="dxa"/>
            <w:tcMar>
              <w:top w:w="57" w:type="dxa"/>
              <w:bottom w:w="57" w:type="dxa"/>
            </w:tcMar>
          </w:tcPr>
          <w:p w14:paraId="1AD26EAC" w14:textId="77777777" w:rsidR="009D4BA5" w:rsidRPr="00C8126A" w:rsidRDefault="009D4BA5" w:rsidP="006E66B2">
            <w:pPr>
              <w:jc w:val="center"/>
              <w:rPr>
                <w:rFonts w:ascii="Arial" w:eastAsia="Calibri" w:hAnsi="Arial" w:cs="Arial"/>
              </w:rPr>
            </w:pPr>
            <w:r w:rsidRPr="00C8126A">
              <w:rPr>
                <w:rFonts w:ascii="Arial" w:eastAsia="Calibri" w:hAnsi="Arial" w:cs="Arial"/>
              </w:rPr>
              <w:t>1.471</w:t>
            </w:r>
          </w:p>
        </w:tc>
        <w:tc>
          <w:tcPr>
            <w:tcW w:w="1417" w:type="dxa"/>
          </w:tcPr>
          <w:p w14:paraId="2EA09339" w14:textId="425ED171" w:rsidR="009D4BA5" w:rsidRPr="00C8126A" w:rsidRDefault="009D4BA5" w:rsidP="009D4BA5">
            <w:pPr>
              <w:jc w:val="center"/>
              <w:rPr>
                <w:rFonts w:ascii="Arial" w:eastAsia="Calibri" w:hAnsi="Arial" w:cs="Arial"/>
              </w:rPr>
            </w:pPr>
            <w:r>
              <w:rPr>
                <w:rFonts w:ascii="Arial" w:eastAsia="Calibri" w:hAnsi="Arial" w:cs="Arial"/>
              </w:rPr>
              <w:t>-6.10, -0.31</w:t>
            </w:r>
          </w:p>
        </w:tc>
        <w:tc>
          <w:tcPr>
            <w:tcW w:w="1417" w:type="dxa"/>
            <w:tcMar>
              <w:top w:w="57" w:type="dxa"/>
              <w:bottom w:w="57" w:type="dxa"/>
            </w:tcMar>
          </w:tcPr>
          <w:p w14:paraId="613CCF71" w14:textId="77777777" w:rsidR="009D4BA5" w:rsidRPr="00C8126A" w:rsidRDefault="009D4BA5" w:rsidP="006E66B2">
            <w:pPr>
              <w:jc w:val="center"/>
              <w:rPr>
                <w:rFonts w:ascii="Arial" w:eastAsia="Calibri" w:hAnsi="Arial" w:cs="Arial"/>
              </w:rPr>
            </w:pPr>
            <w:r w:rsidRPr="00C8126A">
              <w:rPr>
                <w:rFonts w:ascii="Arial" w:eastAsia="Calibri" w:hAnsi="Arial" w:cs="Arial"/>
              </w:rPr>
              <w:t>0.030</w:t>
            </w:r>
          </w:p>
        </w:tc>
      </w:tr>
      <w:tr w:rsidR="009D4BA5" w:rsidRPr="00C8126A" w14:paraId="7E5B4088" w14:textId="77777777" w:rsidTr="009D4BA5">
        <w:tc>
          <w:tcPr>
            <w:tcW w:w="2551" w:type="dxa"/>
            <w:tcMar>
              <w:top w:w="57" w:type="dxa"/>
              <w:bottom w:w="57" w:type="dxa"/>
            </w:tcMar>
          </w:tcPr>
          <w:p w14:paraId="10983C1D" w14:textId="77777777" w:rsidR="009D4BA5" w:rsidRPr="00C8126A" w:rsidRDefault="009D4BA5" w:rsidP="006E66B2">
            <w:pPr>
              <w:rPr>
                <w:rFonts w:ascii="Arial" w:eastAsia="Calibri" w:hAnsi="Arial" w:cs="Arial"/>
              </w:rPr>
            </w:pPr>
            <w:r w:rsidRPr="00C8126A">
              <w:rPr>
                <w:rFonts w:ascii="Arial" w:eastAsia="Calibri" w:hAnsi="Arial" w:cs="Arial"/>
              </w:rPr>
              <w:t>Live Alone</w:t>
            </w:r>
          </w:p>
        </w:tc>
        <w:tc>
          <w:tcPr>
            <w:tcW w:w="1417" w:type="dxa"/>
            <w:tcMar>
              <w:top w:w="57" w:type="dxa"/>
              <w:bottom w:w="57" w:type="dxa"/>
            </w:tcMar>
          </w:tcPr>
          <w:p w14:paraId="0E8D0B44" w14:textId="77777777" w:rsidR="009D4BA5" w:rsidRPr="00C8126A" w:rsidRDefault="009D4BA5" w:rsidP="006E66B2">
            <w:pPr>
              <w:jc w:val="center"/>
              <w:rPr>
                <w:rFonts w:ascii="Arial" w:eastAsia="Calibri" w:hAnsi="Arial" w:cs="Arial"/>
              </w:rPr>
            </w:pPr>
            <w:r w:rsidRPr="00C8126A">
              <w:rPr>
                <w:rFonts w:ascii="Arial" w:eastAsia="Calibri" w:hAnsi="Arial" w:cs="Arial"/>
              </w:rPr>
              <w:t>- 0.343</w:t>
            </w:r>
          </w:p>
        </w:tc>
        <w:tc>
          <w:tcPr>
            <w:tcW w:w="1417" w:type="dxa"/>
            <w:tcMar>
              <w:top w:w="57" w:type="dxa"/>
              <w:bottom w:w="57" w:type="dxa"/>
            </w:tcMar>
          </w:tcPr>
          <w:p w14:paraId="53F5D7DD" w14:textId="77777777" w:rsidR="009D4BA5" w:rsidRPr="00C8126A" w:rsidRDefault="009D4BA5" w:rsidP="006E66B2">
            <w:pPr>
              <w:jc w:val="center"/>
              <w:rPr>
                <w:rFonts w:ascii="Arial" w:eastAsia="Calibri" w:hAnsi="Arial" w:cs="Arial"/>
              </w:rPr>
            </w:pPr>
            <w:r w:rsidRPr="00C8126A">
              <w:rPr>
                <w:rFonts w:ascii="Arial" w:eastAsia="Calibri" w:hAnsi="Arial" w:cs="Arial"/>
              </w:rPr>
              <w:t>1.755</w:t>
            </w:r>
          </w:p>
        </w:tc>
        <w:tc>
          <w:tcPr>
            <w:tcW w:w="1417" w:type="dxa"/>
          </w:tcPr>
          <w:p w14:paraId="24666C81" w14:textId="6B6189A7" w:rsidR="009D4BA5" w:rsidRPr="00C8126A" w:rsidRDefault="009D4BA5" w:rsidP="009D4BA5">
            <w:pPr>
              <w:jc w:val="center"/>
              <w:rPr>
                <w:rFonts w:ascii="Arial" w:eastAsia="Calibri" w:hAnsi="Arial" w:cs="Arial"/>
              </w:rPr>
            </w:pPr>
            <w:r>
              <w:rPr>
                <w:rFonts w:ascii="Arial" w:eastAsia="Calibri" w:hAnsi="Arial" w:cs="Arial"/>
              </w:rPr>
              <w:t>-3.79, 3.11</w:t>
            </w:r>
          </w:p>
        </w:tc>
        <w:tc>
          <w:tcPr>
            <w:tcW w:w="1417" w:type="dxa"/>
            <w:tcMar>
              <w:top w:w="57" w:type="dxa"/>
              <w:bottom w:w="57" w:type="dxa"/>
            </w:tcMar>
          </w:tcPr>
          <w:p w14:paraId="085D4CE2" w14:textId="77777777" w:rsidR="009D4BA5" w:rsidRPr="00C8126A" w:rsidRDefault="009D4BA5" w:rsidP="006E66B2">
            <w:pPr>
              <w:jc w:val="center"/>
              <w:rPr>
                <w:rFonts w:ascii="Arial" w:eastAsia="Calibri" w:hAnsi="Arial" w:cs="Arial"/>
              </w:rPr>
            </w:pPr>
            <w:r w:rsidRPr="00C8126A">
              <w:rPr>
                <w:rFonts w:ascii="Arial" w:eastAsia="Calibri" w:hAnsi="Arial" w:cs="Arial"/>
              </w:rPr>
              <w:t>0.845</w:t>
            </w:r>
          </w:p>
        </w:tc>
      </w:tr>
    </w:tbl>
    <w:p w14:paraId="102D52C4" w14:textId="033204D1" w:rsidR="009D4BA5" w:rsidRPr="00B24E49" w:rsidRDefault="000E4A1B" w:rsidP="00B24E49">
      <w:pPr>
        <w:spacing w:before="120" w:after="160" w:line="259" w:lineRule="auto"/>
        <w:rPr>
          <w:rFonts w:ascii="Arial" w:eastAsia="Calibri" w:hAnsi="Arial" w:cs="Arial"/>
          <w:sz w:val="20"/>
          <w:szCs w:val="20"/>
        </w:rPr>
      </w:pPr>
      <w:r w:rsidRPr="009D4BA5">
        <w:rPr>
          <w:rFonts w:ascii="Arial" w:eastAsia="Calibri" w:hAnsi="Arial" w:cs="Arial"/>
          <w:sz w:val="20"/>
          <w:szCs w:val="20"/>
        </w:rPr>
        <w:t xml:space="preserve">Note: Step 1 Adj </w:t>
      </w:r>
      <w:r w:rsidRPr="009D4BA5">
        <w:rPr>
          <w:rFonts w:ascii="Arial" w:eastAsia="Calibri" w:hAnsi="Arial" w:cs="Arial"/>
          <w:i/>
          <w:sz w:val="20"/>
          <w:szCs w:val="20"/>
        </w:rPr>
        <w:t>R</w:t>
      </w:r>
      <w:r w:rsidRPr="009D4BA5">
        <w:rPr>
          <w:rFonts w:ascii="Arial" w:eastAsia="Calibri" w:hAnsi="Arial" w:cs="Arial"/>
          <w:sz w:val="20"/>
          <w:szCs w:val="20"/>
          <w:vertAlign w:val="superscript"/>
        </w:rPr>
        <w:t xml:space="preserve">2 </w:t>
      </w:r>
      <w:r w:rsidRPr="009D4BA5">
        <w:rPr>
          <w:rFonts w:ascii="Arial" w:eastAsia="Calibri" w:hAnsi="Arial" w:cs="Arial"/>
          <w:sz w:val="20"/>
          <w:szCs w:val="20"/>
        </w:rPr>
        <w:t>= 0.079</w:t>
      </w:r>
      <w:r w:rsidR="009D4BA5" w:rsidRPr="009D4BA5">
        <w:rPr>
          <w:rFonts w:ascii="Arial" w:eastAsia="Calibri" w:hAnsi="Arial" w:cs="Arial"/>
          <w:sz w:val="20"/>
          <w:szCs w:val="20"/>
        </w:rPr>
        <w:t xml:space="preserve">; Step 2 Adj </w:t>
      </w:r>
      <w:r w:rsidR="009D4BA5" w:rsidRPr="009D4BA5">
        <w:rPr>
          <w:rFonts w:ascii="Arial" w:eastAsia="Calibri" w:hAnsi="Arial" w:cs="Arial"/>
          <w:i/>
          <w:sz w:val="20"/>
          <w:szCs w:val="20"/>
        </w:rPr>
        <w:t>R</w:t>
      </w:r>
      <w:r w:rsidR="009D4BA5" w:rsidRPr="009D4BA5">
        <w:rPr>
          <w:rFonts w:ascii="Arial" w:eastAsia="Calibri" w:hAnsi="Arial" w:cs="Arial"/>
          <w:sz w:val="20"/>
          <w:szCs w:val="20"/>
          <w:vertAlign w:val="superscript"/>
        </w:rPr>
        <w:t xml:space="preserve">2 </w:t>
      </w:r>
      <w:r w:rsidR="009D4BA5" w:rsidRPr="009D4BA5">
        <w:rPr>
          <w:rFonts w:ascii="Arial" w:eastAsia="Calibri" w:hAnsi="Arial" w:cs="Arial"/>
          <w:sz w:val="20"/>
          <w:szCs w:val="20"/>
        </w:rPr>
        <w:t>= 0.243, ∆</w:t>
      </w:r>
      <w:r w:rsidR="009D4BA5" w:rsidRPr="009D4BA5">
        <w:rPr>
          <w:rFonts w:ascii="Arial" w:eastAsia="Calibri" w:hAnsi="Arial" w:cs="Arial"/>
          <w:i/>
          <w:sz w:val="20"/>
          <w:szCs w:val="20"/>
        </w:rPr>
        <w:t xml:space="preserve"> R</w:t>
      </w:r>
      <w:r w:rsidR="009D4BA5" w:rsidRPr="009D4BA5">
        <w:rPr>
          <w:rFonts w:ascii="Arial" w:eastAsia="Calibri" w:hAnsi="Arial" w:cs="Arial"/>
          <w:sz w:val="20"/>
          <w:szCs w:val="20"/>
          <w:vertAlign w:val="superscript"/>
        </w:rPr>
        <w:t xml:space="preserve">2 </w:t>
      </w:r>
      <w:r w:rsidR="009D4BA5" w:rsidRPr="009D4BA5">
        <w:rPr>
          <w:rFonts w:ascii="Arial" w:eastAsia="Calibri" w:hAnsi="Arial" w:cs="Arial"/>
          <w:sz w:val="20"/>
          <w:szCs w:val="20"/>
        </w:rPr>
        <w:t xml:space="preserve">= 0.169; Step 3 Adj </w:t>
      </w:r>
      <w:r w:rsidR="009D4BA5" w:rsidRPr="009D4BA5">
        <w:rPr>
          <w:rFonts w:ascii="Arial" w:eastAsia="Calibri" w:hAnsi="Arial" w:cs="Arial"/>
          <w:i/>
          <w:sz w:val="20"/>
          <w:szCs w:val="20"/>
        </w:rPr>
        <w:t>R</w:t>
      </w:r>
      <w:r w:rsidR="009D4BA5" w:rsidRPr="009D4BA5">
        <w:rPr>
          <w:rFonts w:ascii="Arial" w:eastAsia="Calibri" w:hAnsi="Arial" w:cs="Arial"/>
          <w:sz w:val="20"/>
          <w:szCs w:val="20"/>
          <w:vertAlign w:val="superscript"/>
        </w:rPr>
        <w:t xml:space="preserve">2 </w:t>
      </w:r>
      <w:r w:rsidR="009D4BA5" w:rsidRPr="009D4BA5">
        <w:rPr>
          <w:rFonts w:ascii="Arial" w:eastAsia="Calibri" w:hAnsi="Arial" w:cs="Arial"/>
          <w:sz w:val="20"/>
          <w:szCs w:val="20"/>
        </w:rPr>
        <w:t>= 0.251, ∆</w:t>
      </w:r>
      <w:r w:rsidR="009D4BA5" w:rsidRPr="009D4BA5">
        <w:rPr>
          <w:rFonts w:ascii="Arial" w:eastAsia="Calibri" w:hAnsi="Arial" w:cs="Arial"/>
          <w:i/>
          <w:sz w:val="20"/>
          <w:szCs w:val="20"/>
        </w:rPr>
        <w:t xml:space="preserve"> R</w:t>
      </w:r>
      <w:r w:rsidR="009D4BA5" w:rsidRPr="009D4BA5">
        <w:rPr>
          <w:rFonts w:ascii="Arial" w:eastAsia="Calibri" w:hAnsi="Arial" w:cs="Arial"/>
          <w:sz w:val="20"/>
          <w:szCs w:val="20"/>
          <w:vertAlign w:val="superscript"/>
        </w:rPr>
        <w:t xml:space="preserve">2 </w:t>
      </w:r>
      <w:r w:rsidR="009D4BA5" w:rsidRPr="009D4BA5">
        <w:rPr>
          <w:rFonts w:ascii="Arial" w:eastAsia="Calibri" w:hAnsi="Arial" w:cs="Arial"/>
          <w:sz w:val="20"/>
          <w:szCs w:val="20"/>
        </w:rPr>
        <w:t>= 0.014</w:t>
      </w:r>
    </w:p>
    <w:p w14:paraId="3D14407D" w14:textId="592AC99C" w:rsidR="00FF7F17" w:rsidRPr="00C8126A" w:rsidRDefault="000C49AD" w:rsidP="00305DAE">
      <w:pPr>
        <w:spacing w:after="0" w:line="480" w:lineRule="auto"/>
        <w:rPr>
          <w:rFonts w:ascii="Arial" w:eastAsia="Calibri" w:hAnsi="Arial" w:cs="Arial"/>
          <w:b/>
        </w:rPr>
      </w:pPr>
      <w:r>
        <w:rPr>
          <w:rFonts w:ascii="Arial" w:eastAsia="Calibri" w:hAnsi="Arial" w:cs="Arial"/>
          <w:b/>
        </w:rPr>
        <w:t>Table 4</w:t>
      </w:r>
      <w:r w:rsidR="00FF7F17" w:rsidRPr="00C8126A">
        <w:rPr>
          <w:rFonts w:ascii="Arial" w:eastAsia="Calibri" w:hAnsi="Arial" w:cs="Arial"/>
          <w:b/>
        </w:rPr>
        <w:t xml:space="preserve"> Hierarchical Regression results for SF12 Mental Health</w:t>
      </w:r>
    </w:p>
    <w:tbl>
      <w:tblPr>
        <w:tblStyle w:val="TableGrid2"/>
        <w:tblW w:w="8219" w:type="dxa"/>
        <w:tblLook w:val="04A0" w:firstRow="1" w:lastRow="0" w:firstColumn="1" w:lastColumn="0" w:noHBand="0" w:noVBand="1"/>
      </w:tblPr>
      <w:tblGrid>
        <w:gridCol w:w="2551"/>
        <w:gridCol w:w="1417"/>
        <w:gridCol w:w="1417"/>
        <w:gridCol w:w="1417"/>
        <w:gridCol w:w="1417"/>
      </w:tblGrid>
      <w:tr w:rsidR="009D4BA5" w:rsidRPr="00C8126A" w14:paraId="49EF5E49" w14:textId="77777777" w:rsidTr="00305DAE">
        <w:tc>
          <w:tcPr>
            <w:tcW w:w="2551" w:type="dxa"/>
            <w:shd w:val="clear" w:color="auto" w:fill="D9D9D9" w:themeFill="background1" w:themeFillShade="D9"/>
            <w:tcMar>
              <w:top w:w="57" w:type="dxa"/>
              <w:bottom w:w="57" w:type="dxa"/>
            </w:tcMar>
          </w:tcPr>
          <w:p w14:paraId="4CFAE2A9" w14:textId="77777777" w:rsidR="009D4BA5" w:rsidRPr="00C8126A" w:rsidRDefault="009D4BA5" w:rsidP="006E66B2">
            <w:pPr>
              <w:rPr>
                <w:rFonts w:ascii="Arial" w:eastAsia="Calibri" w:hAnsi="Arial" w:cs="Arial"/>
              </w:rPr>
            </w:pPr>
          </w:p>
        </w:tc>
        <w:tc>
          <w:tcPr>
            <w:tcW w:w="1417" w:type="dxa"/>
            <w:shd w:val="clear" w:color="auto" w:fill="D9D9D9" w:themeFill="background1" w:themeFillShade="D9"/>
            <w:tcMar>
              <w:top w:w="57" w:type="dxa"/>
              <w:bottom w:w="57" w:type="dxa"/>
            </w:tcMar>
          </w:tcPr>
          <w:p w14:paraId="459EA109" w14:textId="7964AA92" w:rsidR="009D4BA5" w:rsidRPr="00C8126A" w:rsidRDefault="009D4BA5" w:rsidP="006E66B2">
            <w:pPr>
              <w:jc w:val="center"/>
              <w:rPr>
                <w:rFonts w:ascii="Arial" w:eastAsia="Calibri" w:hAnsi="Arial" w:cs="Arial"/>
              </w:rPr>
            </w:pPr>
            <w:r>
              <w:rPr>
                <w:rFonts w:ascii="Arial" w:eastAsia="Calibri" w:hAnsi="Arial" w:cs="Arial"/>
              </w:rPr>
              <w:t>B</w:t>
            </w:r>
          </w:p>
        </w:tc>
        <w:tc>
          <w:tcPr>
            <w:tcW w:w="1417" w:type="dxa"/>
            <w:shd w:val="clear" w:color="auto" w:fill="D9D9D9" w:themeFill="background1" w:themeFillShade="D9"/>
            <w:tcMar>
              <w:top w:w="57" w:type="dxa"/>
              <w:bottom w:w="57" w:type="dxa"/>
            </w:tcMar>
          </w:tcPr>
          <w:p w14:paraId="7194A517" w14:textId="33362568" w:rsidR="009D4BA5" w:rsidRPr="00C8126A" w:rsidRDefault="009D4BA5" w:rsidP="00B476DB">
            <w:pPr>
              <w:jc w:val="center"/>
              <w:rPr>
                <w:rFonts w:ascii="Arial" w:eastAsia="Calibri" w:hAnsi="Arial" w:cs="Arial"/>
              </w:rPr>
            </w:pPr>
            <w:r w:rsidRPr="00DA68D8">
              <w:rPr>
                <w:rFonts w:ascii="Arial" w:eastAsia="Calibri" w:hAnsi="Arial" w:cs="Arial"/>
                <w:i/>
              </w:rPr>
              <w:t>SE</w:t>
            </w:r>
            <w:r>
              <w:rPr>
                <w:rFonts w:ascii="Arial" w:eastAsia="Calibri" w:hAnsi="Arial" w:cs="Arial"/>
              </w:rPr>
              <w:t xml:space="preserve"> B</w:t>
            </w:r>
          </w:p>
        </w:tc>
        <w:tc>
          <w:tcPr>
            <w:tcW w:w="1417" w:type="dxa"/>
            <w:shd w:val="clear" w:color="auto" w:fill="D9D9D9" w:themeFill="background1" w:themeFillShade="D9"/>
          </w:tcPr>
          <w:p w14:paraId="6E8E66DA" w14:textId="57BB583F" w:rsidR="009D4BA5" w:rsidRDefault="009D4BA5" w:rsidP="006E66B2">
            <w:pPr>
              <w:jc w:val="center"/>
              <w:rPr>
                <w:rFonts w:ascii="Arial" w:eastAsia="Calibri" w:hAnsi="Arial" w:cs="Arial"/>
              </w:rPr>
            </w:pPr>
            <w:r>
              <w:rPr>
                <w:rFonts w:ascii="Arial" w:eastAsia="Calibri" w:hAnsi="Arial" w:cs="Arial"/>
              </w:rPr>
              <w:t>B</w:t>
            </w:r>
            <w:r w:rsidRPr="00076391">
              <w:rPr>
                <w:rFonts w:ascii="Arial" w:eastAsia="Calibri" w:hAnsi="Arial" w:cs="Arial"/>
              </w:rPr>
              <w:t xml:space="preserve"> </w:t>
            </w:r>
            <w:r>
              <w:rPr>
                <w:rFonts w:ascii="Arial" w:eastAsia="Calibri" w:hAnsi="Arial" w:cs="Arial"/>
              </w:rPr>
              <w:t>(</w:t>
            </w:r>
            <w:r w:rsidRPr="00076391">
              <w:rPr>
                <w:rFonts w:ascii="Arial" w:eastAsia="Calibri" w:hAnsi="Arial" w:cs="Arial"/>
              </w:rPr>
              <w:t>95% CI</w:t>
            </w:r>
            <w:r>
              <w:rPr>
                <w:rFonts w:ascii="Arial" w:eastAsia="Calibri" w:hAnsi="Arial" w:cs="Arial"/>
              </w:rPr>
              <w:t>)</w:t>
            </w:r>
          </w:p>
        </w:tc>
        <w:tc>
          <w:tcPr>
            <w:tcW w:w="1417" w:type="dxa"/>
            <w:shd w:val="clear" w:color="auto" w:fill="D9D9D9" w:themeFill="background1" w:themeFillShade="D9"/>
            <w:tcMar>
              <w:top w:w="57" w:type="dxa"/>
              <w:bottom w:w="57" w:type="dxa"/>
            </w:tcMar>
          </w:tcPr>
          <w:p w14:paraId="680CB101" w14:textId="77777777" w:rsidR="009D4BA5" w:rsidRPr="00C8126A" w:rsidRDefault="009D4BA5" w:rsidP="006E66B2">
            <w:pPr>
              <w:jc w:val="center"/>
              <w:rPr>
                <w:rFonts w:ascii="Arial" w:eastAsia="Calibri" w:hAnsi="Arial" w:cs="Arial"/>
              </w:rPr>
            </w:pPr>
            <w:r>
              <w:rPr>
                <w:rFonts w:ascii="Arial" w:eastAsia="Calibri" w:hAnsi="Arial" w:cs="Arial"/>
              </w:rPr>
              <w:t>Sig.</w:t>
            </w:r>
          </w:p>
        </w:tc>
      </w:tr>
      <w:tr w:rsidR="009D4BA5" w:rsidRPr="00C8126A" w14:paraId="12D32126" w14:textId="77777777" w:rsidTr="009D4BA5">
        <w:tc>
          <w:tcPr>
            <w:tcW w:w="2551" w:type="dxa"/>
            <w:tcMar>
              <w:top w:w="57" w:type="dxa"/>
              <w:bottom w:w="57" w:type="dxa"/>
            </w:tcMar>
          </w:tcPr>
          <w:p w14:paraId="500FB806" w14:textId="77777777" w:rsidR="009D4BA5" w:rsidRPr="00C8126A" w:rsidRDefault="009D4BA5" w:rsidP="006E66B2">
            <w:pPr>
              <w:rPr>
                <w:rFonts w:ascii="Arial" w:eastAsia="Calibri" w:hAnsi="Arial" w:cs="Arial"/>
              </w:rPr>
            </w:pPr>
            <w:r w:rsidRPr="00C8126A">
              <w:rPr>
                <w:rFonts w:ascii="Arial" w:eastAsia="Calibri" w:hAnsi="Arial" w:cs="Arial"/>
              </w:rPr>
              <w:t>Impairment Level</w:t>
            </w:r>
          </w:p>
        </w:tc>
        <w:tc>
          <w:tcPr>
            <w:tcW w:w="1417" w:type="dxa"/>
            <w:tcMar>
              <w:top w:w="57" w:type="dxa"/>
              <w:bottom w:w="57" w:type="dxa"/>
            </w:tcMar>
          </w:tcPr>
          <w:p w14:paraId="482924FD" w14:textId="77777777" w:rsidR="009D4BA5" w:rsidRPr="00C8126A" w:rsidRDefault="009D4BA5" w:rsidP="006E66B2">
            <w:pPr>
              <w:jc w:val="center"/>
              <w:rPr>
                <w:rFonts w:ascii="Arial" w:eastAsia="Calibri" w:hAnsi="Arial" w:cs="Arial"/>
              </w:rPr>
            </w:pPr>
            <w:r w:rsidRPr="00C8126A">
              <w:rPr>
                <w:rFonts w:ascii="Arial" w:eastAsia="Calibri" w:hAnsi="Arial" w:cs="Arial"/>
              </w:rPr>
              <w:t>0.190</w:t>
            </w:r>
          </w:p>
        </w:tc>
        <w:tc>
          <w:tcPr>
            <w:tcW w:w="1417" w:type="dxa"/>
            <w:tcMar>
              <w:top w:w="57" w:type="dxa"/>
              <w:bottom w:w="57" w:type="dxa"/>
            </w:tcMar>
          </w:tcPr>
          <w:p w14:paraId="6D7CE349" w14:textId="77777777" w:rsidR="009D4BA5" w:rsidRPr="00C8126A" w:rsidRDefault="009D4BA5" w:rsidP="006E66B2">
            <w:pPr>
              <w:jc w:val="center"/>
              <w:rPr>
                <w:rFonts w:ascii="Arial" w:eastAsia="Calibri" w:hAnsi="Arial" w:cs="Arial"/>
              </w:rPr>
            </w:pPr>
            <w:r w:rsidRPr="00C8126A">
              <w:rPr>
                <w:rFonts w:ascii="Arial" w:eastAsia="Calibri" w:hAnsi="Arial" w:cs="Arial"/>
              </w:rPr>
              <w:t>0.060</w:t>
            </w:r>
          </w:p>
        </w:tc>
        <w:tc>
          <w:tcPr>
            <w:tcW w:w="1417" w:type="dxa"/>
          </w:tcPr>
          <w:p w14:paraId="06BE65CA" w14:textId="1BF9652C" w:rsidR="009D4BA5" w:rsidRPr="00C8126A" w:rsidRDefault="009D4BA5" w:rsidP="009D4BA5">
            <w:pPr>
              <w:jc w:val="center"/>
              <w:rPr>
                <w:rFonts w:ascii="Arial" w:eastAsia="Calibri" w:hAnsi="Arial" w:cs="Arial"/>
              </w:rPr>
            </w:pPr>
            <w:r>
              <w:rPr>
                <w:rFonts w:ascii="Arial" w:eastAsia="Calibri" w:hAnsi="Arial" w:cs="Arial"/>
              </w:rPr>
              <w:t>0.07, 0.30</w:t>
            </w:r>
          </w:p>
        </w:tc>
        <w:tc>
          <w:tcPr>
            <w:tcW w:w="1417" w:type="dxa"/>
            <w:tcMar>
              <w:top w:w="57" w:type="dxa"/>
              <w:bottom w:w="57" w:type="dxa"/>
            </w:tcMar>
          </w:tcPr>
          <w:p w14:paraId="5153B1A6" w14:textId="77777777" w:rsidR="009D4BA5" w:rsidRPr="00C8126A" w:rsidRDefault="009D4BA5" w:rsidP="006E66B2">
            <w:pPr>
              <w:jc w:val="center"/>
              <w:rPr>
                <w:rFonts w:ascii="Arial" w:eastAsia="Calibri" w:hAnsi="Arial" w:cs="Arial"/>
              </w:rPr>
            </w:pPr>
            <w:r w:rsidRPr="00C8126A">
              <w:rPr>
                <w:rFonts w:ascii="Arial" w:eastAsia="Calibri" w:hAnsi="Arial" w:cs="Arial"/>
              </w:rPr>
              <w:t>0.002</w:t>
            </w:r>
          </w:p>
        </w:tc>
      </w:tr>
      <w:tr w:rsidR="009D4BA5" w:rsidRPr="00C8126A" w14:paraId="2A37ED67" w14:textId="77777777" w:rsidTr="009D4BA5">
        <w:tc>
          <w:tcPr>
            <w:tcW w:w="2551" w:type="dxa"/>
            <w:tcMar>
              <w:top w:w="57" w:type="dxa"/>
              <w:bottom w:w="57" w:type="dxa"/>
            </w:tcMar>
          </w:tcPr>
          <w:p w14:paraId="122DF0CB" w14:textId="77777777" w:rsidR="009D4BA5" w:rsidRPr="00C8126A" w:rsidRDefault="009D4BA5" w:rsidP="006E66B2">
            <w:pPr>
              <w:rPr>
                <w:rFonts w:ascii="Arial" w:eastAsia="Calibri" w:hAnsi="Arial" w:cs="Arial"/>
              </w:rPr>
            </w:pPr>
            <w:r w:rsidRPr="00C8126A">
              <w:rPr>
                <w:rFonts w:ascii="Arial" w:eastAsia="Calibri" w:hAnsi="Arial" w:cs="Arial"/>
              </w:rPr>
              <w:t>Unable to Work</w:t>
            </w:r>
          </w:p>
        </w:tc>
        <w:tc>
          <w:tcPr>
            <w:tcW w:w="1417" w:type="dxa"/>
            <w:tcMar>
              <w:top w:w="57" w:type="dxa"/>
              <w:bottom w:w="57" w:type="dxa"/>
            </w:tcMar>
          </w:tcPr>
          <w:p w14:paraId="1CC4C93B" w14:textId="77777777" w:rsidR="009D4BA5" w:rsidRPr="00C8126A" w:rsidRDefault="009D4BA5" w:rsidP="006E66B2">
            <w:pPr>
              <w:jc w:val="center"/>
              <w:rPr>
                <w:rFonts w:ascii="Arial" w:eastAsia="Calibri" w:hAnsi="Arial" w:cs="Arial"/>
              </w:rPr>
            </w:pPr>
            <w:r w:rsidRPr="00C8126A">
              <w:rPr>
                <w:rFonts w:ascii="Arial" w:eastAsia="Calibri" w:hAnsi="Arial" w:cs="Arial"/>
              </w:rPr>
              <w:t>5.026</w:t>
            </w:r>
          </w:p>
        </w:tc>
        <w:tc>
          <w:tcPr>
            <w:tcW w:w="1417" w:type="dxa"/>
            <w:tcMar>
              <w:top w:w="57" w:type="dxa"/>
              <w:bottom w:w="57" w:type="dxa"/>
            </w:tcMar>
          </w:tcPr>
          <w:p w14:paraId="44689B00" w14:textId="77777777" w:rsidR="009D4BA5" w:rsidRPr="00C8126A" w:rsidRDefault="009D4BA5" w:rsidP="006E66B2">
            <w:pPr>
              <w:jc w:val="center"/>
              <w:rPr>
                <w:rFonts w:ascii="Arial" w:eastAsia="Calibri" w:hAnsi="Arial" w:cs="Arial"/>
              </w:rPr>
            </w:pPr>
            <w:r w:rsidRPr="00C8126A">
              <w:rPr>
                <w:rFonts w:ascii="Arial" w:eastAsia="Calibri" w:hAnsi="Arial" w:cs="Arial"/>
              </w:rPr>
              <w:t>1.497</w:t>
            </w:r>
          </w:p>
        </w:tc>
        <w:tc>
          <w:tcPr>
            <w:tcW w:w="1417" w:type="dxa"/>
          </w:tcPr>
          <w:p w14:paraId="6AB8C7A2" w14:textId="422ACF71" w:rsidR="009D4BA5" w:rsidRPr="00C8126A" w:rsidRDefault="009D4BA5" w:rsidP="009D4BA5">
            <w:pPr>
              <w:jc w:val="center"/>
              <w:rPr>
                <w:rFonts w:ascii="Arial" w:eastAsia="Calibri" w:hAnsi="Arial" w:cs="Arial"/>
              </w:rPr>
            </w:pPr>
            <w:r>
              <w:rPr>
                <w:rFonts w:ascii="Arial" w:eastAsia="Calibri" w:hAnsi="Arial" w:cs="Arial"/>
              </w:rPr>
              <w:t>2.07, 7.97</w:t>
            </w:r>
          </w:p>
        </w:tc>
        <w:tc>
          <w:tcPr>
            <w:tcW w:w="1417" w:type="dxa"/>
            <w:tcMar>
              <w:top w:w="57" w:type="dxa"/>
              <w:bottom w:w="57" w:type="dxa"/>
            </w:tcMar>
          </w:tcPr>
          <w:p w14:paraId="4DCF713C" w14:textId="77777777" w:rsidR="009D4BA5" w:rsidRPr="00C8126A" w:rsidRDefault="009D4BA5" w:rsidP="006E66B2">
            <w:pPr>
              <w:jc w:val="center"/>
              <w:rPr>
                <w:rFonts w:ascii="Arial" w:eastAsia="Calibri" w:hAnsi="Arial" w:cs="Arial"/>
              </w:rPr>
            </w:pPr>
            <w:r w:rsidRPr="00C8126A">
              <w:rPr>
                <w:rFonts w:ascii="Arial" w:eastAsia="Calibri" w:hAnsi="Arial" w:cs="Arial"/>
              </w:rPr>
              <w:t>0.001</w:t>
            </w:r>
          </w:p>
        </w:tc>
      </w:tr>
      <w:tr w:rsidR="009D4BA5" w:rsidRPr="00C8126A" w14:paraId="1DD6406B" w14:textId="77777777" w:rsidTr="009D4BA5">
        <w:tc>
          <w:tcPr>
            <w:tcW w:w="2551" w:type="dxa"/>
            <w:tcMar>
              <w:top w:w="57" w:type="dxa"/>
              <w:bottom w:w="57" w:type="dxa"/>
            </w:tcMar>
          </w:tcPr>
          <w:p w14:paraId="3E9B63C2" w14:textId="77777777" w:rsidR="009D4BA5" w:rsidRPr="00C8126A" w:rsidRDefault="009D4BA5" w:rsidP="006E66B2">
            <w:pPr>
              <w:rPr>
                <w:rFonts w:ascii="Arial" w:eastAsia="Calibri" w:hAnsi="Arial" w:cs="Arial"/>
              </w:rPr>
            </w:pPr>
            <w:r w:rsidRPr="00C8126A">
              <w:rPr>
                <w:rFonts w:ascii="Arial" w:eastAsia="Calibri" w:hAnsi="Arial" w:cs="Arial"/>
              </w:rPr>
              <w:t>Qualifications</w:t>
            </w:r>
          </w:p>
        </w:tc>
        <w:tc>
          <w:tcPr>
            <w:tcW w:w="1417" w:type="dxa"/>
            <w:tcMar>
              <w:top w:w="57" w:type="dxa"/>
              <w:bottom w:w="57" w:type="dxa"/>
            </w:tcMar>
          </w:tcPr>
          <w:p w14:paraId="22379E3D" w14:textId="77777777" w:rsidR="009D4BA5" w:rsidRPr="00C8126A" w:rsidRDefault="009D4BA5" w:rsidP="006E66B2">
            <w:pPr>
              <w:jc w:val="center"/>
              <w:rPr>
                <w:rFonts w:ascii="Arial" w:eastAsia="Calibri" w:hAnsi="Arial" w:cs="Arial"/>
              </w:rPr>
            </w:pPr>
            <w:r w:rsidRPr="00C8126A">
              <w:rPr>
                <w:rFonts w:ascii="Arial" w:eastAsia="Calibri" w:hAnsi="Arial" w:cs="Arial"/>
              </w:rPr>
              <w:t>- 0.355</w:t>
            </w:r>
          </w:p>
        </w:tc>
        <w:tc>
          <w:tcPr>
            <w:tcW w:w="1417" w:type="dxa"/>
            <w:tcMar>
              <w:top w:w="57" w:type="dxa"/>
              <w:bottom w:w="57" w:type="dxa"/>
            </w:tcMar>
          </w:tcPr>
          <w:p w14:paraId="4ABE43C8" w14:textId="77777777" w:rsidR="009D4BA5" w:rsidRPr="00C8126A" w:rsidRDefault="009D4BA5" w:rsidP="006E66B2">
            <w:pPr>
              <w:jc w:val="center"/>
              <w:rPr>
                <w:rFonts w:ascii="Arial" w:eastAsia="Calibri" w:hAnsi="Arial" w:cs="Arial"/>
              </w:rPr>
            </w:pPr>
            <w:r w:rsidRPr="00C8126A">
              <w:rPr>
                <w:rFonts w:ascii="Arial" w:eastAsia="Calibri" w:hAnsi="Arial" w:cs="Arial"/>
              </w:rPr>
              <w:t>0.276</w:t>
            </w:r>
          </w:p>
        </w:tc>
        <w:tc>
          <w:tcPr>
            <w:tcW w:w="1417" w:type="dxa"/>
          </w:tcPr>
          <w:p w14:paraId="76DF33E3" w14:textId="5F14D787" w:rsidR="009D4BA5" w:rsidRPr="00C8126A" w:rsidRDefault="009D4BA5" w:rsidP="009D4BA5">
            <w:pPr>
              <w:jc w:val="center"/>
              <w:rPr>
                <w:rFonts w:ascii="Arial" w:eastAsia="Calibri" w:hAnsi="Arial" w:cs="Arial"/>
              </w:rPr>
            </w:pPr>
            <w:r>
              <w:rPr>
                <w:rFonts w:ascii="Arial" w:eastAsia="Calibri" w:hAnsi="Arial" w:cs="Arial"/>
              </w:rPr>
              <w:t>-0.89, 0.18</w:t>
            </w:r>
          </w:p>
        </w:tc>
        <w:tc>
          <w:tcPr>
            <w:tcW w:w="1417" w:type="dxa"/>
            <w:tcMar>
              <w:top w:w="57" w:type="dxa"/>
              <w:bottom w:w="57" w:type="dxa"/>
            </w:tcMar>
          </w:tcPr>
          <w:p w14:paraId="6BD67869" w14:textId="77777777" w:rsidR="009D4BA5" w:rsidRPr="00C8126A" w:rsidRDefault="009D4BA5" w:rsidP="006E66B2">
            <w:pPr>
              <w:jc w:val="center"/>
              <w:rPr>
                <w:rFonts w:ascii="Arial" w:eastAsia="Calibri" w:hAnsi="Arial" w:cs="Arial"/>
              </w:rPr>
            </w:pPr>
            <w:r w:rsidRPr="00C8126A">
              <w:rPr>
                <w:rFonts w:ascii="Arial" w:eastAsia="Calibri" w:hAnsi="Arial" w:cs="Arial"/>
              </w:rPr>
              <w:t>0.200</w:t>
            </w:r>
          </w:p>
        </w:tc>
      </w:tr>
      <w:tr w:rsidR="009D4BA5" w:rsidRPr="00C8126A" w14:paraId="2056C620" w14:textId="77777777" w:rsidTr="009D4BA5">
        <w:tc>
          <w:tcPr>
            <w:tcW w:w="2551" w:type="dxa"/>
            <w:tcMar>
              <w:top w:w="57" w:type="dxa"/>
              <w:bottom w:w="57" w:type="dxa"/>
            </w:tcMar>
          </w:tcPr>
          <w:p w14:paraId="174E69D4" w14:textId="77777777" w:rsidR="009D4BA5" w:rsidRPr="00C8126A" w:rsidRDefault="009D4BA5" w:rsidP="006E66B2">
            <w:pPr>
              <w:rPr>
                <w:rFonts w:ascii="Arial" w:eastAsia="Calibri" w:hAnsi="Arial" w:cs="Arial"/>
              </w:rPr>
            </w:pPr>
            <w:r w:rsidRPr="00C8126A">
              <w:rPr>
                <w:rFonts w:ascii="Arial" w:eastAsia="Calibri" w:hAnsi="Arial" w:cs="Arial"/>
              </w:rPr>
              <w:t>Gender</w:t>
            </w:r>
          </w:p>
        </w:tc>
        <w:tc>
          <w:tcPr>
            <w:tcW w:w="1417" w:type="dxa"/>
            <w:tcMar>
              <w:top w:w="57" w:type="dxa"/>
              <w:bottom w:w="57" w:type="dxa"/>
            </w:tcMar>
          </w:tcPr>
          <w:p w14:paraId="3824A5F3" w14:textId="77777777" w:rsidR="009D4BA5" w:rsidRPr="00C8126A" w:rsidRDefault="009D4BA5" w:rsidP="006E66B2">
            <w:pPr>
              <w:jc w:val="center"/>
              <w:rPr>
                <w:rFonts w:ascii="Arial" w:eastAsia="Calibri" w:hAnsi="Arial" w:cs="Arial"/>
              </w:rPr>
            </w:pPr>
            <w:r w:rsidRPr="00C8126A">
              <w:rPr>
                <w:rFonts w:ascii="Arial" w:eastAsia="Calibri" w:hAnsi="Arial" w:cs="Arial"/>
              </w:rPr>
              <w:t>2.077</w:t>
            </w:r>
          </w:p>
        </w:tc>
        <w:tc>
          <w:tcPr>
            <w:tcW w:w="1417" w:type="dxa"/>
            <w:tcMar>
              <w:top w:w="57" w:type="dxa"/>
              <w:bottom w:w="57" w:type="dxa"/>
            </w:tcMar>
          </w:tcPr>
          <w:p w14:paraId="70FF2CCC" w14:textId="77777777" w:rsidR="009D4BA5" w:rsidRPr="00C8126A" w:rsidRDefault="009D4BA5" w:rsidP="006E66B2">
            <w:pPr>
              <w:jc w:val="center"/>
              <w:rPr>
                <w:rFonts w:ascii="Arial" w:eastAsia="Calibri" w:hAnsi="Arial" w:cs="Arial"/>
              </w:rPr>
            </w:pPr>
            <w:r w:rsidRPr="00C8126A">
              <w:rPr>
                <w:rFonts w:ascii="Arial" w:eastAsia="Calibri" w:hAnsi="Arial" w:cs="Arial"/>
              </w:rPr>
              <w:t>1.401</w:t>
            </w:r>
          </w:p>
        </w:tc>
        <w:tc>
          <w:tcPr>
            <w:tcW w:w="1417" w:type="dxa"/>
          </w:tcPr>
          <w:p w14:paraId="5F467DA3" w14:textId="52260411" w:rsidR="009D4BA5" w:rsidRPr="00C8126A" w:rsidRDefault="009D4BA5" w:rsidP="009D4BA5">
            <w:pPr>
              <w:jc w:val="center"/>
              <w:rPr>
                <w:rFonts w:ascii="Arial" w:eastAsia="Calibri" w:hAnsi="Arial" w:cs="Arial"/>
              </w:rPr>
            </w:pPr>
            <w:r>
              <w:rPr>
                <w:rFonts w:ascii="Arial" w:eastAsia="Calibri" w:hAnsi="Arial" w:cs="Arial"/>
              </w:rPr>
              <w:t>-0.68, 4.83</w:t>
            </w:r>
          </w:p>
        </w:tc>
        <w:tc>
          <w:tcPr>
            <w:tcW w:w="1417" w:type="dxa"/>
            <w:tcMar>
              <w:top w:w="57" w:type="dxa"/>
              <w:bottom w:w="57" w:type="dxa"/>
            </w:tcMar>
          </w:tcPr>
          <w:p w14:paraId="2E4ECE8D" w14:textId="77777777" w:rsidR="009D4BA5" w:rsidRPr="00C8126A" w:rsidRDefault="009D4BA5" w:rsidP="006E66B2">
            <w:pPr>
              <w:jc w:val="center"/>
              <w:rPr>
                <w:rFonts w:ascii="Arial" w:eastAsia="Calibri" w:hAnsi="Arial" w:cs="Arial"/>
              </w:rPr>
            </w:pPr>
            <w:r w:rsidRPr="00C8126A">
              <w:rPr>
                <w:rFonts w:ascii="Arial" w:eastAsia="Calibri" w:hAnsi="Arial" w:cs="Arial"/>
              </w:rPr>
              <w:t>0.140</w:t>
            </w:r>
          </w:p>
        </w:tc>
      </w:tr>
      <w:tr w:rsidR="009D4BA5" w:rsidRPr="00C8126A" w14:paraId="75C492DE" w14:textId="77777777" w:rsidTr="009D4BA5">
        <w:tc>
          <w:tcPr>
            <w:tcW w:w="2551" w:type="dxa"/>
            <w:tcMar>
              <w:top w:w="57" w:type="dxa"/>
              <w:bottom w:w="57" w:type="dxa"/>
            </w:tcMar>
          </w:tcPr>
          <w:p w14:paraId="3BFB775E" w14:textId="77777777" w:rsidR="009D4BA5" w:rsidRPr="00C8126A" w:rsidRDefault="009D4BA5" w:rsidP="006E66B2">
            <w:pPr>
              <w:rPr>
                <w:rFonts w:ascii="Arial" w:eastAsia="Calibri" w:hAnsi="Arial" w:cs="Arial"/>
              </w:rPr>
            </w:pPr>
            <w:r w:rsidRPr="00C8126A">
              <w:rPr>
                <w:rFonts w:ascii="Arial" w:eastAsia="Calibri" w:hAnsi="Arial" w:cs="Arial"/>
              </w:rPr>
              <w:t>Live Alone</w:t>
            </w:r>
          </w:p>
        </w:tc>
        <w:tc>
          <w:tcPr>
            <w:tcW w:w="1417" w:type="dxa"/>
            <w:tcMar>
              <w:top w:w="57" w:type="dxa"/>
              <w:bottom w:w="57" w:type="dxa"/>
            </w:tcMar>
          </w:tcPr>
          <w:p w14:paraId="09A7BC22" w14:textId="77777777" w:rsidR="009D4BA5" w:rsidRPr="00C8126A" w:rsidRDefault="009D4BA5" w:rsidP="006E66B2">
            <w:pPr>
              <w:jc w:val="center"/>
              <w:rPr>
                <w:rFonts w:ascii="Arial" w:eastAsia="Calibri" w:hAnsi="Arial" w:cs="Arial"/>
              </w:rPr>
            </w:pPr>
            <w:r w:rsidRPr="00C8126A">
              <w:rPr>
                <w:rFonts w:ascii="Arial" w:eastAsia="Calibri" w:hAnsi="Arial" w:cs="Arial"/>
              </w:rPr>
              <w:t>0.974</w:t>
            </w:r>
          </w:p>
        </w:tc>
        <w:tc>
          <w:tcPr>
            <w:tcW w:w="1417" w:type="dxa"/>
            <w:tcMar>
              <w:top w:w="57" w:type="dxa"/>
              <w:bottom w:w="57" w:type="dxa"/>
            </w:tcMar>
          </w:tcPr>
          <w:p w14:paraId="02E90ED7" w14:textId="77777777" w:rsidR="009D4BA5" w:rsidRPr="00C8126A" w:rsidRDefault="009D4BA5" w:rsidP="006E66B2">
            <w:pPr>
              <w:jc w:val="center"/>
              <w:rPr>
                <w:rFonts w:ascii="Arial" w:eastAsia="Calibri" w:hAnsi="Arial" w:cs="Arial"/>
              </w:rPr>
            </w:pPr>
            <w:r w:rsidRPr="00C8126A">
              <w:rPr>
                <w:rFonts w:ascii="Arial" w:eastAsia="Calibri" w:hAnsi="Arial" w:cs="Arial"/>
              </w:rPr>
              <w:t>1.671</w:t>
            </w:r>
          </w:p>
        </w:tc>
        <w:tc>
          <w:tcPr>
            <w:tcW w:w="1417" w:type="dxa"/>
          </w:tcPr>
          <w:p w14:paraId="6F9A2372" w14:textId="1C00BF3D" w:rsidR="009D4BA5" w:rsidRPr="00C8126A" w:rsidRDefault="00B476DB" w:rsidP="00B476DB">
            <w:pPr>
              <w:jc w:val="center"/>
              <w:rPr>
                <w:rFonts w:ascii="Arial" w:eastAsia="Calibri" w:hAnsi="Arial" w:cs="Arial"/>
              </w:rPr>
            </w:pPr>
            <w:r>
              <w:rPr>
                <w:rFonts w:ascii="Arial" w:eastAsia="Calibri" w:hAnsi="Arial" w:cs="Arial"/>
              </w:rPr>
              <w:t xml:space="preserve">-2.31, </w:t>
            </w:r>
            <w:r w:rsidR="009D4BA5">
              <w:rPr>
                <w:rFonts w:ascii="Arial" w:eastAsia="Calibri" w:hAnsi="Arial" w:cs="Arial"/>
              </w:rPr>
              <w:t>4.26</w:t>
            </w:r>
          </w:p>
        </w:tc>
        <w:tc>
          <w:tcPr>
            <w:tcW w:w="1417" w:type="dxa"/>
            <w:tcMar>
              <w:top w:w="57" w:type="dxa"/>
              <w:bottom w:w="57" w:type="dxa"/>
            </w:tcMar>
          </w:tcPr>
          <w:p w14:paraId="074ED16A" w14:textId="77777777" w:rsidR="009D4BA5" w:rsidRPr="00C8126A" w:rsidRDefault="009D4BA5" w:rsidP="006E66B2">
            <w:pPr>
              <w:jc w:val="center"/>
              <w:rPr>
                <w:rFonts w:ascii="Arial" w:eastAsia="Calibri" w:hAnsi="Arial" w:cs="Arial"/>
              </w:rPr>
            </w:pPr>
            <w:r w:rsidRPr="00C8126A">
              <w:rPr>
                <w:rFonts w:ascii="Arial" w:eastAsia="Calibri" w:hAnsi="Arial" w:cs="Arial"/>
              </w:rPr>
              <w:t>0.561</w:t>
            </w:r>
          </w:p>
        </w:tc>
      </w:tr>
    </w:tbl>
    <w:p w14:paraId="01066141" w14:textId="2CB6AE27" w:rsidR="009D4BA5" w:rsidRPr="009D4BA5" w:rsidRDefault="009D4BA5" w:rsidP="00B476DB">
      <w:pPr>
        <w:spacing w:before="120" w:after="160" w:line="259" w:lineRule="auto"/>
        <w:rPr>
          <w:rFonts w:ascii="Arial" w:eastAsia="Calibri" w:hAnsi="Arial" w:cs="Arial"/>
          <w:sz w:val="20"/>
          <w:szCs w:val="20"/>
        </w:rPr>
      </w:pPr>
      <w:r w:rsidRPr="009D4BA5">
        <w:rPr>
          <w:rFonts w:ascii="Arial" w:eastAsia="Calibri" w:hAnsi="Arial" w:cs="Arial"/>
          <w:sz w:val="20"/>
          <w:szCs w:val="20"/>
        </w:rPr>
        <w:t xml:space="preserve">Note: Step 1 Adj </w:t>
      </w:r>
      <w:r w:rsidRPr="009D4BA5">
        <w:rPr>
          <w:rFonts w:ascii="Arial" w:eastAsia="Calibri" w:hAnsi="Arial" w:cs="Arial"/>
          <w:i/>
          <w:sz w:val="20"/>
          <w:szCs w:val="20"/>
        </w:rPr>
        <w:t>R</w:t>
      </w:r>
      <w:r w:rsidRPr="009D4BA5">
        <w:rPr>
          <w:rFonts w:ascii="Arial" w:eastAsia="Calibri" w:hAnsi="Arial" w:cs="Arial"/>
          <w:sz w:val="20"/>
          <w:szCs w:val="20"/>
          <w:vertAlign w:val="superscript"/>
        </w:rPr>
        <w:t xml:space="preserve">2 </w:t>
      </w:r>
      <w:r>
        <w:rPr>
          <w:rFonts w:ascii="Arial" w:eastAsia="Calibri" w:hAnsi="Arial" w:cs="Arial"/>
          <w:sz w:val="20"/>
          <w:szCs w:val="20"/>
        </w:rPr>
        <w:t>= 0.016</w:t>
      </w:r>
      <w:r w:rsidRPr="009D4BA5">
        <w:rPr>
          <w:rFonts w:ascii="Arial" w:eastAsia="Calibri" w:hAnsi="Arial" w:cs="Arial"/>
          <w:sz w:val="20"/>
          <w:szCs w:val="20"/>
        </w:rPr>
        <w:t xml:space="preserve">; Step 2 Adj </w:t>
      </w:r>
      <w:r w:rsidRPr="009D4BA5">
        <w:rPr>
          <w:rFonts w:ascii="Arial" w:eastAsia="Calibri" w:hAnsi="Arial" w:cs="Arial"/>
          <w:i/>
          <w:sz w:val="20"/>
          <w:szCs w:val="20"/>
        </w:rPr>
        <w:t>R</w:t>
      </w:r>
      <w:r w:rsidRPr="009D4BA5">
        <w:rPr>
          <w:rFonts w:ascii="Arial" w:eastAsia="Calibri" w:hAnsi="Arial" w:cs="Arial"/>
          <w:sz w:val="20"/>
          <w:szCs w:val="20"/>
          <w:vertAlign w:val="superscript"/>
        </w:rPr>
        <w:t xml:space="preserve">2 </w:t>
      </w:r>
      <w:r>
        <w:rPr>
          <w:rFonts w:ascii="Arial" w:eastAsia="Calibri" w:hAnsi="Arial" w:cs="Arial"/>
          <w:sz w:val="20"/>
          <w:szCs w:val="20"/>
        </w:rPr>
        <w:t>= 0.067</w:t>
      </w:r>
      <w:r w:rsidRPr="009D4BA5">
        <w:rPr>
          <w:rFonts w:ascii="Arial" w:eastAsia="Calibri" w:hAnsi="Arial" w:cs="Arial"/>
          <w:sz w:val="20"/>
          <w:szCs w:val="20"/>
        </w:rPr>
        <w:t>, ∆</w:t>
      </w:r>
      <w:r w:rsidRPr="009D4BA5">
        <w:rPr>
          <w:rFonts w:ascii="Arial" w:eastAsia="Calibri" w:hAnsi="Arial" w:cs="Arial"/>
          <w:i/>
          <w:sz w:val="20"/>
          <w:szCs w:val="20"/>
        </w:rPr>
        <w:t xml:space="preserve"> R</w:t>
      </w:r>
      <w:r w:rsidRPr="009D4BA5">
        <w:rPr>
          <w:rFonts w:ascii="Arial" w:eastAsia="Calibri" w:hAnsi="Arial" w:cs="Arial"/>
          <w:sz w:val="20"/>
          <w:szCs w:val="20"/>
          <w:vertAlign w:val="superscript"/>
        </w:rPr>
        <w:t xml:space="preserve">2 </w:t>
      </w:r>
      <w:r w:rsidRPr="009D4BA5">
        <w:rPr>
          <w:rFonts w:ascii="Arial" w:eastAsia="Calibri" w:hAnsi="Arial" w:cs="Arial"/>
          <w:sz w:val="20"/>
          <w:szCs w:val="20"/>
        </w:rPr>
        <w:t xml:space="preserve">= </w:t>
      </w:r>
      <w:r>
        <w:rPr>
          <w:rFonts w:ascii="Arial" w:eastAsia="Calibri" w:hAnsi="Arial" w:cs="Arial"/>
          <w:sz w:val="20"/>
          <w:szCs w:val="20"/>
        </w:rPr>
        <w:t>0.058</w:t>
      </w:r>
      <w:r w:rsidRPr="009D4BA5">
        <w:rPr>
          <w:rFonts w:ascii="Arial" w:eastAsia="Calibri" w:hAnsi="Arial" w:cs="Arial"/>
          <w:sz w:val="20"/>
          <w:szCs w:val="20"/>
        </w:rPr>
        <w:t xml:space="preserve">; Step 3 Adj </w:t>
      </w:r>
      <w:r w:rsidRPr="009D4BA5">
        <w:rPr>
          <w:rFonts w:ascii="Arial" w:eastAsia="Calibri" w:hAnsi="Arial" w:cs="Arial"/>
          <w:i/>
          <w:sz w:val="20"/>
          <w:szCs w:val="20"/>
        </w:rPr>
        <w:t>R</w:t>
      </w:r>
      <w:r w:rsidRPr="009D4BA5">
        <w:rPr>
          <w:rFonts w:ascii="Arial" w:eastAsia="Calibri" w:hAnsi="Arial" w:cs="Arial"/>
          <w:sz w:val="20"/>
          <w:szCs w:val="20"/>
          <w:vertAlign w:val="superscript"/>
        </w:rPr>
        <w:t xml:space="preserve">2 </w:t>
      </w:r>
      <w:r w:rsidRPr="009D4BA5">
        <w:rPr>
          <w:rFonts w:ascii="Arial" w:eastAsia="Calibri" w:hAnsi="Arial" w:cs="Arial"/>
          <w:sz w:val="20"/>
          <w:szCs w:val="20"/>
        </w:rPr>
        <w:t>=</w:t>
      </w:r>
      <w:r>
        <w:rPr>
          <w:rFonts w:ascii="Arial" w:eastAsia="Calibri" w:hAnsi="Arial" w:cs="Arial"/>
          <w:sz w:val="20"/>
          <w:szCs w:val="20"/>
        </w:rPr>
        <w:t xml:space="preserve"> 0.069</w:t>
      </w:r>
      <w:r w:rsidRPr="009D4BA5">
        <w:rPr>
          <w:rFonts w:ascii="Arial" w:eastAsia="Calibri" w:hAnsi="Arial" w:cs="Arial"/>
          <w:sz w:val="20"/>
          <w:szCs w:val="20"/>
        </w:rPr>
        <w:t>, ∆</w:t>
      </w:r>
      <w:r w:rsidRPr="009D4BA5">
        <w:rPr>
          <w:rFonts w:ascii="Arial" w:eastAsia="Calibri" w:hAnsi="Arial" w:cs="Arial"/>
          <w:i/>
          <w:sz w:val="20"/>
          <w:szCs w:val="20"/>
        </w:rPr>
        <w:t xml:space="preserve"> R</w:t>
      </w:r>
      <w:r w:rsidRPr="009D4BA5">
        <w:rPr>
          <w:rFonts w:ascii="Arial" w:eastAsia="Calibri" w:hAnsi="Arial" w:cs="Arial"/>
          <w:sz w:val="20"/>
          <w:szCs w:val="20"/>
          <w:vertAlign w:val="superscript"/>
        </w:rPr>
        <w:t xml:space="preserve">2 </w:t>
      </w:r>
      <w:r w:rsidRPr="009D4BA5">
        <w:rPr>
          <w:rFonts w:ascii="Arial" w:eastAsia="Calibri" w:hAnsi="Arial" w:cs="Arial"/>
          <w:sz w:val="20"/>
          <w:szCs w:val="20"/>
        </w:rPr>
        <w:t>=</w:t>
      </w:r>
      <w:r>
        <w:rPr>
          <w:rFonts w:ascii="Arial" w:eastAsia="Calibri" w:hAnsi="Arial" w:cs="Arial"/>
          <w:sz w:val="20"/>
          <w:szCs w:val="20"/>
        </w:rPr>
        <w:t xml:space="preserve"> 0.009</w:t>
      </w:r>
    </w:p>
    <w:p w14:paraId="50930510" w14:textId="77777777" w:rsidR="00B476DB" w:rsidRDefault="00B476DB" w:rsidP="00FF7F17">
      <w:pPr>
        <w:spacing w:after="160" w:line="360" w:lineRule="auto"/>
        <w:rPr>
          <w:rFonts w:ascii="Arial" w:eastAsia="Calibri" w:hAnsi="Arial" w:cs="Arial"/>
        </w:rPr>
      </w:pPr>
    </w:p>
    <w:p w14:paraId="5A2721B4" w14:textId="26A50E34" w:rsidR="00076391" w:rsidRDefault="00076391" w:rsidP="00305DAE">
      <w:pPr>
        <w:spacing w:after="160" w:line="480" w:lineRule="auto"/>
        <w:rPr>
          <w:rFonts w:ascii="Arial" w:eastAsia="Calibri" w:hAnsi="Arial" w:cs="Arial"/>
        </w:rPr>
      </w:pPr>
      <w:r w:rsidRPr="00076391">
        <w:rPr>
          <w:rFonts w:ascii="Arial" w:eastAsia="Calibri" w:hAnsi="Arial" w:cs="Arial"/>
        </w:rPr>
        <w:t>The model predicting physical health was sig</w:t>
      </w:r>
      <w:r>
        <w:rPr>
          <w:rFonts w:ascii="Arial" w:eastAsia="Calibri" w:hAnsi="Arial" w:cs="Arial"/>
        </w:rPr>
        <w:t>nificant</w:t>
      </w:r>
      <w:r w:rsidRPr="00076391">
        <w:rPr>
          <w:rFonts w:ascii="Arial" w:eastAsia="Calibri" w:hAnsi="Arial" w:cs="Arial"/>
        </w:rPr>
        <w:t xml:space="preserve"> at</w:t>
      </w:r>
      <w:r w:rsidR="00587FB6">
        <w:rPr>
          <w:rFonts w:ascii="Arial" w:eastAsia="Calibri" w:hAnsi="Arial" w:cs="Arial"/>
        </w:rPr>
        <w:t>:</w:t>
      </w:r>
      <w:r w:rsidRPr="00076391">
        <w:rPr>
          <w:rFonts w:ascii="Arial" w:eastAsia="Calibri" w:hAnsi="Arial" w:cs="Arial"/>
        </w:rPr>
        <w:t xml:space="preserve"> step 1</w:t>
      </w:r>
      <w:r w:rsidR="00587FB6">
        <w:rPr>
          <w:rFonts w:ascii="Arial" w:eastAsia="Calibri" w:hAnsi="Arial" w:cs="Arial"/>
        </w:rPr>
        <w:t xml:space="preserve"> - </w:t>
      </w:r>
      <w:r w:rsidRPr="00DA68D8">
        <w:rPr>
          <w:rFonts w:ascii="Arial" w:eastAsia="Calibri" w:hAnsi="Arial" w:cs="Arial"/>
          <w:i/>
        </w:rPr>
        <w:t>F</w:t>
      </w:r>
      <w:r w:rsidR="00DA68D8">
        <w:rPr>
          <w:rFonts w:ascii="Arial" w:eastAsia="Calibri" w:hAnsi="Arial" w:cs="Arial"/>
        </w:rPr>
        <w:t xml:space="preserve"> (1, 273) = 24.526, p &lt; </w:t>
      </w:r>
      <w:r w:rsidR="00587FB6">
        <w:rPr>
          <w:rFonts w:ascii="Arial" w:eastAsia="Calibri" w:hAnsi="Arial" w:cs="Arial"/>
        </w:rPr>
        <w:t xml:space="preserve">.001; </w:t>
      </w:r>
      <w:r w:rsidRPr="00076391">
        <w:rPr>
          <w:rFonts w:ascii="Arial" w:eastAsia="Calibri" w:hAnsi="Arial" w:cs="Arial"/>
        </w:rPr>
        <w:t xml:space="preserve">step 2 </w:t>
      </w:r>
      <w:r w:rsidR="00587FB6">
        <w:rPr>
          <w:rFonts w:ascii="Arial" w:eastAsia="Calibri" w:hAnsi="Arial" w:cs="Arial"/>
        </w:rPr>
        <w:t xml:space="preserve">– </w:t>
      </w:r>
      <w:r w:rsidR="00587FB6" w:rsidRPr="00DA68D8">
        <w:rPr>
          <w:rFonts w:ascii="Arial" w:eastAsia="Calibri" w:hAnsi="Arial" w:cs="Arial"/>
          <w:i/>
        </w:rPr>
        <w:t>F</w:t>
      </w:r>
      <w:r w:rsidR="00587FB6">
        <w:rPr>
          <w:rFonts w:ascii="Arial" w:eastAsia="Calibri" w:hAnsi="Arial" w:cs="Arial"/>
        </w:rPr>
        <w:t xml:space="preserve"> (3, 271) = 30.337, p &lt; </w:t>
      </w:r>
      <w:r w:rsidR="00587FB6" w:rsidRPr="00587FB6">
        <w:rPr>
          <w:rFonts w:ascii="Arial" w:eastAsia="Calibri" w:hAnsi="Arial" w:cs="Arial"/>
        </w:rPr>
        <w:t>.001</w:t>
      </w:r>
      <w:r w:rsidR="00587FB6">
        <w:rPr>
          <w:rFonts w:ascii="Arial" w:eastAsia="Calibri" w:hAnsi="Arial" w:cs="Arial"/>
        </w:rPr>
        <w:t xml:space="preserve">; and step 3 – </w:t>
      </w:r>
      <w:r w:rsidR="00587FB6" w:rsidRPr="00DA68D8">
        <w:rPr>
          <w:rFonts w:ascii="Arial" w:eastAsia="Calibri" w:hAnsi="Arial" w:cs="Arial"/>
          <w:i/>
        </w:rPr>
        <w:t>F</w:t>
      </w:r>
      <w:r w:rsidR="00587FB6">
        <w:rPr>
          <w:rFonts w:ascii="Arial" w:eastAsia="Calibri" w:hAnsi="Arial" w:cs="Arial"/>
        </w:rPr>
        <w:t xml:space="preserve"> (5, 269) = 19.396</w:t>
      </w:r>
      <w:r w:rsidR="00243EEF">
        <w:rPr>
          <w:rFonts w:ascii="Arial" w:eastAsia="Calibri" w:hAnsi="Arial" w:cs="Arial"/>
        </w:rPr>
        <w:t xml:space="preserve"> p &lt; </w:t>
      </w:r>
      <w:r w:rsidR="00587FB6">
        <w:rPr>
          <w:rFonts w:ascii="Arial" w:eastAsia="Calibri" w:hAnsi="Arial" w:cs="Arial"/>
        </w:rPr>
        <w:t>.001</w:t>
      </w:r>
      <w:r w:rsidRPr="00076391">
        <w:rPr>
          <w:rFonts w:ascii="Arial" w:eastAsia="Calibri" w:hAnsi="Arial" w:cs="Arial"/>
        </w:rPr>
        <w:t xml:space="preserve">. </w:t>
      </w:r>
      <w:r w:rsidR="00FF7F17" w:rsidRPr="00C8126A">
        <w:rPr>
          <w:rFonts w:ascii="Arial" w:eastAsia="Calibri" w:hAnsi="Arial" w:cs="Arial"/>
        </w:rPr>
        <w:t xml:space="preserve">The </w:t>
      </w:r>
      <w:r w:rsidR="00FF7F17" w:rsidRPr="00C8126A">
        <w:rPr>
          <w:rFonts w:ascii="Arial" w:eastAsia="Calibri" w:hAnsi="Arial" w:cs="Arial"/>
        </w:rPr>
        <w:lastRenderedPageBreak/>
        <w:t>results for SF12 physical show that together the five variables explained 25% of the variance in physical health related quality of life. However, only three variable</w:t>
      </w:r>
      <w:r w:rsidR="00625446">
        <w:rPr>
          <w:rFonts w:ascii="Arial" w:eastAsia="Calibri" w:hAnsi="Arial" w:cs="Arial"/>
        </w:rPr>
        <w:t>s</w:t>
      </w:r>
      <w:r w:rsidR="00FF7F17" w:rsidRPr="00C8126A">
        <w:rPr>
          <w:rFonts w:ascii="Arial" w:eastAsia="Calibri" w:hAnsi="Arial" w:cs="Arial"/>
        </w:rPr>
        <w:t xml:space="preserve"> make a unique statistically significant contribution (i.e. </w:t>
      </w:r>
      <w:r w:rsidR="00FF7F17" w:rsidRPr="00C8126A">
        <w:rPr>
          <w:rFonts w:ascii="Arial" w:eastAsia="Calibri" w:hAnsi="Arial" w:cs="Arial"/>
          <w:i/>
        </w:rPr>
        <w:t>p</w:t>
      </w:r>
      <w:r w:rsidR="00DA68D8">
        <w:rPr>
          <w:rFonts w:ascii="Arial" w:eastAsia="Calibri" w:hAnsi="Arial" w:cs="Arial"/>
        </w:rPr>
        <w:t>=</w:t>
      </w:r>
      <w:r w:rsidR="00FF7F17" w:rsidRPr="00C8126A">
        <w:rPr>
          <w:rFonts w:ascii="Arial" w:eastAsia="Calibri" w:hAnsi="Arial" w:cs="Arial"/>
        </w:rPr>
        <w:t xml:space="preserve">.05 or less) </w:t>
      </w:r>
      <w:r w:rsidR="00DA68D8">
        <w:rPr>
          <w:rFonts w:ascii="Arial" w:eastAsia="Calibri" w:hAnsi="Arial" w:cs="Arial"/>
        </w:rPr>
        <w:t>–</w:t>
      </w:r>
      <w:r w:rsidR="00FF7F17" w:rsidRPr="00C8126A">
        <w:rPr>
          <w:rFonts w:ascii="Arial" w:eastAsia="Calibri" w:hAnsi="Arial" w:cs="Arial"/>
        </w:rPr>
        <w:t xml:space="preserve"> </w:t>
      </w:r>
      <w:r w:rsidR="00DA68D8">
        <w:rPr>
          <w:rFonts w:ascii="Arial" w:eastAsia="Calibri" w:hAnsi="Arial" w:cs="Arial"/>
        </w:rPr>
        <w:t xml:space="preserve">a higher </w:t>
      </w:r>
      <w:r w:rsidR="00FF7F17" w:rsidRPr="00C8126A">
        <w:rPr>
          <w:rFonts w:ascii="Arial" w:eastAsia="Calibri" w:hAnsi="Arial" w:cs="Arial"/>
        </w:rPr>
        <w:t>level of original impairment, being unable to work, and gender</w:t>
      </w:r>
      <w:r w:rsidR="00DA68D8">
        <w:rPr>
          <w:rFonts w:ascii="Arial" w:eastAsia="Calibri" w:hAnsi="Arial" w:cs="Arial"/>
        </w:rPr>
        <w:t xml:space="preserve"> (being male)</w:t>
      </w:r>
      <w:r w:rsidR="00FF7F17" w:rsidRPr="00C8126A">
        <w:rPr>
          <w:rFonts w:ascii="Arial" w:eastAsia="Calibri" w:hAnsi="Arial" w:cs="Arial"/>
        </w:rPr>
        <w:t xml:space="preserve">, </w:t>
      </w:r>
      <w:r w:rsidR="00DA68D8">
        <w:rPr>
          <w:rFonts w:ascii="Arial" w:eastAsia="Calibri" w:hAnsi="Arial" w:cs="Arial"/>
        </w:rPr>
        <w:t xml:space="preserve">predicted poorer physical health related quality of life, </w:t>
      </w:r>
      <w:r w:rsidR="00FF7F17" w:rsidRPr="00C8126A">
        <w:rPr>
          <w:rFonts w:ascii="Arial" w:eastAsia="Calibri" w:hAnsi="Arial" w:cs="Arial"/>
        </w:rPr>
        <w:t xml:space="preserve">with being unable to work accounting for most of the variance. </w:t>
      </w:r>
    </w:p>
    <w:p w14:paraId="2DB5D071" w14:textId="7ADDF67A" w:rsidR="00FF7F17" w:rsidRPr="001603AB" w:rsidRDefault="00076391" w:rsidP="001603AB">
      <w:pPr>
        <w:spacing w:after="160" w:line="480" w:lineRule="auto"/>
        <w:rPr>
          <w:rFonts w:ascii="Arial" w:eastAsia="Calibri" w:hAnsi="Arial" w:cs="Arial"/>
        </w:rPr>
      </w:pPr>
      <w:r w:rsidRPr="00243EEF">
        <w:rPr>
          <w:rFonts w:ascii="Arial" w:eastAsia="Calibri" w:hAnsi="Arial" w:cs="Arial"/>
        </w:rPr>
        <w:t xml:space="preserve">The model predicting mental health was sig </w:t>
      </w:r>
      <w:r w:rsidR="00243EEF" w:rsidRPr="00243EEF">
        <w:rPr>
          <w:rFonts w:ascii="Arial" w:eastAsia="Calibri" w:hAnsi="Arial" w:cs="Arial"/>
        </w:rPr>
        <w:t>at</w:t>
      </w:r>
      <w:r w:rsidR="00243EEF">
        <w:rPr>
          <w:rFonts w:ascii="Arial" w:eastAsia="Calibri" w:hAnsi="Arial" w:cs="Arial"/>
        </w:rPr>
        <w:t>:</w:t>
      </w:r>
      <w:r w:rsidR="00243EEF" w:rsidRPr="00076391">
        <w:rPr>
          <w:rFonts w:ascii="Arial" w:eastAsia="Calibri" w:hAnsi="Arial" w:cs="Arial"/>
        </w:rPr>
        <w:t xml:space="preserve"> step 1</w:t>
      </w:r>
      <w:r w:rsidR="00243EEF">
        <w:rPr>
          <w:rFonts w:ascii="Arial" w:eastAsia="Calibri" w:hAnsi="Arial" w:cs="Arial"/>
        </w:rPr>
        <w:t xml:space="preserve"> - </w:t>
      </w:r>
      <w:r w:rsidR="00243EEF" w:rsidRPr="00DA68D8">
        <w:rPr>
          <w:rFonts w:ascii="Arial" w:eastAsia="Calibri" w:hAnsi="Arial" w:cs="Arial"/>
          <w:i/>
        </w:rPr>
        <w:t>F</w:t>
      </w:r>
      <w:r w:rsidR="00243EEF">
        <w:rPr>
          <w:rFonts w:ascii="Arial" w:eastAsia="Calibri" w:hAnsi="Arial" w:cs="Arial"/>
        </w:rPr>
        <w:t xml:space="preserve"> (1, 273) = 5.348, </w:t>
      </w:r>
      <w:r w:rsidR="00DA68D8">
        <w:rPr>
          <w:rFonts w:ascii="Arial" w:eastAsia="Calibri" w:hAnsi="Arial" w:cs="Arial"/>
        </w:rPr>
        <w:t>p =</w:t>
      </w:r>
      <w:r w:rsidR="007563C2">
        <w:rPr>
          <w:rFonts w:ascii="Arial" w:eastAsia="Calibri" w:hAnsi="Arial" w:cs="Arial"/>
        </w:rPr>
        <w:t>.021</w:t>
      </w:r>
      <w:r w:rsidR="00243EEF">
        <w:rPr>
          <w:rFonts w:ascii="Arial" w:eastAsia="Calibri" w:hAnsi="Arial" w:cs="Arial"/>
        </w:rPr>
        <w:t xml:space="preserve">; </w:t>
      </w:r>
      <w:r w:rsidR="00243EEF" w:rsidRPr="00076391">
        <w:rPr>
          <w:rFonts w:ascii="Arial" w:eastAsia="Calibri" w:hAnsi="Arial" w:cs="Arial"/>
        </w:rPr>
        <w:t xml:space="preserve">step 2 </w:t>
      </w:r>
      <w:r w:rsidR="00243EEF">
        <w:rPr>
          <w:rFonts w:ascii="Arial" w:eastAsia="Calibri" w:hAnsi="Arial" w:cs="Arial"/>
        </w:rPr>
        <w:t xml:space="preserve">– </w:t>
      </w:r>
      <w:r w:rsidR="00243EEF" w:rsidRPr="007563C2">
        <w:rPr>
          <w:rFonts w:ascii="Arial" w:eastAsia="Calibri" w:hAnsi="Arial" w:cs="Arial"/>
          <w:i/>
        </w:rPr>
        <w:t>F</w:t>
      </w:r>
      <w:r w:rsidR="00243EEF">
        <w:rPr>
          <w:rFonts w:ascii="Arial" w:eastAsia="Calibri" w:hAnsi="Arial" w:cs="Arial"/>
        </w:rPr>
        <w:t xml:space="preserve"> (3, 271) = 7.514, p &lt; </w:t>
      </w:r>
      <w:r w:rsidR="00243EEF" w:rsidRPr="00587FB6">
        <w:rPr>
          <w:rFonts w:ascii="Arial" w:eastAsia="Calibri" w:hAnsi="Arial" w:cs="Arial"/>
        </w:rPr>
        <w:t>.001</w:t>
      </w:r>
      <w:r w:rsidR="00243EEF">
        <w:rPr>
          <w:rFonts w:ascii="Arial" w:eastAsia="Calibri" w:hAnsi="Arial" w:cs="Arial"/>
        </w:rPr>
        <w:t xml:space="preserve">; and step 3 – </w:t>
      </w:r>
      <w:r w:rsidR="00243EEF" w:rsidRPr="007563C2">
        <w:rPr>
          <w:rFonts w:ascii="Arial" w:eastAsia="Calibri" w:hAnsi="Arial" w:cs="Arial"/>
          <w:i/>
        </w:rPr>
        <w:t>F</w:t>
      </w:r>
      <w:r w:rsidR="007563C2">
        <w:rPr>
          <w:rFonts w:ascii="Arial" w:eastAsia="Calibri" w:hAnsi="Arial" w:cs="Arial"/>
        </w:rPr>
        <w:t xml:space="preserve"> (5, 269) = 5.080 p &lt; </w:t>
      </w:r>
      <w:r w:rsidR="00243EEF">
        <w:rPr>
          <w:rFonts w:ascii="Arial" w:eastAsia="Calibri" w:hAnsi="Arial" w:cs="Arial"/>
        </w:rPr>
        <w:t>.001</w:t>
      </w:r>
      <w:r w:rsidR="00243EEF" w:rsidRPr="00076391">
        <w:rPr>
          <w:rFonts w:ascii="Arial" w:eastAsia="Calibri" w:hAnsi="Arial" w:cs="Arial"/>
        </w:rPr>
        <w:t xml:space="preserve">. </w:t>
      </w:r>
      <w:r w:rsidR="00FF7F17" w:rsidRPr="00C8126A">
        <w:rPr>
          <w:rFonts w:ascii="Arial" w:eastAsia="Calibri" w:hAnsi="Arial" w:cs="Arial"/>
        </w:rPr>
        <w:t xml:space="preserve">For mental health related quality of life, the five variables explained just 7% of the variance in SF12 mental health scores, with only two variables </w:t>
      </w:r>
      <w:r w:rsidR="007563C2">
        <w:rPr>
          <w:rFonts w:ascii="Arial" w:eastAsia="Calibri" w:hAnsi="Arial" w:cs="Arial"/>
        </w:rPr>
        <w:t>–</w:t>
      </w:r>
      <w:r w:rsidR="00FF7F17" w:rsidRPr="00C8126A">
        <w:rPr>
          <w:rFonts w:ascii="Arial" w:eastAsia="Calibri" w:hAnsi="Arial" w:cs="Arial"/>
        </w:rPr>
        <w:t xml:space="preserve"> </w:t>
      </w:r>
      <w:r w:rsidR="007563C2">
        <w:rPr>
          <w:rFonts w:ascii="Arial" w:eastAsia="Calibri" w:hAnsi="Arial" w:cs="Arial"/>
        </w:rPr>
        <w:t xml:space="preserve">lower </w:t>
      </w:r>
      <w:r w:rsidR="00FF7F17" w:rsidRPr="00C8126A">
        <w:rPr>
          <w:rFonts w:ascii="Arial" w:eastAsia="Calibri" w:hAnsi="Arial" w:cs="Arial"/>
        </w:rPr>
        <w:t>level of original impai</w:t>
      </w:r>
      <w:r w:rsidR="007563C2">
        <w:rPr>
          <w:rFonts w:ascii="Arial" w:eastAsia="Calibri" w:hAnsi="Arial" w:cs="Arial"/>
        </w:rPr>
        <w:t>rment and being unable to work,</w:t>
      </w:r>
      <w:r w:rsidR="00FF7F17" w:rsidRPr="00C8126A">
        <w:rPr>
          <w:rFonts w:ascii="Arial" w:eastAsia="Calibri" w:hAnsi="Arial" w:cs="Arial"/>
        </w:rPr>
        <w:t xml:space="preserve"> making a unique statisti</w:t>
      </w:r>
      <w:r w:rsidR="007563C2">
        <w:rPr>
          <w:rFonts w:ascii="Arial" w:eastAsia="Calibri" w:hAnsi="Arial" w:cs="Arial"/>
        </w:rPr>
        <w:t xml:space="preserve">cally significant contribution to predicting poorer mental health related quality of life. </w:t>
      </w:r>
    </w:p>
    <w:p w14:paraId="330A50E0" w14:textId="38DB5001" w:rsidR="00FF7F17" w:rsidRPr="00DB1D90" w:rsidRDefault="00DB1D90" w:rsidP="00305DAE">
      <w:pPr>
        <w:spacing w:after="0" w:line="480" w:lineRule="auto"/>
        <w:jc w:val="both"/>
        <w:rPr>
          <w:rFonts w:ascii="Arial" w:hAnsi="Arial" w:cs="Arial"/>
          <w:b/>
          <w:sz w:val="36"/>
          <w:szCs w:val="36"/>
        </w:rPr>
      </w:pPr>
      <w:r w:rsidRPr="00DB1D90">
        <w:rPr>
          <w:rFonts w:ascii="Arial" w:hAnsi="Arial" w:cs="Arial"/>
          <w:b/>
          <w:sz w:val="36"/>
          <w:szCs w:val="36"/>
        </w:rPr>
        <w:t>Discussion</w:t>
      </w:r>
    </w:p>
    <w:p w14:paraId="2DCD6257" w14:textId="4CCDAFE0" w:rsidR="00BE2FE8" w:rsidRDefault="00BE2FE8" w:rsidP="00305DAE">
      <w:pPr>
        <w:spacing w:after="0" w:line="480" w:lineRule="auto"/>
        <w:jc w:val="both"/>
        <w:rPr>
          <w:rFonts w:ascii="Arial" w:hAnsi="Arial" w:cs="Arial"/>
        </w:rPr>
      </w:pPr>
      <w:r>
        <w:rPr>
          <w:rFonts w:ascii="Arial" w:hAnsi="Arial" w:cs="Arial"/>
        </w:rPr>
        <w:t xml:space="preserve">Over the past five decades, the lives of UK </w:t>
      </w:r>
      <w:r w:rsidRPr="00BE2FE8">
        <w:rPr>
          <w:rFonts w:ascii="Arial" w:hAnsi="Arial" w:cs="Arial"/>
        </w:rPr>
        <w:t>Thalidomide survivors</w:t>
      </w:r>
      <w:r>
        <w:rPr>
          <w:rFonts w:ascii="Arial" w:hAnsi="Arial" w:cs="Arial"/>
        </w:rPr>
        <w:t>’</w:t>
      </w:r>
      <w:r w:rsidRPr="00BE2FE8">
        <w:rPr>
          <w:rFonts w:ascii="Arial" w:hAnsi="Arial" w:cs="Arial"/>
        </w:rPr>
        <w:t xml:space="preserve"> have been documented in the media</w:t>
      </w:r>
      <w:r>
        <w:rPr>
          <w:rFonts w:ascii="Arial" w:hAnsi="Arial" w:cs="Arial"/>
        </w:rPr>
        <w:t xml:space="preserve">. They are </w:t>
      </w:r>
      <w:r w:rsidR="00EB4760">
        <w:rPr>
          <w:rFonts w:ascii="Arial" w:hAnsi="Arial" w:cs="Arial"/>
        </w:rPr>
        <w:t>(</w:t>
      </w:r>
      <w:r>
        <w:rPr>
          <w:rFonts w:ascii="Arial" w:hAnsi="Arial" w:cs="Arial"/>
        </w:rPr>
        <w:t>rightly</w:t>
      </w:r>
      <w:r w:rsidR="00EB4760">
        <w:rPr>
          <w:rFonts w:ascii="Arial" w:hAnsi="Arial" w:cs="Arial"/>
        </w:rPr>
        <w:t>)</w:t>
      </w:r>
      <w:r>
        <w:rPr>
          <w:rFonts w:ascii="Arial" w:hAnsi="Arial" w:cs="Arial"/>
        </w:rPr>
        <w:t xml:space="preserve"> often portrayed as remarkable individuals who have overcome </w:t>
      </w:r>
      <w:r w:rsidR="00EA13CF">
        <w:rPr>
          <w:rFonts w:ascii="Arial" w:hAnsi="Arial" w:cs="Arial"/>
        </w:rPr>
        <w:t xml:space="preserve">a unique range of </w:t>
      </w:r>
      <w:r>
        <w:rPr>
          <w:rFonts w:ascii="Arial" w:hAnsi="Arial" w:cs="Arial"/>
        </w:rPr>
        <w:t>physical</w:t>
      </w:r>
      <w:r w:rsidR="004F79AF">
        <w:rPr>
          <w:rFonts w:ascii="Arial" w:hAnsi="Arial" w:cs="Arial"/>
        </w:rPr>
        <w:t xml:space="preserve"> impairments to lead active and productive</w:t>
      </w:r>
      <w:r>
        <w:rPr>
          <w:rFonts w:ascii="Arial" w:hAnsi="Arial" w:cs="Arial"/>
        </w:rPr>
        <w:t xml:space="preserve"> lives. However, the findings from this first comprehensive investigation of the health of UK Thalidomide survivors </w:t>
      </w:r>
      <w:r w:rsidR="007D1059">
        <w:rPr>
          <w:rFonts w:ascii="Arial" w:hAnsi="Arial" w:cs="Arial"/>
        </w:rPr>
        <w:t xml:space="preserve">in their early/mid 50s </w:t>
      </w:r>
      <w:r>
        <w:rPr>
          <w:rFonts w:ascii="Arial" w:hAnsi="Arial" w:cs="Arial"/>
        </w:rPr>
        <w:t>show</w:t>
      </w:r>
      <w:r w:rsidR="004F79AF">
        <w:rPr>
          <w:rFonts w:ascii="Arial" w:hAnsi="Arial" w:cs="Arial"/>
        </w:rPr>
        <w:t xml:space="preserve"> that</w:t>
      </w:r>
      <w:r w:rsidR="00EA13CF">
        <w:rPr>
          <w:rFonts w:ascii="Arial" w:hAnsi="Arial" w:cs="Arial"/>
        </w:rPr>
        <w:t xml:space="preserve"> in addition to their original impairments, </w:t>
      </w:r>
      <w:r w:rsidR="00EA13CF" w:rsidRPr="00BE2FE8">
        <w:rPr>
          <w:rFonts w:ascii="Arial" w:hAnsi="Arial" w:cs="Arial"/>
        </w:rPr>
        <w:t>many</w:t>
      </w:r>
      <w:r w:rsidRPr="00BE2FE8">
        <w:rPr>
          <w:rFonts w:ascii="Arial" w:hAnsi="Arial" w:cs="Arial"/>
        </w:rPr>
        <w:t xml:space="preserve"> are now reporting multiple </w:t>
      </w:r>
      <w:r w:rsidR="00EA13CF">
        <w:rPr>
          <w:rFonts w:ascii="Arial" w:hAnsi="Arial" w:cs="Arial"/>
        </w:rPr>
        <w:t xml:space="preserve">secondary </w:t>
      </w:r>
      <w:r w:rsidRPr="00BE2FE8">
        <w:rPr>
          <w:rFonts w:ascii="Arial" w:hAnsi="Arial" w:cs="Arial"/>
        </w:rPr>
        <w:t>health problems and rapid loss of function</w:t>
      </w:r>
      <w:r w:rsidR="00616B53">
        <w:rPr>
          <w:rFonts w:ascii="Arial" w:hAnsi="Arial" w:cs="Arial"/>
        </w:rPr>
        <w:t>, thereby creating the potential for further disabling consequences.</w:t>
      </w:r>
      <w:r w:rsidR="004F79AF">
        <w:rPr>
          <w:rFonts w:ascii="Arial" w:hAnsi="Arial" w:cs="Arial"/>
        </w:rPr>
        <w:t xml:space="preserve"> The layering of these secondary health problems on to lifelong impairments is </w:t>
      </w:r>
      <w:r w:rsidR="00EA13CF">
        <w:rPr>
          <w:rFonts w:ascii="Arial" w:hAnsi="Arial" w:cs="Arial"/>
        </w:rPr>
        <w:t>causing</w:t>
      </w:r>
      <w:r w:rsidR="004F79AF">
        <w:rPr>
          <w:rFonts w:ascii="Arial" w:hAnsi="Arial" w:cs="Arial"/>
        </w:rPr>
        <w:t xml:space="preserve"> many Thalidomide survivors </w:t>
      </w:r>
      <w:r w:rsidR="00EA13CF">
        <w:rPr>
          <w:rFonts w:ascii="Arial" w:hAnsi="Arial" w:cs="Arial"/>
        </w:rPr>
        <w:t xml:space="preserve">to </w:t>
      </w:r>
      <w:r w:rsidR="004F79AF">
        <w:rPr>
          <w:rFonts w:ascii="Arial" w:hAnsi="Arial" w:cs="Arial"/>
        </w:rPr>
        <w:t>giv</w:t>
      </w:r>
      <w:r w:rsidR="00EA13CF">
        <w:rPr>
          <w:rFonts w:ascii="Arial" w:hAnsi="Arial" w:cs="Arial"/>
        </w:rPr>
        <w:t>e</w:t>
      </w:r>
      <w:r w:rsidR="004F79AF">
        <w:rPr>
          <w:rFonts w:ascii="Arial" w:hAnsi="Arial" w:cs="Arial"/>
        </w:rPr>
        <w:t xml:space="preserve"> up paid </w:t>
      </w:r>
      <w:r w:rsidR="0029780F">
        <w:rPr>
          <w:rFonts w:ascii="Arial" w:hAnsi="Arial" w:cs="Arial"/>
        </w:rPr>
        <w:t xml:space="preserve">work </w:t>
      </w:r>
      <w:r w:rsidR="007D1059">
        <w:rPr>
          <w:rFonts w:ascii="Arial" w:hAnsi="Arial" w:cs="Arial"/>
        </w:rPr>
        <w:t xml:space="preserve">prematurely </w:t>
      </w:r>
      <w:r w:rsidR="00D14B93">
        <w:rPr>
          <w:rFonts w:ascii="Arial" w:hAnsi="Arial" w:cs="Arial"/>
        </w:rPr>
        <w:t xml:space="preserve">(a trend which has accelerated in the last 10 years), </w:t>
      </w:r>
      <w:r w:rsidR="0029780F">
        <w:rPr>
          <w:rFonts w:ascii="Arial" w:hAnsi="Arial" w:cs="Arial"/>
        </w:rPr>
        <w:t>and need more help in their daily lives</w:t>
      </w:r>
      <w:r w:rsidR="00EA13CF">
        <w:rPr>
          <w:rFonts w:ascii="Arial" w:hAnsi="Arial" w:cs="Arial"/>
        </w:rPr>
        <w:t>. From being hitherto relatively independent, they appear to be</w:t>
      </w:r>
      <w:r w:rsidR="004F79AF">
        <w:rPr>
          <w:rFonts w:ascii="Arial" w:hAnsi="Arial" w:cs="Arial"/>
        </w:rPr>
        <w:t xml:space="preserve"> </w:t>
      </w:r>
      <w:r w:rsidR="00EA13CF">
        <w:rPr>
          <w:rFonts w:ascii="Arial" w:hAnsi="Arial" w:cs="Arial"/>
        </w:rPr>
        <w:t>increasingly</w:t>
      </w:r>
      <w:r w:rsidR="004F79AF">
        <w:rPr>
          <w:rFonts w:ascii="Arial" w:hAnsi="Arial" w:cs="Arial"/>
        </w:rPr>
        <w:t xml:space="preserve"> out of step with their </w:t>
      </w:r>
      <w:r w:rsidR="00EA13CF">
        <w:rPr>
          <w:rFonts w:ascii="Arial" w:hAnsi="Arial" w:cs="Arial"/>
        </w:rPr>
        <w:t xml:space="preserve">non-disabled </w:t>
      </w:r>
      <w:r w:rsidR="004F79AF">
        <w:rPr>
          <w:rFonts w:ascii="Arial" w:hAnsi="Arial" w:cs="Arial"/>
        </w:rPr>
        <w:t xml:space="preserve">peers at the same stage in the life course. </w:t>
      </w:r>
    </w:p>
    <w:p w14:paraId="3B426997" w14:textId="77777777" w:rsidR="00D14B93" w:rsidRDefault="00D14B93" w:rsidP="00305DAE">
      <w:pPr>
        <w:spacing w:after="0" w:line="480" w:lineRule="auto"/>
        <w:jc w:val="both"/>
        <w:rPr>
          <w:rFonts w:ascii="Arial" w:hAnsi="Arial" w:cs="Arial"/>
        </w:rPr>
      </w:pPr>
    </w:p>
    <w:p w14:paraId="7DD9925B" w14:textId="30EF78CE" w:rsidR="00B251DA" w:rsidRDefault="004F79AF" w:rsidP="00305DAE">
      <w:pPr>
        <w:spacing w:after="0" w:line="480" w:lineRule="auto"/>
        <w:jc w:val="both"/>
        <w:rPr>
          <w:rFonts w:ascii="Arial" w:hAnsi="Arial" w:cs="Arial"/>
        </w:rPr>
      </w:pPr>
      <w:r w:rsidRPr="004F79AF">
        <w:rPr>
          <w:rFonts w:ascii="Arial" w:hAnsi="Arial" w:cs="Arial"/>
        </w:rPr>
        <w:t>M</w:t>
      </w:r>
      <w:r w:rsidR="00EA13CF">
        <w:rPr>
          <w:rFonts w:ascii="Arial" w:hAnsi="Arial" w:cs="Arial"/>
        </w:rPr>
        <w:t>usculoskeletal</w:t>
      </w:r>
      <w:r w:rsidRPr="004F79AF">
        <w:rPr>
          <w:rFonts w:ascii="Arial" w:hAnsi="Arial" w:cs="Arial"/>
        </w:rPr>
        <w:t xml:space="preserve"> problems were over four times as common am</w:t>
      </w:r>
      <w:r>
        <w:rPr>
          <w:rFonts w:ascii="Arial" w:hAnsi="Arial" w:cs="Arial"/>
        </w:rPr>
        <w:t>ongst Thalidomide survivors as</w:t>
      </w:r>
      <w:r w:rsidRPr="004F79AF">
        <w:rPr>
          <w:rFonts w:ascii="Arial" w:hAnsi="Arial" w:cs="Arial"/>
        </w:rPr>
        <w:t xml:space="preserve"> in the general population of a similar age</w:t>
      </w:r>
      <w:r>
        <w:rPr>
          <w:rFonts w:ascii="Arial" w:hAnsi="Arial" w:cs="Arial"/>
        </w:rPr>
        <w:t xml:space="preserve">, and </w:t>
      </w:r>
      <w:r w:rsidR="00302409">
        <w:rPr>
          <w:rFonts w:ascii="Arial" w:hAnsi="Arial" w:cs="Arial"/>
        </w:rPr>
        <w:t>a high proportion</w:t>
      </w:r>
      <w:r>
        <w:rPr>
          <w:rFonts w:ascii="Arial" w:hAnsi="Arial" w:cs="Arial"/>
        </w:rPr>
        <w:t xml:space="preserve"> experience multiple </w:t>
      </w:r>
      <w:r w:rsidR="007D1059">
        <w:rPr>
          <w:rFonts w:ascii="Arial" w:hAnsi="Arial" w:cs="Arial"/>
        </w:rPr>
        <w:lastRenderedPageBreak/>
        <w:t>musculoskeletal</w:t>
      </w:r>
      <w:r w:rsidRPr="004F79AF">
        <w:rPr>
          <w:rFonts w:ascii="Arial" w:hAnsi="Arial" w:cs="Arial"/>
        </w:rPr>
        <w:t xml:space="preserve"> problems</w:t>
      </w:r>
      <w:r w:rsidR="00302409">
        <w:rPr>
          <w:rFonts w:ascii="Arial" w:hAnsi="Arial" w:cs="Arial"/>
        </w:rPr>
        <w:t>.</w:t>
      </w:r>
      <w:r w:rsidR="00381CB9">
        <w:rPr>
          <w:rFonts w:ascii="Arial" w:hAnsi="Arial" w:cs="Arial"/>
        </w:rPr>
        <w:t xml:space="preserve"> </w:t>
      </w:r>
      <w:r w:rsidR="00302409">
        <w:rPr>
          <w:rFonts w:ascii="Arial" w:hAnsi="Arial" w:cs="Arial"/>
        </w:rPr>
        <w:t>These problems</w:t>
      </w:r>
      <w:r>
        <w:rPr>
          <w:rFonts w:ascii="Arial" w:hAnsi="Arial" w:cs="Arial"/>
        </w:rPr>
        <w:t xml:space="preserve"> are leading to l</w:t>
      </w:r>
      <w:r w:rsidR="00057169">
        <w:rPr>
          <w:rFonts w:ascii="Arial" w:hAnsi="Arial" w:cs="Arial"/>
        </w:rPr>
        <w:t xml:space="preserve">oss of function and associated </w:t>
      </w:r>
      <w:r w:rsidR="00057169" w:rsidRPr="00057169">
        <w:rPr>
          <w:rFonts w:ascii="Arial" w:hAnsi="Arial" w:cs="Arial"/>
        </w:rPr>
        <w:t>difficulties with activities of daily living</w:t>
      </w:r>
      <w:r w:rsidR="00B251DA">
        <w:rPr>
          <w:rFonts w:ascii="Arial" w:hAnsi="Arial" w:cs="Arial"/>
        </w:rPr>
        <w:t xml:space="preserve"> and for many this is having a negative impact on their mental wellbeing. </w:t>
      </w:r>
      <w:r w:rsidR="00A608FF">
        <w:rPr>
          <w:rFonts w:ascii="Arial" w:hAnsi="Arial" w:cs="Arial"/>
        </w:rPr>
        <w:t>This link has been found in other studies</w:t>
      </w:r>
      <w:r w:rsidR="007D1059">
        <w:rPr>
          <w:rFonts w:ascii="Arial" w:hAnsi="Arial" w:cs="Arial"/>
        </w:rPr>
        <w:t xml:space="preserve"> of disabled people</w:t>
      </w:r>
      <w:r w:rsidR="00A608FF">
        <w:rPr>
          <w:rFonts w:ascii="Arial" w:hAnsi="Arial" w:cs="Arial"/>
        </w:rPr>
        <w:t xml:space="preserve">. </w:t>
      </w:r>
      <w:r w:rsidR="00B251DA">
        <w:rPr>
          <w:rFonts w:ascii="Arial" w:hAnsi="Arial" w:cs="Arial"/>
        </w:rPr>
        <w:t xml:space="preserve">Melzer </w:t>
      </w:r>
      <w:r w:rsidR="00415BE0" w:rsidRPr="00415BE0">
        <w:rPr>
          <w:rFonts w:ascii="Arial" w:hAnsi="Arial" w:cs="Arial"/>
        </w:rPr>
        <w:t>et al.</w:t>
      </w:r>
      <w:r w:rsidR="00B251DA">
        <w:rPr>
          <w:rFonts w:ascii="Arial" w:hAnsi="Arial" w:cs="Arial"/>
        </w:rPr>
        <w:t xml:space="preserve"> </w:t>
      </w:r>
      <w:r w:rsidR="00751ACB">
        <w:rPr>
          <w:rFonts w:ascii="Arial" w:hAnsi="Arial" w:cs="Arial"/>
        </w:rPr>
        <w:t xml:space="preserve">[17] </w:t>
      </w:r>
      <w:r w:rsidR="00A608FF">
        <w:rPr>
          <w:rFonts w:ascii="Arial" w:hAnsi="Arial" w:cs="Arial"/>
        </w:rPr>
        <w:t>found that the number</w:t>
      </w:r>
      <w:r w:rsidR="00B251DA">
        <w:rPr>
          <w:rFonts w:ascii="Arial" w:hAnsi="Arial" w:cs="Arial"/>
        </w:rPr>
        <w:t xml:space="preserve"> of Activities of Daily Living/Instrumental Activities of Daily Living </w:t>
      </w:r>
      <w:r w:rsidR="007D1059">
        <w:rPr>
          <w:rFonts w:ascii="Arial" w:hAnsi="Arial" w:cs="Arial"/>
        </w:rPr>
        <w:t xml:space="preserve">that </w:t>
      </w:r>
      <w:r w:rsidR="00B251DA">
        <w:rPr>
          <w:rFonts w:ascii="Arial" w:hAnsi="Arial" w:cs="Arial"/>
        </w:rPr>
        <w:t>peop</w:t>
      </w:r>
      <w:r w:rsidR="00A608FF">
        <w:rPr>
          <w:rFonts w:ascii="Arial" w:hAnsi="Arial" w:cs="Arial"/>
        </w:rPr>
        <w:t>le with disabilities had difficulties with, had</w:t>
      </w:r>
      <w:r w:rsidR="00B251DA">
        <w:rPr>
          <w:rFonts w:ascii="Arial" w:hAnsi="Arial" w:cs="Arial"/>
        </w:rPr>
        <w:t xml:space="preserve"> an incremental effect on the likelihood of</w:t>
      </w:r>
      <w:r w:rsidR="00A608FF">
        <w:rPr>
          <w:rFonts w:ascii="Arial" w:hAnsi="Arial" w:cs="Arial"/>
        </w:rPr>
        <w:t xml:space="preserve"> them experiencing </w:t>
      </w:r>
      <w:r w:rsidR="00B251DA">
        <w:rPr>
          <w:rFonts w:ascii="Arial" w:hAnsi="Arial" w:cs="Arial"/>
        </w:rPr>
        <w:t xml:space="preserve">depression. The quotation below from a response to the narrative questions in the survey illustrates this effect in relation to Thalidomide survivors: </w:t>
      </w:r>
    </w:p>
    <w:p w14:paraId="1ED0985C" w14:textId="77777777" w:rsidR="00B251DA" w:rsidRDefault="00B251DA" w:rsidP="00305DAE">
      <w:pPr>
        <w:spacing w:after="0" w:line="480" w:lineRule="auto"/>
        <w:jc w:val="both"/>
        <w:rPr>
          <w:rFonts w:ascii="Arial" w:hAnsi="Arial" w:cs="Arial"/>
        </w:rPr>
      </w:pPr>
    </w:p>
    <w:p w14:paraId="4371B918" w14:textId="77777777" w:rsidR="00B251DA" w:rsidRDefault="00B251DA" w:rsidP="00305DAE">
      <w:pPr>
        <w:spacing w:after="0" w:line="480" w:lineRule="auto"/>
        <w:ind w:left="720"/>
        <w:jc w:val="both"/>
        <w:rPr>
          <w:rFonts w:ascii="Arial" w:hAnsi="Arial" w:cs="Arial"/>
        </w:rPr>
      </w:pPr>
      <w:r w:rsidRPr="00FA0AB0">
        <w:rPr>
          <w:rFonts w:ascii="Arial" w:hAnsi="Arial" w:cs="Arial"/>
          <w:i/>
        </w:rPr>
        <w:t>“My only normal hand is deteriorating badly. I've had 3 operations on it, they can't do anything more. I'm in pain with it nearly all the time. I can't do hardly anything for myself now. I'm terrified. I'm only 55 – how much worse is it going to get? Having one hand I was never disabled but I am now. Luckily I have fantastic children who all automatically do everything for me that's needed. They cut my food up, do up my buttons, zips, and laces, and are amazing but I don't want to be a burden to them. Losing your independence is soul destroying.”</w:t>
      </w:r>
      <w:r w:rsidRPr="00FA0AB0">
        <w:rPr>
          <w:rFonts w:ascii="Arial" w:hAnsi="Arial" w:cs="Arial"/>
        </w:rPr>
        <w:t xml:space="preserve"> (Survey ID307)</w:t>
      </w:r>
    </w:p>
    <w:p w14:paraId="7CD6A5FB" w14:textId="77777777" w:rsidR="00B251DA" w:rsidRDefault="00B251DA" w:rsidP="00305DAE">
      <w:pPr>
        <w:spacing w:after="0" w:line="480" w:lineRule="auto"/>
        <w:jc w:val="both"/>
        <w:rPr>
          <w:rFonts w:ascii="Arial" w:hAnsi="Arial" w:cs="Arial"/>
        </w:rPr>
      </w:pPr>
    </w:p>
    <w:p w14:paraId="51AA8D56" w14:textId="05AD149B" w:rsidR="00363A13" w:rsidRDefault="00013E52" w:rsidP="00305DAE">
      <w:pPr>
        <w:spacing w:after="0" w:line="480" w:lineRule="auto"/>
        <w:jc w:val="both"/>
        <w:rPr>
          <w:rFonts w:ascii="Arial" w:hAnsi="Arial" w:cs="Arial"/>
        </w:rPr>
      </w:pPr>
      <w:r>
        <w:rPr>
          <w:rFonts w:ascii="Arial" w:hAnsi="Arial" w:cs="Arial"/>
        </w:rPr>
        <w:t>A</w:t>
      </w:r>
      <w:r w:rsidR="00363A13">
        <w:rPr>
          <w:rFonts w:ascii="Arial" w:hAnsi="Arial" w:cs="Arial"/>
        </w:rPr>
        <w:t>longside secondary physical health problems, half the survey respondents said that they were currently or had recently experienced depression and/or anxiety. This s</w:t>
      </w:r>
      <w:r w:rsidR="00363A13" w:rsidRPr="00057169">
        <w:rPr>
          <w:rFonts w:ascii="Arial" w:hAnsi="Arial" w:cs="Arial"/>
        </w:rPr>
        <w:t>elf-reported prevalence of commo</w:t>
      </w:r>
      <w:r w:rsidR="00363A13">
        <w:rPr>
          <w:rFonts w:ascii="Arial" w:hAnsi="Arial" w:cs="Arial"/>
        </w:rPr>
        <w:t>n mental health problems</w:t>
      </w:r>
      <w:r w:rsidR="00363A13" w:rsidRPr="00057169">
        <w:rPr>
          <w:rFonts w:ascii="Arial" w:hAnsi="Arial" w:cs="Arial"/>
        </w:rPr>
        <w:t xml:space="preserve"> is significantly higher than in the same age group in the general population and higher than adults (all ages), with </w:t>
      </w:r>
      <w:r w:rsidR="007D1059">
        <w:rPr>
          <w:rFonts w:ascii="Arial" w:hAnsi="Arial" w:cs="Arial"/>
        </w:rPr>
        <w:t xml:space="preserve">other </w:t>
      </w:r>
      <w:r w:rsidR="00363A13" w:rsidRPr="00057169">
        <w:rPr>
          <w:rFonts w:ascii="Arial" w:hAnsi="Arial" w:cs="Arial"/>
        </w:rPr>
        <w:t>physical disabilities</w:t>
      </w:r>
      <w:r w:rsidR="00363A13">
        <w:rPr>
          <w:rFonts w:ascii="Arial" w:hAnsi="Arial" w:cs="Arial"/>
        </w:rPr>
        <w:t xml:space="preserve">. However, it is supported by evidence from clinical studies conducted with Thalidomide survivors in Germany. </w:t>
      </w:r>
    </w:p>
    <w:p w14:paraId="16FCFF86" w14:textId="77777777" w:rsidR="006117BE" w:rsidRDefault="006117BE" w:rsidP="00305DAE">
      <w:pPr>
        <w:spacing w:after="0" w:line="480" w:lineRule="auto"/>
        <w:jc w:val="both"/>
        <w:rPr>
          <w:rFonts w:ascii="Arial" w:hAnsi="Arial" w:cs="Arial"/>
        </w:rPr>
      </w:pPr>
    </w:p>
    <w:p w14:paraId="02E38502" w14:textId="648B145B" w:rsidR="006117BE" w:rsidRDefault="006117BE" w:rsidP="00305DAE">
      <w:pPr>
        <w:spacing w:after="0" w:line="480" w:lineRule="auto"/>
        <w:jc w:val="both"/>
        <w:rPr>
          <w:rFonts w:ascii="Arial" w:hAnsi="Arial" w:cs="Arial"/>
        </w:rPr>
      </w:pPr>
      <w:r>
        <w:rPr>
          <w:rFonts w:ascii="Arial" w:hAnsi="Arial" w:cs="Arial"/>
        </w:rPr>
        <w:t xml:space="preserve">The </w:t>
      </w:r>
      <w:r w:rsidRPr="00903337">
        <w:rPr>
          <w:rFonts w:ascii="Arial" w:hAnsi="Arial" w:cs="Arial"/>
        </w:rPr>
        <w:t>prevalence amongst UK Thalidomide survivors of ‘lifestyle’ diseases and other conditions associated with middle and older age is unclear</w:t>
      </w:r>
      <w:r>
        <w:rPr>
          <w:rFonts w:ascii="Arial" w:hAnsi="Arial" w:cs="Arial"/>
        </w:rPr>
        <w:t xml:space="preserve">. However, the practical challenges of preventing and self-managing conditions such as diabetes, can be huge for people with limb difference. A high proportion of survey respondents </w:t>
      </w:r>
      <w:r w:rsidRPr="00903337">
        <w:rPr>
          <w:rFonts w:ascii="Arial" w:hAnsi="Arial" w:cs="Arial"/>
        </w:rPr>
        <w:t>report</w:t>
      </w:r>
      <w:r>
        <w:rPr>
          <w:rFonts w:ascii="Arial" w:hAnsi="Arial" w:cs="Arial"/>
        </w:rPr>
        <w:t>ed</w:t>
      </w:r>
      <w:r w:rsidRPr="00903337">
        <w:rPr>
          <w:rFonts w:ascii="Arial" w:hAnsi="Arial" w:cs="Arial"/>
        </w:rPr>
        <w:t xml:space="preserve"> t</w:t>
      </w:r>
      <w:r>
        <w:rPr>
          <w:rFonts w:ascii="Arial" w:hAnsi="Arial" w:cs="Arial"/>
        </w:rPr>
        <w:t>he same risk factors for lifestyle diseases</w:t>
      </w:r>
      <w:r w:rsidRPr="00903337">
        <w:rPr>
          <w:rFonts w:ascii="Arial" w:hAnsi="Arial" w:cs="Arial"/>
        </w:rPr>
        <w:t xml:space="preserve"> as other people with physical disabilities</w:t>
      </w:r>
      <w:r>
        <w:rPr>
          <w:rFonts w:ascii="Arial" w:hAnsi="Arial" w:cs="Arial"/>
        </w:rPr>
        <w:t xml:space="preserve">, notably weight management and difficulties </w:t>
      </w:r>
      <w:r>
        <w:rPr>
          <w:rFonts w:ascii="Arial" w:hAnsi="Arial" w:cs="Arial"/>
        </w:rPr>
        <w:lastRenderedPageBreak/>
        <w:t xml:space="preserve">exercising.  </w:t>
      </w:r>
      <w:r w:rsidR="00013E52">
        <w:rPr>
          <w:rFonts w:ascii="Arial" w:hAnsi="Arial" w:cs="Arial"/>
        </w:rPr>
        <w:t>T</w:t>
      </w:r>
      <w:r>
        <w:rPr>
          <w:rFonts w:ascii="Arial" w:hAnsi="Arial" w:cs="Arial"/>
        </w:rPr>
        <w:t xml:space="preserve">he risk for Thalidomide survivors may be compounded by the problems of accurately measuring blood pressure and body mass index when people have missing or short limbs </w:t>
      </w:r>
      <w:r w:rsidR="00B24E49">
        <w:rPr>
          <w:rFonts w:ascii="Arial" w:hAnsi="Arial" w:cs="Arial"/>
        </w:rPr>
        <w:t>[30]</w:t>
      </w:r>
      <w:r>
        <w:rPr>
          <w:rFonts w:ascii="Arial" w:hAnsi="Arial" w:cs="Arial"/>
        </w:rPr>
        <w:t>. Crucially, many Thalidomide survivors reported</w:t>
      </w:r>
      <w:r w:rsidRPr="00065794">
        <w:rPr>
          <w:rFonts w:ascii="Arial" w:hAnsi="Arial" w:cs="Arial"/>
        </w:rPr>
        <w:t xml:space="preserve"> multiple health problems.</w:t>
      </w:r>
      <w:r>
        <w:rPr>
          <w:rFonts w:ascii="Arial" w:hAnsi="Arial" w:cs="Arial"/>
        </w:rPr>
        <w:t xml:space="preserve"> </w:t>
      </w:r>
      <w:r w:rsidR="007D1059">
        <w:rPr>
          <w:rFonts w:ascii="Arial" w:hAnsi="Arial" w:cs="Arial"/>
        </w:rPr>
        <w:t>Moreover, a</w:t>
      </w:r>
      <w:r w:rsidRPr="000F25AA">
        <w:rPr>
          <w:rFonts w:ascii="Arial" w:hAnsi="Arial" w:cs="Arial"/>
        </w:rPr>
        <w:t xml:space="preserve"> higher proportion of </w:t>
      </w:r>
      <w:r>
        <w:rPr>
          <w:rFonts w:ascii="Arial" w:hAnsi="Arial" w:cs="Arial"/>
        </w:rPr>
        <w:t>them were experiencing multi</w:t>
      </w:r>
      <w:r w:rsidRPr="000F25AA">
        <w:rPr>
          <w:rFonts w:ascii="Arial" w:hAnsi="Arial" w:cs="Arial"/>
        </w:rPr>
        <w:t>morbidity than would be expected at this point in their life co</w:t>
      </w:r>
      <w:r>
        <w:rPr>
          <w:rFonts w:ascii="Arial" w:hAnsi="Arial" w:cs="Arial"/>
        </w:rPr>
        <w:t xml:space="preserve">urse, </w:t>
      </w:r>
      <w:r w:rsidRPr="000F25AA">
        <w:rPr>
          <w:rFonts w:ascii="Arial" w:hAnsi="Arial" w:cs="Arial"/>
        </w:rPr>
        <w:t xml:space="preserve">and for some the morbidity burden </w:t>
      </w:r>
      <w:r>
        <w:rPr>
          <w:rFonts w:ascii="Arial" w:hAnsi="Arial" w:cs="Arial"/>
        </w:rPr>
        <w:t xml:space="preserve">appeared significant. </w:t>
      </w:r>
    </w:p>
    <w:p w14:paraId="6D726295" w14:textId="77777777" w:rsidR="00B251DA" w:rsidRDefault="00B251DA" w:rsidP="00305DAE">
      <w:pPr>
        <w:spacing w:after="0" w:line="480" w:lineRule="auto"/>
        <w:jc w:val="both"/>
        <w:rPr>
          <w:rFonts w:ascii="Arial" w:hAnsi="Arial" w:cs="Arial"/>
        </w:rPr>
      </w:pPr>
    </w:p>
    <w:p w14:paraId="583CEB8F" w14:textId="28DCCB5E" w:rsidR="00256974" w:rsidRDefault="00A608FF" w:rsidP="00305DAE">
      <w:pPr>
        <w:spacing w:after="0" w:line="480" w:lineRule="auto"/>
        <w:jc w:val="both"/>
        <w:rPr>
          <w:rFonts w:ascii="Arial" w:hAnsi="Arial" w:cs="Arial"/>
        </w:rPr>
      </w:pPr>
      <w:r>
        <w:rPr>
          <w:rFonts w:ascii="Arial" w:hAnsi="Arial" w:cs="Arial"/>
        </w:rPr>
        <w:t xml:space="preserve">The study also showed that </w:t>
      </w:r>
      <w:r w:rsidR="006117BE" w:rsidRPr="00293DD5">
        <w:rPr>
          <w:rFonts w:ascii="Arial" w:hAnsi="Arial" w:cs="Arial"/>
        </w:rPr>
        <w:t>Thalidomide survivors experience significantly poorer physical health related quality of life com</w:t>
      </w:r>
      <w:r w:rsidR="004463E4">
        <w:rPr>
          <w:rFonts w:ascii="Arial" w:hAnsi="Arial" w:cs="Arial"/>
        </w:rPr>
        <w:t>pared to the general population but their</w:t>
      </w:r>
      <w:r w:rsidR="006117BE" w:rsidRPr="00720D63">
        <w:rPr>
          <w:rFonts w:ascii="Arial" w:hAnsi="Arial" w:cs="Arial"/>
        </w:rPr>
        <w:t xml:space="preserve"> mental health related quality of life </w:t>
      </w:r>
      <w:r w:rsidR="007D1059">
        <w:rPr>
          <w:rFonts w:ascii="Arial" w:hAnsi="Arial" w:cs="Arial"/>
        </w:rPr>
        <w:t>wa</w:t>
      </w:r>
      <w:r w:rsidR="006117BE" w:rsidRPr="00720D63">
        <w:rPr>
          <w:rFonts w:ascii="Arial" w:hAnsi="Arial" w:cs="Arial"/>
        </w:rPr>
        <w:t>s only marginally poorer than their peers in the general population</w:t>
      </w:r>
      <w:r w:rsidR="004463E4">
        <w:rPr>
          <w:rFonts w:ascii="Arial" w:hAnsi="Arial" w:cs="Arial"/>
        </w:rPr>
        <w:t>.</w:t>
      </w:r>
      <w:r w:rsidR="00BA3D2D">
        <w:rPr>
          <w:rFonts w:ascii="Arial" w:hAnsi="Arial" w:cs="Arial"/>
        </w:rPr>
        <w:t xml:space="preserve">  </w:t>
      </w:r>
      <w:r w:rsidR="004463E4" w:rsidRPr="004463E4">
        <w:rPr>
          <w:rFonts w:ascii="Arial" w:hAnsi="Arial" w:cs="Arial"/>
        </w:rPr>
        <w:t xml:space="preserve">These findings are consistent with a German study of 186 Thalidomide survivors in North Rhine Westphalia, which used SF36. Peters </w:t>
      </w:r>
      <w:r w:rsidR="00415BE0" w:rsidRPr="00415BE0">
        <w:rPr>
          <w:rFonts w:ascii="Arial" w:hAnsi="Arial" w:cs="Arial"/>
        </w:rPr>
        <w:t>et al.</w:t>
      </w:r>
      <w:r w:rsidR="00751ACB">
        <w:rPr>
          <w:rFonts w:ascii="Arial" w:hAnsi="Arial" w:cs="Arial"/>
        </w:rPr>
        <w:t xml:space="preserve"> [11]</w:t>
      </w:r>
      <w:r w:rsidR="004463E4" w:rsidRPr="004463E4">
        <w:rPr>
          <w:rFonts w:ascii="Arial" w:hAnsi="Arial" w:cs="Arial"/>
        </w:rPr>
        <w:t>, reported that Thalidomide survivors had a mean aggregate physical score of 29.6 and a mean aggregate mental health score of 47.8. A Swedish study of 31 Thalidomide survi</w:t>
      </w:r>
      <w:r w:rsidR="00C630D0">
        <w:rPr>
          <w:rFonts w:ascii="Arial" w:hAnsi="Arial" w:cs="Arial"/>
        </w:rPr>
        <w:t xml:space="preserve">vors </w:t>
      </w:r>
      <w:r w:rsidR="00B24E49">
        <w:rPr>
          <w:rFonts w:ascii="Arial" w:hAnsi="Arial" w:cs="Arial"/>
        </w:rPr>
        <w:t>[40]</w:t>
      </w:r>
      <w:r w:rsidR="004463E4" w:rsidRPr="004463E4">
        <w:rPr>
          <w:rFonts w:ascii="Arial" w:hAnsi="Arial" w:cs="Arial"/>
        </w:rPr>
        <w:t xml:space="preserve"> also found that their physical health related quality of life was significantly lower than the general population, although their mental health related quality </w:t>
      </w:r>
      <w:r w:rsidR="004463E4">
        <w:rPr>
          <w:rFonts w:ascii="Arial" w:hAnsi="Arial" w:cs="Arial"/>
        </w:rPr>
        <w:t>of life was similar.</w:t>
      </w:r>
      <w:r w:rsidR="005F13E4">
        <w:rPr>
          <w:rFonts w:ascii="Arial" w:hAnsi="Arial" w:cs="Arial"/>
        </w:rPr>
        <w:t xml:space="preserve"> </w:t>
      </w:r>
    </w:p>
    <w:p w14:paraId="3425C06A" w14:textId="77777777" w:rsidR="00256974" w:rsidRDefault="00256974" w:rsidP="00305DAE">
      <w:pPr>
        <w:spacing w:after="0" w:line="480" w:lineRule="auto"/>
        <w:jc w:val="both"/>
        <w:rPr>
          <w:rFonts w:ascii="Arial" w:hAnsi="Arial" w:cs="Arial"/>
        </w:rPr>
      </w:pPr>
    </w:p>
    <w:p w14:paraId="275378D4" w14:textId="176FDAE3" w:rsidR="006117BE" w:rsidRDefault="00256974" w:rsidP="00305DAE">
      <w:pPr>
        <w:spacing w:after="0" w:line="480" w:lineRule="auto"/>
        <w:jc w:val="both"/>
        <w:rPr>
          <w:rFonts w:ascii="Arial" w:hAnsi="Arial" w:cs="Arial"/>
        </w:rPr>
      </w:pPr>
      <w:r>
        <w:rPr>
          <w:rFonts w:ascii="Arial" w:hAnsi="Arial" w:cs="Arial"/>
        </w:rPr>
        <w:t>W</w:t>
      </w:r>
      <w:r w:rsidR="005F13E4">
        <w:rPr>
          <w:rFonts w:ascii="Arial" w:hAnsi="Arial" w:cs="Arial"/>
        </w:rPr>
        <w:t xml:space="preserve">hilst the more severe a respondent’s original Thalidomide damage, the poorer their physical health related quality of life was likely to be, being unable to work accounted for most of the variance in SF12 scores. </w:t>
      </w:r>
      <w:r w:rsidR="005F13E4" w:rsidRPr="005F13E4">
        <w:rPr>
          <w:rFonts w:ascii="Arial" w:hAnsi="Arial" w:cs="Arial"/>
        </w:rPr>
        <w:t>This suggests that secondary health problems and associated loss of function may be a far more important influence on physical health related quality of life than original impairment alone.</w:t>
      </w:r>
      <w:r w:rsidR="005F13E4">
        <w:rPr>
          <w:rFonts w:ascii="Arial" w:hAnsi="Arial" w:cs="Arial"/>
        </w:rPr>
        <w:t xml:space="preserve"> </w:t>
      </w:r>
      <w:r w:rsidR="00BA3D2D">
        <w:rPr>
          <w:rFonts w:ascii="Arial" w:hAnsi="Arial" w:cs="Arial"/>
        </w:rPr>
        <w:t xml:space="preserve">In relation to </w:t>
      </w:r>
      <w:r w:rsidR="00BA3D2D" w:rsidRPr="00BA3D2D">
        <w:rPr>
          <w:rFonts w:ascii="Arial" w:hAnsi="Arial" w:cs="Arial"/>
        </w:rPr>
        <w:t>mental health related quality of life</w:t>
      </w:r>
      <w:r w:rsidR="00BA3D2D">
        <w:rPr>
          <w:rFonts w:ascii="Arial" w:hAnsi="Arial" w:cs="Arial"/>
        </w:rPr>
        <w:t xml:space="preserve">, the narrative responses to the survey suggest that for Thalidomide survivors with lover levels of impairment, who have probably been actively employed for most of their lives, having to give up work (as opposed to choosing not to work) is having a detrimental effect on their mental wellbeing. However, the quantitative analysis showed that </w:t>
      </w:r>
      <w:r w:rsidR="005F13E4" w:rsidRPr="005F13E4">
        <w:rPr>
          <w:rFonts w:ascii="Arial" w:hAnsi="Arial" w:cs="Arial"/>
        </w:rPr>
        <w:t>being unab</w:t>
      </w:r>
      <w:r w:rsidR="00BA3D2D">
        <w:rPr>
          <w:rFonts w:ascii="Arial" w:hAnsi="Arial" w:cs="Arial"/>
        </w:rPr>
        <w:t>le to work accounted for just under 7% of the</w:t>
      </w:r>
      <w:r w:rsidR="005F13E4" w:rsidRPr="005F13E4">
        <w:rPr>
          <w:rFonts w:ascii="Arial" w:hAnsi="Arial" w:cs="Arial"/>
        </w:rPr>
        <w:t xml:space="preserve"> variance</w:t>
      </w:r>
      <w:r w:rsidR="005F13E4">
        <w:rPr>
          <w:rFonts w:ascii="Arial" w:hAnsi="Arial" w:cs="Arial"/>
        </w:rPr>
        <w:t xml:space="preserve"> in SF12 scores</w:t>
      </w:r>
      <w:r w:rsidR="005F13E4" w:rsidRPr="005F13E4">
        <w:rPr>
          <w:rFonts w:ascii="Arial" w:hAnsi="Arial" w:cs="Arial"/>
        </w:rPr>
        <w:t>,</w:t>
      </w:r>
      <w:r w:rsidR="00BA3D2D">
        <w:rPr>
          <w:rFonts w:ascii="Arial" w:hAnsi="Arial" w:cs="Arial"/>
        </w:rPr>
        <w:t xml:space="preserve"> which implies that </w:t>
      </w:r>
      <w:r w:rsidR="005F13E4" w:rsidRPr="005F13E4">
        <w:rPr>
          <w:rFonts w:ascii="Arial" w:hAnsi="Arial" w:cs="Arial"/>
        </w:rPr>
        <w:t>psychosocial factors</w:t>
      </w:r>
      <w:r w:rsidR="00B20C27">
        <w:rPr>
          <w:rFonts w:ascii="Arial" w:hAnsi="Arial" w:cs="Arial"/>
        </w:rPr>
        <w:t>,</w:t>
      </w:r>
      <w:r w:rsidR="005F13E4" w:rsidRPr="005F13E4">
        <w:rPr>
          <w:rFonts w:ascii="Arial" w:hAnsi="Arial" w:cs="Arial"/>
        </w:rPr>
        <w:t xml:space="preserve"> not explored in the survey, may be of more importance.</w:t>
      </w:r>
      <w:r w:rsidR="00BA3D2D">
        <w:rPr>
          <w:rFonts w:ascii="Arial" w:hAnsi="Arial" w:cs="Arial"/>
        </w:rPr>
        <w:t xml:space="preserve"> </w:t>
      </w:r>
    </w:p>
    <w:p w14:paraId="484F1A15" w14:textId="77777777" w:rsidR="006117BE" w:rsidRDefault="006117BE" w:rsidP="00305DAE">
      <w:pPr>
        <w:spacing w:after="0" w:line="480" w:lineRule="auto"/>
        <w:jc w:val="both"/>
        <w:rPr>
          <w:rFonts w:ascii="Arial" w:hAnsi="Arial" w:cs="Arial"/>
        </w:rPr>
      </w:pPr>
    </w:p>
    <w:p w14:paraId="47D77261" w14:textId="6D94147C" w:rsidR="00EA3D2F" w:rsidRDefault="007E6F34" w:rsidP="00305DAE">
      <w:pPr>
        <w:spacing w:after="0" w:line="480" w:lineRule="auto"/>
        <w:jc w:val="both"/>
        <w:rPr>
          <w:rFonts w:ascii="Arial" w:hAnsi="Arial" w:cs="Arial"/>
        </w:rPr>
      </w:pPr>
      <w:r>
        <w:rPr>
          <w:rFonts w:ascii="Arial" w:hAnsi="Arial" w:cs="Arial"/>
        </w:rPr>
        <w:t xml:space="preserve">Studies </w:t>
      </w:r>
      <w:r w:rsidR="007F1DDE">
        <w:rPr>
          <w:rFonts w:ascii="Arial" w:hAnsi="Arial" w:cs="Arial"/>
        </w:rPr>
        <w:t xml:space="preserve">of the </w:t>
      </w:r>
      <w:r>
        <w:rPr>
          <w:rFonts w:ascii="Arial" w:hAnsi="Arial" w:cs="Arial"/>
        </w:rPr>
        <w:t>wellbeing</w:t>
      </w:r>
      <w:r w:rsidR="007F1DDE">
        <w:rPr>
          <w:rFonts w:ascii="Arial" w:hAnsi="Arial" w:cs="Arial"/>
        </w:rPr>
        <w:t xml:space="preserve"> and quality of life</w:t>
      </w:r>
      <w:r>
        <w:rPr>
          <w:rFonts w:ascii="Arial" w:hAnsi="Arial" w:cs="Arial"/>
        </w:rPr>
        <w:t xml:space="preserve"> of people with disabilities </w:t>
      </w:r>
      <w:r w:rsidR="00751ACB">
        <w:rPr>
          <w:rFonts w:ascii="Arial" w:hAnsi="Arial" w:cs="Arial"/>
        </w:rPr>
        <w:t>[41,</w:t>
      </w:r>
      <w:r w:rsidR="00193EA8">
        <w:rPr>
          <w:rFonts w:ascii="Arial" w:hAnsi="Arial" w:cs="Arial"/>
        </w:rPr>
        <w:t xml:space="preserve"> </w:t>
      </w:r>
      <w:r w:rsidR="00751ACB">
        <w:rPr>
          <w:rFonts w:ascii="Arial" w:hAnsi="Arial" w:cs="Arial"/>
        </w:rPr>
        <w:t>42]</w:t>
      </w:r>
      <w:r>
        <w:rPr>
          <w:rFonts w:ascii="Arial" w:hAnsi="Arial" w:cs="Arial"/>
        </w:rPr>
        <w:t xml:space="preserve">, have found that those disabled from birth were likely to have higher subjective wellbeing that those disabled later in life. </w:t>
      </w:r>
      <w:r w:rsidR="000A25C8">
        <w:rPr>
          <w:rFonts w:ascii="Arial" w:hAnsi="Arial" w:cs="Arial"/>
        </w:rPr>
        <w:t>T</w:t>
      </w:r>
      <w:r>
        <w:rPr>
          <w:rFonts w:ascii="Arial" w:hAnsi="Arial" w:cs="Arial"/>
        </w:rPr>
        <w:t>his study shows</w:t>
      </w:r>
      <w:r w:rsidR="006117BE">
        <w:rPr>
          <w:rFonts w:ascii="Arial" w:hAnsi="Arial" w:cs="Arial"/>
        </w:rPr>
        <w:t xml:space="preserve"> that</w:t>
      </w:r>
      <w:r w:rsidR="004706D7">
        <w:rPr>
          <w:rFonts w:ascii="Arial" w:hAnsi="Arial" w:cs="Arial"/>
        </w:rPr>
        <w:t xml:space="preserve"> whilst the majority of Thalidomide survivors have lived relatively independent lives, many </w:t>
      </w:r>
      <w:r w:rsidR="000A25C8">
        <w:rPr>
          <w:rFonts w:ascii="Arial" w:hAnsi="Arial" w:cs="Arial"/>
        </w:rPr>
        <w:t xml:space="preserve">are now having </w:t>
      </w:r>
      <w:r w:rsidR="006117BE">
        <w:rPr>
          <w:rFonts w:ascii="Arial" w:hAnsi="Arial" w:cs="Arial"/>
        </w:rPr>
        <w:t xml:space="preserve">to adjust to growing disability. </w:t>
      </w:r>
      <w:r w:rsidR="004706D7">
        <w:rPr>
          <w:rFonts w:ascii="Arial" w:hAnsi="Arial" w:cs="Arial"/>
        </w:rPr>
        <w:t>For those with mild to moderate impairments in particular, the</w:t>
      </w:r>
      <w:r w:rsidR="006117BE">
        <w:rPr>
          <w:rFonts w:ascii="Arial" w:hAnsi="Arial" w:cs="Arial"/>
        </w:rPr>
        <w:t xml:space="preserve"> experience of this change appears to be similar to </w:t>
      </w:r>
      <w:r w:rsidR="004706D7">
        <w:rPr>
          <w:rFonts w:ascii="Arial" w:hAnsi="Arial" w:cs="Arial"/>
        </w:rPr>
        <w:t>people</w:t>
      </w:r>
      <w:r w:rsidR="006117BE">
        <w:rPr>
          <w:rFonts w:ascii="Arial" w:hAnsi="Arial" w:cs="Arial"/>
        </w:rPr>
        <w:t xml:space="preserve"> disabled later in life. </w:t>
      </w:r>
      <w:r w:rsidR="00D14B93">
        <w:rPr>
          <w:rFonts w:ascii="Arial" w:hAnsi="Arial" w:cs="Arial"/>
        </w:rPr>
        <w:t xml:space="preserve">However, </w:t>
      </w:r>
      <w:r w:rsidR="00590A41" w:rsidRPr="00590A41">
        <w:rPr>
          <w:rFonts w:ascii="Arial" w:hAnsi="Arial" w:cs="Arial"/>
        </w:rPr>
        <w:t>Thalidomide survivors (as a group) are in some respects atypical of people with disabilities: they have a similar level of education to their peers in the general population; an</w:t>
      </w:r>
      <w:r w:rsidR="00DF2AAC">
        <w:rPr>
          <w:rFonts w:ascii="Arial" w:hAnsi="Arial" w:cs="Arial"/>
        </w:rPr>
        <w:t>d at least in recent years</w:t>
      </w:r>
      <w:r w:rsidR="00590A41" w:rsidRPr="00590A41">
        <w:rPr>
          <w:rFonts w:ascii="Arial" w:hAnsi="Arial" w:cs="Arial"/>
        </w:rPr>
        <w:t>, they have been more financially secure due to improved compensation payments and the</w:t>
      </w:r>
      <w:r w:rsidR="00B20C27">
        <w:rPr>
          <w:rFonts w:ascii="Arial" w:hAnsi="Arial" w:cs="Arial"/>
        </w:rPr>
        <w:t xml:space="preserve"> DH</w:t>
      </w:r>
      <w:r w:rsidR="00590A41" w:rsidRPr="00590A41">
        <w:rPr>
          <w:rFonts w:ascii="Arial" w:hAnsi="Arial" w:cs="Arial"/>
        </w:rPr>
        <w:t xml:space="preserve"> Grant. </w:t>
      </w:r>
      <w:r w:rsidR="00DF2AAC" w:rsidRPr="00DF2AAC">
        <w:rPr>
          <w:rFonts w:ascii="Arial" w:hAnsi="Arial" w:cs="Arial"/>
        </w:rPr>
        <w:t>Moreover, for many any employment disadvantage (as indicated by lower rates of labour market participation) is relati</w:t>
      </w:r>
      <w:r w:rsidR="00DF2AAC">
        <w:rPr>
          <w:rFonts w:ascii="Arial" w:hAnsi="Arial" w:cs="Arial"/>
        </w:rPr>
        <w:t>vely recent. Nevertheless, at this relatively late</w:t>
      </w:r>
      <w:r w:rsidR="00590A41" w:rsidRPr="00590A41">
        <w:rPr>
          <w:rFonts w:ascii="Arial" w:hAnsi="Arial" w:cs="Arial"/>
        </w:rPr>
        <w:t xml:space="preserve"> stage </w:t>
      </w:r>
      <w:r w:rsidR="00DF2AAC">
        <w:rPr>
          <w:rFonts w:ascii="Arial" w:hAnsi="Arial" w:cs="Arial"/>
        </w:rPr>
        <w:t xml:space="preserve">in life </w:t>
      </w:r>
      <w:r w:rsidR="00590A41">
        <w:rPr>
          <w:rFonts w:ascii="Arial" w:hAnsi="Arial" w:cs="Arial"/>
        </w:rPr>
        <w:t xml:space="preserve">they </w:t>
      </w:r>
      <w:r w:rsidR="00DF2AAC">
        <w:rPr>
          <w:rFonts w:ascii="Arial" w:hAnsi="Arial" w:cs="Arial"/>
        </w:rPr>
        <w:t xml:space="preserve">are experiencing exposure to the environmental and other disadvantages common to many disabled people. </w:t>
      </w:r>
    </w:p>
    <w:p w14:paraId="085AFD36" w14:textId="77777777" w:rsidR="00EA3D2F" w:rsidRDefault="00EA3D2F" w:rsidP="00305DAE">
      <w:pPr>
        <w:spacing w:after="0" w:line="480" w:lineRule="auto"/>
        <w:jc w:val="both"/>
        <w:rPr>
          <w:rFonts w:ascii="Arial" w:hAnsi="Arial" w:cs="Arial"/>
        </w:rPr>
      </w:pPr>
    </w:p>
    <w:p w14:paraId="1DA872E5" w14:textId="44694E85" w:rsidR="00DF2AAC" w:rsidRDefault="00C856D7" w:rsidP="00305DAE">
      <w:pPr>
        <w:spacing w:after="0" w:line="480" w:lineRule="auto"/>
        <w:jc w:val="both"/>
        <w:rPr>
          <w:rFonts w:ascii="Arial" w:hAnsi="Arial" w:cs="Arial"/>
        </w:rPr>
      </w:pPr>
      <w:r>
        <w:rPr>
          <w:rFonts w:ascii="Arial" w:hAnsi="Arial" w:cs="Arial"/>
        </w:rPr>
        <w:t>T</w:t>
      </w:r>
      <w:r w:rsidR="00F50330">
        <w:rPr>
          <w:rFonts w:ascii="Arial" w:hAnsi="Arial" w:cs="Arial"/>
        </w:rPr>
        <w:t xml:space="preserve">his study </w:t>
      </w:r>
      <w:r w:rsidR="00824404" w:rsidRPr="00590A41">
        <w:rPr>
          <w:rFonts w:ascii="Arial" w:hAnsi="Arial" w:cs="Arial"/>
        </w:rPr>
        <w:t>provide</w:t>
      </w:r>
      <w:r>
        <w:rPr>
          <w:rFonts w:ascii="Arial" w:hAnsi="Arial" w:cs="Arial"/>
        </w:rPr>
        <w:t>s</w:t>
      </w:r>
      <w:r w:rsidR="00824404" w:rsidRPr="00590A41">
        <w:rPr>
          <w:rFonts w:ascii="Arial" w:hAnsi="Arial" w:cs="Arial"/>
        </w:rPr>
        <w:t xml:space="preserve"> further evidence of the accumulative impact of d</w:t>
      </w:r>
      <w:r w:rsidR="00763733">
        <w:rPr>
          <w:rFonts w:ascii="Arial" w:hAnsi="Arial" w:cs="Arial"/>
        </w:rPr>
        <w:t>isability over peoples</w:t>
      </w:r>
      <w:r w:rsidR="00F50330">
        <w:rPr>
          <w:rFonts w:ascii="Arial" w:hAnsi="Arial" w:cs="Arial"/>
        </w:rPr>
        <w:t>’</w:t>
      </w:r>
      <w:r w:rsidR="00763733">
        <w:rPr>
          <w:rFonts w:ascii="Arial" w:hAnsi="Arial" w:cs="Arial"/>
        </w:rPr>
        <w:t xml:space="preserve"> lifetimes</w:t>
      </w:r>
      <w:r w:rsidR="00F50330">
        <w:rPr>
          <w:rFonts w:ascii="Arial" w:hAnsi="Arial" w:cs="Arial"/>
        </w:rPr>
        <w:t>;</w:t>
      </w:r>
      <w:r>
        <w:rPr>
          <w:rFonts w:ascii="Arial" w:hAnsi="Arial" w:cs="Arial"/>
        </w:rPr>
        <w:t xml:space="preserve"> it</w:t>
      </w:r>
      <w:r w:rsidR="00824404">
        <w:rPr>
          <w:rFonts w:ascii="Arial" w:hAnsi="Arial" w:cs="Arial"/>
        </w:rPr>
        <w:t xml:space="preserve"> </w:t>
      </w:r>
      <w:r w:rsidR="00F50330">
        <w:rPr>
          <w:rFonts w:ascii="Arial" w:hAnsi="Arial" w:cs="Arial"/>
        </w:rPr>
        <w:t xml:space="preserve">demonstrates </w:t>
      </w:r>
      <w:r w:rsidR="00824404" w:rsidRPr="00824404">
        <w:rPr>
          <w:rFonts w:ascii="Arial" w:hAnsi="Arial" w:cs="Arial"/>
        </w:rPr>
        <w:t xml:space="preserve">that </w:t>
      </w:r>
      <w:r w:rsidR="00F50330">
        <w:rPr>
          <w:rFonts w:ascii="Arial" w:hAnsi="Arial" w:cs="Arial"/>
        </w:rPr>
        <w:t xml:space="preserve">whilst from birth conditions like Thalidomide Embryopathy are non-progressive, they are not static; </w:t>
      </w:r>
      <w:r w:rsidR="00507CF3">
        <w:rPr>
          <w:rFonts w:ascii="Arial" w:hAnsi="Arial" w:cs="Arial"/>
        </w:rPr>
        <w:t>and it highlights the value</w:t>
      </w:r>
      <w:r w:rsidR="00F50330">
        <w:rPr>
          <w:rFonts w:ascii="Arial" w:hAnsi="Arial" w:cs="Arial"/>
        </w:rPr>
        <w:t xml:space="preserve"> of a life course perspective</w:t>
      </w:r>
      <w:r w:rsidR="00F50330" w:rsidRPr="00824404">
        <w:rPr>
          <w:rFonts w:ascii="Arial" w:hAnsi="Arial" w:cs="Arial"/>
        </w:rPr>
        <w:t xml:space="preserve"> </w:t>
      </w:r>
      <w:r w:rsidR="00F50330">
        <w:rPr>
          <w:rFonts w:ascii="Arial" w:hAnsi="Arial" w:cs="Arial"/>
        </w:rPr>
        <w:t xml:space="preserve">in understanding the complex experience </w:t>
      </w:r>
      <w:r w:rsidR="00763733">
        <w:rPr>
          <w:rFonts w:ascii="Arial" w:hAnsi="Arial" w:cs="Arial"/>
        </w:rPr>
        <w:t xml:space="preserve">of growing older with </w:t>
      </w:r>
      <w:r w:rsidR="00F50330">
        <w:rPr>
          <w:rFonts w:ascii="Arial" w:hAnsi="Arial" w:cs="Arial"/>
        </w:rPr>
        <w:t xml:space="preserve">a </w:t>
      </w:r>
      <w:r w:rsidR="00763733">
        <w:rPr>
          <w:rFonts w:ascii="Arial" w:hAnsi="Arial" w:cs="Arial"/>
        </w:rPr>
        <w:t>disability</w:t>
      </w:r>
      <w:r>
        <w:rPr>
          <w:rFonts w:ascii="Arial" w:hAnsi="Arial" w:cs="Arial"/>
        </w:rPr>
        <w:t>.</w:t>
      </w:r>
      <w:r w:rsidR="00616B53">
        <w:rPr>
          <w:rFonts w:ascii="Arial" w:hAnsi="Arial" w:cs="Arial"/>
        </w:rPr>
        <w:t xml:space="preserve">  </w:t>
      </w:r>
      <w:r w:rsidR="00515FF6">
        <w:rPr>
          <w:rFonts w:ascii="Arial" w:hAnsi="Arial" w:cs="Arial"/>
        </w:rPr>
        <w:t>Our paper</w:t>
      </w:r>
      <w:r w:rsidR="00F652C2">
        <w:rPr>
          <w:rFonts w:ascii="Arial" w:hAnsi="Arial" w:cs="Arial"/>
        </w:rPr>
        <w:t>,</w:t>
      </w:r>
      <w:r w:rsidR="00515FF6">
        <w:rPr>
          <w:rFonts w:ascii="Arial" w:hAnsi="Arial" w:cs="Arial"/>
        </w:rPr>
        <w:t xml:space="preserve"> by describing how impairments change over time</w:t>
      </w:r>
      <w:r w:rsidR="00F652C2">
        <w:rPr>
          <w:rFonts w:ascii="Arial" w:hAnsi="Arial" w:cs="Arial"/>
        </w:rPr>
        <w:t>,</w:t>
      </w:r>
      <w:r w:rsidR="00515FF6">
        <w:rPr>
          <w:rFonts w:ascii="Arial" w:hAnsi="Arial" w:cs="Arial"/>
        </w:rPr>
        <w:t xml:space="preserve"> represents a starting point.  More theoretically work connecting this to the accumulative potential for disability is required, along with a commitment to using these insights to inform a more nuanced policy, which is able to accommodate the fluid and changing nature of the disabling experience.  </w:t>
      </w:r>
      <w:r w:rsidR="00A4235F">
        <w:rPr>
          <w:rFonts w:ascii="Arial" w:hAnsi="Arial" w:cs="Arial"/>
        </w:rPr>
        <w:t xml:space="preserve"> </w:t>
      </w:r>
    </w:p>
    <w:p w14:paraId="551018DB" w14:textId="77777777" w:rsidR="00FA73C6" w:rsidRDefault="00FA73C6" w:rsidP="00305DAE">
      <w:pPr>
        <w:spacing w:after="0" w:line="480" w:lineRule="auto"/>
        <w:rPr>
          <w:rFonts w:ascii="Arial" w:hAnsi="Arial" w:cs="Arial"/>
          <w:b/>
        </w:rPr>
      </w:pPr>
    </w:p>
    <w:p w14:paraId="2B828525" w14:textId="39C85F71" w:rsidR="006F03DE" w:rsidRPr="00DB1D90" w:rsidRDefault="008D5F9D" w:rsidP="006F03DE">
      <w:pPr>
        <w:spacing w:after="0" w:line="480" w:lineRule="auto"/>
        <w:rPr>
          <w:rFonts w:ascii="Arial" w:hAnsi="Arial" w:cs="Arial"/>
          <w:b/>
          <w:sz w:val="36"/>
          <w:szCs w:val="36"/>
        </w:rPr>
      </w:pPr>
      <w:r>
        <w:rPr>
          <w:rFonts w:ascii="Arial" w:hAnsi="Arial" w:cs="Arial"/>
          <w:b/>
          <w:sz w:val="36"/>
          <w:szCs w:val="36"/>
        </w:rPr>
        <w:t>Strengths and w</w:t>
      </w:r>
      <w:r w:rsidR="006F03DE" w:rsidRPr="00DB1D90">
        <w:rPr>
          <w:rFonts w:ascii="Arial" w:hAnsi="Arial" w:cs="Arial"/>
          <w:b/>
          <w:sz w:val="36"/>
          <w:szCs w:val="36"/>
        </w:rPr>
        <w:t>eaknesses</w:t>
      </w:r>
    </w:p>
    <w:p w14:paraId="4D66F11A" w14:textId="77777777" w:rsidR="00A578DC" w:rsidRDefault="00A578DC" w:rsidP="006F03DE">
      <w:pPr>
        <w:spacing w:after="0" w:line="480" w:lineRule="auto"/>
        <w:rPr>
          <w:rFonts w:ascii="Arial" w:hAnsi="Arial" w:cs="Arial"/>
        </w:rPr>
      </w:pPr>
      <w:r>
        <w:rPr>
          <w:rFonts w:ascii="Arial" w:hAnsi="Arial" w:cs="Arial"/>
        </w:rPr>
        <w:t xml:space="preserve">Strengths - </w:t>
      </w:r>
      <w:r w:rsidR="006F03DE" w:rsidRPr="00815758">
        <w:rPr>
          <w:rFonts w:ascii="Arial" w:hAnsi="Arial" w:cs="Arial"/>
        </w:rPr>
        <w:t xml:space="preserve">The high response rate and the representativeness of the survey respondents, in terms of gender and level of impairment, means that we can have a high degree of confidence in the results. </w:t>
      </w:r>
    </w:p>
    <w:p w14:paraId="6B21607B" w14:textId="0F71F1DC" w:rsidR="00305DAE" w:rsidRPr="00280A98" w:rsidRDefault="00A578DC" w:rsidP="006F03DE">
      <w:pPr>
        <w:spacing w:after="0" w:line="480" w:lineRule="auto"/>
        <w:rPr>
          <w:rFonts w:ascii="Arial" w:hAnsi="Arial" w:cs="Arial"/>
        </w:rPr>
      </w:pPr>
      <w:r>
        <w:rPr>
          <w:rFonts w:ascii="Arial" w:hAnsi="Arial" w:cs="Arial"/>
        </w:rPr>
        <w:lastRenderedPageBreak/>
        <w:t xml:space="preserve">Weaknesses - </w:t>
      </w:r>
      <w:r w:rsidR="006F03DE">
        <w:rPr>
          <w:rFonts w:ascii="Arial" w:hAnsi="Arial" w:cs="Arial"/>
        </w:rPr>
        <w:t xml:space="preserve">the </w:t>
      </w:r>
      <w:r w:rsidR="006F03DE" w:rsidRPr="00582221">
        <w:rPr>
          <w:rFonts w:ascii="Arial" w:hAnsi="Arial" w:cs="Arial"/>
        </w:rPr>
        <w:t xml:space="preserve">survey relied on self-reporting of both thalidomide damage and health problems, and some descriptions/categories we used in </w:t>
      </w:r>
      <w:r w:rsidR="006F03DE">
        <w:rPr>
          <w:rFonts w:ascii="Arial" w:hAnsi="Arial" w:cs="Arial"/>
        </w:rPr>
        <w:t xml:space="preserve">the </w:t>
      </w:r>
      <w:r w:rsidR="006F03DE" w:rsidRPr="00582221">
        <w:rPr>
          <w:rFonts w:ascii="Arial" w:hAnsi="Arial" w:cs="Arial"/>
        </w:rPr>
        <w:t>survey made comparisons with general population difficult.</w:t>
      </w:r>
      <w:r>
        <w:rPr>
          <w:rFonts w:ascii="Arial" w:hAnsi="Arial" w:cs="Arial"/>
        </w:rPr>
        <w:t xml:space="preserve"> In addition, </w:t>
      </w:r>
      <w:r w:rsidRPr="00A578DC">
        <w:rPr>
          <w:rFonts w:ascii="Arial" w:hAnsi="Arial" w:cs="Arial"/>
        </w:rPr>
        <w:t>Thalidomide survivors who were blind o</w:t>
      </w:r>
      <w:r>
        <w:rPr>
          <w:rFonts w:ascii="Arial" w:hAnsi="Arial" w:cs="Arial"/>
        </w:rPr>
        <w:t>r partially sighted are</w:t>
      </w:r>
      <w:r w:rsidR="00173FD1">
        <w:rPr>
          <w:rFonts w:ascii="Arial" w:hAnsi="Arial" w:cs="Arial"/>
        </w:rPr>
        <w:t xml:space="preserve"> under-</w:t>
      </w:r>
      <w:r w:rsidRPr="00A578DC">
        <w:rPr>
          <w:rFonts w:ascii="Arial" w:hAnsi="Arial" w:cs="Arial"/>
        </w:rPr>
        <w:t>represented in the survey</w:t>
      </w:r>
      <w:r>
        <w:rPr>
          <w:rFonts w:ascii="Arial" w:hAnsi="Arial" w:cs="Arial"/>
        </w:rPr>
        <w:t xml:space="preserve"> and so we may not have been able to fully reflect their experiences. </w:t>
      </w:r>
    </w:p>
    <w:p w14:paraId="6A3C532C" w14:textId="77777777" w:rsidR="006F03DE" w:rsidRDefault="006F03DE" w:rsidP="006F03DE">
      <w:pPr>
        <w:spacing w:after="160" w:line="480" w:lineRule="auto"/>
        <w:rPr>
          <w:rFonts w:ascii="Arial" w:eastAsia="Calibri" w:hAnsi="Arial" w:cs="Times New Roman"/>
          <w:b/>
        </w:rPr>
      </w:pPr>
    </w:p>
    <w:p w14:paraId="34FABDBE" w14:textId="77777777" w:rsidR="006F03DE" w:rsidRPr="001B7078" w:rsidRDefault="006F03DE" w:rsidP="006F03DE">
      <w:pPr>
        <w:spacing w:after="160" w:line="480" w:lineRule="auto"/>
        <w:rPr>
          <w:rFonts w:ascii="Arial" w:eastAsia="Calibri" w:hAnsi="Arial" w:cs="Times New Roman"/>
          <w:b/>
          <w:sz w:val="36"/>
          <w:szCs w:val="36"/>
        </w:rPr>
      </w:pPr>
      <w:r w:rsidRPr="001B7078">
        <w:rPr>
          <w:rFonts w:ascii="Arial" w:eastAsia="Calibri" w:hAnsi="Arial" w:cs="Times New Roman"/>
          <w:b/>
          <w:sz w:val="36"/>
          <w:szCs w:val="36"/>
        </w:rPr>
        <w:t>Acknowledgements</w:t>
      </w:r>
    </w:p>
    <w:p w14:paraId="0835294E" w14:textId="2CEA6C6A" w:rsidR="00582221" w:rsidRPr="006F03DE" w:rsidRDefault="00FB1848" w:rsidP="006F03DE">
      <w:pPr>
        <w:spacing w:after="160" w:line="480" w:lineRule="auto"/>
        <w:rPr>
          <w:rFonts w:ascii="Arial" w:eastAsia="Calibri" w:hAnsi="Arial" w:cs="Times New Roman"/>
        </w:rPr>
      </w:pPr>
      <w:r>
        <w:rPr>
          <w:rFonts w:ascii="Arial" w:eastAsia="Calibri" w:hAnsi="Arial" w:cs="Times New Roman"/>
        </w:rPr>
        <w:t>We would like to thank</w:t>
      </w:r>
      <w:r w:rsidR="006F03DE" w:rsidRPr="001B7078">
        <w:rPr>
          <w:rFonts w:ascii="Arial" w:eastAsia="Calibri" w:hAnsi="Arial" w:cs="Times New Roman"/>
        </w:rPr>
        <w:t xml:space="preserve"> the </w:t>
      </w:r>
      <w:r w:rsidR="006F03DE">
        <w:rPr>
          <w:rFonts w:ascii="Arial" w:eastAsia="Calibri" w:hAnsi="Arial" w:cs="Times New Roman"/>
        </w:rPr>
        <w:t xml:space="preserve">UK </w:t>
      </w:r>
      <w:r w:rsidR="006F03DE" w:rsidRPr="001B7078">
        <w:rPr>
          <w:rFonts w:ascii="Arial" w:eastAsia="Calibri" w:hAnsi="Arial" w:cs="Times New Roman"/>
        </w:rPr>
        <w:t>Thalidomide Trust and its beneficiaries for all their support</w:t>
      </w:r>
      <w:r w:rsidR="006F03DE">
        <w:rPr>
          <w:rFonts w:ascii="Arial" w:eastAsia="Calibri" w:hAnsi="Arial" w:cs="Times New Roman"/>
        </w:rPr>
        <w:t xml:space="preserve"> and assistance</w:t>
      </w:r>
      <w:r w:rsidR="006F03DE" w:rsidRPr="001B7078">
        <w:rPr>
          <w:rFonts w:ascii="Arial" w:eastAsia="Calibri" w:hAnsi="Arial" w:cs="Times New Roman"/>
        </w:rPr>
        <w:t xml:space="preserve"> with this study.</w:t>
      </w:r>
      <w:r w:rsidR="00582221">
        <w:rPr>
          <w:rFonts w:ascii="Arial" w:hAnsi="Arial" w:cs="Arial"/>
          <w:b/>
        </w:rPr>
        <w:br w:type="page"/>
      </w:r>
    </w:p>
    <w:p w14:paraId="7A7E583E" w14:textId="77777777" w:rsidR="00006665" w:rsidRPr="00DB1D90" w:rsidRDefault="004B1D78" w:rsidP="00305DAE">
      <w:pPr>
        <w:spacing w:after="0" w:line="480" w:lineRule="auto"/>
        <w:jc w:val="both"/>
        <w:rPr>
          <w:rFonts w:ascii="Arial" w:hAnsi="Arial" w:cs="Arial"/>
          <w:b/>
          <w:sz w:val="36"/>
          <w:szCs w:val="36"/>
        </w:rPr>
      </w:pPr>
      <w:r w:rsidRPr="00DB1D90">
        <w:rPr>
          <w:rFonts w:ascii="Arial" w:hAnsi="Arial" w:cs="Arial"/>
          <w:b/>
          <w:sz w:val="36"/>
          <w:szCs w:val="36"/>
        </w:rPr>
        <w:lastRenderedPageBreak/>
        <w:t>References</w:t>
      </w:r>
    </w:p>
    <w:p w14:paraId="1056890A" w14:textId="25CB9442" w:rsidR="003B3634" w:rsidRPr="003B3634" w:rsidRDefault="003B3634" w:rsidP="003B3634">
      <w:pPr>
        <w:spacing w:after="0" w:line="480" w:lineRule="auto"/>
        <w:rPr>
          <w:rFonts w:ascii="Arial" w:hAnsi="Arial" w:cs="Arial"/>
        </w:rPr>
      </w:pPr>
      <w:r>
        <w:rPr>
          <w:rFonts w:ascii="Arial" w:hAnsi="Arial" w:cs="Arial"/>
        </w:rPr>
        <w:t xml:space="preserve">1. </w:t>
      </w:r>
      <w:r w:rsidRPr="003B3634">
        <w:rPr>
          <w:rFonts w:ascii="Arial" w:hAnsi="Arial" w:cs="Arial"/>
        </w:rPr>
        <w:t>Berghs M, Atkin K, Graham H, Hatton C, Thomas, C.  Implications for public health research of models and theories of disability: a scoping review and evidence synthesis, Public Health Research. 2016; 4(8)</w:t>
      </w:r>
      <w:r w:rsidR="007A69FE">
        <w:rPr>
          <w:rFonts w:ascii="Arial" w:hAnsi="Arial" w:cs="Arial"/>
        </w:rPr>
        <w:t xml:space="preserve"> </w:t>
      </w:r>
    </w:p>
    <w:p w14:paraId="3FF64595" w14:textId="77777777" w:rsidR="003B3634" w:rsidRPr="003B3634" w:rsidRDefault="003B3634" w:rsidP="003B3634">
      <w:pPr>
        <w:spacing w:after="0" w:line="480" w:lineRule="auto"/>
        <w:rPr>
          <w:rFonts w:ascii="Arial" w:hAnsi="Arial" w:cs="Arial"/>
        </w:rPr>
      </w:pPr>
      <w:r>
        <w:rPr>
          <w:rFonts w:ascii="Arial" w:hAnsi="Arial" w:cs="Arial"/>
        </w:rPr>
        <w:t xml:space="preserve">2. </w:t>
      </w:r>
      <w:r w:rsidRPr="003B3634">
        <w:rPr>
          <w:rFonts w:ascii="Arial" w:hAnsi="Arial" w:cs="Arial"/>
        </w:rPr>
        <w:t>Power A, Bertlett R. Ageing with a learning disability: Care and support in the context of austerity. Social Science and Medicine. 2018; https://doi.org/10.1016/j.socscimed.2018.03.028</w:t>
      </w:r>
    </w:p>
    <w:p w14:paraId="062D1D72" w14:textId="77777777" w:rsidR="003B3634" w:rsidRPr="003B3634" w:rsidRDefault="003B3634" w:rsidP="003B3634">
      <w:pPr>
        <w:spacing w:after="0" w:line="480" w:lineRule="auto"/>
        <w:rPr>
          <w:rFonts w:ascii="Arial" w:hAnsi="Arial" w:cs="Arial"/>
        </w:rPr>
      </w:pPr>
      <w:r>
        <w:rPr>
          <w:rFonts w:ascii="Arial" w:hAnsi="Arial" w:cs="Arial"/>
        </w:rPr>
        <w:t xml:space="preserve">3. </w:t>
      </w:r>
      <w:r w:rsidRPr="003B3634">
        <w:rPr>
          <w:rFonts w:ascii="Arial" w:hAnsi="Arial" w:cs="Arial"/>
        </w:rPr>
        <w:t>Smithells RW, Newman CGH. Recognition of thalidomide defects. J Med Genet. 1992 29:716–723.</w:t>
      </w:r>
    </w:p>
    <w:p w14:paraId="34CC0381" w14:textId="77777777" w:rsidR="003B3634" w:rsidRPr="003B3634" w:rsidRDefault="003B3634" w:rsidP="003B3634">
      <w:pPr>
        <w:spacing w:after="0" w:line="480" w:lineRule="auto"/>
        <w:rPr>
          <w:rFonts w:ascii="Arial" w:hAnsi="Arial" w:cs="Arial"/>
        </w:rPr>
      </w:pPr>
      <w:r>
        <w:rPr>
          <w:rFonts w:ascii="Arial" w:hAnsi="Arial" w:cs="Arial"/>
        </w:rPr>
        <w:t xml:space="preserve">4. </w:t>
      </w:r>
      <w:r w:rsidRPr="003B3634">
        <w:rPr>
          <w:rFonts w:ascii="Arial" w:hAnsi="Arial" w:cs="Arial"/>
        </w:rPr>
        <w:t>Ferber S. Bioethics in Historical Perspective. Palgrave Macmillan; 2013.</w:t>
      </w:r>
    </w:p>
    <w:p w14:paraId="2BA41315" w14:textId="77777777" w:rsidR="003B3634" w:rsidRPr="003B3634" w:rsidRDefault="003B3634" w:rsidP="003B3634">
      <w:pPr>
        <w:spacing w:after="0" w:line="480" w:lineRule="auto"/>
        <w:rPr>
          <w:rFonts w:ascii="Arial" w:hAnsi="Arial" w:cs="Arial"/>
        </w:rPr>
      </w:pPr>
      <w:r>
        <w:rPr>
          <w:rFonts w:ascii="Arial" w:hAnsi="Arial" w:cs="Arial"/>
        </w:rPr>
        <w:t xml:space="preserve">5. </w:t>
      </w:r>
      <w:r w:rsidRPr="003B3634">
        <w:rPr>
          <w:rFonts w:ascii="Arial" w:hAnsi="Arial" w:cs="Arial"/>
        </w:rPr>
        <w:t>Brynner R, Stephens T. Dark Remedy. Perseus Publishing; 2001.</w:t>
      </w:r>
    </w:p>
    <w:p w14:paraId="3D5FDC1A" w14:textId="77777777" w:rsidR="003B3634" w:rsidRPr="003B3634" w:rsidRDefault="003B3634" w:rsidP="003B3634">
      <w:pPr>
        <w:spacing w:after="0" w:line="480" w:lineRule="auto"/>
        <w:rPr>
          <w:rFonts w:ascii="Arial" w:hAnsi="Arial" w:cs="Arial"/>
        </w:rPr>
      </w:pPr>
      <w:r>
        <w:rPr>
          <w:rFonts w:ascii="Arial" w:hAnsi="Arial" w:cs="Arial"/>
        </w:rPr>
        <w:t xml:space="preserve">6. </w:t>
      </w:r>
      <w:r w:rsidRPr="003B3634">
        <w:rPr>
          <w:rFonts w:ascii="Arial" w:hAnsi="Arial" w:cs="Arial"/>
        </w:rPr>
        <w:t>World Health Organization. World Report on Disability. Geneva: World Health Organization; 2011. Available from: http://www.ncbi.nlm.nih.gov/pubmed/21665020</w:t>
      </w:r>
    </w:p>
    <w:p w14:paraId="19C34CF5" w14:textId="77777777" w:rsidR="003B3634" w:rsidRPr="003B3634" w:rsidRDefault="003B3634" w:rsidP="003B3634">
      <w:pPr>
        <w:spacing w:after="0" w:line="480" w:lineRule="auto"/>
        <w:rPr>
          <w:rFonts w:ascii="Arial" w:hAnsi="Arial" w:cs="Arial"/>
        </w:rPr>
      </w:pPr>
      <w:r>
        <w:rPr>
          <w:rFonts w:ascii="Arial" w:hAnsi="Arial" w:cs="Arial"/>
        </w:rPr>
        <w:t xml:space="preserve">7. </w:t>
      </w:r>
      <w:r w:rsidRPr="003B3634">
        <w:rPr>
          <w:rFonts w:ascii="Arial" w:hAnsi="Arial" w:cs="Arial"/>
        </w:rPr>
        <w:t xml:space="preserve">Scott C. The forgotten victims. Sunday Times, 3 May 2015. Available from: https://www.thetimes.co.uk/article/the-forgotten-victims-s6q3v0q9n88 </w:t>
      </w:r>
    </w:p>
    <w:p w14:paraId="48428C53" w14:textId="77777777" w:rsidR="003B3634" w:rsidRPr="003B3634" w:rsidRDefault="003B3634" w:rsidP="003B3634">
      <w:pPr>
        <w:spacing w:after="0" w:line="480" w:lineRule="auto"/>
        <w:rPr>
          <w:rFonts w:ascii="Arial" w:hAnsi="Arial" w:cs="Arial"/>
        </w:rPr>
      </w:pPr>
      <w:r>
        <w:rPr>
          <w:rFonts w:ascii="Arial" w:hAnsi="Arial" w:cs="Arial"/>
        </w:rPr>
        <w:t xml:space="preserve">8. </w:t>
      </w:r>
      <w:r w:rsidRPr="003B3634">
        <w:rPr>
          <w:rFonts w:ascii="Arial" w:hAnsi="Arial" w:cs="Arial"/>
        </w:rPr>
        <w:t>Newbronner, E. and Atkin, K. (2018). The changing health of Thalidomide survivors as they age: a scoping review. Disability and Health Journal. 2018; 11: pp184-191.</w:t>
      </w:r>
    </w:p>
    <w:p w14:paraId="61ED88B7" w14:textId="77777777" w:rsidR="003B3634" w:rsidRPr="003B3634" w:rsidRDefault="003B3634" w:rsidP="003B3634">
      <w:pPr>
        <w:spacing w:after="0" w:line="480" w:lineRule="auto"/>
        <w:rPr>
          <w:rFonts w:ascii="Arial" w:hAnsi="Arial" w:cs="Arial"/>
        </w:rPr>
      </w:pPr>
      <w:r>
        <w:rPr>
          <w:rFonts w:ascii="Arial" w:hAnsi="Arial" w:cs="Arial"/>
        </w:rPr>
        <w:t xml:space="preserve">9. </w:t>
      </w:r>
      <w:r w:rsidRPr="003B3634">
        <w:rPr>
          <w:rFonts w:ascii="Arial" w:hAnsi="Arial" w:cs="Arial"/>
        </w:rPr>
        <w:t xml:space="preserve">Kruse A, Ding-Greiner C, Beckerr G, Stolla C, Becker A-M, Baiker D. Regular surveys on problems, special needs and care deficiencies of victims of Thalidomide – synopsis of final report presented to the Contergan Foundation for People with Disabilities. University of Heidelberg; 2013.  </w:t>
      </w:r>
    </w:p>
    <w:p w14:paraId="5066556A" w14:textId="77777777" w:rsidR="003B3634" w:rsidRPr="003B3634" w:rsidRDefault="003B3634" w:rsidP="003B3634">
      <w:pPr>
        <w:spacing w:after="0" w:line="480" w:lineRule="auto"/>
        <w:rPr>
          <w:rFonts w:ascii="Arial" w:hAnsi="Arial" w:cs="Arial"/>
        </w:rPr>
      </w:pPr>
      <w:r>
        <w:rPr>
          <w:rFonts w:ascii="Arial" w:hAnsi="Arial" w:cs="Arial"/>
        </w:rPr>
        <w:t xml:space="preserve">10. </w:t>
      </w:r>
      <w:r w:rsidRPr="003B3634">
        <w:rPr>
          <w:rFonts w:ascii="Arial" w:hAnsi="Arial" w:cs="Arial"/>
        </w:rPr>
        <w:t>Kayamori R. Post-Thalidomide Syndrome 50 Years On. Japanese Journal of Rehabilitation Medicine. 2013; 50; 957-96.</w:t>
      </w:r>
    </w:p>
    <w:p w14:paraId="62DFECE3" w14:textId="77777777" w:rsidR="003B3634" w:rsidRPr="003B3634" w:rsidRDefault="003B3634" w:rsidP="003B3634">
      <w:pPr>
        <w:spacing w:after="0" w:line="480" w:lineRule="auto"/>
        <w:rPr>
          <w:rFonts w:ascii="Arial" w:hAnsi="Arial" w:cs="Arial"/>
        </w:rPr>
      </w:pPr>
      <w:r>
        <w:rPr>
          <w:rFonts w:ascii="Arial" w:hAnsi="Arial" w:cs="Arial"/>
        </w:rPr>
        <w:t xml:space="preserve">11. </w:t>
      </w:r>
      <w:r w:rsidRPr="003B3634">
        <w:rPr>
          <w:rFonts w:ascii="Arial" w:hAnsi="Arial" w:cs="Arial"/>
        </w:rPr>
        <w:t>Peters KM, Albus C, LungenM, Niecke A Pfaff H, Samel C. Damage to Health, Psychosocial Disorders and Care Requirements of Thalidomide Victims in North Rhine Westphalia from a Long Term Perspective. Cologne: Federal Health Centre North Rhine Westphalia; 2015.</w:t>
      </w:r>
    </w:p>
    <w:p w14:paraId="6B577735" w14:textId="77777777" w:rsidR="003B3634" w:rsidRPr="003B3634" w:rsidRDefault="003B3634" w:rsidP="003B3634">
      <w:pPr>
        <w:spacing w:after="0" w:line="480" w:lineRule="auto"/>
        <w:rPr>
          <w:rFonts w:ascii="Arial" w:hAnsi="Arial" w:cs="Arial"/>
        </w:rPr>
      </w:pPr>
      <w:r>
        <w:rPr>
          <w:rFonts w:ascii="Arial" w:hAnsi="Arial" w:cs="Arial"/>
        </w:rPr>
        <w:lastRenderedPageBreak/>
        <w:t xml:space="preserve">12. </w:t>
      </w:r>
      <w:r w:rsidRPr="003B3634">
        <w:rPr>
          <w:rFonts w:ascii="Arial" w:hAnsi="Arial" w:cs="Arial"/>
        </w:rPr>
        <w:t>Turner RJ, Lloyd DA, Taylor J. Physical Disability and Mental Health: An Epidemiology of Psychiatric and Substance Disorders. Rehabilitation Psychology. 2006; Vol. 51, No. 3, 214–223.</w:t>
      </w:r>
    </w:p>
    <w:p w14:paraId="31763A12" w14:textId="77777777" w:rsidR="003B3634" w:rsidRPr="003B3634" w:rsidRDefault="003B3634" w:rsidP="003B3634">
      <w:pPr>
        <w:spacing w:after="0" w:line="480" w:lineRule="auto"/>
        <w:rPr>
          <w:rFonts w:ascii="Arial" w:hAnsi="Arial" w:cs="Arial"/>
        </w:rPr>
      </w:pPr>
      <w:r>
        <w:rPr>
          <w:rFonts w:ascii="Arial" w:hAnsi="Arial" w:cs="Arial"/>
        </w:rPr>
        <w:t xml:space="preserve">13. </w:t>
      </w:r>
      <w:r w:rsidRPr="003B3634">
        <w:rPr>
          <w:rFonts w:ascii="Arial" w:hAnsi="Arial" w:cs="Arial"/>
        </w:rPr>
        <w:t>Verbrugge LM, Yang L. Aging with disability and disability with aging. Journal of Disability Policy Studies. 2002; 12(4): 253-67.</w:t>
      </w:r>
    </w:p>
    <w:p w14:paraId="14B9C7D4" w14:textId="77777777" w:rsidR="003B3634" w:rsidRPr="003B3634" w:rsidRDefault="003B3634" w:rsidP="003B3634">
      <w:pPr>
        <w:spacing w:after="0" w:line="480" w:lineRule="auto"/>
        <w:rPr>
          <w:rFonts w:ascii="Arial" w:hAnsi="Arial" w:cs="Arial"/>
        </w:rPr>
      </w:pPr>
      <w:r>
        <w:rPr>
          <w:rFonts w:ascii="Arial" w:hAnsi="Arial" w:cs="Arial"/>
        </w:rPr>
        <w:t xml:space="preserve">14. </w:t>
      </w:r>
      <w:r w:rsidRPr="003B3634">
        <w:rPr>
          <w:rFonts w:ascii="Arial" w:hAnsi="Arial" w:cs="Arial"/>
        </w:rPr>
        <w:t>Naidoo V, Putnam M, Spindel A. Key focal areas for bridging the fields of aging and disability: findings form the growing older with disability conference. International Journal of Integrated Care. 2012; Oct-Dec, URN:NBN:NL:UI:10-1-113853.</w:t>
      </w:r>
    </w:p>
    <w:p w14:paraId="310BD530" w14:textId="77777777" w:rsidR="003B3634" w:rsidRPr="003B3634" w:rsidRDefault="003B3634" w:rsidP="003B3634">
      <w:pPr>
        <w:spacing w:after="0" w:line="480" w:lineRule="auto"/>
        <w:rPr>
          <w:rFonts w:ascii="Arial" w:hAnsi="Arial" w:cs="Arial"/>
        </w:rPr>
      </w:pPr>
      <w:r>
        <w:rPr>
          <w:rFonts w:ascii="Arial" w:hAnsi="Arial" w:cs="Arial"/>
        </w:rPr>
        <w:t xml:space="preserve">15. </w:t>
      </w:r>
      <w:r w:rsidRPr="003B3634">
        <w:rPr>
          <w:rFonts w:ascii="Arial" w:hAnsi="Arial" w:cs="Arial"/>
        </w:rPr>
        <w:t>Klingbeil H, Baer HR, Wilson PE. Aging with a disability. Arch Phys Med Rehabil. 2004;7:S68–S73.</w:t>
      </w:r>
    </w:p>
    <w:p w14:paraId="32CE0D97" w14:textId="77777777" w:rsidR="003B3634" w:rsidRPr="003B3634" w:rsidRDefault="003B3634" w:rsidP="003B3634">
      <w:pPr>
        <w:spacing w:after="0" w:line="480" w:lineRule="auto"/>
        <w:rPr>
          <w:rFonts w:ascii="Arial" w:hAnsi="Arial" w:cs="Arial"/>
        </w:rPr>
      </w:pPr>
      <w:r>
        <w:rPr>
          <w:rFonts w:ascii="Arial" w:hAnsi="Arial" w:cs="Arial"/>
        </w:rPr>
        <w:t xml:space="preserve">16. </w:t>
      </w:r>
      <w:r w:rsidRPr="003B3634">
        <w:rPr>
          <w:rFonts w:ascii="Arial" w:hAnsi="Arial" w:cs="Arial"/>
        </w:rPr>
        <w:t>Molton IR, Yorkston KM. Growing older with physical disability: a special application of the successful ageing paradigm. J Gerontol B Psychol Sci Soc Sci. 2017; Vol. 72, No. 2: 290–299.</w:t>
      </w:r>
    </w:p>
    <w:p w14:paraId="5DB31D15" w14:textId="77777777" w:rsidR="003B3634" w:rsidRPr="003B3634" w:rsidRDefault="003B3634" w:rsidP="003B3634">
      <w:pPr>
        <w:spacing w:after="0" w:line="480" w:lineRule="auto"/>
        <w:rPr>
          <w:rFonts w:ascii="Arial" w:hAnsi="Arial" w:cs="Arial"/>
        </w:rPr>
      </w:pPr>
      <w:r>
        <w:rPr>
          <w:rFonts w:ascii="Arial" w:hAnsi="Arial" w:cs="Arial"/>
        </w:rPr>
        <w:t xml:space="preserve">17. </w:t>
      </w:r>
      <w:r w:rsidRPr="003B3634">
        <w:rPr>
          <w:rFonts w:ascii="Arial" w:hAnsi="Arial" w:cs="Arial"/>
        </w:rPr>
        <w:t>Meltzer H, Bebbington P, Brugha T, McManus S, Rai D, Dennis M, Jenkins R. Physical ill health, disability, dependence and depression: Results from the 2007 national survey of psychiatric morbidity among adults in England. Disability and Health Journal. 2012; 5: 102-110.</w:t>
      </w:r>
    </w:p>
    <w:p w14:paraId="799A1883" w14:textId="77777777" w:rsidR="003B3634" w:rsidRPr="003B3634" w:rsidRDefault="003B3634" w:rsidP="003B3634">
      <w:pPr>
        <w:spacing w:after="0" w:line="480" w:lineRule="auto"/>
        <w:rPr>
          <w:rFonts w:ascii="Arial" w:hAnsi="Arial" w:cs="Arial"/>
        </w:rPr>
      </w:pPr>
      <w:r>
        <w:rPr>
          <w:rFonts w:ascii="Arial" w:hAnsi="Arial" w:cs="Arial"/>
        </w:rPr>
        <w:t xml:space="preserve">18. </w:t>
      </w:r>
      <w:r w:rsidRPr="003B3634">
        <w:rPr>
          <w:rFonts w:ascii="Arial" w:hAnsi="Arial" w:cs="Arial"/>
        </w:rPr>
        <w:t>Jensen MP, Truitt AR, Schomer K G, Yorkston KM, Baylor C, Molton IR. Frequency and age effects of secondary health conditions in individuals with spinal cord injury: A scoping review. Spinal Cord. 2013; 51: 882–892.</w:t>
      </w:r>
    </w:p>
    <w:p w14:paraId="2B61D102" w14:textId="77777777" w:rsidR="003B3634" w:rsidRPr="003B3634" w:rsidRDefault="003B3634" w:rsidP="003B3634">
      <w:pPr>
        <w:spacing w:after="0" w:line="480" w:lineRule="auto"/>
        <w:rPr>
          <w:rFonts w:ascii="Arial" w:hAnsi="Arial" w:cs="Arial"/>
        </w:rPr>
      </w:pPr>
      <w:r>
        <w:rPr>
          <w:rFonts w:ascii="Arial" w:hAnsi="Arial" w:cs="Arial"/>
        </w:rPr>
        <w:t xml:space="preserve">19. </w:t>
      </w:r>
      <w:r w:rsidRPr="003B3634">
        <w:rPr>
          <w:rFonts w:ascii="Arial" w:hAnsi="Arial" w:cs="Arial"/>
        </w:rPr>
        <w:t>LaPlante M. Key Goals and indicators for successful aging of adults with early onset disability. Disability and Health Journal. 2014; 7: S44-S50.</w:t>
      </w:r>
    </w:p>
    <w:p w14:paraId="0BC21F4A" w14:textId="77777777" w:rsidR="003B3634" w:rsidRPr="003B3634" w:rsidRDefault="003B3634" w:rsidP="003B3634">
      <w:pPr>
        <w:spacing w:after="0" w:line="480" w:lineRule="auto"/>
        <w:rPr>
          <w:rFonts w:ascii="Arial" w:hAnsi="Arial" w:cs="Arial"/>
        </w:rPr>
      </w:pPr>
      <w:r>
        <w:rPr>
          <w:rFonts w:ascii="Arial" w:hAnsi="Arial" w:cs="Arial"/>
        </w:rPr>
        <w:t xml:space="preserve">20. </w:t>
      </w:r>
      <w:r w:rsidRPr="003B3634">
        <w:rPr>
          <w:rFonts w:ascii="Arial" w:hAnsi="Arial" w:cs="Arial"/>
        </w:rPr>
        <w:t>Priestley M. Disability and the Life Course; Global Perspectives. Cambridge: Cambridge University Press; 2001.</w:t>
      </w:r>
    </w:p>
    <w:p w14:paraId="7257C90D" w14:textId="77777777" w:rsidR="003B3634" w:rsidRPr="003B3634" w:rsidRDefault="003B3634" w:rsidP="003B3634">
      <w:pPr>
        <w:spacing w:after="0" w:line="480" w:lineRule="auto"/>
        <w:rPr>
          <w:rFonts w:ascii="Arial" w:hAnsi="Arial" w:cs="Arial"/>
        </w:rPr>
      </w:pPr>
      <w:r>
        <w:rPr>
          <w:rFonts w:ascii="Arial" w:hAnsi="Arial" w:cs="Arial"/>
        </w:rPr>
        <w:t xml:space="preserve">21. </w:t>
      </w:r>
      <w:r w:rsidRPr="003B3634">
        <w:rPr>
          <w:rFonts w:ascii="Arial" w:hAnsi="Arial" w:cs="Arial"/>
        </w:rPr>
        <w:t>Jeppsson Grassman E, Whitaker A.  Ageing with disability:  A lifecourse perspective. Bristol: Policy Press at the University of Bristol; 2013.</w:t>
      </w:r>
    </w:p>
    <w:p w14:paraId="73CB1784" w14:textId="77777777" w:rsidR="003B3634" w:rsidRPr="003B3634" w:rsidRDefault="003B3634" w:rsidP="003B3634">
      <w:pPr>
        <w:spacing w:after="0" w:line="480" w:lineRule="auto"/>
        <w:rPr>
          <w:rFonts w:ascii="Arial" w:hAnsi="Arial" w:cs="Arial"/>
        </w:rPr>
      </w:pPr>
      <w:r>
        <w:rPr>
          <w:rFonts w:ascii="Arial" w:hAnsi="Arial" w:cs="Arial"/>
        </w:rPr>
        <w:lastRenderedPageBreak/>
        <w:t xml:space="preserve">22. </w:t>
      </w:r>
      <w:r w:rsidRPr="003B3634">
        <w:rPr>
          <w:rFonts w:ascii="Arial" w:hAnsi="Arial" w:cs="Arial"/>
        </w:rPr>
        <w:t>Elder GH. Jr., Johnson MK, and Crosnoe R. The emergence and development of life course theory. In Mortimer JT, and Shanahan MJ, editors. Handbook of the life course. New York: Springer; 2004. pp. 3–19.</w:t>
      </w:r>
    </w:p>
    <w:p w14:paraId="4A8BF329" w14:textId="77777777" w:rsidR="003B3634" w:rsidRPr="003B3634" w:rsidRDefault="003B3634" w:rsidP="003B3634">
      <w:pPr>
        <w:spacing w:after="0" w:line="480" w:lineRule="auto"/>
        <w:rPr>
          <w:rFonts w:ascii="Arial" w:hAnsi="Arial" w:cs="Arial"/>
        </w:rPr>
      </w:pPr>
      <w:r>
        <w:rPr>
          <w:rFonts w:ascii="Arial" w:hAnsi="Arial" w:cs="Arial"/>
        </w:rPr>
        <w:t xml:space="preserve">23. </w:t>
      </w:r>
      <w:r w:rsidRPr="003B3634">
        <w:rPr>
          <w:rFonts w:ascii="Arial" w:hAnsi="Arial" w:cs="Arial"/>
        </w:rPr>
        <w:t>Office of National Statistics (2014). Living Alone in England and Wales. See: http://www.ons.gov.uk/ons/rel/census/2011-census-analysis/do-the-demographic-and-socio-economic-characteristics-of-those-living-alone-in-england-and-wales-differ-from-the-general-population-/sty-living-alone-in-the-uk.html</w:t>
      </w:r>
    </w:p>
    <w:p w14:paraId="689C4B6A" w14:textId="77777777" w:rsidR="003B3634" w:rsidRPr="003B3634" w:rsidRDefault="003B3634" w:rsidP="003B3634">
      <w:pPr>
        <w:spacing w:after="0" w:line="480" w:lineRule="auto"/>
        <w:rPr>
          <w:rFonts w:ascii="Arial" w:hAnsi="Arial" w:cs="Arial"/>
        </w:rPr>
      </w:pPr>
      <w:r>
        <w:rPr>
          <w:rFonts w:ascii="Arial" w:hAnsi="Arial" w:cs="Arial"/>
        </w:rPr>
        <w:t xml:space="preserve">24. </w:t>
      </w:r>
      <w:r w:rsidRPr="003B3634">
        <w:rPr>
          <w:rFonts w:ascii="Arial" w:hAnsi="Arial" w:cs="Arial"/>
        </w:rPr>
        <w:t>Office of National Statistics (2013). Home ownership and renting in England and Wales – detailed characteristics. See: http://www.ons.gov.uk/ons/rel/census/2011-census/detailed-characteristics-on-housing-for-local-authorities-in-england-and-wales/short-story-on-detailed-characteristics.html</w:t>
      </w:r>
    </w:p>
    <w:p w14:paraId="650B0676" w14:textId="77777777" w:rsidR="003B3634" w:rsidRPr="003B3634" w:rsidRDefault="003B3634" w:rsidP="003B3634">
      <w:pPr>
        <w:spacing w:after="0" w:line="480" w:lineRule="auto"/>
        <w:rPr>
          <w:rFonts w:ascii="Arial" w:hAnsi="Arial" w:cs="Arial"/>
        </w:rPr>
      </w:pPr>
      <w:r>
        <w:rPr>
          <w:rFonts w:ascii="Arial" w:hAnsi="Arial" w:cs="Arial"/>
        </w:rPr>
        <w:t xml:space="preserve">25. </w:t>
      </w:r>
      <w:r w:rsidRPr="003B3634">
        <w:rPr>
          <w:rFonts w:ascii="Arial" w:hAnsi="Arial" w:cs="Arial"/>
        </w:rPr>
        <w:t>Office for National Statistics. General Household Survey (2007). Available from: http://www.statistics.gov.uk/downloads/theme_compendia/GHS07GeneralHouseholdSurvey2007.pdf</w:t>
      </w:r>
    </w:p>
    <w:p w14:paraId="3579474A" w14:textId="77777777" w:rsidR="003B3634" w:rsidRPr="003B3634" w:rsidRDefault="003B3634" w:rsidP="003B3634">
      <w:pPr>
        <w:spacing w:after="0" w:line="480" w:lineRule="auto"/>
        <w:rPr>
          <w:rFonts w:ascii="Arial" w:hAnsi="Arial" w:cs="Arial"/>
        </w:rPr>
      </w:pPr>
      <w:r>
        <w:rPr>
          <w:rFonts w:ascii="Arial" w:hAnsi="Arial" w:cs="Arial"/>
        </w:rPr>
        <w:t xml:space="preserve">26. </w:t>
      </w:r>
      <w:r w:rsidRPr="003B3634">
        <w:rPr>
          <w:rFonts w:ascii="Arial" w:hAnsi="Arial" w:cs="Arial"/>
        </w:rPr>
        <w:t>Hoy D, March L, Brooks P, Blyth F, Woolf A, Bain C, Williams G, Smith E, Vos T, Barendregt J, Murray C, Burstein R, Buchbinder R. The global burden of low back pain: estimates from the Global Burden of Disease 2010 study. Annals of the Rheumatic Diseases. Published online March 24 2014.</w:t>
      </w:r>
    </w:p>
    <w:p w14:paraId="79F982EB" w14:textId="35C46D4B" w:rsidR="003B3634" w:rsidRPr="003B3634" w:rsidRDefault="003B3634" w:rsidP="003B3634">
      <w:pPr>
        <w:spacing w:after="0" w:line="480" w:lineRule="auto"/>
        <w:rPr>
          <w:rFonts w:ascii="Arial" w:hAnsi="Arial" w:cs="Arial"/>
        </w:rPr>
      </w:pPr>
      <w:r>
        <w:rPr>
          <w:rFonts w:ascii="Arial" w:hAnsi="Arial" w:cs="Arial"/>
        </w:rPr>
        <w:t xml:space="preserve">27. </w:t>
      </w:r>
      <w:r w:rsidRPr="003B3634">
        <w:rPr>
          <w:rFonts w:ascii="Arial" w:hAnsi="Arial" w:cs="Arial"/>
        </w:rPr>
        <w:t>Ghassemi Jahani SA, Danielsson A, Karlsson J, Brisby H. Degenerative Changes in the Cervical Spine Are More Common in Middle-Aged Individuals with Thalidomide Embryopathy than in Healthy Controls. PLoS ONE. 2016; 11(5): e0155493.</w:t>
      </w:r>
      <w:r w:rsidR="007A69FE">
        <w:rPr>
          <w:rFonts w:ascii="Arial" w:hAnsi="Arial" w:cs="Arial"/>
        </w:rPr>
        <w:t xml:space="preserve"> doi:</w:t>
      </w:r>
      <w:r w:rsidR="007A69FE" w:rsidRPr="007A69FE">
        <w:rPr>
          <w:rFonts w:ascii="Arial" w:hAnsi="Arial" w:cs="Arial"/>
        </w:rPr>
        <w:t>10.1371/journal.pone.0155493.</w:t>
      </w:r>
    </w:p>
    <w:p w14:paraId="4D793A40" w14:textId="77777777" w:rsidR="003B3634" w:rsidRPr="003B3634" w:rsidRDefault="003B3634" w:rsidP="003B3634">
      <w:pPr>
        <w:spacing w:after="0" w:line="480" w:lineRule="auto"/>
        <w:rPr>
          <w:rFonts w:ascii="Arial" w:hAnsi="Arial" w:cs="Arial"/>
        </w:rPr>
      </w:pPr>
      <w:r>
        <w:rPr>
          <w:rFonts w:ascii="Arial" w:hAnsi="Arial" w:cs="Arial"/>
        </w:rPr>
        <w:t xml:space="preserve">28. </w:t>
      </w:r>
      <w:r w:rsidRPr="003B3634">
        <w:rPr>
          <w:rFonts w:ascii="Arial" w:hAnsi="Arial" w:cs="Arial"/>
        </w:rPr>
        <w:t>Mental Health Foundation. The Fundamental Facts. London: Mental Health Foundation; 2007.</w:t>
      </w:r>
    </w:p>
    <w:p w14:paraId="56EE5BD0" w14:textId="77777777" w:rsidR="003B3634" w:rsidRPr="003B3634" w:rsidRDefault="003B3634" w:rsidP="003B3634">
      <w:pPr>
        <w:spacing w:after="0" w:line="480" w:lineRule="auto"/>
        <w:rPr>
          <w:rFonts w:ascii="Arial" w:hAnsi="Arial" w:cs="Arial"/>
        </w:rPr>
      </w:pPr>
      <w:r>
        <w:rPr>
          <w:rFonts w:ascii="Arial" w:hAnsi="Arial" w:cs="Arial"/>
        </w:rPr>
        <w:t xml:space="preserve">29. </w:t>
      </w:r>
      <w:r w:rsidRPr="003B3634">
        <w:rPr>
          <w:rFonts w:ascii="Arial" w:hAnsi="Arial" w:cs="Arial"/>
        </w:rPr>
        <w:t>Ekfeldt A, Carlsson GE. Dental status and oral function in an adult group of subjects with thalidomide embryopathy - A clinical and questionnaire study. Acta Odontologica Scandinavica. 2008; 66(5), 300-306.</w:t>
      </w:r>
    </w:p>
    <w:p w14:paraId="717CD5DD" w14:textId="77777777" w:rsidR="003B3634" w:rsidRPr="003B3634" w:rsidRDefault="003B3634" w:rsidP="003B3634">
      <w:pPr>
        <w:spacing w:after="0" w:line="480" w:lineRule="auto"/>
        <w:rPr>
          <w:rFonts w:ascii="Arial" w:hAnsi="Arial" w:cs="Arial"/>
        </w:rPr>
      </w:pPr>
      <w:r>
        <w:rPr>
          <w:rFonts w:ascii="Arial" w:hAnsi="Arial" w:cs="Arial"/>
        </w:rPr>
        <w:lastRenderedPageBreak/>
        <w:t xml:space="preserve">30. </w:t>
      </w:r>
      <w:r w:rsidRPr="003B3634">
        <w:rPr>
          <w:rFonts w:ascii="Arial" w:hAnsi="Arial" w:cs="Arial"/>
        </w:rPr>
        <w:t>Shiga T, Shimbo T, Yoshizwa A. Multicentre Investigation of Lifestyle-Related Diseases and Visceral Disorders in Thalidomide Embryopathy at around 50 years of age. Birth Defects Research (Part A). 2015; 103:787-793.</w:t>
      </w:r>
    </w:p>
    <w:p w14:paraId="69AFCD63" w14:textId="062A93A8" w:rsidR="003B3634" w:rsidRPr="003B3634" w:rsidRDefault="003B3634" w:rsidP="003B3634">
      <w:pPr>
        <w:spacing w:after="0" w:line="480" w:lineRule="auto"/>
        <w:rPr>
          <w:rFonts w:ascii="Arial" w:hAnsi="Arial" w:cs="Arial"/>
        </w:rPr>
      </w:pPr>
      <w:r>
        <w:rPr>
          <w:rFonts w:ascii="Arial" w:hAnsi="Arial" w:cs="Arial"/>
        </w:rPr>
        <w:t>31. Barnett K, Mercer S</w:t>
      </w:r>
      <w:r w:rsidRPr="003B3634">
        <w:rPr>
          <w:rFonts w:ascii="Arial" w:hAnsi="Arial" w:cs="Arial"/>
        </w:rPr>
        <w:t xml:space="preserve">W, Norbury M, Watt G, Wyke S, Guthrie B. Epidemiology of multimorbidity and implications for health care, research, and medical education: a cross-sectional </w:t>
      </w:r>
      <w:r>
        <w:rPr>
          <w:rFonts w:ascii="Arial" w:hAnsi="Arial" w:cs="Arial"/>
        </w:rPr>
        <w:t>study. Lancet. 2012; 380: 37-43</w:t>
      </w:r>
    </w:p>
    <w:p w14:paraId="3FDC290E" w14:textId="77777777" w:rsidR="003B3634" w:rsidRPr="003B3634" w:rsidRDefault="003B3634" w:rsidP="003B3634">
      <w:pPr>
        <w:spacing w:after="0" w:line="480" w:lineRule="auto"/>
        <w:rPr>
          <w:rFonts w:ascii="Arial" w:hAnsi="Arial" w:cs="Arial"/>
        </w:rPr>
      </w:pPr>
      <w:r>
        <w:rPr>
          <w:rFonts w:ascii="Arial" w:hAnsi="Arial" w:cs="Arial"/>
        </w:rPr>
        <w:t xml:space="preserve">32. </w:t>
      </w:r>
      <w:r w:rsidRPr="003B3634">
        <w:rPr>
          <w:rFonts w:ascii="Arial" w:hAnsi="Arial" w:cs="Arial"/>
        </w:rPr>
        <w:t>Valderas JM, Starfield B, Sibbald B, Salisbury C, Roland M. Defining Comorbidity: Implications for Understanding Health and Health Services. Annals of Family Medicine. 2009; 7(4), 357–363.</w:t>
      </w:r>
    </w:p>
    <w:p w14:paraId="699ED555" w14:textId="77777777" w:rsidR="003B3634" w:rsidRPr="003B3634" w:rsidRDefault="003B3634" w:rsidP="003B3634">
      <w:pPr>
        <w:spacing w:after="0" w:line="480" w:lineRule="auto"/>
        <w:rPr>
          <w:rFonts w:ascii="Arial" w:hAnsi="Arial" w:cs="Arial"/>
        </w:rPr>
      </w:pPr>
      <w:r>
        <w:rPr>
          <w:rFonts w:ascii="Arial" w:hAnsi="Arial" w:cs="Arial"/>
        </w:rPr>
        <w:t>33. Newbronner E, Baxter M.</w:t>
      </w:r>
      <w:r w:rsidRPr="003B3634">
        <w:rPr>
          <w:rFonts w:ascii="Arial" w:hAnsi="Arial" w:cs="Arial"/>
        </w:rPr>
        <w:t xml:space="preserve"> Health, Quality of Life and Employment amongst Thalidomide-affected People – Evidence from the UK. Firefly Research/The Thalidomide Trust; 2015.</w:t>
      </w:r>
    </w:p>
    <w:p w14:paraId="18673F49" w14:textId="5EF0A5D0" w:rsidR="003B3634" w:rsidRPr="003B3634" w:rsidRDefault="003B3634" w:rsidP="003B3634">
      <w:pPr>
        <w:spacing w:after="0" w:line="480" w:lineRule="auto"/>
        <w:rPr>
          <w:rFonts w:ascii="Arial" w:hAnsi="Arial" w:cs="Arial"/>
        </w:rPr>
      </w:pPr>
      <w:r>
        <w:rPr>
          <w:rFonts w:ascii="Arial" w:hAnsi="Arial" w:cs="Arial"/>
        </w:rPr>
        <w:t xml:space="preserve">34. </w:t>
      </w:r>
      <w:r w:rsidRPr="003B3634">
        <w:rPr>
          <w:rFonts w:ascii="Arial" w:hAnsi="Arial" w:cs="Arial"/>
        </w:rPr>
        <w:t>Department of Work and Pensions (2015). Employment statistics for workers aged 50 and over, by 5-year age bands and gender: from 1984 to 2015. DWP; London.</w:t>
      </w:r>
    </w:p>
    <w:p w14:paraId="4408EDEE" w14:textId="77777777" w:rsidR="003B3634" w:rsidRPr="003B3634" w:rsidRDefault="003B3634" w:rsidP="003B3634">
      <w:pPr>
        <w:spacing w:after="0" w:line="480" w:lineRule="auto"/>
        <w:rPr>
          <w:rFonts w:ascii="Arial" w:hAnsi="Arial" w:cs="Arial"/>
        </w:rPr>
      </w:pPr>
      <w:r>
        <w:rPr>
          <w:rFonts w:ascii="Arial" w:hAnsi="Arial" w:cs="Arial"/>
        </w:rPr>
        <w:t xml:space="preserve">35. </w:t>
      </w:r>
      <w:r w:rsidRPr="003B3634">
        <w:rPr>
          <w:rFonts w:ascii="Arial" w:hAnsi="Arial" w:cs="Arial"/>
        </w:rPr>
        <w:t>Papworth Trust. Disability in the United Kingdom 2014: Facts and Figures. Cambridge; 2014.</w:t>
      </w:r>
    </w:p>
    <w:p w14:paraId="2EFE66FF" w14:textId="77777777" w:rsidR="003B3634" w:rsidRPr="003B3634" w:rsidRDefault="003B3634" w:rsidP="003B3634">
      <w:pPr>
        <w:spacing w:after="0" w:line="480" w:lineRule="auto"/>
        <w:rPr>
          <w:rFonts w:ascii="Arial" w:hAnsi="Arial" w:cs="Arial"/>
        </w:rPr>
      </w:pPr>
      <w:r>
        <w:rPr>
          <w:rFonts w:ascii="Arial" w:hAnsi="Arial" w:cs="Arial"/>
        </w:rPr>
        <w:t xml:space="preserve">36. </w:t>
      </w:r>
      <w:r w:rsidRPr="003B3634">
        <w:rPr>
          <w:rFonts w:ascii="Arial" w:hAnsi="Arial" w:cs="Arial"/>
        </w:rPr>
        <w:t>Office for National Statistics (2011). Highest levels of qualification across England and Wales. Available from: http://www.ons.gov.uk/ons/rel/census/2011-census-analysis/local-area-analysis-of-qualifications-across-england-and-wales/info-highest-qualifications.html</w:t>
      </w:r>
    </w:p>
    <w:p w14:paraId="086D3DC9" w14:textId="77777777" w:rsidR="003B3634" w:rsidRDefault="003B3634" w:rsidP="003B3634">
      <w:pPr>
        <w:spacing w:after="0" w:line="480" w:lineRule="auto"/>
        <w:rPr>
          <w:rFonts w:ascii="Arial" w:hAnsi="Arial" w:cs="Arial"/>
        </w:rPr>
      </w:pPr>
      <w:r>
        <w:rPr>
          <w:rFonts w:ascii="Arial" w:hAnsi="Arial" w:cs="Arial"/>
        </w:rPr>
        <w:t xml:space="preserve">37. </w:t>
      </w:r>
      <w:r w:rsidRPr="003B3634">
        <w:rPr>
          <w:rFonts w:ascii="Arial" w:hAnsi="Arial" w:cs="Arial"/>
        </w:rPr>
        <w:t xml:space="preserve">Office for National Statistics Office for National Statistics (2012). </w:t>
      </w:r>
      <w:r>
        <w:rPr>
          <w:rFonts w:ascii="Arial" w:hAnsi="Arial" w:cs="Arial"/>
        </w:rPr>
        <w:t xml:space="preserve"> Labour Force Survey.</w:t>
      </w:r>
    </w:p>
    <w:p w14:paraId="61E80921" w14:textId="77777777" w:rsidR="003B3634" w:rsidRPr="003B3634" w:rsidRDefault="003B3634" w:rsidP="003B3634">
      <w:pPr>
        <w:spacing w:after="0" w:line="480" w:lineRule="auto"/>
        <w:rPr>
          <w:rFonts w:ascii="Arial" w:hAnsi="Arial" w:cs="Arial"/>
        </w:rPr>
      </w:pPr>
      <w:r>
        <w:rPr>
          <w:rFonts w:ascii="Arial" w:hAnsi="Arial" w:cs="Arial"/>
        </w:rPr>
        <w:t xml:space="preserve">Available </w:t>
      </w:r>
      <w:r w:rsidRPr="003B3634">
        <w:rPr>
          <w:rFonts w:ascii="Arial" w:hAnsi="Arial" w:cs="Arial"/>
        </w:rPr>
        <w:t>from: http://webarchive.nationalarchives.gov.uk/20160107075206/http://www.ons.gov.uk/ons/rel/lms/labour-market-statistics/november-2012/statistical-bulletin.html</w:t>
      </w:r>
    </w:p>
    <w:p w14:paraId="7D541726" w14:textId="77777777" w:rsidR="003B3634" w:rsidRPr="003B3634" w:rsidRDefault="003B3634" w:rsidP="003B3634">
      <w:pPr>
        <w:spacing w:after="0" w:line="480" w:lineRule="auto"/>
        <w:rPr>
          <w:rFonts w:ascii="Arial" w:hAnsi="Arial" w:cs="Arial"/>
        </w:rPr>
      </w:pPr>
      <w:r>
        <w:rPr>
          <w:rFonts w:ascii="Arial" w:hAnsi="Arial" w:cs="Arial"/>
        </w:rPr>
        <w:t xml:space="preserve">38. </w:t>
      </w:r>
      <w:r w:rsidRPr="003B3634">
        <w:rPr>
          <w:rFonts w:ascii="Arial" w:hAnsi="Arial" w:cs="Arial"/>
        </w:rPr>
        <w:t>Vermette N, Benegabi M. Study on the current living conditions of Canadian Thalidomide survivors and projections for the future. Thalidomide Victims Association of Canada; 2013.</w:t>
      </w:r>
    </w:p>
    <w:p w14:paraId="0B5CBD3D" w14:textId="3DE17328" w:rsidR="003B3634" w:rsidRPr="003B3634" w:rsidRDefault="003B3634" w:rsidP="003B3634">
      <w:pPr>
        <w:spacing w:after="0" w:line="480" w:lineRule="auto"/>
        <w:rPr>
          <w:rFonts w:ascii="Arial" w:hAnsi="Arial" w:cs="Arial"/>
        </w:rPr>
      </w:pPr>
      <w:r>
        <w:rPr>
          <w:rFonts w:ascii="Arial" w:hAnsi="Arial" w:cs="Arial"/>
        </w:rPr>
        <w:t xml:space="preserve">39. </w:t>
      </w:r>
      <w:r w:rsidRPr="003B3634">
        <w:rPr>
          <w:rFonts w:ascii="Arial" w:hAnsi="Arial" w:cs="Arial"/>
        </w:rPr>
        <w:t>Jenkinson C, Wright L, Coulter A. Quality of Life measurement in health care. A review of measures, and population norms for the UKSF-36, Oxford: Health Services Research</w:t>
      </w:r>
      <w:r>
        <w:rPr>
          <w:rFonts w:ascii="Arial" w:hAnsi="Arial" w:cs="Arial"/>
        </w:rPr>
        <w:t xml:space="preserve"> Unit; 1993.</w:t>
      </w:r>
    </w:p>
    <w:p w14:paraId="7FD48953" w14:textId="31F41726" w:rsidR="003B3634" w:rsidRPr="003B3634" w:rsidRDefault="003B3634" w:rsidP="003B3634">
      <w:pPr>
        <w:spacing w:after="0" w:line="480" w:lineRule="auto"/>
        <w:rPr>
          <w:rFonts w:ascii="Arial" w:hAnsi="Arial" w:cs="Arial"/>
        </w:rPr>
      </w:pPr>
      <w:r>
        <w:rPr>
          <w:rFonts w:ascii="Arial" w:hAnsi="Arial" w:cs="Arial"/>
        </w:rPr>
        <w:lastRenderedPageBreak/>
        <w:t xml:space="preserve">40. </w:t>
      </w:r>
      <w:r w:rsidRPr="003B3634">
        <w:rPr>
          <w:rFonts w:ascii="Arial" w:hAnsi="Arial" w:cs="Arial"/>
        </w:rPr>
        <w:t>Ghassemi Jahani SA, Karlsson J, Brisby H, Danielsson AJ. Health-related quality of life and function in middle-aged individuals with thalidomide embryopathy. J Child Orthop. 2016; 10:691–703.</w:t>
      </w:r>
    </w:p>
    <w:p w14:paraId="5A566DB7" w14:textId="77777777" w:rsidR="003B3634" w:rsidRPr="003B3634" w:rsidRDefault="003B3634" w:rsidP="003B3634">
      <w:pPr>
        <w:spacing w:after="0" w:line="480" w:lineRule="auto"/>
        <w:rPr>
          <w:rFonts w:ascii="Arial" w:hAnsi="Arial" w:cs="Arial"/>
        </w:rPr>
      </w:pPr>
      <w:r>
        <w:rPr>
          <w:rFonts w:ascii="Arial" w:hAnsi="Arial" w:cs="Arial"/>
        </w:rPr>
        <w:t xml:space="preserve">41. </w:t>
      </w:r>
      <w:r w:rsidRPr="003B3634">
        <w:rPr>
          <w:rFonts w:ascii="Arial" w:hAnsi="Arial" w:cs="Arial"/>
        </w:rPr>
        <w:t>Uppal S. Impact of the timing, type and severity of disability on the subjective wellbeing of individuals with disabilities. Social Science and Medicine. 2006; 63: 525-539.</w:t>
      </w:r>
    </w:p>
    <w:p w14:paraId="5BBACF90" w14:textId="2F56F2D3" w:rsidR="00F57C14" w:rsidRPr="009E4B5D" w:rsidRDefault="003B3634" w:rsidP="00E34C18">
      <w:pPr>
        <w:spacing w:after="0" w:line="480" w:lineRule="auto"/>
        <w:rPr>
          <w:rFonts w:ascii="Arial" w:hAnsi="Arial" w:cs="Arial"/>
        </w:rPr>
      </w:pPr>
      <w:r>
        <w:rPr>
          <w:rFonts w:ascii="Arial" w:hAnsi="Arial" w:cs="Arial"/>
        </w:rPr>
        <w:t xml:space="preserve">42. </w:t>
      </w:r>
      <w:r w:rsidRPr="003B3634">
        <w:rPr>
          <w:rFonts w:ascii="Arial" w:hAnsi="Arial" w:cs="Arial"/>
        </w:rPr>
        <w:t>Kemp BJ, Mosqueda L. Ageing with a Disability. Baltimore: The Johns Hopkins University Press; 2004.</w:t>
      </w:r>
    </w:p>
    <w:sectPr w:rsidR="00F57C14" w:rsidRPr="009E4B5D" w:rsidSect="00E34C1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EB21" w14:textId="77777777" w:rsidR="0007678D" w:rsidRDefault="0007678D" w:rsidP="000918B6">
      <w:pPr>
        <w:spacing w:after="0" w:line="240" w:lineRule="auto"/>
      </w:pPr>
      <w:r>
        <w:separator/>
      </w:r>
    </w:p>
  </w:endnote>
  <w:endnote w:type="continuationSeparator" w:id="0">
    <w:p w14:paraId="0D869019" w14:textId="77777777" w:rsidR="0007678D" w:rsidRDefault="0007678D" w:rsidP="0009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Book-Roman">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37891"/>
      <w:docPartObj>
        <w:docPartGallery w:val="Page Numbers (Bottom of Page)"/>
        <w:docPartUnique/>
      </w:docPartObj>
    </w:sdtPr>
    <w:sdtEndPr>
      <w:rPr>
        <w:rFonts w:ascii="Arial" w:hAnsi="Arial" w:cs="Arial"/>
        <w:noProof/>
      </w:rPr>
    </w:sdtEndPr>
    <w:sdtContent>
      <w:p w14:paraId="43061A23" w14:textId="64A9D5A7" w:rsidR="009E4B5D" w:rsidRPr="009D6A09" w:rsidRDefault="009E4B5D">
        <w:pPr>
          <w:pStyle w:val="Footer"/>
          <w:jc w:val="center"/>
          <w:rPr>
            <w:rFonts w:ascii="Arial" w:hAnsi="Arial" w:cs="Arial"/>
          </w:rPr>
        </w:pPr>
        <w:r w:rsidRPr="009D6A09">
          <w:rPr>
            <w:rFonts w:ascii="Arial" w:hAnsi="Arial" w:cs="Arial"/>
          </w:rPr>
          <w:fldChar w:fldCharType="begin"/>
        </w:r>
        <w:r w:rsidRPr="009D6A09">
          <w:rPr>
            <w:rFonts w:ascii="Arial" w:hAnsi="Arial" w:cs="Arial"/>
          </w:rPr>
          <w:instrText xml:space="preserve"> PAGE   \* MERGEFORMAT </w:instrText>
        </w:r>
        <w:r w:rsidRPr="009D6A09">
          <w:rPr>
            <w:rFonts w:ascii="Arial" w:hAnsi="Arial" w:cs="Arial"/>
          </w:rPr>
          <w:fldChar w:fldCharType="separate"/>
        </w:r>
        <w:r w:rsidR="007469B7">
          <w:rPr>
            <w:rFonts w:ascii="Arial" w:hAnsi="Arial" w:cs="Arial"/>
            <w:noProof/>
          </w:rPr>
          <w:t>1</w:t>
        </w:r>
        <w:r w:rsidRPr="009D6A09">
          <w:rPr>
            <w:rFonts w:ascii="Arial" w:hAnsi="Arial" w:cs="Arial"/>
            <w:noProof/>
          </w:rPr>
          <w:fldChar w:fldCharType="end"/>
        </w:r>
      </w:p>
    </w:sdtContent>
  </w:sdt>
  <w:p w14:paraId="5C2598CA" w14:textId="77777777" w:rsidR="009E4B5D" w:rsidRDefault="009E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C5B0" w14:textId="77777777" w:rsidR="0007678D" w:rsidRDefault="0007678D" w:rsidP="000918B6">
      <w:pPr>
        <w:spacing w:after="0" w:line="240" w:lineRule="auto"/>
      </w:pPr>
      <w:r>
        <w:separator/>
      </w:r>
    </w:p>
  </w:footnote>
  <w:footnote w:type="continuationSeparator" w:id="0">
    <w:p w14:paraId="0A4C1AB8" w14:textId="77777777" w:rsidR="0007678D" w:rsidRDefault="0007678D" w:rsidP="0009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18D0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048DD2"/>
    <w:lvl w:ilvl="0">
      <w:numFmt w:val="bullet"/>
      <w:lvlText w:val="*"/>
      <w:lvlJc w:val="left"/>
    </w:lvl>
  </w:abstractNum>
  <w:abstractNum w:abstractNumId="2" w15:restartNumberingAfterBreak="0">
    <w:nsid w:val="02036E93"/>
    <w:multiLevelType w:val="hybridMultilevel"/>
    <w:tmpl w:val="43C65074"/>
    <w:lvl w:ilvl="0" w:tplc="08090001">
      <w:start w:val="1"/>
      <w:numFmt w:val="bullet"/>
      <w:lvlText w:val=""/>
      <w:lvlJc w:val="left"/>
      <w:pPr>
        <w:ind w:left="720" w:hanging="360"/>
      </w:pPr>
      <w:rPr>
        <w:rFonts w:ascii="Symbol" w:hAnsi="Symbol" w:hint="default"/>
      </w:rPr>
    </w:lvl>
    <w:lvl w:ilvl="1" w:tplc="AA5E430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53BF0"/>
    <w:multiLevelType w:val="hybridMultilevel"/>
    <w:tmpl w:val="3086D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C671C"/>
    <w:multiLevelType w:val="hybridMultilevel"/>
    <w:tmpl w:val="C782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E7823"/>
    <w:multiLevelType w:val="hybridMultilevel"/>
    <w:tmpl w:val="527E3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8520C4"/>
    <w:multiLevelType w:val="hybridMultilevel"/>
    <w:tmpl w:val="6B423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3E497C"/>
    <w:multiLevelType w:val="hybridMultilevel"/>
    <w:tmpl w:val="48AC662E"/>
    <w:lvl w:ilvl="0" w:tplc="76FAE8F2">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91C03"/>
    <w:multiLevelType w:val="multilevel"/>
    <w:tmpl w:val="18A86A62"/>
    <w:lvl w:ilvl="0">
      <w:start w:val="1"/>
      <w:numFmt w:val="decimal"/>
      <w:pStyle w:val="Heading1"/>
      <w:lvlText w:val="%1"/>
      <w:lvlJc w:val="left"/>
      <w:pPr>
        <w:tabs>
          <w:tab w:val="num" w:pos="432"/>
        </w:tabs>
        <w:ind w:left="432" w:hanging="432"/>
      </w:pPr>
      <w:rPr>
        <w:rFonts w:hint="default"/>
        <w:color w:val="FFFFFF"/>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51"/>
        </w:tabs>
        <w:ind w:left="851" w:hanging="851"/>
      </w:pPr>
      <w:rPr>
        <w:rFonts w:hint="default"/>
        <w:b/>
        <w:i w:val="0"/>
        <w:sz w:val="22"/>
        <w:szCs w:val="16"/>
      </w:rPr>
    </w:lvl>
    <w:lvl w:ilvl="3">
      <w:start w:val="1"/>
      <w:numFmt w:val="decimal"/>
      <w:pStyle w:val="Heading4"/>
      <w:lvlText w:val="%1.%2.%3.%4"/>
      <w:lvlJc w:val="left"/>
      <w:pPr>
        <w:tabs>
          <w:tab w:val="num" w:pos="851"/>
        </w:tabs>
        <w:ind w:left="851" w:hanging="851"/>
      </w:pPr>
      <w:rPr>
        <w:rFonts w:hint="default"/>
        <w:b w:val="0"/>
        <w:i w:val="0"/>
        <w:sz w:val="16"/>
        <w:szCs w:val="16"/>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993597D"/>
    <w:multiLevelType w:val="hybridMultilevel"/>
    <w:tmpl w:val="9F78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D51A39"/>
    <w:multiLevelType w:val="hybridMultilevel"/>
    <w:tmpl w:val="659A5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0"/>
  </w:num>
  <w:num w:numId="6">
    <w:abstractNumId w:val="9"/>
  </w:num>
  <w:num w:numId="7">
    <w:abstractNumId w:val="10"/>
  </w:num>
  <w:num w:numId="8">
    <w:abstractNumId w:val="2"/>
  </w:num>
  <w:num w:numId="9">
    <w:abstractNumId w:val="5"/>
  </w:num>
  <w:num w:numId="10">
    <w:abstractNumId w:val="1"/>
    <w:lvlOverride w:ilvl="0">
      <w:lvl w:ilvl="0">
        <w:numFmt w:val="bullet"/>
        <w:lvlText w:val="•"/>
        <w:legacy w:legacy="1" w:legacySpace="0" w:legacyIndent="0"/>
        <w:lvlJc w:val="left"/>
        <w:rPr>
          <w:rFonts w:ascii="Arial" w:hAnsi="Arial" w:cs="Arial" w:hint="default"/>
          <w:sz w:val="48"/>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F"/>
    <w:rsid w:val="0000287A"/>
    <w:rsid w:val="00004278"/>
    <w:rsid w:val="00006665"/>
    <w:rsid w:val="00011521"/>
    <w:rsid w:val="0001244B"/>
    <w:rsid w:val="00013E52"/>
    <w:rsid w:val="00015DBB"/>
    <w:rsid w:val="00027E71"/>
    <w:rsid w:val="00033307"/>
    <w:rsid w:val="000365A0"/>
    <w:rsid w:val="00036E96"/>
    <w:rsid w:val="00043223"/>
    <w:rsid w:val="00044F57"/>
    <w:rsid w:val="000478E7"/>
    <w:rsid w:val="00057169"/>
    <w:rsid w:val="00065794"/>
    <w:rsid w:val="000721E1"/>
    <w:rsid w:val="00072336"/>
    <w:rsid w:val="00072610"/>
    <w:rsid w:val="00076391"/>
    <w:rsid w:val="0007678D"/>
    <w:rsid w:val="000767B9"/>
    <w:rsid w:val="00084060"/>
    <w:rsid w:val="0008665C"/>
    <w:rsid w:val="000918B6"/>
    <w:rsid w:val="000936B2"/>
    <w:rsid w:val="000A25C8"/>
    <w:rsid w:val="000A7DBF"/>
    <w:rsid w:val="000B0040"/>
    <w:rsid w:val="000B044C"/>
    <w:rsid w:val="000B3010"/>
    <w:rsid w:val="000B690B"/>
    <w:rsid w:val="000B6BEC"/>
    <w:rsid w:val="000C49AD"/>
    <w:rsid w:val="000C5DBB"/>
    <w:rsid w:val="000D040D"/>
    <w:rsid w:val="000E3E26"/>
    <w:rsid w:val="000E4768"/>
    <w:rsid w:val="000E4A1B"/>
    <w:rsid w:val="000E60FA"/>
    <w:rsid w:val="000F151A"/>
    <w:rsid w:val="000F25AA"/>
    <w:rsid w:val="0010405A"/>
    <w:rsid w:val="00115346"/>
    <w:rsid w:val="001259F2"/>
    <w:rsid w:val="00130C25"/>
    <w:rsid w:val="001351B3"/>
    <w:rsid w:val="001371BC"/>
    <w:rsid w:val="0014251F"/>
    <w:rsid w:val="00144259"/>
    <w:rsid w:val="001475F7"/>
    <w:rsid w:val="001543E4"/>
    <w:rsid w:val="001603AB"/>
    <w:rsid w:val="001736CC"/>
    <w:rsid w:val="00173FD1"/>
    <w:rsid w:val="00180F02"/>
    <w:rsid w:val="00181F32"/>
    <w:rsid w:val="001820CB"/>
    <w:rsid w:val="00192C7C"/>
    <w:rsid w:val="00193C0A"/>
    <w:rsid w:val="00193EA8"/>
    <w:rsid w:val="00195C11"/>
    <w:rsid w:val="001A264B"/>
    <w:rsid w:val="001B2FF3"/>
    <w:rsid w:val="001B4E1E"/>
    <w:rsid w:val="001B7078"/>
    <w:rsid w:val="001C0E29"/>
    <w:rsid w:val="001C2B9B"/>
    <w:rsid w:val="001C3C17"/>
    <w:rsid w:val="001D5DEF"/>
    <w:rsid w:val="001E45C5"/>
    <w:rsid w:val="001E5ABB"/>
    <w:rsid w:val="001F1154"/>
    <w:rsid w:val="001F13B2"/>
    <w:rsid w:val="00201E43"/>
    <w:rsid w:val="00202D34"/>
    <w:rsid w:val="00211124"/>
    <w:rsid w:val="00215415"/>
    <w:rsid w:val="00221EC7"/>
    <w:rsid w:val="002247A1"/>
    <w:rsid w:val="0023292C"/>
    <w:rsid w:val="00234525"/>
    <w:rsid w:val="00235B4E"/>
    <w:rsid w:val="00240B89"/>
    <w:rsid w:val="00243EEF"/>
    <w:rsid w:val="00254364"/>
    <w:rsid w:val="00256974"/>
    <w:rsid w:val="0026198B"/>
    <w:rsid w:val="00263662"/>
    <w:rsid w:val="00272718"/>
    <w:rsid w:val="0027334A"/>
    <w:rsid w:val="00273526"/>
    <w:rsid w:val="00280965"/>
    <w:rsid w:val="00280A98"/>
    <w:rsid w:val="002925CD"/>
    <w:rsid w:val="00293CD2"/>
    <w:rsid w:val="00293DD5"/>
    <w:rsid w:val="0029780F"/>
    <w:rsid w:val="002A3387"/>
    <w:rsid w:val="002A3629"/>
    <w:rsid w:val="002A5160"/>
    <w:rsid w:val="002A76EB"/>
    <w:rsid w:val="002B0BB1"/>
    <w:rsid w:val="002B56AC"/>
    <w:rsid w:val="002C0FDB"/>
    <w:rsid w:val="002D33E2"/>
    <w:rsid w:val="002E02D8"/>
    <w:rsid w:val="002E0C85"/>
    <w:rsid w:val="002E469C"/>
    <w:rsid w:val="002F0FFB"/>
    <w:rsid w:val="002F1AC7"/>
    <w:rsid w:val="0030009E"/>
    <w:rsid w:val="00301E93"/>
    <w:rsid w:val="00302409"/>
    <w:rsid w:val="00303D4F"/>
    <w:rsid w:val="00305DAE"/>
    <w:rsid w:val="00312506"/>
    <w:rsid w:val="00316752"/>
    <w:rsid w:val="003174FD"/>
    <w:rsid w:val="00326787"/>
    <w:rsid w:val="0033779E"/>
    <w:rsid w:val="00337DFC"/>
    <w:rsid w:val="00341476"/>
    <w:rsid w:val="0035442E"/>
    <w:rsid w:val="00363A13"/>
    <w:rsid w:val="00373466"/>
    <w:rsid w:val="00381CB9"/>
    <w:rsid w:val="0039111F"/>
    <w:rsid w:val="003A3610"/>
    <w:rsid w:val="003B3634"/>
    <w:rsid w:val="003B7EF2"/>
    <w:rsid w:val="003D1BD1"/>
    <w:rsid w:val="003E1283"/>
    <w:rsid w:val="003E2D60"/>
    <w:rsid w:val="003E2F1D"/>
    <w:rsid w:val="003E4DE2"/>
    <w:rsid w:val="003E5695"/>
    <w:rsid w:val="003E56E4"/>
    <w:rsid w:val="003E5FBD"/>
    <w:rsid w:val="003F074C"/>
    <w:rsid w:val="003F0E71"/>
    <w:rsid w:val="003F3A45"/>
    <w:rsid w:val="003F5FAF"/>
    <w:rsid w:val="00400C98"/>
    <w:rsid w:val="00403267"/>
    <w:rsid w:val="004101A4"/>
    <w:rsid w:val="00415BE0"/>
    <w:rsid w:val="00422638"/>
    <w:rsid w:val="004303B9"/>
    <w:rsid w:val="00434D1B"/>
    <w:rsid w:val="00435666"/>
    <w:rsid w:val="004463E4"/>
    <w:rsid w:val="00457A74"/>
    <w:rsid w:val="00466A0C"/>
    <w:rsid w:val="00466DA0"/>
    <w:rsid w:val="004706D7"/>
    <w:rsid w:val="00483A26"/>
    <w:rsid w:val="00492385"/>
    <w:rsid w:val="004A5D82"/>
    <w:rsid w:val="004B1D78"/>
    <w:rsid w:val="004B4E10"/>
    <w:rsid w:val="004B687D"/>
    <w:rsid w:val="004B7921"/>
    <w:rsid w:val="004D3BFE"/>
    <w:rsid w:val="004E0C92"/>
    <w:rsid w:val="004E6EA8"/>
    <w:rsid w:val="004F79AF"/>
    <w:rsid w:val="00500EE4"/>
    <w:rsid w:val="00501ED6"/>
    <w:rsid w:val="00507974"/>
    <w:rsid w:val="00507CF3"/>
    <w:rsid w:val="00515FF6"/>
    <w:rsid w:val="00517D15"/>
    <w:rsid w:val="00522223"/>
    <w:rsid w:val="005242FF"/>
    <w:rsid w:val="005306EA"/>
    <w:rsid w:val="00545E1C"/>
    <w:rsid w:val="00551DC0"/>
    <w:rsid w:val="00564B7E"/>
    <w:rsid w:val="005702EB"/>
    <w:rsid w:val="005734FC"/>
    <w:rsid w:val="00580C0F"/>
    <w:rsid w:val="00582221"/>
    <w:rsid w:val="00585866"/>
    <w:rsid w:val="005860D3"/>
    <w:rsid w:val="00587FB6"/>
    <w:rsid w:val="0059009B"/>
    <w:rsid w:val="00590A41"/>
    <w:rsid w:val="00590E2F"/>
    <w:rsid w:val="005B75C6"/>
    <w:rsid w:val="005C3450"/>
    <w:rsid w:val="005D03A2"/>
    <w:rsid w:val="005D5468"/>
    <w:rsid w:val="005D6476"/>
    <w:rsid w:val="005E156B"/>
    <w:rsid w:val="005F13E4"/>
    <w:rsid w:val="005F3048"/>
    <w:rsid w:val="005F54D9"/>
    <w:rsid w:val="005F756D"/>
    <w:rsid w:val="00611064"/>
    <w:rsid w:val="006117BE"/>
    <w:rsid w:val="00616B53"/>
    <w:rsid w:val="0061793D"/>
    <w:rsid w:val="00620594"/>
    <w:rsid w:val="00623621"/>
    <w:rsid w:val="00623EF2"/>
    <w:rsid w:val="00624AD6"/>
    <w:rsid w:val="00625446"/>
    <w:rsid w:val="00627990"/>
    <w:rsid w:val="0063568E"/>
    <w:rsid w:val="00635CA2"/>
    <w:rsid w:val="00640B60"/>
    <w:rsid w:val="00641CF3"/>
    <w:rsid w:val="00642C37"/>
    <w:rsid w:val="00650E34"/>
    <w:rsid w:val="006547BF"/>
    <w:rsid w:val="0065721E"/>
    <w:rsid w:val="00667862"/>
    <w:rsid w:val="00673EB6"/>
    <w:rsid w:val="00681581"/>
    <w:rsid w:val="00681AE8"/>
    <w:rsid w:val="00692D59"/>
    <w:rsid w:val="006946C0"/>
    <w:rsid w:val="006A4376"/>
    <w:rsid w:val="006B2263"/>
    <w:rsid w:val="006B2B94"/>
    <w:rsid w:val="006B2DE0"/>
    <w:rsid w:val="006B5E3A"/>
    <w:rsid w:val="006C20F4"/>
    <w:rsid w:val="006E033E"/>
    <w:rsid w:val="006E15E4"/>
    <w:rsid w:val="006E257E"/>
    <w:rsid w:val="006E66B2"/>
    <w:rsid w:val="006F03DE"/>
    <w:rsid w:val="006F356F"/>
    <w:rsid w:val="006F7296"/>
    <w:rsid w:val="0070198B"/>
    <w:rsid w:val="00706C04"/>
    <w:rsid w:val="007119FD"/>
    <w:rsid w:val="00711D95"/>
    <w:rsid w:val="00717C5A"/>
    <w:rsid w:val="00720D63"/>
    <w:rsid w:val="00730442"/>
    <w:rsid w:val="00742843"/>
    <w:rsid w:val="00743344"/>
    <w:rsid w:val="00745CBD"/>
    <w:rsid w:val="007469B7"/>
    <w:rsid w:val="00750087"/>
    <w:rsid w:val="00751ACB"/>
    <w:rsid w:val="007559B7"/>
    <w:rsid w:val="007561CD"/>
    <w:rsid w:val="007563C2"/>
    <w:rsid w:val="00763733"/>
    <w:rsid w:val="00775530"/>
    <w:rsid w:val="00776B0A"/>
    <w:rsid w:val="00795DF7"/>
    <w:rsid w:val="007A69FE"/>
    <w:rsid w:val="007B6A21"/>
    <w:rsid w:val="007C21D9"/>
    <w:rsid w:val="007C3D40"/>
    <w:rsid w:val="007C4747"/>
    <w:rsid w:val="007C4B86"/>
    <w:rsid w:val="007D1059"/>
    <w:rsid w:val="007D6C75"/>
    <w:rsid w:val="007D7022"/>
    <w:rsid w:val="007D76A6"/>
    <w:rsid w:val="007E1350"/>
    <w:rsid w:val="007E6F34"/>
    <w:rsid w:val="007F1DDE"/>
    <w:rsid w:val="007F5826"/>
    <w:rsid w:val="007F587A"/>
    <w:rsid w:val="007F7BEE"/>
    <w:rsid w:val="00803F66"/>
    <w:rsid w:val="008119FF"/>
    <w:rsid w:val="00815758"/>
    <w:rsid w:val="0081577A"/>
    <w:rsid w:val="00824404"/>
    <w:rsid w:val="00827C08"/>
    <w:rsid w:val="0083017F"/>
    <w:rsid w:val="008305BD"/>
    <w:rsid w:val="00830BC8"/>
    <w:rsid w:val="00834B50"/>
    <w:rsid w:val="008371A4"/>
    <w:rsid w:val="008403F4"/>
    <w:rsid w:val="00841C94"/>
    <w:rsid w:val="0085346F"/>
    <w:rsid w:val="008616F4"/>
    <w:rsid w:val="00863ECF"/>
    <w:rsid w:val="008664DE"/>
    <w:rsid w:val="00874298"/>
    <w:rsid w:val="00874514"/>
    <w:rsid w:val="00880159"/>
    <w:rsid w:val="00881266"/>
    <w:rsid w:val="00882172"/>
    <w:rsid w:val="00892643"/>
    <w:rsid w:val="00897BA4"/>
    <w:rsid w:val="00897E35"/>
    <w:rsid w:val="008A4454"/>
    <w:rsid w:val="008A5073"/>
    <w:rsid w:val="008A5883"/>
    <w:rsid w:val="008C0AD1"/>
    <w:rsid w:val="008C0C9A"/>
    <w:rsid w:val="008C3938"/>
    <w:rsid w:val="008D5F9D"/>
    <w:rsid w:val="008E35FF"/>
    <w:rsid w:val="008E7833"/>
    <w:rsid w:val="008F0D5D"/>
    <w:rsid w:val="008F7FDC"/>
    <w:rsid w:val="00903337"/>
    <w:rsid w:val="009139C9"/>
    <w:rsid w:val="009177F3"/>
    <w:rsid w:val="009246A5"/>
    <w:rsid w:val="009335A4"/>
    <w:rsid w:val="009356E2"/>
    <w:rsid w:val="00942EC5"/>
    <w:rsid w:val="00944754"/>
    <w:rsid w:val="009471D7"/>
    <w:rsid w:val="00950876"/>
    <w:rsid w:val="009543A2"/>
    <w:rsid w:val="00963ED2"/>
    <w:rsid w:val="009668EC"/>
    <w:rsid w:val="00970313"/>
    <w:rsid w:val="009706B8"/>
    <w:rsid w:val="009722DD"/>
    <w:rsid w:val="009815CC"/>
    <w:rsid w:val="00983B00"/>
    <w:rsid w:val="00987DDD"/>
    <w:rsid w:val="009C2EDB"/>
    <w:rsid w:val="009C4138"/>
    <w:rsid w:val="009C7EC4"/>
    <w:rsid w:val="009D1296"/>
    <w:rsid w:val="009D4BA5"/>
    <w:rsid w:val="009D623D"/>
    <w:rsid w:val="009D6A09"/>
    <w:rsid w:val="009E4B5D"/>
    <w:rsid w:val="009E5D41"/>
    <w:rsid w:val="009F252D"/>
    <w:rsid w:val="009F4F5B"/>
    <w:rsid w:val="00A04B25"/>
    <w:rsid w:val="00A108E6"/>
    <w:rsid w:val="00A22FC0"/>
    <w:rsid w:val="00A26429"/>
    <w:rsid w:val="00A36676"/>
    <w:rsid w:val="00A37D48"/>
    <w:rsid w:val="00A4235F"/>
    <w:rsid w:val="00A457FA"/>
    <w:rsid w:val="00A55313"/>
    <w:rsid w:val="00A578DC"/>
    <w:rsid w:val="00A608FF"/>
    <w:rsid w:val="00A74800"/>
    <w:rsid w:val="00A80AFD"/>
    <w:rsid w:val="00A84D78"/>
    <w:rsid w:val="00A966D0"/>
    <w:rsid w:val="00AB1EB0"/>
    <w:rsid w:val="00AD63D1"/>
    <w:rsid w:val="00AE3C80"/>
    <w:rsid w:val="00AE7D2F"/>
    <w:rsid w:val="00AF0EF5"/>
    <w:rsid w:val="00AF37BC"/>
    <w:rsid w:val="00AF6A0D"/>
    <w:rsid w:val="00B01055"/>
    <w:rsid w:val="00B03533"/>
    <w:rsid w:val="00B13A91"/>
    <w:rsid w:val="00B16C0A"/>
    <w:rsid w:val="00B20C27"/>
    <w:rsid w:val="00B24E49"/>
    <w:rsid w:val="00B251DA"/>
    <w:rsid w:val="00B265B4"/>
    <w:rsid w:val="00B304BD"/>
    <w:rsid w:val="00B310F5"/>
    <w:rsid w:val="00B35E81"/>
    <w:rsid w:val="00B367F8"/>
    <w:rsid w:val="00B37D91"/>
    <w:rsid w:val="00B40180"/>
    <w:rsid w:val="00B418A6"/>
    <w:rsid w:val="00B476DB"/>
    <w:rsid w:val="00B530CA"/>
    <w:rsid w:val="00B56516"/>
    <w:rsid w:val="00B672C9"/>
    <w:rsid w:val="00B70BAB"/>
    <w:rsid w:val="00B86A7B"/>
    <w:rsid w:val="00BA3299"/>
    <w:rsid w:val="00BA3D2D"/>
    <w:rsid w:val="00BB055C"/>
    <w:rsid w:val="00BB2741"/>
    <w:rsid w:val="00BB28C9"/>
    <w:rsid w:val="00BB4008"/>
    <w:rsid w:val="00BC534E"/>
    <w:rsid w:val="00BC7C68"/>
    <w:rsid w:val="00BD7876"/>
    <w:rsid w:val="00BE17C1"/>
    <w:rsid w:val="00BE2FE8"/>
    <w:rsid w:val="00BE7CD5"/>
    <w:rsid w:val="00BF5354"/>
    <w:rsid w:val="00BF74AB"/>
    <w:rsid w:val="00BF7953"/>
    <w:rsid w:val="00C07906"/>
    <w:rsid w:val="00C10C5B"/>
    <w:rsid w:val="00C1444C"/>
    <w:rsid w:val="00C20AFB"/>
    <w:rsid w:val="00C22951"/>
    <w:rsid w:val="00C236FA"/>
    <w:rsid w:val="00C268C3"/>
    <w:rsid w:val="00C30E10"/>
    <w:rsid w:val="00C32932"/>
    <w:rsid w:val="00C32AE8"/>
    <w:rsid w:val="00C35544"/>
    <w:rsid w:val="00C376F5"/>
    <w:rsid w:val="00C37B27"/>
    <w:rsid w:val="00C42AAF"/>
    <w:rsid w:val="00C529D1"/>
    <w:rsid w:val="00C5751B"/>
    <w:rsid w:val="00C6108C"/>
    <w:rsid w:val="00C630D0"/>
    <w:rsid w:val="00C645C6"/>
    <w:rsid w:val="00C7056D"/>
    <w:rsid w:val="00C8036C"/>
    <w:rsid w:val="00C853B5"/>
    <w:rsid w:val="00C856D7"/>
    <w:rsid w:val="00C95B4B"/>
    <w:rsid w:val="00CA0ACF"/>
    <w:rsid w:val="00CB2146"/>
    <w:rsid w:val="00CB3F61"/>
    <w:rsid w:val="00CB4821"/>
    <w:rsid w:val="00CB4F28"/>
    <w:rsid w:val="00CB6252"/>
    <w:rsid w:val="00CB6F67"/>
    <w:rsid w:val="00CC7E74"/>
    <w:rsid w:val="00CD0ABB"/>
    <w:rsid w:val="00CD1F0E"/>
    <w:rsid w:val="00CD285D"/>
    <w:rsid w:val="00CD505A"/>
    <w:rsid w:val="00CD68B4"/>
    <w:rsid w:val="00CF5539"/>
    <w:rsid w:val="00CF7287"/>
    <w:rsid w:val="00D0125E"/>
    <w:rsid w:val="00D04B49"/>
    <w:rsid w:val="00D055E1"/>
    <w:rsid w:val="00D07247"/>
    <w:rsid w:val="00D07378"/>
    <w:rsid w:val="00D112FD"/>
    <w:rsid w:val="00D14B93"/>
    <w:rsid w:val="00D14FA4"/>
    <w:rsid w:val="00D15815"/>
    <w:rsid w:val="00D249C2"/>
    <w:rsid w:val="00D25E9A"/>
    <w:rsid w:val="00D30729"/>
    <w:rsid w:val="00D40BEB"/>
    <w:rsid w:val="00D50E9D"/>
    <w:rsid w:val="00D55B82"/>
    <w:rsid w:val="00D66622"/>
    <w:rsid w:val="00D71094"/>
    <w:rsid w:val="00D804CD"/>
    <w:rsid w:val="00D829D1"/>
    <w:rsid w:val="00D82E47"/>
    <w:rsid w:val="00DA279E"/>
    <w:rsid w:val="00DA68D8"/>
    <w:rsid w:val="00DA74F9"/>
    <w:rsid w:val="00DB122B"/>
    <w:rsid w:val="00DB1D90"/>
    <w:rsid w:val="00DB2D6D"/>
    <w:rsid w:val="00DB553B"/>
    <w:rsid w:val="00DD2DBD"/>
    <w:rsid w:val="00DD440A"/>
    <w:rsid w:val="00DE1958"/>
    <w:rsid w:val="00DE42F8"/>
    <w:rsid w:val="00DE4590"/>
    <w:rsid w:val="00DE7D23"/>
    <w:rsid w:val="00DF2113"/>
    <w:rsid w:val="00DF2AAC"/>
    <w:rsid w:val="00DF3AF5"/>
    <w:rsid w:val="00DF4A67"/>
    <w:rsid w:val="00DF4EA0"/>
    <w:rsid w:val="00DF51FC"/>
    <w:rsid w:val="00E009BB"/>
    <w:rsid w:val="00E010C7"/>
    <w:rsid w:val="00E07707"/>
    <w:rsid w:val="00E14A93"/>
    <w:rsid w:val="00E20B4F"/>
    <w:rsid w:val="00E239B5"/>
    <w:rsid w:val="00E332B6"/>
    <w:rsid w:val="00E33E53"/>
    <w:rsid w:val="00E3437D"/>
    <w:rsid w:val="00E34C18"/>
    <w:rsid w:val="00E44928"/>
    <w:rsid w:val="00E44D47"/>
    <w:rsid w:val="00E50ACE"/>
    <w:rsid w:val="00E50C46"/>
    <w:rsid w:val="00E63463"/>
    <w:rsid w:val="00E70F87"/>
    <w:rsid w:val="00E71431"/>
    <w:rsid w:val="00E80D95"/>
    <w:rsid w:val="00E82430"/>
    <w:rsid w:val="00E866B6"/>
    <w:rsid w:val="00E93FC9"/>
    <w:rsid w:val="00EA0B7B"/>
    <w:rsid w:val="00EA13CF"/>
    <w:rsid w:val="00EA3D2F"/>
    <w:rsid w:val="00EB0EA6"/>
    <w:rsid w:val="00EB4760"/>
    <w:rsid w:val="00EC21B7"/>
    <w:rsid w:val="00EC32D7"/>
    <w:rsid w:val="00EC3D02"/>
    <w:rsid w:val="00ED01B8"/>
    <w:rsid w:val="00ED0E3A"/>
    <w:rsid w:val="00ED44EC"/>
    <w:rsid w:val="00ED7B58"/>
    <w:rsid w:val="00EE244E"/>
    <w:rsid w:val="00EE25ED"/>
    <w:rsid w:val="00EE4953"/>
    <w:rsid w:val="00EF7B87"/>
    <w:rsid w:val="00F02E0F"/>
    <w:rsid w:val="00F0416F"/>
    <w:rsid w:val="00F05641"/>
    <w:rsid w:val="00F0735A"/>
    <w:rsid w:val="00F13855"/>
    <w:rsid w:val="00F13BF2"/>
    <w:rsid w:val="00F22D39"/>
    <w:rsid w:val="00F24E43"/>
    <w:rsid w:val="00F26256"/>
    <w:rsid w:val="00F34437"/>
    <w:rsid w:val="00F43B81"/>
    <w:rsid w:val="00F468B3"/>
    <w:rsid w:val="00F47B8A"/>
    <w:rsid w:val="00F50330"/>
    <w:rsid w:val="00F5384B"/>
    <w:rsid w:val="00F55FB8"/>
    <w:rsid w:val="00F57C14"/>
    <w:rsid w:val="00F652C2"/>
    <w:rsid w:val="00F70F67"/>
    <w:rsid w:val="00F74D01"/>
    <w:rsid w:val="00F81F18"/>
    <w:rsid w:val="00FA0AB0"/>
    <w:rsid w:val="00FA37CE"/>
    <w:rsid w:val="00FA73C6"/>
    <w:rsid w:val="00FB02DE"/>
    <w:rsid w:val="00FB1848"/>
    <w:rsid w:val="00FB695E"/>
    <w:rsid w:val="00FE5007"/>
    <w:rsid w:val="00FE7415"/>
    <w:rsid w:val="00FF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FF1B"/>
  <w15:docId w15:val="{4D3F9669-7DDE-4BB7-8101-2D9879F5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4B"/>
  </w:style>
  <w:style w:type="paragraph" w:styleId="Heading1">
    <w:name w:val="heading 1"/>
    <w:basedOn w:val="Normal"/>
    <w:next w:val="Normal"/>
    <w:link w:val="Heading1Char"/>
    <w:qFormat/>
    <w:rsid w:val="000918B6"/>
    <w:pPr>
      <w:keepNext/>
      <w:pageBreakBefore/>
      <w:numPr>
        <w:numId w:val="1"/>
      </w:numPr>
      <w:tabs>
        <w:tab w:val="clear" w:pos="432"/>
      </w:tabs>
      <w:spacing w:after="0" w:line="380" w:lineRule="atLeast"/>
      <w:ind w:left="0" w:hanging="851"/>
      <w:outlineLvl w:val="0"/>
    </w:pPr>
    <w:rPr>
      <w:rFonts w:ascii="Arial" w:eastAsia="MS Mincho" w:hAnsi="Arial" w:cs="Arial"/>
      <w:bCs/>
      <w:color w:val="5F5F5F"/>
      <w:kern w:val="32"/>
      <w:sz w:val="32"/>
      <w:szCs w:val="32"/>
      <w:lang w:eastAsia="ja-JP"/>
    </w:rPr>
  </w:style>
  <w:style w:type="paragraph" w:styleId="Heading2">
    <w:name w:val="heading 2"/>
    <w:basedOn w:val="Normal"/>
    <w:next w:val="BodyText"/>
    <w:link w:val="Heading2Char"/>
    <w:qFormat/>
    <w:rsid w:val="000918B6"/>
    <w:pPr>
      <w:keepNext/>
      <w:numPr>
        <w:ilvl w:val="1"/>
        <w:numId w:val="1"/>
      </w:numPr>
      <w:tabs>
        <w:tab w:val="clear" w:pos="576"/>
      </w:tabs>
      <w:spacing w:before="480" w:after="240" w:line="240" w:lineRule="atLeast"/>
      <w:ind w:left="0" w:hanging="851"/>
      <w:outlineLvl w:val="1"/>
    </w:pPr>
    <w:rPr>
      <w:rFonts w:ascii="Arial" w:eastAsia="MS Mincho" w:hAnsi="Arial" w:cs="Arial"/>
      <w:b/>
      <w:bCs/>
      <w:iCs/>
      <w:sz w:val="24"/>
      <w:szCs w:val="20"/>
      <w:lang w:eastAsia="ja-JP"/>
    </w:rPr>
  </w:style>
  <w:style w:type="paragraph" w:styleId="Heading3">
    <w:name w:val="heading 3"/>
    <w:basedOn w:val="Normal"/>
    <w:next w:val="BodyText"/>
    <w:link w:val="Heading3Char"/>
    <w:qFormat/>
    <w:rsid w:val="000918B6"/>
    <w:pPr>
      <w:keepNext/>
      <w:numPr>
        <w:ilvl w:val="2"/>
        <w:numId w:val="1"/>
      </w:numPr>
      <w:tabs>
        <w:tab w:val="clear" w:pos="851"/>
      </w:tabs>
      <w:spacing w:before="240" w:after="0" w:line="240" w:lineRule="atLeast"/>
      <w:ind w:left="0"/>
      <w:outlineLvl w:val="2"/>
    </w:pPr>
    <w:rPr>
      <w:rFonts w:ascii="Arial" w:eastAsia="MS Mincho" w:hAnsi="Arial" w:cs="Arial"/>
      <w:b/>
      <w:bCs/>
      <w:szCs w:val="18"/>
      <w:lang w:eastAsia="ja-JP"/>
    </w:rPr>
  </w:style>
  <w:style w:type="paragraph" w:styleId="Heading4">
    <w:name w:val="heading 4"/>
    <w:basedOn w:val="Normal"/>
    <w:next w:val="Normal"/>
    <w:link w:val="Heading4Char"/>
    <w:qFormat/>
    <w:rsid w:val="000918B6"/>
    <w:pPr>
      <w:keepNext/>
      <w:numPr>
        <w:ilvl w:val="3"/>
        <w:numId w:val="1"/>
      </w:numPr>
      <w:tabs>
        <w:tab w:val="clear" w:pos="851"/>
      </w:tabs>
      <w:spacing w:before="240" w:after="0" w:line="240" w:lineRule="atLeast"/>
      <w:ind w:left="0"/>
      <w:outlineLvl w:val="3"/>
    </w:pPr>
    <w:rPr>
      <w:rFonts w:ascii="Arial" w:eastAsia="MS Mincho" w:hAnsi="Arial" w:cs="Times New Roman"/>
      <w:b/>
      <w:bCs/>
      <w:szCs w:val="28"/>
      <w:lang w:eastAsia="ja-JP"/>
    </w:rPr>
  </w:style>
  <w:style w:type="paragraph" w:styleId="Heading5">
    <w:name w:val="heading 5"/>
    <w:basedOn w:val="Normal"/>
    <w:next w:val="Normal"/>
    <w:link w:val="Heading5Char"/>
    <w:rsid w:val="000918B6"/>
    <w:pPr>
      <w:numPr>
        <w:ilvl w:val="4"/>
        <w:numId w:val="1"/>
      </w:numPr>
      <w:tabs>
        <w:tab w:val="left" w:pos="0"/>
      </w:tabs>
      <w:spacing w:before="240" w:after="0" w:line="240" w:lineRule="atLeast"/>
      <w:outlineLvl w:val="4"/>
    </w:pPr>
    <w:rPr>
      <w:rFonts w:ascii="Arial" w:eastAsia="MS Mincho" w:hAnsi="Arial" w:cs="Times New Roman"/>
      <w:bCs/>
      <w:iCs/>
      <w:sz w:val="18"/>
      <w:szCs w:val="18"/>
      <w:lang w:eastAsia="ja-JP"/>
    </w:rPr>
  </w:style>
  <w:style w:type="paragraph" w:styleId="Heading6">
    <w:name w:val="heading 6"/>
    <w:basedOn w:val="Normal"/>
    <w:next w:val="Normal"/>
    <w:link w:val="Heading6Char"/>
    <w:qFormat/>
    <w:rsid w:val="000918B6"/>
    <w:pPr>
      <w:numPr>
        <w:ilvl w:val="5"/>
        <w:numId w:val="1"/>
      </w:numPr>
      <w:spacing w:before="240" w:after="60" w:line="240" w:lineRule="atLeast"/>
      <w:outlineLvl w:val="5"/>
    </w:pPr>
    <w:rPr>
      <w:rFonts w:ascii="Arial" w:eastAsia="MS Mincho" w:hAnsi="Arial" w:cs="Times New Roman"/>
      <w:b/>
      <w:bCs/>
      <w:lang w:eastAsia="ja-JP"/>
    </w:rPr>
  </w:style>
  <w:style w:type="paragraph" w:styleId="Heading7">
    <w:name w:val="heading 7"/>
    <w:basedOn w:val="Normal"/>
    <w:next w:val="Normal"/>
    <w:link w:val="Heading7Char"/>
    <w:qFormat/>
    <w:rsid w:val="000918B6"/>
    <w:pPr>
      <w:numPr>
        <w:ilvl w:val="6"/>
        <w:numId w:val="1"/>
      </w:numPr>
      <w:spacing w:before="240" w:after="60" w:line="240" w:lineRule="atLeast"/>
      <w:outlineLvl w:val="6"/>
    </w:pPr>
    <w:rPr>
      <w:rFonts w:ascii="Arial" w:eastAsia="MS Mincho" w:hAnsi="Arial" w:cs="Times New Roman"/>
      <w:sz w:val="24"/>
      <w:szCs w:val="24"/>
      <w:lang w:eastAsia="ja-JP"/>
    </w:rPr>
  </w:style>
  <w:style w:type="paragraph" w:styleId="Heading8">
    <w:name w:val="heading 8"/>
    <w:basedOn w:val="Normal"/>
    <w:next w:val="Normal"/>
    <w:link w:val="Heading8Char"/>
    <w:qFormat/>
    <w:rsid w:val="000918B6"/>
    <w:pPr>
      <w:numPr>
        <w:ilvl w:val="7"/>
        <w:numId w:val="1"/>
      </w:numPr>
      <w:spacing w:before="240" w:after="60" w:line="240" w:lineRule="atLeast"/>
      <w:outlineLvl w:val="7"/>
    </w:pPr>
    <w:rPr>
      <w:rFonts w:ascii="Arial" w:eastAsia="MS Mincho" w:hAnsi="Arial" w:cs="Times New Roman"/>
      <w:i/>
      <w:iCs/>
      <w:sz w:val="24"/>
      <w:szCs w:val="24"/>
      <w:lang w:eastAsia="ja-JP"/>
    </w:rPr>
  </w:style>
  <w:style w:type="paragraph" w:styleId="Heading9">
    <w:name w:val="heading 9"/>
    <w:basedOn w:val="Normal"/>
    <w:next w:val="Normal"/>
    <w:link w:val="Heading9Char"/>
    <w:rsid w:val="000918B6"/>
    <w:pPr>
      <w:numPr>
        <w:ilvl w:val="8"/>
        <w:numId w:val="1"/>
      </w:numPr>
      <w:spacing w:before="240" w:after="60" w:line="240" w:lineRule="atLeast"/>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8B6"/>
    <w:rPr>
      <w:rFonts w:ascii="Arial" w:eastAsia="MS Mincho" w:hAnsi="Arial" w:cs="Arial"/>
      <w:bCs/>
      <w:color w:val="5F5F5F"/>
      <w:kern w:val="32"/>
      <w:sz w:val="32"/>
      <w:szCs w:val="32"/>
      <w:lang w:eastAsia="ja-JP"/>
    </w:rPr>
  </w:style>
  <w:style w:type="character" w:customStyle="1" w:styleId="Heading2Char">
    <w:name w:val="Heading 2 Char"/>
    <w:basedOn w:val="DefaultParagraphFont"/>
    <w:link w:val="Heading2"/>
    <w:rsid w:val="000918B6"/>
    <w:rPr>
      <w:rFonts w:ascii="Arial" w:eastAsia="MS Mincho" w:hAnsi="Arial" w:cs="Arial"/>
      <w:b/>
      <w:bCs/>
      <w:iCs/>
      <w:sz w:val="24"/>
      <w:szCs w:val="20"/>
      <w:lang w:eastAsia="ja-JP"/>
    </w:rPr>
  </w:style>
  <w:style w:type="character" w:customStyle="1" w:styleId="Heading3Char">
    <w:name w:val="Heading 3 Char"/>
    <w:basedOn w:val="DefaultParagraphFont"/>
    <w:link w:val="Heading3"/>
    <w:rsid w:val="000918B6"/>
    <w:rPr>
      <w:rFonts w:ascii="Arial" w:eastAsia="MS Mincho" w:hAnsi="Arial" w:cs="Arial"/>
      <w:b/>
      <w:bCs/>
      <w:szCs w:val="18"/>
      <w:lang w:eastAsia="ja-JP"/>
    </w:rPr>
  </w:style>
  <w:style w:type="character" w:customStyle="1" w:styleId="Heading4Char">
    <w:name w:val="Heading 4 Char"/>
    <w:basedOn w:val="DefaultParagraphFont"/>
    <w:link w:val="Heading4"/>
    <w:rsid w:val="000918B6"/>
    <w:rPr>
      <w:rFonts w:ascii="Arial" w:eastAsia="MS Mincho" w:hAnsi="Arial" w:cs="Times New Roman"/>
      <w:b/>
      <w:bCs/>
      <w:szCs w:val="28"/>
      <w:lang w:eastAsia="ja-JP"/>
    </w:rPr>
  </w:style>
  <w:style w:type="character" w:customStyle="1" w:styleId="Heading5Char">
    <w:name w:val="Heading 5 Char"/>
    <w:basedOn w:val="DefaultParagraphFont"/>
    <w:link w:val="Heading5"/>
    <w:rsid w:val="000918B6"/>
    <w:rPr>
      <w:rFonts w:ascii="Arial" w:eastAsia="MS Mincho" w:hAnsi="Arial" w:cs="Times New Roman"/>
      <w:bCs/>
      <w:iCs/>
      <w:sz w:val="18"/>
      <w:szCs w:val="18"/>
      <w:lang w:eastAsia="ja-JP"/>
    </w:rPr>
  </w:style>
  <w:style w:type="character" w:customStyle="1" w:styleId="Heading6Char">
    <w:name w:val="Heading 6 Char"/>
    <w:basedOn w:val="DefaultParagraphFont"/>
    <w:link w:val="Heading6"/>
    <w:rsid w:val="000918B6"/>
    <w:rPr>
      <w:rFonts w:ascii="Arial" w:eastAsia="MS Mincho" w:hAnsi="Arial" w:cs="Times New Roman"/>
      <w:b/>
      <w:bCs/>
      <w:lang w:eastAsia="ja-JP"/>
    </w:rPr>
  </w:style>
  <w:style w:type="character" w:customStyle="1" w:styleId="Heading7Char">
    <w:name w:val="Heading 7 Char"/>
    <w:basedOn w:val="DefaultParagraphFont"/>
    <w:link w:val="Heading7"/>
    <w:rsid w:val="000918B6"/>
    <w:rPr>
      <w:rFonts w:ascii="Arial" w:eastAsia="MS Mincho" w:hAnsi="Arial" w:cs="Times New Roman"/>
      <w:sz w:val="24"/>
      <w:szCs w:val="24"/>
      <w:lang w:eastAsia="ja-JP"/>
    </w:rPr>
  </w:style>
  <w:style w:type="character" w:customStyle="1" w:styleId="Heading8Char">
    <w:name w:val="Heading 8 Char"/>
    <w:basedOn w:val="DefaultParagraphFont"/>
    <w:link w:val="Heading8"/>
    <w:rsid w:val="000918B6"/>
    <w:rPr>
      <w:rFonts w:ascii="Arial" w:eastAsia="MS Mincho" w:hAnsi="Arial" w:cs="Times New Roman"/>
      <w:i/>
      <w:iCs/>
      <w:sz w:val="24"/>
      <w:szCs w:val="24"/>
      <w:lang w:eastAsia="ja-JP"/>
    </w:rPr>
  </w:style>
  <w:style w:type="character" w:customStyle="1" w:styleId="Heading9Char">
    <w:name w:val="Heading 9 Char"/>
    <w:basedOn w:val="DefaultParagraphFont"/>
    <w:link w:val="Heading9"/>
    <w:rsid w:val="000918B6"/>
    <w:rPr>
      <w:rFonts w:ascii="Arial" w:eastAsia="MS Mincho" w:hAnsi="Arial" w:cs="Arial"/>
      <w:lang w:eastAsia="ja-JP"/>
    </w:rPr>
  </w:style>
  <w:style w:type="paragraph" w:styleId="BodyText">
    <w:name w:val="Body Text"/>
    <w:basedOn w:val="Normal"/>
    <w:link w:val="BodyTextChar"/>
    <w:rsid w:val="000918B6"/>
    <w:pPr>
      <w:spacing w:after="120" w:line="240" w:lineRule="atLeast"/>
    </w:pPr>
    <w:rPr>
      <w:rFonts w:ascii="Arial" w:eastAsia="MS Mincho" w:hAnsi="Arial" w:cs="Times New Roman"/>
      <w:szCs w:val="24"/>
      <w:lang w:eastAsia="ja-JP"/>
    </w:rPr>
  </w:style>
  <w:style w:type="character" w:customStyle="1" w:styleId="BodyTextChar">
    <w:name w:val="Body Text Char"/>
    <w:basedOn w:val="DefaultParagraphFont"/>
    <w:link w:val="BodyText"/>
    <w:rsid w:val="000918B6"/>
    <w:rPr>
      <w:rFonts w:ascii="Arial" w:eastAsia="MS Mincho" w:hAnsi="Arial" w:cs="Times New Roman"/>
      <w:szCs w:val="24"/>
      <w:lang w:eastAsia="ja-JP"/>
    </w:rPr>
  </w:style>
  <w:style w:type="paragraph" w:customStyle="1" w:styleId="Bulletedtext">
    <w:name w:val="Bulleted text"/>
    <w:basedOn w:val="BodyText"/>
    <w:uiPriority w:val="99"/>
    <w:rsid w:val="000918B6"/>
    <w:pPr>
      <w:numPr>
        <w:numId w:val="2"/>
      </w:numPr>
    </w:pPr>
  </w:style>
  <w:style w:type="paragraph" w:customStyle="1" w:styleId="TableHeading">
    <w:name w:val="Table Heading"/>
    <w:basedOn w:val="Normal"/>
    <w:rsid w:val="000918B6"/>
    <w:pPr>
      <w:spacing w:before="240" w:after="240" w:line="240" w:lineRule="atLeast"/>
    </w:pPr>
    <w:rPr>
      <w:rFonts w:ascii="Arial" w:eastAsia="MS Mincho" w:hAnsi="Arial" w:cs="Times New Roman"/>
      <w:b/>
      <w:szCs w:val="16"/>
      <w:lang w:eastAsia="ja-JP"/>
    </w:rPr>
  </w:style>
  <w:style w:type="paragraph" w:styleId="FootnoteText">
    <w:name w:val="footnote text"/>
    <w:basedOn w:val="Normal"/>
    <w:link w:val="FootnoteTextChar"/>
    <w:uiPriority w:val="99"/>
    <w:rsid w:val="000918B6"/>
    <w:pPr>
      <w:spacing w:after="0" w:line="240" w:lineRule="atLeast"/>
    </w:pPr>
    <w:rPr>
      <w:rFonts w:ascii="Arial" w:eastAsia="MS Mincho" w:hAnsi="Arial" w:cs="Times New Roman"/>
      <w:sz w:val="18"/>
      <w:szCs w:val="20"/>
      <w:lang w:eastAsia="ja-JP"/>
    </w:rPr>
  </w:style>
  <w:style w:type="character" w:customStyle="1" w:styleId="FootnoteTextChar">
    <w:name w:val="Footnote Text Char"/>
    <w:basedOn w:val="DefaultParagraphFont"/>
    <w:link w:val="FootnoteText"/>
    <w:uiPriority w:val="99"/>
    <w:rsid w:val="000918B6"/>
    <w:rPr>
      <w:rFonts w:ascii="Arial" w:eastAsia="MS Mincho" w:hAnsi="Arial" w:cs="Times New Roman"/>
      <w:sz w:val="18"/>
      <w:szCs w:val="20"/>
      <w:lang w:eastAsia="ja-JP"/>
    </w:rPr>
  </w:style>
  <w:style w:type="character" w:styleId="FootnoteReference">
    <w:name w:val="footnote reference"/>
    <w:basedOn w:val="DefaultParagraphFont"/>
    <w:uiPriority w:val="99"/>
    <w:rsid w:val="000918B6"/>
    <w:rPr>
      <w:rFonts w:ascii="Arial" w:hAnsi="Arial"/>
      <w:sz w:val="18"/>
      <w:vertAlign w:val="superscript"/>
    </w:rPr>
  </w:style>
  <w:style w:type="table" w:styleId="TableGrid">
    <w:name w:val="Table Grid"/>
    <w:basedOn w:val="TableNormal"/>
    <w:rsid w:val="000918B6"/>
    <w:pPr>
      <w:spacing w:after="0" w:line="240" w:lineRule="auto"/>
    </w:pPr>
    <w:rPr>
      <w:rFonts w:ascii="MetaBook-Roman" w:eastAsia="Calibri" w:hAnsi="MetaBook-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63E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3ED2"/>
    <w:rPr>
      <w:sz w:val="20"/>
      <w:szCs w:val="20"/>
    </w:rPr>
  </w:style>
  <w:style w:type="character" w:styleId="EndnoteReference">
    <w:name w:val="endnote reference"/>
    <w:basedOn w:val="DefaultParagraphFont"/>
    <w:uiPriority w:val="99"/>
    <w:semiHidden/>
    <w:unhideWhenUsed/>
    <w:rsid w:val="00963ED2"/>
    <w:rPr>
      <w:vertAlign w:val="superscript"/>
    </w:rPr>
  </w:style>
  <w:style w:type="paragraph" w:customStyle="1" w:styleId="ChartPictureHeading">
    <w:name w:val="Chart/Picture Heading"/>
    <w:basedOn w:val="Normal"/>
    <w:rsid w:val="00115346"/>
    <w:pPr>
      <w:keepNext/>
      <w:spacing w:before="240" w:after="240" w:line="240" w:lineRule="atLeast"/>
    </w:pPr>
    <w:rPr>
      <w:rFonts w:ascii="Arial" w:eastAsia="MS Mincho" w:hAnsi="Arial" w:cs="Times New Roman"/>
      <w:b/>
      <w:szCs w:val="20"/>
      <w:lang w:eastAsia="ja-JP"/>
    </w:rPr>
  </w:style>
  <w:style w:type="paragraph" w:styleId="NoSpacing">
    <w:name w:val="No Spacing"/>
    <w:uiPriority w:val="1"/>
    <w:qFormat/>
    <w:rsid w:val="00EC32D7"/>
    <w:pPr>
      <w:spacing w:after="0" w:line="240" w:lineRule="auto"/>
    </w:pPr>
  </w:style>
  <w:style w:type="character" w:styleId="CommentReference">
    <w:name w:val="annotation reference"/>
    <w:basedOn w:val="DefaultParagraphFont"/>
    <w:uiPriority w:val="99"/>
    <w:semiHidden/>
    <w:unhideWhenUsed/>
    <w:rsid w:val="00BF74AB"/>
    <w:rPr>
      <w:sz w:val="16"/>
      <w:szCs w:val="16"/>
    </w:rPr>
  </w:style>
  <w:style w:type="paragraph" w:styleId="CommentText">
    <w:name w:val="annotation text"/>
    <w:basedOn w:val="Normal"/>
    <w:link w:val="CommentTextChar"/>
    <w:uiPriority w:val="99"/>
    <w:semiHidden/>
    <w:unhideWhenUsed/>
    <w:rsid w:val="00BF74AB"/>
    <w:pPr>
      <w:spacing w:line="240" w:lineRule="auto"/>
    </w:pPr>
    <w:rPr>
      <w:sz w:val="20"/>
      <w:szCs w:val="20"/>
    </w:rPr>
  </w:style>
  <w:style w:type="character" w:customStyle="1" w:styleId="CommentTextChar">
    <w:name w:val="Comment Text Char"/>
    <w:basedOn w:val="DefaultParagraphFont"/>
    <w:link w:val="CommentText"/>
    <w:uiPriority w:val="99"/>
    <w:semiHidden/>
    <w:rsid w:val="00BF74AB"/>
    <w:rPr>
      <w:sz w:val="20"/>
      <w:szCs w:val="20"/>
    </w:rPr>
  </w:style>
  <w:style w:type="paragraph" w:styleId="CommentSubject">
    <w:name w:val="annotation subject"/>
    <w:basedOn w:val="CommentText"/>
    <w:next w:val="CommentText"/>
    <w:link w:val="CommentSubjectChar"/>
    <w:uiPriority w:val="99"/>
    <w:semiHidden/>
    <w:unhideWhenUsed/>
    <w:rsid w:val="00BF74AB"/>
    <w:rPr>
      <w:b/>
      <w:bCs/>
    </w:rPr>
  </w:style>
  <w:style w:type="character" w:customStyle="1" w:styleId="CommentSubjectChar">
    <w:name w:val="Comment Subject Char"/>
    <w:basedOn w:val="CommentTextChar"/>
    <w:link w:val="CommentSubject"/>
    <w:uiPriority w:val="99"/>
    <w:semiHidden/>
    <w:rsid w:val="00BF74AB"/>
    <w:rPr>
      <w:b/>
      <w:bCs/>
      <w:sz w:val="20"/>
      <w:szCs w:val="20"/>
    </w:rPr>
  </w:style>
  <w:style w:type="paragraph" w:styleId="BalloonText">
    <w:name w:val="Balloon Text"/>
    <w:basedOn w:val="Normal"/>
    <w:link w:val="BalloonTextChar"/>
    <w:uiPriority w:val="99"/>
    <w:semiHidden/>
    <w:unhideWhenUsed/>
    <w:rsid w:val="00BF7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4AB"/>
    <w:rPr>
      <w:rFonts w:ascii="Tahoma" w:hAnsi="Tahoma" w:cs="Tahoma"/>
      <w:sz w:val="16"/>
      <w:szCs w:val="16"/>
    </w:rPr>
  </w:style>
  <w:style w:type="character" w:customStyle="1" w:styleId="clvref">
    <w:name w:val="clv_ref"/>
    <w:basedOn w:val="DefaultParagraphFont"/>
    <w:rsid w:val="00006665"/>
  </w:style>
  <w:style w:type="character" w:styleId="Hyperlink">
    <w:name w:val="Hyperlink"/>
    <w:basedOn w:val="DefaultParagraphFont"/>
    <w:uiPriority w:val="99"/>
    <w:unhideWhenUsed/>
    <w:rsid w:val="00006665"/>
    <w:rPr>
      <w:color w:val="0000FF"/>
      <w:u w:val="single"/>
    </w:rPr>
  </w:style>
  <w:style w:type="character" w:customStyle="1" w:styleId="clvpub">
    <w:name w:val="clv_pub"/>
    <w:basedOn w:val="DefaultParagraphFont"/>
    <w:rsid w:val="00006665"/>
  </w:style>
  <w:style w:type="paragraph" w:customStyle="1" w:styleId="SectionTitle">
    <w:name w:val="Section Title"/>
    <w:basedOn w:val="Normal"/>
    <w:next w:val="BodyText"/>
    <w:rsid w:val="00624AD6"/>
    <w:pPr>
      <w:spacing w:after="240" w:line="240" w:lineRule="atLeast"/>
    </w:pPr>
    <w:rPr>
      <w:rFonts w:ascii="Arial" w:eastAsia="MS Mincho" w:hAnsi="Arial" w:cs="Times New Roman"/>
      <w:sz w:val="32"/>
      <w:szCs w:val="24"/>
      <w:lang w:eastAsia="ja-JP"/>
    </w:rPr>
  </w:style>
  <w:style w:type="paragraph" w:customStyle="1" w:styleId="TableText">
    <w:name w:val="Table Text"/>
    <w:basedOn w:val="Normal"/>
    <w:rsid w:val="00834B50"/>
    <w:pPr>
      <w:spacing w:after="0" w:line="240" w:lineRule="atLeast"/>
    </w:pPr>
    <w:rPr>
      <w:rFonts w:ascii="Calibri" w:eastAsia="MS Mincho" w:hAnsi="Calibri" w:cs="Times New Roman"/>
      <w:szCs w:val="16"/>
      <w:lang w:eastAsia="ja-JP"/>
    </w:rPr>
  </w:style>
  <w:style w:type="paragraph" w:customStyle="1" w:styleId="TableSubheading">
    <w:name w:val="Table Subheading"/>
    <w:basedOn w:val="TableText"/>
    <w:rsid w:val="00834B50"/>
    <w:rPr>
      <w:b/>
    </w:rPr>
  </w:style>
  <w:style w:type="paragraph" w:customStyle="1" w:styleId="TableNumbers">
    <w:name w:val="Table Numbers"/>
    <w:basedOn w:val="TableText"/>
    <w:rsid w:val="00834B50"/>
    <w:pPr>
      <w:jc w:val="center"/>
    </w:pPr>
    <w:rPr>
      <w:rFonts w:eastAsia="Times New Roman"/>
      <w:szCs w:val="20"/>
    </w:rPr>
  </w:style>
  <w:style w:type="paragraph" w:customStyle="1" w:styleId="TableNumberSubheading">
    <w:name w:val="Table Number Subheading"/>
    <w:basedOn w:val="TableSubheading"/>
    <w:rsid w:val="00834B50"/>
    <w:pPr>
      <w:jc w:val="center"/>
    </w:pPr>
    <w:rPr>
      <w:rFonts w:eastAsia="Times New Roman"/>
      <w:bCs/>
      <w:szCs w:val="20"/>
    </w:rPr>
  </w:style>
  <w:style w:type="paragraph" w:customStyle="1" w:styleId="BodyTextBold">
    <w:name w:val="Body Text Bold"/>
    <w:basedOn w:val="BodyText"/>
    <w:rsid w:val="00834B50"/>
    <w:pPr>
      <w:spacing w:after="160" w:line="259" w:lineRule="auto"/>
    </w:pPr>
    <w:rPr>
      <w:b/>
      <w:bCs/>
    </w:rPr>
  </w:style>
  <w:style w:type="paragraph" w:customStyle="1" w:styleId="BodyTextIndentedquotations">
    <w:name w:val="Body Text Indented quotations"/>
    <w:basedOn w:val="BodyText"/>
    <w:rsid w:val="00834B50"/>
    <w:pPr>
      <w:spacing w:after="160" w:line="259" w:lineRule="auto"/>
      <w:ind w:left="454"/>
    </w:pPr>
    <w:rPr>
      <w:i/>
      <w:iCs/>
    </w:rPr>
  </w:style>
  <w:style w:type="paragraph" w:customStyle="1" w:styleId="BodyTextitalicised">
    <w:name w:val="Body Text italicised"/>
    <w:basedOn w:val="BodyText"/>
    <w:rsid w:val="00834B50"/>
    <w:pPr>
      <w:spacing w:before="120" w:after="160" w:line="259" w:lineRule="auto"/>
    </w:pPr>
    <w:rPr>
      <w:rFonts w:eastAsia="Times New Roman"/>
      <w:i/>
      <w:iCs/>
      <w:szCs w:val="20"/>
    </w:rPr>
  </w:style>
  <w:style w:type="table" w:customStyle="1" w:styleId="TableGrid1">
    <w:name w:val="Table Grid1"/>
    <w:basedOn w:val="TableNormal"/>
    <w:next w:val="TableGrid"/>
    <w:uiPriority w:val="59"/>
    <w:rsid w:val="00834B50"/>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37DFC"/>
    <w:pPr>
      <w:numPr>
        <w:numId w:val="5"/>
      </w:numPr>
      <w:contextualSpacing/>
    </w:pPr>
  </w:style>
  <w:style w:type="paragraph" w:styleId="Header">
    <w:name w:val="header"/>
    <w:basedOn w:val="Normal"/>
    <w:link w:val="HeaderChar"/>
    <w:uiPriority w:val="99"/>
    <w:unhideWhenUsed/>
    <w:rsid w:val="00F81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18"/>
  </w:style>
  <w:style w:type="paragraph" w:styleId="Footer">
    <w:name w:val="footer"/>
    <w:basedOn w:val="Normal"/>
    <w:link w:val="FooterChar"/>
    <w:uiPriority w:val="99"/>
    <w:unhideWhenUsed/>
    <w:rsid w:val="00F81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18"/>
  </w:style>
  <w:style w:type="paragraph" w:styleId="ListParagraph">
    <w:name w:val="List Paragraph"/>
    <w:basedOn w:val="Normal"/>
    <w:uiPriority w:val="34"/>
    <w:qFormat/>
    <w:rsid w:val="00775530"/>
    <w:pPr>
      <w:ind w:left="720"/>
      <w:contextualSpacing/>
    </w:pPr>
  </w:style>
  <w:style w:type="table" w:customStyle="1" w:styleId="TableGrid2">
    <w:name w:val="Table Grid2"/>
    <w:basedOn w:val="TableNormal"/>
    <w:next w:val="TableGrid"/>
    <w:uiPriority w:val="39"/>
    <w:rsid w:val="00FF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lidomidetrus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1CFEA-FABA-47DE-81F4-8CB94BC5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8010</Words>
  <Characters>45661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kc528</cp:lastModifiedBy>
  <cp:revision>2</cp:revision>
  <cp:lastPrinted>2018-06-24T14:17:00Z</cp:lastPrinted>
  <dcterms:created xsi:type="dcterms:W3CDTF">2019-01-23T14:45:00Z</dcterms:created>
  <dcterms:modified xsi:type="dcterms:W3CDTF">2019-01-23T14:45:00Z</dcterms:modified>
</cp:coreProperties>
</file>