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Default Extension="tif" ContentType="image/tif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526318980"/>
    <w:bookmarkEnd w:id="0"/>
    <w:p w:rsidR="00F62C8B" w:rsidRPr="00F830CF" w:rsidRDefault="000F3A41" w:rsidP="004C531E">
      <w:pPr>
        <w:pStyle w:val="RSCM01ReceivedAccepted"/>
      </w:pPr>
      <w:r w:rsidRPr="00F830CF">
        <mc:AlternateContent>
          <mc:Choice Requires="wps">
            <w:drawing>
              <wp:anchor distT="180340" distB="0" distL="114300" distR="114300" simplePos="0" relativeHeight="251662336" behindDoc="1" locked="1" layoutInCell="0" allowOverlap="0" wp14:anchorId="697AF1AC" wp14:editId="2C964467">
                <wp:simplePos x="0" y="0"/>
                <wp:positionH relativeFrom="column">
                  <wp:posOffset>-58</wp:posOffset>
                </wp:positionH>
                <wp:positionV relativeFrom="margin">
                  <wp:align>bottom</wp:align>
                </wp:positionV>
                <wp:extent cx="3158837" cy="1627909"/>
                <wp:effectExtent l="0" t="0" r="3810" b="0"/>
                <wp:wrapTopAndBottom/>
                <wp:docPr id="7"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58837" cy="1627909"/>
                        </a:xfrm>
                        <a:prstGeom prst="rect">
                          <a:avLst/>
                        </a:prstGeom>
                        <a:solidFill>
                          <a:srgbClr val="FFFFFF"/>
                        </a:solidFill>
                        <a:ln w="9525">
                          <a:noFill/>
                          <a:miter lim="800000"/>
                          <a:headEnd/>
                          <a:tailEnd/>
                        </a:ln>
                      </wps:spPr>
                      <wps:txbx>
                        <w:txbxContent>
                          <w:p w:rsidR="00617AC1" w:rsidRDefault="00617AC1" w:rsidP="0024187A">
                            <w:pPr>
                              <w:pStyle w:val="RSCF01FootnoteAuthorAddress"/>
                              <w:numPr>
                                <w:ilvl w:val="0"/>
                                <w:numId w:val="0"/>
                              </w:numPr>
                              <w:ind w:left="85"/>
                              <w:jc w:val="both"/>
                            </w:pPr>
                            <w:r>
                              <w:t>The University of York, Department of Chemistry, Green Chemistry Centre of Excellence, YO10 5DD, Heslington, York, UK</w:t>
                            </w:r>
                          </w:p>
                          <w:p w:rsidR="00617AC1" w:rsidRPr="00E4778D" w:rsidRDefault="00617AC1" w:rsidP="00E4778D">
                            <w:pPr>
                              <w:pStyle w:val="RSCF01FootnoteAuthorAddress"/>
                              <w:numPr>
                                <w:ilvl w:val="0"/>
                                <w:numId w:val="0"/>
                              </w:numPr>
                              <w:ind w:left="85"/>
                              <w:rPr>
                                <w:lang w:val="it-IT"/>
                              </w:rPr>
                            </w:pPr>
                            <w:r w:rsidRPr="00E4778D">
                              <w:rPr>
                                <w:lang w:val="it-IT"/>
                              </w:rPr>
                              <w:t>* Correspondence to: Dr. Alessandro Pellis, ale.pellis@york.ac.uk</w:t>
                            </w:r>
                          </w:p>
                        </w:txbxContent>
                      </wps:txbx>
                      <wps:bodyPr rot="0" vert="horz" wrap="square" lIns="0" tIns="36000" rIns="0" bIns="36000" anchor="b"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97AF1AC" id="_x0000_t202" coordsize="21600,21600" o:spt="202" path="m,l,21600r21600,l21600,xe">
                <v:stroke joinstyle="miter"/>
                <v:path gradientshapeok="t" o:connecttype="rect"/>
              </v:shapetype>
              <v:shape id="Text Box 2" o:spid="_x0000_s1026" type="#_x0000_t202" style="position:absolute;margin-left:0;margin-top:0;width:248.75pt;height:128.2pt;z-index:-251654144;visibility:visible;mso-wrap-style:square;mso-width-percent:0;mso-height-percent:200;mso-wrap-distance-left:9pt;mso-wrap-distance-top:14.2pt;mso-wrap-distance-right:9pt;mso-wrap-distance-bottom:0;mso-position-horizontal:absolute;mso-position-horizontal-relative:text;mso-position-vertical:bottom;mso-position-vertical-relative:margin;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" o:allowincell="f" o:allowoverlap="f" stroked="f">
                <o:lock v:ext="edit" aspectratio="t"/>
                <v:textbox style="mso-fit-shape-to-text:t" inset="0,1mm,0,1mm">
                  <w:txbxContent>
                    <w:p w:rsidR="00617AC1" w:rsidRDefault="00617AC1" w:rsidP="0024187A">
                      <w:pPr>
                        <w:pStyle w:val="RSCF01FootnoteAuthorAddress"/>
                        <w:numPr>
                          <w:ilvl w:val="0"/>
                          <w:numId w:val="0"/>
                        </w:numPr>
                        <w:ind w:left="85"/>
                        <w:jc w:val="both"/>
                      </w:pPr>
                      <w:r>
                        <w:t>The University of York, Department of Chemistry, Green Chemistry Centre of Excellence, YO10 5DD, Heslington, York, UK</w:t>
                      </w:r>
                    </w:p>
                    <w:p w:rsidR="00617AC1" w:rsidRPr="00E4778D" w:rsidRDefault="00617AC1" w:rsidP="00E4778D">
                      <w:pPr>
                        <w:pStyle w:val="RSCF01FootnoteAuthorAddress"/>
                        <w:numPr>
                          <w:ilvl w:val="0"/>
                          <w:numId w:val="0"/>
                        </w:numPr>
                        <w:ind w:left="85"/>
                        <w:rPr>
                          <w:lang w:val="it-IT"/>
                        </w:rPr>
                      </w:pPr>
                      <w:r w:rsidRPr="00E4778D">
                        <w:rPr>
                          <w:lang w:val="it-IT"/>
                        </w:rPr>
                        <w:t>* Correspondence to: Dr. Alessandro Pellis, ale.pellis@york.ac.uk</w:t>
                      </w:r>
                    </w:p>
                  </w:txbxContent>
                </v:textbox>
                <w10:wrap type="topAndBottom" anchory="margin"/>
                <w10:anchorlock/>
              </v:shape>
            </w:pict>
          </mc:Fallback>
        </mc:AlternateContent>
      </w:r>
      <w:r w:rsidR="00F62C8B" w:rsidRPr="00F830CF">
        <w:t>Received 00th January 20</w:t>
      </w:r>
      <w:r w:rsidR="00F15F90" w:rsidRPr="00F830CF">
        <w:t>xx</w:t>
      </w:r>
      <w:r w:rsidR="00F62C8B" w:rsidRPr="00F830CF">
        <w:t>,</w:t>
      </w:r>
    </w:p>
    <w:p w:rsidR="00F62C8B" w:rsidRPr="00F830CF" w:rsidRDefault="00F62C8B" w:rsidP="004C531E">
      <w:pPr>
        <w:pStyle w:val="RSCM01ReceivedAccepted"/>
      </w:pPr>
      <w:r w:rsidRPr="00F830CF">
        <w:t>Accepted 00th January 20</w:t>
      </w:r>
      <w:r w:rsidR="00F15F90" w:rsidRPr="00F830CF">
        <w:t>xx</w:t>
      </w:r>
    </w:p>
    <w:p w:rsidR="00F62C8B" w:rsidRPr="00F830CF" w:rsidRDefault="00F62C8B" w:rsidP="004C531E">
      <w:pPr>
        <w:pStyle w:val="RSCM02DOI"/>
      </w:pPr>
      <w:r w:rsidRPr="00F830CF">
        <w:t>DOI: 10.1039/x0xx00000x</w:t>
      </w:r>
    </w:p>
    <w:p w:rsidR="00A9649E" w:rsidRPr="00F830CF" w:rsidRDefault="00A9649E" w:rsidP="004C531E">
      <w:pPr>
        <w:pStyle w:val="RSCM03Website"/>
      </w:pPr>
      <w:r w:rsidRPr="00F830CF">
        <w:t>www.rsc.org/</w:t>
      </w:r>
    </w:p>
    <w:p w:rsidR="004414A5" w:rsidRPr="00F830CF" w:rsidRDefault="00F62C8B" w:rsidP="00E4778D">
      <w:pPr>
        <w:pStyle w:val="RSCH01PaperTitle"/>
        <w:jc w:val="both"/>
      </w:pPr>
      <w:r w:rsidRPr="00F830CF">
        <w:br w:type="column"/>
      </w:r>
      <w:r w:rsidR="00E4778D" w:rsidRPr="00F830CF">
        <w:t>Enzymatic synthesis of unsaturated polyesters: functionalization and reversibility of the aza-Michael addition of pendants</w:t>
      </w:r>
    </w:p>
    <w:p w:rsidR="008125A0" w:rsidRPr="00F830CF" w:rsidRDefault="00E4778D" w:rsidP="008125A0">
      <w:pPr>
        <w:pStyle w:val="RSCB01ARTAbstract"/>
        <w:rPr>
          <w:rFonts w:cs="Times New Roman"/>
          <w:sz w:val="20"/>
          <w:vertAlign w:val="superscript"/>
        </w:rPr>
      </w:pPr>
      <w:r w:rsidRPr="00F830CF">
        <w:rPr>
          <w:rFonts w:cs="Times New Roman"/>
          <w:sz w:val="20"/>
        </w:rPr>
        <w:t>Alessandro Pellis</w:t>
      </w:r>
      <w:r w:rsidRPr="00F830CF">
        <w:rPr>
          <w:rFonts w:cs="Times New Roman"/>
          <w:sz w:val="20"/>
          <w:vertAlign w:val="superscript"/>
        </w:rPr>
        <w:t>*</w:t>
      </w:r>
      <w:r w:rsidRPr="00F830CF">
        <w:rPr>
          <w:rFonts w:cs="Times New Roman"/>
          <w:sz w:val="20"/>
        </w:rPr>
        <w:t>, Polly Ann Hanson, James W. Comerford, James H. Clark and Thomas J. Farmer</w:t>
      </w:r>
    </w:p>
    <w:p w:rsidR="00FA2DA2" w:rsidRPr="005E1822" w:rsidRDefault="00E4778D" w:rsidP="00FA2DA2">
      <w:pPr>
        <w:pStyle w:val="RSCB01ARTAbstract"/>
        <w:sectPr w:rsidR="00FA2DA2" w:rsidRPr="005E1822" w:rsidSect="00514CBA">
          <w:headerReference w:type="even" r:id="rId8"/>
          <w:headerReference w:type="default" r:id="rId9"/>
          <w:footerReference w:type="even" r:id="rId10"/>
          <w:footerReference w:type="default" r:id="rId11"/>
          <w:headerReference w:type="first" r:id="rId12"/>
          <w:footerReference w:type="first" r:id="rId13"/>
          <w:pgSz w:w="11907" w:h="16840" w:code="9"/>
          <w:pgMar w:top="1009" w:right="851" w:bottom="1758" w:left="851" w:header="851" w:footer="1049" w:gutter="0"/>
          <w:cols w:num="2" w:space="227" w:equalWidth="0">
            <w:col w:w="1985" w:space="227"/>
            <w:col w:w="7993"/>
          </w:cols>
          <w:titlePg/>
          <w:docGrid w:linePitch="360"/>
        </w:sectPr>
      </w:pPr>
      <w:r w:rsidRPr="005E1822">
        <w:t xml:space="preserve">With the increasing society’s awareness of the problems caused by plastic pollution, the switch to renewable, biodegradable materials is nowadays a must for </w:t>
      </w:r>
      <w:r w:rsidR="00B35DBE" w:rsidRPr="005E1822">
        <w:t>several</w:t>
      </w:r>
      <w:r w:rsidRPr="005E1822">
        <w:t xml:space="preserve"> producers and consumers. In the present work, the biocatalyzed synthesis of fully renewable polyesters containing lateral vinyl functionalities derived from itaconic, fumaric and maleic acid is presented. Here, a environmentally-friendly synthesis was therefore combined with the possibility to obtain materials that could be functionalized via post-polymerization modifications such as the aza-Michael additions of diethyl amine. Moreover, the possibility of reverse the polymer’s post-functionalization via a temperature-driven process to obtain again free lateral vinyl groups is also described and analyzed for several polymers based on itaconates and 1,4-butanediol, 1,6-hexanediol and 1,8-octanediol. The collected results set the basis for the development of switchable polymers where pharmaceuticals or other chemicals/polymers can be coupled to the polymeric backbone and released upon changing the material’s conditions.</w:t>
      </w:r>
    </w:p>
    <w:p w:rsidR="00FA2DA2" w:rsidRPr="005E1822" w:rsidRDefault="00E4778D" w:rsidP="00FA2DA2">
      <w:pPr>
        <w:pStyle w:val="RSCB04AHeadingSection"/>
      </w:pPr>
      <w:r w:rsidRPr="005E1822">
        <w:t>Introduction</w:t>
      </w:r>
    </w:p>
    <w:p w:rsidR="00E4778D" w:rsidRPr="005E1822" w:rsidRDefault="00E4778D" w:rsidP="00E4778D">
      <w:pPr>
        <w:pStyle w:val="RSCB06BHeadingSub-Section"/>
        <w:spacing w:after="120"/>
        <w:jc w:val="both"/>
        <w:rPr>
          <w:b w:val="0"/>
        </w:rPr>
      </w:pPr>
      <w:r w:rsidRPr="005E1822">
        <w:rPr>
          <w:b w:val="0"/>
          <w:noProof/>
          <w:lang w:eastAsia="en-GB"/>
        </w:rPr>
        <w:drawing>
          <wp:anchor distT="0" distB="0" distL="114300" distR="114300" simplePos="0" relativeHeight="251663360" behindDoc="0" locked="0" layoutInCell="1" allowOverlap="1" wp14:anchorId="3FAA32B9">
            <wp:simplePos x="0" y="0"/>
            <wp:positionH relativeFrom="column">
              <wp:posOffset>-1270</wp:posOffset>
            </wp:positionH>
            <wp:positionV relativeFrom="paragraph">
              <wp:posOffset>2253615</wp:posOffset>
            </wp:positionV>
            <wp:extent cx="3168015" cy="1127760"/>
            <wp:effectExtent l="0" t="0" r="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heme 1_polym.tif"/>
                    <pic:cNvPicPr/>
                  </pic:nvPicPr>
                  <pic:blipFill>
                    <a:blip r:embed="rId14">
                      <a:extLst>
                        <a:ext uri="{28A0092B-C50C-407E-A947-70E740481C1C}">
                          <a14:useLocalDpi xmlns:a14="http://schemas.microsoft.com/office/drawing/2010/main" val="0"/>
                        </a:ext>
                      </a:extLst>
                    </a:blip>
                    <a:stretch>
                      <a:fillRect/>
                    </a:stretch>
                  </pic:blipFill>
                  <pic:spPr>
                    <a:xfrm>
                      <a:off x="0" y="0"/>
                      <a:ext cx="3168015" cy="1127760"/>
                    </a:xfrm>
                    <a:prstGeom prst="rect">
                      <a:avLst/>
                    </a:prstGeom>
                  </pic:spPr>
                </pic:pic>
              </a:graphicData>
            </a:graphic>
            <wp14:sizeRelH relativeFrom="page">
              <wp14:pctWidth>0</wp14:pctWidth>
            </wp14:sizeRelH>
            <wp14:sizeRelV relativeFrom="page">
              <wp14:pctHeight>0</wp14:pctHeight>
            </wp14:sizeRelV>
          </wp:anchor>
        </w:drawing>
      </w:r>
      <w:r w:rsidRPr="005E1822">
        <w:rPr>
          <w:b w:val="0"/>
        </w:rPr>
        <w:t>The synthesis of functionalizable polymers from biomass-derived monomers is a field of interest for the production of bio-based, biodegradable materials that could substitute the petroleum-derived plastics currently used by mankind.</w:t>
      </w:r>
      <w:r w:rsidRPr="005E1822">
        <w:rPr>
          <w:b w:val="0"/>
          <w:vertAlign w:val="superscript"/>
        </w:rPr>
        <w:t>1</w:t>
      </w:r>
      <w:r w:rsidRPr="005E1822">
        <w:rPr>
          <w:b w:val="0"/>
        </w:rPr>
        <w:t xml:space="preserve"> Among the various available monomers, itaconic acid (IA) is of high interest due to the double functionality (diester and vinyl groups) present in its chain and the possibility to produce it via fungal fermentative routes.</w:t>
      </w:r>
      <w:r w:rsidRPr="005E1822">
        <w:rPr>
          <w:b w:val="0"/>
          <w:vertAlign w:val="superscript"/>
        </w:rPr>
        <w:t>2</w:t>
      </w:r>
      <w:r w:rsidRPr="005E1822">
        <w:rPr>
          <w:b w:val="0"/>
        </w:rPr>
        <w:t xml:space="preserve"> IA’s potential to be converted into several derivatives led to its inclusion in the Top Value Added Chemicals From Biomass list published by the US National Renewable Energy Laboratory in 2004.</w:t>
      </w:r>
      <w:r w:rsidRPr="005E1822">
        <w:rPr>
          <w:b w:val="0"/>
          <w:vertAlign w:val="superscript"/>
        </w:rPr>
        <w:t>3</w:t>
      </w:r>
      <w:r w:rsidRPr="005E1822">
        <w:rPr>
          <w:b w:val="0"/>
        </w:rPr>
        <w:t xml:space="preserve"> There are two routes to obtain itaconate-containing polymers: </w:t>
      </w:r>
      <w:r w:rsidR="00E92CB8" w:rsidRPr="005E1822">
        <w:rPr>
          <w:b w:val="0"/>
        </w:rPr>
        <w:t xml:space="preserve">esterification (or transesterification in the case of esters) polycondensation reactions (Scheme 1A) and </w:t>
      </w:r>
      <w:r w:rsidRPr="005E1822">
        <w:rPr>
          <w:b w:val="0"/>
        </w:rPr>
        <w:t>radical polymerization thro</w:t>
      </w:r>
      <w:r w:rsidR="00E92CB8" w:rsidRPr="005E1822">
        <w:rPr>
          <w:b w:val="0"/>
        </w:rPr>
        <w:t>ugh the vinyl group (Scheme 1B</w:t>
      </w:r>
      <w:r w:rsidR="006027D0" w:rsidRPr="005E1822">
        <w:rPr>
          <w:b w:val="0"/>
        </w:rPr>
        <w:t>)</w:t>
      </w:r>
      <w:r w:rsidRPr="005E1822">
        <w:rPr>
          <w:b w:val="0"/>
        </w:rPr>
        <w:t>.</w:t>
      </w:r>
    </w:p>
    <w:p w:rsidR="00E4778D" w:rsidRPr="005E1822" w:rsidRDefault="00E4778D" w:rsidP="00E4778D">
      <w:pPr>
        <w:pStyle w:val="RSCB06BHeadingSub-Section"/>
        <w:spacing w:after="240" w:line="240" w:lineRule="auto"/>
        <w:jc w:val="both"/>
        <w:rPr>
          <w:b w:val="0"/>
          <w:sz w:val="14"/>
        </w:rPr>
      </w:pPr>
      <w:r w:rsidRPr="005E1822">
        <w:rPr>
          <w:b w:val="0"/>
          <w:sz w:val="14"/>
        </w:rPr>
        <w:t xml:space="preserve">Scheme 1. Reaction pathways to form itaconate-based polymers. A) </w:t>
      </w:r>
      <w:r w:rsidR="004A4D98" w:rsidRPr="005E1822">
        <w:rPr>
          <w:b w:val="0"/>
          <w:sz w:val="14"/>
        </w:rPr>
        <w:t xml:space="preserve">polycondensation reaction </w:t>
      </w:r>
      <w:r w:rsidR="00C675DC" w:rsidRPr="005E1822">
        <w:rPr>
          <w:b w:val="0"/>
          <w:sz w:val="14"/>
        </w:rPr>
        <w:t xml:space="preserve">and </w:t>
      </w:r>
      <w:r w:rsidRPr="005E1822">
        <w:rPr>
          <w:b w:val="0"/>
          <w:sz w:val="14"/>
        </w:rPr>
        <w:t xml:space="preserve">B) </w:t>
      </w:r>
      <w:r w:rsidR="004A4D98" w:rsidRPr="005E1822">
        <w:rPr>
          <w:b w:val="0"/>
          <w:sz w:val="14"/>
        </w:rPr>
        <w:t>radical polymerization</w:t>
      </w:r>
      <w:r w:rsidRPr="005E1822">
        <w:rPr>
          <w:b w:val="0"/>
          <w:sz w:val="14"/>
        </w:rPr>
        <w:t>.</w:t>
      </w:r>
    </w:p>
    <w:p w:rsidR="00E4778D" w:rsidRPr="005E1822" w:rsidRDefault="00E4778D" w:rsidP="00E4778D">
      <w:pPr>
        <w:pStyle w:val="RSCB06BHeadingSub-Section"/>
        <w:spacing w:after="0"/>
        <w:jc w:val="both"/>
        <w:rPr>
          <w:b w:val="0"/>
        </w:rPr>
      </w:pPr>
      <w:r w:rsidRPr="005E1822">
        <w:rPr>
          <w:b w:val="0"/>
        </w:rPr>
        <w:t>In the case of radical polymerizations, the reaction proceeds through the vinyl group leaving the acid (or ester) groups unaltered</w:t>
      </w:r>
      <w:r w:rsidR="00A10D0C" w:rsidRPr="005E1822">
        <w:rPr>
          <w:b w:val="0"/>
        </w:rPr>
        <w:t xml:space="preserve"> and typically uses </w:t>
      </w:r>
      <w:r w:rsidR="00267F39" w:rsidRPr="005E1822">
        <w:rPr>
          <w:b w:val="0"/>
        </w:rPr>
        <w:t>potassium</w:t>
      </w:r>
      <w:r w:rsidR="00133FF2" w:rsidRPr="005E1822">
        <w:rPr>
          <w:b w:val="0"/>
        </w:rPr>
        <w:t xml:space="preserve"> or ammonium </w:t>
      </w:r>
      <w:proofErr w:type="spellStart"/>
      <w:r w:rsidR="00133FF2" w:rsidRPr="005E1822">
        <w:rPr>
          <w:b w:val="0"/>
        </w:rPr>
        <w:t>persulphate</w:t>
      </w:r>
      <w:proofErr w:type="spellEnd"/>
      <w:r w:rsidR="00133FF2" w:rsidRPr="005E1822">
        <w:rPr>
          <w:b w:val="0"/>
        </w:rPr>
        <w:t xml:space="preserve"> as the catalyst</w:t>
      </w:r>
      <w:r w:rsidRPr="005E1822">
        <w:rPr>
          <w:b w:val="0"/>
        </w:rPr>
        <w:t xml:space="preserve">. </w:t>
      </w:r>
      <w:r w:rsidRPr="005E1822">
        <w:rPr>
          <w:b w:val="0"/>
        </w:rPr>
        <w:t xml:space="preserve">Kinetic and </w:t>
      </w:r>
      <w:bookmarkStart w:id="1" w:name="_Hlk527728894"/>
      <w:r w:rsidR="00F31BCC" w:rsidRPr="005E1822">
        <w:rPr>
          <w:b w:val="0"/>
        </w:rPr>
        <w:t>electron paramagnetic resonance</w:t>
      </w:r>
      <w:bookmarkEnd w:id="1"/>
      <w:r w:rsidRPr="005E1822">
        <w:rPr>
          <w:b w:val="0"/>
        </w:rPr>
        <w:t xml:space="preserve"> studies on itaconate derivatives have been reported since the 1980s, for example, Sato and co-workers investigated the effect of various solvents, temperatures and initiators.</w:t>
      </w:r>
      <w:r w:rsidRPr="005E1822">
        <w:rPr>
          <w:b w:val="0"/>
          <w:vertAlign w:val="superscript"/>
        </w:rPr>
        <w:t xml:space="preserve">4,5 </w:t>
      </w:r>
      <w:r w:rsidRPr="005E1822">
        <w:rPr>
          <w:b w:val="0"/>
        </w:rPr>
        <w:t>More recently, similar UV-initiated systems were used for the production of poly(itaconic acid-g-ethylene glycol) based pH-responsive hydrogels for the oral delivery of bioactive agents.</w:t>
      </w:r>
      <w:r w:rsidRPr="005E1822">
        <w:rPr>
          <w:b w:val="0"/>
          <w:vertAlign w:val="superscript"/>
        </w:rPr>
        <w:t>6</w:t>
      </w:r>
    </w:p>
    <w:p w:rsidR="00E4778D" w:rsidRPr="005E1822" w:rsidRDefault="00CC6A02" w:rsidP="00E4778D">
      <w:pPr>
        <w:pStyle w:val="RSCB06BHeadingSub-Section"/>
        <w:spacing w:after="120"/>
        <w:jc w:val="both"/>
        <w:rPr>
          <w:b w:val="0"/>
        </w:rPr>
      </w:pPr>
      <w:r w:rsidRPr="005E1822">
        <w:rPr>
          <w:b w:val="0"/>
          <w:noProof/>
          <w:lang w:eastAsia="en-GB"/>
        </w:rPr>
        <w:drawing>
          <wp:anchor distT="0" distB="0" distL="114300" distR="114300" simplePos="0" relativeHeight="251664384" behindDoc="0" locked="0" layoutInCell="1" allowOverlap="1" wp14:anchorId="083DFF00">
            <wp:simplePos x="0" y="0"/>
            <wp:positionH relativeFrom="column">
              <wp:posOffset>71120</wp:posOffset>
            </wp:positionH>
            <wp:positionV relativeFrom="paragraph">
              <wp:posOffset>2299970</wp:posOffset>
            </wp:positionV>
            <wp:extent cx="3168015" cy="172085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heme 2_side reactions.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68015" cy="1720850"/>
                    </a:xfrm>
                    <a:prstGeom prst="rect">
                      <a:avLst/>
                    </a:prstGeom>
                  </pic:spPr>
                </pic:pic>
              </a:graphicData>
            </a:graphic>
            <wp14:sizeRelH relativeFrom="page">
              <wp14:pctWidth>0</wp14:pctWidth>
            </wp14:sizeRelH>
            <wp14:sizeRelV relativeFrom="page">
              <wp14:pctHeight>0</wp14:pctHeight>
            </wp14:sizeRelV>
          </wp:anchor>
        </w:drawing>
      </w:r>
      <w:bookmarkStart w:id="2" w:name="_Hlk533365286"/>
      <w:r w:rsidR="00E4778D" w:rsidRPr="005E1822">
        <w:rPr>
          <w:b w:val="0"/>
        </w:rPr>
        <w:t>Several works by independent research groups evidenced limitations and poor se</w:t>
      </w:r>
      <w:r w:rsidR="003B40FE" w:rsidRPr="005E1822">
        <w:rPr>
          <w:b w:val="0"/>
        </w:rPr>
        <w:t>lectivity of traditional metal-</w:t>
      </w:r>
      <w:r w:rsidR="00E4778D" w:rsidRPr="005E1822">
        <w:rPr>
          <w:b w:val="0"/>
        </w:rPr>
        <w:t xml:space="preserve"> and acid</w:t>
      </w:r>
      <w:r w:rsidR="003B40FE" w:rsidRPr="005E1822">
        <w:rPr>
          <w:b w:val="0"/>
        </w:rPr>
        <w:t>-based</w:t>
      </w:r>
      <w:r w:rsidR="00E4778D" w:rsidRPr="005E1822">
        <w:rPr>
          <w:b w:val="0"/>
        </w:rPr>
        <w:t xml:space="preserve"> catalysis for the polycondensation of itaconate monomers, showing </w:t>
      </w:r>
      <w:r w:rsidR="00E70775" w:rsidRPr="005E1822">
        <w:rPr>
          <w:b w:val="0"/>
        </w:rPr>
        <w:t xml:space="preserve">the </w:t>
      </w:r>
      <w:r w:rsidR="00E4778D" w:rsidRPr="005E1822">
        <w:rPr>
          <w:b w:val="0"/>
        </w:rPr>
        <w:t>loss of the valuable lateral vinyl functionality.</w:t>
      </w:r>
      <w:r w:rsidR="00E4778D" w:rsidRPr="005E1822">
        <w:rPr>
          <w:b w:val="0"/>
          <w:vertAlign w:val="superscript"/>
        </w:rPr>
        <w:t xml:space="preserve">7,8 </w:t>
      </w:r>
      <w:bookmarkEnd w:id="2"/>
      <w:r w:rsidR="00E4778D" w:rsidRPr="005E1822">
        <w:rPr>
          <w:b w:val="0"/>
        </w:rPr>
        <w:t>In fact, such catalysts commonly used at temperatures ≥180 °C</w:t>
      </w:r>
      <w:r w:rsidR="00E4778D" w:rsidRPr="005E1822">
        <w:rPr>
          <w:b w:val="0"/>
          <w:vertAlign w:val="superscript"/>
        </w:rPr>
        <w:t>9</w:t>
      </w:r>
      <w:r w:rsidR="00E4778D" w:rsidRPr="005E1822">
        <w:rPr>
          <w:b w:val="0"/>
        </w:rPr>
        <w:t xml:space="preserve">, causing undesired side reactions mainly ascribable to radical crosslinking and Ordelt saturation reactions. While the radical reactions can be easily avoided using inhibitors such as </w:t>
      </w:r>
      <w:proofErr w:type="spellStart"/>
      <w:r w:rsidR="00E4778D" w:rsidRPr="005E1822">
        <w:rPr>
          <w:b w:val="0"/>
        </w:rPr>
        <w:t>MeHQ</w:t>
      </w:r>
      <w:proofErr w:type="spellEnd"/>
      <w:r w:rsidR="00E4778D" w:rsidRPr="005E1822">
        <w:rPr>
          <w:b w:val="0"/>
        </w:rPr>
        <w:t>, BHT or quinol,</w:t>
      </w:r>
      <w:r w:rsidR="00E4778D" w:rsidRPr="005E1822">
        <w:rPr>
          <w:b w:val="0"/>
          <w:vertAlign w:val="superscript"/>
        </w:rPr>
        <w:t xml:space="preserve">9,10 </w:t>
      </w:r>
      <w:bookmarkStart w:id="3" w:name="_Hlk527963694"/>
      <w:r w:rsidR="00E4778D" w:rsidRPr="005E1822">
        <w:rPr>
          <w:b w:val="0"/>
        </w:rPr>
        <w:t xml:space="preserve">researchers have not yet found an effective way to prevent the Ordelt saturation (attack of the diol to the vinyl group of IA in an </w:t>
      </w:r>
      <w:proofErr w:type="spellStart"/>
      <w:r w:rsidR="00E4778D" w:rsidRPr="005E1822">
        <w:rPr>
          <w:b w:val="0"/>
        </w:rPr>
        <w:t>oxa</w:t>
      </w:r>
      <w:proofErr w:type="spellEnd"/>
      <w:r w:rsidR="00E4778D" w:rsidRPr="005E1822">
        <w:rPr>
          <w:b w:val="0"/>
        </w:rPr>
        <w:t>-Michael type addition</w:t>
      </w:r>
      <w:bookmarkEnd w:id="3"/>
      <w:r w:rsidR="00E4778D" w:rsidRPr="005E1822">
        <w:rPr>
          <w:b w:val="0"/>
        </w:rPr>
        <w:t>) when traditional catalysts are used for the synthesis. Moreover</w:t>
      </w:r>
      <w:r w:rsidR="00A179B2" w:rsidRPr="005E1822">
        <w:rPr>
          <w:b w:val="0"/>
        </w:rPr>
        <w:t>,</w:t>
      </w:r>
      <w:r w:rsidR="00E4778D" w:rsidRPr="005E1822">
        <w:rPr>
          <w:b w:val="0"/>
        </w:rPr>
        <w:t xml:space="preserve"> at high temperatures </w:t>
      </w:r>
      <w:r w:rsidR="00E831ED" w:rsidRPr="005E1822">
        <w:rPr>
          <w:b w:val="0"/>
        </w:rPr>
        <w:t>(&gt;150 </w:t>
      </w:r>
      <w:r w:rsidR="00E831ED" w:rsidRPr="005E1822">
        <w:rPr>
          <w:rFonts w:ascii="Arial" w:hAnsi="Arial" w:cs="Arial"/>
          <w:b w:val="0"/>
        </w:rPr>
        <w:t>°</w:t>
      </w:r>
      <w:r w:rsidR="00E831ED" w:rsidRPr="005E1822">
        <w:rPr>
          <w:b w:val="0"/>
        </w:rPr>
        <w:t xml:space="preserve">C) </w:t>
      </w:r>
      <w:r w:rsidR="00E4778D" w:rsidRPr="005E1822">
        <w:rPr>
          <w:b w:val="0"/>
        </w:rPr>
        <w:t xml:space="preserve">IA is prone to isomerization reactions, converting to the less reactive </w:t>
      </w:r>
      <w:proofErr w:type="spellStart"/>
      <w:r w:rsidR="00E4778D" w:rsidRPr="005E1822">
        <w:rPr>
          <w:b w:val="0"/>
        </w:rPr>
        <w:t>mesaconate</w:t>
      </w:r>
      <w:proofErr w:type="spellEnd"/>
      <w:r w:rsidR="00E4778D" w:rsidRPr="005E1822">
        <w:rPr>
          <w:b w:val="0"/>
        </w:rPr>
        <w:t xml:space="preserve"> and </w:t>
      </w:r>
      <w:proofErr w:type="spellStart"/>
      <w:r w:rsidR="00E4778D" w:rsidRPr="005E1822">
        <w:rPr>
          <w:b w:val="0"/>
        </w:rPr>
        <w:t>citraconate</w:t>
      </w:r>
      <w:proofErr w:type="spellEnd"/>
      <w:r w:rsidR="00E4778D" w:rsidRPr="005E1822">
        <w:rPr>
          <w:b w:val="0"/>
        </w:rPr>
        <w:t xml:space="preserve"> units</w:t>
      </w:r>
      <w:r w:rsidR="00E4778D" w:rsidRPr="005E1822">
        <w:rPr>
          <w:b w:val="0"/>
          <w:vertAlign w:val="superscript"/>
        </w:rPr>
        <w:t>11</w:t>
      </w:r>
      <w:r w:rsidR="00E4778D" w:rsidRPr="005E1822">
        <w:rPr>
          <w:b w:val="0"/>
        </w:rPr>
        <w:t xml:space="preserve"> (Scheme 2).</w:t>
      </w:r>
    </w:p>
    <w:p w:rsidR="00E4778D" w:rsidRPr="005E1822" w:rsidRDefault="00E4778D" w:rsidP="00E4778D">
      <w:pPr>
        <w:pStyle w:val="RSCB06BHeadingSub-Section"/>
        <w:spacing w:after="240" w:line="240" w:lineRule="auto"/>
        <w:rPr>
          <w:b w:val="0"/>
          <w:sz w:val="14"/>
        </w:rPr>
      </w:pPr>
      <w:r w:rsidRPr="005E1822">
        <w:rPr>
          <w:b w:val="0"/>
          <w:sz w:val="14"/>
        </w:rPr>
        <w:lastRenderedPageBreak/>
        <w:t>Scheme 2. Undesired side-reactions during the polycondensation of itaconates with diols.</w:t>
      </w:r>
    </w:p>
    <w:p w:rsidR="00E4778D" w:rsidRPr="005E1822" w:rsidRDefault="00E4778D" w:rsidP="00CC6A02">
      <w:pPr>
        <w:pStyle w:val="RSCB06BHeadingSub-Section"/>
        <w:spacing w:after="0"/>
        <w:jc w:val="both"/>
        <w:rPr>
          <w:b w:val="0"/>
        </w:rPr>
      </w:pPr>
      <w:r w:rsidRPr="005E1822">
        <w:rPr>
          <w:b w:val="0"/>
        </w:rPr>
        <w:t>To avoid undesired side reactions, enzymatic catalysis was proposed as a valid alternative</w:t>
      </w:r>
      <w:r w:rsidRPr="005E1822">
        <w:rPr>
          <w:b w:val="0"/>
          <w:vertAlign w:val="superscript"/>
        </w:rPr>
        <w:t>12</w:t>
      </w:r>
      <w:r w:rsidRPr="005E1822">
        <w:rPr>
          <w:b w:val="0"/>
        </w:rPr>
        <w:t xml:space="preserve"> but serious limitations of the obtained polymer’s molecular weights were observed. For example, the synthesis of poly(1,4-cyclohexanedimethanol itaconate) and poly(polyethylene glycol itaconate) (startin</w:t>
      </w:r>
      <w:r w:rsidR="00CC6A02" w:rsidRPr="005E1822">
        <w:rPr>
          <w:b w:val="0"/>
        </w:rPr>
        <w:t>g material: itaconic acid T= 90 </w:t>
      </w:r>
      <w:r w:rsidRPr="005E1822">
        <w:rPr>
          <w:b w:val="0"/>
        </w:rPr>
        <w:t>°C, 48 h reaction time) led to M</w:t>
      </w:r>
      <w:r w:rsidRPr="005E1822">
        <w:rPr>
          <w:b w:val="0"/>
          <w:vertAlign w:val="subscript"/>
        </w:rPr>
        <w:t>n</w:t>
      </w:r>
      <w:r w:rsidR="003127C9" w:rsidRPr="005E1822">
        <w:rPr>
          <w:b w:val="0"/>
        </w:rPr>
        <w:t>s of 2000 and 6700</w:t>
      </w:r>
      <w:r w:rsidRPr="005E1822">
        <w:rPr>
          <w:b w:val="0"/>
        </w:rPr>
        <w:t xml:space="preserve"> g mol</w:t>
      </w:r>
      <w:r w:rsidRPr="005E1822">
        <w:rPr>
          <w:b w:val="0"/>
          <w:vertAlign w:val="superscript"/>
        </w:rPr>
        <w:t>-1</w:t>
      </w:r>
      <w:r w:rsidRPr="005E1822">
        <w:rPr>
          <w:b w:val="0"/>
        </w:rPr>
        <w:t xml:space="preserve"> respectively.</w:t>
      </w:r>
      <w:r w:rsidRPr="005E1822">
        <w:rPr>
          <w:b w:val="0"/>
          <w:vertAlign w:val="superscript"/>
        </w:rPr>
        <w:t>13</w:t>
      </w:r>
      <w:r w:rsidRPr="005E1822">
        <w:rPr>
          <w:b w:val="0"/>
        </w:rPr>
        <w:t xml:space="preserve"> Other studies instead focused on the investigation of the first steps of the polycondensation mechanisms elucidating </w:t>
      </w:r>
      <w:r w:rsidRPr="005E1822">
        <w:rPr>
          <w:b w:val="0"/>
          <w:i/>
        </w:rPr>
        <w:t>via</w:t>
      </w:r>
      <w:r w:rsidRPr="005E1822">
        <w:rPr>
          <w:b w:val="0"/>
        </w:rPr>
        <w:t xml:space="preserve"> computational tools</w:t>
      </w:r>
      <w:r w:rsidR="00414F5E" w:rsidRPr="005E1822">
        <w:rPr>
          <w:b w:val="0"/>
        </w:rPr>
        <w:t xml:space="preserve"> (docking studies)</w:t>
      </w:r>
      <w:r w:rsidRPr="005E1822">
        <w:rPr>
          <w:b w:val="0"/>
        </w:rPr>
        <w:t xml:space="preserve"> that, in the case of 1,4-butan</w:t>
      </w:r>
      <w:r w:rsidR="00A95D66" w:rsidRPr="005E1822">
        <w:rPr>
          <w:b w:val="0"/>
        </w:rPr>
        <w:t>e</w:t>
      </w:r>
      <w:r w:rsidRPr="005E1822">
        <w:rPr>
          <w:b w:val="0"/>
        </w:rPr>
        <w:t>diol, the structure of the polyol has a negative influence on the elongation of the polymer chain.</w:t>
      </w:r>
      <w:r w:rsidRPr="005E1822">
        <w:rPr>
          <w:b w:val="0"/>
          <w:vertAlign w:val="superscript"/>
        </w:rPr>
        <w:t>14</w:t>
      </w:r>
      <w:r w:rsidRPr="005E1822">
        <w:rPr>
          <w:b w:val="0"/>
        </w:rPr>
        <w:t xml:space="preserve"> Moreover, Jiang et al. synthesized a full array of itaconate-based polyesters and characterized the crystalline and thermal properties of the obtained aliphatic polyesters as well as the thermal transitions and mechanical properties of the UV cross-linked unsaturated polyesters.</w:t>
      </w:r>
      <w:r w:rsidRPr="005E1822">
        <w:rPr>
          <w:b w:val="0"/>
          <w:vertAlign w:val="superscript"/>
        </w:rPr>
        <w:t>15</w:t>
      </w:r>
    </w:p>
    <w:p w:rsidR="00FA2DA2" w:rsidRPr="005E1822" w:rsidRDefault="00E4778D" w:rsidP="00CC6A02">
      <w:pPr>
        <w:pStyle w:val="RSCB06BHeadingSub-Section"/>
        <w:jc w:val="both"/>
        <w:rPr>
          <w:b w:val="0"/>
        </w:rPr>
      </w:pPr>
      <w:r w:rsidRPr="005E1822">
        <w:rPr>
          <w:b w:val="0"/>
        </w:rPr>
        <w:t>The present study aims to explore and elucidate a detailed comparison of various unsaturated monomers (itaconates, fumarates and maleates) using polyols having a C</w:t>
      </w:r>
      <w:r w:rsidRPr="005E1822">
        <w:rPr>
          <w:b w:val="0"/>
          <w:vertAlign w:val="subscript"/>
        </w:rPr>
        <w:t>4</w:t>
      </w:r>
      <w:r w:rsidRPr="005E1822">
        <w:rPr>
          <w:b w:val="0"/>
        </w:rPr>
        <w:t xml:space="preserve"> to C</w:t>
      </w:r>
      <w:r w:rsidRPr="005E1822">
        <w:rPr>
          <w:b w:val="0"/>
          <w:vertAlign w:val="subscript"/>
        </w:rPr>
        <w:t>8</w:t>
      </w:r>
      <w:r w:rsidRPr="005E1822">
        <w:rPr>
          <w:b w:val="0"/>
        </w:rPr>
        <w:t xml:space="preserve"> carbon chain length for the enzymatic synthesis of aliphatic functional polyesters. A hypothesis for the slow reactivity of itaconates for polyester formation is the reduced reactivity of the unsaturated ester, therefore this study also explored the potential to “temporarily saturate” this site </w:t>
      </w:r>
      <w:r w:rsidRPr="005E1822">
        <w:rPr>
          <w:b w:val="0"/>
          <w:i/>
        </w:rPr>
        <w:t>via</w:t>
      </w:r>
      <w:r w:rsidRPr="005E1822">
        <w:rPr>
          <w:b w:val="0"/>
        </w:rPr>
        <w:t xml:space="preserve"> the use of the reversible aza-Michael addition. This represents the first attempt to polymerise amine-</w:t>
      </w:r>
      <w:proofErr w:type="spellStart"/>
      <w:r w:rsidRPr="005E1822">
        <w:rPr>
          <w:b w:val="0"/>
        </w:rPr>
        <w:t>pendanted</w:t>
      </w:r>
      <w:proofErr w:type="spellEnd"/>
      <w:r w:rsidRPr="005E1822">
        <w:rPr>
          <w:b w:val="0"/>
        </w:rPr>
        <w:t xml:space="preserve"> </w:t>
      </w:r>
      <w:proofErr w:type="spellStart"/>
      <w:r w:rsidRPr="005E1822">
        <w:rPr>
          <w:b w:val="0"/>
        </w:rPr>
        <w:t>diesters</w:t>
      </w:r>
      <w:proofErr w:type="spellEnd"/>
      <w:r w:rsidRPr="005E1822">
        <w:rPr>
          <w:b w:val="0"/>
        </w:rPr>
        <w:t xml:space="preserve"> derived from </w:t>
      </w:r>
      <w:proofErr w:type="spellStart"/>
      <w:r w:rsidRPr="005E1822">
        <w:rPr>
          <w:b w:val="0"/>
        </w:rPr>
        <w:t>itaconate</w:t>
      </w:r>
      <w:proofErr w:type="spellEnd"/>
      <w:r w:rsidRPr="005E1822">
        <w:rPr>
          <w:b w:val="0"/>
        </w:rPr>
        <w:t xml:space="preserve"> using </w:t>
      </w:r>
      <w:proofErr w:type="spellStart"/>
      <w:r w:rsidRPr="005E1822">
        <w:rPr>
          <w:b w:val="0"/>
        </w:rPr>
        <w:t>biocatalysis</w:t>
      </w:r>
      <w:proofErr w:type="spellEnd"/>
      <w:r w:rsidRPr="005E1822">
        <w:rPr>
          <w:b w:val="0"/>
        </w:rPr>
        <w:t>. A comparison of enzymatic and metal-based synthesis is also presented and the side reaction mechanisms that occur at high temperatures elucidated.</w:t>
      </w:r>
    </w:p>
    <w:p w:rsidR="00CC6A02" w:rsidRPr="005E1822" w:rsidRDefault="00CC6A02" w:rsidP="00CC6A02">
      <w:pPr>
        <w:pStyle w:val="RSCB04AHeadingSection"/>
      </w:pPr>
      <w:r w:rsidRPr="005E1822">
        <w:t>Results and Discussion</w:t>
      </w:r>
    </w:p>
    <w:p w:rsidR="00FA2DA2" w:rsidRPr="005E1822" w:rsidRDefault="00CC6A02" w:rsidP="00284A72">
      <w:pPr>
        <w:pStyle w:val="RSCB06BHeadingSub-Section"/>
        <w:jc w:val="both"/>
      </w:pPr>
      <w:r w:rsidRPr="005E1822">
        <w:t>Chemo-catalytic vs enzymatic synthesis of itaconate-based polyesters</w:t>
      </w:r>
    </w:p>
    <w:p w:rsidR="00CC6A02" w:rsidRPr="005E1822" w:rsidRDefault="00CC6A02" w:rsidP="00A6539B">
      <w:pPr>
        <w:pStyle w:val="RSCB08CHeadingIn-line"/>
        <w:jc w:val="both"/>
        <w:rPr>
          <w:b w:val="0"/>
        </w:rPr>
      </w:pPr>
      <w:r w:rsidRPr="005E1822">
        <w:rPr>
          <w:b w:val="0"/>
        </w:rPr>
        <w:t xml:space="preserve">Following some recent attempts of synthesizing itaconate-based polymers using traditional acid and metal-based catalysts, we conducted the synthesis of </w:t>
      </w:r>
      <w:proofErr w:type="gramStart"/>
      <w:r w:rsidRPr="005E1822">
        <w:rPr>
          <w:b w:val="0"/>
        </w:rPr>
        <w:t>poly(</w:t>
      </w:r>
      <w:proofErr w:type="gramEnd"/>
      <w:r w:rsidRPr="005E1822">
        <w:rPr>
          <w:b w:val="0"/>
        </w:rPr>
        <w:t>1,4-butylene itaconate) using Ti(</w:t>
      </w:r>
      <w:r w:rsidRPr="005E1822">
        <w:rPr>
          <w:b w:val="0"/>
          <w:i/>
        </w:rPr>
        <w:t>t</w:t>
      </w:r>
      <w:r w:rsidRPr="005E1822">
        <w:rPr>
          <w:b w:val="0"/>
        </w:rPr>
        <w:t>OBu)</w:t>
      </w:r>
      <w:r w:rsidRPr="005E1822">
        <w:rPr>
          <w:b w:val="0"/>
          <w:vertAlign w:val="subscript"/>
        </w:rPr>
        <w:t>4</w:t>
      </w:r>
      <w:r w:rsidRPr="005E1822">
        <w:rPr>
          <w:b w:val="0"/>
        </w:rPr>
        <w:t>. It is well known that such catalysts, com</w:t>
      </w:r>
      <w:r w:rsidR="00A6539B" w:rsidRPr="005E1822">
        <w:rPr>
          <w:b w:val="0"/>
        </w:rPr>
        <w:t>monly used at temperatures ≥180 </w:t>
      </w:r>
      <w:r w:rsidRPr="005E1822">
        <w:rPr>
          <w:b w:val="0"/>
        </w:rPr>
        <w:t>°C, cause undesired side reactions mainly ascribable to radical crosslinking, but that are easily avoided using inhibitors such as MeHQ</w:t>
      </w:r>
      <w:r w:rsidRPr="005E1822">
        <w:rPr>
          <w:b w:val="0"/>
          <w:vertAlign w:val="superscript"/>
        </w:rPr>
        <w:t>10</w:t>
      </w:r>
      <w:r w:rsidRPr="005E1822">
        <w:rPr>
          <w:b w:val="0"/>
        </w:rPr>
        <w:t>, BHT or quinol</w:t>
      </w:r>
      <w:r w:rsidRPr="005E1822">
        <w:rPr>
          <w:b w:val="0"/>
          <w:vertAlign w:val="superscript"/>
        </w:rPr>
        <w:t>9</w:t>
      </w:r>
      <w:r w:rsidRPr="005E1822">
        <w:rPr>
          <w:b w:val="0"/>
        </w:rPr>
        <w:t xml:space="preserve">. </w:t>
      </w:r>
      <w:proofErr w:type="spellStart"/>
      <w:r w:rsidRPr="005E1822">
        <w:rPr>
          <w:b w:val="0"/>
        </w:rPr>
        <w:t>Brønsted</w:t>
      </w:r>
      <w:proofErr w:type="spellEnd"/>
      <w:r w:rsidRPr="005E1822">
        <w:rPr>
          <w:b w:val="0"/>
        </w:rPr>
        <w:t xml:space="preserve"> acids such as </w:t>
      </w:r>
      <w:proofErr w:type="spellStart"/>
      <w:r w:rsidR="00F31BCC" w:rsidRPr="005E1822">
        <w:rPr>
          <w:b w:val="0"/>
        </w:rPr>
        <w:t>methanesulfonic</w:t>
      </w:r>
      <w:proofErr w:type="spellEnd"/>
      <w:r w:rsidR="00F31BCC" w:rsidRPr="005E1822">
        <w:rPr>
          <w:b w:val="0"/>
        </w:rPr>
        <w:t xml:space="preserve"> acid</w:t>
      </w:r>
      <w:r w:rsidRPr="005E1822">
        <w:rPr>
          <w:b w:val="0"/>
        </w:rPr>
        <w:t xml:space="preserve"> on the other hand are an inadequate choice of catalyst for polycondensation reactions with diols that are prone to etherification as a competing side reaction. Recently, the water-tolerant Lewis acid </w:t>
      </w:r>
      <w:r w:rsidR="00160734" w:rsidRPr="005E1822">
        <w:rPr>
          <w:b w:val="0"/>
        </w:rPr>
        <w:t>zinc acetate</w:t>
      </w:r>
      <w:r w:rsidRPr="005E1822">
        <w:rPr>
          <w:b w:val="0"/>
        </w:rPr>
        <w:t xml:space="preserve"> was found to be the catalyst of choice for the polycondensation reaction of itaconic acid with the bio-based 1,3-propane-and 1,4-butanediol. Remarkably, in the paper recently published by </w:t>
      </w:r>
      <w:proofErr w:type="spellStart"/>
      <w:r w:rsidRPr="005E1822">
        <w:rPr>
          <w:b w:val="0"/>
        </w:rPr>
        <w:t>Schoon</w:t>
      </w:r>
      <w:proofErr w:type="spellEnd"/>
      <w:r w:rsidRPr="005E1822">
        <w:rPr>
          <w:b w:val="0"/>
        </w:rPr>
        <w:t xml:space="preserve"> and co-workers, the desired products are obtained with an excellent conversion (&gt;99%) after only 9 h of reaction with no sign of gelation of the synthesized polyesters.</w:t>
      </w:r>
      <w:r w:rsidRPr="005E1822">
        <w:rPr>
          <w:b w:val="0"/>
          <w:vertAlign w:val="superscript"/>
        </w:rPr>
        <w:t>10</w:t>
      </w:r>
    </w:p>
    <w:p w:rsidR="00CC6A02" w:rsidRPr="005E1822" w:rsidRDefault="00CC6A02" w:rsidP="00A6539B">
      <w:pPr>
        <w:pStyle w:val="RSCB08CHeadingIn-line"/>
        <w:jc w:val="both"/>
        <w:rPr>
          <w:b w:val="0"/>
        </w:rPr>
      </w:pPr>
      <w:r w:rsidRPr="005E1822">
        <w:rPr>
          <w:b w:val="0"/>
        </w:rPr>
        <w:t>Despite the advances in the chemo-catalytic synthesis, it is still not possible to prevent the Ordelt saturation (attack of the diol to the vinyl group of DMI) due to the harsh reaction temperatures used for such polycondensations (usually &gt;150 °C)</w:t>
      </w:r>
      <w:r w:rsidRPr="005E1822">
        <w:rPr>
          <w:b w:val="0"/>
          <w:vertAlign w:val="superscript"/>
        </w:rPr>
        <w:t>7,8</w:t>
      </w:r>
      <w:r w:rsidRPr="005E1822">
        <w:rPr>
          <w:b w:val="0"/>
        </w:rPr>
        <w:t xml:space="preserve">. In fact, our attempt of synthesising poly(1,4-butylene itaconate, PBI), poly(1,8-octylene </w:t>
      </w:r>
      <w:r w:rsidRPr="005E1822">
        <w:rPr>
          <w:b w:val="0"/>
        </w:rPr>
        <w:t>itaconate, POI) and poly(glycerol itaconate) via a traditional chemo-catalytic route using (Ti(</w:t>
      </w:r>
      <w:r w:rsidRPr="005E1822">
        <w:rPr>
          <w:b w:val="0"/>
          <w:i/>
        </w:rPr>
        <w:t>t</w:t>
      </w:r>
      <w:r w:rsidRPr="005E1822">
        <w:rPr>
          <w:b w:val="0"/>
        </w:rPr>
        <w:t>OBu)</w:t>
      </w:r>
      <w:r w:rsidRPr="005E1822">
        <w:rPr>
          <w:b w:val="0"/>
          <w:vertAlign w:val="subscript"/>
        </w:rPr>
        <w:t>4</w:t>
      </w:r>
      <w:r w:rsidRPr="005E1822">
        <w:rPr>
          <w:b w:val="0"/>
        </w:rPr>
        <w:t xml:space="preserve"> as catalyst, 180 °C, 14 h) resulted in caramel-coloured polymers (Figure S1) that were insoluble in all of the solvents traditionally used for reaction workups and characterization techniques (Table S1).</w:t>
      </w:r>
    </w:p>
    <w:p w:rsidR="00CC6A02" w:rsidRPr="005E1822" w:rsidRDefault="00040DCD" w:rsidP="00A6539B">
      <w:pPr>
        <w:pStyle w:val="RSCB08CHeadingIn-line"/>
        <w:spacing w:after="120"/>
        <w:jc w:val="both"/>
        <w:rPr>
          <w:b w:val="0"/>
        </w:rPr>
      </w:pPr>
      <w:r w:rsidRPr="005E1822">
        <w:rPr>
          <w:b w:val="0"/>
          <w:noProof/>
          <w:lang w:eastAsia="en-GB"/>
        </w:rPr>
        <w:drawing>
          <wp:anchor distT="0" distB="0" distL="114300" distR="114300" simplePos="0" relativeHeight="251666432" behindDoc="0" locked="0" layoutInCell="1" allowOverlap="1">
            <wp:simplePos x="0" y="0"/>
            <wp:positionH relativeFrom="column">
              <wp:posOffset>351790</wp:posOffset>
            </wp:positionH>
            <wp:positionV relativeFrom="paragraph">
              <wp:posOffset>1265555</wp:posOffset>
            </wp:positionV>
            <wp:extent cx="2487295" cy="6281420"/>
            <wp:effectExtent l="0" t="0" r="8255" b="508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1_chemocat vs enzymatic vert_new.tif"/>
                    <pic:cNvPicPr/>
                  </pic:nvPicPr>
                  <pic:blipFill>
                    <a:blip r:embed="rId16">
                      <a:extLst>
                        <a:ext uri="{28A0092B-C50C-407E-A947-70E740481C1C}">
                          <a14:useLocalDpi xmlns:a14="http://schemas.microsoft.com/office/drawing/2010/main" val="0"/>
                        </a:ext>
                      </a:extLst>
                    </a:blip>
                    <a:stretch>
                      <a:fillRect/>
                    </a:stretch>
                  </pic:blipFill>
                  <pic:spPr>
                    <a:xfrm>
                      <a:off x="0" y="0"/>
                      <a:ext cx="2487295" cy="6281420"/>
                    </a:xfrm>
                    <a:prstGeom prst="rect">
                      <a:avLst/>
                    </a:prstGeom>
                  </pic:spPr>
                </pic:pic>
              </a:graphicData>
            </a:graphic>
            <wp14:sizeRelH relativeFrom="margin">
              <wp14:pctWidth>0</wp14:pctWidth>
            </wp14:sizeRelH>
            <wp14:sizeRelV relativeFrom="margin">
              <wp14:pctHeight>0</wp14:pctHeight>
            </wp14:sizeRelV>
          </wp:anchor>
        </w:drawing>
      </w:r>
      <w:r w:rsidR="00CC6A02" w:rsidRPr="005E1822">
        <w:rPr>
          <w:b w:val="0"/>
        </w:rPr>
        <w:t>Due to the insolubility of the polymer, solid state NMR spectroscopy was used to elucidate the polymer structure of PBI synthesized using Ti(tOBu)</w:t>
      </w:r>
      <w:r w:rsidR="00CC6A02" w:rsidRPr="005E1822">
        <w:rPr>
          <w:b w:val="0"/>
          <w:vertAlign w:val="subscript"/>
        </w:rPr>
        <w:t>4</w:t>
      </w:r>
      <w:r w:rsidR="00CC6A02" w:rsidRPr="005E1822">
        <w:rPr>
          <w:b w:val="0"/>
        </w:rPr>
        <w:t xml:space="preserve"> as catalyst and to compare it with an enzymatica</w:t>
      </w:r>
      <w:r w:rsidR="00BD2187" w:rsidRPr="005E1822">
        <w:rPr>
          <w:b w:val="0"/>
        </w:rPr>
        <w:t>lly synthesized polymer (iCA</w:t>
      </w:r>
      <w:r w:rsidR="00CC6A02" w:rsidRPr="005E1822">
        <w:rPr>
          <w:b w:val="0"/>
        </w:rPr>
        <w:t>L</w:t>
      </w:r>
      <w:r w:rsidR="00BD2187" w:rsidRPr="005E1822">
        <w:rPr>
          <w:b w:val="0"/>
        </w:rPr>
        <w:t>-</w:t>
      </w:r>
      <w:r w:rsidR="00CC6A02" w:rsidRPr="005E1822">
        <w:rPr>
          <w:b w:val="0"/>
        </w:rPr>
        <w:t>B as catalyst, 85 °C, 24 h) (Figure 1). It should be noted that the enzymatically-synthesized PBI was completely soluble in CDCl</w:t>
      </w:r>
      <w:r w:rsidR="00CC6A02" w:rsidRPr="005E1822">
        <w:rPr>
          <w:b w:val="0"/>
          <w:vertAlign w:val="subscript"/>
        </w:rPr>
        <w:t>3</w:t>
      </w:r>
      <w:r w:rsidR="005D503F" w:rsidRPr="005E1822">
        <w:rPr>
          <w:b w:val="0"/>
        </w:rPr>
        <w:t xml:space="preserve"> at 21 </w:t>
      </w:r>
      <w:r w:rsidR="00CC6A02" w:rsidRPr="005E1822">
        <w:rPr>
          <w:b w:val="0"/>
        </w:rPr>
        <w:t xml:space="preserve">°C and was therefore analyzed via liquid </w:t>
      </w:r>
      <w:r w:rsidR="00CC6A02" w:rsidRPr="005E1822">
        <w:rPr>
          <w:b w:val="0"/>
          <w:vertAlign w:val="superscript"/>
        </w:rPr>
        <w:t>1</w:t>
      </w:r>
      <w:r w:rsidR="00CC6A02" w:rsidRPr="005E1822">
        <w:rPr>
          <w:b w:val="0"/>
        </w:rPr>
        <w:t xml:space="preserve">H and </w:t>
      </w:r>
      <w:r w:rsidR="00CC6A02" w:rsidRPr="005E1822">
        <w:rPr>
          <w:b w:val="0"/>
          <w:vertAlign w:val="superscript"/>
        </w:rPr>
        <w:t>13</w:t>
      </w:r>
      <w:r w:rsidR="00CC6A02" w:rsidRPr="005E1822">
        <w:rPr>
          <w:b w:val="0"/>
        </w:rPr>
        <w:t>C-NMR spectroscopy.</w:t>
      </w:r>
    </w:p>
    <w:p w:rsidR="00CC6A02" w:rsidRPr="005E1822" w:rsidRDefault="00CC6A02" w:rsidP="00040DCD">
      <w:pPr>
        <w:pStyle w:val="RSCB08CHeadingIn-line"/>
        <w:jc w:val="both"/>
        <w:rPr>
          <w:b w:val="0"/>
          <w:sz w:val="14"/>
        </w:rPr>
      </w:pPr>
      <w:r w:rsidRPr="005E1822">
        <w:rPr>
          <w:sz w:val="14"/>
        </w:rPr>
        <w:t>Figure 1.</w:t>
      </w:r>
      <w:r w:rsidRPr="005E1822">
        <w:rPr>
          <w:b w:val="0"/>
          <w:sz w:val="14"/>
        </w:rPr>
        <w:t xml:space="preserve"> </w:t>
      </w:r>
      <w:r w:rsidRPr="005E1822">
        <w:rPr>
          <w:b w:val="0"/>
          <w:sz w:val="14"/>
          <w:vertAlign w:val="superscript"/>
        </w:rPr>
        <w:t>13</w:t>
      </w:r>
      <w:r w:rsidRPr="005E1822">
        <w:rPr>
          <w:b w:val="0"/>
          <w:sz w:val="14"/>
        </w:rPr>
        <w:t xml:space="preserve">C-NMR spectra of </w:t>
      </w:r>
      <w:proofErr w:type="gramStart"/>
      <w:r w:rsidRPr="005E1822">
        <w:rPr>
          <w:b w:val="0"/>
          <w:sz w:val="14"/>
        </w:rPr>
        <w:t>poly(</w:t>
      </w:r>
      <w:proofErr w:type="gramEnd"/>
      <w:r w:rsidRPr="005E1822">
        <w:rPr>
          <w:b w:val="0"/>
          <w:sz w:val="14"/>
        </w:rPr>
        <w:t>1,4-butylene itaconate) (PBI) synthesiz</w:t>
      </w:r>
      <w:r w:rsidR="00D64C92" w:rsidRPr="005E1822">
        <w:rPr>
          <w:b w:val="0"/>
          <w:sz w:val="14"/>
        </w:rPr>
        <w:t>ed using A) Ti(tOBu)</w:t>
      </w:r>
      <w:r w:rsidR="00D64C92" w:rsidRPr="005E1822">
        <w:rPr>
          <w:b w:val="0"/>
          <w:sz w:val="14"/>
          <w:vertAlign w:val="subscript"/>
        </w:rPr>
        <w:t>4</w:t>
      </w:r>
      <w:r w:rsidR="00D64C92" w:rsidRPr="005E1822">
        <w:rPr>
          <w:b w:val="0"/>
          <w:sz w:val="14"/>
        </w:rPr>
        <w:t xml:space="preserve"> and B) iCA</w:t>
      </w:r>
      <w:r w:rsidRPr="005E1822">
        <w:rPr>
          <w:b w:val="0"/>
          <w:sz w:val="14"/>
        </w:rPr>
        <w:t>L</w:t>
      </w:r>
      <w:r w:rsidR="00D64C92" w:rsidRPr="005E1822">
        <w:rPr>
          <w:b w:val="0"/>
          <w:sz w:val="14"/>
        </w:rPr>
        <w:t>-</w:t>
      </w:r>
      <w:r w:rsidRPr="005E1822">
        <w:rPr>
          <w:b w:val="0"/>
          <w:sz w:val="14"/>
        </w:rPr>
        <w:t xml:space="preserve">B as catalysts. Spectra A was recorded using solid state NMR spectroscopy due to the insolubility of the produced polymer (see Table S1 in ESI for </w:t>
      </w:r>
      <w:r w:rsidRPr="005E1822">
        <w:rPr>
          <w:b w:val="0"/>
          <w:sz w:val="14"/>
        </w:rPr>
        <w:lastRenderedPageBreak/>
        <w:t>solubility tests) while spectrum B was recorded using liquid NMR spectroscopy in CDCl</w:t>
      </w:r>
      <w:r w:rsidRPr="005E1822">
        <w:rPr>
          <w:b w:val="0"/>
          <w:sz w:val="14"/>
          <w:vertAlign w:val="subscript"/>
        </w:rPr>
        <w:t>3</w:t>
      </w:r>
      <w:r w:rsidRPr="005E1822">
        <w:rPr>
          <w:b w:val="0"/>
          <w:sz w:val="14"/>
        </w:rPr>
        <w:t xml:space="preserve"> as solvent.</w:t>
      </w:r>
    </w:p>
    <w:p w:rsidR="009546E4" w:rsidRPr="005E1822" w:rsidRDefault="009546E4" w:rsidP="00040DCD">
      <w:pPr>
        <w:pStyle w:val="RSCB08CHeadingIn-line"/>
        <w:jc w:val="both"/>
        <w:rPr>
          <w:b w:val="0"/>
          <w:sz w:val="14"/>
        </w:rPr>
      </w:pPr>
    </w:p>
    <w:p w:rsidR="00CC6A02" w:rsidRPr="005E1822" w:rsidRDefault="00CC6A02" w:rsidP="00A6539B">
      <w:pPr>
        <w:pStyle w:val="RSCB08CHeadingIn-line"/>
        <w:jc w:val="both"/>
        <w:rPr>
          <w:b w:val="0"/>
        </w:rPr>
      </w:pPr>
      <w:r w:rsidRPr="005E1822">
        <w:rPr>
          <w:b w:val="0"/>
        </w:rPr>
        <w:t xml:space="preserve">As observed in Figure 1A, the chemo-catalyzed synthesis of PBI leads to the formation of branched (and eventually cross-linked) polymers. From the analyzed spectra, we believe that the main mechanism for the branching formation is the attack of the diol to the vinyl group of dimethyl itaconate (Ordelt saturation reaction) while radical crosslinking has minor effects not clearly detectable from the </w:t>
      </w:r>
      <w:r w:rsidRPr="005E1822">
        <w:rPr>
          <w:b w:val="0"/>
          <w:vertAlign w:val="superscript"/>
        </w:rPr>
        <w:t>13</w:t>
      </w:r>
      <w:r w:rsidRPr="005E1822">
        <w:rPr>
          <w:b w:val="0"/>
        </w:rPr>
        <w:t xml:space="preserve">C-NMR spectra since for the presented reaction we </w:t>
      </w:r>
      <w:r w:rsidR="00604CC2" w:rsidRPr="005E1822">
        <w:rPr>
          <w:b w:val="0"/>
        </w:rPr>
        <w:t>used non radical inhibiting conditions</w:t>
      </w:r>
      <w:r w:rsidRPr="005E1822">
        <w:rPr>
          <w:b w:val="0"/>
        </w:rPr>
        <w:t>. These results are consistent with previous literature on the topic</w:t>
      </w:r>
      <w:r w:rsidRPr="005E1822">
        <w:rPr>
          <w:b w:val="0"/>
          <w:vertAlign w:val="superscript"/>
        </w:rPr>
        <w:t xml:space="preserve">7,10 </w:t>
      </w:r>
      <w:r w:rsidRPr="005E1822">
        <w:rPr>
          <w:b w:val="0"/>
        </w:rPr>
        <w:t>while they disagree with the more recent report of Brännström and co-workers that used the same metal catalyst (Ti(</w:t>
      </w:r>
      <w:r w:rsidRPr="005E1822">
        <w:rPr>
          <w:b w:val="0"/>
          <w:i/>
        </w:rPr>
        <w:t>t</w:t>
      </w:r>
      <w:r w:rsidRPr="005E1822">
        <w:rPr>
          <w:b w:val="0"/>
        </w:rPr>
        <w:t>OBu)</w:t>
      </w:r>
      <w:r w:rsidRPr="005E1822">
        <w:rPr>
          <w:b w:val="0"/>
          <w:vertAlign w:val="subscript"/>
        </w:rPr>
        <w:t>4</w:t>
      </w:r>
      <w:r w:rsidRPr="005E1822">
        <w:rPr>
          <w:b w:val="0"/>
        </w:rPr>
        <w:t>) at 160 °C but did not observe any side reactions other than product discoloration</w:t>
      </w:r>
      <w:r w:rsidRPr="005E1822">
        <w:rPr>
          <w:b w:val="0"/>
          <w:vertAlign w:val="superscript"/>
        </w:rPr>
        <w:t>16</w:t>
      </w:r>
      <w:r w:rsidRPr="005E1822">
        <w:rPr>
          <w:b w:val="0"/>
        </w:rPr>
        <w:t>. Interestingly, also adding quinol as radical quencher for the chemo-catalytic reactions did not improve the solubility of the polymers; th</w:t>
      </w:r>
      <w:r w:rsidR="00A6539B" w:rsidRPr="005E1822">
        <w:rPr>
          <w:b w:val="0"/>
        </w:rPr>
        <w:t>ese remained insoluble in all</w:t>
      </w:r>
      <w:r w:rsidRPr="005E1822">
        <w:rPr>
          <w:b w:val="0"/>
        </w:rPr>
        <w:t xml:space="preserve"> the tested organic media (see ESI, Figure S2).</w:t>
      </w:r>
    </w:p>
    <w:p w:rsidR="00CC6A02" w:rsidRPr="005E1822" w:rsidRDefault="00C90EB2" w:rsidP="00A6539B">
      <w:pPr>
        <w:pStyle w:val="RSCB08CHeadingIn-line"/>
        <w:spacing w:after="240"/>
        <w:jc w:val="both"/>
        <w:rPr>
          <w:b w:val="0"/>
        </w:rPr>
      </w:pPr>
      <w:r w:rsidRPr="005E1822">
        <w:rPr>
          <w:b w:val="0"/>
          <w:noProof/>
          <w:lang w:eastAsia="en-GB"/>
        </w:rPr>
        <w:drawing>
          <wp:anchor distT="0" distB="0" distL="114300" distR="114300" simplePos="0" relativeHeight="251669504" behindDoc="0" locked="0" layoutInCell="1" allowOverlap="1">
            <wp:simplePos x="0" y="0"/>
            <wp:positionH relativeFrom="margin">
              <wp:posOffset>3418205</wp:posOffset>
            </wp:positionH>
            <wp:positionV relativeFrom="paragraph">
              <wp:posOffset>953770</wp:posOffset>
            </wp:positionV>
            <wp:extent cx="2908800" cy="5248800"/>
            <wp:effectExtent l="0" t="0" r="6350"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 2_OMe comp dec.tif"/>
                    <pic:cNvPicPr/>
                  </pic:nvPicPr>
                  <pic:blipFill>
                    <a:blip r:embed="rId17">
                      <a:extLst>
                        <a:ext uri="{28A0092B-C50C-407E-A947-70E740481C1C}">
                          <a14:useLocalDpi xmlns:a14="http://schemas.microsoft.com/office/drawing/2010/main" val="0"/>
                        </a:ext>
                      </a:extLst>
                    </a:blip>
                    <a:stretch>
                      <a:fillRect/>
                    </a:stretch>
                  </pic:blipFill>
                  <pic:spPr>
                    <a:xfrm>
                      <a:off x="0" y="0"/>
                      <a:ext cx="2908800" cy="5248800"/>
                    </a:xfrm>
                    <a:prstGeom prst="rect">
                      <a:avLst/>
                    </a:prstGeom>
                  </pic:spPr>
                </pic:pic>
              </a:graphicData>
            </a:graphic>
            <wp14:sizeRelH relativeFrom="margin">
              <wp14:pctWidth>0</wp14:pctWidth>
            </wp14:sizeRelH>
            <wp14:sizeRelV relativeFrom="margin">
              <wp14:pctHeight>0</wp14:pctHeight>
            </wp14:sizeRelV>
          </wp:anchor>
        </w:drawing>
      </w:r>
      <w:r w:rsidR="00CC6A02" w:rsidRPr="005E1822">
        <w:rPr>
          <w:b w:val="0"/>
        </w:rPr>
        <w:t>The enzymatically-synthesized PBI (Figure 1B) on the other hand shows an excellent preservation of the vinyl functionality after the polycondensation reaction. Moreover</w:t>
      </w:r>
      <w:r w:rsidR="00A6539B" w:rsidRPr="005E1822">
        <w:rPr>
          <w:b w:val="0"/>
        </w:rPr>
        <w:t>,</w:t>
      </w:r>
      <w:r w:rsidR="00CC6A02" w:rsidRPr="005E1822">
        <w:rPr>
          <w:b w:val="0"/>
        </w:rPr>
        <w:t xml:space="preserve"> an excellent solubili</w:t>
      </w:r>
      <w:r w:rsidR="00163291" w:rsidRPr="005E1822">
        <w:rPr>
          <w:b w:val="0"/>
        </w:rPr>
        <w:t xml:space="preserve">ty of the polymer in THF, </w:t>
      </w:r>
      <w:r w:rsidR="00CC6A02" w:rsidRPr="005E1822">
        <w:rPr>
          <w:b w:val="0"/>
        </w:rPr>
        <w:t>CHCl</w:t>
      </w:r>
      <w:r w:rsidR="00CC6A02" w:rsidRPr="005E1822">
        <w:rPr>
          <w:b w:val="0"/>
          <w:vertAlign w:val="subscript"/>
        </w:rPr>
        <w:t>3</w:t>
      </w:r>
      <w:r w:rsidR="00CC6A02" w:rsidRPr="005E1822">
        <w:rPr>
          <w:b w:val="0"/>
        </w:rPr>
        <w:t xml:space="preserve"> </w:t>
      </w:r>
      <w:r w:rsidR="00163291" w:rsidRPr="005E1822">
        <w:rPr>
          <w:b w:val="0"/>
        </w:rPr>
        <w:t xml:space="preserve">and many other solvents, </w:t>
      </w:r>
      <w:r w:rsidR="00CC6A02" w:rsidRPr="005E1822">
        <w:rPr>
          <w:b w:val="0"/>
        </w:rPr>
        <w:t>together with the absence of gelation phenomena c</w:t>
      </w:r>
      <w:r w:rsidR="00CB6009" w:rsidRPr="005E1822">
        <w:rPr>
          <w:b w:val="0"/>
        </w:rPr>
        <w:t>orroborates</w:t>
      </w:r>
      <w:r w:rsidR="00CC6A02" w:rsidRPr="005E1822">
        <w:rPr>
          <w:b w:val="0"/>
        </w:rPr>
        <w:t xml:space="preserve"> the linearity, and the correlated absence of branching, of the produced polymer.</w:t>
      </w:r>
    </w:p>
    <w:p w:rsidR="00CC6A02" w:rsidRPr="005E1822" w:rsidRDefault="00CC6A02" w:rsidP="00A6539B">
      <w:pPr>
        <w:pStyle w:val="RSCB08CHeadingIn-line"/>
        <w:jc w:val="both"/>
      </w:pPr>
      <w:r w:rsidRPr="005E1822">
        <w:t>Enzymatic synthesis of unsaturated polyesters from various itaconate, fumarate and maleate diesters</w:t>
      </w:r>
    </w:p>
    <w:p w:rsidR="00CC6A02" w:rsidRPr="005E1822" w:rsidRDefault="00CC6A02" w:rsidP="00397752">
      <w:pPr>
        <w:pStyle w:val="RSCB08CHeadingIn-line"/>
        <w:spacing w:after="120"/>
        <w:jc w:val="both"/>
        <w:rPr>
          <w:b w:val="0"/>
        </w:rPr>
      </w:pPr>
      <w:r w:rsidRPr="005E1822">
        <w:rPr>
          <w:b w:val="0"/>
        </w:rPr>
        <w:t>After concluding that enzymatic catalysis is the best way to produce linear itaconate-based polyesters in a solventless reaction system, avoiding isomerization and other side reactions while fully maintaining their lateral vinyl functionality</w:t>
      </w:r>
      <w:r w:rsidRPr="005E1822">
        <w:rPr>
          <w:b w:val="0"/>
          <w:vertAlign w:val="superscript"/>
        </w:rPr>
        <w:t>14, 17</w:t>
      </w:r>
      <w:r w:rsidRPr="005E1822">
        <w:rPr>
          <w:b w:val="0"/>
        </w:rPr>
        <w:t>, we decided to investigate the effect of various unsaturated diesters on the reaction progression when combined with diols with an aliphatic chain length of 4, 6 or 8 carbon atoms (</w:t>
      </w:r>
      <w:r w:rsidR="007932E5" w:rsidRPr="005E1822">
        <w:rPr>
          <w:b w:val="0"/>
        </w:rPr>
        <w:t>Chart 1</w:t>
      </w:r>
      <w:r w:rsidRPr="005E1822">
        <w:rPr>
          <w:b w:val="0"/>
        </w:rPr>
        <w:t>).</w:t>
      </w:r>
    </w:p>
    <w:p w:rsidR="00CC6A02" w:rsidRPr="005E1822" w:rsidRDefault="00397752" w:rsidP="00CC6A02">
      <w:pPr>
        <w:pStyle w:val="RSCB08CHeadingIn-line"/>
        <w:rPr>
          <w:b w:val="0"/>
        </w:rPr>
      </w:pPr>
      <w:r w:rsidRPr="005E1822">
        <w:rPr>
          <w:b w:val="0"/>
          <w:noProof/>
          <w:lang w:eastAsia="en-GB"/>
        </w:rPr>
        <w:drawing>
          <wp:inline distT="0" distB="0" distL="0" distR="0">
            <wp:extent cx="3168015" cy="165798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heme 3_monomers.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168015" cy="1657985"/>
                    </a:xfrm>
                    <a:prstGeom prst="rect">
                      <a:avLst/>
                    </a:prstGeom>
                  </pic:spPr>
                </pic:pic>
              </a:graphicData>
            </a:graphic>
          </wp:inline>
        </w:drawing>
      </w:r>
    </w:p>
    <w:p w:rsidR="00CC6A02" w:rsidRPr="005E1822" w:rsidRDefault="007932E5" w:rsidP="00397752">
      <w:pPr>
        <w:pStyle w:val="RSCB08CHeadingIn-line"/>
        <w:spacing w:after="240"/>
        <w:rPr>
          <w:b w:val="0"/>
          <w:sz w:val="14"/>
        </w:rPr>
      </w:pPr>
      <w:r w:rsidRPr="005E1822">
        <w:rPr>
          <w:sz w:val="14"/>
        </w:rPr>
        <w:t>Chart 1</w:t>
      </w:r>
      <w:r w:rsidR="00CC6A02" w:rsidRPr="005E1822">
        <w:rPr>
          <w:sz w:val="14"/>
        </w:rPr>
        <w:t>.</w:t>
      </w:r>
      <w:r w:rsidR="00CC6A02" w:rsidRPr="005E1822">
        <w:rPr>
          <w:b w:val="0"/>
          <w:sz w:val="14"/>
        </w:rPr>
        <w:t xml:space="preserve"> Monomers used in the enzymatic polymerization study.</w:t>
      </w:r>
    </w:p>
    <w:p w:rsidR="00CC6A02" w:rsidRPr="005E1822" w:rsidRDefault="00CC6A02" w:rsidP="00F11B30">
      <w:pPr>
        <w:pStyle w:val="RSCB08CHeadingIn-line"/>
        <w:jc w:val="both"/>
        <w:rPr>
          <w:b w:val="0"/>
        </w:rPr>
      </w:pPr>
      <w:r w:rsidRPr="005E1822">
        <w:rPr>
          <w:b w:val="0"/>
        </w:rPr>
        <w:t xml:space="preserve">Firstly, the reactivity of dimethyl itaconate (DMI, </w:t>
      </w:r>
      <w:r w:rsidRPr="005E1822">
        <w:t>1</w:t>
      </w:r>
      <w:r w:rsidRPr="005E1822">
        <w:rPr>
          <w:b w:val="0"/>
        </w:rPr>
        <w:t xml:space="preserve">) with dimethyl fumarate (DMF, </w:t>
      </w:r>
      <w:r w:rsidRPr="005E1822">
        <w:t>2</w:t>
      </w:r>
      <w:r w:rsidRPr="005E1822">
        <w:rPr>
          <w:b w:val="0"/>
        </w:rPr>
        <w:t xml:space="preserve">) and dimethyl maleate (DMM, </w:t>
      </w:r>
      <w:r w:rsidRPr="005E1822">
        <w:t>3</w:t>
      </w:r>
      <w:r w:rsidRPr="005E1822">
        <w:rPr>
          <w:b w:val="0"/>
        </w:rPr>
        <w:t xml:space="preserve">) was compared. Figure 2 shows how </w:t>
      </w:r>
      <w:r w:rsidRPr="005E1822">
        <w:t>1</w:t>
      </w:r>
      <w:r w:rsidRPr="005E1822">
        <w:rPr>
          <w:b w:val="0"/>
        </w:rPr>
        <w:t xml:space="preserve"> and </w:t>
      </w:r>
      <w:r w:rsidRPr="005E1822">
        <w:t>2</w:t>
      </w:r>
      <w:r w:rsidRPr="005E1822">
        <w:rPr>
          <w:b w:val="0"/>
        </w:rPr>
        <w:t xml:space="preserve"> possess similar reactivity in terms of monomer conversions (eg. 94.5 vs 95.5% for 1,6HDO) and M</w:t>
      </w:r>
      <w:r w:rsidRPr="005E1822">
        <w:rPr>
          <w:b w:val="0"/>
          <w:vertAlign w:val="subscript"/>
        </w:rPr>
        <w:t>n</w:t>
      </w:r>
      <w:r w:rsidRPr="005E1822">
        <w:rPr>
          <w:b w:val="0"/>
        </w:rPr>
        <w:t xml:space="preserve"> (</w:t>
      </w:r>
      <w:r w:rsidR="00DE351C" w:rsidRPr="005E1822">
        <w:rPr>
          <w:b w:val="0"/>
        </w:rPr>
        <w:t>2200 vs 2300</w:t>
      </w:r>
      <w:r w:rsidR="008E20FA" w:rsidRPr="005E1822">
        <w:rPr>
          <w:b w:val="0"/>
        </w:rPr>
        <w:t xml:space="preserve"> for 1,6HDO, Table S5</w:t>
      </w:r>
      <w:r w:rsidRPr="005E1822">
        <w:rPr>
          <w:b w:val="0"/>
        </w:rPr>
        <w:t xml:space="preserve">), whilst the use of </w:t>
      </w:r>
      <w:r w:rsidRPr="005E1822">
        <w:t>3</w:t>
      </w:r>
      <w:r w:rsidRPr="005E1822">
        <w:rPr>
          <w:b w:val="0"/>
        </w:rPr>
        <w:t xml:space="preserve"> gives lower monomer conversions and M</w:t>
      </w:r>
      <w:r w:rsidRPr="005E1822">
        <w:rPr>
          <w:b w:val="0"/>
          <w:vertAlign w:val="subscript"/>
        </w:rPr>
        <w:t>n</w:t>
      </w:r>
      <w:r w:rsidR="00DE351C" w:rsidRPr="005E1822">
        <w:rPr>
          <w:b w:val="0"/>
        </w:rPr>
        <w:t xml:space="preserve"> of 38% and 400</w:t>
      </w:r>
      <w:r w:rsidRPr="005E1822">
        <w:rPr>
          <w:b w:val="0"/>
        </w:rPr>
        <w:t xml:space="preserve"> Da (Figure 2A &amp;B). </w:t>
      </w:r>
      <w:bookmarkStart w:id="4" w:name="_Hlk527966843"/>
      <w:r w:rsidR="00363710" w:rsidRPr="005E1822">
        <w:rPr>
          <w:b w:val="0"/>
        </w:rPr>
        <w:t>T</w:t>
      </w:r>
      <w:r w:rsidRPr="005E1822">
        <w:rPr>
          <w:b w:val="0"/>
        </w:rPr>
        <w:t xml:space="preserve">his marked difference in reactivity is due to the fact that </w:t>
      </w:r>
      <w:r w:rsidRPr="005E1822">
        <w:t>3</w:t>
      </w:r>
      <w:r w:rsidRPr="005E1822">
        <w:rPr>
          <w:b w:val="0"/>
        </w:rPr>
        <w:t xml:space="preserve"> is the (Z)-isomer of </w:t>
      </w:r>
      <w:r w:rsidRPr="005E1822">
        <w:t>2</w:t>
      </w:r>
      <w:r w:rsidRPr="005E1822">
        <w:rPr>
          <w:b w:val="0"/>
        </w:rPr>
        <w:t>, and therefore the proximity of the molecule’s carbonyl carbons has a negative effect on the enzymatic-catalyzed transesterification reaction.</w:t>
      </w:r>
      <w:bookmarkEnd w:id="4"/>
      <w:r w:rsidRPr="005E1822">
        <w:rPr>
          <w:b w:val="0"/>
        </w:rPr>
        <w:t xml:space="preserve"> Also</w:t>
      </w:r>
      <w:r w:rsidR="00C8227A" w:rsidRPr="005E1822">
        <w:rPr>
          <w:b w:val="0"/>
        </w:rPr>
        <w:t>,</w:t>
      </w:r>
      <w:r w:rsidRPr="005E1822">
        <w:rPr>
          <w:b w:val="0"/>
        </w:rPr>
        <w:t xml:space="preserve"> to be noted is that among the three considered diols, 1,4BDO gave the lowest conversions, molecular weights and degree of polymerization (DP) results while better results were obtained for both 1,6HDO and 1,8ODO (Figure 2C). This observation confirms that previously reported by </w:t>
      </w:r>
      <w:proofErr w:type="spellStart"/>
      <w:r w:rsidRPr="005E1822">
        <w:rPr>
          <w:b w:val="0"/>
        </w:rPr>
        <w:t>Corici</w:t>
      </w:r>
      <w:proofErr w:type="spellEnd"/>
      <w:r w:rsidRPr="005E1822">
        <w:rPr>
          <w:b w:val="0"/>
        </w:rPr>
        <w:t xml:space="preserve"> et al that identified 1,4BDO</w:t>
      </w:r>
      <w:r w:rsidR="007764BA" w:rsidRPr="005E1822">
        <w:rPr>
          <w:b w:val="0"/>
        </w:rPr>
        <w:t xml:space="preserve"> as a less suitable diol for </w:t>
      </w:r>
      <w:r w:rsidR="00516163" w:rsidRPr="005E1822">
        <w:rPr>
          <w:b w:val="0"/>
          <w:i/>
        </w:rPr>
        <w:t>Candida antarctica</w:t>
      </w:r>
      <w:r w:rsidR="00516163" w:rsidRPr="005E1822">
        <w:rPr>
          <w:b w:val="0"/>
        </w:rPr>
        <w:t xml:space="preserve"> lipase B immobilized onto acrylic resin (</w:t>
      </w:r>
      <w:r w:rsidR="007764BA" w:rsidRPr="005E1822">
        <w:rPr>
          <w:b w:val="0"/>
        </w:rPr>
        <w:t>iCA</w:t>
      </w:r>
      <w:r w:rsidRPr="005E1822">
        <w:rPr>
          <w:b w:val="0"/>
        </w:rPr>
        <w:t>L</w:t>
      </w:r>
      <w:r w:rsidR="007764BA" w:rsidRPr="005E1822">
        <w:rPr>
          <w:b w:val="0"/>
        </w:rPr>
        <w:t>-</w:t>
      </w:r>
      <w:r w:rsidRPr="005E1822">
        <w:rPr>
          <w:b w:val="0"/>
        </w:rPr>
        <w:t>B</w:t>
      </w:r>
      <w:r w:rsidR="00516163" w:rsidRPr="005E1822">
        <w:rPr>
          <w:b w:val="0"/>
        </w:rPr>
        <w:t>)</w:t>
      </w:r>
      <w:r w:rsidRPr="005E1822">
        <w:rPr>
          <w:b w:val="0"/>
        </w:rPr>
        <w:t xml:space="preserve">-catalyzed polycondensation reactions with </w:t>
      </w:r>
      <w:r w:rsidRPr="005E1822">
        <w:t>1</w:t>
      </w:r>
      <w:r w:rsidRPr="005E1822">
        <w:rPr>
          <w:b w:val="0"/>
          <w:vertAlign w:val="superscript"/>
        </w:rPr>
        <w:t>14</w:t>
      </w:r>
      <w:r w:rsidRPr="005E1822">
        <w:rPr>
          <w:b w:val="0"/>
        </w:rPr>
        <w:t>.</w:t>
      </w:r>
    </w:p>
    <w:p w:rsidR="00CC6A02" w:rsidRPr="005E1822" w:rsidRDefault="00397752" w:rsidP="00AE7DFF">
      <w:pPr>
        <w:pStyle w:val="RSCB08CHeadingIn-line"/>
        <w:spacing w:after="240"/>
        <w:jc w:val="both"/>
        <w:rPr>
          <w:b w:val="0"/>
        </w:rPr>
      </w:pPr>
      <w:r w:rsidRPr="005E1822">
        <w:rPr>
          <w:b w:val="0"/>
        </w:rPr>
        <w:t xml:space="preserve">In a second instance, excluding the weakly reactive </w:t>
      </w:r>
      <w:r w:rsidRPr="005E1822">
        <w:t>3</w:t>
      </w:r>
      <w:r w:rsidRPr="005E1822">
        <w:rPr>
          <w:b w:val="0"/>
        </w:rPr>
        <w:t xml:space="preserve">, we compared the reactivity of dibutyl itaconate (DBI, </w:t>
      </w:r>
      <w:r w:rsidRPr="005E1822">
        <w:t>4</w:t>
      </w:r>
      <w:r w:rsidRPr="005E1822">
        <w:rPr>
          <w:b w:val="0"/>
        </w:rPr>
        <w:t xml:space="preserve">) and dibutyl fumarate (DBF, </w:t>
      </w:r>
      <w:r w:rsidRPr="005E1822">
        <w:t>5</w:t>
      </w:r>
      <w:r w:rsidRPr="005E1822">
        <w:rPr>
          <w:b w:val="0"/>
        </w:rPr>
        <w:t xml:space="preserve">) in the same reaction conditions previously tested for compounds </w:t>
      </w:r>
      <w:r w:rsidRPr="005E1822">
        <w:t>1-3</w:t>
      </w:r>
      <w:r w:rsidRPr="005E1822">
        <w:rPr>
          <w:b w:val="0"/>
        </w:rPr>
        <w:t>. Figure 3A &amp; B shows the trend of how 1,4BDO continues to yield the lowest molecular weight polymers but interestingly, it should be noted that when using dibutyl esters, the fumarate derivatives are significantly more reactive than the itaconate (eg. M</w:t>
      </w:r>
      <w:r w:rsidRPr="005E1822">
        <w:rPr>
          <w:b w:val="0"/>
          <w:vertAlign w:val="subscript"/>
        </w:rPr>
        <w:t>n</w:t>
      </w:r>
      <w:r w:rsidR="00516163" w:rsidRPr="005E1822">
        <w:rPr>
          <w:b w:val="0"/>
        </w:rPr>
        <w:t xml:space="preserve"> of 1700</w:t>
      </w:r>
      <w:r w:rsidRPr="005E1822">
        <w:rPr>
          <w:b w:val="0"/>
        </w:rPr>
        <w:t xml:space="preserve"> for </w:t>
      </w:r>
      <w:r w:rsidRPr="005E1822">
        <w:t>4</w:t>
      </w:r>
      <w:r w:rsidR="00516163" w:rsidRPr="005E1822">
        <w:rPr>
          <w:b w:val="0"/>
        </w:rPr>
        <w:t xml:space="preserve"> vs 2</w:t>
      </w:r>
      <w:r w:rsidRPr="005E1822">
        <w:rPr>
          <w:b w:val="0"/>
        </w:rPr>
        <w:t>7</w:t>
      </w:r>
      <w:r w:rsidR="00516163" w:rsidRPr="005E1822">
        <w:rPr>
          <w:b w:val="0"/>
        </w:rPr>
        <w:t>00</w:t>
      </w:r>
      <w:r w:rsidRPr="005E1822">
        <w:rPr>
          <w:b w:val="0"/>
        </w:rPr>
        <w:t xml:space="preserve"> Da for </w:t>
      </w:r>
      <w:r w:rsidRPr="005E1822">
        <w:t>5</w:t>
      </w:r>
      <w:r w:rsidRPr="005E1822">
        <w:rPr>
          <w:b w:val="0"/>
        </w:rPr>
        <w:t xml:space="preserve"> when 1</w:t>
      </w:r>
      <w:r w:rsidR="00CB6009" w:rsidRPr="005E1822">
        <w:rPr>
          <w:b w:val="0"/>
        </w:rPr>
        <w:t>,</w:t>
      </w:r>
      <w:r w:rsidRPr="005E1822">
        <w:rPr>
          <w:b w:val="0"/>
        </w:rPr>
        <w:t xml:space="preserve">6HDO was used as a diol, </w:t>
      </w:r>
      <w:r w:rsidR="00213E97" w:rsidRPr="005E1822">
        <w:rPr>
          <w:b w:val="0"/>
        </w:rPr>
        <w:t xml:space="preserve">see ESI, </w:t>
      </w:r>
      <w:r w:rsidRPr="005E1822">
        <w:rPr>
          <w:b w:val="0"/>
        </w:rPr>
        <w:t xml:space="preserve">Table </w:t>
      </w:r>
      <w:r w:rsidR="00D10454" w:rsidRPr="005E1822">
        <w:rPr>
          <w:b w:val="0"/>
        </w:rPr>
        <w:t>S5</w:t>
      </w:r>
      <w:r w:rsidR="00213E97" w:rsidRPr="005E1822">
        <w:rPr>
          <w:b w:val="0"/>
        </w:rPr>
        <w:t xml:space="preserve"> for the complete set of data</w:t>
      </w:r>
      <w:r w:rsidRPr="005E1822">
        <w:rPr>
          <w:b w:val="0"/>
        </w:rPr>
        <w:t xml:space="preserve">). This </w:t>
      </w:r>
      <w:r w:rsidR="00213E97" w:rsidRPr="005E1822">
        <w:rPr>
          <w:b w:val="0"/>
        </w:rPr>
        <w:t>is</w:t>
      </w:r>
      <w:r w:rsidRPr="005E1822">
        <w:rPr>
          <w:b w:val="0"/>
        </w:rPr>
        <w:t xml:space="preserve"> ascribable to the fact that</w:t>
      </w:r>
      <w:r w:rsidR="00213E97" w:rsidRPr="005E1822">
        <w:rPr>
          <w:b w:val="0"/>
        </w:rPr>
        <w:t>,</w:t>
      </w:r>
      <w:r w:rsidRPr="005E1822">
        <w:rPr>
          <w:b w:val="0"/>
        </w:rPr>
        <w:t xml:space="preserve"> while </w:t>
      </w:r>
      <w:r w:rsidRPr="005E1822">
        <w:t>1</w:t>
      </w:r>
      <w:r w:rsidRPr="005E1822">
        <w:rPr>
          <w:b w:val="0"/>
        </w:rPr>
        <w:t xml:space="preserve">, </w:t>
      </w:r>
      <w:r w:rsidRPr="005E1822">
        <w:t>4</w:t>
      </w:r>
      <w:r w:rsidRPr="005E1822">
        <w:rPr>
          <w:b w:val="0"/>
        </w:rPr>
        <w:t xml:space="preserve"> and </w:t>
      </w:r>
      <w:r w:rsidRPr="005E1822">
        <w:t>5</w:t>
      </w:r>
      <w:r w:rsidRPr="005E1822">
        <w:rPr>
          <w:b w:val="0"/>
        </w:rPr>
        <w:t xml:space="preserve"> are liquid compounds at 25 ºC, compound </w:t>
      </w:r>
      <w:r w:rsidRPr="005E1822">
        <w:t>2</w:t>
      </w:r>
      <w:r w:rsidRPr="005E1822">
        <w:rPr>
          <w:b w:val="0"/>
        </w:rPr>
        <w:t xml:space="preserve"> is instead is a crystalline white solid that despite being fully dispersed in the re</w:t>
      </w:r>
      <w:r w:rsidR="00213E97" w:rsidRPr="005E1822">
        <w:rPr>
          <w:b w:val="0"/>
        </w:rPr>
        <w:t>action system (operational temperature of</w:t>
      </w:r>
      <w:r w:rsidR="00931802" w:rsidRPr="005E1822">
        <w:rPr>
          <w:b w:val="0"/>
        </w:rPr>
        <w:t xml:space="preserve"> 85 </w:t>
      </w:r>
      <w:r w:rsidRPr="005E1822">
        <w:rPr>
          <w:b w:val="0"/>
        </w:rPr>
        <w:t>ºC</w:t>
      </w:r>
      <w:r w:rsidR="00516163" w:rsidRPr="005E1822">
        <w:rPr>
          <w:b w:val="0"/>
        </w:rPr>
        <w:t>, time 24 h</w:t>
      </w:r>
      <w:r w:rsidRPr="005E1822">
        <w:rPr>
          <w:b w:val="0"/>
        </w:rPr>
        <w:t>), was not 100% homogeneously melted in the diol component, especially when using the more polar 1,4BDO.</w:t>
      </w:r>
    </w:p>
    <w:p w:rsidR="00CC6A02" w:rsidRPr="005E1822" w:rsidRDefault="00CC6A02" w:rsidP="00397752">
      <w:pPr>
        <w:pStyle w:val="RSCB08CHeadingIn-line"/>
        <w:spacing w:after="240"/>
        <w:jc w:val="both"/>
        <w:rPr>
          <w:b w:val="0"/>
          <w:sz w:val="14"/>
        </w:rPr>
      </w:pPr>
      <w:r w:rsidRPr="005E1822">
        <w:rPr>
          <w:sz w:val="14"/>
        </w:rPr>
        <w:t>Figure 2.</w:t>
      </w:r>
      <w:r w:rsidRPr="005E1822">
        <w:rPr>
          <w:b w:val="0"/>
          <w:sz w:val="14"/>
        </w:rPr>
        <w:t xml:space="preserve"> Polycondensation of DMI (</w:t>
      </w:r>
      <w:r w:rsidRPr="005E1822">
        <w:rPr>
          <w:sz w:val="14"/>
        </w:rPr>
        <w:t>1</w:t>
      </w:r>
      <w:r w:rsidRPr="005E1822">
        <w:rPr>
          <w:b w:val="0"/>
          <w:sz w:val="14"/>
        </w:rPr>
        <w:t>), DMF (</w:t>
      </w:r>
      <w:r w:rsidRPr="005E1822">
        <w:rPr>
          <w:sz w:val="14"/>
        </w:rPr>
        <w:t>2</w:t>
      </w:r>
      <w:r w:rsidRPr="005E1822">
        <w:rPr>
          <w:b w:val="0"/>
          <w:sz w:val="14"/>
        </w:rPr>
        <w:t>) and DMM (</w:t>
      </w:r>
      <w:r w:rsidRPr="005E1822">
        <w:rPr>
          <w:sz w:val="14"/>
        </w:rPr>
        <w:t>3</w:t>
      </w:r>
      <w:r w:rsidRPr="005E1822">
        <w:rPr>
          <w:b w:val="0"/>
          <w:sz w:val="14"/>
        </w:rPr>
        <w:t>) with 1,4BDO, 1,6HDO and 1,8ODO r</w:t>
      </w:r>
      <w:r w:rsidR="00BD2187" w:rsidRPr="005E1822">
        <w:rPr>
          <w:b w:val="0"/>
          <w:sz w:val="14"/>
        </w:rPr>
        <w:t>espectively using immobilized CA</w:t>
      </w:r>
      <w:r w:rsidRPr="005E1822">
        <w:rPr>
          <w:b w:val="0"/>
          <w:sz w:val="14"/>
        </w:rPr>
        <w:t>L</w:t>
      </w:r>
      <w:r w:rsidR="00BD2187" w:rsidRPr="005E1822">
        <w:rPr>
          <w:b w:val="0"/>
          <w:sz w:val="14"/>
        </w:rPr>
        <w:t>-</w:t>
      </w:r>
      <w:r w:rsidRPr="005E1822">
        <w:rPr>
          <w:b w:val="0"/>
          <w:sz w:val="14"/>
        </w:rPr>
        <w:t>B as biocatalyst at 85 ºC for 24 h in a bulk reaction system. * Monomers conversion were below 40% for all synthesized polymers (please see ESI, Figure S3 for the comparison with the DMA conversions). All reactions were performed in duplicates and mean data are presented ± standard deviation.</w:t>
      </w:r>
    </w:p>
    <w:p w:rsidR="003E4529" w:rsidRPr="005E1822" w:rsidRDefault="00AE7DFF" w:rsidP="00D920AE">
      <w:pPr>
        <w:pStyle w:val="RSCB08CHeadingIn-line"/>
        <w:spacing w:after="120"/>
        <w:jc w:val="both"/>
        <w:rPr>
          <w:b w:val="0"/>
        </w:rPr>
      </w:pPr>
      <w:r w:rsidRPr="005E1822">
        <w:rPr>
          <w:b w:val="0"/>
          <w:noProof/>
          <w:lang w:eastAsia="en-GB"/>
        </w:rPr>
        <w:drawing>
          <wp:anchor distT="0" distB="0" distL="114300" distR="114300" simplePos="0" relativeHeight="251668480" behindDoc="0" locked="0" layoutInCell="1" allowOverlap="1">
            <wp:simplePos x="0" y="0"/>
            <wp:positionH relativeFrom="column">
              <wp:align>right</wp:align>
            </wp:positionH>
            <wp:positionV relativeFrom="paragraph">
              <wp:posOffset>1596300</wp:posOffset>
            </wp:positionV>
            <wp:extent cx="3168015" cy="2878455"/>
            <wp:effectExtent l="0" t="0" r="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 3_comparisons_resubm.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68015" cy="2878455"/>
                    </a:xfrm>
                    <a:prstGeom prst="rect">
                      <a:avLst/>
                    </a:prstGeom>
                  </pic:spPr>
                </pic:pic>
              </a:graphicData>
            </a:graphic>
          </wp:anchor>
        </w:drawing>
      </w:r>
      <w:r w:rsidR="002D187E" w:rsidRPr="005E1822">
        <w:rPr>
          <w:b w:val="0"/>
        </w:rPr>
        <w:t xml:space="preserve">This observation is further supported by the comparison of the polymerization reactions of the </w:t>
      </w:r>
      <w:proofErr w:type="spellStart"/>
      <w:r w:rsidR="002D187E" w:rsidRPr="005E1822">
        <w:rPr>
          <w:b w:val="0"/>
        </w:rPr>
        <w:t>itaconate</w:t>
      </w:r>
      <w:proofErr w:type="spellEnd"/>
      <w:r w:rsidR="002D187E" w:rsidRPr="005E1822">
        <w:rPr>
          <w:b w:val="0"/>
        </w:rPr>
        <w:t xml:space="preserve"> derivatives </w:t>
      </w:r>
      <w:r w:rsidR="002D187E" w:rsidRPr="005E1822">
        <w:t>1</w:t>
      </w:r>
      <w:r w:rsidR="002D187E" w:rsidRPr="005E1822">
        <w:rPr>
          <w:b w:val="0"/>
        </w:rPr>
        <w:t xml:space="preserve"> (-</w:t>
      </w:r>
      <w:proofErr w:type="spellStart"/>
      <w:r w:rsidR="002D187E" w:rsidRPr="005E1822">
        <w:rPr>
          <w:b w:val="0"/>
        </w:rPr>
        <w:t>OMe</w:t>
      </w:r>
      <w:proofErr w:type="spellEnd"/>
      <w:r w:rsidR="002D187E" w:rsidRPr="005E1822">
        <w:rPr>
          <w:b w:val="0"/>
        </w:rPr>
        <w:t xml:space="preserve">) and </w:t>
      </w:r>
      <w:r w:rsidR="002D187E" w:rsidRPr="005E1822">
        <w:t>4</w:t>
      </w:r>
      <w:r w:rsidR="002D187E" w:rsidRPr="005E1822">
        <w:rPr>
          <w:b w:val="0"/>
        </w:rPr>
        <w:t xml:space="preserve"> (-</w:t>
      </w:r>
      <w:proofErr w:type="spellStart"/>
      <w:r w:rsidR="002D187E" w:rsidRPr="005E1822">
        <w:rPr>
          <w:b w:val="0"/>
        </w:rPr>
        <w:t>OBu</w:t>
      </w:r>
      <w:proofErr w:type="spellEnd"/>
      <w:r w:rsidR="002D187E" w:rsidRPr="005E1822">
        <w:rPr>
          <w:b w:val="0"/>
        </w:rPr>
        <w:t xml:space="preserve"> diester). In this case, the methyl derivative always gives higher monomers conversions (see ESI, Figure S4), molecular weights (Figure 3C) and DPs (Figure 3D) than the butyl counterpart while for the fumarate derivatives </w:t>
      </w:r>
      <w:r w:rsidR="002D187E" w:rsidRPr="005E1822">
        <w:t>2</w:t>
      </w:r>
      <w:r w:rsidR="002D187E" w:rsidRPr="005E1822">
        <w:rPr>
          <w:b w:val="0"/>
        </w:rPr>
        <w:t xml:space="preserve"> (-</w:t>
      </w:r>
      <w:proofErr w:type="spellStart"/>
      <w:r w:rsidR="002D187E" w:rsidRPr="005E1822">
        <w:rPr>
          <w:b w:val="0"/>
        </w:rPr>
        <w:t>OMe</w:t>
      </w:r>
      <w:proofErr w:type="spellEnd"/>
      <w:r w:rsidR="002D187E" w:rsidRPr="005E1822">
        <w:rPr>
          <w:b w:val="0"/>
        </w:rPr>
        <w:t xml:space="preserve">) and </w:t>
      </w:r>
      <w:r w:rsidR="002D187E" w:rsidRPr="005E1822">
        <w:t>5</w:t>
      </w:r>
      <w:r w:rsidR="002D187E" w:rsidRPr="005E1822">
        <w:rPr>
          <w:b w:val="0"/>
        </w:rPr>
        <w:t xml:space="preserve"> (-</w:t>
      </w:r>
      <w:proofErr w:type="spellStart"/>
      <w:r w:rsidR="002D187E" w:rsidRPr="005E1822">
        <w:rPr>
          <w:b w:val="0"/>
        </w:rPr>
        <w:t>OBu</w:t>
      </w:r>
      <w:proofErr w:type="spellEnd"/>
      <w:r w:rsidR="002D187E" w:rsidRPr="005E1822">
        <w:rPr>
          <w:b w:val="0"/>
        </w:rPr>
        <w:t xml:space="preserve"> diester), the latter was reported to give higher molecular weights and DPs when reacted with 1,4BDO and 1,6HDO whilst the former gave better results when polymerized with the less polar 1,8ODO (Figure 3E &amp; F).</w:t>
      </w:r>
    </w:p>
    <w:p w:rsidR="00D920AE" w:rsidRPr="005E1822" w:rsidRDefault="00D920AE" w:rsidP="00AE7DFF">
      <w:pPr>
        <w:pStyle w:val="RSCB08CHeadingIn-line"/>
        <w:spacing w:after="240"/>
        <w:jc w:val="both"/>
        <w:rPr>
          <w:b w:val="0"/>
          <w:sz w:val="14"/>
        </w:rPr>
      </w:pPr>
      <w:r w:rsidRPr="005E1822">
        <w:rPr>
          <w:sz w:val="14"/>
        </w:rPr>
        <w:t>Figure 3.</w:t>
      </w:r>
      <w:r w:rsidRPr="005E1822">
        <w:rPr>
          <w:b w:val="0"/>
          <w:sz w:val="14"/>
        </w:rPr>
        <w:t xml:space="preserve"> Polycondensation of </w:t>
      </w:r>
      <w:r w:rsidRPr="005E1822">
        <w:rPr>
          <w:sz w:val="14"/>
        </w:rPr>
        <w:t>4</w:t>
      </w:r>
      <w:r w:rsidRPr="005E1822">
        <w:rPr>
          <w:b w:val="0"/>
          <w:sz w:val="14"/>
        </w:rPr>
        <w:t xml:space="preserve"> and </w:t>
      </w:r>
      <w:r w:rsidRPr="005E1822">
        <w:rPr>
          <w:sz w:val="14"/>
        </w:rPr>
        <w:t>5</w:t>
      </w:r>
      <w:r w:rsidRPr="005E1822">
        <w:rPr>
          <w:b w:val="0"/>
          <w:sz w:val="14"/>
        </w:rPr>
        <w:t xml:space="preserve"> with 1,4BDO, 1,6HDO and 1,8ODO r</w:t>
      </w:r>
      <w:r w:rsidR="00BD2187" w:rsidRPr="005E1822">
        <w:rPr>
          <w:b w:val="0"/>
          <w:sz w:val="14"/>
        </w:rPr>
        <w:t>espectively using immobilized CA</w:t>
      </w:r>
      <w:r w:rsidRPr="005E1822">
        <w:rPr>
          <w:b w:val="0"/>
          <w:sz w:val="14"/>
        </w:rPr>
        <w:t>L</w:t>
      </w:r>
      <w:r w:rsidR="00BD2187" w:rsidRPr="005E1822">
        <w:rPr>
          <w:b w:val="0"/>
          <w:sz w:val="14"/>
        </w:rPr>
        <w:t>-</w:t>
      </w:r>
      <w:r w:rsidRPr="005E1822">
        <w:rPr>
          <w:b w:val="0"/>
          <w:sz w:val="14"/>
        </w:rPr>
        <w:t xml:space="preserve">B as biocatalyst at 85 ºC for 24 h in a bulk reaction system. All reactions were performed in duplicates and mean data are presented ± standard deviation. For the monomers conversions calculated via </w:t>
      </w:r>
      <w:r w:rsidRPr="005E1822">
        <w:rPr>
          <w:b w:val="0"/>
          <w:sz w:val="14"/>
          <w:vertAlign w:val="superscript"/>
        </w:rPr>
        <w:t>1</w:t>
      </w:r>
      <w:r w:rsidRPr="005E1822">
        <w:rPr>
          <w:b w:val="0"/>
          <w:sz w:val="14"/>
        </w:rPr>
        <w:t>H-NMR spectra (ESI, Figures S4 and S5).</w:t>
      </w:r>
    </w:p>
    <w:p w:rsidR="00D920AE" w:rsidRPr="005E1822" w:rsidRDefault="00D920AE" w:rsidP="00D920AE">
      <w:pPr>
        <w:pStyle w:val="RSCB08CHeadingIn-line"/>
        <w:jc w:val="both"/>
      </w:pPr>
      <w:bookmarkStart w:id="5" w:name="_Hlk533709887"/>
      <w:r w:rsidRPr="005E1822">
        <w:t xml:space="preserve">Aza-Michael addition of </w:t>
      </w:r>
      <w:proofErr w:type="spellStart"/>
      <w:r w:rsidRPr="005E1822">
        <w:t>diethylamine</w:t>
      </w:r>
      <w:proofErr w:type="spellEnd"/>
      <w:r w:rsidRPr="005E1822">
        <w:t xml:space="preserve"> to unsaturated </w:t>
      </w:r>
      <w:proofErr w:type="spellStart"/>
      <w:r w:rsidRPr="005E1822">
        <w:t>diesters</w:t>
      </w:r>
      <w:proofErr w:type="spellEnd"/>
      <w:r w:rsidRPr="005E1822">
        <w:t>, their polymerization and temperature-dependent addition reversibility</w:t>
      </w:r>
      <w:r w:rsidR="00DF1D0B" w:rsidRPr="005E1822">
        <w:t>.</w:t>
      </w:r>
    </w:p>
    <w:p w:rsidR="00D920AE" w:rsidRPr="005E1822" w:rsidRDefault="00D920AE" w:rsidP="00D920AE">
      <w:pPr>
        <w:pStyle w:val="RSCB08CHeadingIn-line"/>
        <w:jc w:val="both"/>
        <w:rPr>
          <w:b w:val="0"/>
        </w:rPr>
      </w:pPr>
      <w:r w:rsidRPr="005E1822">
        <w:rPr>
          <w:b w:val="0"/>
        </w:rPr>
        <w:t xml:space="preserve">After elucidating the reactivity differences among several commercially available unsaturated monomers </w:t>
      </w:r>
      <w:r w:rsidR="00625A6C" w:rsidRPr="005E1822">
        <w:rPr>
          <w:b w:val="0"/>
        </w:rPr>
        <w:t>-</w:t>
      </w:r>
      <w:r w:rsidRPr="005E1822">
        <w:rPr>
          <w:b w:val="0"/>
        </w:rPr>
        <w:t xml:space="preserve">when used in enzymatic </w:t>
      </w:r>
      <w:r w:rsidR="004309BC" w:rsidRPr="005E1822">
        <w:rPr>
          <w:b w:val="0"/>
        </w:rPr>
        <w:t>polycondensation reactions</w:t>
      </w:r>
      <w:r w:rsidR="00625A6C" w:rsidRPr="005E1822">
        <w:rPr>
          <w:b w:val="0"/>
        </w:rPr>
        <w:t>-</w:t>
      </w:r>
      <w:r w:rsidR="004309BC" w:rsidRPr="005E1822">
        <w:rPr>
          <w:b w:val="0"/>
        </w:rPr>
        <w:t xml:space="preserve"> and </w:t>
      </w:r>
      <w:r w:rsidRPr="005E1822">
        <w:rPr>
          <w:b w:val="0"/>
        </w:rPr>
        <w:t xml:space="preserve">knowing from previous studies carried out using various enzymes belonging to the </w:t>
      </w:r>
      <w:proofErr w:type="spellStart"/>
      <w:r w:rsidRPr="005E1822">
        <w:rPr>
          <w:b w:val="0"/>
        </w:rPr>
        <w:t>Serin</w:t>
      </w:r>
      <w:proofErr w:type="spellEnd"/>
      <w:r w:rsidRPr="005E1822">
        <w:rPr>
          <w:b w:val="0"/>
        </w:rPr>
        <w:t>-hydrolase family that saturated diacids and their esters -such as succinic and adipic acid- undergo polycondensation more easily than itaconates</w:t>
      </w:r>
      <w:r w:rsidRPr="005E1822">
        <w:rPr>
          <w:b w:val="0"/>
          <w:vertAlign w:val="superscript"/>
        </w:rPr>
        <w:t>18, 19</w:t>
      </w:r>
      <w:bookmarkStart w:id="6" w:name="_Hlk533709976"/>
      <w:bookmarkStart w:id="7" w:name="_Hlk533362768"/>
      <w:r w:rsidR="00625A6C" w:rsidRPr="005E1822">
        <w:rPr>
          <w:b w:val="0"/>
        </w:rPr>
        <w:t xml:space="preserve">, </w:t>
      </w:r>
      <w:bookmarkEnd w:id="5"/>
      <w:r w:rsidR="00625A6C" w:rsidRPr="005E1822">
        <w:rPr>
          <w:b w:val="0"/>
        </w:rPr>
        <w:t>i</w:t>
      </w:r>
      <w:r w:rsidRPr="005E1822">
        <w:rPr>
          <w:b w:val="0"/>
        </w:rPr>
        <w:t xml:space="preserve">t was therefore hypothesized that adding an amine to the vinyl functionality as “temporarily protection” could improve the </w:t>
      </w:r>
      <w:proofErr w:type="spellStart"/>
      <w:r w:rsidRPr="005E1822">
        <w:rPr>
          <w:b w:val="0"/>
        </w:rPr>
        <w:t>itaconates</w:t>
      </w:r>
      <w:proofErr w:type="spellEnd"/>
      <w:r w:rsidRPr="005E1822">
        <w:rPr>
          <w:b w:val="0"/>
        </w:rPr>
        <w:t xml:space="preserve"> enzymatic </w:t>
      </w:r>
      <w:proofErr w:type="spellStart"/>
      <w:r w:rsidRPr="005E1822">
        <w:rPr>
          <w:b w:val="0"/>
        </w:rPr>
        <w:t>polymerizability</w:t>
      </w:r>
      <w:proofErr w:type="spellEnd"/>
      <w:r w:rsidRPr="005E1822">
        <w:rPr>
          <w:b w:val="0"/>
        </w:rPr>
        <w:t>. Further to this, it was hoped that the aza-Michael reaction would be susceptible to reversibility at elevated temperatures, and that this strategy could constitute a great advantage in terms of obtained molecular weights polyesters</w:t>
      </w:r>
      <w:bookmarkEnd w:id="6"/>
      <w:r w:rsidRPr="005E1822">
        <w:rPr>
          <w:b w:val="0"/>
        </w:rPr>
        <w:t xml:space="preserve">. </w:t>
      </w:r>
      <w:bookmarkEnd w:id="7"/>
      <w:r w:rsidRPr="005E1822">
        <w:rPr>
          <w:b w:val="0"/>
        </w:rPr>
        <w:t xml:space="preserve">With this perspective in mind, our focus moved to the possibility of enzymatically polymerize aza-Michael-derivatized </w:t>
      </w:r>
      <w:r w:rsidRPr="005E1822">
        <w:t>1</w:t>
      </w:r>
      <w:r w:rsidRPr="005E1822">
        <w:rPr>
          <w:b w:val="0"/>
        </w:rPr>
        <w:t xml:space="preserve">, </w:t>
      </w:r>
      <w:r w:rsidRPr="005E1822">
        <w:t>2</w:t>
      </w:r>
      <w:r w:rsidRPr="005E1822">
        <w:rPr>
          <w:b w:val="0"/>
        </w:rPr>
        <w:t xml:space="preserve"> and </w:t>
      </w:r>
      <w:r w:rsidRPr="005E1822">
        <w:t>3</w:t>
      </w:r>
      <w:r w:rsidRPr="005E1822">
        <w:rPr>
          <w:b w:val="0"/>
        </w:rPr>
        <w:t>, therefore investigating a pre-polymerization functionalization of the monomers.</w:t>
      </w:r>
    </w:p>
    <w:p w:rsidR="00D920AE" w:rsidRPr="005E1822" w:rsidRDefault="00D920AE" w:rsidP="00D920AE">
      <w:pPr>
        <w:pStyle w:val="RSCB08CHeadingIn-line"/>
        <w:jc w:val="both"/>
        <w:rPr>
          <w:b w:val="0"/>
        </w:rPr>
      </w:pPr>
      <w:r w:rsidRPr="005E1822">
        <w:rPr>
          <w:b w:val="0"/>
        </w:rPr>
        <w:t>Starting from our recent publication on aza-Michael additions of diethyl amine (DEA) to itaconate and fumarate derivatives</w:t>
      </w:r>
      <w:r w:rsidRPr="005E1822">
        <w:rPr>
          <w:b w:val="0"/>
          <w:vertAlign w:val="superscript"/>
        </w:rPr>
        <w:t>20</w:t>
      </w:r>
      <w:r w:rsidRPr="005E1822">
        <w:rPr>
          <w:b w:val="0"/>
        </w:rPr>
        <w:t xml:space="preserve">, compounds </w:t>
      </w:r>
      <w:r w:rsidRPr="005E1822">
        <w:t>1M</w:t>
      </w:r>
      <w:r w:rsidRPr="005E1822">
        <w:rPr>
          <w:b w:val="0"/>
        </w:rPr>
        <w:t xml:space="preserve"> and </w:t>
      </w:r>
      <w:r w:rsidRPr="005E1822">
        <w:t>2M</w:t>
      </w:r>
      <w:r w:rsidRPr="005E1822">
        <w:rPr>
          <w:b w:val="0"/>
        </w:rPr>
        <w:t xml:space="preserve"> were prepared according to the r</w:t>
      </w:r>
      <w:r w:rsidR="007932E5" w:rsidRPr="005E1822">
        <w:rPr>
          <w:b w:val="0"/>
        </w:rPr>
        <w:t>eaction scheme shown in Scheme 3</w:t>
      </w:r>
      <w:r w:rsidRPr="005E1822">
        <w:rPr>
          <w:b w:val="0"/>
        </w:rPr>
        <w:t>.</w:t>
      </w:r>
    </w:p>
    <w:p w:rsidR="00D920AE" w:rsidRPr="005E1822" w:rsidRDefault="00086033" w:rsidP="00086033">
      <w:pPr>
        <w:pStyle w:val="RSCB08CHeadingIn-line"/>
        <w:jc w:val="center"/>
        <w:rPr>
          <w:b w:val="0"/>
        </w:rPr>
      </w:pPr>
      <w:r w:rsidRPr="005E1822">
        <w:rPr>
          <w:b w:val="0"/>
          <w:noProof/>
          <w:lang w:eastAsia="en-GB"/>
        </w:rPr>
        <w:drawing>
          <wp:inline distT="0" distB="0" distL="0" distR="0">
            <wp:extent cx="2797200" cy="2210400"/>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heme 4_Michaels.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97200" cy="2210400"/>
                    </a:xfrm>
                    <a:prstGeom prst="rect">
                      <a:avLst/>
                    </a:prstGeom>
                  </pic:spPr>
                </pic:pic>
              </a:graphicData>
            </a:graphic>
          </wp:inline>
        </w:drawing>
      </w:r>
    </w:p>
    <w:p w:rsidR="00D920AE" w:rsidRPr="005E1822" w:rsidRDefault="007932E5" w:rsidP="00086033">
      <w:pPr>
        <w:pStyle w:val="RSCB08CHeadingIn-line"/>
        <w:spacing w:after="240"/>
        <w:jc w:val="both"/>
        <w:rPr>
          <w:b w:val="0"/>
          <w:sz w:val="14"/>
        </w:rPr>
      </w:pPr>
      <w:r w:rsidRPr="005E1822">
        <w:rPr>
          <w:sz w:val="14"/>
        </w:rPr>
        <w:t>Scheme 3</w:t>
      </w:r>
      <w:r w:rsidR="00D920AE" w:rsidRPr="005E1822">
        <w:rPr>
          <w:sz w:val="14"/>
        </w:rPr>
        <w:t>.</w:t>
      </w:r>
      <w:r w:rsidR="00D920AE" w:rsidRPr="005E1822">
        <w:rPr>
          <w:b w:val="0"/>
          <w:sz w:val="14"/>
        </w:rPr>
        <w:t xml:space="preserve"> Aza-Michael addition of DEA to </w:t>
      </w:r>
      <w:r w:rsidR="00D920AE" w:rsidRPr="005E1822">
        <w:rPr>
          <w:sz w:val="14"/>
        </w:rPr>
        <w:t>1</w:t>
      </w:r>
      <w:r w:rsidR="00D920AE" w:rsidRPr="005E1822">
        <w:rPr>
          <w:b w:val="0"/>
          <w:sz w:val="14"/>
        </w:rPr>
        <w:t xml:space="preserve">, </w:t>
      </w:r>
      <w:r w:rsidR="00D920AE" w:rsidRPr="005E1822">
        <w:rPr>
          <w:sz w:val="14"/>
        </w:rPr>
        <w:t>2</w:t>
      </w:r>
      <w:r w:rsidR="00D920AE" w:rsidRPr="005E1822">
        <w:rPr>
          <w:b w:val="0"/>
          <w:sz w:val="14"/>
        </w:rPr>
        <w:t xml:space="preserve"> and </w:t>
      </w:r>
      <w:r w:rsidR="00D920AE" w:rsidRPr="005E1822">
        <w:rPr>
          <w:sz w:val="14"/>
        </w:rPr>
        <w:t>3</w:t>
      </w:r>
      <w:r w:rsidR="00D920AE" w:rsidRPr="005E1822">
        <w:rPr>
          <w:b w:val="0"/>
          <w:sz w:val="14"/>
        </w:rPr>
        <w:t xml:space="preserve"> yielding products </w:t>
      </w:r>
      <w:r w:rsidR="00D920AE" w:rsidRPr="005E1822">
        <w:rPr>
          <w:sz w:val="14"/>
        </w:rPr>
        <w:t>1M</w:t>
      </w:r>
      <w:r w:rsidR="00D920AE" w:rsidRPr="005E1822">
        <w:rPr>
          <w:b w:val="0"/>
          <w:sz w:val="14"/>
        </w:rPr>
        <w:t xml:space="preserve"> and </w:t>
      </w:r>
      <w:r w:rsidR="00D920AE" w:rsidRPr="005E1822">
        <w:rPr>
          <w:sz w:val="14"/>
        </w:rPr>
        <w:t>2M</w:t>
      </w:r>
      <w:r w:rsidR="00D920AE" w:rsidRPr="005E1822">
        <w:rPr>
          <w:b w:val="0"/>
          <w:sz w:val="14"/>
        </w:rPr>
        <w:t xml:space="preserve"> (&gt;98% purity). See ESI, Figures S6 and S7 for the fully assigned </w:t>
      </w:r>
      <w:r w:rsidR="00D920AE" w:rsidRPr="005E1822">
        <w:rPr>
          <w:b w:val="0"/>
          <w:sz w:val="14"/>
          <w:vertAlign w:val="superscript"/>
        </w:rPr>
        <w:t>1</w:t>
      </w:r>
      <w:r w:rsidR="00D920AE" w:rsidRPr="005E1822">
        <w:rPr>
          <w:b w:val="0"/>
          <w:sz w:val="14"/>
        </w:rPr>
        <w:t xml:space="preserve">H and </w:t>
      </w:r>
      <w:r w:rsidR="00D920AE" w:rsidRPr="005E1822">
        <w:rPr>
          <w:b w:val="0"/>
          <w:sz w:val="14"/>
          <w:vertAlign w:val="superscript"/>
        </w:rPr>
        <w:t>13</w:t>
      </w:r>
      <w:r w:rsidR="00D920AE" w:rsidRPr="005E1822">
        <w:rPr>
          <w:b w:val="0"/>
          <w:sz w:val="14"/>
        </w:rPr>
        <w:t>C-NMR spectra of the reaction products after removal of the DEA excess under vacuum.</w:t>
      </w:r>
    </w:p>
    <w:p w:rsidR="00D920AE" w:rsidRPr="005E1822" w:rsidRDefault="00D920AE" w:rsidP="00086033">
      <w:pPr>
        <w:pStyle w:val="RSCB08CHeadingIn-line"/>
        <w:spacing w:after="240"/>
        <w:jc w:val="both"/>
        <w:rPr>
          <w:b w:val="0"/>
        </w:rPr>
      </w:pPr>
      <w:r w:rsidRPr="005E1822">
        <w:rPr>
          <w:b w:val="0"/>
        </w:rPr>
        <w:t xml:space="preserve">As evidenced by the </w:t>
      </w:r>
      <w:r w:rsidRPr="005E1822">
        <w:rPr>
          <w:b w:val="0"/>
          <w:vertAlign w:val="superscript"/>
        </w:rPr>
        <w:t>1</w:t>
      </w:r>
      <w:r w:rsidRPr="005E1822">
        <w:rPr>
          <w:b w:val="0"/>
        </w:rPr>
        <w:t>H-NMR spectroscopy and GPC data reported in Table 2, all enzymatic polycondensation reactions led to lower monomer conversions and molecular weights compared with the previously used non-derivatized monomers (</w:t>
      </w:r>
      <w:r w:rsidRPr="005E1822">
        <w:t>1</w:t>
      </w:r>
      <w:r w:rsidRPr="005E1822">
        <w:rPr>
          <w:b w:val="0"/>
        </w:rPr>
        <w:t>-</w:t>
      </w:r>
      <w:r w:rsidRPr="005E1822">
        <w:t>5</w:t>
      </w:r>
      <w:r w:rsidRPr="005E1822">
        <w:rPr>
          <w:b w:val="0"/>
        </w:rPr>
        <w:t xml:space="preserve">). The same trend was observed for the equivalent dibutyl esters </w:t>
      </w:r>
      <w:r w:rsidRPr="005E1822">
        <w:t>3M</w:t>
      </w:r>
      <w:r w:rsidRPr="005E1822">
        <w:rPr>
          <w:b w:val="0"/>
        </w:rPr>
        <w:t xml:space="preserve"> and </w:t>
      </w:r>
      <w:r w:rsidRPr="005E1822">
        <w:t>4M</w:t>
      </w:r>
      <w:r w:rsidRPr="005E1822">
        <w:rPr>
          <w:b w:val="0"/>
        </w:rPr>
        <w:t xml:space="preserve">, synthesized via aza-Michael addition of DEA to compounds </w:t>
      </w:r>
      <w:r w:rsidRPr="005E1822">
        <w:t>4</w:t>
      </w:r>
      <w:r w:rsidRPr="005E1822">
        <w:rPr>
          <w:b w:val="0"/>
        </w:rPr>
        <w:t xml:space="preserve"> and </w:t>
      </w:r>
      <w:r w:rsidRPr="005E1822">
        <w:t>5</w:t>
      </w:r>
      <w:r w:rsidRPr="005E1822">
        <w:rPr>
          <w:b w:val="0"/>
        </w:rPr>
        <w:t xml:space="preserve"> (see ESI, Table S2).</w:t>
      </w:r>
      <w:r w:rsidR="00C06885" w:rsidRPr="005E1822">
        <w:rPr>
          <w:b w:val="0"/>
        </w:rPr>
        <w:t xml:space="preserve"> </w:t>
      </w:r>
      <w:bookmarkStart w:id="8" w:name="_Hlk533363898"/>
      <w:r w:rsidR="00C24518" w:rsidRPr="005E1822">
        <w:rPr>
          <w:b w:val="0"/>
        </w:rPr>
        <w:t xml:space="preserve">From the </w:t>
      </w:r>
      <w:r w:rsidR="00C06885" w:rsidRPr="005E1822">
        <w:rPr>
          <w:b w:val="0"/>
        </w:rPr>
        <w:t xml:space="preserve">kinetic study of </w:t>
      </w:r>
      <w:r w:rsidR="00C24518" w:rsidRPr="005E1822">
        <w:rPr>
          <w:b w:val="0"/>
        </w:rPr>
        <w:t>DEA</w:t>
      </w:r>
      <w:r w:rsidR="00C06885" w:rsidRPr="005E1822">
        <w:rPr>
          <w:b w:val="0"/>
        </w:rPr>
        <w:t xml:space="preserve"> addition to model itaconate and fumarate diesters </w:t>
      </w:r>
      <w:r w:rsidR="00C24518" w:rsidRPr="005E1822">
        <w:rPr>
          <w:b w:val="0"/>
        </w:rPr>
        <w:t xml:space="preserve">recently reported by the authors, </w:t>
      </w:r>
      <w:r w:rsidR="00C06885" w:rsidRPr="005E1822">
        <w:rPr>
          <w:b w:val="0"/>
        </w:rPr>
        <w:t>th</w:t>
      </w:r>
      <w:r w:rsidR="00C24518" w:rsidRPr="005E1822">
        <w:rPr>
          <w:b w:val="0"/>
        </w:rPr>
        <w:t>e significance of undesirable C=</w:t>
      </w:r>
      <w:r w:rsidR="00C06885" w:rsidRPr="005E1822">
        <w:rPr>
          <w:b w:val="0"/>
        </w:rPr>
        <w:t>C isomerisation</w:t>
      </w:r>
      <w:r w:rsidR="00C24518" w:rsidRPr="005E1822">
        <w:rPr>
          <w:b w:val="0"/>
        </w:rPr>
        <w:t xml:space="preserve"> was highlighted</w:t>
      </w:r>
      <w:r w:rsidR="00C06885" w:rsidRPr="005E1822">
        <w:rPr>
          <w:b w:val="0"/>
        </w:rPr>
        <w:t xml:space="preserve">. In particular, </w:t>
      </w:r>
      <w:r w:rsidR="00A81DBD" w:rsidRPr="005E1822">
        <w:rPr>
          <w:b w:val="0"/>
        </w:rPr>
        <w:t>the</w:t>
      </w:r>
      <w:r w:rsidR="00C06885" w:rsidRPr="005E1822">
        <w:rPr>
          <w:b w:val="0"/>
        </w:rPr>
        <w:t xml:space="preserve"> reversible isomerisation from </w:t>
      </w:r>
      <w:proofErr w:type="spellStart"/>
      <w:r w:rsidR="00C06885" w:rsidRPr="005E1822">
        <w:rPr>
          <w:b w:val="0"/>
        </w:rPr>
        <w:t>itaconate</w:t>
      </w:r>
      <w:proofErr w:type="spellEnd"/>
      <w:r w:rsidR="00C06885" w:rsidRPr="005E1822">
        <w:rPr>
          <w:b w:val="0"/>
        </w:rPr>
        <w:t xml:space="preserve"> to </w:t>
      </w:r>
      <w:proofErr w:type="spellStart"/>
      <w:r w:rsidR="00C06885" w:rsidRPr="005E1822">
        <w:rPr>
          <w:b w:val="0"/>
        </w:rPr>
        <w:t>mesaconate</w:t>
      </w:r>
      <w:proofErr w:type="spellEnd"/>
      <w:r w:rsidR="00C06885" w:rsidRPr="005E1822">
        <w:rPr>
          <w:b w:val="0"/>
        </w:rPr>
        <w:t xml:space="preserve"> (a poor Michael acceptor) is in direct competition with aza-Michael addition, where the amine Michael donor acts as an isomerisation catalyst</w:t>
      </w:r>
      <w:r w:rsidR="00A81DBD" w:rsidRPr="005E1822">
        <w:rPr>
          <w:b w:val="0"/>
        </w:rPr>
        <w:t xml:space="preserve"> was shown</w:t>
      </w:r>
      <w:r w:rsidR="00C06885" w:rsidRPr="005E1822">
        <w:rPr>
          <w:b w:val="0"/>
        </w:rPr>
        <w:t xml:space="preserve">. </w:t>
      </w:r>
      <w:r w:rsidR="00A81DBD" w:rsidRPr="005E1822">
        <w:rPr>
          <w:b w:val="0"/>
        </w:rPr>
        <w:t>The</w:t>
      </w:r>
      <w:r w:rsidR="00C06885" w:rsidRPr="005E1822">
        <w:rPr>
          <w:b w:val="0"/>
        </w:rPr>
        <w:t xml:space="preserve"> formation of </w:t>
      </w:r>
      <w:proofErr w:type="spellStart"/>
      <w:r w:rsidR="00C06885" w:rsidRPr="005E1822">
        <w:rPr>
          <w:b w:val="0"/>
        </w:rPr>
        <w:t>mesaconate</w:t>
      </w:r>
      <w:proofErr w:type="spellEnd"/>
      <w:r w:rsidR="00C06885" w:rsidRPr="005E1822">
        <w:rPr>
          <w:b w:val="0"/>
        </w:rPr>
        <w:t xml:space="preserve"> is responsible for the long reaction times previously reported for itaconate polyester</w:t>
      </w:r>
      <w:r w:rsidR="00A81DBD" w:rsidRPr="005E1822">
        <w:rPr>
          <w:b w:val="0"/>
        </w:rPr>
        <w:t>s</w:t>
      </w:r>
      <w:r w:rsidR="00C06885" w:rsidRPr="005E1822">
        <w:rPr>
          <w:b w:val="0"/>
        </w:rPr>
        <w:t xml:space="preserve"> po</w:t>
      </w:r>
      <w:r w:rsidR="00A81DBD" w:rsidRPr="005E1822">
        <w:rPr>
          <w:b w:val="0"/>
        </w:rPr>
        <w:t>st-polymerisation functionalization.</w:t>
      </w:r>
      <w:r w:rsidR="003901AD" w:rsidRPr="005E1822">
        <w:rPr>
          <w:b w:val="0"/>
          <w:vertAlign w:val="superscript"/>
        </w:rPr>
        <w:t>21</w:t>
      </w:r>
      <w:r w:rsidR="00E33553" w:rsidRPr="005E1822">
        <w:rPr>
          <w:b w:val="0"/>
          <w:vertAlign w:val="superscript"/>
        </w:rPr>
        <w:t xml:space="preserve"> </w:t>
      </w:r>
      <w:r w:rsidR="0050267A" w:rsidRPr="005E1822">
        <w:rPr>
          <w:b w:val="0"/>
        </w:rPr>
        <w:t xml:space="preserve">Recently, a detailed study on the </w:t>
      </w:r>
      <w:proofErr w:type="spellStart"/>
      <w:r w:rsidR="0050267A" w:rsidRPr="005E1822">
        <w:rPr>
          <w:b w:val="0"/>
        </w:rPr>
        <w:t>aminolysis</w:t>
      </w:r>
      <w:proofErr w:type="spellEnd"/>
      <w:r w:rsidR="0050267A" w:rsidRPr="005E1822">
        <w:rPr>
          <w:b w:val="0"/>
        </w:rPr>
        <w:t xml:space="preserve"> of </w:t>
      </w:r>
      <w:proofErr w:type="spellStart"/>
      <w:r w:rsidR="0050267A" w:rsidRPr="005E1822">
        <w:rPr>
          <w:b w:val="0"/>
        </w:rPr>
        <w:t>thiolactones</w:t>
      </w:r>
      <w:proofErr w:type="spellEnd"/>
      <w:r w:rsidR="0050267A" w:rsidRPr="005E1822">
        <w:rPr>
          <w:b w:val="0"/>
        </w:rPr>
        <w:t xml:space="preserve"> elucidating the mechanism and all the intermediates was also reported</w:t>
      </w:r>
      <w:r w:rsidR="009B4846" w:rsidRPr="005E1822">
        <w:rPr>
          <w:b w:val="0"/>
          <w:vertAlign w:val="superscript"/>
        </w:rPr>
        <w:t>22</w:t>
      </w:r>
      <w:r w:rsidR="0050267A" w:rsidRPr="005E1822">
        <w:rPr>
          <w:b w:val="0"/>
        </w:rPr>
        <w:t>.</w:t>
      </w:r>
      <w:bookmarkEnd w:id="8"/>
    </w:p>
    <w:tbl>
      <w:tblPr>
        <w:tblStyle w:val="TableGrid"/>
        <w:tblW w:w="4922" w:type="dxa"/>
        <w:jc w:val="center"/>
        <w:tblBorders>
          <w:top w:val="none" w:sz="0" w:space="0" w:color="auto"/>
          <w:right w:val="none" w:sz="0" w:space="0" w:color="auto"/>
        </w:tblBorders>
        <w:tblLayout w:type="fixed"/>
        <w:tblLook w:val="04A0" w:firstRow="1" w:lastRow="0" w:firstColumn="1" w:lastColumn="0" w:noHBand="0" w:noVBand="1"/>
      </w:tblPr>
      <w:tblGrid>
        <w:gridCol w:w="709"/>
        <w:gridCol w:w="809"/>
        <w:gridCol w:w="709"/>
        <w:gridCol w:w="850"/>
        <w:gridCol w:w="567"/>
        <w:gridCol w:w="709"/>
        <w:gridCol w:w="569"/>
      </w:tblGrid>
      <w:tr w:rsidR="00086033" w:rsidRPr="005E1822" w:rsidTr="004309BC">
        <w:trPr>
          <w:jc w:val="center"/>
        </w:trPr>
        <w:tc>
          <w:tcPr>
            <w:tcW w:w="4922" w:type="dxa"/>
            <w:gridSpan w:val="7"/>
            <w:tcBorders>
              <w:top w:val="nil"/>
              <w:left w:val="nil"/>
            </w:tcBorders>
          </w:tcPr>
          <w:p w:rsidR="00086033" w:rsidRPr="005E1822" w:rsidRDefault="00086033" w:rsidP="00086033">
            <w:pPr>
              <w:jc w:val="both"/>
              <w:rPr>
                <w:rFonts w:eastAsia="Calibri" w:cstheme="minorHAnsi"/>
                <w:sz w:val="16"/>
                <w:szCs w:val="16"/>
                <w:lang w:val="en-US"/>
              </w:rPr>
            </w:pPr>
            <w:r w:rsidRPr="005E1822">
              <w:rPr>
                <w:rFonts w:eastAsia="Calibri" w:cstheme="minorHAnsi"/>
                <w:b/>
                <w:sz w:val="16"/>
                <w:szCs w:val="16"/>
                <w:lang w:val="en-US"/>
              </w:rPr>
              <w:t>Table 2.</w:t>
            </w:r>
            <w:r w:rsidRPr="005E1822">
              <w:rPr>
                <w:rFonts w:eastAsia="Calibri" w:cstheme="minorHAnsi"/>
                <w:sz w:val="16"/>
                <w:szCs w:val="16"/>
                <w:lang w:val="en-US"/>
              </w:rPr>
              <w:t xml:space="preserve"> </w:t>
            </w:r>
            <w:r w:rsidRPr="005E1822">
              <w:rPr>
                <w:rFonts w:eastAsia="Calibri" w:cstheme="minorHAnsi"/>
                <w:sz w:val="16"/>
                <w:szCs w:val="16"/>
                <w:vertAlign w:val="superscript"/>
                <w:lang w:val="en-US"/>
              </w:rPr>
              <w:t>1</w:t>
            </w:r>
            <w:r w:rsidRPr="005E1822">
              <w:rPr>
                <w:rFonts w:eastAsia="Calibri" w:cstheme="minorHAnsi"/>
                <w:sz w:val="16"/>
                <w:szCs w:val="16"/>
                <w:lang w:val="en-US"/>
              </w:rPr>
              <w:t xml:space="preserve">H-NMR conversions and GPC data of the enzymatic polymerization reactions of compounds </w:t>
            </w:r>
            <w:r w:rsidRPr="005E1822">
              <w:rPr>
                <w:rFonts w:eastAsia="Calibri" w:cstheme="minorHAnsi"/>
                <w:b/>
                <w:sz w:val="16"/>
                <w:szCs w:val="16"/>
                <w:lang w:val="en-US"/>
              </w:rPr>
              <w:t>1M</w:t>
            </w:r>
            <w:r w:rsidRPr="005E1822">
              <w:rPr>
                <w:rFonts w:eastAsia="Calibri" w:cstheme="minorHAnsi"/>
                <w:sz w:val="16"/>
                <w:szCs w:val="16"/>
                <w:lang w:val="en-US"/>
              </w:rPr>
              <w:t xml:space="preserve"> and</w:t>
            </w:r>
            <w:r w:rsidRPr="005E1822">
              <w:rPr>
                <w:rFonts w:eastAsia="Calibri" w:cstheme="minorHAnsi"/>
                <w:b/>
                <w:sz w:val="16"/>
                <w:szCs w:val="16"/>
                <w:lang w:val="en-US"/>
              </w:rPr>
              <w:t xml:space="preserve"> 2M</w:t>
            </w:r>
            <w:r w:rsidRPr="005E1822">
              <w:rPr>
                <w:rFonts w:eastAsia="Calibri" w:cstheme="minorHAnsi"/>
                <w:sz w:val="16"/>
                <w:szCs w:val="16"/>
                <w:lang w:val="en-US"/>
              </w:rPr>
              <w:t xml:space="preserve"> and the three selected diols.</w:t>
            </w:r>
            <w:r w:rsidR="00625A6C" w:rsidRPr="005E1822">
              <w:rPr>
                <w:rFonts w:eastAsia="Calibri" w:cstheme="minorHAnsi"/>
                <w:sz w:val="16"/>
                <w:szCs w:val="16"/>
                <w:lang w:val="en-US"/>
              </w:rPr>
              <w:t xml:space="preserve"> </w:t>
            </w:r>
            <w:bookmarkStart w:id="9" w:name="_Hlk533710136"/>
            <w:r w:rsidR="00625A6C" w:rsidRPr="005E1822">
              <w:rPr>
                <w:rFonts w:eastAsia="Calibri" w:cstheme="minorHAnsi"/>
                <w:sz w:val="16"/>
                <w:szCs w:val="16"/>
                <w:lang w:val="en-US"/>
              </w:rPr>
              <w:t>For all polymerizations, the reaction time was of 24 h.</w:t>
            </w:r>
            <w:bookmarkEnd w:id="9"/>
          </w:p>
        </w:tc>
      </w:tr>
      <w:tr w:rsidR="00086033" w:rsidRPr="005E1822" w:rsidTr="004309BC">
        <w:trPr>
          <w:jc w:val="center"/>
        </w:trPr>
        <w:tc>
          <w:tcPr>
            <w:tcW w:w="709" w:type="dxa"/>
            <w:tcBorders>
              <w:top w:val="single" w:sz="4" w:space="0" w:color="auto"/>
              <w:left w:val="nil"/>
            </w:tcBorders>
            <w:vAlign w:val="center"/>
          </w:tcPr>
          <w:p w:rsidR="00086033" w:rsidRPr="005E1822" w:rsidRDefault="00086033" w:rsidP="00086033">
            <w:pPr>
              <w:jc w:val="center"/>
              <w:rPr>
                <w:rFonts w:eastAsia="Calibri" w:cstheme="minorHAnsi"/>
                <w:b/>
                <w:sz w:val="16"/>
                <w:szCs w:val="16"/>
                <w:lang w:val="en-US"/>
              </w:rPr>
            </w:pPr>
            <w:r w:rsidRPr="005E1822">
              <w:rPr>
                <w:rFonts w:eastAsia="Calibri" w:cstheme="minorHAnsi"/>
                <w:b/>
                <w:sz w:val="16"/>
                <w:szCs w:val="16"/>
                <w:lang w:val="en-US"/>
              </w:rPr>
              <w:t>Diester</w:t>
            </w:r>
          </w:p>
        </w:tc>
        <w:tc>
          <w:tcPr>
            <w:tcW w:w="809" w:type="dxa"/>
            <w:vAlign w:val="center"/>
          </w:tcPr>
          <w:p w:rsidR="00086033" w:rsidRPr="005E1822" w:rsidRDefault="00086033" w:rsidP="00086033">
            <w:pPr>
              <w:jc w:val="center"/>
              <w:rPr>
                <w:rFonts w:eastAsia="Calibri" w:cstheme="minorHAnsi"/>
                <w:b/>
                <w:sz w:val="16"/>
                <w:szCs w:val="16"/>
                <w:lang w:val="en-US"/>
              </w:rPr>
            </w:pPr>
            <w:r w:rsidRPr="005E1822">
              <w:rPr>
                <w:rFonts w:eastAsia="Calibri" w:cstheme="minorHAnsi"/>
                <w:b/>
                <w:sz w:val="16"/>
                <w:szCs w:val="16"/>
                <w:lang w:val="en-US"/>
              </w:rPr>
              <w:t>Diol</w:t>
            </w:r>
          </w:p>
        </w:tc>
        <w:tc>
          <w:tcPr>
            <w:tcW w:w="709" w:type="dxa"/>
            <w:vAlign w:val="center"/>
          </w:tcPr>
          <w:p w:rsidR="00086033" w:rsidRPr="005E1822" w:rsidRDefault="00086033" w:rsidP="00086033">
            <w:pPr>
              <w:jc w:val="center"/>
              <w:rPr>
                <w:rFonts w:eastAsia="Calibri" w:cstheme="minorHAnsi"/>
                <w:b/>
                <w:sz w:val="16"/>
                <w:szCs w:val="16"/>
                <w:lang w:val="en-US"/>
              </w:rPr>
            </w:pPr>
            <w:r w:rsidRPr="005E1822">
              <w:rPr>
                <w:rFonts w:eastAsia="Calibri" w:cstheme="minorHAnsi"/>
                <w:b/>
                <w:sz w:val="16"/>
                <w:szCs w:val="16"/>
                <w:lang w:val="en-US"/>
              </w:rPr>
              <w:t>Conv.</w:t>
            </w:r>
          </w:p>
          <w:p w:rsidR="00086033" w:rsidRPr="005E1822" w:rsidRDefault="00086033" w:rsidP="00086033">
            <w:pPr>
              <w:jc w:val="center"/>
              <w:rPr>
                <w:rFonts w:eastAsia="Calibri" w:cstheme="minorHAnsi"/>
                <w:b/>
                <w:sz w:val="16"/>
                <w:szCs w:val="16"/>
                <w:lang w:val="en-US"/>
              </w:rPr>
            </w:pPr>
            <w:r w:rsidRPr="005E1822">
              <w:rPr>
                <w:rFonts w:eastAsia="Calibri" w:cstheme="minorHAnsi"/>
                <w:b/>
                <w:sz w:val="16"/>
                <w:szCs w:val="16"/>
                <w:lang w:val="en-US"/>
              </w:rPr>
              <w:t>[%]*</w:t>
            </w:r>
          </w:p>
        </w:tc>
        <w:tc>
          <w:tcPr>
            <w:tcW w:w="850" w:type="dxa"/>
          </w:tcPr>
          <w:p w:rsidR="00086033" w:rsidRPr="005E1822" w:rsidRDefault="00086033" w:rsidP="00086033">
            <w:pPr>
              <w:jc w:val="center"/>
              <w:rPr>
                <w:rFonts w:eastAsia="Calibri" w:cstheme="minorHAnsi"/>
                <w:b/>
                <w:sz w:val="16"/>
                <w:szCs w:val="16"/>
                <w:lang w:val="en-US"/>
              </w:rPr>
            </w:pPr>
            <w:r w:rsidRPr="005E1822">
              <w:rPr>
                <w:rFonts w:eastAsia="Calibri" w:cstheme="minorHAnsi"/>
                <w:b/>
                <w:sz w:val="16"/>
                <w:szCs w:val="16"/>
                <w:lang w:val="en-US"/>
              </w:rPr>
              <w:t>Michael rev.</w:t>
            </w:r>
          </w:p>
        </w:tc>
        <w:tc>
          <w:tcPr>
            <w:tcW w:w="567" w:type="dxa"/>
            <w:vAlign w:val="center"/>
          </w:tcPr>
          <w:p w:rsidR="00086033" w:rsidRPr="005E1822" w:rsidRDefault="00086033" w:rsidP="00086033">
            <w:pPr>
              <w:jc w:val="center"/>
              <w:rPr>
                <w:rFonts w:eastAsia="Calibri" w:cstheme="minorHAnsi"/>
                <w:b/>
                <w:sz w:val="16"/>
                <w:szCs w:val="16"/>
                <w:lang w:val="en-US"/>
              </w:rPr>
            </w:pPr>
            <w:r w:rsidRPr="005E1822">
              <w:rPr>
                <w:rFonts w:eastAsia="Calibri" w:cstheme="minorHAnsi"/>
                <w:b/>
                <w:sz w:val="16"/>
                <w:szCs w:val="16"/>
                <w:lang w:val="en-US"/>
              </w:rPr>
              <w:t>Mn</w:t>
            </w:r>
          </w:p>
          <w:p w:rsidR="00086033" w:rsidRPr="005E1822" w:rsidRDefault="00086033" w:rsidP="00086033">
            <w:pPr>
              <w:jc w:val="center"/>
              <w:rPr>
                <w:rFonts w:eastAsia="Calibri" w:cstheme="minorHAnsi"/>
                <w:b/>
                <w:sz w:val="16"/>
                <w:szCs w:val="16"/>
                <w:lang w:val="en-US"/>
              </w:rPr>
            </w:pPr>
            <w:r w:rsidRPr="005E1822">
              <w:rPr>
                <w:rFonts w:eastAsia="Calibri" w:cstheme="minorHAnsi"/>
                <w:b/>
                <w:sz w:val="16"/>
                <w:szCs w:val="16"/>
                <w:lang w:val="en-US"/>
              </w:rPr>
              <w:t>[Da]</w:t>
            </w:r>
            <w:r w:rsidRPr="005E1822">
              <w:rPr>
                <w:rFonts w:eastAsia="Calibri" w:cstheme="minorHAnsi"/>
                <w:b/>
                <w:sz w:val="16"/>
                <w:szCs w:val="16"/>
                <w:vertAlign w:val="superscript"/>
                <w:lang w:val="en-US"/>
              </w:rPr>
              <w:t>γ</w:t>
            </w:r>
          </w:p>
        </w:tc>
        <w:tc>
          <w:tcPr>
            <w:tcW w:w="709" w:type="dxa"/>
            <w:vAlign w:val="center"/>
          </w:tcPr>
          <w:p w:rsidR="00086033" w:rsidRPr="005E1822" w:rsidRDefault="00086033" w:rsidP="00086033">
            <w:pPr>
              <w:jc w:val="center"/>
              <w:rPr>
                <w:rFonts w:eastAsia="Calibri" w:cstheme="minorHAnsi"/>
                <w:b/>
                <w:sz w:val="16"/>
                <w:szCs w:val="16"/>
                <w:lang w:val="en-US"/>
              </w:rPr>
            </w:pPr>
            <w:r w:rsidRPr="005E1822">
              <w:rPr>
                <w:rFonts w:eastAsia="Calibri" w:cstheme="minorHAnsi"/>
                <w:b/>
                <w:sz w:val="16"/>
                <w:szCs w:val="16"/>
                <w:lang w:val="en-US"/>
              </w:rPr>
              <w:t>Mw</w:t>
            </w:r>
          </w:p>
          <w:p w:rsidR="00086033" w:rsidRPr="005E1822" w:rsidRDefault="00086033" w:rsidP="00086033">
            <w:pPr>
              <w:jc w:val="center"/>
              <w:rPr>
                <w:rFonts w:eastAsia="Calibri" w:cstheme="minorHAnsi"/>
                <w:b/>
                <w:sz w:val="16"/>
                <w:szCs w:val="16"/>
                <w:lang w:val="en-US"/>
              </w:rPr>
            </w:pPr>
            <w:r w:rsidRPr="005E1822">
              <w:rPr>
                <w:rFonts w:eastAsia="Calibri" w:cstheme="minorHAnsi"/>
                <w:b/>
                <w:sz w:val="16"/>
                <w:szCs w:val="16"/>
                <w:lang w:val="en-US"/>
              </w:rPr>
              <w:t>[Da]</w:t>
            </w:r>
            <w:r w:rsidRPr="005E1822">
              <w:rPr>
                <w:rFonts w:eastAsia="Calibri" w:cstheme="minorHAnsi"/>
                <w:b/>
                <w:sz w:val="16"/>
                <w:szCs w:val="16"/>
                <w:vertAlign w:val="superscript"/>
                <w:lang w:val="en-US"/>
              </w:rPr>
              <w:t xml:space="preserve"> γ</w:t>
            </w:r>
          </w:p>
        </w:tc>
        <w:tc>
          <w:tcPr>
            <w:tcW w:w="567" w:type="dxa"/>
            <w:vAlign w:val="center"/>
          </w:tcPr>
          <w:p w:rsidR="00086033" w:rsidRPr="005E1822" w:rsidRDefault="00086033" w:rsidP="00086033">
            <w:pPr>
              <w:jc w:val="center"/>
              <w:rPr>
                <w:rFonts w:eastAsia="Calibri" w:cstheme="minorHAnsi"/>
                <w:b/>
                <w:sz w:val="16"/>
                <w:szCs w:val="16"/>
                <w:lang w:val="en-US"/>
              </w:rPr>
            </w:pPr>
            <w:r w:rsidRPr="005E1822">
              <w:rPr>
                <w:rFonts w:eastAsia="Calibri" w:cstheme="minorHAnsi"/>
                <w:b/>
                <w:sz w:val="16"/>
                <w:szCs w:val="16"/>
                <w:lang w:val="en-US"/>
              </w:rPr>
              <w:t>Ð</w:t>
            </w:r>
            <w:r w:rsidRPr="005E1822">
              <w:rPr>
                <w:rFonts w:eastAsia="Calibri" w:cstheme="minorHAnsi"/>
                <w:b/>
                <w:sz w:val="16"/>
                <w:szCs w:val="16"/>
                <w:vertAlign w:val="superscript"/>
                <w:lang w:val="en-US"/>
              </w:rPr>
              <w:t xml:space="preserve"> γ</w:t>
            </w:r>
          </w:p>
        </w:tc>
      </w:tr>
      <w:tr w:rsidR="00086033" w:rsidRPr="005E1822" w:rsidTr="004309BC">
        <w:trPr>
          <w:jc w:val="center"/>
        </w:trPr>
        <w:tc>
          <w:tcPr>
            <w:tcW w:w="709" w:type="dxa"/>
            <w:vMerge w:val="restart"/>
            <w:tcBorders>
              <w:top w:val="single" w:sz="4" w:space="0" w:color="auto"/>
              <w:left w:val="nil"/>
            </w:tcBorders>
            <w:vAlign w:val="center"/>
          </w:tcPr>
          <w:p w:rsidR="00086033" w:rsidRPr="005E1822" w:rsidRDefault="00086033" w:rsidP="00086033">
            <w:pPr>
              <w:jc w:val="center"/>
              <w:rPr>
                <w:rFonts w:eastAsia="Calibri" w:cstheme="minorHAnsi"/>
                <w:b/>
                <w:sz w:val="16"/>
                <w:szCs w:val="16"/>
                <w:lang w:val="en-US"/>
              </w:rPr>
            </w:pPr>
            <w:r w:rsidRPr="005E1822">
              <w:rPr>
                <w:rFonts w:eastAsia="Calibri" w:cstheme="minorHAnsi"/>
                <w:b/>
                <w:sz w:val="16"/>
                <w:szCs w:val="16"/>
                <w:lang w:val="en-US"/>
              </w:rPr>
              <w:t>1M</w:t>
            </w:r>
          </w:p>
        </w:tc>
        <w:tc>
          <w:tcPr>
            <w:tcW w:w="809"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1</w:t>
            </w:r>
            <w:r w:rsidR="004309BC" w:rsidRPr="005E1822">
              <w:rPr>
                <w:rFonts w:eastAsia="Calibri" w:cstheme="minorHAnsi"/>
                <w:sz w:val="16"/>
                <w:szCs w:val="16"/>
                <w:lang w:val="en-US"/>
              </w:rPr>
              <w:t>,</w:t>
            </w:r>
            <w:r w:rsidRPr="005E1822">
              <w:rPr>
                <w:rFonts w:eastAsia="Calibri" w:cstheme="minorHAnsi"/>
                <w:sz w:val="16"/>
                <w:szCs w:val="16"/>
                <w:lang w:val="en-US"/>
              </w:rPr>
              <w:t>4BDO</w:t>
            </w:r>
          </w:p>
        </w:tc>
        <w:tc>
          <w:tcPr>
            <w:tcW w:w="709"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28</w:t>
            </w:r>
          </w:p>
        </w:tc>
        <w:tc>
          <w:tcPr>
            <w:tcW w:w="850"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32</w:t>
            </w:r>
          </w:p>
        </w:tc>
        <w:tc>
          <w:tcPr>
            <w:tcW w:w="567"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368</w:t>
            </w:r>
          </w:p>
        </w:tc>
        <w:tc>
          <w:tcPr>
            <w:tcW w:w="709"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434</w:t>
            </w:r>
          </w:p>
        </w:tc>
        <w:tc>
          <w:tcPr>
            <w:tcW w:w="567"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1.18</w:t>
            </w:r>
          </w:p>
        </w:tc>
      </w:tr>
      <w:tr w:rsidR="00086033" w:rsidRPr="005E1822" w:rsidTr="004309BC">
        <w:trPr>
          <w:jc w:val="center"/>
        </w:trPr>
        <w:tc>
          <w:tcPr>
            <w:tcW w:w="709" w:type="dxa"/>
            <w:vMerge/>
            <w:tcBorders>
              <w:left w:val="nil"/>
            </w:tcBorders>
            <w:vAlign w:val="center"/>
          </w:tcPr>
          <w:p w:rsidR="00086033" w:rsidRPr="005E1822" w:rsidRDefault="00086033" w:rsidP="00086033">
            <w:pPr>
              <w:jc w:val="center"/>
              <w:rPr>
                <w:rFonts w:eastAsia="Calibri" w:cstheme="minorHAnsi"/>
                <w:sz w:val="16"/>
                <w:szCs w:val="16"/>
                <w:lang w:val="en-US"/>
              </w:rPr>
            </w:pPr>
          </w:p>
        </w:tc>
        <w:tc>
          <w:tcPr>
            <w:tcW w:w="809"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1</w:t>
            </w:r>
            <w:r w:rsidR="004309BC" w:rsidRPr="005E1822">
              <w:rPr>
                <w:rFonts w:eastAsia="Calibri" w:cstheme="minorHAnsi"/>
                <w:sz w:val="16"/>
                <w:szCs w:val="16"/>
                <w:lang w:val="en-US"/>
              </w:rPr>
              <w:t>,</w:t>
            </w:r>
            <w:r w:rsidRPr="005E1822">
              <w:rPr>
                <w:rFonts w:eastAsia="Calibri" w:cstheme="minorHAnsi"/>
                <w:sz w:val="16"/>
                <w:szCs w:val="16"/>
                <w:lang w:val="en-US"/>
              </w:rPr>
              <w:t>6HDO</w:t>
            </w:r>
          </w:p>
        </w:tc>
        <w:tc>
          <w:tcPr>
            <w:tcW w:w="709"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57</w:t>
            </w:r>
          </w:p>
        </w:tc>
        <w:tc>
          <w:tcPr>
            <w:tcW w:w="850"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27</w:t>
            </w:r>
          </w:p>
        </w:tc>
        <w:tc>
          <w:tcPr>
            <w:tcW w:w="567"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461</w:t>
            </w:r>
          </w:p>
        </w:tc>
        <w:tc>
          <w:tcPr>
            <w:tcW w:w="709"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836</w:t>
            </w:r>
          </w:p>
        </w:tc>
        <w:tc>
          <w:tcPr>
            <w:tcW w:w="567"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1.31</w:t>
            </w:r>
          </w:p>
        </w:tc>
      </w:tr>
      <w:tr w:rsidR="00086033" w:rsidRPr="005E1822" w:rsidTr="004309BC">
        <w:trPr>
          <w:jc w:val="center"/>
        </w:trPr>
        <w:tc>
          <w:tcPr>
            <w:tcW w:w="709" w:type="dxa"/>
            <w:vMerge/>
            <w:tcBorders>
              <w:left w:val="nil"/>
              <w:bottom w:val="single" w:sz="4" w:space="0" w:color="auto"/>
            </w:tcBorders>
            <w:vAlign w:val="center"/>
          </w:tcPr>
          <w:p w:rsidR="00086033" w:rsidRPr="005E1822" w:rsidRDefault="00086033" w:rsidP="00086033">
            <w:pPr>
              <w:jc w:val="center"/>
              <w:rPr>
                <w:rFonts w:eastAsia="Calibri" w:cstheme="minorHAnsi"/>
                <w:sz w:val="16"/>
                <w:szCs w:val="16"/>
                <w:lang w:val="en-US"/>
              </w:rPr>
            </w:pPr>
          </w:p>
        </w:tc>
        <w:tc>
          <w:tcPr>
            <w:tcW w:w="809"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1</w:t>
            </w:r>
            <w:r w:rsidR="004309BC" w:rsidRPr="005E1822">
              <w:rPr>
                <w:rFonts w:eastAsia="Calibri" w:cstheme="minorHAnsi"/>
                <w:sz w:val="16"/>
                <w:szCs w:val="16"/>
                <w:lang w:val="en-US"/>
              </w:rPr>
              <w:t>,</w:t>
            </w:r>
            <w:r w:rsidRPr="005E1822">
              <w:rPr>
                <w:rFonts w:eastAsia="Calibri" w:cstheme="minorHAnsi"/>
                <w:sz w:val="16"/>
                <w:szCs w:val="16"/>
                <w:lang w:val="en-US"/>
              </w:rPr>
              <w:t>8ODO</w:t>
            </w:r>
          </w:p>
        </w:tc>
        <w:tc>
          <w:tcPr>
            <w:tcW w:w="709"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54</w:t>
            </w:r>
          </w:p>
        </w:tc>
        <w:tc>
          <w:tcPr>
            <w:tcW w:w="850"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22</w:t>
            </w:r>
          </w:p>
        </w:tc>
        <w:tc>
          <w:tcPr>
            <w:tcW w:w="567"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696</w:t>
            </w:r>
          </w:p>
        </w:tc>
        <w:tc>
          <w:tcPr>
            <w:tcW w:w="709"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903</w:t>
            </w:r>
          </w:p>
        </w:tc>
        <w:tc>
          <w:tcPr>
            <w:tcW w:w="567"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1.03</w:t>
            </w:r>
          </w:p>
        </w:tc>
      </w:tr>
      <w:tr w:rsidR="00086033" w:rsidRPr="005E1822" w:rsidTr="004309BC">
        <w:trPr>
          <w:jc w:val="center"/>
        </w:trPr>
        <w:tc>
          <w:tcPr>
            <w:tcW w:w="709" w:type="dxa"/>
            <w:vMerge w:val="restart"/>
            <w:tcBorders>
              <w:top w:val="single" w:sz="4" w:space="0" w:color="auto"/>
              <w:left w:val="nil"/>
            </w:tcBorders>
            <w:vAlign w:val="center"/>
          </w:tcPr>
          <w:p w:rsidR="00086033" w:rsidRPr="005E1822" w:rsidRDefault="00086033" w:rsidP="00086033">
            <w:pPr>
              <w:jc w:val="center"/>
              <w:rPr>
                <w:rFonts w:eastAsia="Calibri" w:cstheme="minorHAnsi"/>
                <w:b/>
                <w:sz w:val="16"/>
                <w:szCs w:val="16"/>
                <w:lang w:val="en-US"/>
              </w:rPr>
            </w:pPr>
            <w:r w:rsidRPr="005E1822">
              <w:rPr>
                <w:rFonts w:eastAsia="Calibri" w:cstheme="minorHAnsi"/>
                <w:b/>
                <w:sz w:val="16"/>
                <w:szCs w:val="16"/>
                <w:lang w:val="en-US"/>
              </w:rPr>
              <w:t>2M</w:t>
            </w:r>
          </w:p>
        </w:tc>
        <w:tc>
          <w:tcPr>
            <w:tcW w:w="809"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1</w:t>
            </w:r>
            <w:r w:rsidR="004309BC" w:rsidRPr="005E1822">
              <w:rPr>
                <w:rFonts w:eastAsia="Calibri" w:cstheme="minorHAnsi"/>
                <w:sz w:val="16"/>
                <w:szCs w:val="16"/>
                <w:lang w:val="en-US"/>
              </w:rPr>
              <w:t>,</w:t>
            </w:r>
            <w:r w:rsidRPr="005E1822">
              <w:rPr>
                <w:rFonts w:eastAsia="Calibri" w:cstheme="minorHAnsi"/>
                <w:sz w:val="16"/>
                <w:szCs w:val="16"/>
                <w:lang w:val="en-US"/>
              </w:rPr>
              <w:t>4BDO</w:t>
            </w:r>
          </w:p>
        </w:tc>
        <w:tc>
          <w:tcPr>
            <w:tcW w:w="709"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6</w:t>
            </w:r>
          </w:p>
        </w:tc>
        <w:tc>
          <w:tcPr>
            <w:tcW w:w="850"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w:t>
            </w:r>
          </w:p>
        </w:tc>
        <w:tc>
          <w:tcPr>
            <w:tcW w:w="567"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388</w:t>
            </w:r>
          </w:p>
        </w:tc>
        <w:tc>
          <w:tcPr>
            <w:tcW w:w="709"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391</w:t>
            </w:r>
          </w:p>
        </w:tc>
        <w:tc>
          <w:tcPr>
            <w:tcW w:w="567"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1.01</w:t>
            </w:r>
          </w:p>
        </w:tc>
      </w:tr>
      <w:tr w:rsidR="00086033" w:rsidRPr="005E1822" w:rsidTr="004309BC">
        <w:trPr>
          <w:jc w:val="center"/>
        </w:trPr>
        <w:tc>
          <w:tcPr>
            <w:tcW w:w="709" w:type="dxa"/>
            <w:vMerge/>
            <w:tcBorders>
              <w:left w:val="nil"/>
            </w:tcBorders>
          </w:tcPr>
          <w:p w:rsidR="00086033" w:rsidRPr="005E1822" w:rsidRDefault="00086033" w:rsidP="00086033">
            <w:pPr>
              <w:jc w:val="center"/>
              <w:rPr>
                <w:rFonts w:eastAsia="Calibri" w:cstheme="minorHAnsi"/>
                <w:sz w:val="16"/>
                <w:szCs w:val="16"/>
                <w:lang w:val="en-US"/>
              </w:rPr>
            </w:pPr>
          </w:p>
        </w:tc>
        <w:tc>
          <w:tcPr>
            <w:tcW w:w="809"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1</w:t>
            </w:r>
            <w:r w:rsidR="004309BC" w:rsidRPr="005E1822">
              <w:rPr>
                <w:rFonts w:eastAsia="Calibri" w:cstheme="minorHAnsi"/>
                <w:sz w:val="16"/>
                <w:szCs w:val="16"/>
                <w:lang w:val="en-US"/>
              </w:rPr>
              <w:t>,</w:t>
            </w:r>
            <w:r w:rsidRPr="005E1822">
              <w:rPr>
                <w:rFonts w:eastAsia="Calibri" w:cstheme="minorHAnsi"/>
                <w:sz w:val="16"/>
                <w:szCs w:val="16"/>
                <w:lang w:val="en-US"/>
              </w:rPr>
              <w:t>6HDO</w:t>
            </w:r>
          </w:p>
        </w:tc>
        <w:tc>
          <w:tcPr>
            <w:tcW w:w="709"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13</w:t>
            </w:r>
          </w:p>
        </w:tc>
        <w:tc>
          <w:tcPr>
            <w:tcW w:w="850"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w:t>
            </w:r>
          </w:p>
        </w:tc>
        <w:tc>
          <w:tcPr>
            <w:tcW w:w="567"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450</w:t>
            </w:r>
          </w:p>
        </w:tc>
        <w:tc>
          <w:tcPr>
            <w:tcW w:w="709"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465</w:t>
            </w:r>
          </w:p>
        </w:tc>
        <w:tc>
          <w:tcPr>
            <w:tcW w:w="567"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1.03</w:t>
            </w:r>
          </w:p>
        </w:tc>
      </w:tr>
      <w:tr w:rsidR="00086033" w:rsidRPr="005E1822" w:rsidTr="004309BC">
        <w:trPr>
          <w:jc w:val="center"/>
        </w:trPr>
        <w:tc>
          <w:tcPr>
            <w:tcW w:w="709" w:type="dxa"/>
            <w:vMerge/>
            <w:tcBorders>
              <w:left w:val="nil"/>
              <w:bottom w:val="single" w:sz="4" w:space="0" w:color="auto"/>
            </w:tcBorders>
          </w:tcPr>
          <w:p w:rsidR="00086033" w:rsidRPr="005E1822" w:rsidRDefault="00086033" w:rsidP="00086033">
            <w:pPr>
              <w:jc w:val="center"/>
              <w:rPr>
                <w:rFonts w:eastAsia="Calibri" w:cstheme="minorHAnsi"/>
                <w:sz w:val="16"/>
                <w:szCs w:val="16"/>
                <w:lang w:val="en-US"/>
              </w:rPr>
            </w:pPr>
          </w:p>
        </w:tc>
        <w:tc>
          <w:tcPr>
            <w:tcW w:w="809"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1</w:t>
            </w:r>
            <w:r w:rsidR="004309BC" w:rsidRPr="005E1822">
              <w:rPr>
                <w:rFonts w:eastAsia="Calibri" w:cstheme="minorHAnsi"/>
                <w:sz w:val="16"/>
                <w:szCs w:val="16"/>
                <w:lang w:val="en-US"/>
              </w:rPr>
              <w:t>,</w:t>
            </w:r>
            <w:r w:rsidRPr="005E1822">
              <w:rPr>
                <w:rFonts w:eastAsia="Calibri" w:cstheme="minorHAnsi"/>
                <w:sz w:val="16"/>
                <w:szCs w:val="16"/>
                <w:lang w:val="en-US"/>
              </w:rPr>
              <w:t>8ODO</w:t>
            </w:r>
          </w:p>
        </w:tc>
        <w:tc>
          <w:tcPr>
            <w:tcW w:w="709"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12</w:t>
            </w:r>
          </w:p>
        </w:tc>
        <w:tc>
          <w:tcPr>
            <w:tcW w:w="850"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w:t>
            </w:r>
          </w:p>
        </w:tc>
        <w:tc>
          <w:tcPr>
            <w:tcW w:w="567"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544</w:t>
            </w:r>
          </w:p>
        </w:tc>
        <w:tc>
          <w:tcPr>
            <w:tcW w:w="709"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593</w:t>
            </w:r>
          </w:p>
        </w:tc>
        <w:tc>
          <w:tcPr>
            <w:tcW w:w="567" w:type="dxa"/>
          </w:tcPr>
          <w:p w:rsidR="00086033" w:rsidRPr="005E1822" w:rsidRDefault="00086033" w:rsidP="00086033">
            <w:pPr>
              <w:jc w:val="center"/>
              <w:rPr>
                <w:rFonts w:eastAsia="Calibri" w:cstheme="minorHAnsi"/>
                <w:sz w:val="16"/>
                <w:szCs w:val="16"/>
                <w:lang w:val="en-US"/>
              </w:rPr>
            </w:pPr>
            <w:r w:rsidRPr="005E1822">
              <w:rPr>
                <w:rFonts w:eastAsia="Calibri" w:cstheme="minorHAnsi"/>
                <w:sz w:val="16"/>
                <w:szCs w:val="16"/>
                <w:lang w:val="en-US"/>
              </w:rPr>
              <w:t>1.09</w:t>
            </w:r>
          </w:p>
        </w:tc>
      </w:tr>
      <w:tr w:rsidR="00086033" w:rsidRPr="005E1822" w:rsidTr="004309BC">
        <w:trPr>
          <w:jc w:val="center"/>
        </w:trPr>
        <w:tc>
          <w:tcPr>
            <w:tcW w:w="4922" w:type="dxa"/>
            <w:gridSpan w:val="7"/>
            <w:tcBorders>
              <w:top w:val="single" w:sz="4" w:space="0" w:color="auto"/>
              <w:left w:val="nil"/>
            </w:tcBorders>
          </w:tcPr>
          <w:p w:rsidR="00086033" w:rsidRPr="005E1822" w:rsidRDefault="00086033" w:rsidP="00086033">
            <w:pPr>
              <w:jc w:val="both"/>
              <w:rPr>
                <w:rFonts w:eastAsia="Calibri" w:cstheme="minorHAnsi"/>
                <w:sz w:val="14"/>
                <w:szCs w:val="16"/>
                <w:lang w:val="en-US"/>
              </w:rPr>
            </w:pPr>
            <w:r w:rsidRPr="005E1822">
              <w:rPr>
                <w:rFonts w:eastAsia="Calibri" w:cstheme="minorHAnsi"/>
                <w:sz w:val="14"/>
                <w:szCs w:val="16"/>
                <w:lang w:val="en-US"/>
              </w:rPr>
              <w:t xml:space="preserve">* Calculated via </w:t>
            </w:r>
            <w:r w:rsidRPr="005E1822">
              <w:rPr>
                <w:rFonts w:eastAsia="Calibri" w:cstheme="minorHAnsi"/>
                <w:sz w:val="14"/>
                <w:szCs w:val="16"/>
                <w:vertAlign w:val="superscript"/>
                <w:lang w:val="en-US"/>
              </w:rPr>
              <w:t>1</w:t>
            </w:r>
            <w:r w:rsidRPr="005E1822">
              <w:rPr>
                <w:rFonts w:eastAsia="Calibri" w:cstheme="minorHAnsi"/>
                <w:sz w:val="14"/>
                <w:szCs w:val="16"/>
                <w:lang w:val="en-US"/>
              </w:rPr>
              <w:t>H-NMR</w:t>
            </w:r>
          </w:p>
          <w:p w:rsidR="00086033" w:rsidRPr="005E1822" w:rsidRDefault="00086033" w:rsidP="00086033">
            <w:pPr>
              <w:jc w:val="both"/>
              <w:rPr>
                <w:rFonts w:eastAsia="Calibri" w:cstheme="minorHAnsi"/>
                <w:sz w:val="16"/>
                <w:szCs w:val="16"/>
                <w:lang w:val="en-US"/>
              </w:rPr>
            </w:pPr>
            <w:r w:rsidRPr="005E1822">
              <w:rPr>
                <w:rFonts w:eastAsia="Calibri" w:cstheme="minorHAnsi"/>
                <w:b/>
                <w:sz w:val="14"/>
                <w:szCs w:val="16"/>
                <w:vertAlign w:val="superscript"/>
                <w:lang w:val="en-US"/>
              </w:rPr>
              <w:t xml:space="preserve">γ </w:t>
            </w:r>
            <w:r w:rsidRPr="005E1822">
              <w:rPr>
                <w:rFonts w:eastAsia="Calibri" w:cstheme="minorHAnsi"/>
                <w:sz w:val="14"/>
                <w:szCs w:val="16"/>
                <w:lang w:val="en-US"/>
              </w:rPr>
              <w:t>Calculated via GPC using polystyrene standards 250-70000 Da</w:t>
            </w:r>
          </w:p>
        </w:tc>
      </w:tr>
    </w:tbl>
    <w:p w:rsidR="00086033" w:rsidRPr="005E1822" w:rsidRDefault="00086033" w:rsidP="00D920AE">
      <w:pPr>
        <w:pStyle w:val="RSCB08CHeadingIn-line"/>
        <w:jc w:val="both"/>
        <w:rPr>
          <w:b w:val="0"/>
        </w:rPr>
      </w:pPr>
    </w:p>
    <w:p w:rsidR="00086033" w:rsidRPr="005E1822" w:rsidRDefault="00086033" w:rsidP="00086033">
      <w:pPr>
        <w:pStyle w:val="RSCB08CHeadingIn-line"/>
        <w:jc w:val="both"/>
        <w:rPr>
          <w:b w:val="0"/>
        </w:rPr>
      </w:pPr>
      <w:r w:rsidRPr="005E1822">
        <w:rPr>
          <w:b w:val="0"/>
        </w:rPr>
        <w:t xml:space="preserve">This lower reactivity is most probably due </w:t>
      </w:r>
      <w:r w:rsidR="002E7EB3" w:rsidRPr="005E1822">
        <w:rPr>
          <w:b w:val="0"/>
        </w:rPr>
        <w:t xml:space="preserve">to </w:t>
      </w:r>
      <w:r w:rsidRPr="005E1822">
        <w:rPr>
          <w:b w:val="0"/>
        </w:rPr>
        <w:t xml:space="preserve">the amine pendant </w:t>
      </w:r>
      <w:r w:rsidR="002E7EB3" w:rsidRPr="005E1822">
        <w:rPr>
          <w:b w:val="0"/>
        </w:rPr>
        <w:t xml:space="preserve">that </w:t>
      </w:r>
      <w:r w:rsidRPr="005E1822">
        <w:rPr>
          <w:b w:val="0"/>
        </w:rPr>
        <w:t xml:space="preserve">increases the steric hindrance of the diester around one of the carbonyl carbons therefore significantly decreases the elongation of the polyester chain during the polycondensation reaction. This observation is supported by previous reports that described how the vinyl group of </w:t>
      </w:r>
      <w:r w:rsidRPr="005E1822">
        <w:t>1</w:t>
      </w:r>
      <w:r w:rsidRPr="005E1822">
        <w:rPr>
          <w:b w:val="0"/>
        </w:rPr>
        <w:t xml:space="preserve"> significantly reduces the reactivity of one of the carbonyl carbons (therefore called C</w:t>
      </w:r>
      <w:r w:rsidRPr="005E1822">
        <w:rPr>
          <w:b w:val="0"/>
          <w:vertAlign w:val="subscript"/>
        </w:rPr>
        <w:t>s</w:t>
      </w:r>
      <w:r w:rsidRPr="005E1822">
        <w:rPr>
          <w:b w:val="0"/>
        </w:rPr>
        <w:t xml:space="preserve"> for </w:t>
      </w:r>
      <w:proofErr w:type="spellStart"/>
      <w:r w:rsidRPr="005E1822">
        <w:rPr>
          <w:b w:val="0"/>
        </w:rPr>
        <w:t>C</w:t>
      </w:r>
      <w:r w:rsidRPr="005E1822">
        <w:rPr>
          <w:b w:val="0"/>
          <w:vertAlign w:val="subscript"/>
        </w:rPr>
        <w:t>slow</w:t>
      </w:r>
      <w:proofErr w:type="spellEnd"/>
      <w:r w:rsidRPr="005E1822">
        <w:rPr>
          <w:b w:val="0"/>
        </w:rPr>
        <w:t>) while the esterification reaction proceeds quite well on the carbonyl that is adjacent to the aliphatic -CH</w:t>
      </w:r>
      <w:r w:rsidRPr="005E1822">
        <w:rPr>
          <w:b w:val="0"/>
          <w:vertAlign w:val="subscript"/>
        </w:rPr>
        <w:t>2</w:t>
      </w:r>
      <w:r w:rsidRPr="005E1822">
        <w:rPr>
          <w:b w:val="0"/>
        </w:rPr>
        <w:t xml:space="preserve">- group (renamed </w:t>
      </w:r>
      <w:proofErr w:type="spellStart"/>
      <w:r w:rsidRPr="005E1822">
        <w:rPr>
          <w:b w:val="0"/>
        </w:rPr>
        <w:t>C</w:t>
      </w:r>
      <w:r w:rsidRPr="005E1822">
        <w:rPr>
          <w:b w:val="0"/>
          <w:vertAlign w:val="subscript"/>
        </w:rPr>
        <w:t>f</w:t>
      </w:r>
      <w:proofErr w:type="spellEnd"/>
      <w:r w:rsidRPr="005E1822">
        <w:rPr>
          <w:b w:val="0"/>
        </w:rPr>
        <w:t xml:space="preserve"> for </w:t>
      </w:r>
      <w:proofErr w:type="spellStart"/>
      <w:r w:rsidRPr="005E1822">
        <w:rPr>
          <w:b w:val="0"/>
        </w:rPr>
        <w:t>Cfast</w:t>
      </w:r>
      <w:proofErr w:type="spellEnd"/>
      <w:r w:rsidRPr="005E1822">
        <w:rPr>
          <w:b w:val="0"/>
        </w:rPr>
        <w:t>). This different reactivity of DMI was reported in both the polycondensation with various aliphatic and cyclic diols</w:t>
      </w:r>
      <w:r w:rsidRPr="005E1822">
        <w:rPr>
          <w:b w:val="0"/>
          <w:vertAlign w:val="superscript"/>
        </w:rPr>
        <w:t>14</w:t>
      </w:r>
      <w:r w:rsidRPr="005E1822">
        <w:rPr>
          <w:b w:val="0"/>
        </w:rPr>
        <w:t xml:space="preserve"> and in the reaction with pre-made biopolymers such as PHAs</w:t>
      </w:r>
      <w:r w:rsidR="009B4846" w:rsidRPr="005E1822">
        <w:rPr>
          <w:b w:val="0"/>
          <w:vertAlign w:val="superscript"/>
        </w:rPr>
        <w:t>23</w:t>
      </w:r>
      <w:r w:rsidRPr="005E1822">
        <w:rPr>
          <w:b w:val="0"/>
        </w:rPr>
        <w:t xml:space="preserve">. Moreover the aza-Michael adducts were all highly </w:t>
      </w:r>
      <w:r w:rsidR="009B440D" w:rsidRPr="005E1822">
        <w:rPr>
          <w:b w:val="0"/>
        </w:rPr>
        <w:t>viscous compounds at 85 </w:t>
      </w:r>
      <w:r w:rsidRPr="005E1822">
        <w:rPr>
          <w:b w:val="0"/>
        </w:rPr>
        <w:t>ºC (with the –</w:t>
      </w:r>
      <w:proofErr w:type="spellStart"/>
      <w:r w:rsidRPr="005E1822">
        <w:rPr>
          <w:b w:val="0"/>
        </w:rPr>
        <w:t>OBu</w:t>
      </w:r>
      <w:proofErr w:type="spellEnd"/>
      <w:r w:rsidRPr="005E1822">
        <w:rPr>
          <w:b w:val="0"/>
        </w:rPr>
        <w:t xml:space="preserve"> derivatives being more viscous than the –</w:t>
      </w:r>
      <w:proofErr w:type="spellStart"/>
      <w:r w:rsidRPr="005E1822">
        <w:rPr>
          <w:b w:val="0"/>
        </w:rPr>
        <w:t>OMe</w:t>
      </w:r>
      <w:proofErr w:type="spellEnd"/>
      <w:r w:rsidRPr="005E1822">
        <w:rPr>
          <w:b w:val="0"/>
        </w:rPr>
        <w:t xml:space="preserve"> counterparts), an additional parameter that has a substantial influence on the conversions and final yields of an enzymatic polymerization due to the importance of reaction mass transfer in biocatalyzed reactions.</w:t>
      </w:r>
    </w:p>
    <w:p w:rsidR="00086033" w:rsidRPr="005E1822" w:rsidRDefault="00086033" w:rsidP="00086033">
      <w:pPr>
        <w:pStyle w:val="RSCB08CHeadingIn-line"/>
        <w:spacing w:after="240"/>
        <w:jc w:val="both"/>
        <w:rPr>
          <w:b w:val="0"/>
        </w:rPr>
      </w:pPr>
      <w:r w:rsidRPr="005E1822">
        <w:rPr>
          <w:b w:val="0"/>
        </w:rPr>
        <w:t>These experimental data were confirmed also via computational studies which graphical output was presented in Figure 4 that clearly show that having a -</w:t>
      </w:r>
      <w:proofErr w:type="spellStart"/>
      <w:r w:rsidRPr="005E1822">
        <w:rPr>
          <w:b w:val="0"/>
        </w:rPr>
        <w:t>OMe</w:t>
      </w:r>
      <w:proofErr w:type="spellEnd"/>
      <w:r w:rsidRPr="005E1822">
        <w:rPr>
          <w:b w:val="0"/>
        </w:rPr>
        <w:t xml:space="preserve"> or a -</w:t>
      </w:r>
      <w:proofErr w:type="spellStart"/>
      <w:r w:rsidRPr="005E1822">
        <w:rPr>
          <w:b w:val="0"/>
        </w:rPr>
        <w:t>OBu</w:t>
      </w:r>
      <w:proofErr w:type="spellEnd"/>
      <w:r w:rsidRPr="005E1822">
        <w:rPr>
          <w:b w:val="0"/>
        </w:rPr>
        <w:t xml:space="preserve"> ester doesn’t influence the steric hindrance of the lateral group, while after the aza-Michael addition of DEA, the steric hindrance (represented in the picture as side chain volume) dramatically increase while once again, no differences between the two esters was observed.</w:t>
      </w:r>
    </w:p>
    <w:p w:rsidR="00086033" w:rsidRPr="005E1822" w:rsidRDefault="00086033" w:rsidP="00086033">
      <w:pPr>
        <w:pStyle w:val="RSCB08CHeadingIn-line"/>
        <w:jc w:val="center"/>
        <w:rPr>
          <w:b w:val="0"/>
        </w:rPr>
      </w:pPr>
      <w:r w:rsidRPr="005E1822">
        <w:rPr>
          <w:b w:val="0"/>
          <w:noProof/>
          <w:lang w:eastAsia="en-GB"/>
        </w:rPr>
        <w:drawing>
          <wp:inline distT="0" distB="0" distL="0" distR="0">
            <wp:extent cx="2412000" cy="3938400"/>
            <wp:effectExtent l="0" t="0" r="762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taconates_cosmo.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12000" cy="3938400"/>
                    </a:xfrm>
                    <a:prstGeom prst="rect">
                      <a:avLst/>
                    </a:prstGeom>
                  </pic:spPr>
                </pic:pic>
              </a:graphicData>
            </a:graphic>
          </wp:inline>
        </w:drawing>
      </w:r>
    </w:p>
    <w:p w:rsidR="00086033" w:rsidRPr="005E1822" w:rsidRDefault="00086033" w:rsidP="00086033">
      <w:pPr>
        <w:pStyle w:val="RSCB08CHeadingIn-line"/>
        <w:spacing w:after="240"/>
        <w:jc w:val="both"/>
        <w:rPr>
          <w:b w:val="0"/>
          <w:sz w:val="14"/>
        </w:rPr>
      </w:pPr>
      <w:r w:rsidRPr="005E1822">
        <w:rPr>
          <w:sz w:val="14"/>
        </w:rPr>
        <w:t>Figure 4.</w:t>
      </w:r>
      <w:r w:rsidRPr="005E1822">
        <w:rPr>
          <w:b w:val="0"/>
          <w:sz w:val="14"/>
        </w:rPr>
        <w:t xml:space="preserve"> δ-surface (COSMO surface) of some of the dimethyl and dibutyl esters considered in this study before and after the aza-Michael addition reaction and their relative molecule and side chain volumes.</w:t>
      </w:r>
    </w:p>
    <w:p w:rsidR="00086033" w:rsidRPr="005E1822" w:rsidRDefault="00086033" w:rsidP="00086033">
      <w:pPr>
        <w:pStyle w:val="RSCB08CHeadingIn-line"/>
        <w:jc w:val="both"/>
        <w:rPr>
          <w:b w:val="0"/>
        </w:rPr>
      </w:pPr>
      <w:bookmarkStart w:id="10" w:name="_Hlk533365042"/>
      <w:r w:rsidRPr="005E1822">
        <w:rPr>
          <w:b w:val="0"/>
        </w:rPr>
        <w:t xml:space="preserve">Running these reactions with the aza-Michael diesters as starting monomer we noticed that after 24 h at 85 ºC, there is a partial reversal of the amine addition, with the vinyl protons of the DMI and traces (&lt;1%) of dimethyl </w:t>
      </w:r>
      <w:proofErr w:type="spellStart"/>
      <w:r w:rsidRPr="005E1822">
        <w:rPr>
          <w:b w:val="0"/>
        </w:rPr>
        <w:t>mesaconate</w:t>
      </w:r>
      <w:proofErr w:type="spellEnd"/>
      <w:r w:rsidRPr="005E1822">
        <w:rPr>
          <w:b w:val="0"/>
        </w:rPr>
        <w:t xml:space="preserve"> (a typical isomerization product when DEA or other secondary amines are added to DMI), becoming visible in the </w:t>
      </w:r>
      <w:r w:rsidRPr="005E1822">
        <w:rPr>
          <w:b w:val="0"/>
          <w:vertAlign w:val="superscript"/>
        </w:rPr>
        <w:t>1</w:t>
      </w:r>
      <w:r w:rsidRPr="005E1822">
        <w:rPr>
          <w:b w:val="0"/>
        </w:rPr>
        <w:t>H NMR spectra</w:t>
      </w:r>
      <w:r w:rsidRPr="005E1822">
        <w:rPr>
          <w:b w:val="0"/>
          <w:vertAlign w:val="superscript"/>
        </w:rPr>
        <w:t>19</w:t>
      </w:r>
      <w:r w:rsidRPr="005E1822">
        <w:rPr>
          <w:b w:val="0"/>
        </w:rPr>
        <w:t xml:space="preserve"> (see ESI, Figure S8). The starting monomers (</w:t>
      </w:r>
      <w:r w:rsidRPr="005E1822">
        <w:t>1</w:t>
      </w:r>
      <w:r w:rsidRPr="005E1822">
        <w:rPr>
          <w:b w:val="0"/>
        </w:rPr>
        <w:t>-</w:t>
      </w:r>
      <w:r w:rsidRPr="005E1822">
        <w:t>4M</w:t>
      </w:r>
      <w:r w:rsidRPr="005E1822">
        <w:rPr>
          <w:b w:val="0"/>
        </w:rPr>
        <w:t xml:space="preserve">) were stable for over 1 month when stored at 21 ºC in a dark environment (see ESI, Figures S9 and S10) therefore the reversion of the aza-Michael addition is a temperature driven reaction. Heating </w:t>
      </w:r>
      <w:r w:rsidRPr="005E1822">
        <w:t>1M</w:t>
      </w:r>
      <w:r w:rsidRPr="005E1822">
        <w:rPr>
          <w:b w:val="0"/>
        </w:rPr>
        <w:t xml:space="preserve"> alone at 85 ºC for 24 h led to an aza-Michael reversion of around 4% while heating </w:t>
      </w:r>
      <w:r w:rsidRPr="005E1822">
        <w:t>1M</w:t>
      </w:r>
      <w:r w:rsidRPr="005E1822">
        <w:rPr>
          <w:b w:val="0"/>
        </w:rPr>
        <w:t xml:space="preserve"> with a diol at 85 ºC led to reversions between 6 and 14% depending on the added diol (see ESI, Figure S11</w:t>
      </w:r>
      <w:r w:rsidR="007764BA" w:rsidRPr="005E1822">
        <w:rPr>
          <w:b w:val="0"/>
        </w:rPr>
        <w:t xml:space="preserve"> </w:t>
      </w:r>
      <w:r w:rsidRPr="005E1822">
        <w:rPr>
          <w:b w:val="0"/>
        </w:rPr>
        <w:t xml:space="preserve">and Table S3). Interestingly, a certain amount of transesterification reaction (12-18% depending on the added diol) was also detected in the </w:t>
      </w:r>
      <w:r w:rsidR="007764BA" w:rsidRPr="005E1822">
        <w:rPr>
          <w:b w:val="0"/>
        </w:rPr>
        <w:t>blank reactions even with no iCA</w:t>
      </w:r>
      <w:r w:rsidRPr="005E1822">
        <w:rPr>
          <w:b w:val="0"/>
        </w:rPr>
        <w:t>L</w:t>
      </w:r>
      <w:r w:rsidR="007764BA" w:rsidRPr="005E1822">
        <w:rPr>
          <w:b w:val="0"/>
        </w:rPr>
        <w:t>-</w:t>
      </w:r>
      <w:r w:rsidRPr="005E1822">
        <w:rPr>
          <w:b w:val="0"/>
        </w:rPr>
        <w:t xml:space="preserve">B added. This could be due to the DEA released from the aza-Michael reversion acts as a basic catalyst for the transesterification reaction. This observation is supported by previous publications that reported how DEA is an efficient catalyst able to </w:t>
      </w:r>
      <w:proofErr w:type="spellStart"/>
      <w:r w:rsidRPr="005E1822">
        <w:rPr>
          <w:b w:val="0"/>
        </w:rPr>
        <w:t>catalyze</w:t>
      </w:r>
      <w:proofErr w:type="spellEnd"/>
      <w:r w:rsidRPr="005E1822">
        <w:rPr>
          <w:b w:val="0"/>
        </w:rPr>
        <w:t xml:space="preserve"> the transesterification reaction of rapeseed oil in supercritical methanol in a tubular-flow reactor</w:t>
      </w:r>
      <w:r w:rsidR="009B4846" w:rsidRPr="005E1822">
        <w:rPr>
          <w:b w:val="0"/>
          <w:vertAlign w:val="superscript"/>
        </w:rPr>
        <w:t>24</w:t>
      </w:r>
      <w:r w:rsidRPr="005E1822">
        <w:rPr>
          <w:b w:val="0"/>
        </w:rPr>
        <w:t xml:space="preserve"> along with the recent report that underlines how small quantities of DEA in the reaction system leads to better 2-methylbutyl esters yields when using lipases as the biocatalyst</w:t>
      </w:r>
      <w:r w:rsidR="009B4846" w:rsidRPr="005E1822">
        <w:rPr>
          <w:b w:val="0"/>
          <w:vertAlign w:val="superscript"/>
        </w:rPr>
        <w:t>25</w:t>
      </w:r>
      <w:r w:rsidRPr="005E1822">
        <w:rPr>
          <w:b w:val="0"/>
        </w:rPr>
        <w:t>.</w:t>
      </w:r>
    </w:p>
    <w:bookmarkEnd w:id="10"/>
    <w:p w:rsidR="00086033" w:rsidRPr="005E1822" w:rsidRDefault="00086033" w:rsidP="003645A3">
      <w:pPr>
        <w:pStyle w:val="RSCB08CHeadingIn-line"/>
        <w:spacing w:after="240"/>
        <w:jc w:val="both"/>
        <w:rPr>
          <w:b w:val="0"/>
        </w:rPr>
      </w:pPr>
      <w:r w:rsidRPr="005E1822">
        <w:rPr>
          <w:b w:val="0"/>
        </w:rPr>
        <w:t xml:space="preserve">To further prove the temperature-dependent reversal of the aza-Michael addition of DEA on </w:t>
      </w:r>
      <w:r w:rsidRPr="005E1822">
        <w:t>1</w:t>
      </w:r>
      <w:r w:rsidRPr="005E1822">
        <w:rPr>
          <w:b w:val="0"/>
        </w:rPr>
        <w:t xml:space="preserve"> and its derivatives, thermogravimetric infrared spectroscopy (TG-IR) characterization of the obtained polymers before and after the addition of DEA was performed. For the unsaturated backbone polymer poly(1,8-octylene itaconate) (POI, Figure 4 left) a single decomposition temperature was observed at 415 ºC (POI T</w:t>
      </w:r>
      <w:r w:rsidRPr="005E1822">
        <w:rPr>
          <w:b w:val="0"/>
          <w:vertAlign w:val="subscript"/>
        </w:rPr>
        <w:t>d</w:t>
      </w:r>
      <w:r w:rsidRPr="005E1822">
        <w:rPr>
          <w:b w:val="0"/>
        </w:rPr>
        <w:t>), while for the amine pendant polymer instead (Figure 5 right), the retro aza-Michael addition occurred at around 231 ºC (T</w:t>
      </w:r>
      <w:r w:rsidRPr="005E1822">
        <w:rPr>
          <w:b w:val="0"/>
          <w:vertAlign w:val="subscript"/>
        </w:rPr>
        <w:t>DEA loss</w:t>
      </w:r>
      <w:r w:rsidRPr="005E1822">
        <w:rPr>
          <w:b w:val="0"/>
        </w:rPr>
        <w:t>) followed by the standard backbone decomposition (POI T</w:t>
      </w:r>
      <w:r w:rsidRPr="005E1822">
        <w:rPr>
          <w:b w:val="0"/>
          <w:vertAlign w:val="subscript"/>
        </w:rPr>
        <w:t>d</w:t>
      </w:r>
      <w:r w:rsidRPr="005E1822">
        <w:rPr>
          <w:b w:val="0"/>
        </w:rPr>
        <w:t>) at 415 ºC (see Table S4 for t</w:t>
      </w:r>
      <w:r w:rsidR="003645A3" w:rsidRPr="005E1822">
        <w:rPr>
          <w:b w:val="0"/>
        </w:rPr>
        <w:t>he complete set of TG-IR data).</w:t>
      </w:r>
    </w:p>
    <w:p w:rsidR="00086033" w:rsidRPr="005E1822" w:rsidRDefault="003645A3" w:rsidP="00086033">
      <w:pPr>
        <w:pStyle w:val="RSCB08CHeadingIn-line"/>
        <w:jc w:val="both"/>
        <w:rPr>
          <w:b w:val="0"/>
        </w:rPr>
      </w:pPr>
      <w:r w:rsidRPr="005E1822">
        <w:rPr>
          <w:b w:val="0"/>
          <w:noProof/>
          <w:lang w:eastAsia="en-GB"/>
        </w:rPr>
        <w:drawing>
          <wp:inline distT="0" distB="0" distL="0" distR="0">
            <wp:extent cx="3168015" cy="1938020"/>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ure 4_TGIRbis.tif"/>
                    <pic:cNvPicPr/>
                  </pic:nvPicPr>
                  <pic:blipFill>
                    <a:blip r:embed="rId22">
                      <a:extLst>
                        <a:ext uri="{28A0092B-C50C-407E-A947-70E740481C1C}">
                          <a14:useLocalDpi xmlns:a14="http://schemas.microsoft.com/office/drawing/2010/main" val="0"/>
                        </a:ext>
                      </a:extLst>
                    </a:blip>
                    <a:stretch>
                      <a:fillRect/>
                    </a:stretch>
                  </pic:blipFill>
                  <pic:spPr>
                    <a:xfrm>
                      <a:off x="0" y="0"/>
                      <a:ext cx="3168015" cy="1938020"/>
                    </a:xfrm>
                    <a:prstGeom prst="rect">
                      <a:avLst/>
                    </a:prstGeom>
                  </pic:spPr>
                </pic:pic>
              </a:graphicData>
            </a:graphic>
          </wp:inline>
        </w:drawing>
      </w:r>
    </w:p>
    <w:p w:rsidR="00086033" w:rsidRPr="005E1822" w:rsidRDefault="00086033" w:rsidP="003645A3">
      <w:pPr>
        <w:pStyle w:val="RSCB08CHeadingIn-line"/>
        <w:spacing w:after="240"/>
        <w:jc w:val="both"/>
        <w:rPr>
          <w:b w:val="0"/>
          <w:sz w:val="14"/>
        </w:rPr>
      </w:pPr>
      <w:r w:rsidRPr="005E1822">
        <w:rPr>
          <w:sz w:val="14"/>
        </w:rPr>
        <w:t>Figure 5.</w:t>
      </w:r>
      <w:r w:rsidRPr="005E1822">
        <w:rPr>
          <w:b w:val="0"/>
          <w:sz w:val="14"/>
        </w:rPr>
        <w:t xml:space="preserve"> IR analysis of </w:t>
      </w:r>
      <w:proofErr w:type="gramStart"/>
      <w:r w:rsidRPr="005E1822">
        <w:rPr>
          <w:b w:val="0"/>
          <w:sz w:val="14"/>
        </w:rPr>
        <w:t>poly(</w:t>
      </w:r>
      <w:proofErr w:type="gramEnd"/>
      <w:r w:rsidRPr="005E1822">
        <w:rPr>
          <w:b w:val="0"/>
          <w:sz w:val="14"/>
        </w:rPr>
        <w:t>1,8-octylene itaconate) (POI, left) and POI after aza-Michael addition of DEA (right).</w:t>
      </w:r>
    </w:p>
    <w:p w:rsidR="00086033" w:rsidRPr="005E1822" w:rsidRDefault="00086033" w:rsidP="00086033">
      <w:pPr>
        <w:pStyle w:val="RSCB08CHeadingIn-line"/>
        <w:jc w:val="both"/>
        <w:rPr>
          <w:b w:val="0"/>
        </w:rPr>
      </w:pPr>
      <w:r w:rsidRPr="005E1822">
        <w:rPr>
          <w:b w:val="0"/>
        </w:rPr>
        <w:t>Deamination of the various polymers is also clear from the TG curves, showing how polymers without an amine pendant have a T</w:t>
      </w:r>
      <w:r w:rsidRPr="005E1822">
        <w:rPr>
          <w:b w:val="0"/>
          <w:vertAlign w:val="subscript"/>
        </w:rPr>
        <w:t>d</w:t>
      </w:r>
      <w:r w:rsidRPr="005E1822">
        <w:rPr>
          <w:b w:val="0"/>
        </w:rPr>
        <w:t xml:space="preserve"> 50% between 387 and 415 ºC depending on the added diol (Figure 5A). If the aza-Michael adduct </w:t>
      </w:r>
      <w:r w:rsidRPr="005E1822">
        <w:t>1M</w:t>
      </w:r>
      <w:r w:rsidRPr="005E1822">
        <w:rPr>
          <w:b w:val="0"/>
        </w:rPr>
        <w:t xml:space="preserve"> is instead used as diester, the degradation temperatures drastically decrease </w:t>
      </w:r>
      <w:r w:rsidR="006B00C4" w:rsidRPr="005E1822">
        <w:rPr>
          <w:b w:val="0"/>
        </w:rPr>
        <w:t>since</w:t>
      </w:r>
      <w:r w:rsidRPr="005E1822">
        <w:rPr>
          <w:b w:val="0"/>
        </w:rPr>
        <w:t xml:space="preserve"> only short oligomers are obtained fro</w:t>
      </w:r>
      <w:r w:rsidR="00194079" w:rsidRPr="005E1822">
        <w:rPr>
          <w:b w:val="0"/>
        </w:rPr>
        <w:t>m the polymerization. This is</w:t>
      </w:r>
      <w:r w:rsidRPr="005E1822">
        <w:rPr>
          <w:b w:val="0"/>
        </w:rPr>
        <w:t xml:space="preserve"> a result of the steric hindrance imparted by the amino-pendants. Consequently</w:t>
      </w:r>
      <w:r w:rsidR="003170D0" w:rsidRPr="005E1822">
        <w:rPr>
          <w:b w:val="0"/>
        </w:rPr>
        <w:t>,</w:t>
      </w:r>
      <w:r w:rsidRPr="005E1822">
        <w:rPr>
          <w:b w:val="0"/>
        </w:rPr>
        <w:t xml:space="preserve"> the T</w:t>
      </w:r>
      <w:r w:rsidRPr="005E1822">
        <w:rPr>
          <w:b w:val="0"/>
          <w:vertAlign w:val="subscript"/>
        </w:rPr>
        <w:t>d</w:t>
      </w:r>
      <w:r w:rsidRPr="005E1822">
        <w:rPr>
          <w:b w:val="0"/>
        </w:rPr>
        <w:t xml:space="preserve"> 50% drops to values between 242 and 366 ºC (Figure 6B). The variation in absolute quantity of amine removal (seen when comparing the green and the red TG spectra in Figure 5) is due to the fact that for post-polymerization modification with DEA (red), some residual DEA is still present in the sample despite vacuum drying the samples for 72 hours after the completion of the reaction. </w:t>
      </w:r>
      <w:bookmarkStart w:id="11" w:name="_Hlk533710669"/>
      <w:r w:rsidRPr="005E1822">
        <w:rPr>
          <w:b w:val="0"/>
        </w:rPr>
        <w:t>The permanence of residual solvents and small molecules in a polymer network is a well-known fact that was recently highlighted for other biomass-derived branched polymers</w:t>
      </w:r>
      <w:r w:rsidR="008E40C4" w:rsidRPr="005E1822">
        <w:rPr>
          <w:b w:val="0"/>
          <w:vertAlign w:val="superscript"/>
        </w:rPr>
        <w:t>2</w:t>
      </w:r>
      <w:r w:rsidR="009B4846" w:rsidRPr="005E1822">
        <w:rPr>
          <w:b w:val="0"/>
          <w:vertAlign w:val="superscript"/>
        </w:rPr>
        <w:t>6</w:t>
      </w:r>
      <w:bookmarkEnd w:id="11"/>
      <w:r w:rsidRPr="005E1822">
        <w:rPr>
          <w:b w:val="0"/>
        </w:rPr>
        <w:t>.</w:t>
      </w:r>
    </w:p>
    <w:p w:rsidR="00086033" w:rsidRPr="005E1822" w:rsidRDefault="00086033" w:rsidP="00086033">
      <w:pPr>
        <w:pStyle w:val="RSCB08CHeadingIn-line"/>
        <w:jc w:val="both"/>
        <w:rPr>
          <w:b w:val="0"/>
        </w:rPr>
      </w:pPr>
    </w:p>
    <w:p w:rsidR="003645A3" w:rsidRPr="005E1822" w:rsidRDefault="003645A3" w:rsidP="003645A3">
      <w:pPr>
        <w:pStyle w:val="RSCB08CHeadingIn-line"/>
        <w:spacing w:after="240"/>
        <w:jc w:val="both"/>
        <w:rPr>
          <w:sz w:val="14"/>
        </w:rPr>
        <w:sectPr w:rsidR="003645A3" w:rsidRPr="005E1822" w:rsidSect="00514CBA">
          <w:type w:val="continuous"/>
          <w:pgSz w:w="11907" w:h="16840" w:code="9"/>
          <w:pgMar w:top="1009" w:right="851" w:bottom="1758" w:left="851" w:header="851" w:footer="1049" w:gutter="0"/>
          <w:cols w:num="2" w:space="227"/>
          <w:titlePg/>
          <w:docGrid w:linePitch="360"/>
        </w:sectPr>
      </w:pPr>
    </w:p>
    <w:p w:rsidR="003645A3" w:rsidRPr="005E1822" w:rsidRDefault="003645A3" w:rsidP="003645A3">
      <w:pPr>
        <w:pStyle w:val="RSCB08CHeadingIn-line"/>
        <w:spacing w:after="240"/>
        <w:jc w:val="both"/>
        <w:rPr>
          <w:b w:val="0"/>
          <w:sz w:val="14"/>
        </w:rPr>
        <w:sectPr w:rsidR="003645A3" w:rsidRPr="005E1822" w:rsidSect="003645A3">
          <w:type w:val="continuous"/>
          <w:pgSz w:w="11907" w:h="16840" w:code="9"/>
          <w:pgMar w:top="1009" w:right="851" w:bottom="1758" w:left="851" w:header="851" w:footer="1049" w:gutter="0"/>
          <w:cols w:space="227"/>
          <w:titlePg/>
          <w:docGrid w:linePitch="360"/>
        </w:sectPr>
      </w:pPr>
      <w:r w:rsidRPr="005E1822">
        <w:rPr>
          <w:b w:val="0"/>
          <w:noProof/>
          <w:lang w:eastAsia="en-GB"/>
        </w:rPr>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5954400" cy="198360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ure5_TGIR.tif"/>
                    <pic:cNvPicPr/>
                  </pic:nvPicPr>
                  <pic:blipFill>
                    <a:blip r:embed="rId23">
                      <a:extLst>
                        <a:ext uri="{28A0092B-C50C-407E-A947-70E740481C1C}">
                          <a14:useLocalDpi xmlns:a14="http://schemas.microsoft.com/office/drawing/2010/main" val="0"/>
                        </a:ext>
                      </a:extLst>
                    </a:blip>
                    <a:stretch>
                      <a:fillRect/>
                    </a:stretch>
                  </pic:blipFill>
                  <pic:spPr>
                    <a:xfrm>
                      <a:off x="0" y="0"/>
                      <a:ext cx="5954400" cy="1983600"/>
                    </a:xfrm>
                    <a:prstGeom prst="rect">
                      <a:avLst/>
                    </a:prstGeom>
                  </pic:spPr>
                </pic:pic>
              </a:graphicData>
            </a:graphic>
            <wp14:sizeRelH relativeFrom="margin">
              <wp14:pctWidth>0</wp14:pctWidth>
            </wp14:sizeRelH>
            <wp14:sizeRelV relativeFrom="margin">
              <wp14:pctHeight>0</wp14:pctHeight>
            </wp14:sizeRelV>
          </wp:anchor>
        </w:drawing>
      </w:r>
      <w:r w:rsidR="00086033" w:rsidRPr="005E1822">
        <w:rPr>
          <w:sz w:val="14"/>
        </w:rPr>
        <w:t>Figure 6.</w:t>
      </w:r>
      <w:r w:rsidR="00086033" w:rsidRPr="005E1822">
        <w:rPr>
          <w:b w:val="0"/>
          <w:sz w:val="14"/>
        </w:rPr>
        <w:t xml:space="preserve"> TG analysis of A) polymers of DMI and various diols, B) polymers of DMIAP and various diols and C) polymers of 1,8ODO with DMI (blue), DMIAP (green) and DMI with addition of DEA as post-polymerization functionalization.</w:t>
      </w:r>
    </w:p>
    <w:p w:rsidR="00086033" w:rsidRPr="005E1822" w:rsidRDefault="00086033" w:rsidP="00F939A6">
      <w:pPr>
        <w:pStyle w:val="RSCB08CHeadingIn-line"/>
        <w:jc w:val="both"/>
        <w:rPr>
          <w:b w:val="0"/>
        </w:rPr>
      </w:pPr>
      <w:r w:rsidRPr="005E1822">
        <w:rPr>
          <w:b w:val="0"/>
        </w:rPr>
        <w:t>Interestingly, if we compare the polymer without pendants (Figure 6C, blue) and the polymer synthesized from the aza-Michael adduct (Figure 6C, green) against the polymer where amine was added as post-polymerization modification (Figure 6C, red), we can clearly see that the two polymers that underwent the addition (green and red) clearly have 2-stages weight losses. This is due to disassociation of amine that consistently occurs at around 231 ºC for all synthesized polymers (Table 3) with % weight values of around 25-28% depending on the polymers, which align exceptionally well with the theoretical values of 28, 25 and 23% estimated for 1,4BDO, 1,6HDO and 1,8ODO respectively (theoretical values were calculated from the polymer’s repetitive unit).</w:t>
      </w:r>
    </w:p>
    <w:p w:rsidR="00F939A6" w:rsidRPr="005E1822" w:rsidRDefault="00F939A6" w:rsidP="003645A3">
      <w:pPr>
        <w:pStyle w:val="RSCB08CHeadingIn-line"/>
        <w:spacing w:after="240"/>
        <w:jc w:val="both"/>
        <w:rPr>
          <w:b w:val="0"/>
        </w:rPr>
      </w:pPr>
      <w:r w:rsidRPr="005E1822">
        <w:rPr>
          <w:b w:val="0"/>
        </w:rPr>
        <w:t>Moreover, in the present study we also underline how enzymatic catalysis has remarkable advantages over the traditional metal- and acid-based of unsaturated polyesters in terms of avoiding undesired side reactions (radical crosslinking, isomerisation and Ordelt saturation) yielding polymers with M</w:t>
      </w:r>
      <w:r w:rsidRPr="005E1822">
        <w:rPr>
          <w:b w:val="0"/>
          <w:vertAlign w:val="subscript"/>
        </w:rPr>
        <w:t>n</w:t>
      </w:r>
      <w:r w:rsidR="00783137" w:rsidRPr="005E1822">
        <w:rPr>
          <w:b w:val="0"/>
        </w:rPr>
        <w:t>s up to 2600</w:t>
      </w:r>
      <w:r w:rsidRPr="005E1822">
        <w:rPr>
          <w:b w:val="0"/>
        </w:rPr>
        <w:t xml:space="preserve"> and M</w:t>
      </w:r>
      <w:r w:rsidRPr="005E1822">
        <w:rPr>
          <w:b w:val="0"/>
          <w:vertAlign w:val="subscript"/>
        </w:rPr>
        <w:t>w</w:t>
      </w:r>
      <w:r w:rsidRPr="005E1822">
        <w:rPr>
          <w:b w:val="0"/>
        </w:rPr>
        <w:t xml:space="preserve">s up to </w:t>
      </w:r>
      <w:r w:rsidR="00783137" w:rsidRPr="005E1822">
        <w:rPr>
          <w:b w:val="0"/>
        </w:rPr>
        <w:t>5500</w:t>
      </w:r>
      <w:r w:rsidRPr="005E1822">
        <w:rPr>
          <w:b w:val="0"/>
        </w:rPr>
        <w:t xml:space="preserve"> (Ð= 1.49) when DMI (</w:t>
      </w:r>
      <w:r w:rsidRPr="005E1822">
        <w:t>1</w:t>
      </w:r>
      <w:r w:rsidRPr="005E1822">
        <w:rPr>
          <w:b w:val="0"/>
        </w:rPr>
        <w:t>) was combined with 1,8ODO as the diol. A detailed discussion supported by TG-IR analysis elucidates the temperature-dependent (and diol influenced) retro aza-Michael addition of DEA from the itaconate-based polyesters setting the basis for further studies in the field of post-polymerization functionalizations of unsaturated polymers.</w:t>
      </w:r>
    </w:p>
    <w:tbl>
      <w:tblPr>
        <w:tblStyle w:val="TableGrid"/>
        <w:tblW w:w="0" w:type="auto"/>
        <w:jc w:val="center"/>
        <w:tblBorders>
          <w:top w:val="none" w:sz="0" w:space="0" w:color="auto"/>
          <w:right w:val="none" w:sz="0" w:space="0" w:color="auto"/>
        </w:tblBorders>
        <w:tblLayout w:type="fixed"/>
        <w:tblLook w:val="04A0" w:firstRow="1" w:lastRow="0" w:firstColumn="1" w:lastColumn="0" w:noHBand="0" w:noVBand="1"/>
      </w:tblPr>
      <w:tblGrid>
        <w:gridCol w:w="709"/>
        <w:gridCol w:w="809"/>
        <w:gridCol w:w="850"/>
        <w:gridCol w:w="567"/>
        <w:gridCol w:w="995"/>
      </w:tblGrid>
      <w:tr w:rsidR="00F939A6" w:rsidRPr="005E1822" w:rsidTr="00801764">
        <w:trPr>
          <w:jc w:val="center"/>
        </w:trPr>
        <w:tc>
          <w:tcPr>
            <w:tcW w:w="3930" w:type="dxa"/>
            <w:gridSpan w:val="5"/>
            <w:tcBorders>
              <w:top w:val="single" w:sz="4" w:space="0" w:color="auto"/>
              <w:left w:val="nil"/>
            </w:tcBorders>
            <w:vAlign w:val="center"/>
          </w:tcPr>
          <w:p w:rsidR="00F939A6" w:rsidRPr="005E1822" w:rsidRDefault="00F939A6" w:rsidP="003A2B73">
            <w:pPr>
              <w:jc w:val="both"/>
              <w:rPr>
                <w:rFonts w:cs="Arial"/>
                <w:sz w:val="16"/>
                <w:lang w:val="en-US"/>
              </w:rPr>
            </w:pPr>
            <w:r w:rsidRPr="005E1822">
              <w:rPr>
                <w:rFonts w:cs="Arial"/>
                <w:b/>
                <w:sz w:val="16"/>
                <w:lang w:val="en-US"/>
              </w:rPr>
              <w:t>Table 3.</w:t>
            </w:r>
            <w:r w:rsidRPr="005E1822">
              <w:rPr>
                <w:rFonts w:cs="Arial"/>
                <w:sz w:val="16"/>
                <w:lang w:val="en-US"/>
              </w:rPr>
              <w:t xml:space="preserve"> TG-IR data of the enzymatic polymerization reactions of compounds </w:t>
            </w:r>
            <w:r w:rsidRPr="005E1822">
              <w:rPr>
                <w:rFonts w:cs="Arial"/>
                <w:b/>
                <w:sz w:val="16"/>
                <w:lang w:val="en-US"/>
              </w:rPr>
              <w:t>1M</w:t>
            </w:r>
            <w:r w:rsidRPr="005E1822">
              <w:rPr>
                <w:rFonts w:cs="Arial"/>
                <w:sz w:val="16"/>
                <w:lang w:val="en-US"/>
              </w:rPr>
              <w:t xml:space="preserve"> and </w:t>
            </w:r>
            <w:r w:rsidRPr="005E1822">
              <w:rPr>
                <w:rFonts w:cs="Arial"/>
                <w:b/>
                <w:sz w:val="16"/>
                <w:lang w:val="en-US"/>
              </w:rPr>
              <w:t>1</w:t>
            </w:r>
            <w:r w:rsidRPr="005E1822">
              <w:rPr>
                <w:rFonts w:cs="Arial"/>
                <w:sz w:val="16"/>
                <w:lang w:val="en-US"/>
              </w:rPr>
              <w:t xml:space="preserve"> (+ DEA post polym.) addition and the three selected diols.</w:t>
            </w:r>
          </w:p>
        </w:tc>
      </w:tr>
      <w:tr w:rsidR="00F939A6" w:rsidRPr="005E1822" w:rsidTr="00801764">
        <w:trPr>
          <w:jc w:val="center"/>
        </w:trPr>
        <w:tc>
          <w:tcPr>
            <w:tcW w:w="709" w:type="dxa"/>
            <w:tcBorders>
              <w:top w:val="single" w:sz="4" w:space="0" w:color="auto"/>
              <w:left w:val="nil"/>
            </w:tcBorders>
            <w:vAlign w:val="center"/>
          </w:tcPr>
          <w:p w:rsidR="00F939A6" w:rsidRPr="005E1822" w:rsidRDefault="00F939A6" w:rsidP="003A2B73">
            <w:pPr>
              <w:jc w:val="center"/>
              <w:rPr>
                <w:rFonts w:cs="Arial"/>
                <w:b/>
                <w:sz w:val="16"/>
                <w:lang w:val="en-US"/>
              </w:rPr>
            </w:pPr>
            <w:r w:rsidRPr="005E1822">
              <w:rPr>
                <w:rFonts w:cs="Arial"/>
                <w:b/>
                <w:sz w:val="16"/>
                <w:lang w:val="en-US"/>
              </w:rPr>
              <w:t>Diester</w:t>
            </w:r>
          </w:p>
        </w:tc>
        <w:tc>
          <w:tcPr>
            <w:tcW w:w="809" w:type="dxa"/>
            <w:vAlign w:val="center"/>
          </w:tcPr>
          <w:p w:rsidR="00F939A6" w:rsidRPr="005E1822" w:rsidRDefault="00F939A6" w:rsidP="003A2B73">
            <w:pPr>
              <w:jc w:val="center"/>
              <w:rPr>
                <w:rFonts w:cs="Arial"/>
                <w:b/>
                <w:sz w:val="16"/>
                <w:lang w:val="en-US"/>
              </w:rPr>
            </w:pPr>
            <w:r w:rsidRPr="005E1822">
              <w:rPr>
                <w:rFonts w:cs="Arial"/>
                <w:b/>
                <w:sz w:val="16"/>
                <w:lang w:val="en-US"/>
              </w:rPr>
              <w:t>Diol</w:t>
            </w:r>
          </w:p>
        </w:tc>
        <w:tc>
          <w:tcPr>
            <w:tcW w:w="850" w:type="dxa"/>
            <w:vAlign w:val="center"/>
          </w:tcPr>
          <w:p w:rsidR="00F939A6" w:rsidRPr="005E1822" w:rsidRDefault="00F939A6" w:rsidP="003A2B73">
            <w:pPr>
              <w:jc w:val="center"/>
              <w:rPr>
                <w:rFonts w:cs="Arial"/>
                <w:b/>
                <w:sz w:val="16"/>
                <w:lang w:val="en-US"/>
              </w:rPr>
            </w:pPr>
            <w:r w:rsidRPr="005E1822">
              <w:rPr>
                <w:rFonts w:cs="Arial"/>
                <w:b/>
                <w:sz w:val="16"/>
                <w:lang w:val="en-US"/>
              </w:rPr>
              <w:t xml:space="preserve">T DEA loss </w:t>
            </w:r>
            <w:r w:rsidRPr="005E1822">
              <w:rPr>
                <w:rFonts w:cs="Arial"/>
                <w:b/>
                <w:sz w:val="16"/>
                <w:szCs w:val="24"/>
                <w:lang w:val="en-US"/>
              </w:rPr>
              <w:t>[ºC]</w:t>
            </w:r>
          </w:p>
        </w:tc>
        <w:tc>
          <w:tcPr>
            <w:tcW w:w="567" w:type="dxa"/>
            <w:vAlign w:val="center"/>
          </w:tcPr>
          <w:p w:rsidR="00F939A6" w:rsidRPr="005E1822" w:rsidRDefault="00F939A6" w:rsidP="003A2B73">
            <w:pPr>
              <w:jc w:val="center"/>
              <w:rPr>
                <w:rFonts w:cs="Arial"/>
                <w:b/>
                <w:sz w:val="16"/>
                <w:lang w:val="en-US"/>
              </w:rPr>
            </w:pPr>
            <w:r w:rsidRPr="005E1822">
              <w:rPr>
                <w:rFonts w:cs="Arial"/>
                <w:b/>
                <w:sz w:val="16"/>
                <w:lang w:val="en-US"/>
              </w:rPr>
              <w:t>% wt DEA</w:t>
            </w:r>
          </w:p>
        </w:tc>
        <w:tc>
          <w:tcPr>
            <w:tcW w:w="993" w:type="dxa"/>
            <w:vAlign w:val="center"/>
          </w:tcPr>
          <w:p w:rsidR="00F939A6" w:rsidRPr="005E1822" w:rsidRDefault="00F939A6" w:rsidP="003A2B73">
            <w:pPr>
              <w:jc w:val="center"/>
              <w:rPr>
                <w:rFonts w:cs="Arial"/>
                <w:b/>
                <w:sz w:val="16"/>
                <w:lang w:val="en-US"/>
              </w:rPr>
            </w:pPr>
            <w:r w:rsidRPr="005E1822">
              <w:rPr>
                <w:rFonts w:cs="Arial"/>
                <w:b/>
                <w:sz w:val="16"/>
                <w:lang w:val="en-US"/>
              </w:rPr>
              <w:t>Estimated % wt DEA</w:t>
            </w:r>
          </w:p>
        </w:tc>
      </w:tr>
      <w:tr w:rsidR="00F939A6" w:rsidRPr="005E1822" w:rsidTr="00801764">
        <w:trPr>
          <w:jc w:val="center"/>
        </w:trPr>
        <w:tc>
          <w:tcPr>
            <w:tcW w:w="709" w:type="dxa"/>
            <w:vMerge w:val="restart"/>
            <w:tcBorders>
              <w:top w:val="single" w:sz="4" w:space="0" w:color="auto"/>
              <w:left w:val="nil"/>
            </w:tcBorders>
            <w:vAlign w:val="center"/>
          </w:tcPr>
          <w:p w:rsidR="00F939A6" w:rsidRPr="005E1822" w:rsidRDefault="00F939A6" w:rsidP="003A2B73">
            <w:pPr>
              <w:jc w:val="center"/>
              <w:rPr>
                <w:rFonts w:cs="Arial"/>
                <w:b/>
                <w:sz w:val="16"/>
                <w:szCs w:val="16"/>
                <w:lang w:val="en-US"/>
              </w:rPr>
            </w:pPr>
            <w:r w:rsidRPr="005E1822">
              <w:rPr>
                <w:rFonts w:cs="Arial"/>
                <w:b/>
                <w:sz w:val="16"/>
                <w:szCs w:val="16"/>
                <w:lang w:val="en-US"/>
              </w:rPr>
              <w:t>1M</w:t>
            </w:r>
          </w:p>
        </w:tc>
        <w:tc>
          <w:tcPr>
            <w:tcW w:w="809" w:type="dxa"/>
            <w:vAlign w:val="center"/>
          </w:tcPr>
          <w:p w:rsidR="00F939A6" w:rsidRPr="005E1822" w:rsidRDefault="00F939A6" w:rsidP="003A2B73">
            <w:pPr>
              <w:jc w:val="center"/>
              <w:rPr>
                <w:rFonts w:cs="Arial"/>
                <w:sz w:val="16"/>
                <w:szCs w:val="16"/>
                <w:lang w:val="en-US"/>
              </w:rPr>
            </w:pPr>
            <w:r w:rsidRPr="005E1822">
              <w:rPr>
                <w:rFonts w:cs="Arial"/>
                <w:sz w:val="16"/>
                <w:szCs w:val="16"/>
                <w:lang w:val="en-US"/>
              </w:rPr>
              <w:t>1</w:t>
            </w:r>
            <w:r w:rsidR="00801764" w:rsidRPr="005E1822">
              <w:rPr>
                <w:rFonts w:cs="Arial"/>
                <w:sz w:val="16"/>
                <w:szCs w:val="16"/>
                <w:lang w:val="en-US"/>
              </w:rPr>
              <w:t>,</w:t>
            </w:r>
            <w:r w:rsidRPr="005E1822">
              <w:rPr>
                <w:rFonts w:cs="Arial"/>
                <w:sz w:val="16"/>
                <w:szCs w:val="16"/>
                <w:lang w:val="en-US"/>
              </w:rPr>
              <w:t>4BDO</w:t>
            </w:r>
          </w:p>
        </w:tc>
        <w:tc>
          <w:tcPr>
            <w:tcW w:w="850" w:type="dxa"/>
            <w:vMerge w:val="restart"/>
            <w:vAlign w:val="center"/>
          </w:tcPr>
          <w:p w:rsidR="00F939A6" w:rsidRPr="005E1822" w:rsidRDefault="00F939A6" w:rsidP="003A2B73">
            <w:pPr>
              <w:jc w:val="center"/>
              <w:rPr>
                <w:rFonts w:cs="Arial"/>
                <w:sz w:val="16"/>
                <w:szCs w:val="16"/>
                <w:lang w:val="en-US"/>
              </w:rPr>
            </w:pPr>
            <w:r w:rsidRPr="005E1822">
              <w:rPr>
                <w:rFonts w:cs="Arial"/>
                <w:sz w:val="16"/>
                <w:szCs w:val="16"/>
                <w:lang w:val="en-US"/>
              </w:rPr>
              <w:t>231</w:t>
            </w:r>
          </w:p>
        </w:tc>
        <w:tc>
          <w:tcPr>
            <w:tcW w:w="567" w:type="dxa"/>
            <w:vAlign w:val="center"/>
          </w:tcPr>
          <w:p w:rsidR="00F939A6" w:rsidRPr="005E1822" w:rsidRDefault="00F939A6" w:rsidP="003A2B73">
            <w:pPr>
              <w:jc w:val="center"/>
              <w:rPr>
                <w:rFonts w:cs="Arial"/>
                <w:sz w:val="16"/>
                <w:szCs w:val="16"/>
                <w:lang w:val="en-US"/>
              </w:rPr>
            </w:pPr>
            <w:r w:rsidRPr="005E1822">
              <w:rPr>
                <w:rFonts w:cs="Arial"/>
                <w:sz w:val="16"/>
                <w:szCs w:val="16"/>
                <w:lang w:val="en-US"/>
              </w:rPr>
              <w:t>28</w:t>
            </w:r>
          </w:p>
        </w:tc>
        <w:tc>
          <w:tcPr>
            <w:tcW w:w="993" w:type="dxa"/>
            <w:vAlign w:val="center"/>
          </w:tcPr>
          <w:p w:rsidR="00F939A6" w:rsidRPr="005E1822" w:rsidRDefault="00F939A6" w:rsidP="003A2B73">
            <w:pPr>
              <w:jc w:val="center"/>
              <w:rPr>
                <w:rFonts w:cs="Arial"/>
                <w:sz w:val="16"/>
                <w:szCs w:val="16"/>
                <w:lang w:val="en-US"/>
              </w:rPr>
            </w:pPr>
            <w:r w:rsidRPr="005E1822">
              <w:rPr>
                <w:rFonts w:cs="Arial"/>
                <w:sz w:val="16"/>
                <w:szCs w:val="16"/>
                <w:lang w:val="en-US"/>
              </w:rPr>
              <w:t>28</w:t>
            </w:r>
          </w:p>
        </w:tc>
      </w:tr>
      <w:tr w:rsidR="00F939A6" w:rsidRPr="005E1822" w:rsidTr="00801764">
        <w:trPr>
          <w:jc w:val="center"/>
        </w:trPr>
        <w:tc>
          <w:tcPr>
            <w:tcW w:w="709" w:type="dxa"/>
            <w:vMerge/>
            <w:tcBorders>
              <w:left w:val="nil"/>
            </w:tcBorders>
            <w:vAlign w:val="center"/>
          </w:tcPr>
          <w:p w:rsidR="00F939A6" w:rsidRPr="005E1822" w:rsidRDefault="00F939A6" w:rsidP="003A2B73">
            <w:pPr>
              <w:jc w:val="center"/>
              <w:rPr>
                <w:rFonts w:cs="Arial"/>
                <w:b/>
                <w:sz w:val="16"/>
                <w:szCs w:val="16"/>
                <w:lang w:val="en-US"/>
              </w:rPr>
            </w:pPr>
          </w:p>
        </w:tc>
        <w:tc>
          <w:tcPr>
            <w:tcW w:w="809" w:type="dxa"/>
            <w:vAlign w:val="center"/>
          </w:tcPr>
          <w:p w:rsidR="00F939A6" w:rsidRPr="005E1822" w:rsidRDefault="00F939A6" w:rsidP="003A2B73">
            <w:pPr>
              <w:jc w:val="center"/>
              <w:rPr>
                <w:rFonts w:cs="Arial"/>
                <w:sz w:val="16"/>
                <w:szCs w:val="16"/>
                <w:lang w:val="en-US"/>
              </w:rPr>
            </w:pPr>
            <w:r w:rsidRPr="005E1822">
              <w:rPr>
                <w:rFonts w:cs="Arial"/>
                <w:sz w:val="16"/>
                <w:szCs w:val="16"/>
                <w:lang w:val="en-US"/>
              </w:rPr>
              <w:t>1</w:t>
            </w:r>
            <w:r w:rsidR="00801764" w:rsidRPr="005E1822">
              <w:rPr>
                <w:rFonts w:cs="Arial"/>
                <w:sz w:val="16"/>
                <w:szCs w:val="16"/>
                <w:lang w:val="en-US"/>
              </w:rPr>
              <w:t>,</w:t>
            </w:r>
            <w:r w:rsidRPr="005E1822">
              <w:rPr>
                <w:rFonts w:cs="Arial"/>
                <w:sz w:val="16"/>
                <w:szCs w:val="16"/>
                <w:lang w:val="en-US"/>
              </w:rPr>
              <w:t>6HDO</w:t>
            </w:r>
          </w:p>
        </w:tc>
        <w:tc>
          <w:tcPr>
            <w:tcW w:w="850" w:type="dxa"/>
            <w:vMerge/>
            <w:vAlign w:val="center"/>
          </w:tcPr>
          <w:p w:rsidR="00F939A6" w:rsidRPr="005E1822" w:rsidRDefault="00F939A6" w:rsidP="003A2B73">
            <w:pPr>
              <w:jc w:val="center"/>
              <w:rPr>
                <w:rFonts w:cs="Arial"/>
                <w:sz w:val="16"/>
                <w:szCs w:val="16"/>
                <w:lang w:val="en-US"/>
              </w:rPr>
            </w:pPr>
          </w:p>
        </w:tc>
        <w:tc>
          <w:tcPr>
            <w:tcW w:w="567" w:type="dxa"/>
            <w:vAlign w:val="center"/>
          </w:tcPr>
          <w:p w:rsidR="00F939A6" w:rsidRPr="005E1822" w:rsidRDefault="00F939A6" w:rsidP="003A2B73">
            <w:pPr>
              <w:jc w:val="center"/>
              <w:rPr>
                <w:rFonts w:cs="Arial"/>
                <w:sz w:val="16"/>
                <w:szCs w:val="16"/>
                <w:lang w:val="en-US"/>
              </w:rPr>
            </w:pPr>
            <w:r w:rsidRPr="005E1822">
              <w:rPr>
                <w:rFonts w:cs="Arial"/>
                <w:sz w:val="16"/>
                <w:szCs w:val="16"/>
                <w:lang w:val="en-US"/>
              </w:rPr>
              <w:t>27</w:t>
            </w:r>
          </w:p>
        </w:tc>
        <w:tc>
          <w:tcPr>
            <w:tcW w:w="993" w:type="dxa"/>
            <w:vAlign w:val="center"/>
          </w:tcPr>
          <w:p w:rsidR="00F939A6" w:rsidRPr="005E1822" w:rsidRDefault="00F939A6" w:rsidP="003A2B73">
            <w:pPr>
              <w:jc w:val="center"/>
              <w:rPr>
                <w:rFonts w:cs="Arial"/>
                <w:sz w:val="16"/>
                <w:szCs w:val="16"/>
                <w:lang w:val="en-US"/>
              </w:rPr>
            </w:pPr>
            <w:r w:rsidRPr="005E1822">
              <w:rPr>
                <w:rFonts w:cs="Arial"/>
                <w:sz w:val="16"/>
                <w:szCs w:val="16"/>
                <w:lang w:val="en-US"/>
              </w:rPr>
              <w:t>25</w:t>
            </w:r>
          </w:p>
        </w:tc>
      </w:tr>
      <w:tr w:rsidR="00F939A6" w:rsidRPr="005E1822" w:rsidTr="00801764">
        <w:trPr>
          <w:jc w:val="center"/>
        </w:trPr>
        <w:tc>
          <w:tcPr>
            <w:tcW w:w="709" w:type="dxa"/>
            <w:vMerge/>
            <w:tcBorders>
              <w:left w:val="nil"/>
              <w:bottom w:val="single" w:sz="4" w:space="0" w:color="auto"/>
            </w:tcBorders>
            <w:vAlign w:val="center"/>
          </w:tcPr>
          <w:p w:rsidR="00F939A6" w:rsidRPr="005E1822" w:rsidRDefault="00F939A6" w:rsidP="003A2B73">
            <w:pPr>
              <w:jc w:val="center"/>
              <w:rPr>
                <w:rFonts w:cs="Arial"/>
                <w:b/>
                <w:sz w:val="16"/>
                <w:szCs w:val="16"/>
                <w:lang w:val="en-US"/>
              </w:rPr>
            </w:pPr>
          </w:p>
        </w:tc>
        <w:tc>
          <w:tcPr>
            <w:tcW w:w="809" w:type="dxa"/>
            <w:vMerge w:val="restart"/>
            <w:vAlign w:val="center"/>
          </w:tcPr>
          <w:p w:rsidR="00F939A6" w:rsidRPr="005E1822" w:rsidRDefault="00F939A6" w:rsidP="003A2B73">
            <w:pPr>
              <w:jc w:val="center"/>
              <w:rPr>
                <w:rFonts w:cs="Arial"/>
                <w:sz w:val="16"/>
                <w:szCs w:val="16"/>
                <w:lang w:val="en-US"/>
              </w:rPr>
            </w:pPr>
            <w:r w:rsidRPr="005E1822">
              <w:rPr>
                <w:rFonts w:cs="Arial"/>
                <w:sz w:val="16"/>
                <w:szCs w:val="16"/>
                <w:lang w:val="en-US"/>
              </w:rPr>
              <w:t>1</w:t>
            </w:r>
            <w:r w:rsidR="00801764" w:rsidRPr="005E1822">
              <w:rPr>
                <w:rFonts w:cs="Arial"/>
                <w:sz w:val="16"/>
                <w:szCs w:val="16"/>
                <w:lang w:val="en-US"/>
              </w:rPr>
              <w:t>,</w:t>
            </w:r>
            <w:r w:rsidRPr="005E1822">
              <w:rPr>
                <w:rFonts w:cs="Arial"/>
                <w:sz w:val="16"/>
                <w:szCs w:val="16"/>
                <w:lang w:val="en-US"/>
              </w:rPr>
              <w:t>8ODO</w:t>
            </w:r>
          </w:p>
        </w:tc>
        <w:tc>
          <w:tcPr>
            <w:tcW w:w="850" w:type="dxa"/>
            <w:vMerge/>
            <w:vAlign w:val="center"/>
          </w:tcPr>
          <w:p w:rsidR="00F939A6" w:rsidRPr="005E1822" w:rsidRDefault="00F939A6" w:rsidP="003A2B73">
            <w:pPr>
              <w:jc w:val="center"/>
              <w:rPr>
                <w:rFonts w:cs="Arial"/>
                <w:sz w:val="16"/>
                <w:szCs w:val="16"/>
                <w:lang w:val="en-US"/>
              </w:rPr>
            </w:pPr>
          </w:p>
        </w:tc>
        <w:tc>
          <w:tcPr>
            <w:tcW w:w="567" w:type="dxa"/>
            <w:vAlign w:val="center"/>
          </w:tcPr>
          <w:p w:rsidR="00F939A6" w:rsidRPr="005E1822" w:rsidRDefault="00F939A6" w:rsidP="003A2B73">
            <w:pPr>
              <w:jc w:val="center"/>
              <w:rPr>
                <w:rFonts w:cs="Arial"/>
                <w:sz w:val="16"/>
                <w:szCs w:val="16"/>
                <w:lang w:val="en-US"/>
              </w:rPr>
            </w:pPr>
            <w:r w:rsidRPr="005E1822">
              <w:rPr>
                <w:rFonts w:cs="Arial"/>
                <w:sz w:val="16"/>
                <w:szCs w:val="16"/>
                <w:lang w:val="en-US"/>
              </w:rPr>
              <w:t>26</w:t>
            </w:r>
          </w:p>
        </w:tc>
        <w:tc>
          <w:tcPr>
            <w:tcW w:w="993" w:type="dxa"/>
            <w:vMerge w:val="restart"/>
            <w:vAlign w:val="center"/>
          </w:tcPr>
          <w:p w:rsidR="00F939A6" w:rsidRPr="005E1822" w:rsidRDefault="00F939A6" w:rsidP="003A2B73">
            <w:pPr>
              <w:jc w:val="center"/>
              <w:rPr>
                <w:rFonts w:cs="Arial"/>
                <w:sz w:val="16"/>
                <w:szCs w:val="16"/>
                <w:lang w:val="en-US"/>
              </w:rPr>
            </w:pPr>
            <w:r w:rsidRPr="005E1822">
              <w:rPr>
                <w:rFonts w:cs="Arial"/>
                <w:sz w:val="16"/>
                <w:szCs w:val="16"/>
                <w:lang w:val="en-US"/>
              </w:rPr>
              <w:t>23</w:t>
            </w:r>
          </w:p>
        </w:tc>
      </w:tr>
      <w:tr w:rsidR="00F939A6" w:rsidRPr="005E1822" w:rsidTr="00801764">
        <w:trPr>
          <w:jc w:val="center"/>
        </w:trPr>
        <w:tc>
          <w:tcPr>
            <w:tcW w:w="709" w:type="dxa"/>
            <w:tcBorders>
              <w:left w:val="nil"/>
              <w:bottom w:val="single" w:sz="4" w:space="0" w:color="auto"/>
            </w:tcBorders>
            <w:vAlign w:val="center"/>
          </w:tcPr>
          <w:p w:rsidR="00F939A6" w:rsidRPr="005E1822" w:rsidRDefault="00F939A6" w:rsidP="003A2B73">
            <w:pPr>
              <w:jc w:val="center"/>
              <w:rPr>
                <w:rFonts w:cs="Arial"/>
                <w:b/>
                <w:sz w:val="16"/>
                <w:szCs w:val="16"/>
                <w:lang w:val="en-US"/>
              </w:rPr>
            </w:pPr>
            <w:r w:rsidRPr="005E1822">
              <w:rPr>
                <w:rFonts w:cs="Arial"/>
                <w:b/>
                <w:sz w:val="16"/>
                <w:szCs w:val="16"/>
                <w:lang w:val="en-US"/>
              </w:rPr>
              <w:t>1 + DEA</w:t>
            </w:r>
          </w:p>
        </w:tc>
        <w:tc>
          <w:tcPr>
            <w:tcW w:w="809" w:type="dxa"/>
            <w:vMerge/>
            <w:vAlign w:val="center"/>
          </w:tcPr>
          <w:p w:rsidR="00F939A6" w:rsidRPr="005E1822" w:rsidRDefault="00F939A6" w:rsidP="003A2B73">
            <w:pPr>
              <w:jc w:val="center"/>
              <w:rPr>
                <w:rFonts w:cs="Arial"/>
                <w:sz w:val="16"/>
                <w:szCs w:val="16"/>
                <w:lang w:val="en-US"/>
              </w:rPr>
            </w:pPr>
          </w:p>
        </w:tc>
        <w:tc>
          <w:tcPr>
            <w:tcW w:w="850" w:type="dxa"/>
            <w:vMerge/>
            <w:vAlign w:val="center"/>
          </w:tcPr>
          <w:p w:rsidR="00F939A6" w:rsidRPr="005E1822" w:rsidRDefault="00F939A6" w:rsidP="003A2B73">
            <w:pPr>
              <w:jc w:val="center"/>
              <w:rPr>
                <w:rFonts w:cs="Arial"/>
                <w:sz w:val="16"/>
                <w:szCs w:val="16"/>
                <w:lang w:val="en-US"/>
              </w:rPr>
            </w:pPr>
          </w:p>
        </w:tc>
        <w:tc>
          <w:tcPr>
            <w:tcW w:w="567" w:type="dxa"/>
            <w:vAlign w:val="center"/>
          </w:tcPr>
          <w:p w:rsidR="00F939A6" w:rsidRPr="005E1822" w:rsidRDefault="00F939A6" w:rsidP="003A2B73">
            <w:pPr>
              <w:jc w:val="center"/>
              <w:rPr>
                <w:rFonts w:cs="Arial"/>
                <w:sz w:val="16"/>
                <w:szCs w:val="16"/>
                <w:lang w:val="en-US"/>
              </w:rPr>
            </w:pPr>
            <w:r w:rsidRPr="005E1822">
              <w:rPr>
                <w:rFonts w:cs="Arial"/>
                <w:sz w:val="16"/>
                <w:szCs w:val="16"/>
                <w:lang w:val="en-US"/>
              </w:rPr>
              <w:t>25</w:t>
            </w:r>
          </w:p>
        </w:tc>
        <w:tc>
          <w:tcPr>
            <w:tcW w:w="993" w:type="dxa"/>
            <w:vMerge/>
            <w:vAlign w:val="center"/>
          </w:tcPr>
          <w:p w:rsidR="00F939A6" w:rsidRPr="005E1822" w:rsidRDefault="00F939A6" w:rsidP="003A2B73">
            <w:pPr>
              <w:jc w:val="center"/>
              <w:rPr>
                <w:rFonts w:cs="Arial"/>
                <w:sz w:val="16"/>
                <w:szCs w:val="16"/>
                <w:lang w:val="en-US"/>
              </w:rPr>
            </w:pPr>
          </w:p>
        </w:tc>
      </w:tr>
    </w:tbl>
    <w:p w:rsidR="0097451F" w:rsidRPr="005E1822" w:rsidRDefault="0097451F" w:rsidP="0097451F">
      <w:pPr>
        <w:pStyle w:val="RSCB08CHeadingIn-line"/>
        <w:spacing w:before="400" w:after="80"/>
        <w:jc w:val="both"/>
        <w:rPr>
          <w:sz w:val="24"/>
        </w:rPr>
      </w:pPr>
      <w:r w:rsidRPr="005E1822">
        <w:rPr>
          <w:sz w:val="24"/>
        </w:rPr>
        <w:t>Materials and methods</w:t>
      </w:r>
    </w:p>
    <w:p w:rsidR="0097451F" w:rsidRPr="005E1822" w:rsidRDefault="0097451F" w:rsidP="0097451F">
      <w:pPr>
        <w:pStyle w:val="RSCB08CHeadingIn-line"/>
        <w:jc w:val="both"/>
      </w:pPr>
      <w:r w:rsidRPr="005E1822">
        <w:t>Chemicals and enzymes</w:t>
      </w:r>
    </w:p>
    <w:p w:rsidR="0097451F" w:rsidRPr="005E1822" w:rsidRDefault="0097451F" w:rsidP="0097451F">
      <w:pPr>
        <w:pStyle w:val="RSCB08CHeadingIn-line"/>
        <w:spacing w:after="240"/>
        <w:jc w:val="both"/>
        <w:rPr>
          <w:b w:val="0"/>
        </w:rPr>
      </w:pPr>
      <w:r w:rsidRPr="005E1822">
        <w:rPr>
          <w:b w:val="0"/>
        </w:rPr>
        <w:t xml:space="preserve">Dimethyl itaconate (DMI, </w:t>
      </w:r>
      <w:r w:rsidRPr="005E1822">
        <w:t>1</w:t>
      </w:r>
      <w:r w:rsidRPr="005E1822">
        <w:rPr>
          <w:b w:val="0"/>
        </w:rPr>
        <w:t xml:space="preserve">), dimethyl fumarate (DMF, </w:t>
      </w:r>
      <w:r w:rsidRPr="005E1822">
        <w:t>2</w:t>
      </w:r>
      <w:r w:rsidRPr="005E1822">
        <w:rPr>
          <w:b w:val="0"/>
        </w:rPr>
        <w:t xml:space="preserve">) and dimethyl maleate (DMM, </w:t>
      </w:r>
      <w:r w:rsidRPr="005E1822">
        <w:t>3</w:t>
      </w:r>
      <w:r w:rsidRPr="005E1822">
        <w:rPr>
          <w:b w:val="0"/>
        </w:rPr>
        <w:t xml:space="preserve">) were purchased from Alfa Aesar. Dibutyl itaconate (DBI, </w:t>
      </w:r>
      <w:r w:rsidRPr="005E1822">
        <w:t>4</w:t>
      </w:r>
      <w:r w:rsidRPr="005E1822">
        <w:rPr>
          <w:b w:val="0"/>
        </w:rPr>
        <w:t xml:space="preserve">), 1,4-butanediol (1,4BDO) and 1,6-hexanediol (1,6HDO) and titanium (IV) </w:t>
      </w:r>
      <w:r w:rsidRPr="005E1822">
        <w:rPr>
          <w:b w:val="0"/>
          <w:i/>
        </w:rPr>
        <w:t>tert</w:t>
      </w:r>
      <w:r w:rsidRPr="005E1822">
        <w:rPr>
          <w:b w:val="0"/>
        </w:rPr>
        <w:t xml:space="preserve">-butoxide were purchased from Sigma-Aldrich. Dibutyl fumarate (DBF, </w:t>
      </w:r>
      <w:r w:rsidRPr="005E1822">
        <w:t>5</w:t>
      </w:r>
      <w:r w:rsidRPr="005E1822">
        <w:rPr>
          <w:b w:val="0"/>
        </w:rPr>
        <w:t xml:space="preserve">) was purchased from Fluorochem. 1,8-octanediol (1,8ODO) was purchased from Acros Organics. See scheme 3 in the R&amp;D section for the structures of all used monomers. All other chemicals and solvents were purchased from Sigma-Aldrich and used as received if not otherwise specified. </w:t>
      </w:r>
      <w:r w:rsidRPr="005E1822">
        <w:rPr>
          <w:b w:val="0"/>
          <w:i/>
        </w:rPr>
        <w:t>Candida antarctica</w:t>
      </w:r>
      <w:r w:rsidR="005A6AB5" w:rsidRPr="005E1822">
        <w:rPr>
          <w:b w:val="0"/>
        </w:rPr>
        <w:t xml:space="preserve"> lipase B (CAL-</w:t>
      </w:r>
      <w:r w:rsidRPr="005E1822">
        <w:rPr>
          <w:b w:val="0"/>
        </w:rPr>
        <w:t>B) immobilized onto a macroporous acrylic resi</w:t>
      </w:r>
      <w:r w:rsidR="005A6AB5" w:rsidRPr="005E1822">
        <w:rPr>
          <w:b w:val="0"/>
        </w:rPr>
        <w:t>n also known as Novozym 435 (iCA</w:t>
      </w:r>
      <w:r w:rsidRPr="005E1822">
        <w:rPr>
          <w:b w:val="0"/>
        </w:rPr>
        <w:t>L</w:t>
      </w:r>
      <w:r w:rsidR="005A6AB5" w:rsidRPr="005E1822">
        <w:rPr>
          <w:b w:val="0"/>
        </w:rPr>
        <w:t>-</w:t>
      </w:r>
      <w:r w:rsidRPr="005E1822">
        <w:rPr>
          <w:b w:val="0"/>
        </w:rPr>
        <w:t>B) was purchased from Sigma-Aldrich. The enzyme was vacuum dried for 48 h at 25 ºC and stored in a desiccator before use.</w:t>
      </w:r>
    </w:p>
    <w:p w:rsidR="0097451F" w:rsidRPr="005E1822" w:rsidRDefault="0097451F" w:rsidP="00F939A6">
      <w:pPr>
        <w:pStyle w:val="RSCB08CHeadingIn-line"/>
        <w:jc w:val="both"/>
      </w:pPr>
      <w:r w:rsidRPr="005E1822">
        <w:t>Enzymatic solventless polymerizations</w:t>
      </w:r>
    </w:p>
    <w:p w:rsidR="0097451F" w:rsidRPr="005E1822" w:rsidRDefault="0097451F" w:rsidP="0097451F">
      <w:pPr>
        <w:pStyle w:val="RSCB08CHeadingIn-line"/>
        <w:spacing w:after="240"/>
        <w:jc w:val="both"/>
        <w:rPr>
          <w:b w:val="0"/>
        </w:rPr>
      </w:pPr>
      <w:r w:rsidRPr="005E1822">
        <w:rPr>
          <w:b w:val="0"/>
        </w:rPr>
        <w:t>0.006 mol of diester and 0.006 mol of diol (diester:diol ratio= 1.0:1.0) were added in a 25-mL round bottom flask. The mixture was then stirred at 85 ºC till a homogeneous melt was obtained. 10% w w</w:t>
      </w:r>
      <w:r w:rsidRPr="005E1822">
        <w:rPr>
          <w:b w:val="0"/>
          <w:vertAlign w:val="superscript"/>
        </w:rPr>
        <w:t>-1</w:t>
      </w:r>
      <w:r w:rsidRPr="005E1822">
        <w:rPr>
          <w:b w:val="0"/>
        </w:rPr>
        <w:t xml:space="preserve"> (calculated on the total amount of t</w:t>
      </w:r>
      <w:r w:rsidR="005A6AB5" w:rsidRPr="005E1822">
        <w:rPr>
          <w:b w:val="0"/>
        </w:rPr>
        <w:t>he monomers) of iCA</w:t>
      </w:r>
      <w:r w:rsidRPr="005E1822">
        <w:rPr>
          <w:b w:val="0"/>
        </w:rPr>
        <w:t>L</w:t>
      </w:r>
      <w:r w:rsidR="005A6AB5" w:rsidRPr="005E1822">
        <w:rPr>
          <w:b w:val="0"/>
        </w:rPr>
        <w:t>-</w:t>
      </w:r>
      <w:r w:rsidRPr="005E1822">
        <w:rPr>
          <w:b w:val="0"/>
        </w:rPr>
        <w:t xml:space="preserve">B was then added and the reaction was run for 6 h at 1000 mbar. A vacuum of 20 mbar was subsequently applied for additional 18 h maintaining the reaction T at 85 ºC. The reaction products were dissolved in </w:t>
      </w:r>
      <w:r w:rsidR="00D01027" w:rsidRPr="005E1822">
        <w:rPr>
          <w:b w:val="0"/>
        </w:rPr>
        <w:t>few mL of THF</w:t>
      </w:r>
      <w:r w:rsidRPr="005E1822">
        <w:rPr>
          <w:b w:val="0"/>
        </w:rPr>
        <w:t xml:space="preserve"> and the biocatalyst filtered off. The solvent was then removed </w:t>
      </w:r>
      <w:r w:rsidRPr="005E1822">
        <w:rPr>
          <w:b w:val="0"/>
          <w:i/>
        </w:rPr>
        <w:t>via</w:t>
      </w:r>
      <w:r w:rsidRPr="005E1822">
        <w:rPr>
          <w:b w:val="0"/>
        </w:rPr>
        <w:t xml:space="preserve"> rotary evaporation.</w:t>
      </w:r>
    </w:p>
    <w:p w:rsidR="0097451F" w:rsidRPr="005E1822" w:rsidRDefault="0097451F" w:rsidP="00F939A6">
      <w:pPr>
        <w:pStyle w:val="RSCB08CHeadingIn-line"/>
        <w:jc w:val="both"/>
      </w:pPr>
      <w:r w:rsidRPr="005E1822">
        <w:t>Aza-Michael additions of DEA on 1, 2, 4 and 5</w:t>
      </w:r>
    </w:p>
    <w:p w:rsidR="0097451F" w:rsidRPr="005E1822" w:rsidRDefault="0097451F" w:rsidP="0097451F">
      <w:pPr>
        <w:pStyle w:val="RSCB08CHeadingIn-line"/>
        <w:spacing w:after="240"/>
        <w:jc w:val="both"/>
        <w:rPr>
          <w:b w:val="0"/>
        </w:rPr>
      </w:pPr>
      <w:r w:rsidRPr="005E1822">
        <w:rPr>
          <w:b w:val="0"/>
        </w:rPr>
        <w:t xml:space="preserve">25 mmol of </w:t>
      </w:r>
      <w:r w:rsidRPr="005E1822">
        <w:t>1</w:t>
      </w:r>
      <w:r w:rsidRPr="005E1822">
        <w:rPr>
          <w:b w:val="0"/>
        </w:rPr>
        <w:t xml:space="preserve">, </w:t>
      </w:r>
      <w:r w:rsidRPr="005E1822">
        <w:t>2</w:t>
      </w:r>
      <w:r w:rsidRPr="005E1822">
        <w:rPr>
          <w:b w:val="0"/>
        </w:rPr>
        <w:t xml:space="preserve">, </w:t>
      </w:r>
      <w:r w:rsidRPr="005E1822">
        <w:t>4</w:t>
      </w:r>
      <w:r w:rsidRPr="005E1822">
        <w:rPr>
          <w:b w:val="0"/>
        </w:rPr>
        <w:t xml:space="preserve"> or </w:t>
      </w:r>
      <w:r w:rsidRPr="005E1822">
        <w:t>5</w:t>
      </w:r>
      <w:r w:rsidRPr="005E1822">
        <w:rPr>
          <w:b w:val="0"/>
        </w:rPr>
        <w:t xml:space="preserve"> were dissolved in 200 mmol of diethyl amine (DEA) and stirred at 21 ºC for 10 days with completion of the reaction confirmed by </w:t>
      </w:r>
      <w:r w:rsidRPr="005E1822">
        <w:rPr>
          <w:b w:val="0"/>
          <w:vertAlign w:val="superscript"/>
        </w:rPr>
        <w:t>1</w:t>
      </w:r>
      <w:r w:rsidRPr="005E1822">
        <w:rPr>
          <w:b w:val="0"/>
        </w:rPr>
        <w:t xml:space="preserve">H and </w:t>
      </w:r>
      <w:r w:rsidRPr="005E1822">
        <w:rPr>
          <w:b w:val="0"/>
          <w:vertAlign w:val="superscript"/>
        </w:rPr>
        <w:t>13</w:t>
      </w:r>
      <w:r w:rsidRPr="005E1822">
        <w:rPr>
          <w:b w:val="0"/>
        </w:rPr>
        <w:t>C-NMR. The DEA excess used in the reaction was removed in vacuo yielding &gt;98% pure aza-Michael addition products as brown, slightly viscous liquids.</w:t>
      </w:r>
    </w:p>
    <w:p w:rsidR="0097451F" w:rsidRPr="005E1822" w:rsidRDefault="0097451F" w:rsidP="00F939A6">
      <w:pPr>
        <w:pStyle w:val="RSCB08CHeadingIn-line"/>
        <w:jc w:val="both"/>
      </w:pPr>
      <w:r w:rsidRPr="005E1822">
        <w:t>Nuclear Magnetic Resonance (NMR)</w:t>
      </w:r>
    </w:p>
    <w:p w:rsidR="0097451F" w:rsidRPr="005E1822" w:rsidRDefault="0097451F" w:rsidP="0097451F">
      <w:pPr>
        <w:pStyle w:val="RSCB08CHeadingIn-line"/>
        <w:spacing w:after="240"/>
        <w:jc w:val="both"/>
        <w:rPr>
          <w:b w:val="0"/>
        </w:rPr>
      </w:pPr>
      <w:r w:rsidRPr="005E1822">
        <w:rPr>
          <w:b w:val="0"/>
          <w:vertAlign w:val="superscript"/>
        </w:rPr>
        <w:t>1</w:t>
      </w:r>
      <w:r w:rsidRPr="005E1822">
        <w:rPr>
          <w:b w:val="0"/>
        </w:rPr>
        <w:t xml:space="preserve">H and </w:t>
      </w:r>
      <w:r w:rsidRPr="005E1822">
        <w:rPr>
          <w:b w:val="0"/>
          <w:vertAlign w:val="superscript"/>
        </w:rPr>
        <w:t>13</w:t>
      </w:r>
      <w:r w:rsidRPr="005E1822">
        <w:rPr>
          <w:b w:val="0"/>
        </w:rPr>
        <w:t>C-NMR spectroscopy analysis were performed on a JEOL JNM-ECS400A spectrometer at a frequency of 400 MHz. CDCl</w:t>
      </w:r>
      <w:r w:rsidRPr="005E1822">
        <w:rPr>
          <w:b w:val="0"/>
          <w:vertAlign w:val="subscript"/>
        </w:rPr>
        <w:t>3</w:t>
      </w:r>
      <w:r w:rsidRPr="005E1822">
        <w:rPr>
          <w:b w:val="0"/>
        </w:rPr>
        <w:t xml:space="preserve"> was used as NMR solvent is not otherwise specified.</w:t>
      </w:r>
    </w:p>
    <w:p w:rsidR="0097451F" w:rsidRPr="005E1822" w:rsidRDefault="0097451F" w:rsidP="00F939A6">
      <w:pPr>
        <w:pStyle w:val="RSCB08CHeadingIn-line"/>
        <w:jc w:val="both"/>
      </w:pPr>
      <w:r w:rsidRPr="005E1822">
        <w:t>Gel Permeation Chromatography (GPC)</w:t>
      </w:r>
    </w:p>
    <w:p w:rsidR="0097451F" w:rsidRPr="005E1822" w:rsidRDefault="0097451F" w:rsidP="0097451F">
      <w:pPr>
        <w:pStyle w:val="RSCB08CHeadingIn-line"/>
        <w:spacing w:after="240"/>
        <w:jc w:val="both"/>
        <w:rPr>
          <w:b w:val="0"/>
        </w:rPr>
      </w:pPr>
      <w:r w:rsidRPr="005E1822">
        <w:rPr>
          <w:b w:val="0"/>
        </w:rPr>
        <w:t>Polymeric samples were diluted in THF at a concentration of ~2 mg mL</w:t>
      </w:r>
      <w:r w:rsidRPr="005E1822">
        <w:rPr>
          <w:b w:val="0"/>
          <w:vertAlign w:val="superscript"/>
        </w:rPr>
        <w:t>-1</w:t>
      </w:r>
      <w:r w:rsidR="00F939A6" w:rsidRPr="005E1822">
        <w:rPr>
          <w:b w:val="0"/>
        </w:rPr>
        <w:t>. ~5 </w:t>
      </w:r>
      <w:r w:rsidRPr="005E1822">
        <w:rPr>
          <w:b w:val="0"/>
        </w:rPr>
        <w:t>μL of toluene were added in each sample as internal standard. GPC runs were carried out using a PSS SDV High set composed of 3 analytical columns (</w:t>
      </w:r>
      <w:r w:rsidR="00F939A6" w:rsidRPr="005E1822">
        <w:rPr>
          <w:b w:val="0"/>
        </w:rPr>
        <w:t>300 × 8 mm, particle diameter 5 </w:t>
      </w:r>
      <w:r w:rsidRPr="005E1822">
        <w:rPr>
          <w:b w:val="0"/>
        </w:rPr>
        <w:t>μm) of 1000, 105 and 106 Å pore sizes with a PSS guard column (Polymer Standards Service GmbH) installed in a PSS SECcurity SEC system. Elution was carried out usin</w:t>
      </w:r>
      <w:r w:rsidR="00F939A6" w:rsidRPr="005E1822">
        <w:rPr>
          <w:b w:val="0"/>
        </w:rPr>
        <w:t>g THF as the mobile phase (1 mL </w:t>
      </w:r>
      <w:r w:rsidRPr="005E1822">
        <w:rPr>
          <w:b w:val="0"/>
        </w:rPr>
        <w:t>min</w:t>
      </w:r>
      <w:r w:rsidRPr="005E1822">
        <w:rPr>
          <w:b w:val="0"/>
          <w:vertAlign w:val="superscript"/>
        </w:rPr>
        <w:t>-1</w:t>
      </w:r>
      <w:r w:rsidRPr="005E1822">
        <w:rPr>
          <w:b w:val="0"/>
        </w:rPr>
        <w:t>). Column temperature was maintained at 23 ºC and detection was performed by refractive index detector. Elution time was of 50 min. Calibration was carried out in the molecular weight range 370-2520000 Da using the ReadyCal polystyrene standards supplied by Sigma Aldrich and referenced to the toluene peak.</w:t>
      </w:r>
    </w:p>
    <w:p w:rsidR="0097451F" w:rsidRPr="005E1822" w:rsidRDefault="0097451F" w:rsidP="00F939A6">
      <w:pPr>
        <w:pStyle w:val="RSCB08CHeadingIn-line"/>
        <w:jc w:val="both"/>
      </w:pPr>
      <w:r w:rsidRPr="005E1822">
        <w:t>Thermogravimetric-Infrared analyses (TG-IR)</w:t>
      </w:r>
    </w:p>
    <w:p w:rsidR="0097451F" w:rsidRPr="005E1822" w:rsidRDefault="0097451F" w:rsidP="0097451F">
      <w:pPr>
        <w:pStyle w:val="RSCB08CHeadingIn-line"/>
        <w:spacing w:after="240"/>
        <w:jc w:val="both"/>
        <w:rPr>
          <w:b w:val="0"/>
        </w:rPr>
      </w:pPr>
      <w:r w:rsidRPr="005E1822">
        <w:rPr>
          <w:b w:val="0"/>
        </w:rPr>
        <w:t>TG-IR analyses were performed on a Netzsch STA 409 thermal analyzer coupled with a Bruker Equinox 55 FT-IR. ~50 mg of sample was weighed into an aluminum pan. The sample was placed into the furnace with a N</w:t>
      </w:r>
      <w:r w:rsidRPr="005E1822">
        <w:rPr>
          <w:b w:val="0"/>
          <w:vertAlign w:val="subscript"/>
        </w:rPr>
        <w:t>2</w:t>
      </w:r>
      <w:r w:rsidRPr="005E1822">
        <w:rPr>
          <w:b w:val="0"/>
        </w:rPr>
        <w:t xml:space="preserve"> flow of 100 mL min</w:t>
      </w:r>
      <w:r w:rsidRPr="005E1822">
        <w:rPr>
          <w:b w:val="0"/>
          <w:vertAlign w:val="superscript"/>
        </w:rPr>
        <w:t>-1</w:t>
      </w:r>
      <w:r w:rsidRPr="005E1822">
        <w:rPr>
          <w:b w:val="0"/>
        </w:rPr>
        <w:t xml:space="preserve"> and heated from 20 to 700ºC at a heating rate of 10 ºC min</w:t>
      </w:r>
      <w:r w:rsidRPr="005E1822">
        <w:rPr>
          <w:b w:val="0"/>
          <w:vertAlign w:val="superscript"/>
        </w:rPr>
        <w:t>-1</w:t>
      </w:r>
      <w:r w:rsidRPr="005E1822">
        <w:rPr>
          <w:b w:val="0"/>
        </w:rPr>
        <w:t>. From the TGA profiles the temperatures at 5% and 50% mass loss (TD5 and TD50) were subsequently determined.</w:t>
      </w:r>
    </w:p>
    <w:p w:rsidR="0097451F" w:rsidRPr="005E1822" w:rsidRDefault="0097451F" w:rsidP="00F939A6">
      <w:pPr>
        <w:pStyle w:val="RSCB08CHeadingIn-line"/>
        <w:jc w:val="both"/>
      </w:pPr>
      <w:r w:rsidRPr="005E1822">
        <w:t>Computational studies</w:t>
      </w:r>
    </w:p>
    <w:p w:rsidR="0097451F" w:rsidRPr="005E1822" w:rsidRDefault="0097451F" w:rsidP="0097451F">
      <w:pPr>
        <w:pStyle w:val="RSCB08CHeadingIn-line"/>
        <w:spacing w:after="240"/>
        <w:jc w:val="both"/>
        <w:rPr>
          <w:b w:val="0"/>
        </w:rPr>
      </w:pPr>
      <w:r w:rsidRPr="005E1822">
        <w:rPr>
          <w:b w:val="0"/>
        </w:rPr>
        <w:t>ArgusLab (version 4.0.1, Mark Thompson and Planaria Software LLC, 2004) was used to draw 3D models of the compounds. Conformations of the molecules were then calculated with COSMOconfX (version 4.0, COSMOlogic GmbH &amp; Co. KG, 2015). Chemical potentials were generated with COSMOthermX (version C30_1501, COSMOlogic GmbH &amp; Co. KG, 2015). The charge density found on the surface of each solvent is calculated by COSMOthermX to produce a 3D representation, which then determines the corresponding sigma profile and chemical potential plot.</w:t>
      </w:r>
    </w:p>
    <w:p w:rsidR="0087504A" w:rsidRPr="005E1822" w:rsidRDefault="0087504A" w:rsidP="0097451F">
      <w:pPr>
        <w:pStyle w:val="RSCB04AHeadingSection"/>
      </w:pPr>
      <w:r w:rsidRPr="005E1822">
        <w:t>Conclusions</w:t>
      </w:r>
    </w:p>
    <w:p w:rsidR="0087504A" w:rsidRPr="005E1822" w:rsidRDefault="0087504A" w:rsidP="0087504A">
      <w:pPr>
        <w:pStyle w:val="RSCB04AHeadingSection"/>
        <w:spacing w:before="0" w:after="240"/>
        <w:jc w:val="both"/>
        <w:rPr>
          <w:rFonts w:cs="Times New Roman"/>
          <w:b w:val="0"/>
          <w:w w:val="108"/>
          <w:sz w:val="18"/>
          <w:szCs w:val="18"/>
        </w:rPr>
      </w:pPr>
      <w:r w:rsidRPr="005E1822">
        <w:rPr>
          <w:rFonts w:cs="Times New Roman"/>
          <w:b w:val="0"/>
          <w:w w:val="108"/>
          <w:sz w:val="18"/>
          <w:szCs w:val="18"/>
        </w:rPr>
        <w:t>The present work on the enzymatic synthesis of aliphatic functional polyesters sheds light on the different reactivity of several unsaturated dicarboxylic diesters namely: dimethyl itaconate, dimethyl fumarate, dimethyl maleate, dibutyl itaconate and dibutyl fumarate, as well as their aza-Michaels derivatives made using diethyl amine as a nucleophile. From the collected data, we can conclude that the reactivity of the various monomers is given by a combination of 1) solubility in the used solventless polymerization system, 2) reaction’s mass transfer and 3) steric hindrance of the unsaturated/pendant group of the diester monomers. In particular, for the stu</w:t>
      </w:r>
      <w:r w:rsidR="00C50C7D" w:rsidRPr="005E1822">
        <w:rPr>
          <w:rFonts w:cs="Times New Roman"/>
          <w:b w:val="0"/>
          <w:w w:val="108"/>
          <w:sz w:val="18"/>
          <w:szCs w:val="18"/>
        </w:rPr>
        <w:t>died reactions (85 ºC, 24 h, iCA</w:t>
      </w:r>
      <w:r w:rsidRPr="005E1822">
        <w:rPr>
          <w:rFonts w:cs="Times New Roman"/>
          <w:b w:val="0"/>
          <w:w w:val="108"/>
          <w:sz w:val="18"/>
          <w:szCs w:val="18"/>
        </w:rPr>
        <w:t>L</w:t>
      </w:r>
      <w:r w:rsidR="00C50C7D" w:rsidRPr="005E1822">
        <w:rPr>
          <w:rFonts w:cs="Times New Roman"/>
          <w:b w:val="0"/>
          <w:w w:val="108"/>
          <w:sz w:val="18"/>
          <w:szCs w:val="18"/>
        </w:rPr>
        <w:t>-</w:t>
      </w:r>
      <w:r w:rsidRPr="005E1822">
        <w:rPr>
          <w:rFonts w:cs="Times New Roman"/>
          <w:b w:val="0"/>
          <w:w w:val="108"/>
          <w:sz w:val="18"/>
          <w:szCs w:val="18"/>
        </w:rPr>
        <w:t xml:space="preserve">B as the biocatalyst), the reactivity of the considered monomers </w:t>
      </w:r>
      <w:r w:rsidR="00317303" w:rsidRPr="005E1822">
        <w:rPr>
          <w:rFonts w:cs="Times New Roman"/>
          <w:b w:val="0"/>
          <w:w w:val="108"/>
          <w:sz w:val="18"/>
          <w:szCs w:val="18"/>
        </w:rPr>
        <w:t>was</w:t>
      </w:r>
      <w:r w:rsidRPr="005E1822">
        <w:rPr>
          <w:rFonts w:cs="Times New Roman"/>
          <w:b w:val="0"/>
          <w:w w:val="108"/>
          <w:sz w:val="18"/>
          <w:szCs w:val="18"/>
        </w:rPr>
        <w:t xml:space="preserve"> summarized in Scheme 5.</w:t>
      </w:r>
    </w:p>
    <w:p w:rsidR="00F939A6" w:rsidRPr="005E1822" w:rsidRDefault="00F939A6" w:rsidP="0087504A">
      <w:pPr>
        <w:pStyle w:val="RSCB04AHeadingSection"/>
        <w:spacing w:before="0" w:after="240"/>
        <w:jc w:val="both"/>
        <w:rPr>
          <w:rFonts w:cs="Times New Roman"/>
          <w:b w:val="0"/>
          <w:w w:val="108"/>
          <w:sz w:val="18"/>
          <w:szCs w:val="18"/>
        </w:rPr>
        <w:sectPr w:rsidR="00F939A6" w:rsidRPr="005E1822" w:rsidSect="00514CBA">
          <w:type w:val="continuous"/>
          <w:pgSz w:w="11907" w:h="16840" w:code="9"/>
          <w:pgMar w:top="1009" w:right="851" w:bottom="1758" w:left="851" w:header="851" w:footer="1049" w:gutter="0"/>
          <w:cols w:num="2" w:space="227"/>
          <w:titlePg/>
          <w:docGrid w:linePitch="360"/>
        </w:sectPr>
      </w:pPr>
    </w:p>
    <w:p w:rsidR="00F939A6" w:rsidRPr="005E1822" w:rsidRDefault="00F939A6" w:rsidP="00F939A6">
      <w:pPr>
        <w:pStyle w:val="RSCB04AHeadingSection"/>
        <w:spacing w:before="0" w:after="240"/>
        <w:jc w:val="center"/>
        <w:rPr>
          <w:rFonts w:cs="Times New Roman"/>
          <w:b w:val="0"/>
          <w:w w:val="108"/>
          <w:sz w:val="18"/>
          <w:szCs w:val="18"/>
        </w:rPr>
        <w:sectPr w:rsidR="00F939A6" w:rsidRPr="005E1822" w:rsidSect="00F939A6">
          <w:type w:val="continuous"/>
          <w:pgSz w:w="11907" w:h="16840" w:code="9"/>
          <w:pgMar w:top="1009" w:right="851" w:bottom="1758" w:left="851" w:header="851" w:footer="1049" w:gutter="0"/>
          <w:cols w:space="227"/>
          <w:titlePg/>
          <w:docGrid w:linePitch="360"/>
        </w:sectPr>
      </w:pPr>
      <w:r w:rsidRPr="005E1822">
        <w:rPr>
          <w:rFonts w:cs="Times New Roman"/>
          <w:b w:val="0"/>
          <w:noProof/>
          <w:w w:val="108"/>
          <w:sz w:val="18"/>
          <w:szCs w:val="18"/>
          <w:lang w:eastAsia="en-GB"/>
        </w:rPr>
        <w:drawing>
          <wp:inline distT="0" distB="0" distL="0" distR="0">
            <wp:extent cx="6271200" cy="2059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heme 5_final scheme.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271200" cy="2059200"/>
                    </a:xfrm>
                    <a:prstGeom prst="rect">
                      <a:avLst/>
                    </a:prstGeom>
                  </pic:spPr>
                </pic:pic>
              </a:graphicData>
            </a:graphic>
          </wp:inline>
        </w:drawing>
      </w:r>
    </w:p>
    <w:p w:rsidR="00F939A6" w:rsidRPr="005E1822" w:rsidRDefault="00F939A6" w:rsidP="0087504A">
      <w:pPr>
        <w:pStyle w:val="RSCB04AHeadingSection"/>
        <w:spacing w:before="0" w:after="240"/>
        <w:jc w:val="both"/>
        <w:rPr>
          <w:rFonts w:cs="Times New Roman"/>
          <w:b w:val="0"/>
          <w:w w:val="108"/>
          <w:sz w:val="14"/>
          <w:szCs w:val="18"/>
        </w:rPr>
      </w:pPr>
      <w:r w:rsidRPr="005E1822">
        <w:rPr>
          <w:rFonts w:cs="Times New Roman"/>
          <w:w w:val="108"/>
          <w:sz w:val="14"/>
          <w:szCs w:val="18"/>
        </w:rPr>
        <w:t>Scheme 5.</w:t>
      </w:r>
      <w:r w:rsidR="00330145" w:rsidRPr="005E1822">
        <w:rPr>
          <w:rFonts w:cs="Times New Roman"/>
          <w:b w:val="0"/>
          <w:w w:val="108"/>
          <w:sz w:val="14"/>
          <w:szCs w:val="18"/>
        </w:rPr>
        <w:t xml:space="preserve"> Differences in r</w:t>
      </w:r>
      <w:r w:rsidRPr="005E1822">
        <w:rPr>
          <w:rFonts w:cs="Times New Roman"/>
          <w:b w:val="0"/>
          <w:w w:val="108"/>
          <w:sz w:val="14"/>
          <w:szCs w:val="18"/>
        </w:rPr>
        <w:t>eactivity of the unsaturated and aza-Michael derived pendant monomers.</w:t>
      </w:r>
      <w:r w:rsidR="00330145" w:rsidRPr="005E1822">
        <w:rPr>
          <w:rFonts w:cs="Times New Roman"/>
          <w:b w:val="0"/>
          <w:w w:val="108"/>
          <w:sz w:val="14"/>
          <w:szCs w:val="18"/>
        </w:rPr>
        <w:t xml:space="preserve"> Three main parameters were considered and a colour-code was assigned.</w:t>
      </w:r>
    </w:p>
    <w:p w:rsidR="00F939A6" w:rsidRPr="005E1822" w:rsidRDefault="00F939A6" w:rsidP="0087504A">
      <w:pPr>
        <w:pStyle w:val="RSCB04AHeadingSection"/>
        <w:spacing w:before="240"/>
        <w:sectPr w:rsidR="00F939A6" w:rsidRPr="005E1822" w:rsidSect="00F939A6">
          <w:type w:val="continuous"/>
          <w:pgSz w:w="11907" w:h="16840" w:code="9"/>
          <w:pgMar w:top="1009" w:right="851" w:bottom="1758" w:left="851" w:header="851" w:footer="1049" w:gutter="0"/>
          <w:cols w:space="227"/>
          <w:titlePg/>
          <w:docGrid w:linePitch="360"/>
        </w:sectPr>
      </w:pPr>
    </w:p>
    <w:p w:rsidR="00C9557D" w:rsidRPr="005E1822" w:rsidRDefault="00C9557D" w:rsidP="0087504A">
      <w:pPr>
        <w:pStyle w:val="RSCB04AHeadingSection"/>
        <w:spacing w:before="240"/>
      </w:pPr>
      <w:r w:rsidRPr="005E1822">
        <w:t>Conflict</w:t>
      </w:r>
      <w:r w:rsidR="00F05C18" w:rsidRPr="005E1822">
        <w:t>s</w:t>
      </w:r>
      <w:r w:rsidRPr="005E1822">
        <w:t xml:space="preserve"> of interest</w:t>
      </w:r>
    </w:p>
    <w:p w:rsidR="00A05364" w:rsidRPr="005E1822" w:rsidRDefault="00A05364" w:rsidP="00A05364">
      <w:pPr>
        <w:rPr>
          <w:rFonts w:cs="Times New Roman"/>
          <w:w w:val="108"/>
          <w:sz w:val="18"/>
          <w:szCs w:val="18"/>
        </w:rPr>
      </w:pPr>
      <w:r w:rsidRPr="005E1822">
        <w:rPr>
          <w:rFonts w:cs="Times New Roman"/>
          <w:w w:val="108"/>
          <w:sz w:val="18"/>
          <w:szCs w:val="18"/>
        </w:rPr>
        <w:t>Th</w:t>
      </w:r>
      <w:r w:rsidR="0087504A" w:rsidRPr="005E1822">
        <w:rPr>
          <w:rFonts w:cs="Times New Roman"/>
          <w:w w:val="108"/>
          <w:sz w:val="18"/>
          <w:szCs w:val="18"/>
        </w:rPr>
        <w:t>ere are no conflicts to declare</w:t>
      </w:r>
      <w:r w:rsidRPr="005E1822">
        <w:rPr>
          <w:rFonts w:cs="Times New Roman"/>
          <w:w w:val="108"/>
          <w:sz w:val="18"/>
          <w:szCs w:val="18"/>
        </w:rPr>
        <w:t>.</w:t>
      </w:r>
    </w:p>
    <w:p w:rsidR="00FA2DA2" w:rsidRPr="005E1822" w:rsidRDefault="00FA2DA2" w:rsidP="0087504A">
      <w:pPr>
        <w:pStyle w:val="RSCB04AHeadingSection"/>
        <w:spacing w:before="240"/>
      </w:pPr>
      <w:r w:rsidRPr="005E1822">
        <w:t>Acknowledgements</w:t>
      </w:r>
    </w:p>
    <w:p w:rsidR="0087504A" w:rsidRPr="005E1822" w:rsidRDefault="0087504A" w:rsidP="0087504A">
      <w:pPr>
        <w:pStyle w:val="RSCB04AHeadingSection"/>
        <w:spacing w:before="120"/>
        <w:jc w:val="both"/>
        <w:rPr>
          <w:rFonts w:cs="Times New Roman"/>
          <w:b w:val="0"/>
          <w:w w:val="108"/>
          <w:sz w:val="18"/>
          <w:szCs w:val="18"/>
        </w:rPr>
      </w:pPr>
      <w:r w:rsidRPr="005E1822">
        <w:rPr>
          <w:rFonts w:cs="Times New Roman"/>
          <w:b w:val="0"/>
          <w:w w:val="108"/>
          <w:sz w:val="18"/>
          <w:szCs w:val="18"/>
        </w:rPr>
        <w:t xml:space="preserve">AP thanks the FWF Erwin Schrödinger fellowship (grant agreement J 4014-N34) for financial support. TJF, JWC and JHC thanks the UK Engineering and Physical Sciences Research Council (EPSRC, grant EP/L017393/1) and the Biotechnology and Biological Sciences Research Council (BBSRC, grant BB/ BB/N023595/1) for supporting their involvement in this study. The authors thank Biome bioplastics for financial support. </w:t>
      </w:r>
      <w:r w:rsidR="00582313" w:rsidRPr="005E1822">
        <w:rPr>
          <w:rFonts w:cs="Times New Roman"/>
          <w:b w:val="0"/>
          <w:w w:val="108"/>
          <w:sz w:val="18"/>
          <w:szCs w:val="18"/>
        </w:rPr>
        <w:t>Molecular volumes and sigma-surfaces are courtesy of, and authorised for the purposes of, Circa Group Pty Ltd.</w:t>
      </w:r>
    </w:p>
    <w:p w:rsidR="00D010E8" w:rsidRPr="005E1822" w:rsidRDefault="00E61949" w:rsidP="0087504A">
      <w:pPr>
        <w:pStyle w:val="RSCB04AHeadingSection"/>
        <w:spacing w:before="240"/>
        <w:jc w:val="both"/>
      </w:pPr>
      <w:r w:rsidRPr="005E1822">
        <w:t>Notes and references</w:t>
      </w:r>
    </w:p>
    <w:p w:rsidR="0087504A" w:rsidRPr="005E1822" w:rsidRDefault="0087504A" w:rsidP="0087504A">
      <w:pPr>
        <w:pStyle w:val="RSCF02FootnotestoTitleAuthors"/>
        <w:spacing w:line="200" w:lineRule="exact"/>
        <w:rPr>
          <w:b/>
          <w:sz w:val="18"/>
          <w:szCs w:val="18"/>
        </w:rPr>
      </w:pPr>
      <w:r w:rsidRPr="005E1822">
        <w:rPr>
          <w:b/>
          <w:sz w:val="18"/>
          <w:szCs w:val="18"/>
        </w:rPr>
        <w:t>Access Statement</w:t>
      </w:r>
    </w:p>
    <w:p w:rsidR="0087504A" w:rsidRPr="005E1822" w:rsidRDefault="0087504A" w:rsidP="0087504A">
      <w:pPr>
        <w:pStyle w:val="RSCF02FootnotestoTitleAuthors"/>
        <w:spacing w:after="240" w:line="200" w:lineRule="exact"/>
        <w:rPr>
          <w:sz w:val="18"/>
          <w:szCs w:val="18"/>
        </w:rPr>
      </w:pPr>
      <w:r w:rsidRPr="005E1822">
        <w:rPr>
          <w:sz w:val="18"/>
          <w:szCs w:val="18"/>
        </w:rPr>
        <w:t>All data used in the preparation of this manuscript for the sections funded by the EPSRC grant EP/L017393/1 is contained within this document, the electronic supplementary information, or available on request from DOI: XXXX</w:t>
      </w:r>
      <w:r w:rsidR="00827BF4" w:rsidRPr="005E1822">
        <w:rPr>
          <w:sz w:val="18"/>
          <w:szCs w:val="18"/>
        </w:rPr>
        <w:t xml:space="preserve"> (will be provided upon acceptance of the manuscript)</w:t>
      </w:r>
      <w:r w:rsidRPr="005E1822">
        <w:rPr>
          <w:sz w:val="18"/>
          <w:szCs w:val="18"/>
        </w:rPr>
        <w:t>.</w:t>
      </w:r>
    </w:p>
    <w:p w:rsidR="0087504A" w:rsidRPr="005E1822" w:rsidRDefault="0087504A" w:rsidP="0087504A">
      <w:pPr>
        <w:pStyle w:val="RSCF02FootnotestoTitleAuthors"/>
        <w:spacing w:line="200" w:lineRule="exact"/>
        <w:rPr>
          <w:b/>
          <w:sz w:val="18"/>
          <w:szCs w:val="18"/>
        </w:rPr>
      </w:pPr>
      <w:r w:rsidRPr="005E1822">
        <w:rPr>
          <w:b/>
          <w:sz w:val="18"/>
          <w:szCs w:val="18"/>
        </w:rPr>
        <w:t>Author contributions</w:t>
      </w:r>
    </w:p>
    <w:p w:rsidR="0087504A" w:rsidRPr="005E1822" w:rsidRDefault="0087504A" w:rsidP="0087504A">
      <w:pPr>
        <w:pStyle w:val="RSCF02FootnotestoTitleAuthors"/>
        <w:spacing w:line="200" w:lineRule="exact"/>
        <w:rPr>
          <w:sz w:val="18"/>
          <w:szCs w:val="18"/>
        </w:rPr>
      </w:pPr>
      <w:r w:rsidRPr="005E1822">
        <w:rPr>
          <w:sz w:val="18"/>
          <w:szCs w:val="18"/>
        </w:rPr>
        <w:t>A.P. and P.A.H. did the enzymatic polymer synthesis, the aza-Michael additions and all relative analysis. J.W.C. did the chemo-catalytic synthesis and all relative analysis. A.P. and T.J.F. planned the experiments. A.P. wrote the manuscript. J.H.C. and T.J.F. supervised the work. All authors corrected the manuscript and discussed the data prior to submission.</w:t>
      </w:r>
    </w:p>
    <w:p w:rsidR="0087504A" w:rsidRPr="005E1822" w:rsidRDefault="0087504A" w:rsidP="00241ACD">
      <w:pPr>
        <w:pStyle w:val="RSCF02FootnotestoTitleAuthors"/>
        <w:spacing w:line="200" w:lineRule="exact"/>
        <w:rPr>
          <w:sz w:val="18"/>
          <w:szCs w:val="18"/>
        </w:rPr>
      </w:pPr>
    </w:p>
    <w:p w:rsidR="0087504A" w:rsidRPr="005E1822" w:rsidRDefault="0087504A" w:rsidP="00241ACD">
      <w:pPr>
        <w:pStyle w:val="RSCF02FootnotestoTitleAuthors"/>
        <w:spacing w:line="200" w:lineRule="exact"/>
        <w:rPr>
          <w:b/>
          <w:sz w:val="18"/>
          <w:szCs w:val="18"/>
          <w:lang w:val="it-IT"/>
        </w:rPr>
      </w:pPr>
      <w:r w:rsidRPr="005E1822">
        <w:rPr>
          <w:b/>
          <w:sz w:val="18"/>
          <w:szCs w:val="18"/>
          <w:lang w:val="it-IT"/>
        </w:rPr>
        <w:t>References</w:t>
      </w:r>
    </w:p>
    <w:p w:rsidR="0087504A" w:rsidRPr="005E1822" w:rsidRDefault="0087504A" w:rsidP="0087504A">
      <w:pPr>
        <w:pStyle w:val="RSCF02FootnotestoTitleAuthors"/>
        <w:spacing w:line="200" w:lineRule="exact"/>
        <w:rPr>
          <w:sz w:val="18"/>
          <w:szCs w:val="18"/>
          <w:lang w:val="it-IT"/>
        </w:rPr>
      </w:pPr>
      <w:r w:rsidRPr="005E1822">
        <w:rPr>
          <w:sz w:val="18"/>
          <w:szCs w:val="18"/>
          <w:lang w:val="it-IT"/>
        </w:rPr>
        <w:t>1.</w:t>
      </w:r>
      <w:r w:rsidRPr="005E1822">
        <w:rPr>
          <w:sz w:val="18"/>
          <w:szCs w:val="18"/>
          <w:lang w:val="it-IT"/>
        </w:rPr>
        <w:tab/>
      </w:r>
      <w:r w:rsidR="003A0DED" w:rsidRPr="005E1822">
        <w:rPr>
          <w:sz w:val="18"/>
          <w:szCs w:val="18"/>
          <w:lang w:val="it-IT"/>
        </w:rPr>
        <w:t xml:space="preserve">A. </w:t>
      </w:r>
      <w:r w:rsidRPr="005E1822">
        <w:rPr>
          <w:sz w:val="18"/>
          <w:szCs w:val="18"/>
          <w:lang w:val="it-IT"/>
        </w:rPr>
        <w:t xml:space="preserve">Pellis, A. </w:t>
      </w:r>
      <w:r w:rsidR="003A0DED" w:rsidRPr="005E1822">
        <w:rPr>
          <w:sz w:val="18"/>
          <w:szCs w:val="18"/>
          <w:lang w:val="it-IT"/>
        </w:rPr>
        <w:t>E. Herrero Acero, V. Ferrario, D. Ribitsch, G. M Guebitz and L. Gardossi.</w:t>
      </w:r>
      <w:r w:rsidRPr="005E1822">
        <w:rPr>
          <w:sz w:val="18"/>
          <w:szCs w:val="18"/>
          <w:lang w:val="it-IT"/>
        </w:rPr>
        <w:t xml:space="preserve"> </w:t>
      </w:r>
      <w:r w:rsidRPr="005E1822">
        <w:rPr>
          <w:i/>
          <w:sz w:val="18"/>
          <w:szCs w:val="18"/>
          <w:lang w:val="it-IT"/>
        </w:rPr>
        <w:t>Trends Biotechnol.</w:t>
      </w:r>
      <w:r w:rsidR="003A0DED" w:rsidRPr="005E1822">
        <w:rPr>
          <w:i/>
          <w:sz w:val="18"/>
          <w:szCs w:val="18"/>
          <w:lang w:val="it-IT"/>
        </w:rPr>
        <w:t>,</w:t>
      </w:r>
      <w:r w:rsidRPr="005E1822">
        <w:rPr>
          <w:sz w:val="18"/>
          <w:szCs w:val="18"/>
          <w:lang w:val="it-IT"/>
        </w:rPr>
        <w:t xml:space="preserve"> </w:t>
      </w:r>
      <w:r w:rsidR="003A0DED" w:rsidRPr="005E1822">
        <w:rPr>
          <w:sz w:val="18"/>
          <w:szCs w:val="18"/>
          <w:lang w:val="it-IT"/>
        </w:rPr>
        <w:t xml:space="preserve">2016, </w:t>
      </w:r>
      <w:r w:rsidR="003A0DED" w:rsidRPr="005E1822">
        <w:rPr>
          <w:b/>
          <w:sz w:val="18"/>
          <w:szCs w:val="18"/>
          <w:lang w:val="it-IT"/>
        </w:rPr>
        <w:t>34</w:t>
      </w:r>
      <w:r w:rsidR="003A0DED" w:rsidRPr="005E1822">
        <w:rPr>
          <w:sz w:val="18"/>
          <w:szCs w:val="18"/>
          <w:lang w:val="it-IT"/>
        </w:rPr>
        <w:t>, 316-328</w:t>
      </w:r>
    </w:p>
    <w:p w:rsidR="0087504A" w:rsidRPr="005E1822" w:rsidRDefault="0087504A" w:rsidP="0087504A">
      <w:pPr>
        <w:pStyle w:val="RSCF02FootnotestoTitleAuthors"/>
        <w:spacing w:line="200" w:lineRule="exact"/>
        <w:rPr>
          <w:sz w:val="18"/>
          <w:szCs w:val="18"/>
        </w:rPr>
      </w:pPr>
      <w:r w:rsidRPr="005E1822">
        <w:rPr>
          <w:sz w:val="18"/>
          <w:szCs w:val="18"/>
          <w:lang w:val="it-IT"/>
        </w:rPr>
        <w:t>2.</w:t>
      </w:r>
      <w:r w:rsidRPr="005E1822">
        <w:rPr>
          <w:sz w:val="18"/>
          <w:szCs w:val="18"/>
          <w:lang w:val="it-IT"/>
        </w:rPr>
        <w:tab/>
      </w:r>
      <w:r w:rsidR="003A0DED" w:rsidRPr="005E1822">
        <w:rPr>
          <w:sz w:val="18"/>
          <w:szCs w:val="18"/>
          <w:lang w:val="it-IT"/>
        </w:rPr>
        <w:t xml:space="preserve">A. Pellis, E. Herrero Acero, L. Gardossi, V. Ferrario and G. M </w:t>
      </w:r>
      <w:bookmarkStart w:id="12" w:name="_GoBack"/>
      <w:bookmarkEnd w:id="12"/>
      <w:r w:rsidR="003A0DED" w:rsidRPr="005E1822">
        <w:rPr>
          <w:sz w:val="18"/>
          <w:szCs w:val="18"/>
          <w:lang w:val="it-IT"/>
        </w:rPr>
        <w:t>Guebitz</w:t>
      </w:r>
      <w:r w:rsidRPr="005E1822">
        <w:rPr>
          <w:i/>
          <w:sz w:val="18"/>
          <w:szCs w:val="18"/>
          <w:lang w:val="it-IT"/>
        </w:rPr>
        <w:t xml:space="preserve">. </w:t>
      </w:r>
      <w:r w:rsidR="003A0DED" w:rsidRPr="005E1822">
        <w:rPr>
          <w:i/>
          <w:sz w:val="18"/>
          <w:szCs w:val="18"/>
        </w:rPr>
        <w:t>Polym. Int</w:t>
      </w:r>
      <w:r w:rsidR="003A0DED" w:rsidRPr="005E1822">
        <w:rPr>
          <w:sz w:val="18"/>
          <w:szCs w:val="18"/>
        </w:rPr>
        <w:t xml:space="preserve">., 2016, </w:t>
      </w:r>
      <w:r w:rsidR="003A0DED" w:rsidRPr="005E1822">
        <w:rPr>
          <w:b/>
          <w:sz w:val="18"/>
          <w:szCs w:val="18"/>
        </w:rPr>
        <w:t>65</w:t>
      </w:r>
      <w:r w:rsidR="003A0DED" w:rsidRPr="005E1822">
        <w:rPr>
          <w:sz w:val="18"/>
          <w:szCs w:val="18"/>
        </w:rPr>
        <w:t>, 861-871</w:t>
      </w:r>
    </w:p>
    <w:p w:rsidR="0087504A" w:rsidRPr="005E1822" w:rsidRDefault="0087504A" w:rsidP="0087504A">
      <w:pPr>
        <w:pStyle w:val="RSCF02FootnotestoTitleAuthors"/>
        <w:spacing w:line="200" w:lineRule="exact"/>
        <w:rPr>
          <w:sz w:val="18"/>
          <w:szCs w:val="18"/>
        </w:rPr>
      </w:pPr>
      <w:r w:rsidRPr="005E1822">
        <w:rPr>
          <w:sz w:val="18"/>
          <w:szCs w:val="18"/>
        </w:rPr>
        <w:t>3.</w:t>
      </w:r>
      <w:r w:rsidRPr="005E1822">
        <w:rPr>
          <w:sz w:val="18"/>
          <w:szCs w:val="18"/>
        </w:rPr>
        <w:tab/>
      </w:r>
      <w:r w:rsidR="003A0DED" w:rsidRPr="005E1822">
        <w:rPr>
          <w:sz w:val="18"/>
          <w:szCs w:val="18"/>
        </w:rPr>
        <w:t xml:space="preserve">T. </w:t>
      </w:r>
      <w:proofErr w:type="spellStart"/>
      <w:r w:rsidR="003A0DED" w:rsidRPr="005E1822">
        <w:rPr>
          <w:sz w:val="18"/>
          <w:szCs w:val="18"/>
        </w:rPr>
        <w:t>Werpy</w:t>
      </w:r>
      <w:proofErr w:type="spellEnd"/>
      <w:r w:rsidR="003A0DED" w:rsidRPr="005E1822">
        <w:rPr>
          <w:sz w:val="18"/>
          <w:szCs w:val="18"/>
        </w:rPr>
        <w:t>, and G. Petersen</w:t>
      </w:r>
      <w:r w:rsidRPr="005E1822">
        <w:rPr>
          <w:sz w:val="18"/>
          <w:szCs w:val="18"/>
        </w:rPr>
        <w:t xml:space="preserve">. Top Value Added Chemicals </w:t>
      </w:r>
      <w:proofErr w:type="gramStart"/>
      <w:r w:rsidRPr="005E1822">
        <w:rPr>
          <w:sz w:val="18"/>
          <w:szCs w:val="18"/>
        </w:rPr>
        <w:t>From</w:t>
      </w:r>
      <w:proofErr w:type="gramEnd"/>
      <w:r w:rsidRPr="005E1822">
        <w:rPr>
          <w:sz w:val="18"/>
          <w:szCs w:val="18"/>
        </w:rPr>
        <w:t xml:space="preserve"> Biomass. Volume 1 - Results of Screening for Potential Candidates From Sugars and Synthesis Gas. Department</w:t>
      </w:r>
      <w:r w:rsidR="003A0DED" w:rsidRPr="005E1822">
        <w:rPr>
          <w:sz w:val="18"/>
          <w:szCs w:val="18"/>
        </w:rPr>
        <w:t xml:space="preserve"> of Energy, Washington DC, 2004</w:t>
      </w:r>
    </w:p>
    <w:p w:rsidR="0087504A" w:rsidRPr="005E1822" w:rsidRDefault="0087504A" w:rsidP="0087504A">
      <w:pPr>
        <w:pStyle w:val="RSCF02FootnotestoTitleAuthors"/>
        <w:spacing w:line="200" w:lineRule="exact"/>
        <w:rPr>
          <w:sz w:val="18"/>
          <w:szCs w:val="18"/>
        </w:rPr>
      </w:pPr>
      <w:r w:rsidRPr="005E1822">
        <w:rPr>
          <w:sz w:val="18"/>
          <w:szCs w:val="18"/>
        </w:rPr>
        <w:t>4.</w:t>
      </w:r>
      <w:r w:rsidRPr="005E1822">
        <w:rPr>
          <w:sz w:val="18"/>
          <w:szCs w:val="18"/>
        </w:rPr>
        <w:tab/>
      </w:r>
      <w:r w:rsidR="003A0DED" w:rsidRPr="005E1822">
        <w:rPr>
          <w:sz w:val="18"/>
          <w:szCs w:val="18"/>
        </w:rPr>
        <w:t>T. Sato, Y. Takahashi, M. Seno, H. Nakamura, H. Tanaka and T. Ota</w:t>
      </w:r>
      <w:r w:rsidRPr="005E1822">
        <w:rPr>
          <w:sz w:val="18"/>
          <w:szCs w:val="18"/>
        </w:rPr>
        <w:t xml:space="preserve">. </w:t>
      </w:r>
      <w:proofErr w:type="spellStart"/>
      <w:r w:rsidRPr="005E1822">
        <w:rPr>
          <w:i/>
          <w:sz w:val="18"/>
          <w:szCs w:val="18"/>
        </w:rPr>
        <w:t>Makromol</w:t>
      </w:r>
      <w:proofErr w:type="spellEnd"/>
      <w:r w:rsidRPr="005E1822">
        <w:rPr>
          <w:i/>
          <w:sz w:val="18"/>
          <w:szCs w:val="18"/>
        </w:rPr>
        <w:t>. Chem</w:t>
      </w:r>
      <w:r w:rsidRPr="005E1822">
        <w:rPr>
          <w:sz w:val="18"/>
          <w:szCs w:val="18"/>
        </w:rPr>
        <w:t>.</w:t>
      </w:r>
      <w:r w:rsidR="003A0DED" w:rsidRPr="005E1822">
        <w:rPr>
          <w:sz w:val="18"/>
          <w:szCs w:val="18"/>
        </w:rPr>
        <w:t>,</w:t>
      </w:r>
      <w:r w:rsidRPr="005E1822">
        <w:rPr>
          <w:sz w:val="18"/>
          <w:szCs w:val="18"/>
        </w:rPr>
        <w:t xml:space="preserve"> </w:t>
      </w:r>
      <w:r w:rsidR="003A0DED" w:rsidRPr="005E1822">
        <w:rPr>
          <w:sz w:val="18"/>
          <w:szCs w:val="18"/>
        </w:rPr>
        <w:t xml:space="preserve">1991, </w:t>
      </w:r>
      <w:r w:rsidR="003A0DED" w:rsidRPr="005E1822">
        <w:rPr>
          <w:b/>
          <w:sz w:val="18"/>
          <w:szCs w:val="18"/>
        </w:rPr>
        <w:t>192</w:t>
      </w:r>
      <w:r w:rsidR="003A0DED" w:rsidRPr="005E1822">
        <w:rPr>
          <w:sz w:val="18"/>
          <w:szCs w:val="18"/>
        </w:rPr>
        <w:t>, 2909-2914</w:t>
      </w:r>
    </w:p>
    <w:p w:rsidR="0087504A" w:rsidRPr="005E1822" w:rsidRDefault="0087504A" w:rsidP="0087504A">
      <w:pPr>
        <w:pStyle w:val="RSCF02FootnotestoTitleAuthors"/>
        <w:spacing w:line="200" w:lineRule="exact"/>
        <w:rPr>
          <w:sz w:val="18"/>
          <w:szCs w:val="18"/>
        </w:rPr>
      </w:pPr>
      <w:r w:rsidRPr="005E1822">
        <w:rPr>
          <w:sz w:val="18"/>
          <w:szCs w:val="18"/>
        </w:rPr>
        <w:t>5.</w:t>
      </w:r>
      <w:r w:rsidRPr="005E1822">
        <w:rPr>
          <w:sz w:val="18"/>
          <w:szCs w:val="18"/>
        </w:rPr>
        <w:tab/>
      </w:r>
      <w:r w:rsidR="00E1065B" w:rsidRPr="005E1822">
        <w:rPr>
          <w:sz w:val="18"/>
          <w:szCs w:val="18"/>
        </w:rPr>
        <w:t xml:space="preserve">T. Sato, S. Inui, H. Tanaka, T. Ota, M. </w:t>
      </w:r>
      <w:proofErr w:type="spellStart"/>
      <w:r w:rsidR="00E1065B" w:rsidRPr="005E1822">
        <w:rPr>
          <w:sz w:val="18"/>
          <w:szCs w:val="18"/>
        </w:rPr>
        <w:t>Kamachi</w:t>
      </w:r>
      <w:proofErr w:type="spellEnd"/>
      <w:r w:rsidR="00E1065B" w:rsidRPr="005E1822">
        <w:rPr>
          <w:sz w:val="18"/>
          <w:szCs w:val="18"/>
        </w:rPr>
        <w:t xml:space="preserve"> and K. Tanaka</w:t>
      </w:r>
      <w:r w:rsidRPr="005E1822">
        <w:rPr>
          <w:sz w:val="18"/>
          <w:szCs w:val="18"/>
        </w:rPr>
        <w:t xml:space="preserve">. </w:t>
      </w:r>
      <w:r w:rsidRPr="005E1822">
        <w:rPr>
          <w:i/>
          <w:sz w:val="18"/>
          <w:szCs w:val="18"/>
        </w:rPr>
        <w:t>J</w:t>
      </w:r>
      <w:r w:rsidR="00E1065B" w:rsidRPr="005E1822">
        <w:rPr>
          <w:i/>
          <w:sz w:val="18"/>
          <w:szCs w:val="18"/>
        </w:rPr>
        <w:t>. Polym. Sci. Part A Polym. Chem</w:t>
      </w:r>
      <w:r w:rsidR="00E1065B" w:rsidRPr="005E1822">
        <w:rPr>
          <w:sz w:val="18"/>
          <w:szCs w:val="18"/>
        </w:rPr>
        <w:t xml:space="preserve">., 1987, </w:t>
      </w:r>
      <w:r w:rsidR="00E1065B" w:rsidRPr="005E1822">
        <w:rPr>
          <w:b/>
          <w:sz w:val="18"/>
          <w:szCs w:val="18"/>
        </w:rPr>
        <w:t>25</w:t>
      </w:r>
      <w:r w:rsidR="00E1065B" w:rsidRPr="005E1822">
        <w:rPr>
          <w:sz w:val="18"/>
          <w:szCs w:val="18"/>
        </w:rPr>
        <w:t>, 637-652</w:t>
      </w:r>
    </w:p>
    <w:p w:rsidR="00EE1898" w:rsidRPr="005E1822" w:rsidRDefault="0087504A" w:rsidP="0087504A">
      <w:pPr>
        <w:pStyle w:val="RSCF02FootnotestoTitleAuthors"/>
        <w:spacing w:line="200" w:lineRule="exact"/>
        <w:rPr>
          <w:sz w:val="18"/>
          <w:szCs w:val="18"/>
        </w:rPr>
      </w:pPr>
      <w:r w:rsidRPr="005E1822">
        <w:rPr>
          <w:sz w:val="18"/>
          <w:szCs w:val="18"/>
        </w:rPr>
        <w:t>6.</w:t>
      </w:r>
      <w:r w:rsidRPr="005E1822">
        <w:rPr>
          <w:sz w:val="18"/>
          <w:szCs w:val="18"/>
        </w:rPr>
        <w:tab/>
      </w:r>
      <w:r w:rsidR="006D2D49" w:rsidRPr="005E1822">
        <w:rPr>
          <w:sz w:val="18"/>
          <w:szCs w:val="18"/>
        </w:rPr>
        <w:t xml:space="preserve">T. Betancourt, J. Pardo, K. Soo and N. A. </w:t>
      </w:r>
      <w:proofErr w:type="spellStart"/>
      <w:r w:rsidR="006D2D49" w:rsidRPr="005E1822">
        <w:rPr>
          <w:sz w:val="18"/>
          <w:szCs w:val="18"/>
        </w:rPr>
        <w:t>Peppas</w:t>
      </w:r>
      <w:proofErr w:type="spellEnd"/>
      <w:r w:rsidR="006D2D49" w:rsidRPr="005E1822">
        <w:rPr>
          <w:sz w:val="18"/>
          <w:szCs w:val="18"/>
        </w:rPr>
        <w:t>.</w:t>
      </w:r>
      <w:r w:rsidRPr="005E1822">
        <w:rPr>
          <w:sz w:val="18"/>
          <w:szCs w:val="18"/>
        </w:rPr>
        <w:t xml:space="preserve"> </w:t>
      </w:r>
      <w:r w:rsidRPr="005E1822">
        <w:rPr>
          <w:i/>
          <w:sz w:val="18"/>
          <w:szCs w:val="18"/>
        </w:rPr>
        <w:t>J. Biomed. Mater. Res. A</w:t>
      </w:r>
      <w:r w:rsidR="00EE1898" w:rsidRPr="005E1822">
        <w:rPr>
          <w:sz w:val="18"/>
          <w:szCs w:val="18"/>
        </w:rPr>
        <w:t>, 2010,</w:t>
      </w:r>
      <w:r w:rsidRPr="005E1822">
        <w:rPr>
          <w:sz w:val="18"/>
          <w:szCs w:val="18"/>
        </w:rPr>
        <w:t xml:space="preserve"> </w:t>
      </w:r>
      <w:r w:rsidRPr="005E1822">
        <w:rPr>
          <w:b/>
          <w:sz w:val="18"/>
          <w:szCs w:val="18"/>
        </w:rPr>
        <w:t>93A</w:t>
      </w:r>
      <w:r w:rsidR="00EE1898" w:rsidRPr="005E1822">
        <w:rPr>
          <w:sz w:val="18"/>
          <w:szCs w:val="18"/>
        </w:rPr>
        <w:t>, 175-188</w:t>
      </w:r>
    </w:p>
    <w:p w:rsidR="00EE1898" w:rsidRPr="005E1822" w:rsidRDefault="0087504A" w:rsidP="0087504A">
      <w:pPr>
        <w:pStyle w:val="RSCF02FootnotestoTitleAuthors"/>
        <w:spacing w:line="200" w:lineRule="exact"/>
        <w:rPr>
          <w:sz w:val="18"/>
          <w:szCs w:val="18"/>
        </w:rPr>
      </w:pPr>
      <w:r w:rsidRPr="005E1822">
        <w:rPr>
          <w:sz w:val="18"/>
          <w:szCs w:val="18"/>
        </w:rPr>
        <w:t>7.</w:t>
      </w:r>
      <w:r w:rsidRPr="005E1822">
        <w:rPr>
          <w:sz w:val="18"/>
          <w:szCs w:val="18"/>
        </w:rPr>
        <w:tab/>
      </w:r>
      <w:r w:rsidR="00EE1898" w:rsidRPr="005E1822">
        <w:rPr>
          <w:sz w:val="18"/>
          <w:szCs w:val="18"/>
        </w:rPr>
        <w:t xml:space="preserve">T. J. </w:t>
      </w:r>
      <w:r w:rsidRPr="005E1822">
        <w:rPr>
          <w:sz w:val="18"/>
          <w:szCs w:val="18"/>
        </w:rPr>
        <w:t xml:space="preserve">Farmer, </w:t>
      </w:r>
      <w:r w:rsidR="00EE1898" w:rsidRPr="005E1822">
        <w:rPr>
          <w:sz w:val="18"/>
          <w:szCs w:val="18"/>
        </w:rPr>
        <w:t>R. L.</w:t>
      </w:r>
      <w:r w:rsidRPr="005E1822">
        <w:rPr>
          <w:sz w:val="18"/>
          <w:szCs w:val="18"/>
        </w:rPr>
        <w:t xml:space="preserve"> Castle, </w:t>
      </w:r>
      <w:r w:rsidR="00EE1898" w:rsidRPr="005E1822">
        <w:rPr>
          <w:sz w:val="18"/>
          <w:szCs w:val="18"/>
        </w:rPr>
        <w:t xml:space="preserve">J. H. Clark and D. J. </w:t>
      </w:r>
      <w:proofErr w:type="spellStart"/>
      <w:r w:rsidR="00EE1898" w:rsidRPr="005E1822">
        <w:rPr>
          <w:sz w:val="18"/>
          <w:szCs w:val="18"/>
        </w:rPr>
        <w:t>Macquarrie</w:t>
      </w:r>
      <w:proofErr w:type="spellEnd"/>
      <w:r w:rsidRPr="005E1822">
        <w:rPr>
          <w:sz w:val="18"/>
          <w:szCs w:val="18"/>
        </w:rPr>
        <w:t xml:space="preserve">. </w:t>
      </w:r>
      <w:r w:rsidRPr="005E1822">
        <w:rPr>
          <w:i/>
          <w:sz w:val="18"/>
          <w:szCs w:val="18"/>
        </w:rPr>
        <w:t>Int. J. Mol. Sci</w:t>
      </w:r>
      <w:r w:rsidRPr="005E1822">
        <w:rPr>
          <w:sz w:val="18"/>
          <w:szCs w:val="18"/>
        </w:rPr>
        <w:t>.</w:t>
      </w:r>
      <w:r w:rsidR="00EE1898" w:rsidRPr="005E1822">
        <w:rPr>
          <w:sz w:val="18"/>
          <w:szCs w:val="18"/>
        </w:rPr>
        <w:t>, 2015,</w:t>
      </w:r>
      <w:r w:rsidRPr="005E1822">
        <w:rPr>
          <w:sz w:val="18"/>
          <w:szCs w:val="18"/>
        </w:rPr>
        <w:t xml:space="preserve"> </w:t>
      </w:r>
      <w:r w:rsidRPr="005E1822">
        <w:rPr>
          <w:b/>
          <w:sz w:val="18"/>
          <w:szCs w:val="18"/>
        </w:rPr>
        <w:t>16</w:t>
      </w:r>
      <w:r w:rsidR="00EE1898" w:rsidRPr="005E1822">
        <w:rPr>
          <w:sz w:val="18"/>
          <w:szCs w:val="18"/>
        </w:rPr>
        <w:t>, 14912-14932</w:t>
      </w:r>
    </w:p>
    <w:p w:rsidR="0087504A" w:rsidRPr="005E1822" w:rsidRDefault="0087504A" w:rsidP="0087504A">
      <w:pPr>
        <w:pStyle w:val="RSCF02FootnotestoTitleAuthors"/>
        <w:spacing w:line="200" w:lineRule="exact"/>
        <w:rPr>
          <w:sz w:val="18"/>
          <w:szCs w:val="18"/>
        </w:rPr>
      </w:pPr>
      <w:r w:rsidRPr="005E1822">
        <w:rPr>
          <w:sz w:val="18"/>
          <w:szCs w:val="18"/>
        </w:rPr>
        <w:t>8.</w:t>
      </w:r>
      <w:r w:rsidRPr="005E1822">
        <w:rPr>
          <w:sz w:val="18"/>
          <w:szCs w:val="18"/>
        </w:rPr>
        <w:tab/>
      </w:r>
      <w:r w:rsidR="00EE1898" w:rsidRPr="005E1822">
        <w:rPr>
          <w:sz w:val="18"/>
          <w:szCs w:val="18"/>
        </w:rPr>
        <w:t xml:space="preserve">T. J. </w:t>
      </w:r>
      <w:r w:rsidRPr="005E1822">
        <w:rPr>
          <w:sz w:val="18"/>
          <w:szCs w:val="18"/>
        </w:rPr>
        <w:t>Farmer, J.</w:t>
      </w:r>
      <w:r w:rsidR="00EE1898" w:rsidRPr="005E1822">
        <w:rPr>
          <w:sz w:val="18"/>
          <w:szCs w:val="18"/>
        </w:rPr>
        <w:t xml:space="preserve"> H. Clark, D. J.</w:t>
      </w:r>
      <w:r w:rsidRPr="005E1822">
        <w:rPr>
          <w:sz w:val="18"/>
          <w:szCs w:val="18"/>
        </w:rPr>
        <w:t xml:space="preserve"> </w:t>
      </w:r>
      <w:proofErr w:type="spellStart"/>
      <w:r w:rsidRPr="005E1822">
        <w:rPr>
          <w:sz w:val="18"/>
          <w:szCs w:val="18"/>
        </w:rPr>
        <w:t>Macquarrie</w:t>
      </w:r>
      <w:proofErr w:type="spellEnd"/>
      <w:r w:rsidRPr="005E1822">
        <w:rPr>
          <w:sz w:val="18"/>
          <w:szCs w:val="18"/>
        </w:rPr>
        <w:t xml:space="preserve">, </w:t>
      </w:r>
      <w:r w:rsidR="00EE1898" w:rsidRPr="005E1822">
        <w:rPr>
          <w:sz w:val="18"/>
          <w:szCs w:val="18"/>
        </w:rPr>
        <w:t xml:space="preserve">J. </w:t>
      </w:r>
      <w:proofErr w:type="spellStart"/>
      <w:r w:rsidR="00EE1898" w:rsidRPr="005E1822">
        <w:rPr>
          <w:sz w:val="18"/>
          <w:szCs w:val="18"/>
        </w:rPr>
        <w:t>Ogunjobi</w:t>
      </w:r>
      <w:proofErr w:type="spellEnd"/>
      <w:r w:rsidR="00EE1898" w:rsidRPr="005E1822">
        <w:rPr>
          <w:sz w:val="18"/>
          <w:szCs w:val="18"/>
        </w:rPr>
        <w:t xml:space="preserve"> and R. L.</w:t>
      </w:r>
      <w:r w:rsidRPr="005E1822">
        <w:rPr>
          <w:sz w:val="18"/>
          <w:szCs w:val="18"/>
        </w:rPr>
        <w:t xml:space="preserve"> Castle</w:t>
      </w:r>
      <w:r w:rsidR="00EE1898" w:rsidRPr="005E1822">
        <w:rPr>
          <w:sz w:val="18"/>
          <w:szCs w:val="18"/>
        </w:rPr>
        <w:t>.</w:t>
      </w:r>
      <w:r w:rsidRPr="005E1822">
        <w:rPr>
          <w:sz w:val="18"/>
          <w:szCs w:val="18"/>
        </w:rPr>
        <w:t xml:space="preserve"> </w:t>
      </w:r>
      <w:r w:rsidRPr="005E1822">
        <w:rPr>
          <w:i/>
          <w:sz w:val="18"/>
          <w:szCs w:val="18"/>
        </w:rPr>
        <w:t>Polym.</w:t>
      </w:r>
      <w:r w:rsidR="00EE1898" w:rsidRPr="005E1822">
        <w:rPr>
          <w:i/>
          <w:sz w:val="18"/>
          <w:szCs w:val="18"/>
        </w:rPr>
        <w:t xml:space="preserve"> Chem</w:t>
      </w:r>
      <w:r w:rsidR="00EE1898" w:rsidRPr="005E1822">
        <w:rPr>
          <w:sz w:val="18"/>
          <w:szCs w:val="18"/>
        </w:rPr>
        <w:t xml:space="preserve">., 2016, </w:t>
      </w:r>
      <w:r w:rsidRPr="005E1822">
        <w:rPr>
          <w:b/>
          <w:sz w:val="18"/>
          <w:szCs w:val="18"/>
        </w:rPr>
        <w:t>7</w:t>
      </w:r>
      <w:r w:rsidR="00EE1898" w:rsidRPr="005E1822">
        <w:rPr>
          <w:sz w:val="18"/>
          <w:szCs w:val="18"/>
        </w:rPr>
        <w:t>, 1650-1658</w:t>
      </w:r>
    </w:p>
    <w:p w:rsidR="0087504A" w:rsidRPr="005E1822" w:rsidRDefault="0087504A" w:rsidP="0087504A">
      <w:pPr>
        <w:pStyle w:val="RSCF02FootnotestoTitleAuthors"/>
        <w:spacing w:line="200" w:lineRule="exact"/>
        <w:rPr>
          <w:sz w:val="18"/>
          <w:szCs w:val="18"/>
        </w:rPr>
      </w:pPr>
      <w:r w:rsidRPr="005E1822">
        <w:rPr>
          <w:sz w:val="18"/>
          <w:szCs w:val="18"/>
        </w:rPr>
        <w:t>9.</w:t>
      </w:r>
      <w:r w:rsidRPr="005E1822">
        <w:rPr>
          <w:sz w:val="18"/>
          <w:szCs w:val="18"/>
        </w:rPr>
        <w:tab/>
      </w:r>
      <w:r w:rsidR="00EE1898" w:rsidRPr="005E1822">
        <w:rPr>
          <w:sz w:val="18"/>
          <w:szCs w:val="18"/>
        </w:rPr>
        <w:t>S. Chanda and</w:t>
      </w:r>
      <w:r w:rsidRPr="005E1822">
        <w:rPr>
          <w:sz w:val="18"/>
          <w:szCs w:val="18"/>
        </w:rPr>
        <w:t xml:space="preserve"> S. Ramakrishnan. </w:t>
      </w:r>
      <w:r w:rsidRPr="005E1822">
        <w:rPr>
          <w:i/>
          <w:sz w:val="18"/>
          <w:szCs w:val="18"/>
        </w:rPr>
        <w:t>Polym. Chem</w:t>
      </w:r>
      <w:r w:rsidRPr="005E1822">
        <w:rPr>
          <w:sz w:val="18"/>
          <w:szCs w:val="18"/>
        </w:rPr>
        <w:t>.</w:t>
      </w:r>
      <w:r w:rsidR="00EE1898" w:rsidRPr="005E1822">
        <w:rPr>
          <w:sz w:val="18"/>
          <w:szCs w:val="18"/>
        </w:rPr>
        <w:t>, 2015,</w:t>
      </w:r>
      <w:r w:rsidRPr="005E1822">
        <w:rPr>
          <w:sz w:val="18"/>
          <w:szCs w:val="18"/>
        </w:rPr>
        <w:t xml:space="preserve"> </w:t>
      </w:r>
      <w:r w:rsidRPr="005E1822">
        <w:rPr>
          <w:b/>
          <w:sz w:val="18"/>
          <w:szCs w:val="18"/>
        </w:rPr>
        <w:t>6</w:t>
      </w:r>
      <w:r w:rsidR="00EE1898" w:rsidRPr="005E1822">
        <w:rPr>
          <w:sz w:val="18"/>
          <w:szCs w:val="18"/>
        </w:rPr>
        <w:t>, 2108-2114</w:t>
      </w:r>
    </w:p>
    <w:p w:rsidR="0087504A" w:rsidRPr="005E1822" w:rsidRDefault="0087504A" w:rsidP="0087504A">
      <w:pPr>
        <w:pStyle w:val="RSCF02FootnotestoTitleAuthors"/>
        <w:spacing w:line="200" w:lineRule="exact"/>
        <w:rPr>
          <w:sz w:val="18"/>
          <w:szCs w:val="18"/>
        </w:rPr>
      </w:pPr>
      <w:r w:rsidRPr="005E1822">
        <w:rPr>
          <w:sz w:val="18"/>
          <w:szCs w:val="18"/>
        </w:rPr>
        <w:t>10.</w:t>
      </w:r>
      <w:r w:rsidRPr="005E1822">
        <w:rPr>
          <w:sz w:val="18"/>
          <w:szCs w:val="18"/>
        </w:rPr>
        <w:tab/>
      </w:r>
      <w:r w:rsidR="00EE1898" w:rsidRPr="005E1822">
        <w:rPr>
          <w:sz w:val="18"/>
          <w:szCs w:val="18"/>
        </w:rPr>
        <w:t xml:space="preserve">I. </w:t>
      </w:r>
      <w:proofErr w:type="spellStart"/>
      <w:r w:rsidR="00EE1898" w:rsidRPr="005E1822">
        <w:rPr>
          <w:sz w:val="18"/>
          <w:szCs w:val="18"/>
        </w:rPr>
        <w:t>Schoon</w:t>
      </w:r>
      <w:proofErr w:type="spellEnd"/>
      <w:r w:rsidRPr="005E1822">
        <w:rPr>
          <w:sz w:val="18"/>
          <w:szCs w:val="18"/>
        </w:rPr>
        <w:t xml:space="preserve">, </w:t>
      </w:r>
      <w:r w:rsidR="00EE1898" w:rsidRPr="005E1822">
        <w:rPr>
          <w:sz w:val="18"/>
          <w:szCs w:val="18"/>
        </w:rPr>
        <w:t>M. Kluge</w:t>
      </w:r>
      <w:r w:rsidRPr="005E1822">
        <w:rPr>
          <w:sz w:val="18"/>
          <w:szCs w:val="18"/>
        </w:rPr>
        <w:t xml:space="preserve">, </w:t>
      </w:r>
      <w:r w:rsidR="00EE1898" w:rsidRPr="005E1822">
        <w:rPr>
          <w:sz w:val="18"/>
          <w:szCs w:val="18"/>
        </w:rPr>
        <w:t xml:space="preserve">S. </w:t>
      </w:r>
      <w:proofErr w:type="spellStart"/>
      <w:r w:rsidR="00EE1898" w:rsidRPr="005E1822">
        <w:rPr>
          <w:sz w:val="18"/>
          <w:szCs w:val="18"/>
        </w:rPr>
        <w:t>Eschig</w:t>
      </w:r>
      <w:proofErr w:type="spellEnd"/>
      <w:r w:rsidRPr="005E1822">
        <w:rPr>
          <w:sz w:val="18"/>
          <w:szCs w:val="18"/>
        </w:rPr>
        <w:t xml:space="preserve"> </w:t>
      </w:r>
      <w:r w:rsidR="00EE1898" w:rsidRPr="005E1822">
        <w:rPr>
          <w:sz w:val="18"/>
          <w:szCs w:val="18"/>
        </w:rPr>
        <w:t xml:space="preserve">and T. Robert. </w:t>
      </w:r>
      <w:r w:rsidRPr="005E1822">
        <w:rPr>
          <w:i/>
          <w:sz w:val="18"/>
          <w:szCs w:val="18"/>
        </w:rPr>
        <w:t>Polymers</w:t>
      </w:r>
      <w:r w:rsidR="00EE1898" w:rsidRPr="005E1822">
        <w:rPr>
          <w:sz w:val="18"/>
          <w:szCs w:val="18"/>
        </w:rPr>
        <w:t xml:space="preserve">, 2017, </w:t>
      </w:r>
      <w:r w:rsidR="00EE1898" w:rsidRPr="005E1822">
        <w:rPr>
          <w:b/>
          <w:sz w:val="18"/>
          <w:szCs w:val="18"/>
        </w:rPr>
        <w:t>9</w:t>
      </w:r>
      <w:r w:rsidR="00EE1898" w:rsidRPr="005E1822">
        <w:rPr>
          <w:sz w:val="18"/>
          <w:szCs w:val="18"/>
        </w:rPr>
        <w:t>, 693</w:t>
      </w:r>
    </w:p>
    <w:p w:rsidR="0087504A" w:rsidRPr="005E1822" w:rsidRDefault="0087504A" w:rsidP="0087504A">
      <w:pPr>
        <w:pStyle w:val="RSCF02FootnotestoTitleAuthors"/>
        <w:spacing w:line="200" w:lineRule="exact"/>
        <w:rPr>
          <w:sz w:val="18"/>
          <w:szCs w:val="18"/>
        </w:rPr>
      </w:pPr>
      <w:r w:rsidRPr="005E1822">
        <w:rPr>
          <w:sz w:val="18"/>
          <w:szCs w:val="18"/>
        </w:rPr>
        <w:t>11.</w:t>
      </w:r>
      <w:r w:rsidRPr="005E1822">
        <w:rPr>
          <w:sz w:val="18"/>
          <w:szCs w:val="18"/>
        </w:rPr>
        <w:tab/>
      </w:r>
      <w:r w:rsidR="009150C9" w:rsidRPr="005E1822">
        <w:rPr>
          <w:sz w:val="18"/>
          <w:szCs w:val="18"/>
        </w:rPr>
        <w:t xml:space="preserve">M. Sakai. </w:t>
      </w:r>
      <w:r w:rsidR="009150C9" w:rsidRPr="005E1822">
        <w:rPr>
          <w:i/>
          <w:sz w:val="18"/>
          <w:szCs w:val="18"/>
        </w:rPr>
        <w:t xml:space="preserve">Bull. Chem. Soc. </w:t>
      </w:r>
      <w:proofErr w:type="spellStart"/>
      <w:r w:rsidR="009150C9" w:rsidRPr="005E1822">
        <w:rPr>
          <w:i/>
          <w:sz w:val="18"/>
          <w:szCs w:val="18"/>
        </w:rPr>
        <w:t>Jpn</w:t>
      </w:r>
      <w:proofErr w:type="spellEnd"/>
      <w:r w:rsidR="009150C9" w:rsidRPr="005E1822">
        <w:rPr>
          <w:sz w:val="18"/>
          <w:szCs w:val="18"/>
        </w:rPr>
        <w:t xml:space="preserve">., 1976, </w:t>
      </w:r>
      <w:r w:rsidR="009150C9" w:rsidRPr="005E1822">
        <w:rPr>
          <w:b/>
          <w:sz w:val="18"/>
          <w:szCs w:val="18"/>
        </w:rPr>
        <w:t>49</w:t>
      </w:r>
      <w:r w:rsidR="009150C9" w:rsidRPr="005E1822">
        <w:rPr>
          <w:sz w:val="18"/>
          <w:szCs w:val="18"/>
        </w:rPr>
        <w:t>, 219-223</w:t>
      </w:r>
    </w:p>
    <w:p w:rsidR="0087504A" w:rsidRPr="005E1822" w:rsidRDefault="0087504A" w:rsidP="0087504A">
      <w:pPr>
        <w:pStyle w:val="RSCF02FootnotestoTitleAuthors"/>
        <w:spacing w:line="200" w:lineRule="exact"/>
        <w:rPr>
          <w:sz w:val="18"/>
          <w:szCs w:val="18"/>
        </w:rPr>
      </w:pPr>
      <w:r w:rsidRPr="005E1822">
        <w:rPr>
          <w:sz w:val="18"/>
          <w:szCs w:val="18"/>
        </w:rPr>
        <w:t>12.</w:t>
      </w:r>
      <w:r w:rsidRPr="005E1822">
        <w:rPr>
          <w:sz w:val="18"/>
          <w:szCs w:val="18"/>
        </w:rPr>
        <w:tab/>
      </w:r>
      <w:r w:rsidR="00147DD0" w:rsidRPr="005E1822">
        <w:rPr>
          <w:sz w:val="18"/>
          <w:szCs w:val="18"/>
        </w:rPr>
        <w:t xml:space="preserve">F. </w:t>
      </w:r>
      <w:proofErr w:type="spellStart"/>
      <w:r w:rsidR="00147DD0" w:rsidRPr="005E1822">
        <w:rPr>
          <w:sz w:val="18"/>
          <w:szCs w:val="18"/>
        </w:rPr>
        <w:t>Binns</w:t>
      </w:r>
      <w:proofErr w:type="spellEnd"/>
      <w:r w:rsidR="00147DD0" w:rsidRPr="005E1822">
        <w:rPr>
          <w:sz w:val="18"/>
          <w:szCs w:val="18"/>
        </w:rPr>
        <w:t>, P.</w:t>
      </w:r>
      <w:r w:rsidRPr="005E1822">
        <w:rPr>
          <w:sz w:val="18"/>
          <w:szCs w:val="18"/>
        </w:rPr>
        <w:t xml:space="preserve"> </w:t>
      </w:r>
      <w:proofErr w:type="spellStart"/>
      <w:r w:rsidRPr="005E1822">
        <w:rPr>
          <w:sz w:val="18"/>
          <w:szCs w:val="18"/>
        </w:rPr>
        <w:t>Harffey</w:t>
      </w:r>
      <w:proofErr w:type="spellEnd"/>
      <w:r w:rsidRPr="005E1822">
        <w:rPr>
          <w:sz w:val="18"/>
          <w:szCs w:val="18"/>
        </w:rPr>
        <w:t xml:space="preserve">, </w:t>
      </w:r>
      <w:r w:rsidR="00147DD0" w:rsidRPr="005E1822">
        <w:rPr>
          <w:sz w:val="18"/>
          <w:szCs w:val="18"/>
        </w:rPr>
        <w:t>S. M.</w:t>
      </w:r>
      <w:r w:rsidRPr="005E1822">
        <w:rPr>
          <w:sz w:val="18"/>
          <w:szCs w:val="18"/>
        </w:rPr>
        <w:t xml:space="preserve"> Roberts </w:t>
      </w:r>
      <w:r w:rsidR="00147DD0" w:rsidRPr="005E1822">
        <w:rPr>
          <w:sz w:val="18"/>
          <w:szCs w:val="18"/>
        </w:rPr>
        <w:t>and A.</w:t>
      </w:r>
      <w:r w:rsidRPr="005E1822">
        <w:rPr>
          <w:sz w:val="18"/>
          <w:szCs w:val="18"/>
        </w:rPr>
        <w:t xml:space="preserve"> Taylor</w:t>
      </w:r>
      <w:r w:rsidR="00147DD0" w:rsidRPr="005E1822">
        <w:rPr>
          <w:sz w:val="18"/>
          <w:szCs w:val="18"/>
        </w:rPr>
        <w:t>.</w:t>
      </w:r>
      <w:r w:rsidRPr="005E1822">
        <w:rPr>
          <w:sz w:val="18"/>
          <w:szCs w:val="18"/>
        </w:rPr>
        <w:t xml:space="preserve"> </w:t>
      </w:r>
      <w:r w:rsidRPr="005E1822">
        <w:rPr>
          <w:i/>
          <w:sz w:val="18"/>
          <w:szCs w:val="18"/>
        </w:rPr>
        <w:t>J. Chem. Soc., Perkin Trans. 1</w:t>
      </w:r>
      <w:r w:rsidRPr="005E1822">
        <w:rPr>
          <w:sz w:val="18"/>
          <w:szCs w:val="18"/>
        </w:rPr>
        <w:t xml:space="preserve">, </w:t>
      </w:r>
      <w:r w:rsidR="00147DD0" w:rsidRPr="005E1822">
        <w:rPr>
          <w:sz w:val="18"/>
          <w:szCs w:val="18"/>
        </w:rPr>
        <w:t>1999, 2671-2676</w:t>
      </w:r>
    </w:p>
    <w:p w:rsidR="00147DD0" w:rsidRPr="005E1822" w:rsidRDefault="0087504A" w:rsidP="0087504A">
      <w:pPr>
        <w:pStyle w:val="RSCF02FootnotestoTitleAuthors"/>
        <w:spacing w:line="200" w:lineRule="exact"/>
        <w:rPr>
          <w:sz w:val="18"/>
          <w:szCs w:val="18"/>
        </w:rPr>
      </w:pPr>
      <w:r w:rsidRPr="005E1822">
        <w:rPr>
          <w:sz w:val="18"/>
          <w:szCs w:val="18"/>
        </w:rPr>
        <w:t>13.</w:t>
      </w:r>
      <w:r w:rsidRPr="005E1822">
        <w:rPr>
          <w:sz w:val="18"/>
          <w:szCs w:val="18"/>
        </w:rPr>
        <w:tab/>
      </w:r>
      <w:r w:rsidR="00147DD0" w:rsidRPr="005E1822">
        <w:rPr>
          <w:sz w:val="18"/>
          <w:szCs w:val="18"/>
        </w:rPr>
        <w:t>D. G. Barrett, T. J.</w:t>
      </w:r>
      <w:r w:rsidRPr="005E1822">
        <w:rPr>
          <w:sz w:val="18"/>
          <w:szCs w:val="18"/>
        </w:rPr>
        <w:t xml:space="preserve"> Merkel, J.</w:t>
      </w:r>
      <w:r w:rsidR="00147DD0" w:rsidRPr="005E1822">
        <w:rPr>
          <w:sz w:val="18"/>
          <w:szCs w:val="18"/>
        </w:rPr>
        <w:t xml:space="preserve"> C.</w:t>
      </w:r>
      <w:r w:rsidRPr="005E1822">
        <w:rPr>
          <w:sz w:val="18"/>
          <w:szCs w:val="18"/>
        </w:rPr>
        <w:t xml:space="preserve"> </w:t>
      </w:r>
      <w:proofErr w:type="spellStart"/>
      <w:r w:rsidRPr="005E1822">
        <w:rPr>
          <w:sz w:val="18"/>
          <w:szCs w:val="18"/>
        </w:rPr>
        <w:t>Luft</w:t>
      </w:r>
      <w:proofErr w:type="spellEnd"/>
      <w:r w:rsidR="00147DD0" w:rsidRPr="005E1822">
        <w:rPr>
          <w:sz w:val="18"/>
          <w:szCs w:val="18"/>
        </w:rPr>
        <w:t xml:space="preserve"> and M. N. Yousaf</w:t>
      </w:r>
      <w:r w:rsidRPr="005E1822">
        <w:rPr>
          <w:sz w:val="18"/>
          <w:szCs w:val="18"/>
        </w:rPr>
        <w:t xml:space="preserve">. </w:t>
      </w:r>
      <w:r w:rsidRPr="005E1822">
        <w:rPr>
          <w:i/>
          <w:sz w:val="18"/>
          <w:szCs w:val="18"/>
        </w:rPr>
        <w:t>Macromolecules</w:t>
      </w:r>
      <w:r w:rsidR="00147DD0" w:rsidRPr="005E1822">
        <w:rPr>
          <w:sz w:val="18"/>
          <w:szCs w:val="18"/>
        </w:rPr>
        <w:t xml:space="preserve">, 2010, </w:t>
      </w:r>
      <w:r w:rsidR="00147DD0" w:rsidRPr="005E1822">
        <w:rPr>
          <w:b/>
          <w:sz w:val="18"/>
          <w:szCs w:val="18"/>
        </w:rPr>
        <w:t>43</w:t>
      </w:r>
      <w:r w:rsidR="00147DD0" w:rsidRPr="005E1822">
        <w:rPr>
          <w:sz w:val="18"/>
          <w:szCs w:val="18"/>
        </w:rPr>
        <w:t>, 9660-9667</w:t>
      </w:r>
    </w:p>
    <w:p w:rsidR="0087504A" w:rsidRPr="005E1822" w:rsidRDefault="0087504A" w:rsidP="0087504A">
      <w:pPr>
        <w:pStyle w:val="RSCF02FootnotestoTitleAuthors"/>
        <w:spacing w:line="200" w:lineRule="exact"/>
        <w:rPr>
          <w:sz w:val="18"/>
          <w:szCs w:val="18"/>
        </w:rPr>
      </w:pPr>
      <w:r w:rsidRPr="005E1822">
        <w:rPr>
          <w:sz w:val="18"/>
          <w:szCs w:val="18"/>
        </w:rPr>
        <w:t>14.</w:t>
      </w:r>
      <w:r w:rsidRPr="005E1822">
        <w:rPr>
          <w:sz w:val="18"/>
          <w:szCs w:val="18"/>
        </w:rPr>
        <w:tab/>
      </w:r>
      <w:r w:rsidR="00147DD0" w:rsidRPr="005E1822">
        <w:rPr>
          <w:sz w:val="18"/>
          <w:szCs w:val="18"/>
        </w:rPr>
        <w:t xml:space="preserve">L. </w:t>
      </w:r>
      <w:proofErr w:type="spellStart"/>
      <w:r w:rsidRPr="005E1822">
        <w:rPr>
          <w:sz w:val="18"/>
          <w:szCs w:val="18"/>
        </w:rPr>
        <w:t>Corici</w:t>
      </w:r>
      <w:proofErr w:type="spellEnd"/>
      <w:r w:rsidRPr="005E1822">
        <w:rPr>
          <w:sz w:val="18"/>
          <w:szCs w:val="18"/>
        </w:rPr>
        <w:t>,</w:t>
      </w:r>
      <w:r w:rsidR="00147DD0" w:rsidRPr="005E1822">
        <w:rPr>
          <w:sz w:val="18"/>
          <w:szCs w:val="18"/>
        </w:rPr>
        <w:t xml:space="preserve"> A. Pellis, V. </w:t>
      </w:r>
      <w:proofErr w:type="spellStart"/>
      <w:r w:rsidR="00147DD0" w:rsidRPr="005E1822">
        <w:rPr>
          <w:sz w:val="18"/>
          <w:szCs w:val="18"/>
        </w:rPr>
        <w:t>Ferrario</w:t>
      </w:r>
      <w:proofErr w:type="spellEnd"/>
      <w:r w:rsidR="00147DD0" w:rsidRPr="005E1822">
        <w:rPr>
          <w:sz w:val="18"/>
          <w:szCs w:val="18"/>
        </w:rPr>
        <w:t xml:space="preserve">, C. Ebert, S. Cantone and L. </w:t>
      </w:r>
      <w:proofErr w:type="spellStart"/>
      <w:r w:rsidR="00147DD0" w:rsidRPr="005E1822">
        <w:rPr>
          <w:sz w:val="18"/>
          <w:szCs w:val="18"/>
        </w:rPr>
        <w:t>Gardossi</w:t>
      </w:r>
      <w:proofErr w:type="spellEnd"/>
      <w:r w:rsidRPr="005E1822">
        <w:rPr>
          <w:sz w:val="18"/>
          <w:szCs w:val="18"/>
        </w:rPr>
        <w:t xml:space="preserve">. </w:t>
      </w:r>
      <w:r w:rsidRPr="005E1822">
        <w:rPr>
          <w:i/>
          <w:sz w:val="18"/>
          <w:szCs w:val="18"/>
        </w:rPr>
        <w:t xml:space="preserve">Adv. Synth. </w:t>
      </w:r>
      <w:proofErr w:type="spellStart"/>
      <w:r w:rsidRPr="005E1822">
        <w:rPr>
          <w:i/>
          <w:sz w:val="18"/>
          <w:szCs w:val="18"/>
        </w:rPr>
        <w:t>Catal</w:t>
      </w:r>
      <w:proofErr w:type="spellEnd"/>
      <w:r w:rsidRPr="005E1822">
        <w:rPr>
          <w:sz w:val="18"/>
          <w:szCs w:val="18"/>
        </w:rPr>
        <w:t>.</w:t>
      </w:r>
      <w:r w:rsidR="00147DD0" w:rsidRPr="005E1822">
        <w:rPr>
          <w:sz w:val="18"/>
          <w:szCs w:val="18"/>
        </w:rPr>
        <w:t xml:space="preserve">, 2015, </w:t>
      </w:r>
      <w:r w:rsidR="00147DD0" w:rsidRPr="005E1822">
        <w:rPr>
          <w:b/>
          <w:sz w:val="18"/>
          <w:szCs w:val="18"/>
        </w:rPr>
        <w:t>357</w:t>
      </w:r>
      <w:r w:rsidR="00147DD0" w:rsidRPr="005E1822">
        <w:rPr>
          <w:sz w:val="18"/>
          <w:szCs w:val="18"/>
        </w:rPr>
        <w:t>, 1763-1774</w:t>
      </w:r>
    </w:p>
    <w:p w:rsidR="00147DD0" w:rsidRPr="005E1822" w:rsidRDefault="0087504A" w:rsidP="0087504A">
      <w:pPr>
        <w:pStyle w:val="RSCF02FootnotestoTitleAuthors"/>
        <w:spacing w:line="200" w:lineRule="exact"/>
        <w:rPr>
          <w:sz w:val="18"/>
          <w:szCs w:val="18"/>
        </w:rPr>
      </w:pPr>
      <w:r w:rsidRPr="005E1822">
        <w:rPr>
          <w:sz w:val="18"/>
          <w:szCs w:val="18"/>
        </w:rPr>
        <w:t>15.</w:t>
      </w:r>
      <w:r w:rsidRPr="005E1822">
        <w:rPr>
          <w:sz w:val="18"/>
          <w:szCs w:val="18"/>
        </w:rPr>
        <w:tab/>
      </w:r>
      <w:r w:rsidR="00147DD0" w:rsidRPr="005E1822">
        <w:rPr>
          <w:sz w:val="18"/>
          <w:szCs w:val="18"/>
        </w:rPr>
        <w:t xml:space="preserve">Y. </w:t>
      </w:r>
      <w:r w:rsidRPr="005E1822">
        <w:rPr>
          <w:sz w:val="18"/>
          <w:szCs w:val="18"/>
        </w:rPr>
        <w:t xml:space="preserve">Jiang, </w:t>
      </w:r>
      <w:r w:rsidR="00147DD0" w:rsidRPr="005E1822">
        <w:rPr>
          <w:sz w:val="18"/>
          <w:szCs w:val="18"/>
        </w:rPr>
        <w:t xml:space="preserve">A. J. J. </w:t>
      </w:r>
      <w:proofErr w:type="spellStart"/>
      <w:r w:rsidRPr="005E1822">
        <w:rPr>
          <w:sz w:val="18"/>
          <w:szCs w:val="18"/>
        </w:rPr>
        <w:t>Woortman</w:t>
      </w:r>
      <w:proofErr w:type="spellEnd"/>
      <w:r w:rsidRPr="005E1822">
        <w:rPr>
          <w:sz w:val="18"/>
          <w:szCs w:val="18"/>
        </w:rPr>
        <w:t xml:space="preserve">, </w:t>
      </w:r>
      <w:r w:rsidR="00147DD0" w:rsidRPr="005E1822">
        <w:rPr>
          <w:sz w:val="18"/>
          <w:szCs w:val="18"/>
        </w:rPr>
        <w:t xml:space="preserve">G. O. R. A. van </w:t>
      </w:r>
      <w:proofErr w:type="spellStart"/>
      <w:r w:rsidR="00147DD0" w:rsidRPr="005E1822">
        <w:rPr>
          <w:sz w:val="18"/>
          <w:szCs w:val="18"/>
        </w:rPr>
        <w:t>Ekenstein</w:t>
      </w:r>
      <w:proofErr w:type="spellEnd"/>
      <w:r w:rsidRPr="005E1822">
        <w:rPr>
          <w:sz w:val="18"/>
          <w:szCs w:val="18"/>
        </w:rPr>
        <w:t xml:space="preserve"> and </w:t>
      </w:r>
      <w:r w:rsidR="00147DD0" w:rsidRPr="005E1822">
        <w:rPr>
          <w:sz w:val="18"/>
          <w:szCs w:val="18"/>
        </w:rPr>
        <w:t>K. Loos</w:t>
      </w:r>
      <w:r w:rsidRPr="005E1822">
        <w:rPr>
          <w:sz w:val="18"/>
          <w:szCs w:val="18"/>
        </w:rPr>
        <w:t xml:space="preserve">. </w:t>
      </w:r>
      <w:r w:rsidRPr="005E1822">
        <w:rPr>
          <w:i/>
          <w:sz w:val="18"/>
          <w:szCs w:val="18"/>
        </w:rPr>
        <w:t>Polym. Chem</w:t>
      </w:r>
      <w:r w:rsidRPr="005E1822">
        <w:rPr>
          <w:sz w:val="18"/>
          <w:szCs w:val="18"/>
        </w:rPr>
        <w:t>.,</w:t>
      </w:r>
      <w:r w:rsidR="00147DD0" w:rsidRPr="005E1822">
        <w:rPr>
          <w:sz w:val="18"/>
          <w:szCs w:val="18"/>
        </w:rPr>
        <w:t xml:space="preserve"> 2015, </w:t>
      </w:r>
      <w:r w:rsidR="00147DD0" w:rsidRPr="005E1822">
        <w:rPr>
          <w:b/>
          <w:sz w:val="18"/>
          <w:szCs w:val="18"/>
        </w:rPr>
        <w:t>6</w:t>
      </w:r>
      <w:r w:rsidR="00147DD0" w:rsidRPr="005E1822">
        <w:rPr>
          <w:sz w:val="18"/>
          <w:szCs w:val="18"/>
        </w:rPr>
        <w:t>, 5451-5463</w:t>
      </w:r>
    </w:p>
    <w:p w:rsidR="0087504A" w:rsidRPr="005E1822" w:rsidRDefault="0087504A" w:rsidP="0087504A">
      <w:pPr>
        <w:pStyle w:val="RSCF02FootnotestoTitleAuthors"/>
        <w:spacing w:line="200" w:lineRule="exact"/>
        <w:rPr>
          <w:sz w:val="18"/>
          <w:szCs w:val="18"/>
          <w:lang w:val="it-IT"/>
        </w:rPr>
      </w:pPr>
      <w:r w:rsidRPr="005E1822">
        <w:rPr>
          <w:sz w:val="18"/>
          <w:szCs w:val="18"/>
        </w:rPr>
        <w:t>16.</w:t>
      </w:r>
      <w:r w:rsidRPr="005E1822">
        <w:rPr>
          <w:sz w:val="18"/>
          <w:szCs w:val="18"/>
        </w:rPr>
        <w:tab/>
      </w:r>
      <w:r w:rsidR="00147DD0" w:rsidRPr="005E1822">
        <w:rPr>
          <w:sz w:val="18"/>
          <w:szCs w:val="18"/>
        </w:rPr>
        <w:t xml:space="preserve">S. Brännström, M. </w:t>
      </w:r>
      <w:proofErr w:type="spellStart"/>
      <w:r w:rsidR="00147DD0" w:rsidRPr="005E1822">
        <w:rPr>
          <w:sz w:val="18"/>
          <w:szCs w:val="18"/>
        </w:rPr>
        <w:t>Finnveden</w:t>
      </w:r>
      <w:proofErr w:type="spellEnd"/>
      <w:r w:rsidR="00147DD0" w:rsidRPr="005E1822">
        <w:rPr>
          <w:sz w:val="18"/>
          <w:szCs w:val="18"/>
        </w:rPr>
        <w:t>, M.</w:t>
      </w:r>
      <w:r w:rsidRPr="005E1822">
        <w:rPr>
          <w:sz w:val="18"/>
          <w:szCs w:val="18"/>
        </w:rPr>
        <w:t xml:space="preserve"> Johansson,</w:t>
      </w:r>
      <w:r w:rsidR="00147DD0" w:rsidRPr="005E1822">
        <w:rPr>
          <w:sz w:val="18"/>
          <w:szCs w:val="18"/>
        </w:rPr>
        <w:t xml:space="preserve"> M. </w:t>
      </w:r>
      <w:proofErr w:type="spellStart"/>
      <w:r w:rsidR="00147DD0" w:rsidRPr="005E1822">
        <w:rPr>
          <w:sz w:val="18"/>
          <w:szCs w:val="18"/>
        </w:rPr>
        <w:t>Martinelle</w:t>
      </w:r>
      <w:proofErr w:type="spellEnd"/>
      <w:r w:rsidR="00147DD0" w:rsidRPr="005E1822">
        <w:rPr>
          <w:sz w:val="18"/>
          <w:szCs w:val="18"/>
        </w:rPr>
        <w:t>, M. and</w:t>
      </w:r>
      <w:r w:rsidRPr="005E1822">
        <w:rPr>
          <w:sz w:val="18"/>
          <w:szCs w:val="18"/>
        </w:rPr>
        <w:t xml:space="preserve"> </w:t>
      </w:r>
      <w:r w:rsidR="00147DD0" w:rsidRPr="005E1822">
        <w:rPr>
          <w:sz w:val="18"/>
          <w:szCs w:val="18"/>
        </w:rPr>
        <w:t xml:space="preserve">E. Malmström. </w:t>
      </w:r>
      <w:r w:rsidR="00147DD0" w:rsidRPr="005E1822">
        <w:rPr>
          <w:i/>
          <w:sz w:val="18"/>
          <w:szCs w:val="18"/>
          <w:lang w:val="it-IT"/>
        </w:rPr>
        <w:t>Eur. Polym. J.,</w:t>
      </w:r>
      <w:r w:rsidR="00147DD0" w:rsidRPr="005E1822">
        <w:rPr>
          <w:sz w:val="18"/>
          <w:szCs w:val="18"/>
          <w:lang w:val="it-IT"/>
        </w:rPr>
        <w:t xml:space="preserve"> 2018, </w:t>
      </w:r>
      <w:r w:rsidR="00147DD0" w:rsidRPr="005E1822">
        <w:rPr>
          <w:b/>
          <w:sz w:val="18"/>
          <w:szCs w:val="18"/>
          <w:lang w:val="it-IT"/>
        </w:rPr>
        <w:t>103</w:t>
      </w:r>
      <w:r w:rsidR="00147DD0" w:rsidRPr="005E1822">
        <w:rPr>
          <w:sz w:val="18"/>
          <w:szCs w:val="18"/>
          <w:lang w:val="it-IT"/>
        </w:rPr>
        <w:t>, 370-377</w:t>
      </w:r>
    </w:p>
    <w:p w:rsidR="0087504A" w:rsidRPr="005E1822" w:rsidRDefault="0087504A" w:rsidP="0087504A">
      <w:pPr>
        <w:pStyle w:val="RSCF02FootnotestoTitleAuthors"/>
        <w:spacing w:line="200" w:lineRule="exact"/>
        <w:rPr>
          <w:sz w:val="18"/>
          <w:szCs w:val="18"/>
        </w:rPr>
      </w:pPr>
      <w:r w:rsidRPr="005E1822">
        <w:rPr>
          <w:sz w:val="18"/>
          <w:szCs w:val="18"/>
          <w:lang w:val="it-IT"/>
        </w:rPr>
        <w:t>17.</w:t>
      </w:r>
      <w:r w:rsidRPr="005E1822">
        <w:rPr>
          <w:sz w:val="18"/>
          <w:szCs w:val="18"/>
          <w:lang w:val="it-IT"/>
        </w:rPr>
        <w:tab/>
      </w:r>
      <w:r w:rsidR="00617AC1" w:rsidRPr="005E1822">
        <w:rPr>
          <w:sz w:val="18"/>
          <w:szCs w:val="18"/>
          <w:lang w:val="it-IT"/>
        </w:rPr>
        <w:t>A. Pellis, L. Corici, L. Sinigoi, N. D'Amelio, D. Fattor, V. Ferrario, C. Ebert and L. Gardossi</w:t>
      </w:r>
      <w:r w:rsidRPr="005E1822">
        <w:rPr>
          <w:sz w:val="18"/>
          <w:szCs w:val="18"/>
          <w:lang w:val="it-IT"/>
        </w:rPr>
        <w:t xml:space="preserve">. </w:t>
      </w:r>
      <w:r w:rsidRPr="005E1822">
        <w:rPr>
          <w:i/>
          <w:sz w:val="18"/>
          <w:szCs w:val="18"/>
        </w:rPr>
        <w:t>Green Chem</w:t>
      </w:r>
      <w:r w:rsidR="00617AC1" w:rsidRPr="005E1822">
        <w:rPr>
          <w:sz w:val="18"/>
          <w:szCs w:val="18"/>
        </w:rPr>
        <w:t>.,</w:t>
      </w:r>
      <w:r w:rsidRPr="005E1822">
        <w:rPr>
          <w:sz w:val="18"/>
          <w:szCs w:val="18"/>
        </w:rPr>
        <w:t xml:space="preserve"> </w:t>
      </w:r>
      <w:r w:rsidRPr="005E1822">
        <w:rPr>
          <w:b/>
          <w:sz w:val="18"/>
          <w:szCs w:val="18"/>
        </w:rPr>
        <w:t>17</w:t>
      </w:r>
      <w:r w:rsidRPr="005E1822">
        <w:rPr>
          <w:sz w:val="18"/>
          <w:szCs w:val="18"/>
        </w:rPr>
        <w:t>,</w:t>
      </w:r>
      <w:r w:rsidR="00617AC1" w:rsidRPr="005E1822">
        <w:rPr>
          <w:sz w:val="18"/>
          <w:szCs w:val="18"/>
        </w:rPr>
        <w:t xml:space="preserve"> 2015, 1756-1766</w:t>
      </w:r>
    </w:p>
    <w:p w:rsidR="0087504A" w:rsidRPr="005E1822" w:rsidRDefault="0087504A" w:rsidP="0087504A">
      <w:pPr>
        <w:pStyle w:val="RSCF02FootnotestoTitleAuthors"/>
        <w:spacing w:line="200" w:lineRule="exact"/>
        <w:rPr>
          <w:sz w:val="18"/>
          <w:szCs w:val="18"/>
        </w:rPr>
      </w:pPr>
      <w:r w:rsidRPr="005E1822">
        <w:rPr>
          <w:sz w:val="18"/>
          <w:szCs w:val="18"/>
        </w:rPr>
        <w:t>18.</w:t>
      </w:r>
      <w:r w:rsidRPr="005E1822">
        <w:rPr>
          <w:sz w:val="18"/>
          <w:szCs w:val="18"/>
        </w:rPr>
        <w:tab/>
      </w:r>
      <w:r w:rsidR="00060EEE" w:rsidRPr="005E1822">
        <w:rPr>
          <w:sz w:val="18"/>
          <w:szCs w:val="18"/>
        </w:rPr>
        <w:t xml:space="preserve">A. Pellis, J. W Comerford, A. J. </w:t>
      </w:r>
      <w:proofErr w:type="spellStart"/>
      <w:r w:rsidR="00060EEE" w:rsidRPr="005E1822">
        <w:rPr>
          <w:sz w:val="18"/>
          <w:szCs w:val="18"/>
        </w:rPr>
        <w:t>Maneffa</w:t>
      </w:r>
      <w:proofErr w:type="spellEnd"/>
      <w:r w:rsidR="00060EEE" w:rsidRPr="005E1822">
        <w:rPr>
          <w:sz w:val="18"/>
          <w:szCs w:val="18"/>
        </w:rPr>
        <w:t xml:space="preserve">, M. H </w:t>
      </w:r>
      <w:proofErr w:type="spellStart"/>
      <w:r w:rsidR="00060EEE" w:rsidRPr="005E1822">
        <w:rPr>
          <w:sz w:val="18"/>
          <w:szCs w:val="18"/>
        </w:rPr>
        <w:t>Sipponen</w:t>
      </w:r>
      <w:proofErr w:type="spellEnd"/>
      <w:r w:rsidR="00060EEE" w:rsidRPr="005E1822">
        <w:rPr>
          <w:sz w:val="18"/>
          <w:szCs w:val="18"/>
        </w:rPr>
        <w:t>, J. H. Clark and T. J. Farmer</w:t>
      </w:r>
      <w:r w:rsidRPr="005E1822">
        <w:rPr>
          <w:sz w:val="18"/>
          <w:szCs w:val="18"/>
        </w:rPr>
        <w:t xml:space="preserve">. </w:t>
      </w:r>
      <w:proofErr w:type="spellStart"/>
      <w:r w:rsidRPr="005E1822">
        <w:rPr>
          <w:i/>
          <w:sz w:val="18"/>
          <w:szCs w:val="18"/>
        </w:rPr>
        <w:t>Eur</w:t>
      </w:r>
      <w:proofErr w:type="spellEnd"/>
      <w:r w:rsidRPr="005E1822">
        <w:rPr>
          <w:i/>
          <w:sz w:val="18"/>
          <w:szCs w:val="18"/>
        </w:rPr>
        <w:t xml:space="preserve"> Polym. J</w:t>
      </w:r>
      <w:r w:rsidRPr="005E1822">
        <w:rPr>
          <w:sz w:val="18"/>
          <w:szCs w:val="18"/>
        </w:rPr>
        <w:t>.</w:t>
      </w:r>
      <w:r w:rsidR="00060EEE" w:rsidRPr="005E1822">
        <w:rPr>
          <w:sz w:val="18"/>
          <w:szCs w:val="18"/>
        </w:rPr>
        <w:t xml:space="preserve">, 2018 </w:t>
      </w:r>
      <w:r w:rsidR="00060EEE" w:rsidRPr="005E1822">
        <w:rPr>
          <w:b/>
          <w:sz w:val="18"/>
          <w:szCs w:val="18"/>
        </w:rPr>
        <w:t>106</w:t>
      </w:r>
      <w:r w:rsidR="00060EEE" w:rsidRPr="005E1822">
        <w:rPr>
          <w:sz w:val="18"/>
          <w:szCs w:val="18"/>
        </w:rPr>
        <w:t>, 79-84</w:t>
      </w:r>
    </w:p>
    <w:p w:rsidR="0087504A" w:rsidRPr="005E1822" w:rsidRDefault="0087504A" w:rsidP="0087504A">
      <w:pPr>
        <w:pStyle w:val="RSCF02FootnotestoTitleAuthors"/>
        <w:spacing w:line="200" w:lineRule="exact"/>
        <w:rPr>
          <w:sz w:val="18"/>
          <w:szCs w:val="18"/>
        </w:rPr>
      </w:pPr>
      <w:r w:rsidRPr="005E1822">
        <w:rPr>
          <w:sz w:val="18"/>
          <w:szCs w:val="18"/>
        </w:rPr>
        <w:t>19.</w:t>
      </w:r>
      <w:r w:rsidRPr="005E1822">
        <w:rPr>
          <w:sz w:val="18"/>
          <w:szCs w:val="18"/>
        </w:rPr>
        <w:tab/>
      </w:r>
      <w:r w:rsidR="00060EEE" w:rsidRPr="005E1822">
        <w:rPr>
          <w:sz w:val="18"/>
          <w:szCs w:val="18"/>
        </w:rPr>
        <w:t xml:space="preserve">D. </w:t>
      </w:r>
      <w:r w:rsidRPr="005E1822">
        <w:rPr>
          <w:sz w:val="18"/>
          <w:szCs w:val="18"/>
        </w:rPr>
        <w:t xml:space="preserve">Feder, D. </w:t>
      </w:r>
      <w:r w:rsidR="00060EEE" w:rsidRPr="005E1822">
        <w:rPr>
          <w:sz w:val="18"/>
          <w:szCs w:val="18"/>
        </w:rPr>
        <w:t>and</w:t>
      </w:r>
      <w:r w:rsidRPr="005E1822">
        <w:rPr>
          <w:sz w:val="18"/>
          <w:szCs w:val="18"/>
        </w:rPr>
        <w:t xml:space="preserve"> </w:t>
      </w:r>
      <w:r w:rsidR="00060EEE" w:rsidRPr="005E1822">
        <w:rPr>
          <w:sz w:val="18"/>
          <w:szCs w:val="18"/>
        </w:rPr>
        <w:t>R. A. Gross</w:t>
      </w:r>
      <w:r w:rsidRPr="005E1822">
        <w:rPr>
          <w:sz w:val="18"/>
          <w:szCs w:val="18"/>
        </w:rPr>
        <w:t xml:space="preserve">. </w:t>
      </w:r>
      <w:r w:rsidRPr="005E1822">
        <w:rPr>
          <w:i/>
          <w:sz w:val="18"/>
          <w:szCs w:val="18"/>
        </w:rPr>
        <w:t>Biomacromolecules</w:t>
      </w:r>
      <w:r w:rsidR="00060EEE" w:rsidRPr="005E1822">
        <w:rPr>
          <w:sz w:val="18"/>
          <w:szCs w:val="18"/>
        </w:rPr>
        <w:t>, 2010,</w:t>
      </w:r>
      <w:r w:rsidRPr="005E1822">
        <w:rPr>
          <w:sz w:val="18"/>
          <w:szCs w:val="18"/>
        </w:rPr>
        <w:t xml:space="preserve"> </w:t>
      </w:r>
      <w:r w:rsidRPr="005E1822">
        <w:rPr>
          <w:b/>
          <w:sz w:val="18"/>
          <w:szCs w:val="18"/>
        </w:rPr>
        <w:t>11</w:t>
      </w:r>
      <w:r w:rsidRPr="005E1822">
        <w:rPr>
          <w:sz w:val="18"/>
          <w:szCs w:val="18"/>
        </w:rPr>
        <w:t xml:space="preserve">, </w:t>
      </w:r>
      <w:r w:rsidR="00060EEE" w:rsidRPr="005E1822">
        <w:rPr>
          <w:sz w:val="18"/>
          <w:szCs w:val="18"/>
        </w:rPr>
        <w:t>690-697</w:t>
      </w:r>
    </w:p>
    <w:p w:rsidR="00062EFC" w:rsidRPr="005E1822" w:rsidRDefault="0087504A" w:rsidP="0087504A">
      <w:pPr>
        <w:pStyle w:val="RSCF02FootnotestoTitleAuthors"/>
        <w:spacing w:line="200" w:lineRule="exact"/>
        <w:rPr>
          <w:sz w:val="18"/>
          <w:szCs w:val="18"/>
        </w:rPr>
      </w:pPr>
      <w:r w:rsidRPr="005E1822">
        <w:rPr>
          <w:sz w:val="18"/>
          <w:szCs w:val="18"/>
        </w:rPr>
        <w:t>20.</w:t>
      </w:r>
      <w:r w:rsidRPr="005E1822">
        <w:rPr>
          <w:sz w:val="18"/>
          <w:szCs w:val="18"/>
        </w:rPr>
        <w:tab/>
      </w:r>
      <w:r w:rsidR="00430D79" w:rsidRPr="005E1822">
        <w:rPr>
          <w:sz w:val="18"/>
          <w:szCs w:val="18"/>
        </w:rPr>
        <w:t>T. J.</w:t>
      </w:r>
      <w:r w:rsidR="00062EFC" w:rsidRPr="005E1822">
        <w:rPr>
          <w:sz w:val="18"/>
          <w:szCs w:val="18"/>
        </w:rPr>
        <w:t xml:space="preserve"> </w:t>
      </w:r>
      <w:r w:rsidRPr="005E1822">
        <w:rPr>
          <w:sz w:val="18"/>
          <w:szCs w:val="18"/>
        </w:rPr>
        <w:t xml:space="preserve">Farmer, </w:t>
      </w:r>
      <w:r w:rsidR="00062EFC" w:rsidRPr="005E1822">
        <w:rPr>
          <w:sz w:val="18"/>
          <w:szCs w:val="18"/>
        </w:rPr>
        <w:t>D. J.</w:t>
      </w:r>
      <w:r w:rsidRPr="005E1822">
        <w:rPr>
          <w:sz w:val="18"/>
          <w:szCs w:val="18"/>
        </w:rPr>
        <w:t xml:space="preserve"> </w:t>
      </w:r>
      <w:proofErr w:type="spellStart"/>
      <w:r w:rsidRPr="005E1822">
        <w:rPr>
          <w:sz w:val="18"/>
          <w:szCs w:val="18"/>
        </w:rPr>
        <w:t>MacQuarrie</w:t>
      </w:r>
      <w:proofErr w:type="spellEnd"/>
      <w:r w:rsidRPr="005E1822">
        <w:rPr>
          <w:sz w:val="18"/>
          <w:szCs w:val="18"/>
        </w:rPr>
        <w:t xml:space="preserve">, </w:t>
      </w:r>
      <w:r w:rsidR="00062EFC" w:rsidRPr="005E1822">
        <w:rPr>
          <w:sz w:val="18"/>
          <w:szCs w:val="18"/>
        </w:rPr>
        <w:t>J. W.</w:t>
      </w:r>
      <w:r w:rsidRPr="005E1822">
        <w:rPr>
          <w:sz w:val="18"/>
          <w:szCs w:val="18"/>
        </w:rPr>
        <w:t xml:space="preserve"> Comerford, </w:t>
      </w:r>
      <w:r w:rsidR="00062EFC" w:rsidRPr="005E1822">
        <w:rPr>
          <w:sz w:val="18"/>
          <w:szCs w:val="18"/>
        </w:rPr>
        <w:t>A.</w:t>
      </w:r>
      <w:r w:rsidRPr="005E1822">
        <w:rPr>
          <w:sz w:val="18"/>
          <w:szCs w:val="18"/>
        </w:rPr>
        <w:t xml:space="preserve"> Pellis, </w:t>
      </w:r>
      <w:r w:rsidR="00062EFC" w:rsidRPr="005E1822">
        <w:rPr>
          <w:sz w:val="18"/>
          <w:szCs w:val="18"/>
        </w:rPr>
        <w:t>and</w:t>
      </w:r>
      <w:r w:rsidRPr="005E1822">
        <w:rPr>
          <w:sz w:val="18"/>
          <w:szCs w:val="18"/>
        </w:rPr>
        <w:t xml:space="preserve"> </w:t>
      </w:r>
      <w:r w:rsidR="00062EFC" w:rsidRPr="005E1822">
        <w:rPr>
          <w:sz w:val="18"/>
          <w:szCs w:val="18"/>
        </w:rPr>
        <w:t xml:space="preserve">J. H. </w:t>
      </w:r>
      <w:r w:rsidRPr="005E1822">
        <w:rPr>
          <w:sz w:val="18"/>
          <w:szCs w:val="18"/>
        </w:rPr>
        <w:t xml:space="preserve">Clark. </w:t>
      </w:r>
      <w:r w:rsidRPr="005E1822">
        <w:rPr>
          <w:i/>
          <w:sz w:val="18"/>
          <w:szCs w:val="18"/>
        </w:rPr>
        <w:t>J. P</w:t>
      </w:r>
      <w:r w:rsidR="00062EFC" w:rsidRPr="005E1822">
        <w:rPr>
          <w:i/>
          <w:sz w:val="18"/>
          <w:szCs w:val="18"/>
        </w:rPr>
        <w:t>olym. Sci. Part A-Polym. Chem.,</w:t>
      </w:r>
      <w:r w:rsidR="00062EFC" w:rsidRPr="005E1822">
        <w:rPr>
          <w:sz w:val="18"/>
          <w:szCs w:val="18"/>
        </w:rPr>
        <w:t xml:space="preserve"> 2018,</w:t>
      </w:r>
      <w:r w:rsidRPr="005E1822">
        <w:rPr>
          <w:sz w:val="18"/>
          <w:szCs w:val="18"/>
        </w:rPr>
        <w:t xml:space="preserve"> </w:t>
      </w:r>
      <w:r w:rsidR="00AE1CF1" w:rsidRPr="005E1822">
        <w:rPr>
          <w:b/>
          <w:sz w:val="18"/>
          <w:szCs w:val="18"/>
        </w:rPr>
        <w:t>56</w:t>
      </w:r>
      <w:r w:rsidR="00AE1CF1" w:rsidRPr="005E1822">
        <w:rPr>
          <w:sz w:val="18"/>
          <w:szCs w:val="18"/>
        </w:rPr>
        <w:t>, 1935-1945</w:t>
      </w:r>
    </w:p>
    <w:p w:rsidR="008E40C4" w:rsidRPr="005E1822" w:rsidRDefault="0087504A" w:rsidP="00C15FC1">
      <w:pPr>
        <w:pStyle w:val="RSCF02FootnotestoTitleAuthors"/>
        <w:spacing w:line="200" w:lineRule="exact"/>
        <w:rPr>
          <w:sz w:val="18"/>
          <w:szCs w:val="18"/>
        </w:rPr>
      </w:pPr>
      <w:r w:rsidRPr="005E1822">
        <w:rPr>
          <w:sz w:val="18"/>
          <w:szCs w:val="18"/>
        </w:rPr>
        <w:t>21.</w:t>
      </w:r>
      <w:r w:rsidRPr="005E1822">
        <w:rPr>
          <w:sz w:val="18"/>
          <w:szCs w:val="18"/>
        </w:rPr>
        <w:tab/>
      </w:r>
      <w:r w:rsidR="008E40C4" w:rsidRPr="005E1822">
        <w:rPr>
          <w:sz w:val="18"/>
          <w:szCs w:val="18"/>
        </w:rPr>
        <w:t xml:space="preserve">T. J. Farmer, D. J. </w:t>
      </w:r>
      <w:proofErr w:type="spellStart"/>
      <w:r w:rsidR="008E40C4" w:rsidRPr="005E1822">
        <w:rPr>
          <w:sz w:val="18"/>
          <w:szCs w:val="18"/>
        </w:rPr>
        <w:t>Macquarrie</w:t>
      </w:r>
      <w:proofErr w:type="spellEnd"/>
      <w:r w:rsidR="008E40C4" w:rsidRPr="005E1822">
        <w:rPr>
          <w:sz w:val="18"/>
          <w:szCs w:val="18"/>
        </w:rPr>
        <w:t xml:space="preserve">, J. W. Comerford, A. Pellis and J. H. Clark. </w:t>
      </w:r>
      <w:r w:rsidR="008E40C4" w:rsidRPr="005E1822">
        <w:rPr>
          <w:i/>
          <w:sz w:val="18"/>
          <w:szCs w:val="18"/>
        </w:rPr>
        <w:t>J. Polym. Sci. Part A - Polym. Chem</w:t>
      </w:r>
      <w:r w:rsidR="008E40C4" w:rsidRPr="005E1822">
        <w:rPr>
          <w:sz w:val="18"/>
          <w:szCs w:val="18"/>
        </w:rPr>
        <w:t xml:space="preserve">., 2018, </w:t>
      </w:r>
      <w:r w:rsidR="00C15FC1" w:rsidRPr="005E1822">
        <w:rPr>
          <w:b/>
          <w:sz w:val="18"/>
          <w:szCs w:val="18"/>
        </w:rPr>
        <w:t>56</w:t>
      </w:r>
      <w:r w:rsidR="00C15FC1" w:rsidRPr="005E1822">
        <w:rPr>
          <w:sz w:val="18"/>
          <w:szCs w:val="18"/>
        </w:rPr>
        <w:t>, 1935-1945</w:t>
      </w:r>
    </w:p>
    <w:p w:rsidR="009B4846" w:rsidRPr="005E1822" w:rsidRDefault="008E40C4" w:rsidP="009B4846">
      <w:pPr>
        <w:pStyle w:val="RSCF02FootnotestoTitleAuthors"/>
        <w:spacing w:line="200" w:lineRule="exact"/>
        <w:rPr>
          <w:sz w:val="18"/>
          <w:szCs w:val="18"/>
          <w:lang w:val="it-IT"/>
        </w:rPr>
      </w:pPr>
      <w:r w:rsidRPr="005E1822">
        <w:rPr>
          <w:sz w:val="18"/>
          <w:szCs w:val="18"/>
        </w:rPr>
        <w:t>22.</w:t>
      </w:r>
      <w:r w:rsidRPr="005E1822">
        <w:rPr>
          <w:sz w:val="18"/>
          <w:szCs w:val="18"/>
        </w:rPr>
        <w:tab/>
      </w:r>
      <w:r w:rsidR="009B4846" w:rsidRPr="005E1822">
        <w:rPr>
          <w:sz w:val="18"/>
          <w:szCs w:val="18"/>
        </w:rPr>
        <w:t xml:space="preserve">G. B. </w:t>
      </w:r>
      <w:proofErr w:type="spellStart"/>
      <w:r w:rsidR="009B4846" w:rsidRPr="005E1822">
        <w:rPr>
          <w:sz w:val="18"/>
          <w:szCs w:val="18"/>
        </w:rPr>
        <w:t>Desmet</w:t>
      </w:r>
      <w:proofErr w:type="spellEnd"/>
      <w:r w:rsidR="009B4846" w:rsidRPr="005E1822">
        <w:rPr>
          <w:sz w:val="18"/>
          <w:szCs w:val="18"/>
        </w:rPr>
        <w:t xml:space="preserve">, D. R. </w:t>
      </w:r>
      <w:proofErr w:type="spellStart"/>
      <w:r w:rsidR="009B4846" w:rsidRPr="005E1822">
        <w:rPr>
          <w:sz w:val="18"/>
          <w:szCs w:val="18"/>
        </w:rPr>
        <w:t>D’hooge</w:t>
      </w:r>
      <w:proofErr w:type="spellEnd"/>
      <w:r w:rsidR="009B4846" w:rsidRPr="005E1822">
        <w:rPr>
          <w:sz w:val="18"/>
          <w:szCs w:val="18"/>
        </w:rPr>
        <w:t xml:space="preserve">, M. K. </w:t>
      </w:r>
      <w:proofErr w:type="spellStart"/>
      <w:r w:rsidR="009B4846" w:rsidRPr="005E1822">
        <w:rPr>
          <w:sz w:val="18"/>
          <w:szCs w:val="18"/>
        </w:rPr>
        <w:t>Sabbe</w:t>
      </w:r>
      <w:proofErr w:type="spellEnd"/>
      <w:r w:rsidR="009B4846" w:rsidRPr="005E1822">
        <w:rPr>
          <w:sz w:val="18"/>
          <w:szCs w:val="18"/>
        </w:rPr>
        <w:t xml:space="preserve">, G. B. Marin, F. E. Du </w:t>
      </w:r>
      <w:proofErr w:type="spellStart"/>
      <w:r w:rsidR="009B4846" w:rsidRPr="005E1822">
        <w:rPr>
          <w:sz w:val="18"/>
          <w:szCs w:val="18"/>
        </w:rPr>
        <w:t>Prez</w:t>
      </w:r>
      <w:proofErr w:type="spellEnd"/>
      <w:r w:rsidR="009B4846" w:rsidRPr="005E1822">
        <w:rPr>
          <w:sz w:val="18"/>
          <w:szCs w:val="18"/>
        </w:rPr>
        <w:t xml:space="preserve">, P. </w:t>
      </w:r>
      <w:proofErr w:type="spellStart"/>
      <w:r w:rsidR="009B4846" w:rsidRPr="005E1822">
        <w:rPr>
          <w:sz w:val="18"/>
          <w:szCs w:val="18"/>
        </w:rPr>
        <w:t>Espeel</w:t>
      </w:r>
      <w:proofErr w:type="spellEnd"/>
      <w:r w:rsidR="009B4846" w:rsidRPr="005E1822">
        <w:rPr>
          <w:sz w:val="18"/>
          <w:szCs w:val="18"/>
        </w:rPr>
        <w:t xml:space="preserve"> and M-F. </w:t>
      </w:r>
      <w:r w:rsidR="009B4846" w:rsidRPr="005E1822">
        <w:rPr>
          <w:sz w:val="18"/>
          <w:szCs w:val="18"/>
          <w:lang w:val="it-IT"/>
        </w:rPr>
        <w:t xml:space="preserve">Reyniers.  </w:t>
      </w:r>
      <w:r w:rsidR="009B4846" w:rsidRPr="005E1822">
        <w:rPr>
          <w:i/>
          <w:sz w:val="18"/>
          <w:szCs w:val="18"/>
          <w:lang w:val="it-IT"/>
        </w:rPr>
        <w:t>J. Org. Chem</w:t>
      </w:r>
      <w:r w:rsidR="009B4846" w:rsidRPr="005E1822">
        <w:rPr>
          <w:sz w:val="18"/>
          <w:szCs w:val="18"/>
          <w:lang w:val="it-IT"/>
        </w:rPr>
        <w:t xml:space="preserve">., 2015, </w:t>
      </w:r>
      <w:r w:rsidR="009B4846" w:rsidRPr="005E1822">
        <w:rPr>
          <w:b/>
          <w:sz w:val="18"/>
          <w:szCs w:val="18"/>
          <w:lang w:val="it-IT"/>
        </w:rPr>
        <w:t>80</w:t>
      </w:r>
      <w:r w:rsidR="009B4846" w:rsidRPr="005E1822">
        <w:rPr>
          <w:sz w:val="18"/>
          <w:szCs w:val="18"/>
          <w:lang w:val="it-IT"/>
        </w:rPr>
        <w:t>, 8520-8529</w:t>
      </w:r>
    </w:p>
    <w:p w:rsidR="0087504A" w:rsidRPr="005E1822" w:rsidRDefault="009B4846" w:rsidP="0087504A">
      <w:pPr>
        <w:pStyle w:val="RSCF02FootnotestoTitleAuthors"/>
        <w:spacing w:line="200" w:lineRule="exact"/>
        <w:rPr>
          <w:sz w:val="18"/>
          <w:szCs w:val="18"/>
        </w:rPr>
      </w:pPr>
      <w:r w:rsidRPr="005E1822">
        <w:rPr>
          <w:sz w:val="18"/>
          <w:szCs w:val="18"/>
          <w:lang w:val="it-IT"/>
        </w:rPr>
        <w:t>23</w:t>
      </w:r>
      <w:r w:rsidRPr="005E1822">
        <w:rPr>
          <w:sz w:val="18"/>
          <w:szCs w:val="18"/>
          <w:lang w:val="it-IT"/>
        </w:rPr>
        <w:tab/>
      </w:r>
      <w:r w:rsidR="00AE1CF1" w:rsidRPr="005E1822">
        <w:rPr>
          <w:sz w:val="18"/>
          <w:szCs w:val="18"/>
          <w:lang w:val="it-IT"/>
        </w:rPr>
        <w:t>M. Vastano, A. Pellis, B. Immirzi, G. Dal Poggetto, M. Malinconico, G. Sannia, G. M. Guebitz and C. Pezzella</w:t>
      </w:r>
      <w:r w:rsidR="0087504A" w:rsidRPr="005E1822">
        <w:rPr>
          <w:sz w:val="18"/>
          <w:szCs w:val="18"/>
          <w:lang w:val="it-IT"/>
        </w:rPr>
        <w:t xml:space="preserve">. </w:t>
      </w:r>
      <w:r w:rsidR="00AE1CF1" w:rsidRPr="005E1822">
        <w:rPr>
          <w:i/>
          <w:sz w:val="18"/>
          <w:szCs w:val="18"/>
        </w:rPr>
        <w:t>Green Chem</w:t>
      </w:r>
      <w:r w:rsidR="00AE1CF1" w:rsidRPr="005E1822">
        <w:rPr>
          <w:sz w:val="18"/>
          <w:szCs w:val="18"/>
        </w:rPr>
        <w:t xml:space="preserve">., 2017, </w:t>
      </w:r>
      <w:r w:rsidR="00AE1CF1" w:rsidRPr="005E1822">
        <w:rPr>
          <w:b/>
          <w:sz w:val="18"/>
          <w:szCs w:val="18"/>
        </w:rPr>
        <w:t>19</w:t>
      </w:r>
      <w:r w:rsidR="00AE1CF1" w:rsidRPr="005E1822">
        <w:rPr>
          <w:sz w:val="18"/>
          <w:szCs w:val="18"/>
        </w:rPr>
        <w:t>, 5494-5504</w:t>
      </w:r>
    </w:p>
    <w:p w:rsidR="0087504A" w:rsidRPr="005E1822" w:rsidRDefault="009B4846" w:rsidP="0087504A">
      <w:pPr>
        <w:pStyle w:val="RSCF02FootnotestoTitleAuthors"/>
        <w:spacing w:line="200" w:lineRule="exact"/>
        <w:rPr>
          <w:sz w:val="18"/>
          <w:szCs w:val="18"/>
        </w:rPr>
      </w:pPr>
      <w:r w:rsidRPr="005E1822">
        <w:rPr>
          <w:sz w:val="18"/>
          <w:szCs w:val="18"/>
        </w:rPr>
        <w:t>24</w:t>
      </w:r>
      <w:r w:rsidR="0087504A" w:rsidRPr="005E1822">
        <w:rPr>
          <w:sz w:val="18"/>
          <w:szCs w:val="18"/>
        </w:rPr>
        <w:t>.</w:t>
      </w:r>
      <w:r w:rsidR="0087504A" w:rsidRPr="005E1822">
        <w:rPr>
          <w:sz w:val="18"/>
          <w:szCs w:val="18"/>
        </w:rPr>
        <w:tab/>
      </w:r>
      <w:r w:rsidR="00AE1CF1" w:rsidRPr="005E1822">
        <w:rPr>
          <w:sz w:val="18"/>
          <w:szCs w:val="18"/>
        </w:rPr>
        <w:t>Z. Tang, L</w:t>
      </w:r>
      <w:r w:rsidR="0087504A" w:rsidRPr="005E1822">
        <w:rPr>
          <w:sz w:val="18"/>
          <w:szCs w:val="18"/>
        </w:rPr>
        <w:t>.</w:t>
      </w:r>
      <w:r w:rsidR="00AE1CF1" w:rsidRPr="005E1822">
        <w:rPr>
          <w:sz w:val="18"/>
          <w:szCs w:val="18"/>
        </w:rPr>
        <w:t xml:space="preserve"> Wang and J. Yang</w:t>
      </w:r>
      <w:r w:rsidR="0087504A" w:rsidRPr="005E1822">
        <w:rPr>
          <w:sz w:val="18"/>
          <w:szCs w:val="18"/>
        </w:rPr>
        <w:t xml:space="preserve">. </w:t>
      </w:r>
      <w:r w:rsidR="0087504A" w:rsidRPr="005E1822">
        <w:rPr>
          <w:i/>
          <w:sz w:val="18"/>
          <w:szCs w:val="18"/>
        </w:rPr>
        <w:t>Eur. J. Lipid Sci. Technol</w:t>
      </w:r>
      <w:r w:rsidR="0087504A" w:rsidRPr="005E1822">
        <w:rPr>
          <w:sz w:val="18"/>
          <w:szCs w:val="18"/>
        </w:rPr>
        <w:t>.</w:t>
      </w:r>
      <w:r w:rsidR="00AE1CF1" w:rsidRPr="005E1822">
        <w:rPr>
          <w:sz w:val="18"/>
          <w:szCs w:val="18"/>
        </w:rPr>
        <w:t xml:space="preserve">, 2008, </w:t>
      </w:r>
      <w:r w:rsidR="00AE1CF1" w:rsidRPr="005E1822">
        <w:rPr>
          <w:b/>
          <w:sz w:val="18"/>
          <w:szCs w:val="18"/>
        </w:rPr>
        <w:t>110</w:t>
      </w:r>
      <w:r w:rsidR="00AE1CF1" w:rsidRPr="005E1822">
        <w:rPr>
          <w:sz w:val="18"/>
          <w:szCs w:val="18"/>
        </w:rPr>
        <w:t>, 747-753</w:t>
      </w:r>
    </w:p>
    <w:p w:rsidR="0087504A" w:rsidRPr="00F830CF" w:rsidRDefault="0087504A" w:rsidP="0087504A">
      <w:pPr>
        <w:pStyle w:val="RSCF02FootnotestoTitleAuthors"/>
        <w:spacing w:line="200" w:lineRule="exact"/>
        <w:rPr>
          <w:sz w:val="18"/>
          <w:szCs w:val="18"/>
        </w:rPr>
      </w:pPr>
      <w:r w:rsidRPr="005E1822">
        <w:rPr>
          <w:sz w:val="18"/>
          <w:szCs w:val="18"/>
        </w:rPr>
        <w:t>2</w:t>
      </w:r>
      <w:r w:rsidR="009B4846" w:rsidRPr="005E1822">
        <w:rPr>
          <w:sz w:val="18"/>
          <w:szCs w:val="18"/>
        </w:rPr>
        <w:t>5</w:t>
      </w:r>
      <w:r w:rsidRPr="005E1822">
        <w:rPr>
          <w:sz w:val="18"/>
          <w:szCs w:val="18"/>
        </w:rPr>
        <w:t>.</w:t>
      </w:r>
      <w:r w:rsidRPr="005E1822">
        <w:rPr>
          <w:sz w:val="18"/>
          <w:szCs w:val="18"/>
        </w:rPr>
        <w:tab/>
      </w:r>
      <w:r w:rsidR="00AE1CF1" w:rsidRPr="005E1822">
        <w:rPr>
          <w:sz w:val="18"/>
          <w:szCs w:val="18"/>
        </w:rPr>
        <w:t xml:space="preserve">M. </w:t>
      </w:r>
      <w:proofErr w:type="spellStart"/>
      <w:r w:rsidR="00AE1CF1" w:rsidRPr="005E1822">
        <w:rPr>
          <w:sz w:val="18"/>
          <w:szCs w:val="18"/>
        </w:rPr>
        <w:t>Szczęsna-Antczak</w:t>
      </w:r>
      <w:proofErr w:type="spellEnd"/>
      <w:r w:rsidR="00AE1CF1" w:rsidRPr="005E1822">
        <w:rPr>
          <w:sz w:val="18"/>
          <w:szCs w:val="18"/>
        </w:rPr>
        <w:t xml:space="preserve">, J. </w:t>
      </w:r>
      <w:proofErr w:type="spellStart"/>
      <w:r w:rsidR="00AE1CF1" w:rsidRPr="005E1822">
        <w:rPr>
          <w:sz w:val="18"/>
          <w:szCs w:val="18"/>
        </w:rPr>
        <w:t>Szeląg</w:t>
      </w:r>
      <w:proofErr w:type="spellEnd"/>
      <w:r w:rsidR="00AE1CF1" w:rsidRPr="005E1822">
        <w:rPr>
          <w:sz w:val="18"/>
          <w:szCs w:val="18"/>
        </w:rPr>
        <w:t>, L</w:t>
      </w:r>
      <w:r w:rsidRPr="005E1822">
        <w:rPr>
          <w:sz w:val="18"/>
          <w:szCs w:val="18"/>
        </w:rPr>
        <w:t>.</w:t>
      </w:r>
      <w:r w:rsidR="00AE1CF1" w:rsidRPr="005E1822">
        <w:rPr>
          <w:sz w:val="18"/>
          <w:szCs w:val="18"/>
        </w:rPr>
        <w:t xml:space="preserve"> </w:t>
      </w:r>
      <w:proofErr w:type="spellStart"/>
      <w:r w:rsidR="00AE1CF1" w:rsidRPr="005E1822">
        <w:rPr>
          <w:sz w:val="18"/>
          <w:szCs w:val="18"/>
        </w:rPr>
        <w:t>Stańczyk</w:t>
      </w:r>
      <w:proofErr w:type="spellEnd"/>
      <w:r w:rsidR="00AE1CF1" w:rsidRPr="005E1822">
        <w:rPr>
          <w:sz w:val="18"/>
          <w:szCs w:val="18"/>
        </w:rPr>
        <w:t>, A</w:t>
      </w:r>
      <w:r w:rsidRPr="005E1822">
        <w:rPr>
          <w:sz w:val="18"/>
          <w:szCs w:val="18"/>
        </w:rPr>
        <w:t xml:space="preserve">. </w:t>
      </w:r>
      <w:proofErr w:type="spellStart"/>
      <w:r w:rsidRPr="005E1822">
        <w:rPr>
          <w:sz w:val="18"/>
          <w:szCs w:val="18"/>
        </w:rPr>
        <w:t>Borowska</w:t>
      </w:r>
      <w:proofErr w:type="spellEnd"/>
      <w:r w:rsidRPr="005E1822">
        <w:rPr>
          <w:sz w:val="18"/>
          <w:szCs w:val="18"/>
        </w:rPr>
        <w:t xml:space="preserve">, </w:t>
      </w:r>
      <w:r w:rsidR="00AE1CF1" w:rsidRPr="005E1822">
        <w:rPr>
          <w:sz w:val="18"/>
          <w:szCs w:val="18"/>
        </w:rPr>
        <w:t xml:space="preserve">and T. </w:t>
      </w:r>
      <w:proofErr w:type="spellStart"/>
      <w:r w:rsidR="00AE1CF1" w:rsidRPr="005E1822">
        <w:rPr>
          <w:sz w:val="18"/>
          <w:szCs w:val="18"/>
        </w:rPr>
        <w:t>Antczak</w:t>
      </w:r>
      <w:proofErr w:type="spellEnd"/>
      <w:r w:rsidRPr="005E1822">
        <w:rPr>
          <w:sz w:val="18"/>
          <w:szCs w:val="18"/>
        </w:rPr>
        <w:t xml:space="preserve">. </w:t>
      </w:r>
      <w:proofErr w:type="spellStart"/>
      <w:r w:rsidRPr="005E1822">
        <w:rPr>
          <w:i/>
          <w:sz w:val="18"/>
          <w:szCs w:val="18"/>
        </w:rPr>
        <w:t>Biocatal</w:t>
      </w:r>
      <w:proofErr w:type="spellEnd"/>
      <w:r w:rsidRPr="005E1822">
        <w:rPr>
          <w:i/>
          <w:sz w:val="18"/>
          <w:szCs w:val="18"/>
        </w:rPr>
        <w:t>. Biotransformation</w:t>
      </w:r>
      <w:r w:rsidR="00AE1CF1" w:rsidRPr="005E1822">
        <w:rPr>
          <w:sz w:val="18"/>
          <w:szCs w:val="18"/>
        </w:rPr>
        <w:t xml:space="preserve">, 2016, </w:t>
      </w:r>
      <w:r w:rsidR="00AE1CF1" w:rsidRPr="005E1822">
        <w:rPr>
          <w:b/>
          <w:sz w:val="18"/>
          <w:szCs w:val="18"/>
        </w:rPr>
        <w:t>34</w:t>
      </w:r>
      <w:r w:rsidR="00AE1CF1" w:rsidRPr="005E1822">
        <w:rPr>
          <w:sz w:val="18"/>
          <w:szCs w:val="18"/>
        </w:rPr>
        <w:t>, 253-264</w:t>
      </w:r>
    </w:p>
    <w:p w:rsidR="0087504A" w:rsidRPr="0087504A" w:rsidRDefault="008E40C4" w:rsidP="0087504A">
      <w:pPr>
        <w:pStyle w:val="RSCF02FootnotestoTitleAuthors"/>
        <w:spacing w:line="200" w:lineRule="exact"/>
        <w:rPr>
          <w:sz w:val="18"/>
          <w:szCs w:val="18"/>
        </w:rPr>
      </w:pPr>
      <w:r w:rsidRPr="005E1822">
        <w:rPr>
          <w:sz w:val="18"/>
          <w:szCs w:val="18"/>
        </w:rPr>
        <w:t>2</w:t>
      </w:r>
      <w:r w:rsidR="009B4846" w:rsidRPr="005E1822">
        <w:rPr>
          <w:sz w:val="18"/>
          <w:szCs w:val="18"/>
        </w:rPr>
        <w:t>6</w:t>
      </w:r>
      <w:r w:rsidR="0087504A" w:rsidRPr="005E1822">
        <w:rPr>
          <w:sz w:val="18"/>
          <w:szCs w:val="18"/>
        </w:rPr>
        <w:t>.</w:t>
      </w:r>
      <w:r w:rsidR="0087504A" w:rsidRPr="005E1822">
        <w:rPr>
          <w:sz w:val="18"/>
          <w:szCs w:val="18"/>
        </w:rPr>
        <w:tab/>
      </w:r>
      <w:r w:rsidR="00AE1CF1" w:rsidRPr="005E1822">
        <w:rPr>
          <w:sz w:val="18"/>
          <w:szCs w:val="18"/>
        </w:rPr>
        <w:t xml:space="preserve">S. </w:t>
      </w:r>
      <w:proofErr w:type="spellStart"/>
      <w:r w:rsidR="00AE1CF1" w:rsidRPr="005E1822">
        <w:rPr>
          <w:sz w:val="18"/>
          <w:szCs w:val="18"/>
        </w:rPr>
        <w:t>Pérocheau</w:t>
      </w:r>
      <w:proofErr w:type="spellEnd"/>
      <w:r w:rsidR="00AE1CF1" w:rsidRPr="005E1822">
        <w:rPr>
          <w:sz w:val="18"/>
          <w:szCs w:val="18"/>
        </w:rPr>
        <w:t xml:space="preserve"> Arnaud, L. Wu, M.-A. Wong Chang, J. W. Comerford, T. J. Farmer, M. Schmid, F. Chang, Z. Lib and M. </w:t>
      </w:r>
      <w:proofErr w:type="spellStart"/>
      <w:r w:rsidR="00AE1CF1" w:rsidRPr="005E1822">
        <w:rPr>
          <w:sz w:val="18"/>
          <w:szCs w:val="18"/>
        </w:rPr>
        <w:t>Mascal</w:t>
      </w:r>
      <w:proofErr w:type="spellEnd"/>
      <w:r w:rsidR="0087504A" w:rsidRPr="005E1822">
        <w:rPr>
          <w:sz w:val="18"/>
          <w:szCs w:val="18"/>
        </w:rPr>
        <w:t xml:space="preserve">. </w:t>
      </w:r>
      <w:r w:rsidR="0087504A" w:rsidRPr="005E1822">
        <w:rPr>
          <w:i/>
          <w:sz w:val="18"/>
          <w:szCs w:val="18"/>
        </w:rPr>
        <w:t>Faraday Discuss</w:t>
      </w:r>
      <w:r w:rsidR="0087504A" w:rsidRPr="005E1822">
        <w:rPr>
          <w:sz w:val="18"/>
          <w:szCs w:val="18"/>
        </w:rPr>
        <w:t>.</w:t>
      </w:r>
      <w:r w:rsidR="00AE1CF1" w:rsidRPr="005E1822">
        <w:rPr>
          <w:sz w:val="18"/>
          <w:szCs w:val="18"/>
        </w:rPr>
        <w:t xml:space="preserve">, 2017, </w:t>
      </w:r>
      <w:r w:rsidR="00AE1CF1" w:rsidRPr="005E1822">
        <w:rPr>
          <w:b/>
          <w:sz w:val="18"/>
          <w:szCs w:val="18"/>
        </w:rPr>
        <w:t>202</w:t>
      </w:r>
      <w:r w:rsidR="00AE1CF1" w:rsidRPr="005E1822">
        <w:rPr>
          <w:sz w:val="18"/>
          <w:szCs w:val="18"/>
        </w:rPr>
        <w:t>, 61-77</w:t>
      </w:r>
    </w:p>
    <w:sectPr w:rsidR="0087504A" w:rsidRPr="0087504A" w:rsidSect="00514CBA">
      <w:type w:val="continuous"/>
      <w:pgSz w:w="11907" w:h="16840" w:code="9"/>
      <w:pgMar w:top="1009" w:right="851" w:bottom="1758" w:left="851" w:header="851" w:footer="1049" w:gutter="0"/>
      <w:cols w:num="2" w:space="227"/>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6107B" w:rsidRDefault="0006107B" w:rsidP="00E547DB">
      <w:pPr>
        <w:spacing w:after="0" w:line="240" w:lineRule="auto"/>
      </w:pPr>
      <w:r>
        <w:separator/>
      </w:r>
    </w:p>
    <w:p w:rsidR="0006107B" w:rsidRDefault="0006107B"/>
    <w:p w:rsidR="0006107B" w:rsidRDefault="0006107B"/>
    <w:p w:rsidR="0006107B" w:rsidRDefault="0006107B"/>
    <w:p w:rsidR="0006107B" w:rsidRDefault="0006107B"/>
    <w:p w:rsidR="0006107B" w:rsidRDefault="0006107B"/>
  </w:endnote>
  <w:endnote w:type="continuationSeparator" w:id="0">
    <w:p w:rsidR="0006107B" w:rsidRDefault="0006107B" w:rsidP="00E547DB">
      <w:pPr>
        <w:spacing w:after="0" w:line="240" w:lineRule="auto"/>
      </w:pPr>
      <w:r>
        <w:continuationSeparator/>
      </w:r>
    </w:p>
    <w:p w:rsidR="0006107B" w:rsidRDefault="0006107B"/>
    <w:p w:rsidR="0006107B" w:rsidRDefault="0006107B"/>
    <w:p w:rsidR="0006107B" w:rsidRDefault="0006107B"/>
    <w:p w:rsidR="0006107B" w:rsidRDefault="0006107B"/>
    <w:p w:rsidR="0006107B" w:rsidRDefault="0006107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embedRegular r:id="rId1" w:fontKey="{8134CB32-CD85-47F9-89E1-5613D985B246}"/>
    <w:embedBold r:id="rId2" w:fontKey="{DDB665FB-1893-4108-B514-C114EDA380E0}"/>
    <w:embedItalic r:id="rId3" w:fontKey="{F8D38044-CAD8-4AE8-AF1D-A26D024F9202}"/>
  </w:font>
  <w:font w:name="Tahoma">
    <w:panose1 w:val="020B0604030504040204"/>
    <w:charset w:val="00"/>
    <w:family w:val="swiss"/>
    <w:pitch w:val="variable"/>
    <w:sig w:usb0="E1002EFF" w:usb1="C000605B" w:usb2="00000029" w:usb3="00000000" w:csb0="000101FF" w:csb1="00000000"/>
    <w:embedRegular r:id="rId4" w:fontKey="{B7486BEE-210F-4D2F-9174-48A8E994BFCE}"/>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5" w:fontKey="{74B210ED-29D5-4A08-ADDA-179ACB1CF03A}"/>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7AC1" w:rsidRPr="006602F1" w:rsidRDefault="00617AC1" w:rsidP="00D45ADF">
    <w:pPr>
      <w:pStyle w:val="Footer"/>
      <w:tabs>
        <w:tab w:val="clear" w:pos="4513"/>
        <w:tab w:val="clear" w:pos="9026"/>
        <w:tab w:val="right" w:pos="10206"/>
      </w:tabs>
      <w:spacing w:before="480"/>
      <w:rPr>
        <w:spacing w:val="10"/>
        <w:sz w:val="16"/>
        <w:szCs w:val="16"/>
      </w:rPr>
    </w:pPr>
    <w:r w:rsidRPr="006602F1">
      <w:rPr>
        <w:b/>
        <w:spacing w:val="10"/>
        <w:sz w:val="16"/>
        <w:szCs w:val="16"/>
      </w:rPr>
      <w:fldChar w:fldCharType="begin"/>
    </w:r>
    <w:r w:rsidRPr="006602F1">
      <w:rPr>
        <w:b/>
        <w:spacing w:val="10"/>
        <w:sz w:val="16"/>
        <w:szCs w:val="16"/>
      </w:rPr>
      <w:instrText xml:space="preserve"> PAGE   \* MERGEFORMAT </w:instrText>
    </w:r>
    <w:r w:rsidRPr="006602F1">
      <w:rPr>
        <w:b/>
        <w:spacing w:val="10"/>
        <w:sz w:val="16"/>
        <w:szCs w:val="16"/>
      </w:rPr>
      <w:fldChar w:fldCharType="separate"/>
    </w:r>
    <w:r w:rsidR="005E1822">
      <w:rPr>
        <w:b/>
        <w:noProof/>
        <w:spacing w:val="10"/>
        <w:sz w:val="16"/>
        <w:szCs w:val="16"/>
      </w:rPr>
      <w:t>6</w:t>
    </w:r>
    <w:r w:rsidRPr="006602F1">
      <w:rPr>
        <w:b/>
        <w:noProof/>
        <w:spacing w:val="10"/>
        <w:sz w:val="16"/>
        <w:szCs w:val="16"/>
      </w:rPr>
      <w:fldChar w:fldCharType="end"/>
    </w:r>
    <w:r w:rsidRPr="006602F1">
      <w:rPr>
        <w:noProof/>
        <w:spacing w:val="10"/>
        <w:sz w:val="16"/>
        <w:szCs w:val="16"/>
      </w:rPr>
      <w:t xml:space="preserve"> | </w:t>
    </w:r>
    <w:r>
      <w:rPr>
        <w:i/>
        <w:noProof/>
        <w:spacing w:val="10"/>
        <w:sz w:val="16"/>
        <w:szCs w:val="16"/>
      </w:rPr>
      <w:t>J</w:t>
    </w:r>
    <w:r w:rsidRPr="006602F1">
      <w:rPr>
        <w:i/>
        <w:noProof/>
        <w:spacing w:val="10"/>
        <w:sz w:val="16"/>
        <w:szCs w:val="16"/>
      </w:rPr>
      <w:t xml:space="preserve">. </w:t>
    </w:r>
    <w:r>
      <w:rPr>
        <w:i/>
        <w:noProof/>
        <w:spacing w:val="10"/>
        <w:sz w:val="16"/>
        <w:szCs w:val="16"/>
      </w:rPr>
      <w:t>Name</w:t>
    </w:r>
    <w:r w:rsidRPr="006602F1">
      <w:rPr>
        <w:noProof/>
        <w:spacing w:val="10"/>
        <w:sz w:val="16"/>
        <w:szCs w:val="16"/>
      </w:rPr>
      <w:t xml:space="preserve">., 2012, </w:t>
    </w:r>
    <w:r w:rsidRPr="006602F1">
      <w:rPr>
        <w:b/>
        <w:noProof/>
        <w:spacing w:val="10"/>
        <w:sz w:val="16"/>
        <w:szCs w:val="16"/>
      </w:rPr>
      <w:t>00</w:t>
    </w:r>
    <w:r w:rsidRPr="006602F1">
      <w:rPr>
        <w:noProof/>
        <w:spacing w:val="10"/>
        <w:sz w:val="16"/>
        <w:szCs w:val="16"/>
      </w:rPr>
      <w:t>, 1-3</w:t>
    </w:r>
    <w:r w:rsidRPr="006602F1">
      <w:rPr>
        <w:noProof/>
        <w:spacing w:val="10"/>
        <w:sz w:val="16"/>
        <w:szCs w:val="16"/>
      </w:rPr>
      <w:tab/>
    </w: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 Royal Society of Chemistry 20</w:t>
    </w:r>
    <w:r>
      <w:rPr>
        <w:noProof/>
        <w:spacing w:val="2"/>
        <w:sz w:val="16"/>
        <w:szCs w:val="16"/>
      </w:rPr>
      <w:t>xx</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7AC1" w:rsidRPr="006602F1" w:rsidRDefault="00617AC1" w:rsidP="00D45ADF">
    <w:pPr>
      <w:pStyle w:val="Footer"/>
      <w:tabs>
        <w:tab w:val="clear" w:pos="4513"/>
        <w:tab w:val="clear" w:pos="9026"/>
        <w:tab w:val="right" w:pos="10205"/>
      </w:tabs>
      <w:spacing w:before="480"/>
      <w:rPr>
        <w:sz w:val="16"/>
        <w:szCs w:val="16"/>
      </w:rPr>
    </w:pP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w:t>
    </w:r>
    <w:r>
      <w:rPr>
        <w:noProof/>
        <w:spacing w:val="2"/>
        <w:sz w:val="16"/>
        <w:szCs w:val="16"/>
      </w:rPr>
      <w:t xml:space="preserve"> Royal Society of Chemistry 20xx</w:t>
    </w:r>
    <w:r>
      <w:rPr>
        <w:i/>
        <w:noProof/>
        <w:spacing w:val="10"/>
        <w:sz w:val="16"/>
        <w:szCs w:val="16"/>
      </w:rPr>
      <w:tab/>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sidR="005E1822">
      <w:rPr>
        <w:b/>
        <w:noProof/>
        <w:spacing w:val="10"/>
        <w:sz w:val="16"/>
        <w:szCs w:val="16"/>
      </w:rPr>
      <w:t>7</w:t>
    </w:r>
    <w:r w:rsidRPr="008C1387">
      <w:rPr>
        <w:b/>
        <w:noProof/>
        <w:spacing w:val="10"/>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7AC1" w:rsidRPr="006602F1" w:rsidRDefault="00617AC1" w:rsidP="00D45ADF">
    <w:pPr>
      <w:pStyle w:val="Footer"/>
      <w:tabs>
        <w:tab w:val="clear" w:pos="4513"/>
        <w:tab w:val="clear" w:pos="9026"/>
        <w:tab w:val="right" w:pos="10206"/>
      </w:tabs>
      <w:spacing w:before="480"/>
      <w:rPr>
        <w:sz w:val="16"/>
        <w:szCs w:val="16"/>
      </w:rPr>
    </w:pPr>
    <w:r>
      <w:rPr>
        <w:noProof/>
        <w:lang w:eastAsia="en-GB"/>
      </w:rPr>
      <mc:AlternateContent>
        <mc:Choice Requires="wps">
          <w:drawing>
            <wp:anchor distT="0" distB="0" distL="114300" distR="114300" simplePos="0" relativeHeight="251664384" behindDoc="0" locked="0" layoutInCell="1" allowOverlap="1" wp14:anchorId="797DAFAE" wp14:editId="65C98D16">
              <wp:simplePos x="0" y="0"/>
              <wp:positionH relativeFrom="column">
                <wp:align>center</wp:align>
              </wp:positionH>
              <wp:positionV relativeFrom="page">
                <wp:align>bottom</wp:align>
              </wp:positionV>
              <wp:extent cx="7700400" cy="396000"/>
              <wp:effectExtent l="0" t="0" r="0" b="444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rsidR="00617AC1" w:rsidRPr="00F20A7C" w:rsidRDefault="00617AC1"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97DAFAE" id="_x0000_t202" coordsize="21600,21600" o:spt="202" path="m,l,21600r21600,l21600,xe">
              <v:stroke joinstyle="miter"/>
              <v:path gradientshapeok="t" o:connecttype="rect"/>
            </v:shapetype>
            <v:shape id="_x0000_s1032" type="#_x0000_t202" style="position:absolute;margin-left:0;margin-top:0;width:606.35pt;height:31.2pt;z-index:251664384;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" fillcolor="#a5a5a5 [2092]" stroked="f">
              <v:textbox>
                <w:txbxContent>
                  <w:p w:rsidR="00617AC1" w:rsidRPr="00F20A7C" w:rsidRDefault="00617AC1"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v:textbox>
              <w10:wrap anchory="page"/>
            </v:shape>
          </w:pict>
        </mc:Fallback>
      </mc:AlternateContent>
    </w:r>
    <w:r w:rsidRPr="002C0803">
      <w:rPr>
        <w:noProof/>
        <w:spacing w:val="2"/>
        <w:sz w:val="16"/>
        <w:szCs w:val="16"/>
      </w:rPr>
      <w:t xml:space="preserve">This journal is </w:t>
    </w:r>
    <w:r w:rsidRPr="002C0803">
      <w:rPr>
        <w:rFonts w:cstheme="minorHAnsi"/>
        <w:noProof/>
        <w:spacing w:val="2"/>
        <w:sz w:val="16"/>
        <w:szCs w:val="16"/>
      </w:rPr>
      <w:t>©</w:t>
    </w:r>
    <w:r w:rsidRPr="002C0803">
      <w:rPr>
        <w:noProof/>
        <w:spacing w:val="2"/>
        <w:sz w:val="16"/>
        <w:szCs w:val="16"/>
      </w:rPr>
      <w:t xml:space="preserve"> The</w:t>
    </w:r>
    <w:r>
      <w:rPr>
        <w:noProof/>
        <w:spacing w:val="2"/>
        <w:sz w:val="16"/>
        <w:szCs w:val="16"/>
      </w:rPr>
      <w:t xml:space="preserve"> Royal Society of Chemistry 20xx</w:t>
    </w:r>
    <w:r w:rsidRPr="006602F1">
      <w:rPr>
        <w:i/>
        <w:noProof/>
        <w:sz w:val="16"/>
        <w:szCs w:val="16"/>
      </w:rPr>
      <w:tab/>
    </w:r>
    <w:r>
      <w:rPr>
        <w:i/>
        <w:noProof/>
        <w:spacing w:val="10"/>
        <w:sz w:val="16"/>
        <w:szCs w:val="16"/>
      </w:rPr>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sidR="005E1822">
      <w:rPr>
        <w:b/>
        <w:noProof/>
        <w:spacing w:val="10"/>
        <w:sz w:val="16"/>
        <w:szCs w:val="16"/>
      </w:rPr>
      <w:t>1</w:t>
    </w:r>
    <w:r w:rsidRPr="008C1387">
      <w:rPr>
        <w:b/>
        <w:noProof/>
        <w:spacing w:val="10"/>
        <w:sz w:val="16"/>
        <w:szCs w:val="16"/>
      </w:rPr>
      <w:fldChar w:fldCharType="end"/>
    </w:r>
    <w:r w:rsidRPr="00CC2E25">
      <w:rPr>
        <w:noProof/>
        <w:spacing w:val="2"/>
        <w:sz w:val="16"/>
        <w:szCs w:val="16"/>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6107B" w:rsidRDefault="0006107B" w:rsidP="00E547DB">
      <w:pPr>
        <w:spacing w:after="0" w:line="240" w:lineRule="auto"/>
      </w:pPr>
      <w:r>
        <w:separator/>
      </w:r>
    </w:p>
    <w:p w:rsidR="0006107B" w:rsidRDefault="0006107B"/>
    <w:p w:rsidR="0006107B" w:rsidRDefault="0006107B"/>
    <w:p w:rsidR="0006107B" w:rsidRDefault="0006107B"/>
    <w:p w:rsidR="0006107B" w:rsidRDefault="0006107B"/>
    <w:p w:rsidR="0006107B" w:rsidRDefault="0006107B"/>
  </w:footnote>
  <w:footnote w:type="continuationSeparator" w:id="0">
    <w:p w:rsidR="0006107B" w:rsidRDefault="0006107B" w:rsidP="00E547DB">
      <w:pPr>
        <w:spacing w:after="0" w:line="240" w:lineRule="auto"/>
      </w:pPr>
      <w:r>
        <w:continuationSeparator/>
      </w:r>
    </w:p>
    <w:p w:rsidR="0006107B" w:rsidRDefault="0006107B"/>
    <w:p w:rsidR="0006107B" w:rsidRDefault="0006107B"/>
    <w:p w:rsidR="0006107B" w:rsidRDefault="0006107B"/>
    <w:p w:rsidR="0006107B" w:rsidRDefault="0006107B"/>
    <w:p w:rsidR="0006107B" w:rsidRDefault="0006107B"/>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7AC1" w:rsidRPr="00E70DCE" w:rsidRDefault="00617AC1" w:rsidP="00D45ADF">
    <w:pPr>
      <w:pStyle w:val="Header"/>
      <w:tabs>
        <w:tab w:val="clear" w:pos="4513"/>
        <w:tab w:val="clear" w:pos="9026"/>
        <w:tab w:val="right" w:pos="10206"/>
      </w:tabs>
      <w:spacing w:after="240"/>
      <w:rPr>
        <w:rFonts w:cstheme="minorHAnsi"/>
        <w:color w:val="999999"/>
        <w:sz w:val="20"/>
        <w:szCs w:val="20"/>
      </w:rPr>
    </w:pPr>
    <w:r>
      <w:rPr>
        <w:noProof/>
        <w:lang w:eastAsia="en-GB"/>
      </w:rPr>
      <mc:AlternateContent>
        <mc:Choice Requires="wps">
          <w:drawing>
            <wp:anchor distT="0" distB="0" distL="114300" distR="114300" simplePos="0" relativeHeight="251668480" behindDoc="0" locked="0" layoutInCell="1" allowOverlap="1" wp14:anchorId="5947067A" wp14:editId="14D06B36">
              <wp:simplePos x="0" y="0"/>
              <wp:positionH relativeFrom="column">
                <wp:align>center</wp:align>
              </wp:positionH>
              <wp:positionV relativeFrom="page">
                <wp:align>bottom</wp:align>
              </wp:positionV>
              <wp:extent cx="7700400" cy="396000"/>
              <wp:effectExtent l="0" t="0" r="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rsidR="00617AC1" w:rsidRPr="00F20A7C" w:rsidRDefault="00617AC1"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947067A" id="_x0000_t202" coordsize="21600,21600" o:spt="202" path="m,l,21600r21600,l21600,xe">
              <v:stroke joinstyle="miter"/>
              <v:path gradientshapeok="t" o:connecttype="rect"/>
            </v:shapetype>
            <v:shape id="_x0000_s1027" type="#_x0000_t202" style="position:absolute;margin-left:0;margin-top:0;width:606.35pt;height:31.2pt;z-index:251668480;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" fillcolor="#a5a5a5 [2092]" stroked="f">
              <v:textbox>
                <w:txbxContent>
                  <w:p w:rsidR="00617AC1" w:rsidRPr="00F20A7C" w:rsidRDefault="00617AC1"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noProof/>
        <w:lang w:eastAsia="en-GB"/>
      </w:rPr>
      <mc:AlternateContent>
        <mc:Choice Requires="wps">
          <w:drawing>
            <wp:anchor distT="0" distB="0" distL="114300" distR="114300" simplePos="0" relativeHeight="251666432" behindDoc="0" locked="0" layoutInCell="1" allowOverlap="1" wp14:anchorId="1AADB7E2" wp14:editId="15741499">
              <wp:simplePos x="0" y="0"/>
              <wp:positionH relativeFrom="column">
                <wp:align>center</wp:align>
              </wp:positionH>
              <wp:positionV relativeFrom="page">
                <wp:align>top</wp:align>
              </wp:positionV>
              <wp:extent cx="7700400" cy="396000"/>
              <wp:effectExtent l="0" t="0" r="0" b="444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rsidR="00617AC1" w:rsidRPr="00F20A7C" w:rsidRDefault="00617AC1"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ADB7E2" id="_x0000_s1028" type="#_x0000_t202" style="position:absolute;margin-left:0;margin-top:0;width:606.35pt;height:31.2pt;z-index:251666432;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" fillcolor="#a5a5a5 [2092]" stroked="f">
              <v:textbox>
                <w:txbxContent>
                  <w:p w:rsidR="00617AC1" w:rsidRPr="00F20A7C" w:rsidRDefault="00617AC1"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ARTICLE</w:t>
    </w:r>
    <w:r w:rsidRPr="00E70DCE">
      <w:rPr>
        <w:rFonts w:cstheme="minorHAnsi"/>
        <w:color w:val="999999"/>
        <w:sz w:val="20"/>
        <w:szCs w:val="20"/>
      </w:rPr>
      <w:tab/>
    </w:r>
    <w:r>
      <w:rPr>
        <w:rFonts w:cstheme="minorHAnsi"/>
        <w:b/>
        <w:color w:val="999999"/>
        <w:sz w:val="20"/>
        <w:szCs w:val="20"/>
      </w:rPr>
      <w:t>Journal Name</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7AC1" w:rsidRPr="009316A6" w:rsidRDefault="00617AC1" w:rsidP="00D45ADF">
    <w:pPr>
      <w:pStyle w:val="Header"/>
      <w:tabs>
        <w:tab w:val="clear" w:pos="4513"/>
        <w:tab w:val="clear" w:pos="9026"/>
        <w:tab w:val="right" w:pos="10206"/>
      </w:tabs>
      <w:spacing w:after="240"/>
      <w:rPr>
        <w:rFonts w:cstheme="minorHAnsi"/>
        <w:b/>
        <w:color w:val="999999"/>
        <w:sz w:val="20"/>
        <w:szCs w:val="20"/>
      </w:rPr>
    </w:pPr>
    <w:r>
      <w:rPr>
        <w:noProof/>
        <w:lang w:eastAsia="en-GB"/>
      </w:rPr>
      <mc:AlternateContent>
        <mc:Choice Requires="wps">
          <w:drawing>
            <wp:anchor distT="0" distB="0" distL="114300" distR="114300" simplePos="0" relativeHeight="251672576" behindDoc="0" locked="0" layoutInCell="1" allowOverlap="1" wp14:anchorId="2146ED9A" wp14:editId="3915F361">
              <wp:simplePos x="0" y="0"/>
              <wp:positionH relativeFrom="column">
                <wp:align>center</wp:align>
              </wp:positionH>
              <wp:positionV relativeFrom="page">
                <wp:align>bottom</wp:align>
              </wp:positionV>
              <wp:extent cx="7700400" cy="399600"/>
              <wp:effectExtent l="0" t="0" r="0" b="63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rsidR="00617AC1" w:rsidRPr="00F20A7C" w:rsidRDefault="00617AC1"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146ED9A" id="_x0000_t202" coordsize="21600,21600" o:spt="202" path="m,l,21600r21600,l21600,xe">
              <v:stroke joinstyle="miter"/>
              <v:path gradientshapeok="t" o:connecttype="rect"/>
            </v:shapetype>
            <v:shape id="_x0000_s1029" type="#_x0000_t202" style="position:absolute;margin-left:0;margin-top:0;width:606.35pt;height:31.45pt;z-index:251672576;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" fillcolor="#a5a5a5 [2092]" stroked="f">
              <v:textbox>
                <w:txbxContent>
                  <w:p w:rsidR="00617AC1" w:rsidRPr="00F20A7C" w:rsidRDefault="00617AC1"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Journal Name</w:t>
    </w:r>
    <w:r>
      <w:rPr>
        <w:noProof/>
        <w:lang w:eastAsia="en-GB"/>
      </w:rPr>
      <mc:AlternateContent>
        <mc:Choice Requires="wps">
          <w:drawing>
            <wp:anchor distT="0" distB="0" distL="114300" distR="114300" simplePos="0" relativeHeight="251670528" behindDoc="0" locked="0" layoutInCell="1" allowOverlap="1" wp14:anchorId="1A26A030" wp14:editId="56DC2402">
              <wp:simplePos x="0" y="0"/>
              <wp:positionH relativeFrom="column">
                <wp:align>center</wp:align>
              </wp:positionH>
              <wp:positionV relativeFrom="page">
                <wp:align>top</wp:align>
              </wp:positionV>
              <wp:extent cx="7700400" cy="4248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424800"/>
                      </a:xfrm>
                      <a:prstGeom prst="rect">
                        <a:avLst/>
                      </a:prstGeom>
                      <a:solidFill>
                        <a:schemeClr val="bg1">
                          <a:lumMod val="65000"/>
                        </a:schemeClr>
                      </a:solidFill>
                      <a:ln w="9525">
                        <a:noFill/>
                        <a:miter lim="800000"/>
                        <a:headEnd/>
                        <a:tailEnd/>
                      </a:ln>
                    </wps:spPr>
                    <wps:txbx>
                      <w:txbxContent>
                        <w:p w:rsidR="00617AC1" w:rsidRPr="00F20A7C" w:rsidRDefault="00617AC1"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26A030" id="_x0000_s1030" type="#_x0000_t202" style="position:absolute;margin-left:0;margin-top:0;width:606.35pt;height:33.45pt;z-index:251670528;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" fillcolor="#a5a5a5 [2092]" stroked="f">
              <v:textbox>
                <w:txbxContent>
                  <w:p w:rsidR="00617AC1" w:rsidRPr="00F20A7C" w:rsidRDefault="00617AC1"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ptab w:relativeTo="margin" w:alignment="right" w:leader="none"/>
    </w:r>
    <w:r w:rsidRPr="00E46BDF">
      <w:rPr>
        <w:rFonts w:cstheme="minorHAnsi"/>
        <w:b/>
        <w:color w:val="999999"/>
        <w:sz w:val="20"/>
        <w:szCs w:val="20"/>
      </w:rPr>
      <w:t xml:space="preserve"> </w:t>
    </w:r>
    <w:r>
      <w:rPr>
        <w:rFonts w:cstheme="minorHAnsi"/>
        <w:b/>
        <w:color w:val="999999"/>
        <w:sz w:val="20"/>
        <w:szCs w:val="20"/>
      </w:rPr>
      <w:t>ARTICLE</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7AC1" w:rsidRDefault="00617AC1" w:rsidP="00180ABE">
    <w:pPr>
      <w:pStyle w:val="Header"/>
      <w:shd w:val="clear" w:color="auto" w:fill="FFFFFF" w:themeFill="background1"/>
      <w:tabs>
        <w:tab w:val="clear" w:pos="4513"/>
        <w:tab w:val="clear" w:pos="9026"/>
        <w:tab w:val="right" w:pos="10205"/>
      </w:tabs>
      <w:spacing w:after="240"/>
      <w:rPr>
        <w:b/>
        <w:sz w:val="32"/>
        <w:szCs w:val="32"/>
      </w:rPr>
    </w:pPr>
    <w:r>
      <w:rPr>
        <w:noProof/>
        <w:lang w:eastAsia="en-GB"/>
      </w:rPr>
      <mc:AlternateContent>
        <mc:Choice Requires="wps">
          <w:drawing>
            <wp:anchor distT="0" distB="0" distL="114300" distR="114300" simplePos="0" relativeHeight="251662336" behindDoc="0" locked="0" layoutInCell="1" allowOverlap="1" wp14:anchorId="565E4102" wp14:editId="78F0D339">
              <wp:simplePos x="0" y="0"/>
              <wp:positionH relativeFrom="column">
                <wp:align>center</wp:align>
              </wp:positionH>
              <wp:positionV relativeFrom="page">
                <wp:align>top</wp:align>
              </wp:positionV>
              <wp:extent cx="7700400" cy="399600"/>
              <wp:effectExtent l="0" t="0" r="0" b="63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rsidR="00617AC1" w:rsidRPr="00F20A7C" w:rsidRDefault="00617AC1"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65E4102" id="_x0000_t202" coordsize="21600,21600" o:spt="202" path="m,l,21600r21600,l21600,xe">
              <v:stroke joinstyle="miter"/>
              <v:path gradientshapeok="t" o:connecttype="rect"/>
            </v:shapetype>
            <v:shape id="_x0000_s1031" type="#_x0000_t202" style="position:absolute;margin-left:0;margin-top:0;width:606.35pt;height:31.45pt;z-index:251662336;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" fillcolor="#a5a5a5 [2092]" stroked="f">
              <v:textbox>
                <w:txbxContent>
                  <w:p w:rsidR="00617AC1" w:rsidRPr="00F20A7C" w:rsidRDefault="00617AC1"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b/>
        <w:sz w:val="32"/>
        <w:szCs w:val="32"/>
      </w:rPr>
      <w:t>Journal Name</w:t>
    </w:r>
    <w:r>
      <w:rPr>
        <w:b/>
        <w:sz w:val="32"/>
        <w:szCs w:val="32"/>
      </w:rPr>
      <w:tab/>
    </w:r>
    <w:r>
      <w:rPr>
        <w:b/>
        <w:noProof/>
        <w:sz w:val="32"/>
        <w:szCs w:val="32"/>
        <w:lang w:eastAsia="en-GB"/>
      </w:rPr>
      <w:drawing>
        <wp:inline distT="0" distB="0" distL="0" distR="0" wp14:anchorId="49E42851" wp14:editId="50EB99F2">
          <wp:extent cx="972312" cy="64922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C_LOGO_CORPORATE_CMYK.tif"/>
                  <pic:cNvPicPr/>
                </pic:nvPicPr>
                <pic:blipFill>
                  <a:blip r:embed="rId1" cstate="print">
                    <a:extLst>
                      <a:ext uri="{28A0092B-C50C-407E-A947-70E740481C1C}">
                        <a14:useLocalDpi xmlns:a14="http://schemas.microsoft.com/office/drawing/2010/main" val="0"/>
                      </a:ext>
                    </a:extLst>
                  </a:blip>
                  <a:stretch>
                    <a:fillRect/>
                  </a:stretch>
                </pic:blipFill>
                <pic:spPr>
                  <a:xfrm>
                    <a:off x="0" y="0"/>
                    <a:ext cx="972312" cy="649224"/>
                  </a:xfrm>
                  <a:prstGeom prst="rect">
                    <a:avLst/>
                  </a:prstGeom>
                </pic:spPr>
              </pic:pic>
            </a:graphicData>
          </a:graphic>
        </wp:inline>
      </w:drawing>
    </w:r>
  </w:p>
  <w:p w:rsidR="00617AC1" w:rsidRPr="00180ABE" w:rsidRDefault="00617AC1" w:rsidP="00180ABE">
    <w:pPr>
      <w:pStyle w:val="Header"/>
      <w:pBdr>
        <w:top w:val="single" w:sz="4" w:space="9" w:color="9CB8C7"/>
        <w:left w:val="single" w:sz="4" w:space="6" w:color="9CB8C7"/>
        <w:bottom w:val="single" w:sz="4" w:space="9" w:color="9CB8C7"/>
        <w:right w:val="single" w:sz="4" w:space="6" w:color="9CB8C7"/>
      </w:pBdr>
      <w:shd w:val="clear" w:color="auto" w:fill="9CB8C7"/>
      <w:spacing w:after="240"/>
      <w:ind w:left="170" w:right="170"/>
      <w:rPr>
        <w:rFonts w:cstheme="minorHAnsi"/>
        <w:color w:val="FFFFFF" w:themeColor="background1"/>
        <w:sz w:val="32"/>
        <w:szCs w:val="32"/>
      </w:rPr>
    </w:pPr>
    <w:r>
      <w:rPr>
        <w:rFonts w:cstheme="minorHAnsi"/>
        <w:color w:val="FFFFFF" w:themeColor="background1"/>
        <w:sz w:val="32"/>
        <w:szCs w:val="32"/>
      </w:rPr>
      <w:t>ARTICLE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7A02B7"/>
    <w:multiLevelType w:val="hybridMultilevel"/>
    <w:tmpl w:val="1A9AFC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3CC4793E"/>
    <w:multiLevelType w:val="hybridMultilevel"/>
    <w:tmpl w:val="1E5E52AA"/>
    <w:lvl w:ilvl="0" w:tplc="A2DA1DF6">
      <w:start w:val="1"/>
      <w:numFmt w:val="decimal"/>
      <w:pStyle w:val="RSCR02Reference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DE4064A"/>
    <w:multiLevelType w:val="hybridMultilevel"/>
    <w:tmpl w:val="CFE8A9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15:restartNumberingAfterBreak="0">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2"/>
  </w:num>
  <w:num w:numId="4">
    <w:abstractNumId w:val="6"/>
  </w:num>
  <w:num w:numId="5">
    <w:abstractNumId w:val="5"/>
  </w:num>
  <w:num w:numId="6">
    <w:abstractNumId w:val="1"/>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proofState w:spelling="clean" w:grammar="clean"/>
  <w:attachedTemplate r:id="rId1"/>
  <w:stylePaneSortMethod w:val="0000"/>
  <w:defaultTabStop w:val="284"/>
  <w:evenAndOddHeaders/>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25A0"/>
    <w:rsid w:val="0000294B"/>
    <w:rsid w:val="00005B8A"/>
    <w:rsid w:val="0001537E"/>
    <w:rsid w:val="00022D8A"/>
    <w:rsid w:val="000313C6"/>
    <w:rsid w:val="0003744F"/>
    <w:rsid w:val="00040DCD"/>
    <w:rsid w:val="00041BB4"/>
    <w:rsid w:val="00060EEE"/>
    <w:rsid w:val="0006107B"/>
    <w:rsid w:val="000622D1"/>
    <w:rsid w:val="00062EFC"/>
    <w:rsid w:val="00071E41"/>
    <w:rsid w:val="00073639"/>
    <w:rsid w:val="00074045"/>
    <w:rsid w:val="00076BE5"/>
    <w:rsid w:val="00086033"/>
    <w:rsid w:val="000A2670"/>
    <w:rsid w:val="000C0A9D"/>
    <w:rsid w:val="000D2FAC"/>
    <w:rsid w:val="000D5891"/>
    <w:rsid w:val="000D6963"/>
    <w:rsid w:val="000E7A32"/>
    <w:rsid w:val="000F0959"/>
    <w:rsid w:val="000F3A41"/>
    <w:rsid w:val="00120227"/>
    <w:rsid w:val="0012098B"/>
    <w:rsid w:val="00126027"/>
    <w:rsid w:val="00133FF2"/>
    <w:rsid w:val="00147DD0"/>
    <w:rsid w:val="001508E9"/>
    <w:rsid w:val="00160734"/>
    <w:rsid w:val="00163291"/>
    <w:rsid w:val="001633D9"/>
    <w:rsid w:val="0017176F"/>
    <w:rsid w:val="00173DA5"/>
    <w:rsid w:val="00180ABE"/>
    <w:rsid w:val="001818A8"/>
    <w:rsid w:val="001923AB"/>
    <w:rsid w:val="00194079"/>
    <w:rsid w:val="001C180F"/>
    <w:rsid w:val="001C1EB8"/>
    <w:rsid w:val="001F3557"/>
    <w:rsid w:val="00206A82"/>
    <w:rsid w:val="00213E97"/>
    <w:rsid w:val="00214BEC"/>
    <w:rsid w:val="00222236"/>
    <w:rsid w:val="00237C8A"/>
    <w:rsid w:val="0024022C"/>
    <w:rsid w:val="0024187A"/>
    <w:rsid w:val="00241ACD"/>
    <w:rsid w:val="00253551"/>
    <w:rsid w:val="00267F39"/>
    <w:rsid w:val="00270DD5"/>
    <w:rsid w:val="00271235"/>
    <w:rsid w:val="00272D6F"/>
    <w:rsid w:val="00284A72"/>
    <w:rsid w:val="002A5421"/>
    <w:rsid w:val="002A58A4"/>
    <w:rsid w:val="002B55CB"/>
    <w:rsid w:val="002B7A00"/>
    <w:rsid w:val="002C0803"/>
    <w:rsid w:val="002C251C"/>
    <w:rsid w:val="002C3D7C"/>
    <w:rsid w:val="002D187E"/>
    <w:rsid w:val="002D2C47"/>
    <w:rsid w:val="002E5B1D"/>
    <w:rsid w:val="002E7EB3"/>
    <w:rsid w:val="002F0D8E"/>
    <w:rsid w:val="002F3796"/>
    <w:rsid w:val="002F52C3"/>
    <w:rsid w:val="003127C9"/>
    <w:rsid w:val="003170D0"/>
    <w:rsid w:val="00317303"/>
    <w:rsid w:val="00330145"/>
    <w:rsid w:val="0033470A"/>
    <w:rsid w:val="00352029"/>
    <w:rsid w:val="00352AA4"/>
    <w:rsid w:val="00353796"/>
    <w:rsid w:val="00354579"/>
    <w:rsid w:val="00356F00"/>
    <w:rsid w:val="0036153B"/>
    <w:rsid w:val="00363710"/>
    <w:rsid w:val="003645A3"/>
    <w:rsid w:val="00377481"/>
    <w:rsid w:val="00382B96"/>
    <w:rsid w:val="00385965"/>
    <w:rsid w:val="003901AD"/>
    <w:rsid w:val="00397752"/>
    <w:rsid w:val="003A0DED"/>
    <w:rsid w:val="003A4FD2"/>
    <w:rsid w:val="003A7E95"/>
    <w:rsid w:val="003B40FE"/>
    <w:rsid w:val="003B739C"/>
    <w:rsid w:val="003C6313"/>
    <w:rsid w:val="003D4BFA"/>
    <w:rsid w:val="003D4ECA"/>
    <w:rsid w:val="003D6715"/>
    <w:rsid w:val="003E0959"/>
    <w:rsid w:val="003E35C4"/>
    <w:rsid w:val="003E4529"/>
    <w:rsid w:val="003E55B2"/>
    <w:rsid w:val="00414258"/>
    <w:rsid w:val="00414F5E"/>
    <w:rsid w:val="00424C0E"/>
    <w:rsid w:val="004309BC"/>
    <w:rsid w:val="00430D79"/>
    <w:rsid w:val="0043180D"/>
    <w:rsid w:val="004414A5"/>
    <w:rsid w:val="0044700B"/>
    <w:rsid w:val="00467171"/>
    <w:rsid w:val="00467C80"/>
    <w:rsid w:val="00474052"/>
    <w:rsid w:val="004877C8"/>
    <w:rsid w:val="004901D3"/>
    <w:rsid w:val="004A4D98"/>
    <w:rsid w:val="004B5EA4"/>
    <w:rsid w:val="004C531E"/>
    <w:rsid w:val="004C6C90"/>
    <w:rsid w:val="0050267A"/>
    <w:rsid w:val="005037CD"/>
    <w:rsid w:val="00504475"/>
    <w:rsid w:val="00504795"/>
    <w:rsid w:val="00514CBA"/>
    <w:rsid w:val="00516163"/>
    <w:rsid w:val="0052630A"/>
    <w:rsid w:val="0053177A"/>
    <w:rsid w:val="00533EA1"/>
    <w:rsid w:val="00544AC9"/>
    <w:rsid w:val="005771C3"/>
    <w:rsid w:val="00577B54"/>
    <w:rsid w:val="00582313"/>
    <w:rsid w:val="00590F6D"/>
    <w:rsid w:val="005A5A6D"/>
    <w:rsid w:val="005A5ED7"/>
    <w:rsid w:val="005A6AB5"/>
    <w:rsid w:val="005C1A41"/>
    <w:rsid w:val="005C4565"/>
    <w:rsid w:val="005D4135"/>
    <w:rsid w:val="005D503F"/>
    <w:rsid w:val="005E05CD"/>
    <w:rsid w:val="005E1822"/>
    <w:rsid w:val="006027D0"/>
    <w:rsid w:val="00604CC2"/>
    <w:rsid w:val="00611733"/>
    <w:rsid w:val="0061572F"/>
    <w:rsid w:val="00617AC1"/>
    <w:rsid w:val="00625A6C"/>
    <w:rsid w:val="00631441"/>
    <w:rsid w:val="00641030"/>
    <w:rsid w:val="006451C0"/>
    <w:rsid w:val="00645D52"/>
    <w:rsid w:val="0065133B"/>
    <w:rsid w:val="006556AC"/>
    <w:rsid w:val="006602F1"/>
    <w:rsid w:val="00670ED4"/>
    <w:rsid w:val="00672928"/>
    <w:rsid w:val="00674A86"/>
    <w:rsid w:val="006A69C8"/>
    <w:rsid w:val="006B00C4"/>
    <w:rsid w:val="006D2D49"/>
    <w:rsid w:val="006D6163"/>
    <w:rsid w:val="006E58B1"/>
    <w:rsid w:val="006F01C4"/>
    <w:rsid w:val="006F487B"/>
    <w:rsid w:val="006F708E"/>
    <w:rsid w:val="006F740B"/>
    <w:rsid w:val="00727B5C"/>
    <w:rsid w:val="00733223"/>
    <w:rsid w:val="00744A41"/>
    <w:rsid w:val="007764BA"/>
    <w:rsid w:val="00780A41"/>
    <w:rsid w:val="00783137"/>
    <w:rsid w:val="007932E5"/>
    <w:rsid w:val="00794787"/>
    <w:rsid w:val="007A37D8"/>
    <w:rsid w:val="007C1867"/>
    <w:rsid w:val="007C3D03"/>
    <w:rsid w:val="007D1EFA"/>
    <w:rsid w:val="007D5FE4"/>
    <w:rsid w:val="007F020E"/>
    <w:rsid w:val="00801764"/>
    <w:rsid w:val="008125A0"/>
    <w:rsid w:val="00815D0E"/>
    <w:rsid w:val="00827BF4"/>
    <w:rsid w:val="00833915"/>
    <w:rsid w:val="00850D87"/>
    <w:rsid w:val="008560DE"/>
    <w:rsid w:val="00865E74"/>
    <w:rsid w:val="00872652"/>
    <w:rsid w:val="0087504A"/>
    <w:rsid w:val="0088525A"/>
    <w:rsid w:val="008A0D60"/>
    <w:rsid w:val="008A221B"/>
    <w:rsid w:val="008C1387"/>
    <w:rsid w:val="008C682F"/>
    <w:rsid w:val="008E20FA"/>
    <w:rsid w:val="008E40C4"/>
    <w:rsid w:val="008E509B"/>
    <w:rsid w:val="008F4811"/>
    <w:rsid w:val="008F525A"/>
    <w:rsid w:val="009026D4"/>
    <w:rsid w:val="009150C9"/>
    <w:rsid w:val="00916F81"/>
    <w:rsid w:val="0092763E"/>
    <w:rsid w:val="0093036B"/>
    <w:rsid w:val="009316A6"/>
    <w:rsid w:val="00931802"/>
    <w:rsid w:val="00936114"/>
    <w:rsid w:val="009400E9"/>
    <w:rsid w:val="00946830"/>
    <w:rsid w:val="009546E4"/>
    <w:rsid w:val="00962779"/>
    <w:rsid w:val="009654EC"/>
    <w:rsid w:val="00966938"/>
    <w:rsid w:val="0097451F"/>
    <w:rsid w:val="009918D9"/>
    <w:rsid w:val="009A392D"/>
    <w:rsid w:val="009B440D"/>
    <w:rsid w:val="009B4846"/>
    <w:rsid w:val="009D17C3"/>
    <w:rsid w:val="009D47C2"/>
    <w:rsid w:val="009E51F8"/>
    <w:rsid w:val="009F2649"/>
    <w:rsid w:val="009F6855"/>
    <w:rsid w:val="00A05364"/>
    <w:rsid w:val="00A074D7"/>
    <w:rsid w:val="00A10D0C"/>
    <w:rsid w:val="00A179B2"/>
    <w:rsid w:val="00A17D23"/>
    <w:rsid w:val="00A208E1"/>
    <w:rsid w:val="00A46804"/>
    <w:rsid w:val="00A521AB"/>
    <w:rsid w:val="00A56CD0"/>
    <w:rsid w:val="00A61D3E"/>
    <w:rsid w:val="00A6539B"/>
    <w:rsid w:val="00A7325E"/>
    <w:rsid w:val="00A7643E"/>
    <w:rsid w:val="00A81DBD"/>
    <w:rsid w:val="00A95D66"/>
    <w:rsid w:val="00A9649E"/>
    <w:rsid w:val="00AA1341"/>
    <w:rsid w:val="00AA48EB"/>
    <w:rsid w:val="00AB16D0"/>
    <w:rsid w:val="00AB2C1B"/>
    <w:rsid w:val="00AC3BF2"/>
    <w:rsid w:val="00AD5483"/>
    <w:rsid w:val="00AE1CF1"/>
    <w:rsid w:val="00AE58A5"/>
    <w:rsid w:val="00AE7DFF"/>
    <w:rsid w:val="00AF0249"/>
    <w:rsid w:val="00AF150F"/>
    <w:rsid w:val="00AF4737"/>
    <w:rsid w:val="00AF7279"/>
    <w:rsid w:val="00B0470A"/>
    <w:rsid w:val="00B2364D"/>
    <w:rsid w:val="00B35DBE"/>
    <w:rsid w:val="00B45794"/>
    <w:rsid w:val="00B4581E"/>
    <w:rsid w:val="00B53582"/>
    <w:rsid w:val="00B6239D"/>
    <w:rsid w:val="00B6513E"/>
    <w:rsid w:val="00B67630"/>
    <w:rsid w:val="00B70B18"/>
    <w:rsid w:val="00B722DE"/>
    <w:rsid w:val="00B80DDB"/>
    <w:rsid w:val="00B81EE1"/>
    <w:rsid w:val="00B9392D"/>
    <w:rsid w:val="00BA761E"/>
    <w:rsid w:val="00BB2A27"/>
    <w:rsid w:val="00BB3FBE"/>
    <w:rsid w:val="00BC603D"/>
    <w:rsid w:val="00BC6E39"/>
    <w:rsid w:val="00BD2187"/>
    <w:rsid w:val="00BF7BB2"/>
    <w:rsid w:val="00C03CE1"/>
    <w:rsid w:val="00C06885"/>
    <w:rsid w:val="00C15FC1"/>
    <w:rsid w:val="00C1692B"/>
    <w:rsid w:val="00C22D28"/>
    <w:rsid w:val="00C24518"/>
    <w:rsid w:val="00C3016F"/>
    <w:rsid w:val="00C31922"/>
    <w:rsid w:val="00C32EDF"/>
    <w:rsid w:val="00C405FD"/>
    <w:rsid w:val="00C42573"/>
    <w:rsid w:val="00C5024A"/>
    <w:rsid w:val="00C50C7D"/>
    <w:rsid w:val="00C57107"/>
    <w:rsid w:val="00C57A24"/>
    <w:rsid w:val="00C62C2D"/>
    <w:rsid w:val="00C675DC"/>
    <w:rsid w:val="00C8227A"/>
    <w:rsid w:val="00C9038A"/>
    <w:rsid w:val="00C90EB2"/>
    <w:rsid w:val="00C91A30"/>
    <w:rsid w:val="00C9227C"/>
    <w:rsid w:val="00C95260"/>
    <w:rsid w:val="00C9557D"/>
    <w:rsid w:val="00CA0EA9"/>
    <w:rsid w:val="00CA2740"/>
    <w:rsid w:val="00CB6009"/>
    <w:rsid w:val="00CC12E6"/>
    <w:rsid w:val="00CC2E25"/>
    <w:rsid w:val="00CC6A02"/>
    <w:rsid w:val="00CC7C64"/>
    <w:rsid w:val="00CD0B47"/>
    <w:rsid w:val="00CF5F1A"/>
    <w:rsid w:val="00D00898"/>
    <w:rsid w:val="00D01027"/>
    <w:rsid w:val="00D010E8"/>
    <w:rsid w:val="00D02C04"/>
    <w:rsid w:val="00D10454"/>
    <w:rsid w:val="00D138E8"/>
    <w:rsid w:val="00D16577"/>
    <w:rsid w:val="00D20259"/>
    <w:rsid w:val="00D208BA"/>
    <w:rsid w:val="00D21668"/>
    <w:rsid w:val="00D216BC"/>
    <w:rsid w:val="00D42F8F"/>
    <w:rsid w:val="00D45ADF"/>
    <w:rsid w:val="00D64C92"/>
    <w:rsid w:val="00D83F41"/>
    <w:rsid w:val="00D920AE"/>
    <w:rsid w:val="00DA07F1"/>
    <w:rsid w:val="00DD06F4"/>
    <w:rsid w:val="00DD500F"/>
    <w:rsid w:val="00DE351C"/>
    <w:rsid w:val="00DE5D23"/>
    <w:rsid w:val="00DF1D0B"/>
    <w:rsid w:val="00DF53E4"/>
    <w:rsid w:val="00E02F69"/>
    <w:rsid w:val="00E1065B"/>
    <w:rsid w:val="00E2136E"/>
    <w:rsid w:val="00E259C8"/>
    <w:rsid w:val="00E25AF8"/>
    <w:rsid w:val="00E31A6A"/>
    <w:rsid w:val="00E33553"/>
    <w:rsid w:val="00E46BDF"/>
    <w:rsid w:val="00E4778D"/>
    <w:rsid w:val="00E547DB"/>
    <w:rsid w:val="00E555BF"/>
    <w:rsid w:val="00E55CA7"/>
    <w:rsid w:val="00E61949"/>
    <w:rsid w:val="00E64475"/>
    <w:rsid w:val="00E70775"/>
    <w:rsid w:val="00E70DCE"/>
    <w:rsid w:val="00E831ED"/>
    <w:rsid w:val="00E92CB8"/>
    <w:rsid w:val="00EA446A"/>
    <w:rsid w:val="00EA7DC1"/>
    <w:rsid w:val="00EB5BA2"/>
    <w:rsid w:val="00EB5C28"/>
    <w:rsid w:val="00EC04CF"/>
    <w:rsid w:val="00EC4D9B"/>
    <w:rsid w:val="00EE1898"/>
    <w:rsid w:val="00EE3AFB"/>
    <w:rsid w:val="00EF0D19"/>
    <w:rsid w:val="00EF1577"/>
    <w:rsid w:val="00EF6BD4"/>
    <w:rsid w:val="00F05C18"/>
    <w:rsid w:val="00F118B4"/>
    <w:rsid w:val="00F11B30"/>
    <w:rsid w:val="00F157DD"/>
    <w:rsid w:val="00F15F90"/>
    <w:rsid w:val="00F205AB"/>
    <w:rsid w:val="00F21465"/>
    <w:rsid w:val="00F31BCC"/>
    <w:rsid w:val="00F45AEA"/>
    <w:rsid w:val="00F6065C"/>
    <w:rsid w:val="00F61EB1"/>
    <w:rsid w:val="00F62C8B"/>
    <w:rsid w:val="00F735EE"/>
    <w:rsid w:val="00F802D4"/>
    <w:rsid w:val="00F830CF"/>
    <w:rsid w:val="00F85E29"/>
    <w:rsid w:val="00F900A0"/>
    <w:rsid w:val="00F91982"/>
    <w:rsid w:val="00F939A6"/>
    <w:rsid w:val="00F9523C"/>
    <w:rsid w:val="00FA2DA2"/>
    <w:rsid w:val="00FA311A"/>
    <w:rsid w:val="00FB16A8"/>
    <w:rsid w:val="00FC1AAD"/>
    <w:rsid w:val="00FD7396"/>
    <w:rsid w:val="00FE0FE8"/>
    <w:rsid w:val="00FF56A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832BB04B-C88E-45BB-9BE4-22D412A49F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EF157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547DB"/>
    <w:pPr>
      <w:tabs>
        <w:tab w:val="center" w:pos="4513"/>
        <w:tab w:val="right" w:pos="9026"/>
      </w:tabs>
      <w:spacing w:after="0" w:line="240" w:lineRule="auto"/>
    </w:pPr>
  </w:style>
  <w:style w:type="character" w:customStyle="1" w:styleId="HeaderChar">
    <w:name w:val="Header Char"/>
    <w:basedOn w:val="DefaultParagraphFont"/>
    <w:link w:val="Header"/>
    <w:uiPriority w:val="99"/>
    <w:rsid w:val="00E547DB"/>
  </w:style>
  <w:style w:type="paragraph" w:styleId="Footer">
    <w:name w:val="footer"/>
    <w:basedOn w:val="Normal"/>
    <w:link w:val="FooterChar"/>
    <w:uiPriority w:val="99"/>
    <w:unhideWhenUsed/>
    <w:rsid w:val="00E547DB"/>
    <w:pPr>
      <w:tabs>
        <w:tab w:val="center" w:pos="4513"/>
        <w:tab w:val="right" w:pos="9026"/>
      </w:tabs>
      <w:spacing w:after="0" w:line="240" w:lineRule="auto"/>
    </w:pPr>
  </w:style>
  <w:style w:type="character" w:customStyle="1" w:styleId="FooterChar">
    <w:name w:val="Footer Char"/>
    <w:basedOn w:val="DefaultParagraphFont"/>
    <w:link w:val="Footer"/>
    <w:uiPriority w:val="99"/>
    <w:rsid w:val="00E547DB"/>
  </w:style>
  <w:style w:type="paragraph" w:styleId="BalloonText">
    <w:name w:val="Balloon Text"/>
    <w:basedOn w:val="Normal"/>
    <w:link w:val="BalloonTextChar"/>
    <w:uiPriority w:val="99"/>
    <w:semiHidden/>
    <w:unhideWhenUsed/>
    <w:rsid w:val="00E547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47DB"/>
    <w:rPr>
      <w:rFonts w:ascii="Tahoma" w:hAnsi="Tahoma" w:cs="Tahoma"/>
      <w:sz w:val="16"/>
      <w:szCs w:val="16"/>
    </w:rPr>
  </w:style>
  <w:style w:type="paragraph" w:customStyle="1" w:styleId="RSCH01PaperTitle">
    <w:name w:val="RSC H01 Paper Title"/>
    <w:basedOn w:val="Normal"/>
    <w:next w:val="Normal"/>
    <w:link w:val="RSCH01PaperTitleChar"/>
    <w:qFormat/>
    <w:rsid w:val="00C32EDF"/>
    <w:pPr>
      <w:tabs>
        <w:tab w:val="left" w:pos="284"/>
      </w:tabs>
      <w:spacing w:before="400" w:after="160" w:line="240" w:lineRule="auto"/>
    </w:pPr>
    <w:rPr>
      <w:rFonts w:cs="Times New Roman"/>
      <w:b/>
      <w:sz w:val="29"/>
      <w:szCs w:val="32"/>
    </w:rPr>
  </w:style>
  <w:style w:type="paragraph" w:customStyle="1" w:styleId="RSCH02PaperAuthorsandByline">
    <w:name w:val="RSC H02 Paper Authors and Byline"/>
    <w:basedOn w:val="Normal"/>
    <w:link w:val="RSCH02PaperAuthorsandBylineChar"/>
    <w:qFormat/>
    <w:rsid w:val="001633D9"/>
    <w:pPr>
      <w:spacing w:after="120" w:line="240" w:lineRule="exact"/>
    </w:pPr>
    <w:rPr>
      <w:rFonts w:cs="Times New Roman"/>
      <w:sz w:val="20"/>
    </w:rPr>
  </w:style>
  <w:style w:type="paragraph" w:customStyle="1" w:styleId="RSCB01ARTAbstract">
    <w:name w:val="RSC B01 ART Abstract"/>
    <w:basedOn w:val="Normal"/>
    <w:link w:val="RSCB01ARTAbstractChar"/>
    <w:qFormat/>
    <w:rsid w:val="00FA2DA2"/>
    <w:pPr>
      <w:spacing w:line="240" w:lineRule="exact"/>
      <w:jc w:val="both"/>
    </w:pPr>
    <w:rPr>
      <w:noProof/>
      <w:sz w:val="16"/>
      <w:lang w:eastAsia="en-GB"/>
    </w:rPr>
  </w:style>
  <w:style w:type="table" w:styleId="TableGrid">
    <w:name w:val="Table Grid"/>
    <w:basedOn w:val="TableNormal"/>
    <w:uiPriority w:val="59"/>
    <w:rsid w:val="005771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Heading">
    <w:name w:val="05 B Heading"/>
    <w:basedOn w:val="RSCB04AHeadingSection"/>
    <w:link w:val="05BHeadingChar"/>
    <w:rsid w:val="00AB16D0"/>
    <w:pPr>
      <w:spacing w:before="160" w:line="240" w:lineRule="exact"/>
    </w:pPr>
    <w:rPr>
      <w:rFonts w:ascii="Times New Roman" w:hAnsi="Times New Roman" w:cs="Times New Roman"/>
      <w:sz w:val="18"/>
      <w:szCs w:val="18"/>
    </w:rPr>
  </w:style>
  <w:style w:type="paragraph" w:customStyle="1" w:styleId="RSCB02ArticleText">
    <w:name w:val="RSC B02 Article Text"/>
    <w:basedOn w:val="Normal"/>
    <w:link w:val="RSCB02ArticleTextChar"/>
    <w:qFormat/>
    <w:rsid w:val="00EE3AFB"/>
    <w:pPr>
      <w:spacing w:after="0" w:line="240" w:lineRule="exact"/>
      <w:jc w:val="both"/>
    </w:pPr>
    <w:rPr>
      <w:rFonts w:cs="Times New Roman"/>
      <w:w w:val="108"/>
      <w:sz w:val="18"/>
      <w:szCs w:val="18"/>
    </w:rPr>
  </w:style>
  <w:style w:type="character" w:customStyle="1" w:styleId="06CHeading">
    <w:name w:val="06 C Heading"/>
    <w:basedOn w:val="RSCB02ArticleTextChar"/>
    <w:uiPriority w:val="1"/>
    <w:rsid w:val="00EF1577"/>
    <w:rPr>
      <w:rFonts w:ascii="Times New Roman" w:hAnsi="Times New Roman" w:cs="Times New Roman"/>
      <w:b/>
      <w:smallCaps/>
      <w:w w:val="108"/>
      <w:sz w:val="18"/>
      <w:szCs w:val="18"/>
    </w:rPr>
  </w:style>
  <w:style w:type="character" w:customStyle="1" w:styleId="RSCB02ArticleTextChar">
    <w:name w:val="RSC B02 Article Text Char"/>
    <w:basedOn w:val="DefaultParagraphFont"/>
    <w:link w:val="RSCB02ArticleText"/>
    <w:rsid w:val="00EE3AFB"/>
    <w:rPr>
      <w:rFonts w:cs="Times New Roman"/>
      <w:w w:val="108"/>
      <w:sz w:val="18"/>
      <w:szCs w:val="18"/>
    </w:rPr>
  </w:style>
  <w:style w:type="paragraph" w:customStyle="1" w:styleId="09ListText">
    <w:name w:val="09 List Text"/>
    <w:basedOn w:val="RSCB02ArticleText"/>
    <w:link w:val="09ListTextChar"/>
    <w:rsid w:val="00EF1577"/>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6556AC"/>
    <w:pPr>
      <w:numPr>
        <w:numId w:val="3"/>
      </w:numPr>
      <w:pBdr>
        <w:top w:val="single" w:sz="12" w:space="1" w:color="A6A6A6" w:themeColor="background1" w:themeShade="A6"/>
      </w:pBdr>
      <w:spacing w:after="0" w:line="240" w:lineRule="auto"/>
      <w:ind w:left="85" w:hanging="85"/>
      <w:suppressOverlap/>
    </w:pPr>
    <w:rPr>
      <w:rFonts w:cs="Times New Roman"/>
      <w:i/>
      <w:w w:val="105"/>
      <w:sz w:val="14"/>
      <w:szCs w:val="14"/>
    </w:rPr>
  </w:style>
  <w:style w:type="paragraph" w:customStyle="1" w:styleId="RSCI02FigureSchemeChartwithtopbar">
    <w:name w:val="RSC I02 Figure/Scheme/Chart with top bar"/>
    <w:basedOn w:val="Normal"/>
    <w:link w:val="RSCI02FigureSchemeChartwithtopbarChar"/>
    <w:qFormat/>
    <w:rsid w:val="006556AC"/>
    <w:pPr>
      <w:pBdr>
        <w:top w:val="single" w:sz="12" w:space="5" w:color="999999"/>
      </w:pBdr>
      <w:spacing w:before="120" w:after="40" w:line="240" w:lineRule="auto"/>
      <w:jc w:val="both"/>
    </w:pPr>
    <w:rPr>
      <w:rFonts w:cs="Times New Roman"/>
      <w:w w:val="108"/>
      <w:sz w:val="14"/>
      <w:szCs w:val="18"/>
    </w:rPr>
  </w:style>
  <w:style w:type="paragraph" w:customStyle="1" w:styleId="RSCI01FigureSchemeChartwithbottombar">
    <w:name w:val="RSC I01 Figure/Scheme/Chart with bottom bar"/>
    <w:basedOn w:val="Normal"/>
    <w:link w:val="RSCI01FigureSchemeChartwithbottombarChar"/>
    <w:qFormat/>
    <w:rsid w:val="006556AC"/>
    <w:pPr>
      <w:pBdr>
        <w:bottom w:val="single" w:sz="12" w:space="5" w:color="999999"/>
      </w:pBdr>
      <w:spacing w:before="40" w:after="120" w:line="120" w:lineRule="exact"/>
      <w:jc w:val="both"/>
    </w:pPr>
    <w:rPr>
      <w:rFonts w:cstheme="minorHAnsi"/>
      <w:w w:val="108"/>
      <w:sz w:val="14"/>
      <w:szCs w:val="14"/>
    </w:rPr>
  </w:style>
  <w:style w:type="paragraph" w:customStyle="1" w:styleId="RSCI03FigureSchemeChartUncaptioned">
    <w:name w:val="RSC I03 Figure/Scheme/Chart Uncaptioned"/>
    <w:basedOn w:val="Normal"/>
    <w:link w:val="RSCI03FigureSchemeChartUncaptionedChar"/>
    <w:qFormat/>
    <w:rsid w:val="006556AC"/>
    <w:pPr>
      <w:spacing w:before="160" w:after="160" w:line="240" w:lineRule="auto"/>
      <w:jc w:val="center"/>
    </w:pPr>
    <w:rPr>
      <w:rFonts w:cs="Times New Roman"/>
      <w:sz w:val="16"/>
      <w:szCs w:val="16"/>
    </w:rPr>
  </w:style>
  <w:style w:type="paragraph" w:customStyle="1" w:styleId="RSCB03MathematicsGreeketc">
    <w:name w:val="RSC B03 Mathematics/Greek etc"/>
    <w:basedOn w:val="Normal"/>
    <w:link w:val="RSCB03MathematicsGreeketcChar"/>
    <w:qFormat/>
    <w:rsid w:val="007A37D8"/>
    <w:pPr>
      <w:tabs>
        <w:tab w:val="center" w:pos="2268"/>
        <w:tab w:val="right" w:pos="4536"/>
      </w:tabs>
      <w:spacing w:before="160" w:after="160" w:line="240" w:lineRule="auto"/>
    </w:pPr>
    <w:rPr>
      <w:rFonts w:ascii="Times New Roman" w:hAnsi="Times New Roman"/>
      <w:sz w:val="18"/>
    </w:rPr>
  </w:style>
  <w:style w:type="paragraph" w:customStyle="1" w:styleId="RSCB09Biography">
    <w:name w:val="RSC B09 Biography"/>
    <w:basedOn w:val="RSCB02ArticleText"/>
    <w:link w:val="RSCB09BiographyChar"/>
    <w:qFormat/>
    <w:rsid w:val="002E5B1D"/>
    <w:pPr>
      <w:pBdr>
        <w:top w:val="single" w:sz="6" w:space="1" w:color="auto"/>
      </w:pBdr>
    </w:pPr>
    <w:rPr>
      <w:i/>
    </w:rPr>
  </w:style>
  <w:style w:type="character" w:customStyle="1" w:styleId="RSCB09BiographyChar">
    <w:name w:val="RSC B09 Biography Char"/>
    <w:basedOn w:val="RSCB02ArticleTextChar"/>
    <w:link w:val="RSCB09Biography"/>
    <w:rsid w:val="002E5B1D"/>
    <w:rPr>
      <w:rFonts w:cs="Times New Roman"/>
      <w:i/>
      <w:w w:val="108"/>
      <w:sz w:val="18"/>
      <w:szCs w:val="18"/>
    </w:rPr>
  </w:style>
  <w:style w:type="paragraph" w:customStyle="1" w:styleId="RSCF02FootnotestoTitleAuthors">
    <w:name w:val="RSC F02 Footnotes to Title/Authors"/>
    <w:basedOn w:val="Normal"/>
    <w:link w:val="RSCF02FootnotestoTitleAuthorsChar"/>
    <w:qFormat/>
    <w:rsid w:val="006556AC"/>
    <w:pPr>
      <w:tabs>
        <w:tab w:val="left" w:pos="284"/>
      </w:tabs>
      <w:spacing w:after="0" w:line="240" w:lineRule="auto"/>
      <w:suppressOverlap/>
      <w:jc w:val="both"/>
    </w:pPr>
    <w:rPr>
      <w:rFonts w:cs="Times New Roman"/>
      <w:w w:val="105"/>
      <w:sz w:val="14"/>
      <w:szCs w:val="14"/>
    </w:rPr>
  </w:style>
  <w:style w:type="character" w:customStyle="1" w:styleId="RSCF01FootnoteAuthorAddressChar">
    <w:name w:val="RSC F01 Footnote Author Address Char"/>
    <w:basedOn w:val="DefaultParagraphFont"/>
    <w:link w:val="RSCF01FootnoteAuthorAddress"/>
    <w:rsid w:val="006556AC"/>
    <w:rPr>
      <w:rFonts w:cs="Times New Roman"/>
      <w:i/>
      <w:w w:val="105"/>
      <w:sz w:val="14"/>
      <w:szCs w:val="14"/>
    </w:rPr>
  </w:style>
  <w:style w:type="paragraph" w:customStyle="1" w:styleId="RSCR02References">
    <w:name w:val="RSC R02 References"/>
    <w:basedOn w:val="RSCB02ArticleText"/>
    <w:link w:val="RSCR02ReferencesChar"/>
    <w:qFormat/>
    <w:rsid w:val="00CF5F1A"/>
    <w:pPr>
      <w:numPr>
        <w:numId w:val="2"/>
      </w:numPr>
      <w:spacing w:line="200" w:lineRule="exact"/>
      <w:ind w:left="284" w:hanging="284"/>
    </w:pPr>
    <w:rPr>
      <w:w w:val="105"/>
    </w:rPr>
  </w:style>
  <w:style w:type="character" w:customStyle="1" w:styleId="RSCF02FootnotestoTitleAuthorsChar">
    <w:name w:val="RSC F02 Footnotes to Title/Authors Char"/>
    <w:basedOn w:val="DefaultParagraphFont"/>
    <w:link w:val="RSCF02FootnotestoTitleAuthors"/>
    <w:rsid w:val="006556AC"/>
    <w:rPr>
      <w:rFonts w:cs="Times New Roman"/>
      <w:w w:val="105"/>
      <w:sz w:val="14"/>
      <w:szCs w:val="14"/>
    </w:rPr>
  </w:style>
  <w:style w:type="paragraph" w:styleId="NoSpacing">
    <w:name w:val="No Spacing"/>
    <w:uiPriority w:val="1"/>
    <w:rsid w:val="00272D6F"/>
    <w:pPr>
      <w:spacing w:after="0" w:line="240" w:lineRule="auto"/>
    </w:pPr>
  </w:style>
  <w:style w:type="character" w:customStyle="1" w:styleId="RSCR02ReferencesChar">
    <w:name w:val="RSC R02 References Char"/>
    <w:basedOn w:val="DefaultParagraphFont"/>
    <w:link w:val="RSCR02References"/>
    <w:rsid w:val="00CF5F1A"/>
    <w:rPr>
      <w:rFonts w:cs="Times New Roman"/>
      <w:w w:val="105"/>
      <w:sz w:val="18"/>
      <w:szCs w:val="18"/>
    </w:rPr>
  </w:style>
  <w:style w:type="paragraph" w:customStyle="1" w:styleId="RSCB04AHeadingSection">
    <w:name w:val="RSC B04 A Heading (Section)"/>
    <w:basedOn w:val="Normal"/>
    <w:link w:val="RSCB04AHeadingSectionChar"/>
    <w:qFormat/>
    <w:rsid w:val="00EF6BD4"/>
    <w:pPr>
      <w:spacing w:before="400" w:after="80" w:line="240" w:lineRule="auto"/>
    </w:pPr>
    <w:rPr>
      <w:b/>
      <w:sz w:val="24"/>
    </w:rPr>
  </w:style>
  <w:style w:type="character" w:customStyle="1" w:styleId="RSCH01PaperTitleChar">
    <w:name w:val="RSC H01 Paper Title Char"/>
    <w:basedOn w:val="DefaultParagraphFont"/>
    <w:link w:val="RSCH01PaperTitle"/>
    <w:rsid w:val="00C32EDF"/>
    <w:rPr>
      <w:rFonts w:cs="Times New Roman"/>
      <w:b/>
      <w:sz w:val="29"/>
      <w:szCs w:val="32"/>
    </w:rPr>
  </w:style>
  <w:style w:type="character" w:customStyle="1" w:styleId="RSCH02PaperAuthorsandBylineChar">
    <w:name w:val="RSC H02 Paper Authors and Byline Char"/>
    <w:basedOn w:val="DefaultParagraphFont"/>
    <w:link w:val="RSCH02PaperAuthorsandByline"/>
    <w:rsid w:val="001633D9"/>
    <w:rPr>
      <w:rFonts w:cs="Times New Roman"/>
      <w:sz w:val="20"/>
    </w:rPr>
  </w:style>
  <w:style w:type="character" w:customStyle="1" w:styleId="RSCB01ARTAbstractChar">
    <w:name w:val="RSC B01 ART Abstract Char"/>
    <w:basedOn w:val="DefaultParagraphFont"/>
    <w:link w:val="RSCB01ARTAbstract"/>
    <w:rsid w:val="00FA2DA2"/>
    <w:rPr>
      <w:noProof/>
      <w:sz w:val="16"/>
      <w:lang w:eastAsia="en-GB"/>
    </w:rPr>
  </w:style>
  <w:style w:type="character" w:customStyle="1" w:styleId="09ListTextChar">
    <w:name w:val="09 List Text Char"/>
    <w:basedOn w:val="RSCB02ArticleTextChar"/>
    <w:link w:val="09ListText"/>
    <w:rsid w:val="00EF1577"/>
    <w:rPr>
      <w:rFonts w:ascii="Times New Roman" w:eastAsia="Times New Roman" w:hAnsi="Times New Roman" w:cs="Times New Roman"/>
      <w:w w:val="108"/>
      <w:sz w:val="18"/>
      <w:szCs w:val="18"/>
      <w:lang w:eastAsia="en-GB"/>
    </w:rPr>
  </w:style>
  <w:style w:type="character" w:customStyle="1" w:styleId="RSCB04AHeadingSectionChar">
    <w:name w:val="RSC B04 A Heading (Section) Char"/>
    <w:basedOn w:val="DefaultParagraphFont"/>
    <w:link w:val="RSCB04AHeadingSection"/>
    <w:rsid w:val="00EF6BD4"/>
    <w:rPr>
      <w:b/>
      <w:sz w:val="24"/>
    </w:rPr>
  </w:style>
  <w:style w:type="character" w:customStyle="1" w:styleId="05BHeadingChar">
    <w:name w:val="05 B Heading Char"/>
    <w:basedOn w:val="RSCB04AHeadingSectionChar"/>
    <w:link w:val="05BHeading"/>
    <w:rsid w:val="00AB16D0"/>
    <w:rPr>
      <w:rFonts w:ascii="Times New Roman" w:hAnsi="Times New Roman" w:cs="Times New Roman"/>
      <w:b/>
      <w:sz w:val="18"/>
      <w:szCs w:val="18"/>
    </w:rPr>
  </w:style>
  <w:style w:type="paragraph" w:customStyle="1" w:styleId="RSCT01TableTitlewithtopbar">
    <w:name w:val="RSC T01 Table Title with top bar"/>
    <w:basedOn w:val="Normal"/>
    <w:link w:val="RSCT01TableTitlewithtopbarChar"/>
    <w:qFormat/>
    <w:rsid w:val="006556AC"/>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I02FigureSchemeChartwithtopbarChar">
    <w:name w:val="RSC I02 Figure/Scheme/Chart with top bar Char"/>
    <w:basedOn w:val="DefaultParagraphFont"/>
    <w:link w:val="RSCI02FigureSchemeChartwithtopbar"/>
    <w:rsid w:val="006556AC"/>
    <w:rPr>
      <w:rFonts w:cs="Times New Roman"/>
      <w:w w:val="108"/>
      <w:sz w:val="14"/>
      <w:szCs w:val="18"/>
    </w:rPr>
  </w:style>
  <w:style w:type="character" w:customStyle="1" w:styleId="RSCI01FigureSchemeChartwithbottombarChar">
    <w:name w:val="RSC I01 Figure/Scheme/Chart with bottom bar Char"/>
    <w:basedOn w:val="DefaultParagraphFont"/>
    <w:link w:val="RSCI01FigureSchemeChartwithbottombar"/>
    <w:rsid w:val="006556AC"/>
    <w:rPr>
      <w:rFonts w:cstheme="minorHAnsi"/>
      <w:w w:val="108"/>
      <w:sz w:val="14"/>
      <w:szCs w:val="14"/>
    </w:rPr>
  </w:style>
  <w:style w:type="character" w:customStyle="1" w:styleId="RSCI03FigureSchemeChartUncaptionedChar">
    <w:name w:val="RSC I03 Figure/Scheme/Chart Uncaptioned Char"/>
    <w:basedOn w:val="DefaultParagraphFont"/>
    <w:link w:val="RSCI03FigureSchemeChartUncaptioned"/>
    <w:rsid w:val="006556AC"/>
    <w:rPr>
      <w:rFonts w:cs="Times New Roman"/>
      <w:sz w:val="16"/>
      <w:szCs w:val="16"/>
    </w:rPr>
  </w:style>
  <w:style w:type="character" w:customStyle="1" w:styleId="RSCB03MathematicsGreeketcChar">
    <w:name w:val="RSC B03 Mathematics/Greek etc Char"/>
    <w:basedOn w:val="DefaultParagraphFont"/>
    <w:link w:val="RSCB03MathematicsGreeketc"/>
    <w:rsid w:val="007A37D8"/>
    <w:rPr>
      <w:rFonts w:ascii="Times New Roman" w:hAnsi="Times New Roman"/>
      <w:sz w:val="18"/>
    </w:rPr>
  </w:style>
  <w:style w:type="paragraph" w:customStyle="1" w:styleId="RSCT03TableBody">
    <w:name w:val="RSC T03 Table Body"/>
    <w:basedOn w:val="Normal"/>
    <w:link w:val="RSCT03TableBodyChar"/>
    <w:qFormat/>
    <w:rsid w:val="00B0470A"/>
    <w:pPr>
      <w:keepNext/>
      <w:keepLines/>
      <w:spacing w:after="0" w:line="220" w:lineRule="exact"/>
      <w:jc w:val="center"/>
    </w:pPr>
    <w:rPr>
      <w:rFonts w:eastAsia="Times New Roman" w:cs="Times New Roman"/>
      <w:sz w:val="16"/>
      <w:szCs w:val="16"/>
      <w:lang w:eastAsia="en-GB"/>
    </w:rPr>
  </w:style>
  <w:style w:type="character" w:customStyle="1" w:styleId="RSCT01TableTitlewithtopbarChar">
    <w:name w:val="RSC T01 Table Title with top bar Char"/>
    <w:basedOn w:val="DefaultParagraphFont"/>
    <w:link w:val="RSCT01TableTitlewithtopbar"/>
    <w:rsid w:val="006556AC"/>
    <w:rPr>
      <w:rFonts w:eastAsia="Times New Roman" w:cs="Times New Roman"/>
      <w:sz w:val="14"/>
      <w:szCs w:val="20"/>
      <w:lang w:eastAsia="en-GB"/>
    </w:rPr>
  </w:style>
  <w:style w:type="paragraph" w:customStyle="1" w:styleId="RSCT04TableFootnotewithbottombar">
    <w:name w:val="RSC T04 Table Footnote with bottom bar"/>
    <w:basedOn w:val="Normal"/>
    <w:link w:val="RSCT04TableFootnotewithbottombarChar"/>
    <w:qFormat/>
    <w:rsid w:val="006556AC"/>
    <w:pPr>
      <w:keepLines/>
      <w:pBdr>
        <w:bottom w:val="single" w:sz="12" w:space="1" w:color="999999"/>
      </w:pBdr>
      <w:spacing w:before="120" w:after="160" w:line="200" w:lineRule="exact"/>
      <w:jc w:val="both"/>
    </w:pPr>
    <w:rPr>
      <w:rFonts w:eastAsia="Times New Roman" w:cs="Times New Roman"/>
      <w:sz w:val="15"/>
      <w:szCs w:val="20"/>
      <w:lang w:eastAsia="en-GB"/>
    </w:rPr>
  </w:style>
  <w:style w:type="character" w:customStyle="1" w:styleId="RSCT03TableBodyChar">
    <w:name w:val="RSC T03 Table Body Char"/>
    <w:basedOn w:val="DefaultParagraphFont"/>
    <w:link w:val="RSCT03TableBody"/>
    <w:rsid w:val="00B0470A"/>
    <w:rPr>
      <w:rFonts w:eastAsia="Times New Roman" w:cs="Times New Roman"/>
      <w:sz w:val="16"/>
      <w:szCs w:val="16"/>
      <w:lang w:eastAsia="en-GB"/>
    </w:rPr>
  </w:style>
  <w:style w:type="character" w:customStyle="1" w:styleId="RSCT04TableFootnotewithbottombarChar">
    <w:name w:val="RSC T04 Table Footnote with bottom bar Char"/>
    <w:basedOn w:val="DefaultParagraphFont"/>
    <w:link w:val="RSCT04TableFootnotewithbottombar"/>
    <w:rsid w:val="006556AC"/>
    <w:rPr>
      <w:rFonts w:eastAsia="Times New Roman" w:cs="Times New Roman"/>
      <w:sz w:val="15"/>
      <w:szCs w:val="20"/>
      <w:lang w:eastAsia="en-GB"/>
    </w:rPr>
  </w:style>
  <w:style w:type="character" w:styleId="Hyperlink">
    <w:name w:val="Hyperlink"/>
    <w:basedOn w:val="DefaultParagraphFont"/>
    <w:uiPriority w:val="99"/>
    <w:unhideWhenUsed/>
    <w:rsid w:val="005037CD"/>
    <w:rPr>
      <w:color w:val="0000FF" w:themeColor="hyperlink"/>
      <w:u w:val="single"/>
    </w:rPr>
  </w:style>
  <w:style w:type="paragraph" w:styleId="ListParagraph">
    <w:name w:val="List Paragraph"/>
    <w:basedOn w:val="Normal"/>
    <w:uiPriority w:val="34"/>
    <w:qFormat/>
    <w:rsid w:val="00F15F90"/>
    <w:pPr>
      <w:ind w:left="720"/>
      <w:contextualSpacing/>
    </w:pPr>
  </w:style>
  <w:style w:type="paragraph" w:styleId="Revision">
    <w:name w:val="Revision"/>
    <w:hidden/>
    <w:uiPriority w:val="99"/>
    <w:semiHidden/>
    <w:rsid w:val="000D5891"/>
    <w:pPr>
      <w:spacing w:after="0" w:line="240" w:lineRule="auto"/>
    </w:pPr>
  </w:style>
  <w:style w:type="paragraph" w:styleId="FootnoteText">
    <w:name w:val="footnote text"/>
    <w:basedOn w:val="Normal"/>
    <w:link w:val="FootnoteTextChar"/>
    <w:uiPriority w:val="99"/>
    <w:semiHidden/>
    <w:unhideWhenUsed/>
    <w:rsid w:val="00CA274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A2740"/>
    <w:rPr>
      <w:sz w:val="20"/>
      <w:szCs w:val="20"/>
    </w:rPr>
  </w:style>
  <w:style w:type="character" w:styleId="FootnoteReference">
    <w:name w:val="footnote reference"/>
    <w:basedOn w:val="DefaultParagraphFont"/>
    <w:uiPriority w:val="99"/>
    <w:semiHidden/>
    <w:unhideWhenUsed/>
    <w:rsid w:val="00CA2740"/>
    <w:rPr>
      <w:vertAlign w:val="superscript"/>
    </w:rPr>
  </w:style>
  <w:style w:type="paragraph" w:styleId="NormalWeb">
    <w:name w:val="Normal (Web)"/>
    <w:basedOn w:val="Normal"/>
    <w:uiPriority w:val="99"/>
    <w:semiHidden/>
    <w:unhideWhenUsed/>
    <w:rsid w:val="009468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Caption">
    <w:name w:val="caption"/>
    <w:basedOn w:val="Normal"/>
    <w:next w:val="Normal"/>
    <w:uiPriority w:val="35"/>
    <w:unhideWhenUsed/>
    <w:rsid w:val="00B0470A"/>
    <w:pPr>
      <w:spacing w:line="200" w:lineRule="exact"/>
    </w:pPr>
    <w:rPr>
      <w:bCs/>
      <w:sz w:val="14"/>
      <w:szCs w:val="18"/>
    </w:rPr>
  </w:style>
  <w:style w:type="paragraph" w:customStyle="1" w:styleId="Style1">
    <w:name w:val="Style1"/>
    <w:basedOn w:val="RSCB02ArticleText"/>
    <w:link w:val="Style1Char"/>
    <w:rsid w:val="00B0470A"/>
  </w:style>
  <w:style w:type="paragraph" w:customStyle="1" w:styleId="RSCT05TableFootnotewithoutbottombar">
    <w:name w:val="RSC T05 Table Footnote without bottom bar"/>
    <w:basedOn w:val="RSCT04TableFootnotewithbottombar"/>
    <w:link w:val="RSCT05TableFootnotewithoutbottombarChar"/>
    <w:qFormat/>
    <w:rsid w:val="00B0470A"/>
    <w:pPr>
      <w:pBdr>
        <w:bottom w:val="none" w:sz="0" w:space="0" w:color="auto"/>
      </w:pBdr>
    </w:pPr>
  </w:style>
  <w:style w:type="character" w:customStyle="1" w:styleId="Style1Char">
    <w:name w:val="Style1 Char"/>
    <w:basedOn w:val="RSCB02ArticleTextChar"/>
    <w:link w:val="Style1"/>
    <w:rsid w:val="00B0470A"/>
    <w:rPr>
      <w:rFonts w:cs="Times New Roman"/>
      <w:w w:val="108"/>
      <w:sz w:val="18"/>
      <w:szCs w:val="18"/>
    </w:rPr>
  </w:style>
  <w:style w:type="paragraph" w:customStyle="1" w:styleId="RSCT02Tabletitlewithouttopbar">
    <w:name w:val="RSC T02 Table title without top bar"/>
    <w:basedOn w:val="RSCT01TableTitlewithtopbar"/>
    <w:link w:val="RSCT02TabletitlewithouttopbarChar"/>
    <w:qFormat/>
    <w:rsid w:val="00B0470A"/>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B0470A"/>
    <w:rPr>
      <w:rFonts w:eastAsia="Times New Roman" w:cs="Times New Roman"/>
      <w:sz w:val="15"/>
      <w:szCs w:val="20"/>
      <w:lang w:eastAsia="en-GB"/>
    </w:rPr>
  </w:style>
  <w:style w:type="paragraph" w:customStyle="1" w:styleId="RSCI04CaptiontoFigureSchemeChart">
    <w:name w:val="RSC I04 Caption to Figure/Scheme/Chart"/>
    <w:link w:val="RSCI04CaptiontoFigureSchemeChartChar"/>
    <w:qFormat/>
    <w:rsid w:val="006556AC"/>
    <w:pPr>
      <w:spacing w:line="200" w:lineRule="exact"/>
      <w:jc w:val="both"/>
    </w:pPr>
    <w:rPr>
      <w:bCs/>
      <w:sz w:val="14"/>
      <w:szCs w:val="18"/>
    </w:rPr>
  </w:style>
  <w:style w:type="character" w:customStyle="1" w:styleId="RSCT02TabletitlewithouttopbarChar">
    <w:name w:val="RSC T02 Table title without top bar Char"/>
    <w:basedOn w:val="RSCT01TableTitlewithtopbarChar"/>
    <w:link w:val="RSCT02Tabletitlewithouttopbar"/>
    <w:rsid w:val="00B0470A"/>
    <w:rPr>
      <w:rFonts w:eastAsia="Times New Roman" w:cs="Times New Roman"/>
      <w:sz w:val="14"/>
      <w:szCs w:val="20"/>
      <w:lang w:eastAsia="en-GB"/>
    </w:rPr>
  </w:style>
  <w:style w:type="paragraph" w:customStyle="1" w:styleId="RSCR01Footnotestomaintext">
    <w:name w:val="RSC R01 Footnotes to main text"/>
    <w:link w:val="RSCR01FootnotestomaintextChar"/>
    <w:qFormat/>
    <w:rsid w:val="006556AC"/>
    <w:pPr>
      <w:spacing w:line="200" w:lineRule="exact"/>
      <w:jc w:val="both"/>
    </w:pPr>
    <w:rPr>
      <w:bCs/>
      <w:sz w:val="18"/>
      <w:szCs w:val="18"/>
    </w:rPr>
  </w:style>
  <w:style w:type="character" w:customStyle="1" w:styleId="RSCI04CaptiontoFigureSchemeChartChar">
    <w:name w:val="RSC I04 Caption to Figure/Scheme/Chart Char"/>
    <w:basedOn w:val="DefaultParagraphFont"/>
    <w:link w:val="RSCI04CaptiontoFigureSchemeChart"/>
    <w:rsid w:val="006556AC"/>
    <w:rPr>
      <w:bCs/>
      <w:sz w:val="14"/>
      <w:szCs w:val="18"/>
    </w:rPr>
  </w:style>
  <w:style w:type="paragraph" w:customStyle="1" w:styleId="RSCM01ReceivedAccepted">
    <w:name w:val="RSC M01 Received/Accepted"/>
    <w:basedOn w:val="Normal"/>
    <w:link w:val="RSCM01ReceivedAcceptedChar"/>
    <w:qFormat/>
    <w:rsid w:val="004C531E"/>
    <w:pPr>
      <w:spacing w:before="960" w:after="0" w:line="180" w:lineRule="exact"/>
      <w:contextualSpacing/>
    </w:pPr>
    <w:rPr>
      <w:rFonts w:eastAsiaTheme="minorEastAsia"/>
      <w:noProof/>
      <w:sz w:val="14"/>
      <w:szCs w:val="14"/>
      <w:lang w:eastAsia="en-GB"/>
    </w:rPr>
  </w:style>
  <w:style w:type="character" w:customStyle="1" w:styleId="RSCR01FootnotestomaintextChar">
    <w:name w:val="RSC R01 Footnotes to main text Char"/>
    <w:basedOn w:val="RSCI04CaptiontoFigureSchemeChartChar"/>
    <w:link w:val="RSCR01Footnotestomaintext"/>
    <w:rsid w:val="006556AC"/>
    <w:rPr>
      <w:bCs/>
      <w:sz w:val="18"/>
      <w:szCs w:val="18"/>
    </w:rPr>
  </w:style>
  <w:style w:type="paragraph" w:customStyle="1" w:styleId="RSCM02DOI">
    <w:name w:val="RSC M02 DOI"/>
    <w:basedOn w:val="Normal"/>
    <w:link w:val="RSCM02DOIChar"/>
    <w:qFormat/>
    <w:rsid w:val="004C531E"/>
    <w:pPr>
      <w:spacing w:before="180" w:after="0" w:line="180" w:lineRule="exact"/>
    </w:pPr>
    <w:rPr>
      <w:sz w:val="14"/>
      <w:szCs w:val="14"/>
    </w:rPr>
  </w:style>
  <w:style w:type="character" w:customStyle="1" w:styleId="RSCM01ReceivedAcceptedChar">
    <w:name w:val="RSC M01 Received/Accepted Char"/>
    <w:basedOn w:val="DefaultParagraphFont"/>
    <w:link w:val="RSCM01ReceivedAccepted"/>
    <w:rsid w:val="004C531E"/>
    <w:rPr>
      <w:rFonts w:eastAsiaTheme="minorEastAsia"/>
      <w:noProof/>
      <w:sz w:val="14"/>
      <w:szCs w:val="14"/>
      <w:lang w:eastAsia="en-GB"/>
    </w:rPr>
  </w:style>
  <w:style w:type="paragraph" w:customStyle="1" w:styleId="RSCM03Website">
    <w:name w:val="RSC M03 Website"/>
    <w:basedOn w:val="Normal"/>
    <w:link w:val="RSCM03WebsiteChar"/>
    <w:qFormat/>
    <w:rsid w:val="004C531E"/>
    <w:pPr>
      <w:spacing w:line="400" w:lineRule="exact"/>
    </w:pPr>
    <w:rPr>
      <w:b/>
      <w:sz w:val="14"/>
      <w:szCs w:val="14"/>
    </w:rPr>
  </w:style>
  <w:style w:type="character" w:customStyle="1" w:styleId="RSCM02DOIChar">
    <w:name w:val="RSC M02 DOI Char"/>
    <w:basedOn w:val="DefaultParagraphFont"/>
    <w:link w:val="RSCM02DOI"/>
    <w:rsid w:val="004C531E"/>
    <w:rPr>
      <w:sz w:val="14"/>
      <w:szCs w:val="14"/>
    </w:rPr>
  </w:style>
  <w:style w:type="paragraph" w:customStyle="1" w:styleId="RSCB05AHeadingSection-standalone">
    <w:name w:val="RSC B05 A Heading (Section - stand alone)"/>
    <w:link w:val="RSCB05AHeadingSection-standaloneChar"/>
    <w:qFormat/>
    <w:rsid w:val="00EF6BD4"/>
    <w:pPr>
      <w:spacing w:before="400" w:after="160" w:line="240" w:lineRule="auto"/>
    </w:pPr>
    <w:rPr>
      <w:rFonts w:cs="Times New Roman"/>
      <w:sz w:val="24"/>
    </w:rPr>
  </w:style>
  <w:style w:type="character" w:customStyle="1" w:styleId="RSCM03WebsiteChar">
    <w:name w:val="RSC M03 Website Char"/>
    <w:basedOn w:val="DefaultParagraphFont"/>
    <w:link w:val="RSCM03Website"/>
    <w:rsid w:val="004C531E"/>
    <w:rPr>
      <w:b/>
      <w:sz w:val="14"/>
      <w:szCs w:val="14"/>
    </w:rPr>
  </w:style>
  <w:style w:type="paragraph" w:customStyle="1" w:styleId="RSCB06BHeadingSub-Section">
    <w:name w:val="RSC B06 B Heading (Sub-Section)"/>
    <w:link w:val="RSCB06BHeadingSub-SectionChar"/>
    <w:qFormat/>
    <w:rsid w:val="00EF6BD4"/>
    <w:pPr>
      <w:spacing w:after="80" w:line="240" w:lineRule="exact"/>
    </w:pPr>
    <w:rPr>
      <w:b/>
      <w:sz w:val="18"/>
    </w:rPr>
  </w:style>
  <w:style w:type="character" w:customStyle="1" w:styleId="RSCB05AHeadingSection-standaloneChar">
    <w:name w:val="RSC B05 A Heading (Section - stand alone) Char"/>
    <w:basedOn w:val="RSCH02PaperAuthorsandBylineChar"/>
    <w:link w:val="RSCB05AHeadingSection-standalone"/>
    <w:rsid w:val="00EF6BD4"/>
    <w:rPr>
      <w:rFonts w:cs="Times New Roman"/>
      <w:sz w:val="24"/>
    </w:rPr>
  </w:style>
  <w:style w:type="paragraph" w:customStyle="1" w:styleId="RSCB07BHeadingSub-Section-standalone">
    <w:name w:val="RSC B07 B Heading (Sub-Section - stand alone)"/>
    <w:link w:val="RSCB07BHeadingSub-Section-standaloneChar"/>
    <w:qFormat/>
    <w:rsid w:val="00EF6BD4"/>
    <w:pPr>
      <w:spacing w:before="160" w:after="80" w:line="240" w:lineRule="exact"/>
    </w:pPr>
    <w:rPr>
      <w:b/>
      <w:sz w:val="18"/>
    </w:rPr>
  </w:style>
  <w:style w:type="character" w:customStyle="1" w:styleId="RSCB06BHeadingSub-SectionChar">
    <w:name w:val="RSC B06 B Heading (Sub-Section) Char"/>
    <w:basedOn w:val="DefaultParagraphFont"/>
    <w:link w:val="RSCB06BHeadingSub-Section"/>
    <w:rsid w:val="00EF6BD4"/>
    <w:rPr>
      <w:b/>
      <w:sz w:val="18"/>
    </w:rPr>
  </w:style>
  <w:style w:type="paragraph" w:customStyle="1" w:styleId="RSCB08CHeadingIn-line">
    <w:name w:val="RSC B08 C Heading (In-line)"/>
    <w:link w:val="RSCB08CHeadingIn-lineChar"/>
    <w:qFormat/>
    <w:rsid w:val="00EF6BD4"/>
    <w:pPr>
      <w:spacing w:after="0"/>
    </w:pPr>
    <w:rPr>
      <w:b/>
      <w:sz w:val="18"/>
    </w:rPr>
  </w:style>
  <w:style w:type="character" w:customStyle="1" w:styleId="RSCB07BHeadingSub-Section-standaloneChar">
    <w:name w:val="RSC B07 B Heading (Sub-Section - stand alone) Char"/>
    <w:basedOn w:val="DefaultParagraphFont"/>
    <w:link w:val="RSCB07BHeadingSub-Section-standalone"/>
    <w:rsid w:val="00EF6BD4"/>
    <w:rPr>
      <w:b/>
      <w:sz w:val="18"/>
    </w:rPr>
  </w:style>
  <w:style w:type="character" w:customStyle="1" w:styleId="RSCB08CHeadingIn-lineChar">
    <w:name w:val="RSC B08 C Heading (In-line) Char"/>
    <w:basedOn w:val="DefaultParagraphFont"/>
    <w:link w:val="RSCB08CHeadingIn-line"/>
    <w:rsid w:val="00EF6BD4"/>
    <w:rPr>
      <w:b/>
      <w:sz w:val="18"/>
    </w:rPr>
  </w:style>
  <w:style w:type="paragraph" w:customStyle="1" w:styleId="RSCI05CaptiontoFigureSchemeChartwithbottombar">
    <w:name w:val="RSC I05 Caption to Figure/Scheme/Chart with bottom bar"/>
    <w:link w:val="RSCI05CaptiontoFigureSchemeChartwithbottombarChar"/>
    <w:qFormat/>
    <w:rsid w:val="006556AC"/>
    <w:pPr>
      <w:pBdr>
        <w:bottom w:val="single" w:sz="12" w:space="1" w:color="A6A6A6" w:themeColor="background1" w:themeShade="A6"/>
      </w:pBdr>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6556AC"/>
    <w:rPr>
      <w:bCs/>
      <w:sz w:val="14"/>
      <w:szCs w:val="18"/>
    </w:rPr>
  </w:style>
  <w:style w:type="paragraph" w:customStyle="1" w:styleId="04AHeading">
    <w:name w:val="04 A Heading"/>
    <w:basedOn w:val="Normal"/>
    <w:next w:val="Normal"/>
    <w:link w:val="04AHeadingChar"/>
    <w:rsid w:val="00FA2DA2"/>
    <w:pPr>
      <w:spacing w:before="240" w:after="120" w:line="240" w:lineRule="auto"/>
    </w:pPr>
    <w:rPr>
      <w:rFonts w:ascii="Calibri" w:eastAsia="Calibri" w:hAnsi="Calibri" w:cs="Times New Roman"/>
      <w:b/>
    </w:rPr>
  </w:style>
  <w:style w:type="character" w:customStyle="1" w:styleId="04AHeadingChar">
    <w:name w:val="04 A Heading Char"/>
    <w:link w:val="04AHeading"/>
    <w:rsid w:val="00FA2DA2"/>
    <w:rPr>
      <w:rFonts w:ascii="Calibri" w:eastAsia="Calibri" w:hAnsi="Calibri" w:cs="Times New Roman"/>
      <w:b/>
    </w:rPr>
  </w:style>
  <w:style w:type="paragraph" w:customStyle="1" w:styleId="08ArticleText">
    <w:name w:val="08 Article Text"/>
    <w:basedOn w:val="Normal"/>
    <w:link w:val="08ArticleTextChar"/>
    <w:rsid w:val="00FA2DA2"/>
    <w:pPr>
      <w:tabs>
        <w:tab w:val="left" w:pos="284"/>
      </w:tabs>
      <w:spacing w:after="0" w:line="240" w:lineRule="exact"/>
      <w:jc w:val="both"/>
    </w:pPr>
    <w:rPr>
      <w:rFonts w:ascii="Times New Roman" w:eastAsia="Calibri" w:hAnsi="Times New Roman" w:cs="Times New Roman"/>
      <w:w w:val="108"/>
      <w:sz w:val="18"/>
      <w:szCs w:val="18"/>
    </w:rPr>
  </w:style>
  <w:style w:type="character" w:customStyle="1" w:styleId="08ArticleTextChar">
    <w:name w:val="08 Article Text Char"/>
    <w:link w:val="08ArticleText"/>
    <w:rsid w:val="00FA2DA2"/>
    <w:rPr>
      <w:rFonts w:ascii="Times New Roman" w:eastAsia="Calibri" w:hAnsi="Times New Roman" w:cs="Times New Roman"/>
      <w:w w:val="108"/>
      <w:sz w:val="18"/>
      <w:szCs w:val="18"/>
    </w:rPr>
  </w:style>
  <w:style w:type="character" w:styleId="FollowedHyperlink">
    <w:name w:val="FollowedHyperlink"/>
    <w:basedOn w:val="DefaultParagraphFont"/>
    <w:uiPriority w:val="99"/>
    <w:semiHidden/>
    <w:unhideWhenUsed/>
    <w:rsid w:val="0024022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8883697">
      <w:bodyDiv w:val="1"/>
      <w:marLeft w:val="0"/>
      <w:marRight w:val="0"/>
      <w:marTop w:val="0"/>
      <w:marBottom w:val="0"/>
      <w:divBdr>
        <w:top w:val="none" w:sz="0" w:space="0" w:color="auto"/>
        <w:left w:val="none" w:sz="0" w:space="0" w:color="auto"/>
        <w:bottom w:val="none" w:sz="0" w:space="0" w:color="auto"/>
        <w:right w:val="none" w:sz="0" w:space="0" w:color="auto"/>
      </w:divBdr>
    </w:div>
    <w:div w:id="130054262">
      <w:bodyDiv w:val="1"/>
      <w:marLeft w:val="0"/>
      <w:marRight w:val="0"/>
      <w:marTop w:val="0"/>
      <w:marBottom w:val="0"/>
      <w:divBdr>
        <w:top w:val="none" w:sz="0" w:space="0" w:color="auto"/>
        <w:left w:val="none" w:sz="0" w:space="0" w:color="auto"/>
        <w:bottom w:val="none" w:sz="0" w:space="0" w:color="auto"/>
        <w:right w:val="none" w:sz="0" w:space="0" w:color="auto"/>
      </w:divBdr>
    </w:div>
    <w:div w:id="255360505">
      <w:bodyDiv w:val="1"/>
      <w:marLeft w:val="0"/>
      <w:marRight w:val="0"/>
      <w:marTop w:val="0"/>
      <w:marBottom w:val="0"/>
      <w:divBdr>
        <w:top w:val="none" w:sz="0" w:space="0" w:color="auto"/>
        <w:left w:val="none" w:sz="0" w:space="0" w:color="auto"/>
        <w:bottom w:val="none" w:sz="0" w:space="0" w:color="auto"/>
        <w:right w:val="none" w:sz="0" w:space="0" w:color="auto"/>
      </w:divBdr>
    </w:div>
    <w:div w:id="356077340">
      <w:bodyDiv w:val="1"/>
      <w:marLeft w:val="0"/>
      <w:marRight w:val="0"/>
      <w:marTop w:val="0"/>
      <w:marBottom w:val="0"/>
      <w:divBdr>
        <w:top w:val="none" w:sz="0" w:space="0" w:color="auto"/>
        <w:left w:val="none" w:sz="0" w:space="0" w:color="auto"/>
        <w:bottom w:val="none" w:sz="0" w:space="0" w:color="auto"/>
        <w:right w:val="none" w:sz="0" w:space="0" w:color="auto"/>
      </w:divBdr>
    </w:div>
    <w:div w:id="404114518">
      <w:bodyDiv w:val="1"/>
      <w:marLeft w:val="0"/>
      <w:marRight w:val="0"/>
      <w:marTop w:val="0"/>
      <w:marBottom w:val="0"/>
      <w:divBdr>
        <w:top w:val="none" w:sz="0" w:space="0" w:color="auto"/>
        <w:left w:val="none" w:sz="0" w:space="0" w:color="auto"/>
        <w:bottom w:val="none" w:sz="0" w:space="0" w:color="auto"/>
        <w:right w:val="none" w:sz="0" w:space="0" w:color="auto"/>
      </w:divBdr>
    </w:div>
    <w:div w:id="404305591">
      <w:bodyDiv w:val="1"/>
      <w:marLeft w:val="0"/>
      <w:marRight w:val="0"/>
      <w:marTop w:val="0"/>
      <w:marBottom w:val="0"/>
      <w:divBdr>
        <w:top w:val="none" w:sz="0" w:space="0" w:color="auto"/>
        <w:left w:val="none" w:sz="0" w:space="0" w:color="auto"/>
        <w:bottom w:val="none" w:sz="0" w:space="0" w:color="auto"/>
        <w:right w:val="none" w:sz="0" w:space="0" w:color="auto"/>
      </w:divBdr>
    </w:div>
    <w:div w:id="494418786">
      <w:bodyDiv w:val="1"/>
      <w:marLeft w:val="0"/>
      <w:marRight w:val="0"/>
      <w:marTop w:val="0"/>
      <w:marBottom w:val="0"/>
      <w:divBdr>
        <w:top w:val="none" w:sz="0" w:space="0" w:color="auto"/>
        <w:left w:val="none" w:sz="0" w:space="0" w:color="auto"/>
        <w:bottom w:val="none" w:sz="0" w:space="0" w:color="auto"/>
        <w:right w:val="none" w:sz="0" w:space="0" w:color="auto"/>
      </w:divBdr>
    </w:div>
    <w:div w:id="623387460">
      <w:bodyDiv w:val="1"/>
      <w:marLeft w:val="0"/>
      <w:marRight w:val="0"/>
      <w:marTop w:val="0"/>
      <w:marBottom w:val="0"/>
      <w:divBdr>
        <w:top w:val="none" w:sz="0" w:space="0" w:color="auto"/>
        <w:left w:val="none" w:sz="0" w:space="0" w:color="auto"/>
        <w:bottom w:val="none" w:sz="0" w:space="0" w:color="auto"/>
        <w:right w:val="none" w:sz="0" w:space="0" w:color="auto"/>
      </w:divBdr>
    </w:div>
    <w:div w:id="710960423">
      <w:bodyDiv w:val="1"/>
      <w:marLeft w:val="0"/>
      <w:marRight w:val="0"/>
      <w:marTop w:val="0"/>
      <w:marBottom w:val="0"/>
      <w:divBdr>
        <w:top w:val="none" w:sz="0" w:space="0" w:color="auto"/>
        <w:left w:val="none" w:sz="0" w:space="0" w:color="auto"/>
        <w:bottom w:val="none" w:sz="0" w:space="0" w:color="auto"/>
        <w:right w:val="none" w:sz="0" w:space="0" w:color="auto"/>
      </w:divBdr>
    </w:div>
    <w:div w:id="833884671">
      <w:bodyDiv w:val="1"/>
      <w:marLeft w:val="0"/>
      <w:marRight w:val="0"/>
      <w:marTop w:val="0"/>
      <w:marBottom w:val="0"/>
      <w:divBdr>
        <w:top w:val="none" w:sz="0" w:space="0" w:color="auto"/>
        <w:left w:val="none" w:sz="0" w:space="0" w:color="auto"/>
        <w:bottom w:val="none" w:sz="0" w:space="0" w:color="auto"/>
        <w:right w:val="none" w:sz="0" w:space="0" w:color="auto"/>
      </w:divBdr>
    </w:div>
    <w:div w:id="1056196653">
      <w:bodyDiv w:val="1"/>
      <w:marLeft w:val="0"/>
      <w:marRight w:val="0"/>
      <w:marTop w:val="0"/>
      <w:marBottom w:val="0"/>
      <w:divBdr>
        <w:top w:val="none" w:sz="0" w:space="0" w:color="auto"/>
        <w:left w:val="none" w:sz="0" w:space="0" w:color="auto"/>
        <w:bottom w:val="none" w:sz="0" w:space="0" w:color="auto"/>
        <w:right w:val="none" w:sz="0" w:space="0" w:color="auto"/>
      </w:divBdr>
    </w:div>
    <w:div w:id="1380132816">
      <w:bodyDiv w:val="1"/>
      <w:marLeft w:val="0"/>
      <w:marRight w:val="0"/>
      <w:marTop w:val="0"/>
      <w:marBottom w:val="0"/>
      <w:divBdr>
        <w:top w:val="none" w:sz="0" w:space="0" w:color="auto"/>
        <w:left w:val="none" w:sz="0" w:space="0" w:color="auto"/>
        <w:bottom w:val="none" w:sz="0" w:space="0" w:color="auto"/>
        <w:right w:val="none" w:sz="0" w:space="0" w:color="auto"/>
      </w:divBdr>
    </w:div>
    <w:div w:id="1409107844">
      <w:bodyDiv w:val="1"/>
      <w:marLeft w:val="0"/>
      <w:marRight w:val="0"/>
      <w:marTop w:val="0"/>
      <w:marBottom w:val="0"/>
      <w:divBdr>
        <w:top w:val="none" w:sz="0" w:space="0" w:color="auto"/>
        <w:left w:val="none" w:sz="0" w:space="0" w:color="auto"/>
        <w:bottom w:val="none" w:sz="0" w:space="0" w:color="auto"/>
        <w:right w:val="none" w:sz="0" w:space="0" w:color="auto"/>
      </w:divBdr>
    </w:div>
    <w:div w:id="1604457870">
      <w:bodyDiv w:val="1"/>
      <w:marLeft w:val="0"/>
      <w:marRight w:val="0"/>
      <w:marTop w:val="0"/>
      <w:marBottom w:val="0"/>
      <w:divBdr>
        <w:top w:val="none" w:sz="0" w:space="0" w:color="auto"/>
        <w:left w:val="none" w:sz="0" w:space="0" w:color="auto"/>
        <w:bottom w:val="none" w:sz="0" w:space="0" w:color="auto"/>
        <w:right w:val="none" w:sz="0" w:space="0" w:color="auto"/>
      </w:divBdr>
    </w:div>
    <w:div w:id="2098672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6.tif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9.tiff"/><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5.ti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tif"/><Relationship Id="rId20" Type="http://schemas.openxmlformats.org/officeDocument/2006/relationships/image" Target="media/image8.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2.tiff"/><Relationship Id="rId5" Type="http://schemas.openxmlformats.org/officeDocument/2006/relationships/webSettings" Target="webSettings.xml"/><Relationship Id="rId15" Type="http://schemas.openxmlformats.org/officeDocument/2006/relationships/image" Target="media/image3.tif"/><Relationship Id="rId23" Type="http://schemas.openxmlformats.org/officeDocument/2006/relationships/image" Target="media/image11.tif"/><Relationship Id="rId10" Type="http://schemas.openxmlformats.org/officeDocument/2006/relationships/footer" Target="footer1.xml"/><Relationship Id="rId19" Type="http://schemas.openxmlformats.org/officeDocument/2006/relationships/image" Target="media/image7.tif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tif"/><Relationship Id="rId22" Type="http://schemas.openxmlformats.org/officeDocument/2006/relationships/image" Target="media/image10.tif"/></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3.xml.rels><?xml version="1.0" encoding="UTF-8" standalone="yes"?>
<Relationships xmlns="http://schemas.openxmlformats.org/package/2006/relationships"><Relationship Id="rId1" Type="http://schemas.openxmlformats.org/officeDocument/2006/relationships/image" Target="media/image1.tiff"/></Relationships>
</file>

<file path=word/_rels/settings.xml.rels><?xml version="1.0" encoding="UTF-8" standalone="yes"?>
<Relationships xmlns="http://schemas.openxmlformats.org/package/2006/relationships"><Relationship Id="rId1" Type="http://schemas.openxmlformats.org/officeDocument/2006/relationships/attachedTemplate" Target="file:///Q:\Customer%20Services%20Team\Author%20Tools%20&amp;%20Services\Author%20templates\art-template-1.7_ol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691C7A-33F2-4C0F-849D-D694E771D6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art-template-1.7_old.dotx</Template>
  <TotalTime>80</TotalTime>
  <Pages>8</Pages>
  <Words>4923</Words>
  <Characters>28064</Characters>
  <Application>Microsoft Office Word</Application>
  <DocSecurity>0</DocSecurity>
  <Lines>233</Lines>
  <Paragraphs>65</Paragraphs>
  <ScaleCrop>false</ScaleCrop>
  <HeadingPairs>
    <vt:vector size="2" baseType="variant">
      <vt:variant>
        <vt:lpstr>Title</vt:lpstr>
      </vt:variant>
      <vt:variant>
        <vt:i4>1</vt:i4>
      </vt:variant>
    </vt:vector>
  </HeadingPairs>
  <TitlesOfParts>
    <vt:vector size="1" baseType="lpstr">
      <vt:lpstr/>
    </vt:vector>
  </TitlesOfParts>
  <Company>The Royal Society of Chemistry</Company>
  <LinksUpToDate>false</LinksUpToDate>
  <CharactersWithSpaces>32922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Kate McCallum</dc:creator>
  <cp:lastModifiedBy>Thomas Farmer</cp:lastModifiedBy>
  <cp:revision>54</cp:revision>
  <cp:lastPrinted>2014-10-09T15:34:00Z</cp:lastPrinted>
  <dcterms:created xsi:type="dcterms:W3CDTF">2018-11-20T12:54:00Z</dcterms:created>
  <dcterms:modified xsi:type="dcterms:W3CDTF">2019-01-15T12:07:00Z</dcterms:modified>
</cp:coreProperties>
</file>