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9C8B" w14:textId="11F07192" w:rsidR="0002061D" w:rsidRPr="0087737F" w:rsidRDefault="0002061D" w:rsidP="004663F1">
      <w:bookmarkStart w:id="0" w:name="_GoBack"/>
      <w:bookmarkEnd w:id="0"/>
      <w:r w:rsidRPr="0087737F">
        <w:t>Title:</w:t>
      </w:r>
      <w:r w:rsidR="00560756" w:rsidRPr="0087737F">
        <w:t xml:space="preserve"> Aphids can acquire the nitrogen delivered to plants by arbuscular mycorrhizal fungi.</w:t>
      </w:r>
    </w:p>
    <w:p w14:paraId="2F838678" w14:textId="77777777" w:rsidR="0002061D" w:rsidRPr="0087737F" w:rsidRDefault="0002061D" w:rsidP="004663F1">
      <w:pPr>
        <w:rPr>
          <w:vertAlign w:val="superscript"/>
        </w:rPr>
      </w:pPr>
      <w:r w:rsidRPr="0087737F">
        <w:t>Thomas D.J. Wilkinson</w:t>
      </w:r>
      <w:r w:rsidRPr="0087737F">
        <w:rPr>
          <w:vertAlign w:val="superscript"/>
        </w:rPr>
        <w:t>1*</w:t>
      </w:r>
      <w:r w:rsidRPr="0087737F">
        <w:t>, Julia Ferrari</w:t>
      </w:r>
      <w:r w:rsidRPr="0087737F">
        <w:rPr>
          <w:vertAlign w:val="superscript"/>
        </w:rPr>
        <w:t>1</w:t>
      </w:r>
      <w:r w:rsidRPr="0087737F">
        <w:t>, Sue E. Hartley</w:t>
      </w:r>
      <w:r w:rsidRPr="0087737F">
        <w:rPr>
          <w:vertAlign w:val="superscript"/>
        </w:rPr>
        <w:t>1,2</w:t>
      </w:r>
      <w:r w:rsidRPr="0087737F">
        <w:t xml:space="preserve"> and Angela Hodge</w:t>
      </w:r>
      <w:r w:rsidRPr="0087737F">
        <w:rPr>
          <w:vertAlign w:val="superscript"/>
        </w:rPr>
        <w:t>1</w:t>
      </w:r>
      <w:r w:rsidRPr="0087737F">
        <w:t>,</w:t>
      </w:r>
    </w:p>
    <w:p w14:paraId="63CA7ABD" w14:textId="0D492AEE" w:rsidR="0002061D" w:rsidRPr="0087737F" w:rsidRDefault="0002061D" w:rsidP="004663F1">
      <w:r w:rsidRPr="0087737F">
        <w:rPr>
          <w:vertAlign w:val="superscript"/>
        </w:rPr>
        <w:t>1</w:t>
      </w:r>
      <w:r w:rsidRPr="0087737F">
        <w:t xml:space="preserve"> Department of Biology, University of York, Wentworth Way, York, YO10 5DD, U.K</w:t>
      </w:r>
      <w:r w:rsidR="004663F1" w:rsidRPr="0087737F">
        <w:t>.</w:t>
      </w:r>
    </w:p>
    <w:p w14:paraId="69D399FF" w14:textId="1D1EC518" w:rsidR="0002061D" w:rsidRPr="0087737F" w:rsidRDefault="0002061D" w:rsidP="004663F1">
      <w:r w:rsidRPr="0087737F">
        <w:rPr>
          <w:vertAlign w:val="superscript"/>
        </w:rPr>
        <w:t>2</w:t>
      </w:r>
      <w:r w:rsidRPr="0087737F">
        <w:t xml:space="preserve"> York Environmental Sustainability Institute, University of York, YO10 5DD, U.K</w:t>
      </w:r>
      <w:r w:rsidR="004663F1" w:rsidRPr="0087737F">
        <w:t>.</w:t>
      </w:r>
    </w:p>
    <w:p w14:paraId="75C7B6B5" w14:textId="77777777" w:rsidR="0002061D" w:rsidRPr="0087737F" w:rsidRDefault="0002061D" w:rsidP="004663F1">
      <w:r w:rsidRPr="0087737F">
        <w:t>*Author for correspondence: Thomas D. J. Wilkinson, Department of Biology, University of York, Wentworth Way, York, YO10 5DD, U.K. Email: tw645@york.ac.uk</w:t>
      </w:r>
    </w:p>
    <w:p w14:paraId="09B92D40" w14:textId="77777777" w:rsidR="0002061D" w:rsidRPr="0087737F" w:rsidRDefault="0002061D" w:rsidP="004663F1">
      <w:r w:rsidRPr="0087737F">
        <w:t>Running headline: AMF mediated delivery of nitrogen to aphids.</w:t>
      </w:r>
    </w:p>
    <w:p w14:paraId="6CA7FC2A" w14:textId="05986597" w:rsidR="0002061D" w:rsidRPr="0087737F" w:rsidRDefault="004C0ED0" w:rsidP="004663F1">
      <w:r w:rsidRPr="0087737F">
        <w:t>Word count without</w:t>
      </w:r>
      <w:r w:rsidR="00283A16" w:rsidRPr="0087737F">
        <w:t xml:space="preserve"> table</w:t>
      </w:r>
      <w:r w:rsidR="00653F56" w:rsidRPr="0087737F">
        <w:t xml:space="preserve"> related</w:t>
      </w:r>
      <w:r w:rsidRPr="0087737F">
        <w:t xml:space="preserve"> text / word count: </w:t>
      </w:r>
      <w:r w:rsidR="005858B3" w:rsidRPr="0087737F">
        <w:t>7467</w:t>
      </w:r>
    </w:p>
    <w:p w14:paraId="0381DB6F" w14:textId="77777777" w:rsidR="0002061D" w:rsidRPr="0087737F" w:rsidRDefault="0002061D" w:rsidP="004663F1"/>
    <w:p w14:paraId="27CBF4B0" w14:textId="77777777" w:rsidR="0002061D" w:rsidRPr="0087737F" w:rsidRDefault="0002061D" w:rsidP="004663F1"/>
    <w:p w14:paraId="5676C2BA" w14:textId="77777777" w:rsidR="0002061D" w:rsidRPr="0087737F" w:rsidRDefault="0002061D" w:rsidP="004663F1"/>
    <w:p w14:paraId="25193BA7" w14:textId="77777777" w:rsidR="0002061D" w:rsidRPr="0087737F" w:rsidRDefault="0002061D" w:rsidP="004663F1"/>
    <w:p w14:paraId="54124697" w14:textId="77777777" w:rsidR="0002061D" w:rsidRPr="0087737F" w:rsidRDefault="0002061D" w:rsidP="004663F1"/>
    <w:p w14:paraId="5C2AEF49" w14:textId="77777777" w:rsidR="0002061D" w:rsidRPr="0087737F" w:rsidRDefault="0002061D" w:rsidP="004663F1"/>
    <w:p w14:paraId="762ABAF4" w14:textId="77777777" w:rsidR="0002061D" w:rsidRPr="0087737F" w:rsidRDefault="0002061D" w:rsidP="004663F1"/>
    <w:p w14:paraId="60531102" w14:textId="77777777" w:rsidR="0002061D" w:rsidRPr="0087737F" w:rsidRDefault="0002061D" w:rsidP="004663F1"/>
    <w:p w14:paraId="6DC068FE" w14:textId="77777777" w:rsidR="0002061D" w:rsidRPr="0087737F" w:rsidRDefault="0002061D" w:rsidP="004663F1"/>
    <w:p w14:paraId="0988CE5D" w14:textId="77777777" w:rsidR="0002061D" w:rsidRPr="0087737F" w:rsidRDefault="0002061D" w:rsidP="004663F1"/>
    <w:p w14:paraId="4A969B7E" w14:textId="77777777" w:rsidR="00686A6D" w:rsidRPr="0087737F" w:rsidRDefault="00686A6D" w:rsidP="004663F1"/>
    <w:p w14:paraId="05DC9B73" w14:textId="77777777" w:rsidR="00686A6D" w:rsidRPr="0087737F" w:rsidRDefault="00686A6D" w:rsidP="004663F1"/>
    <w:p w14:paraId="60618373" w14:textId="47E70CA3" w:rsidR="0002061D" w:rsidRPr="0087737F" w:rsidRDefault="0002061D" w:rsidP="004663F1">
      <w:r w:rsidRPr="0087737F">
        <w:lastRenderedPageBreak/>
        <w:t xml:space="preserve">Summary </w:t>
      </w:r>
    </w:p>
    <w:p w14:paraId="17FCBF6D" w14:textId="77777777" w:rsidR="0002061D" w:rsidRPr="0087737F" w:rsidRDefault="0002061D" w:rsidP="004663F1">
      <w:pPr>
        <w:pStyle w:val="ListParagraph"/>
        <w:numPr>
          <w:ilvl w:val="0"/>
          <w:numId w:val="9"/>
        </w:numPr>
      </w:pPr>
      <w:r w:rsidRPr="0087737F">
        <w:t>Above and below ground organisms can interact by altering the quality of shared host plants. Arbuscular mycorrhizal fungi (AMF) influence plant nutrient uptake, including nitrogen (N) acquisition. Under low N and phosphorus conditions, AMF delivery of N from organic sources not immediately available to the plant can have large impacts on plant N status, a limiting nutrient in the aphid diet.</w:t>
      </w:r>
    </w:p>
    <w:p w14:paraId="56487A9C" w14:textId="77777777" w:rsidR="0002061D" w:rsidRPr="0087737F" w:rsidRDefault="0002061D" w:rsidP="004663F1">
      <w:pPr>
        <w:pStyle w:val="ListParagraph"/>
        <w:numPr>
          <w:ilvl w:val="0"/>
          <w:numId w:val="9"/>
        </w:numPr>
      </w:pPr>
      <w:r w:rsidRPr="0087737F">
        <w:t>This study investigated the effect of AMF colonisation upon aphid number and determined the consequences of AMF directly accessing an organic nutrient patch that the plant cannot. We hypothesised that AMF colonisation of plants will increase plant and aphid N status, plant performance and aphid number, but only when the AMF had direct access to the added organic patch.</w:t>
      </w:r>
    </w:p>
    <w:p w14:paraId="35948D7C" w14:textId="77777777" w:rsidR="0002061D" w:rsidRPr="0087737F" w:rsidRDefault="0002061D" w:rsidP="004663F1">
      <w:pPr>
        <w:pStyle w:val="ListParagraph"/>
        <w:numPr>
          <w:ilvl w:val="0"/>
          <w:numId w:val="9"/>
        </w:numPr>
      </w:pPr>
      <w:r w:rsidRPr="0087737F">
        <w:t xml:space="preserve">Barley plants hosting the grain aphid </w:t>
      </w:r>
      <w:r w:rsidRPr="0087737F">
        <w:rPr>
          <w:i/>
        </w:rPr>
        <w:t xml:space="preserve">Sitobion avenae </w:t>
      </w:r>
      <w:r w:rsidRPr="0087737F">
        <w:t xml:space="preserve">were colonised by the AMF, </w:t>
      </w:r>
      <w:r w:rsidRPr="0087737F">
        <w:rPr>
          <w:i/>
        </w:rPr>
        <w:t>Funneliformis mosseae</w:t>
      </w:r>
      <w:r w:rsidRPr="0087737F">
        <w:t>,</w:t>
      </w:r>
      <w:r w:rsidRPr="0087737F">
        <w:rPr>
          <w:i/>
        </w:rPr>
        <w:t xml:space="preserve"> </w:t>
      </w:r>
      <w:r w:rsidRPr="0087737F">
        <w:t xml:space="preserve">or no AMF. A two compartment microcosm was used to separate the plant roots from a </w:t>
      </w:r>
      <w:r w:rsidRPr="0087737F">
        <w:rPr>
          <w:vertAlign w:val="superscript"/>
        </w:rPr>
        <w:t>15</w:t>
      </w:r>
      <w:r w:rsidRPr="0087737F">
        <w:t xml:space="preserve">N labelled organic patch in a second compartment. AMF colonised plants, but without access to the second compartment, were used to examine the effect of AMF colonisation on aphid number. In a separate treatment, and to determine whether AMF access to a plant inaccessible N source modified the effect of AMF colonisation on aphid number, AMF hyphae were permitted access to the second compartment containing an organic patch. As a control for AMF accessing a larger substrate volume, AMF were allowed access to a second compartment without an organic patch. </w:t>
      </w:r>
    </w:p>
    <w:p w14:paraId="1F04AD95" w14:textId="752BE6E5" w:rsidR="0002061D" w:rsidRPr="0087737F" w:rsidRDefault="0002061D" w:rsidP="004663F1">
      <w:pPr>
        <w:pStyle w:val="ListParagraph"/>
        <w:numPr>
          <w:ilvl w:val="0"/>
          <w:numId w:val="9"/>
        </w:numPr>
      </w:pPr>
      <w:r w:rsidRPr="0087737F">
        <w:t>When the AMF access</w:t>
      </w:r>
      <w:r w:rsidR="002978A6" w:rsidRPr="0087737F">
        <w:t>ed</w:t>
      </w:r>
      <w:r w:rsidRPr="0087737F">
        <w:t xml:space="preserve"> the organic patch</w:t>
      </w:r>
      <w:r w:rsidR="000727D8" w:rsidRPr="0087737F">
        <w:t>,</w:t>
      </w:r>
      <w:r w:rsidRPr="0087737F">
        <w:t xml:space="preserve"> more N from the patch was delivered to the plant resulting in a higher grain N concentration</w:t>
      </w:r>
      <w:r w:rsidR="002978A6" w:rsidRPr="0087737F">
        <w:t xml:space="preserve"> although plant growth </w:t>
      </w:r>
      <w:r w:rsidR="0096393B" w:rsidRPr="0087737F">
        <w:t xml:space="preserve">was </w:t>
      </w:r>
      <w:r w:rsidR="002978A6" w:rsidRPr="0087737F">
        <w:t>depress</w:t>
      </w:r>
      <w:r w:rsidR="0096393B" w:rsidRPr="0087737F">
        <w:t>ed</w:t>
      </w:r>
      <w:r w:rsidRPr="0087737F">
        <w:t>. More N from the patch was also delivered to the aphids, but the N status of the aphid remained unchanged. Regardless of the level of access to the organic patch, AMF colonisation did not affect aphid number.</w:t>
      </w:r>
    </w:p>
    <w:p w14:paraId="1183F750" w14:textId="77777777" w:rsidR="0002061D" w:rsidRPr="0087737F" w:rsidRDefault="0002061D" w:rsidP="004663F1">
      <w:pPr>
        <w:pStyle w:val="ListParagraph"/>
        <w:numPr>
          <w:ilvl w:val="0"/>
          <w:numId w:val="9"/>
        </w:numPr>
      </w:pPr>
      <w:r w:rsidRPr="0087737F">
        <w:lastRenderedPageBreak/>
        <w:t xml:space="preserve">Our data show that by accessing N sources not readily available to plants, AMF can indirectly deliver N to above ground organisms, a finding which has major implications for N transfer between higher trophic levels. </w:t>
      </w:r>
    </w:p>
    <w:p w14:paraId="0EB364CC" w14:textId="77777777" w:rsidR="0002061D" w:rsidRPr="0087737F" w:rsidRDefault="0002061D" w:rsidP="004663F1">
      <w:pPr>
        <w:pStyle w:val="ListParagraph"/>
      </w:pPr>
    </w:p>
    <w:p w14:paraId="132EAA72" w14:textId="77777777" w:rsidR="0002061D" w:rsidRPr="0087737F" w:rsidRDefault="0002061D" w:rsidP="004663F1">
      <w:r w:rsidRPr="0087737F">
        <w:t>Key words</w:t>
      </w:r>
    </w:p>
    <w:p w14:paraId="004DA412" w14:textId="77777777" w:rsidR="0002061D" w:rsidRPr="0087737F" w:rsidRDefault="0002061D" w:rsidP="004663F1">
      <w:r w:rsidRPr="0087737F">
        <w:t>Arbuscular mycorrhizal fungi,</w:t>
      </w:r>
      <w:r w:rsidRPr="0087737F">
        <w:rPr>
          <w:i/>
        </w:rPr>
        <w:t xml:space="preserve"> Funneliformis mosseae</w:t>
      </w:r>
      <w:r w:rsidRPr="0087737F">
        <w:t xml:space="preserve">, </w:t>
      </w:r>
      <w:r w:rsidRPr="0087737F">
        <w:rPr>
          <w:i/>
        </w:rPr>
        <w:t>Hordeum vulgare</w:t>
      </w:r>
      <w:r w:rsidRPr="0087737F">
        <w:t>, multitrophic interactions,</w:t>
      </w:r>
      <w:r w:rsidRPr="0087737F">
        <w:rPr>
          <w:vertAlign w:val="superscript"/>
        </w:rPr>
        <w:t xml:space="preserve"> 15</w:t>
      </w:r>
      <w:r w:rsidRPr="0087737F">
        <w:t xml:space="preserve">N, nutrient acquisition, </w:t>
      </w:r>
      <w:r w:rsidRPr="0087737F">
        <w:rPr>
          <w:i/>
        </w:rPr>
        <w:t>Sitobion avenae</w:t>
      </w:r>
      <w:r w:rsidRPr="0087737F">
        <w:t>, stable isotopic labelling.</w:t>
      </w:r>
    </w:p>
    <w:p w14:paraId="3D9BF30C" w14:textId="77777777" w:rsidR="0002061D" w:rsidRPr="0087737F" w:rsidRDefault="0002061D" w:rsidP="004663F1"/>
    <w:p w14:paraId="22C7E928" w14:textId="77777777" w:rsidR="0002061D" w:rsidRPr="0087737F" w:rsidRDefault="0002061D" w:rsidP="004663F1"/>
    <w:p w14:paraId="6A486491" w14:textId="77777777" w:rsidR="0002061D" w:rsidRPr="0087737F" w:rsidRDefault="0002061D" w:rsidP="004663F1"/>
    <w:p w14:paraId="764701FD" w14:textId="77777777" w:rsidR="0002061D" w:rsidRPr="0087737F" w:rsidRDefault="0002061D" w:rsidP="004663F1"/>
    <w:p w14:paraId="1D2435A8" w14:textId="77777777" w:rsidR="0002061D" w:rsidRPr="0087737F" w:rsidRDefault="0002061D" w:rsidP="004663F1"/>
    <w:p w14:paraId="112B337E" w14:textId="77777777" w:rsidR="0002061D" w:rsidRPr="0087737F" w:rsidRDefault="0002061D" w:rsidP="004663F1"/>
    <w:p w14:paraId="41632ADC" w14:textId="77777777" w:rsidR="0002061D" w:rsidRPr="0087737F" w:rsidRDefault="0002061D" w:rsidP="004663F1"/>
    <w:p w14:paraId="14701BB5" w14:textId="77777777" w:rsidR="0002061D" w:rsidRPr="0087737F" w:rsidRDefault="0002061D" w:rsidP="004663F1">
      <w:r w:rsidRPr="0087737F">
        <w:br w:type="page"/>
      </w:r>
    </w:p>
    <w:p w14:paraId="2BE3A3CE" w14:textId="77777777" w:rsidR="0002061D" w:rsidRPr="0087737F" w:rsidRDefault="0002061D" w:rsidP="004663F1">
      <w:pPr>
        <w:rPr>
          <w:b/>
        </w:rPr>
      </w:pPr>
      <w:r w:rsidRPr="0087737F">
        <w:rPr>
          <w:b/>
        </w:rPr>
        <w:lastRenderedPageBreak/>
        <w:t>Introduction</w:t>
      </w:r>
    </w:p>
    <w:p w14:paraId="570FE063" w14:textId="65DB49F7" w:rsidR="0002061D" w:rsidRPr="0087737F" w:rsidRDefault="0002061D" w:rsidP="004663F1">
      <w:pPr>
        <w:rPr>
          <w:noProof/>
        </w:rPr>
      </w:pPr>
      <w:r w:rsidRPr="0087737F">
        <w:t xml:space="preserve">Via the conduit of a shared plant host, multitrophic interactions can </w:t>
      </w:r>
      <w:r w:rsidR="000727D8" w:rsidRPr="0087737F">
        <w:t xml:space="preserve">occur </w:t>
      </w:r>
      <w:r w:rsidRPr="0087737F">
        <w:t xml:space="preserve">among a wide range of below and above ground organisms including bacteria, fungi, invertebrates and vertebrates </w:t>
      </w:r>
      <w:r w:rsidRPr="0087737F">
        <w:rPr>
          <w:noProof/>
        </w:rPr>
        <w:t>(Gehring &amp; Bennett 2009; Pineda</w:t>
      </w:r>
      <w:r w:rsidRPr="0087737F">
        <w:rPr>
          <w:i/>
          <w:noProof/>
        </w:rPr>
        <w:t xml:space="preserve"> et al.</w:t>
      </w:r>
      <w:r w:rsidRPr="0087737F">
        <w:rPr>
          <w:noProof/>
        </w:rPr>
        <w:t xml:space="preserve"> 2012; van der Heyde</w:t>
      </w:r>
      <w:r w:rsidRPr="0087737F">
        <w:rPr>
          <w:i/>
          <w:noProof/>
        </w:rPr>
        <w:t xml:space="preserve"> et al.</w:t>
      </w:r>
      <w:r w:rsidRPr="0087737F">
        <w:rPr>
          <w:noProof/>
        </w:rPr>
        <w:t xml:space="preserve"> 2017)</w:t>
      </w:r>
      <w:r w:rsidRPr="0087737F">
        <w:t xml:space="preserve">. Due to the </w:t>
      </w:r>
      <w:r w:rsidR="000727D8" w:rsidRPr="0087737F">
        <w:t xml:space="preserve">diverse </w:t>
      </w:r>
      <w:r w:rsidRPr="0087737F">
        <w:t xml:space="preserve">organisms that exhibit interactions across the above-below ground interface, these interactions have large implications in key ecological processes such as nutrient cycling </w:t>
      </w:r>
      <w:r w:rsidRPr="0087737F">
        <w:rPr>
          <w:noProof/>
        </w:rPr>
        <w:t>(Hodge &amp; Fitter 2010; Lau 2011; Grabmaier</w:t>
      </w:r>
      <w:r w:rsidRPr="0087737F">
        <w:rPr>
          <w:i/>
          <w:noProof/>
        </w:rPr>
        <w:t xml:space="preserve"> et al.</w:t>
      </w:r>
      <w:r w:rsidRPr="0087737F">
        <w:rPr>
          <w:noProof/>
        </w:rPr>
        <w:t xml:space="preserve"> 2014)</w:t>
      </w:r>
      <w:r w:rsidRPr="0087737F">
        <w:t xml:space="preserve">, potent greenhouse gas emissions </w:t>
      </w:r>
      <w:r w:rsidRPr="0087737F">
        <w:rPr>
          <w:noProof/>
        </w:rPr>
        <w:t>(Bender, Conen &amp; van der Heijden 2015; Storer</w:t>
      </w:r>
      <w:r w:rsidRPr="0087737F">
        <w:rPr>
          <w:i/>
          <w:noProof/>
        </w:rPr>
        <w:t xml:space="preserve"> et al.</w:t>
      </w:r>
      <w:r w:rsidRPr="0087737F">
        <w:rPr>
          <w:noProof/>
        </w:rPr>
        <w:t xml:space="preserve"> 201</w:t>
      </w:r>
      <w:r w:rsidR="00B24AB7" w:rsidRPr="0087737F">
        <w:rPr>
          <w:noProof/>
        </w:rPr>
        <w:t>8</w:t>
      </w:r>
      <w:r w:rsidRPr="0087737F">
        <w:rPr>
          <w:noProof/>
        </w:rPr>
        <w:t>)</w:t>
      </w:r>
      <w:r w:rsidRPr="0087737F">
        <w:t xml:space="preserve"> and both population and community structure </w:t>
      </w:r>
      <w:r w:rsidRPr="0087737F">
        <w:rPr>
          <w:noProof/>
        </w:rPr>
        <w:t>(Gehring &amp; Bennett 2009)</w:t>
      </w:r>
      <w:r w:rsidRPr="0087737F">
        <w:t>.</w:t>
      </w:r>
    </w:p>
    <w:p w14:paraId="17202BE8" w14:textId="5A26FDF0" w:rsidR="0002061D" w:rsidRPr="0087737F" w:rsidRDefault="0002061D" w:rsidP="004663F1">
      <w:pPr>
        <w:spacing w:before="240"/>
      </w:pPr>
      <w:r w:rsidRPr="0087737F">
        <w:t xml:space="preserve">Arbuscular mycorrhizal fungi (AMF) are obligate symbionts that form a mutualistic relationship with the roots of around two thirds of plant species </w:t>
      </w:r>
      <w:r w:rsidRPr="0087737F">
        <w:rPr>
          <w:noProof/>
        </w:rPr>
        <w:t>(Hughes</w:t>
      </w:r>
      <w:r w:rsidRPr="0087737F">
        <w:rPr>
          <w:i/>
          <w:noProof/>
        </w:rPr>
        <w:t xml:space="preserve"> et al.</w:t>
      </w:r>
      <w:r w:rsidRPr="0087737F">
        <w:rPr>
          <w:noProof/>
        </w:rPr>
        <w:t xml:space="preserve"> 2008)</w:t>
      </w:r>
      <w:r w:rsidRPr="0087737F">
        <w:t xml:space="preserve">. AMF benefit their associated plant host in a number of ways including, aiding nutrient acquisition </w:t>
      </w:r>
      <w:r w:rsidRPr="0087737F">
        <w:rPr>
          <w:noProof/>
        </w:rPr>
        <w:t>(Harrison, Dewbre &amp; Liu 2002; Leigh, Hodge &amp; Fitter 2009)</w:t>
      </w:r>
      <w:r w:rsidRPr="0087737F">
        <w:t xml:space="preserve"> and resistance to biotic </w:t>
      </w:r>
      <w:r w:rsidRPr="0087737F">
        <w:rPr>
          <w:noProof/>
        </w:rPr>
        <w:t>(Koricheva, Gange &amp; Jones 2009; Yang</w:t>
      </w:r>
      <w:r w:rsidRPr="0087737F">
        <w:rPr>
          <w:i/>
          <w:noProof/>
        </w:rPr>
        <w:t xml:space="preserve"> et al.</w:t>
      </w:r>
      <w:r w:rsidRPr="0087737F">
        <w:rPr>
          <w:noProof/>
        </w:rPr>
        <w:t xml:space="preserve"> 2014; Mauch-Mani</w:t>
      </w:r>
      <w:r w:rsidRPr="0087737F">
        <w:rPr>
          <w:i/>
          <w:noProof/>
        </w:rPr>
        <w:t xml:space="preserve"> et al.</w:t>
      </w:r>
      <w:r w:rsidRPr="0087737F">
        <w:rPr>
          <w:noProof/>
        </w:rPr>
        <w:t xml:space="preserve"> 2017) </w:t>
      </w:r>
      <w:r w:rsidRPr="0087737F">
        <w:t xml:space="preserve">and abiotic pressures </w:t>
      </w:r>
      <w:r w:rsidRPr="0087737F">
        <w:rPr>
          <w:noProof/>
        </w:rPr>
        <w:t>(Zhang</w:t>
      </w:r>
      <w:r w:rsidRPr="0087737F">
        <w:rPr>
          <w:i/>
          <w:noProof/>
        </w:rPr>
        <w:t xml:space="preserve"> et al.</w:t>
      </w:r>
      <w:r w:rsidRPr="0087737F">
        <w:rPr>
          <w:noProof/>
        </w:rPr>
        <w:t xml:space="preserve"> 2005; Talaat &amp; Shawky 2012)</w:t>
      </w:r>
      <w:r w:rsidRPr="0087737F">
        <w:t xml:space="preserve"> in return for fixed carbon </w:t>
      </w:r>
      <w:r w:rsidR="00E32A0D" w:rsidRPr="0087737F">
        <w:t xml:space="preserve">(C) </w:t>
      </w:r>
      <w:r w:rsidRPr="0087737F">
        <w:t xml:space="preserve">from the plant. AMF colonisation can also alter the performance of many foliar-feeding herbivores including aphids </w:t>
      </w:r>
      <w:r w:rsidRPr="0087737F">
        <w:rPr>
          <w:noProof/>
        </w:rPr>
        <w:t>(Hartley &amp; Gange 2009)</w:t>
      </w:r>
      <w:r w:rsidRPr="0087737F">
        <w:t xml:space="preserve">. Impacts of AMF on aphid performance can be positive </w:t>
      </w:r>
      <w:r w:rsidRPr="0087737F">
        <w:rPr>
          <w:noProof/>
        </w:rPr>
        <w:t>(Gange &amp; West 1994; Simon</w:t>
      </w:r>
      <w:r w:rsidRPr="0087737F">
        <w:rPr>
          <w:i/>
          <w:noProof/>
        </w:rPr>
        <w:t xml:space="preserve"> et al.</w:t>
      </w:r>
      <w:r w:rsidRPr="0087737F">
        <w:rPr>
          <w:noProof/>
        </w:rPr>
        <w:t xml:space="preserve"> 2017)</w:t>
      </w:r>
      <w:r w:rsidRPr="0087737F">
        <w:t xml:space="preserve">, negative </w:t>
      </w:r>
      <w:r w:rsidRPr="0087737F">
        <w:rPr>
          <w:noProof/>
        </w:rPr>
        <w:t>(Guerrieri</w:t>
      </w:r>
      <w:r w:rsidRPr="0087737F">
        <w:rPr>
          <w:i/>
          <w:noProof/>
        </w:rPr>
        <w:t xml:space="preserve"> et al.</w:t>
      </w:r>
      <w:r w:rsidRPr="0087737F">
        <w:rPr>
          <w:noProof/>
        </w:rPr>
        <w:t xml:space="preserve"> 2004; Hempel</w:t>
      </w:r>
      <w:r w:rsidRPr="0087737F">
        <w:rPr>
          <w:i/>
          <w:noProof/>
        </w:rPr>
        <w:t xml:space="preserve"> et al.</w:t>
      </w:r>
      <w:r w:rsidRPr="0087737F">
        <w:rPr>
          <w:noProof/>
        </w:rPr>
        <w:t xml:space="preserve"> 2009)</w:t>
      </w:r>
      <w:r w:rsidRPr="0087737F">
        <w:t xml:space="preserve"> or have no effect </w:t>
      </w:r>
      <w:r w:rsidRPr="0087737F">
        <w:rPr>
          <w:noProof/>
        </w:rPr>
        <w:t>(Williams, Birkhofer &amp; Hedlund 2014; Karley, Emslie-Smith &amp; Bennett 2017)</w:t>
      </w:r>
      <w:r w:rsidRPr="0087737F">
        <w:t>. It is currently not fully understood what mechanisms cause such context specific outcomes</w:t>
      </w:r>
      <w:r w:rsidR="000727D8" w:rsidRPr="0087737F">
        <w:t>,</w:t>
      </w:r>
      <w:r w:rsidRPr="0087737F">
        <w:t xml:space="preserve"> but varying plant-AMF-aphid species, genotypes or environmental conditions may play a role. Although not in direct contact, aphids and AMF could affect the performance of the other via altering the quality of the plant host through modulating defence responses, and/or the plant</w:t>
      </w:r>
      <w:r w:rsidR="00313F84" w:rsidRPr="0087737F">
        <w:t>’</w:t>
      </w:r>
      <w:r w:rsidRPr="0087737F">
        <w:t xml:space="preserve">s phosphorus (P) </w:t>
      </w:r>
      <w:r w:rsidRPr="0087737F">
        <w:rPr>
          <w:noProof/>
        </w:rPr>
        <w:t>(Smith &amp; Read 2008)</w:t>
      </w:r>
      <w:r w:rsidRPr="0087737F">
        <w:t xml:space="preserve"> and nitrogen (N) </w:t>
      </w:r>
      <w:r w:rsidRPr="0087737F">
        <w:rPr>
          <w:noProof/>
        </w:rPr>
        <w:t>(Thirkell, Cameron &amp; Hodge 2016)</w:t>
      </w:r>
      <w:r w:rsidRPr="0087737F">
        <w:t xml:space="preserve"> status. </w:t>
      </w:r>
    </w:p>
    <w:p w14:paraId="48411303" w14:textId="5C270397" w:rsidR="0002061D" w:rsidRPr="0087737F" w:rsidRDefault="0002061D" w:rsidP="004663F1">
      <w:pPr>
        <w:spacing w:before="240"/>
      </w:pPr>
      <w:r w:rsidRPr="0087737F">
        <w:lastRenderedPageBreak/>
        <w:t>N is a limiting factor in an aphid</w:t>
      </w:r>
      <w:r w:rsidR="00313F84" w:rsidRPr="0087737F">
        <w:t>’</w:t>
      </w:r>
      <w:r w:rsidRPr="0087737F">
        <w:t xml:space="preserve">s diet of phloem sap; increased N fertilisation has </w:t>
      </w:r>
      <w:r w:rsidR="000727D8" w:rsidRPr="0087737F">
        <w:t xml:space="preserve">been </w:t>
      </w:r>
      <w:r w:rsidRPr="0087737F">
        <w:t xml:space="preserve">shown to increase the performance of </w:t>
      </w:r>
      <w:r w:rsidRPr="0087737F">
        <w:rPr>
          <w:rStyle w:val="st1"/>
          <w:rFonts w:cs="Arial"/>
          <w:i/>
        </w:rPr>
        <w:t>Rhopalosiphum padi</w:t>
      </w:r>
      <w:r w:rsidRPr="0087737F">
        <w:t xml:space="preserve"> on barley (</w:t>
      </w:r>
      <w:r w:rsidRPr="0087737F">
        <w:rPr>
          <w:i/>
        </w:rPr>
        <w:t>Hordeum vulgare</w:t>
      </w:r>
      <w:r w:rsidRPr="0087737F">
        <w:t xml:space="preserve"> L.) </w:t>
      </w:r>
      <w:r w:rsidRPr="0087737F">
        <w:rPr>
          <w:noProof/>
        </w:rPr>
        <w:t>(Ponder</w:t>
      </w:r>
      <w:r w:rsidRPr="0087737F">
        <w:rPr>
          <w:i/>
          <w:noProof/>
        </w:rPr>
        <w:t xml:space="preserve"> et al.</w:t>
      </w:r>
      <w:r w:rsidRPr="0087737F">
        <w:rPr>
          <w:noProof/>
        </w:rPr>
        <w:t xml:space="preserve"> 2000)</w:t>
      </w:r>
      <w:r w:rsidRPr="0087737F">
        <w:t xml:space="preserve"> and </w:t>
      </w:r>
      <w:r w:rsidRPr="0087737F">
        <w:rPr>
          <w:i/>
        </w:rPr>
        <w:t>R. padi</w:t>
      </w:r>
      <w:r w:rsidRPr="0087737F">
        <w:t xml:space="preserve"> and the English grain aphid (</w:t>
      </w:r>
      <w:r w:rsidRPr="0087737F">
        <w:rPr>
          <w:i/>
        </w:rPr>
        <w:t>Sitobion avenae</w:t>
      </w:r>
      <w:r w:rsidRPr="0087737F">
        <w:t xml:space="preserve"> (Fabric</w:t>
      </w:r>
      <w:r w:rsidR="00313F84" w:rsidRPr="0087737F">
        <w:t>i</w:t>
      </w:r>
      <w:r w:rsidRPr="0087737F">
        <w:t>us)) on wheat (</w:t>
      </w:r>
      <w:r w:rsidRPr="0087737F">
        <w:rPr>
          <w:rStyle w:val="Emphasis"/>
          <w:lang w:val="en"/>
        </w:rPr>
        <w:t>Triticum aestivum</w:t>
      </w:r>
      <w:r w:rsidRPr="0087737F">
        <w:rPr>
          <w:rStyle w:val="Emphasis"/>
          <w:i w:val="0"/>
          <w:lang w:val="en"/>
        </w:rPr>
        <w:t>)</w:t>
      </w:r>
      <w:r w:rsidRPr="0087737F">
        <w:t xml:space="preserve"> </w:t>
      </w:r>
      <w:r w:rsidRPr="0087737F">
        <w:rPr>
          <w:noProof/>
        </w:rPr>
        <w:t>(Aqueel &amp; Leather 2011)</w:t>
      </w:r>
      <w:r w:rsidRPr="0087737F">
        <w:t>. Thus, if AMF altered the plant</w:t>
      </w:r>
      <w:r w:rsidR="00E32A0D" w:rsidRPr="0087737F">
        <w:t>’</w:t>
      </w:r>
      <w:r w:rsidRPr="0087737F">
        <w:t xml:space="preserve">s N concentration, and hence, the amount of N an aphid had access to per unit time of feeding, this could significantly impact upon aphid performance. However, how increased N fertilisation </w:t>
      </w:r>
      <w:r w:rsidR="00313F84" w:rsidRPr="0087737F">
        <w:t xml:space="preserve">affects </w:t>
      </w:r>
      <w:r w:rsidRPr="0087737F">
        <w:t xml:space="preserve">aphid performance may depend on the plant species </w:t>
      </w:r>
      <w:r w:rsidRPr="0087737F">
        <w:rPr>
          <w:noProof/>
        </w:rPr>
        <w:t>(Bogaert</w:t>
      </w:r>
      <w:r w:rsidRPr="0087737F">
        <w:rPr>
          <w:i/>
          <w:noProof/>
        </w:rPr>
        <w:t xml:space="preserve"> et al.</w:t>
      </w:r>
      <w:r w:rsidRPr="0087737F">
        <w:rPr>
          <w:noProof/>
        </w:rPr>
        <w:t xml:space="preserve"> 2017)</w:t>
      </w:r>
      <w:r w:rsidRPr="0087737F">
        <w:t xml:space="preserve"> and aphid</w:t>
      </w:r>
      <w:r w:rsidR="00050549" w:rsidRPr="0087737F">
        <w:t xml:space="preserve"> morph</w:t>
      </w:r>
      <w:r w:rsidRPr="0087737F">
        <w:t xml:space="preserve"> </w:t>
      </w:r>
      <w:r w:rsidRPr="0087737F">
        <w:rPr>
          <w:noProof/>
        </w:rPr>
        <w:t>(Khan &amp; Port 2008)</w:t>
      </w:r>
      <w:r w:rsidRPr="0087737F">
        <w:t xml:space="preserve">. Moreover, the effect of changes to plant host N by AMF upon aphids shows no general trend in the literature </w:t>
      </w:r>
      <w:r w:rsidRPr="0087737F">
        <w:rPr>
          <w:noProof/>
        </w:rPr>
        <w:t>(Hempel</w:t>
      </w:r>
      <w:r w:rsidRPr="0087737F">
        <w:rPr>
          <w:i/>
          <w:noProof/>
        </w:rPr>
        <w:t xml:space="preserve"> et al.</w:t>
      </w:r>
      <w:r w:rsidRPr="0087737F">
        <w:rPr>
          <w:noProof/>
        </w:rPr>
        <w:t xml:space="preserve"> 2009; Babikova</w:t>
      </w:r>
      <w:r w:rsidRPr="0087737F">
        <w:rPr>
          <w:i/>
          <w:noProof/>
        </w:rPr>
        <w:t xml:space="preserve"> et al.</w:t>
      </w:r>
      <w:r w:rsidRPr="0087737F">
        <w:rPr>
          <w:noProof/>
        </w:rPr>
        <w:t xml:space="preserve"> 2014; Williams, Birkhofer &amp; Hedlund 2014; Tomczak &amp; Muller 2017)</w:t>
      </w:r>
      <w:r w:rsidRPr="0087737F">
        <w:t xml:space="preserve">, perhaps due to concurrent changes to aphid feeding behaviour, how the N is allocated in the plant tissue or whether it is partitioned into plant defence responses. </w:t>
      </w:r>
    </w:p>
    <w:p w14:paraId="0383289E" w14:textId="632522F3" w:rsidR="0002061D" w:rsidRPr="0087737F" w:rsidRDefault="0002061D" w:rsidP="004663F1">
      <w:pPr>
        <w:spacing w:before="240"/>
        <w:rPr>
          <w:noProof/>
        </w:rPr>
      </w:pPr>
      <w:r w:rsidRPr="0087737F">
        <w:t xml:space="preserve">The distribution of nutrients in soil is both spatially and temporally heterogeneous. Thus, nutrients do not occur in a uniform manner but as discrete zones or ‘patches’. Plant root systems have to cope with this heterogeneity in order to acquire the nutrients they need </w:t>
      </w:r>
      <w:r w:rsidRPr="0087737F">
        <w:rPr>
          <w:noProof/>
        </w:rPr>
        <w:t>(Hodge 2004)</w:t>
      </w:r>
      <w:r w:rsidRPr="0087737F">
        <w:t>, while AMF hyphae, by virtue of small size and large surface area, may aid the plant in this nutrient acquisition role</w:t>
      </w:r>
      <w:r w:rsidR="006828BC" w:rsidRPr="0087737F">
        <w:t xml:space="preserve"> </w:t>
      </w:r>
      <w:r w:rsidRPr="0087737F">
        <w:t xml:space="preserve">through being able to physically access nutrient sources the plant cannot </w:t>
      </w:r>
      <w:r w:rsidRPr="0087737F">
        <w:rPr>
          <w:noProof/>
        </w:rPr>
        <w:t>(Hodge &amp; Storer 2015; Hodge 2016)</w:t>
      </w:r>
      <w:r w:rsidR="00E32A0D" w:rsidRPr="0087737F">
        <w:rPr>
          <w:noProof/>
        </w:rPr>
        <w:t>.</w:t>
      </w:r>
      <w:r w:rsidRPr="0087737F">
        <w:rPr>
          <w:noProof/>
        </w:rPr>
        <w:t xml:space="preserve"> </w:t>
      </w:r>
      <w:r w:rsidR="00E32A0D" w:rsidRPr="0087737F">
        <w:rPr>
          <w:noProof/>
        </w:rPr>
        <w:t>U</w:t>
      </w:r>
      <w:r w:rsidRPr="0087737F">
        <w:rPr>
          <w:noProof/>
        </w:rPr>
        <w:t xml:space="preserve">nder poor nutrient conditions, AMF facilitated N-transfer to their associated host plant </w:t>
      </w:r>
      <w:r w:rsidR="006828BC" w:rsidRPr="0087737F">
        <w:rPr>
          <w:noProof/>
        </w:rPr>
        <w:t xml:space="preserve">contributes </w:t>
      </w:r>
      <w:r w:rsidRPr="0087737F">
        <w:rPr>
          <w:noProof/>
        </w:rPr>
        <w:t xml:space="preserve">substantially to the plants N supply, especially when the AMF are able to access an organic nutrient patch that the roots </w:t>
      </w:r>
      <w:r w:rsidR="006828BC" w:rsidRPr="0087737F">
        <w:rPr>
          <w:noProof/>
        </w:rPr>
        <w:t>can</w:t>
      </w:r>
      <w:r w:rsidRPr="0087737F">
        <w:rPr>
          <w:noProof/>
        </w:rPr>
        <w:t xml:space="preserve">not (Leigh, Hodge &amp; Fitter 2009; Thirkell, Cameron &amp; Hodge 2016). Accessing these organic nutrient patches may also affect plant P status (Barrett, Campbell &amp; Hodge 2014; Thirkell, Cameron &amp; Hodge 2016), and although the benefit of </w:t>
      </w:r>
      <w:r w:rsidRPr="0087737F">
        <w:t xml:space="preserve">P fertilisation on aphid performance is conflicting </w:t>
      </w:r>
      <w:r w:rsidRPr="0087737F">
        <w:rPr>
          <w:noProof/>
        </w:rPr>
        <w:t>(Jansson &amp; Ekbom 2002; Venter</w:t>
      </w:r>
      <w:r w:rsidRPr="0087737F">
        <w:rPr>
          <w:i/>
          <w:noProof/>
        </w:rPr>
        <w:t xml:space="preserve"> et al.</w:t>
      </w:r>
      <w:r w:rsidRPr="0087737F">
        <w:rPr>
          <w:noProof/>
        </w:rPr>
        <w:t xml:space="preserve"> 2014)</w:t>
      </w:r>
      <w:r w:rsidRPr="0087737F">
        <w:t>, this could contribute to the growth response of host plants to AMF colonisation.</w:t>
      </w:r>
    </w:p>
    <w:p w14:paraId="59B9F6A9" w14:textId="5E38FB19" w:rsidR="0002061D" w:rsidRPr="0087737F" w:rsidRDefault="0002061D" w:rsidP="004663F1">
      <w:pPr>
        <w:spacing w:before="240"/>
      </w:pPr>
      <w:r w:rsidRPr="0087737F">
        <w:rPr>
          <w:noProof/>
        </w:rPr>
        <w:t>However, AMF associations with barley in pot systems often induce plant growth depressions (Smith &amp; Smith 2011)</w:t>
      </w:r>
      <w:r w:rsidRPr="0087737F">
        <w:t>.</w:t>
      </w:r>
      <w:r w:rsidR="00B37A32" w:rsidRPr="0087737F">
        <w:t xml:space="preserve"> Although growth responses may depend on many plant </w:t>
      </w:r>
      <w:r w:rsidR="00B37A32" w:rsidRPr="0087737F">
        <w:lastRenderedPageBreak/>
        <w:t>and AMF partner traits, t</w:t>
      </w:r>
      <w:r w:rsidRPr="0087737F">
        <w:t>his is po</w:t>
      </w:r>
      <w:r w:rsidR="00B37A32" w:rsidRPr="0087737F">
        <w:t>tentially in part</w:t>
      </w:r>
      <w:r w:rsidRPr="0087737F">
        <w:t xml:space="preserve"> due to </w:t>
      </w:r>
      <w:r w:rsidRPr="0087737F">
        <w:rPr>
          <w:noProof/>
        </w:rPr>
        <w:t xml:space="preserve">the fine root structures of cereals resulting in </w:t>
      </w:r>
      <w:r w:rsidR="001F7FC2" w:rsidRPr="0087737F">
        <w:rPr>
          <w:noProof/>
        </w:rPr>
        <w:t>efficient nutrient acquisition.</w:t>
      </w:r>
      <w:r w:rsidRPr="0087737F">
        <w:rPr>
          <w:noProof/>
        </w:rPr>
        <w:t xml:space="preserve"> </w:t>
      </w:r>
      <w:r w:rsidR="001F7FC2" w:rsidRPr="0087737F">
        <w:rPr>
          <w:noProof/>
        </w:rPr>
        <w:t>H</w:t>
      </w:r>
      <w:r w:rsidRPr="0087737F">
        <w:rPr>
          <w:noProof/>
        </w:rPr>
        <w:t>ence, the AMF symbiosis may not provide a nutritional benefit to the plant that outweighs the C cost of maintaining the symbiosis (Smith &amp; Smith 2011)</w:t>
      </w:r>
      <w:r w:rsidRPr="0087737F">
        <w:t>, which may be further exacerbated in pot systems where the plant roots are able to explore the majority of the soil volume. Therefore, to fully understand if AMF directly alter aphid performance via nutrient acquisition, we need to determine the effects of AMF access to otherwise plant inaccessible nutrient sources on aphid performance.</w:t>
      </w:r>
    </w:p>
    <w:p w14:paraId="24376D49" w14:textId="2641086E" w:rsidR="0002061D" w:rsidRPr="0087737F" w:rsidRDefault="0002061D" w:rsidP="004663F1">
      <w:pPr>
        <w:spacing w:before="240"/>
      </w:pPr>
      <w:r w:rsidRPr="0087737F">
        <w:t xml:space="preserve">In this study, we investigated the effect of AMF colonisation of barley upon plant host biomass and above ground N and P nutrition, </w:t>
      </w:r>
      <w:r w:rsidR="00E32A0D" w:rsidRPr="0087737F">
        <w:t xml:space="preserve">and on </w:t>
      </w:r>
      <w:r w:rsidRPr="0087737F">
        <w:t xml:space="preserve">the number of </w:t>
      </w:r>
      <w:r w:rsidRPr="0087737F">
        <w:rPr>
          <w:i/>
        </w:rPr>
        <w:t xml:space="preserve">S. avenae </w:t>
      </w:r>
      <w:r w:rsidR="005C0BB3" w:rsidRPr="0087737F">
        <w:t>shar</w:t>
      </w:r>
      <w:r w:rsidR="00E32A0D" w:rsidRPr="0087737F">
        <w:t>ing the</w:t>
      </w:r>
      <w:r w:rsidR="005C0BB3" w:rsidRPr="0087737F">
        <w:t xml:space="preserve"> plant host</w:t>
      </w:r>
      <w:r w:rsidR="00E32A0D" w:rsidRPr="0087737F">
        <w:t>,</w:t>
      </w:r>
      <w:r w:rsidRPr="0087737F">
        <w:t xml:space="preserve"> as a surrogate for aphid performance. We investigated whether these plant and aphid characteristics depended upon the AM fungus being able to directly access N contained in organic nutrient patches. Finally, we used stable isotope labelling to assess, for the first time, whether AMF indirectly transfer this N to trophic levels higher than the plant. Specifically the following hypotheses were tested: 1) when the AMF are denied direct access to the organic nutrient patch, AMF colonisation will not enhance nutrient transfer from the patch to the plant and consequently will have no effect on plant N and P status or aphid number. Instead, plant growth will be depress</w:t>
      </w:r>
      <w:r w:rsidR="00A340DB" w:rsidRPr="0087737F">
        <w:t>ed by the AMF acting as a C</w:t>
      </w:r>
      <w:r w:rsidRPr="0087737F">
        <w:t xml:space="preserve"> drain on the plant for no nutritional benefit. Conversely, 2) when AMF are able to directly access the organic patch, </w:t>
      </w:r>
      <w:r w:rsidR="000A77EB" w:rsidRPr="0087737F">
        <w:t xml:space="preserve">the increased </w:t>
      </w:r>
      <w:r w:rsidRPr="0087737F">
        <w:t>nutrient</w:t>
      </w:r>
      <w:r w:rsidR="000A77EB" w:rsidRPr="0087737F">
        <w:t xml:space="preserve"> availability will </w:t>
      </w:r>
      <w:r w:rsidRPr="0087737F">
        <w:t>increas</w:t>
      </w:r>
      <w:r w:rsidR="000A77EB" w:rsidRPr="0087737F">
        <w:t>e</w:t>
      </w:r>
      <w:r w:rsidR="0096393B" w:rsidRPr="0087737F">
        <w:t xml:space="preserve"> </w:t>
      </w:r>
      <w:r w:rsidRPr="0087737F">
        <w:t>plant biomass, plant N and P status, and aphid number. Finally, 3) when AMF are able to directly access the organic patch, more N will be transferred</w:t>
      </w:r>
      <w:r w:rsidR="00FF67E4" w:rsidRPr="0087737F">
        <w:t>,</w:t>
      </w:r>
      <w:r w:rsidRPr="0087737F">
        <w:t xml:space="preserve"> </w:t>
      </w:r>
      <w:r w:rsidR="00FF67E4" w:rsidRPr="0087737F">
        <w:t xml:space="preserve">as determined by </w:t>
      </w:r>
      <w:r w:rsidR="00FF67E4" w:rsidRPr="0087737F">
        <w:rPr>
          <w:vertAlign w:val="superscript"/>
        </w:rPr>
        <w:t>15</w:t>
      </w:r>
      <w:r w:rsidR="00FF67E4" w:rsidRPr="0087737F">
        <w:t xml:space="preserve">N movement, </w:t>
      </w:r>
      <w:r w:rsidRPr="0087737F">
        <w:t>from this below</w:t>
      </w:r>
      <w:r w:rsidR="00145DA5" w:rsidRPr="0087737F">
        <w:t xml:space="preserve"> </w:t>
      </w:r>
      <w:r w:rsidRPr="0087737F">
        <w:t>ground patch to the above</w:t>
      </w:r>
      <w:r w:rsidR="008407C8" w:rsidRPr="0087737F">
        <w:t xml:space="preserve"> </w:t>
      </w:r>
      <w:r w:rsidRPr="0087737F">
        <w:t>ground tissues of the plant and</w:t>
      </w:r>
      <w:r w:rsidR="00FF67E4" w:rsidRPr="0087737F">
        <w:t xml:space="preserve"> then</w:t>
      </w:r>
      <w:r w:rsidRPr="0087737F">
        <w:t xml:space="preserve"> </w:t>
      </w:r>
      <w:r w:rsidR="00646DC0" w:rsidRPr="0087737F">
        <w:t xml:space="preserve">to </w:t>
      </w:r>
      <w:r w:rsidRPr="0087737F">
        <w:t>its associated</w:t>
      </w:r>
      <w:r w:rsidR="00E32A0D" w:rsidRPr="0087737F">
        <w:t xml:space="preserve"> aphid herbivores</w:t>
      </w:r>
      <w:r w:rsidRPr="0087737F">
        <w:t>.</w:t>
      </w:r>
    </w:p>
    <w:p w14:paraId="7D685977" w14:textId="77777777" w:rsidR="0002061D" w:rsidRPr="0087737F" w:rsidRDefault="0002061D" w:rsidP="004663F1">
      <w:pPr>
        <w:rPr>
          <w:b/>
        </w:rPr>
      </w:pPr>
      <w:r w:rsidRPr="0087737F">
        <w:rPr>
          <w:b/>
        </w:rPr>
        <w:t>Materials and methods</w:t>
      </w:r>
    </w:p>
    <w:p w14:paraId="273D232B" w14:textId="77777777" w:rsidR="0002061D" w:rsidRPr="0087737F" w:rsidRDefault="0002061D" w:rsidP="004663F1">
      <w:pPr>
        <w:rPr>
          <w:b/>
        </w:rPr>
      </w:pPr>
      <w:r w:rsidRPr="0087737F">
        <w:rPr>
          <w:b/>
        </w:rPr>
        <w:t xml:space="preserve">Experimental design </w:t>
      </w:r>
    </w:p>
    <w:p w14:paraId="6F7AE2B0" w14:textId="6465F1FF" w:rsidR="0002061D" w:rsidRPr="0087737F" w:rsidRDefault="0002061D" w:rsidP="004663F1">
      <w:r w:rsidRPr="0087737F">
        <w:t>A two compartment microcosm design was used to manipulate three aspects of the plant-AMF symbiosis</w:t>
      </w:r>
      <w:r w:rsidR="00C96D51" w:rsidRPr="0087737F">
        <w:t xml:space="preserve">: </w:t>
      </w:r>
      <w:r w:rsidRPr="0087737F">
        <w:t>1) whether the plant was colonised by AMF (+AM) or not (-AM</w:t>
      </w:r>
      <w:r w:rsidR="00C96D51" w:rsidRPr="0087737F">
        <w:t xml:space="preserve">), </w:t>
      </w:r>
      <w:r w:rsidRPr="0087737F">
        <w:t xml:space="preserve">2) the </w:t>
      </w:r>
      <w:r w:rsidRPr="0087737F">
        <w:lastRenderedPageBreak/>
        <w:t xml:space="preserve">impact of access to increased physical volume on the nutrient foraging availability of the AMF (+Access/ -Access) and 3) whether this access led to direct AMF access to an organic nutrient patch (+Patch/-Patch) (Fig 1). Due to the nature of the hypotheses being tested the design was not fully factorial (Table 1). Comparison of non-AMF plants (-AM) with AMF plants where both roots and AMF access were confined to the plant compartment (+AM, -Access) allowed hypothesis 1 to be tested. As the ‘+Access’ treatment only refers to the access by the AMF hyphae and not plant roots, and neither ‘Access’ treatment impedes the movement of small solutes, an ‘Access’ treatment with </w:t>
      </w:r>
      <w:r w:rsidR="00E32A0D" w:rsidRPr="0087737F">
        <w:t xml:space="preserve">respect </w:t>
      </w:r>
      <w:r w:rsidRPr="0087737F">
        <w:t xml:space="preserve">to the ‘-AM’ treatment is redundant. Hypothesis 2 was investigated by comparing non-colonised plants (-AM) with plants colonised by AMF allowed to directly access the organic patch in the second compartment (+AM, +Access). To minimise differences in nutrient availability in the plant compartment due to the mass flow or diffusion of solutes from the organic patch, an organic patch was added to the ‘-AM’ and ‘+AM, -Access’ as well as the ‘+AM, +Access’ treatment. As the effect of AMF access to, rather than the presence of an organic nutrient patch was investigated, </w:t>
      </w:r>
      <w:r w:rsidR="00A02368" w:rsidRPr="0087737F">
        <w:t>‘-</w:t>
      </w:r>
      <w:r w:rsidRPr="0087737F">
        <w:t xml:space="preserve">Patch’ treatments were not combined with </w:t>
      </w:r>
      <w:r w:rsidR="00A02368" w:rsidRPr="0087737F">
        <w:t>‘-</w:t>
      </w:r>
      <w:r w:rsidRPr="0087737F">
        <w:t>AM’, and ‘+AM, -Access’ treatments. However, when the AMF has access to the second compartment (+AM, +Access) it also has access to a larger volume of growth substrate. Thus a ‘Volume Control’ was generated by allowing AMF access to the second compartment, but with no organic nutrient patch present.</w:t>
      </w:r>
    </w:p>
    <w:p w14:paraId="5857715F" w14:textId="77777777" w:rsidR="0002061D" w:rsidRPr="0087737F" w:rsidRDefault="0002061D" w:rsidP="004663F1">
      <w:pPr>
        <w:rPr>
          <w:b/>
        </w:rPr>
      </w:pPr>
      <w:r w:rsidRPr="0087737F">
        <w:rPr>
          <w:b/>
        </w:rPr>
        <w:t xml:space="preserve">Microcosm design </w:t>
      </w:r>
    </w:p>
    <w:p w14:paraId="2DA53808" w14:textId="1F978CC9" w:rsidR="0002061D" w:rsidRPr="0087737F" w:rsidRDefault="0002061D" w:rsidP="004663F1">
      <w:r w:rsidRPr="0087737F">
        <w:t xml:space="preserve">Microcosms were adapted from the design by </w:t>
      </w:r>
      <w:r w:rsidRPr="0087737F">
        <w:rPr>
          <w:noProof/>
        </w:rPr>
        <w:t xml:space="preserve">Hodge &amp; Fitter </w:t>
      </w:r>
      <w:r w:rsidR="00712E2D" w:rsidRPr="0087737F">
        <w:rPr>
          <w:noProof/>
        </w:rPr>
        <w:t>(</w:t>
      </w:r>
      <w:r w:rsidRPr="0087737F">
        <w:rPr>
          <w:noProof/>
        </w:rPr>
        <w:t>2010)</w:t>
      </w:r>
      <w:r w:rsidRPr="0087737F">
        <w:t xml:space="preserve">, and comprised of two identically sized polypropylene compartments each measuring 14 x 14 x 13 cm. A 6 x 4 cm window was cut into the adjoining sides of the compartments and covered with a double layer of either 20 µm (John Stanier and Co., Whitefield, Manchester, UK) or 0.45 µm (Santa Cruz Biotechnology, Dallas, Texas, US) nylon mesh used to control the access of AMF hyphae to the second compartment. The 20 µm mesh permits AMF to penetrate from the </w:t>
      </w:r>
      <w:r w:rsidRPr="0087737F">
        <w:lastRenderedPageBreak/>
        <w:t>plant compartment into the second compartment (used in AMF ‘+Access’) treatments whereas the 0.45 µm does not (used in AMF ‘-Access’ treatments).</w:t>
      </w:r>
    </w:p>
    <w:p w14:paraId="366361AD" w14:textId="77777777" w:rsidR="0002061D" w:rsidRPr="0087737F" w:rsidRDefault="0002061D" w:rsidP="004663F1">
      <w:pPr>
        <w:rPr>
          <w:b/>
          <w:bCs/>
        </w:rPr>
      </w:pPr>
      <w:r w:rsidRPr="0087737F">
        <w:rPr>
          <w:b/>
          <w:bCs/>
        </w:rPr>
        <w:t>AMF inoculation and plant growth</w:t>
      </w:r>
    </w:p>
    <w:p w14:paraId="1DA6EA5D" w14:textId="630A71C5" w:rsidR="0002061D" w:rsidRPr="0087737F" w:rsidRDefault="0002061D" w:rsidP="004663F1">
      <w:r w:rsidRPr="0087737F">
        <w:t>Silica sand was mixed 1:1 (v/v) with Agsorb® (a calcinated, attapulgite clay particle soil conditioner (Oil-Dri, Cambridgeshire, UK)</w:t>
      </w:r>
      <w:r w:rsidR="00A02368" w:rsidRPr="0087737F">
        <w:t>)</w:t>
      </w:r>
      <w:r w:rsidRPr="0087737F">
        <w:t xml:space="preserve"> washed twice with deionised water and inoculated with AMF to produce the growth substrate added to the plant compartment of AMF treatments (+AM).</w:t>
      </w:r>
    </w:p>
    <w:p w14:paraId="2779B453" w14:textId="64C2F450" w:rsidR="0002061D" w:rsidRPr="0087737F" w:rsidRDefault="0002061D" w:rsidP="004663F1">
      <w:r w:rsidRPr="0087737F">
        <w:t xml:space="preserve">The AMF inoculum was </w:t>
      </w:r>
      <w:r w:rsidRPr="0087737F">
        <w:rPr>
          <w:i/>
        </w:rPr>
        <w:t xml:space="preserve">Funneliformis mosseae </w:t>
      </w:r>
      <w:r w:rsidRPr="0087737F">
        <w:t xml:space="preserve">(Plantworks UK Ltd. Kent, UK), added as colonised roots of </w:t>
      </w:r>
      <w:r w:rsidRPr="0087737F">
        <w:rPr>
          <w:i/>
        </w:rPr>
        <w:t>Plantago lanceolata</w:t>
      </w:r>
      <w:r w:rsidRPr="0087737F">
        <w:t xml:space="preserve"> L. and </w:t>
      </w:r>
      <w:r w:rsidRPr="0087737F">
        <w:rPr>
          <w:i/>
        </w:rPr>
        <w:t>Trifolium pratense</w:t>
      </w:r>
      <w:r w:rsidRPr="0087737F">
        <w:t xml:space="preserve"> L. in a sand: Agsorb® medium (1:1 (v/v)). Bonemeal (0.25 g L</w:t>
      </w:r>
      <w:r w:rsidRPr="0087737F">
        <w:rPr>
          <w:vertAlign w:val="superscript"/>
        </w:rPr>
        <w:t>-1</w:t>
      </w:r>
      <w:r w:rsidRPr="0087737F">
        <w:t xml:space="preserve">; Vitax Leicestershire, UK) was also added as a complex N and P source to encourage AMF development </w:t>
      </w:r>
      <w:r w:rsidRPr="0087737F">
        <w:rPr>
          <w:noProof/>
        </w:rPr>
        <w:t>(Hodge &amp; Fitter 2010)</w:t>
      </w:r>
      <w:r w:rsidRPr="0087737F">
        <w:t>.</w:t>
      </w:r>
    </w:p>
    <w:p w14:paraId="03079305" w14:textId="120DF819" w:rsidR="0002061D" w:rsidRPr="0087737F" w:rsidRDefault="0002061D" w:rsidP="004663F1">
      <w:r w:rsidRPr="0087737F">
        <w:t>The growth substrate for the plant compartments of non-AMF treatments (-AM) were set up in the same manner except the AMF inoculum was autoclaved twice at 121</w:t>
      </w:r>
      <w:r w:rsidR="00A02368" w:rsidRPr="0087737F">
        <w:rPr>
          <w:rFonts w:cs="Arial"/>
        </w:rPr>
        <w:t>°</w:t>
      </w:r>
      <w:r w:rsidRPr="0087737F">
        <w:t xml:space="preserve">C. In an attempt to equalise starting non-fungal microbial communities between +AM and </w:t>
      </w:r>
      <w:r w:rsidR="00A02368" w:rsidRPr="0087737F">
        <w:t>-</w:t>
      </w:r>
      <w:r w:rsidRPr="0087737F">
        <w:t>AM treatments, prior to autoclaving the AMF inoculum was washed with dH</w:t>
      </w:r>
      <w:r w:rsidRPr="0087737F">
        <w:rPr>
          <w:vertAlign w:val="subscript"/>
        </w:rPr>
        <w:t>2</w:t>
      </w:r>
      <w:r w:rsidRPr="0087737F">
        <w:t xml:space="preserve">O, filtered through 20 </w:t>
      </w:r>
      <w:r w:rsidRPr="0087737F">
        <w:rPr>
          <w:rFonts w:cs="Arial"/>
        </w:rPr>
        <w:t>µ</w:t>
      </w:r>
      <w:r w:rsidRPr="0087737F">
        <w:t xml:space="preserve">m nylon mesh to remove large particles, then subsequently filtered through Whatman No.1 filter paper (pore size 11 µm, Whatman plc, Maidstone, Kent, UK) and 10 mL of the resulting filtrate added to </w:t>
      </w:r>
      <w:r w:rsidR="00A02368" w:rsidRPr="0087737F">
        <w:t>-</w:t>
      </w:r>
      <w:r w:rsidRPr="0087737F">
        <w:t xml:space="preserve">AM treatment plant compartments (as </w:t>
      </w:r>
      <w:r w:rsidRPr="0087737F">
        <w:rPr>
          <w:noProof/>
        </w:rPr>
        <w:t>Hodge 2001)</w:t>
      </w:r>
      <w:r w:rsidRPr="0087737F">
        <w:t>.</w:t>
      </w:r>
    </w:p>
    <w:p w14:paraId="549FE980" w14:textId="77777777" w:rsidR="0002061D" w:rsidRPr="0087737F" w:rsidRDefault="0002061D" w:rsidP="004663F1">
      <w:r w:rsidRPr="0087737F">
        <w:t xml:space="preserve">Sand and Agsorb® was washed and mixed as previously described and added to the second, unplanted, compartment except no AMF inoculum, filtrate or bonemeal was added. Aluminium foil was used to cover the surface of the second compartment to reduce evaporation and algal growth. </w:t>
      </w:r>
    </w:p>
    <w:p w14:paraId="15CDC6AC" w14:textId="77777777" w:rsidR="0002061D" w:rsidRPr="0087737F" w:rsidRDefault="0002061D" w:rsidP="004663F1">
      <w:r w:rsidRPr="0087737F">
        <w:t xml:space="preserve">Three barley seeds (cultivar: Xanadu, SAATEN-UNION GmbH, Isernhagen, Hanover, Germany) were surface sterilised in 4% (w/v) sodium hypochlorite solution before being germinated in the centre of the plant compartment. Seedlings were thinned to one per pot </w:t>
      </w:r>
      <w:r w:rsidRPr="0087737F">
        <w:lastRenderedPageBreak/>
        <w:t xml:space="preserve">after one week and fed weekly with 50 mL of a low N and low P nutrient solution (see </w:t>
      </w:r>
      <w:r w:rsidRPr="0087737F">
        <w:rPr>
          <w:noProof/>
        </w:rPr>
        <w:t>Leigh, Hodge &amp; Fitter 2009</w:t>
      </w:r>
      <w:r w:rsidRPr="0087737F">
        <w:t xml:space="preserve">) to produce a low N and P system where the effects of N acquisition from an organic patch via AMF may be substantial </w:t>
      </w:r>
      <w:r w:rsidRPr="0087737F">
        <w:rPr>
          <w:noProof/>
        </w:rPr>
        <w:t>(Thirkell, Cameron &amp; Hodge 2016)</w:t>
      </w:r>
      <w:r w:rsidRPr="0087737F">
        <w:t>. Microcosms were arranged in a randomised block design in a lit and heated glass house with a 16 hour day length on the 27/04/16. Plants were treated and harvested in block order and watered with up to 100 mL dH</w:t>
      </w:r>
      <w:r w:rsidRPr="0087737F">
        <w:rPr>
          <w:vertAlign w:val="subscript"/>
        </w:rPr>
        <w:t>2</w:t>
      </w:r>
      <w:r w:rsidRPr="0087737F">
        <w:t>O twice weekly as required.</w:t>
      </w:r>
    </w:p>
    <w:p w14:paraId="124B5F92" w14:textId="77777777" w:rsidR="0002061D" w:rsidRPr="0087737F" w:rsidRDefault="0002061D" w:rsidP="004663F1">
      <w:pPr>
        <w:rPr>
          <w:b/>
          <w:bCs/>
        </w:rPr>
      </w:pPr>
      <w:r w:rsidRPr="0087737F">
        <w:rPr>
          <w:b/>
          <w:bCs/>
          <w:vertAlign w:val="superscript"/>
        </w:rPr>
        <w:t>15</w:t>
      </w:r>
      <w:r w:rsidRPr="0087737F">
        <w:rPr>
          <w:b/>
          <w:bCs/>
        </w:rPr>
        <w:t>N-labelled organic patch material generation and addition</w:t>
      </w:r>
    </w:p>
    <w:p w14:paraId="709E2885" w14:textId="10A16E80" w:rsidR="0002061D" w:rsidRPr="0087737F" w:rsidRDefault="0002061D" w:rsidP="004663F1">
      <w:r w:rsidRPr="0087737F">
        <w:t xml:space="preserve">Barley seedlings (cultivar: Optic, Syngenta UK Limited, Cambridgeshire, UK) were labelled with </w:t>
      </w:r>
      <w:r w:rsidRPr="0087737F">
        <w:rPr>
          <w:vertAlign w:val="superscript"/>
        </w:rPr>
        <w:t>15</w:t>
      </w:r>
      <w:r w:rsidRPr="0087737F">
        <w:t xml:space="preserve">N to produce labelled organic material for use as the organic ‘patch’. Briefly, barley seedlings were grown in sand and Agsorb® medium and fed with nutrient solution </w:t>
      </w:r>
      <w:r w:rsidRPr="0087737F">
        <w:rPr>
          <w:noProof/>
        </w:rPr>
        <w:t>(Thornton &amp; Bausenwein 2000)</w:t>
      </w:r>
      <w:r w:rsidRPr="0087737F">
        <w:t xml:space="preserve"> containing 1:1 </w:t>
      </w:r>
      <w:r w:rsidRPr="0087737F">
        <w:rPr>
          <w:vertAlign w:val="superscript"/>
        </w:rPr>
        <w:t>14</w:t>
      </w:r>
      <w:r w:rsidRPr="0087737F">
        <w:t>NH</w:t>
      </w:r>
      <w:r w:rsidRPr="0087737F">
        <w:rPr>
          <w:vertAlign w:val="subscript"/>
        </w:rPr>
        <w:t>4</w:t>
      </w:r>
      <w:r w:rsidRPr="0087737F">
        <w:rPr>
          <w:vertAlign w:val="superscript"/>
        </w:rPr>
        <w:t>14</w:t>
      </w:r>
      <w:r w:rsidRPr="0087737F">
        <w:t>NO</w:t>
      </w:r>
      <w:r w:rsidRPr="0087737F">
        <w:rPr>
          <w:vertAlign w:val="subscript"/>
        </w:rPr>
        <w:t xml:space="preserve">3 </w:t>
      </w:r>
      <w:r w:rsidRPr="0087737F">
        <w:t xml:space="preserve">: 98 atom % </w:t>
      </w:r>
      <w:r w:rsidRPr="0087737F">
        <w:rPr>
          <w:vertAlign w:val="superscript"/>
        </w:rPr>
        <w:t>15</w:t>
      </w:r>
      <w:r w:rsidRPr="0087737F">
        <w:t xml:space="preserve">N </w:t>
      </w:r>
      <w:r w:rsidRPr="0087737F">
        <w:rPr>
          <w:vertAlign w:val="superscript"/>
        </w:rPr>
        <w:t>14</w:t>
      </w:r>
      <w:r w:rsidRPr="0087737F">
        <w:t>NH</w:t>
      </w:r>
      <w:r w:rsidRPr="0087737F">
        <w:rPr>
          <w:vertAlign w:val="subscript"/>
        </w:rPr>
        <w:t>4</w:t>
      </w:r>
      <w:r w:rsidRPr="0087737F">
        <w:rPr>
          <w:vertAlign w:val="superscript"/>
        </w:rPr>
        <w:t>15</w:t>
      </w:r>
      <w:r w:rsidRPr="0087737F">
        <w:t>NO</w:t>
      </w:r>
      <w:r w:rsidRPr="0087737F">
        <w:rPr>
          <w:vertAlign w:val="subscript"/>
        </w:rPr>
        <w:t>3</w:t>
      </w:r>
      <w:r w:rsidRPr="0087737F">
        <w:t xml:space="preserve"> (Sigma Aldrich, St. Louis, Missouri, United States). The resulting labelled shoot material was dried at 70</w:t>
      </w:r>
      <w:r w:rsidR="00A02368" w:rsidRPr="0087737F">
        <w:rPr>
          <w:rFonts w:cs="Arial"/>
        </w:rPr>
        <w:t>°</w:t>
      </w:r>
      <w:r w:rsidRPr="0087737F">
        <w:t xml:space="preserve">C, homogenised in a ball mill (Retsch MM400, Retsch GmbH, Haan, Germany) and analysed by Isotope Ratio Mass Spectrometry (I.R.M.S) (PDZ 2020, Sercon Ltd, Crewe, UK). The shoot material contained 0.52% P, 2.1% N of which 4% was </w:t>
      </w:r>
      <w:r w:rsidRPr="0087737F">
        <w:rPr>
          <w:vertAlign w:val="superscript"/>
        </w:rPr>
        <w:t>15</w:t>
      </w:r>
      <w:r w:rsidRPr="0087737F">
        <w:t xml:space="preserve">N.  </w:t>
      </w:r>
    </w:p>
    <w:p w14:paraId="7E857744" w14:textId="77777777" w:rsidR="0002061D" w:rsidRPr="0087737F" w:rsidRDefault="0002061D" w:rsidP="004663F1">
      <w:r w:rsidRPr="0087737F">
        <w:t xml:space="preserve">A 7 cm deep, 1 cm diameter core of growth substrate, 2 cm away from the centre of the mesh window was removed from the second compartment two weeks after the seedlings were thinned to one seedling per pot. For ‘+Patch’ treatments 2.2 g of the </w:t>
      </w:r>
      <w:r w:rsidRPr="0087737F">
        <w:rPr>
          <w:vertAlign w:val="superscript"/>
        </w:rPr>
        <w:t>15</w:t>
      </w:r>
      <w:r w:rsidRPr="0087737F">
        <w:t xml:space="preserve">N-labelled milled shoot material was added into the resulting space, as a discrete layer or ‘patch’ and the cored substrate replaced on top of the patch material. The organic material added contained 45.98 mg N, of which 1.82 mg was </w:t>
      </w:r>
      <w:r w:rsidRPr="0087737F">
        <w:rPr>
          <w:vertAlign w:val="superscript"/>
        </w:rPr>
        <w:t>15</w:t>
      </w:r>
      <w:r w:rsidRPr="0087737F">
        <w:t>N. The ‘-Patch’ treatments were treated in the same manner</w:t>
      </w:r>
      <w:r w:rsidR="00AD5A75" w:rsidRPr="0087737F">
        <w:t>,</w:t>
      </w:r>
      <w:r w:rsidRPr="0087737F">
        <w:t xml:space="preserve"> although no organic material was added and the removed substrate was simply replaced. </w:t>
      </w:r>
    </w:p>
    <w:p w14:paraId="613D5CC5" w14:textId="77777777" w:rsidR="0002061D" w:rsidRPr="0087737F" w:rsidRDefault="0002061D" w:rsidP="004663F1">
      <w:pPr>
        <w:rPr>
          <w:b/>
          <w:bCs/>
        </w:rPr>
      </w:pPr>
      <w:r w:rsidRPr="0087737F">
        <w:rPr>
          <w:b/>
          <w:bCs/>
        </w:rPr>
        <w:t>Aphid rearing and treatment</w:t>
      </w:r>
    </w:p>
    <w:p w14:paraId="0A1CCF28" w14:textId="6A742BE1" w:rsidR="0002061D" w:rsidRPr="0087737F" w:rsidRDefault="0002061D" w:rsidP="004663F1">
      <w:r w:rsidRPr="0087737F">
        <w:t>After 8 weeks growth, one week pr</w:t>
      </w:r>
      <w:r w:rsidR="00361EF3" w:rsidRPr="0087737F">
        <w:t>ior</w:t>
      </w:r>
      <w:r w:rsidRPr="0087737F">
        <w:t xml:space="preserve"> to aphid addition, the outline of all experimental plant live leaves were traced on 100 g m</w:t>
      </w:r>
      <w:r w:rsidRPr="0087737F">
        <w:rPr>
          <w:vertAlign w:val="superscript"/>
        </w:rPr>
        <w:t>-2</w:t>
      </w:r>
      <w:r w:rsidRPr="0087737F">
        <w:t xml:space="preserve"> paper and subsequently weighed to give a non-</w:t>
      </w:r>
      <w:r w:rsidRPr="0087737F">
        <w:lastRenderedPageBreak/>
        <w:t>destructive estimate of leaf area. Adults of a single genotype of</w:t>
      </w:r>
      <w:r w:rsidRPr="0087737F">
        <w:rPr>
          <w:i/>
        </w:rPr>
        <w:t xml:space="preserve"> S. avenae </w:t>
      </w:r>
      <w:r w:rsidRPr="0087737F">
        <w:t>(genotype K, originally supplied by Koppert Biological Systems, Netherlands) raised on barley (cultivar: Optic) at 20</w:t>
      </w:r>
      <w:r w:rsidR="00DD7D37" w:rsidRPr="0087737F">
        <w:rPr>
          <w:rFonts w:cs="Arial"/>
        </w:rPr>
        <w:t>°</w:t>
      </w:r>
      <w:r w:rsidRPr="0087737F">
        <w:t xml:space="preserve">C were transferred to 2 week old seedlings with roots fixed in 2 % agar in water in a Petri dish, and allowed to birth for 48 hours before being removed. The resulting offspring were allowed to grow on the seedlings for 6 more days. Three of these 7 day ± 1 day aphids were transferred to the base of the stem of the main tiller of each experimental plant and a muslin mesh supported by bamboo canes was placed over all plants. </w:t>
      </w:r>
    </w:p>
    <w:p w14:paraId="0E43DFFD" w14:textId="77777777" w:rsidR="0002061D" w:rsidRPr="0087737F" w:rsidRDefault="0002061D" w:rsidP="004663F1">
      <w:pPr>
        <w:rPr>
          <w:b/>
          <w:bCs/>
        </w:rPr>
      </w:pPr>
      <w:r w:rsidRPr="0087737F">
        <w:rPr>
          <w:b/>
          <w:bCs/>
        </w:rPr>
        <w:t>Harvest and analysis of plant, aphid and AMF traits</w:t>
      </w:r>
    </w:p>
    <w:p w14:paraId="5CF4B810" w14:textId="356105C7" w:rsidR="0002061D" w:rsidRPr="0087737F" w:rsidRDefault="0002061D" w:rsidP="004663F1">
      <w:r w:rsidRPr="0087737F">
        <w:t>Two weeks after aphid addition and 11 weeks after planting, the aphids were removed from plants with a fine paintbrush and the number found on the stem and leaf fraction, or on the grain fraction recorded, before flash freezing and storage at -80</w:t>
      </w:r>
      <w:r w:rsidR="00DD7D37" w:rsidRPr="0087737F">
        <w:rPr>
          <w:rFonts w:cs="Arial"/>
        </w:rPr>
        <w:t>°</w:t>
      </w:r>
      <w:r w:rsidRPr="0087737F">
        <w:t>C. A 1 cm diameter core was taken at the site of the ‘patch’ to determine the hyphal length density (HLD) in this zone. Plants were separated into root, stem, leaf and grain fractions. Sub fractions of roots were stored in 40 % ethanol for AMF staining. The remaining plant material was oven dried at 70</w:t>
      </w:r>
      <w:r w:rsidR="00DD7D37" w:rsidRPr="0087737F">
        <w:rPr>
          <w:rFonts w:cs="Arial"/>
        </w:rPr>
        <w:t>°</w:t>
      </w:r>
      <w:r w:rsidRPr="0087737F">
        <w:t>C for at least 72 hours.</w:t>
      </w:r>
    </w:p>
    <w:p w14:paraId="33461EC5" w14:textId="49CE52CF" w:rsidR="0002061D" w:rsidRPr="0087737F" w:rsidRDefault="0002061D" w:rsidP="004663F1">
      <w:r w:rsidRPr="0087737F">
        <w:t xml:space="preserve">Aphids were lyophilised for 24 hours using a Lyotrap (LTE Scientific Ltd, Oldham, UK) and analysed via I.R.M.S for bulk and </w:t>
      </w:r>
      <w:r w:rsidRPr="0087737F">
        <w:rPr>
          <w:vertAlign w:val="superscript"/>
        </w:rPr>
        <w:t>15</w:t>
      </w:r>
      <w:r w:rsidRPr="0087737F">
        <w:t xml:space="preserve">N using a Finnigan DELTA plus XP (ThermoFischer Scientific, Waltham, Massachusetts, USA).  Plant material was milled to a fine powder before being pelleted for X-ray fluorescence (XRF) to assess P concentration using a Thermo Scientific </w:t>
      </w:r>
      <w:r w:rsidRPr="0087737F">
        <w:rPr>
          <w:vertAlign w:val="superscript"/>
        </w:rPr>
        <w:t>TM</w:t>
      </w:r>
      <w:r w:rsidRPr="0087737F">
        <w:t xml:space="preserve"> portable X-ray fluorescence analyser (as described in </w:t>
      </w:r>
      <w:r w:rsidRPr="0087737F">
        <w:rPr>
          <w:noProof/>
        </w:rPr>
        <w:t xml:space="preserve">Reidinger, Ramsey &amp; Hartley </w:t>
      </w:r>
      <w:r w:rsidR="00DD7D37" w:rsidRPr="0087737F">
        <w:rPr>
          <w:noProof/>
        </w:rPr>
        <w:t>(</w:t>
      </w:r>
      <w:r w:rsidRPr="0087737F">
        <w:rPr>
          <w:noProof/>
        </w:rPr>
        <w:t>2012</w:t>
      </w:r>
      <w:r w:rsidR="00DD7D37" w:rsidRPr="0087737F">
        <w:rPr>
          <w:noProof/>
        </w:rPr>
        <w:t>)</w:t>
      </w:r>
      <w:r w:rsidRPr="0087737F">
        <w:rPr>
          <w:noProof/>
        </w:rPr>
        <w:t>)</w:t>
      </w:r>
      <w:r w:rsidRPr="0087737F">
        <w:t xml:space="preserve"> and also for bulk N and </w:t>
      </w:r>
      <w:r w:rsidRPr="0087737F">
        <w:rPr>
          <w:vertAlign w:val="superscript"/>
        </w:rPr>
        <w:t>15</w:t>
      </w:r>
      <w:r w:rsidRPr="0087737F">
        <w:t xml:space="preserve">N analysis via I.R.M.S. Growth substrate cores were processed for HLD according to </w:t>
      </w:r>
      <w:r w:rsidRPr="0087737F">
        <w:rPr>
          <w:noProof/>
        </w:rPr>
        <w:t xml:space="preserve">Staddon, Fitter &amp; Graves </w:t>
      </w:r>
      <w:r w:rsidR="00DD7D37" w:rsidRPr="0087737F">
        <w:rPr>
          <w:noProof/>
        </w:rPr>
        <w:t>(</w:t>
      </w:r>
      <w:r w:rsidRPr="0087737F">
        <w:rPr>
          <w:noProof/>
        </w:rPr>
        <w:t>1999)</w:t>
      </w:r>
      <w:r w:rsidRPr="0087737F">
        <w:t xml:space="preserve">, and HLD estimated using the gridline intercept method </w:t>
      </w:r>
      <w:r w:rsidRPr="0087737F">
        <w:rPr>
          <w:noProof/>
        </w:rPr>
        <w:t>(Hodge 2003).</w:t>
      </w:r>
      <w:r w:rsidRPr="0087737F">
        <w:t xml:space="preserve"> However, the dried growth substrate was lost and so the HLD was calculated per fresh weight rather than dry weight. Roots were stained for AMF colonisation assessment using the acetic acid-ink staining method </w:t>
      </w:r>
      <w:r w:rsidRPr="0087737F">
        <w:rPr>
          <w:noProof/>
        </w:rPr>
        <w:t>(Vierheilig</w:t>
      </w:r>
      <w:r w:rsidRPr="0087737F">
        <w:rPr>
          <w:i/>
          <w:noProof/>
        </w:rPr>
        <w:t xml:space="preserve"> et al.</w:t>
      </w:r>
      <w:r w:rsidRPr="0087737F">
        <w:rPr>
          <w:noProof/>
        </w:rPr>
        <w:t xml:space="preserve"> 1998)</w:t>
      </w:r>
      <w:r w:rsidRPr="0087737F">
        <w:t xml:space="preserve"> but with the following modifications: roots were rinsed with </w:t>
      </w:r>
      <w:r w:rsidRPr="0087737F">
        <w:lastRenderedPageBreak/>
        <w:t>dH</w:t>
      </w:r>
      <w:r w:rsidRPr="0087737F">
        <w:rPr>
          <w:vertAlign w:val="subscript"/>
        </w:rPr>
        <w:t>2</w:t>
      </w:r>
      <w:r w:rsidRPr="0087737F">
        <w:t>O then incubated in 10 % KOH at 70</w:t>
      </w:r>
      <w:r w:rsidR="00DD7D37" w:rsidRPr="0087737F">
        <w:rPr>
          <w:rFonts w:cs="Arial"/>
        </w:rPr>
        <w:t>°</w:t>
      </w:r>
      <w:r w:rsidRPr="0087737F">
        <w:t>C for 45 min or until the roots became translucent. Roots were thoroughly rinsed with dH</w:t>
      </w:r>
      <w:r w:rsidRPr="0087737F">
        <w:rPr>
          <w:vertAlign w:val="subscript"/>
        </w:rPr>
        <w:t>2</w:t>
      </w:r>
      <w:r w:rsidRPr="0087737F">
        <w:t>O again, before being stained with 5% acetic acid, 5% Pelican 4001 Brilliant Black ink® (Pelikan International, Feusisberg, Switzerland) and 90% dH</w:t>
      </w:r>
      <w:r w:rsidRPr="0087737F">
        <w:rPr>
          <w:vertAlign w:val="subscript"/>
        </w:rPr>
        <w:t>2</w:t>
      </w:r>
      <w:r w:rsidRPr="0087737F">
        <w:t xml:space="preserve">O for 30 minutes. Root length colonisation (RLC) was assessed using the line intercept method under 200 x magnification using a Nikon eclipse 50i upright microscope (Nikon UK Ltd, Surrey, UK) and a minimum of 100 intercepts </w:t>
      </w:r>
      <w:r w:rsidRPr="0087737F">
        <w:rPr>
          <w:noProof/>
        </w:rPr>
        <w:t>(Hodge 2003)</w:t>
      </w:r>
      <w:r w:rsidRPr="0087737F">
        <w:t>.</w:t>
      </w:r>
    </w:p>
    <w:p w14:paraId="2417470E" w14:textId="77777777" w:rsidR="0002061D" w:rsidRPr="0087737F" w:rsidRDefault="0002061D" w:rsidP="004663F1">
      <w:pPr>
        <w:rPr>
          <w:b/>
          <w:bCs/>
        </w:rPr>
      </w:pPr>
      <w:r w:rsidRPr="0087737F">
        <w:rPr>
          <w:b/>
          <w:bCs/>
        </w:rPr>
        <w:t>Statistical analysis</w:t>
      </w:r>
    </w:p>
    <w:p w14:paraId="2C0DB59C" w14:textId="59ED2E36" w:rsidR="0002061D" w:rsidRPr="0087737F" w:rsidRDefault="0002061D" w:rsidP="004663F1">
      <w:r w:rsidRPr="0087737F">
        <w:t xml:space="preserve">Analysis was carried out using R version 3.3.2 (2016-10-31) </w:t>
      </w:r>
      <w:r w:rsidRPr="0087737F">
        <w:rPr>
          <w:noProof/>
        </w:rPr>
        <w:t>(R Core Team 2016)</w:t>
      </w:r>
      <w:r w:rsidRPr="0087737F">
        <w:t>, and the packages, "lme4", “lmerTest”, “lsmeans”, “car”, “userfriendlyscience, “multcomp” and “multcompView”. A Levene’s test was used to test data for equal variances and where this assumption was correct</w:t>
      </w:r>
      <w:r w:rsidR="004D2BBA" w:rsidRPr="0087737F">
        <w:t>,</w:t>
      </w:r>
      <w:r w:rsidRPr="0087737F">
        <w:t xml:space="preserve"> data were analysed using linear models with </w:t>
      </w:r>
      <w:r w:rsidR="00EA40BE" w:rsidRPr="0087737F">
        <w:t xml:space="preserve">treatment (as detailed in Table 1) </w:t>
      </w:r>
      <w:r w:rsidRPr="0087737F">
        <w:t xml:space="preserve">as the explanatory variable. Block was added as a random factor if the model containing block had a significantly lower AIC value. A Shapiro-Wilks test was used to test for the normal distribution of model residuals and </w:t>
      </w:r>
      <w:r w:rsidR="00DD7D37" w:rsidRPr="0087737F">
        <w:t xml:space="preserve">when these </w:t>
      </w:r>
      <w:r w:rsidRPr="0087737F">
        <w:t>were not normally distributed, percentage</w:t>
      </w:r>
      <w:r w:rsidR="00395377" w:rsidRPr="0087737F">
        <w:t>/proportion</w:t>
      </w:r>
      <w:r w:rsidRPr="0087737F">
        <w:t xml:space="preserve"> data were logit</w:t>
      </w:r>
      <w:r w:rsidR="00F432BA" w:rsidRPr="0087737F">
        <w:t xml:space="preserve"> or square root</w:t>
      </w:r>
      <w:r w:rsidRPr="0087737F">
        <w:t xml:space="preserve"> transformed and concentration data log transformed, which allowed the assumptions of the linear model to be met. A Tukey </w:t>
      </w:r>
      <w:r w:rsidRPr="0087737F">
        <w:rPr>
          <w:i/>
        </w:rPr>
        <w:t>post hoc</w:t>
      </w:r>
      <w:r w:rsidRPr="0087737F">
        <w:t xml:space="preserve"> test was used where appropriate. A Welch’s ANOVA with a Games Howell </w:t>
      </w:r>
      <w:r w:rsidRPr="0087737F">
        <w:rPr>
          <w:i/>
        </w:rPr>
        <w:t>post hoc</w:t>
      </w:r>
      <w:r w:rsidRPr="0087737F">
        <w:t xml:space="preserve"> test was used to analyse data with unequal variances. For the analysis of AMF traits the </w:t>
      </w:r>
      <w:r w:rsidR="00664BB5" w:rsidRPr="0087737F">
        <w:t>‘-</w:t>
      </w:r>
      <w:r w:rsidRPr="0087737F">
        <w:t xml:space="preserve">AM’ data was not included, and for </w:t>
      </w:r>
      <w:r w:rsidRPr="0087737F">
        <w:rPr>
          <w:vertAlign w:val="superscript"/>
        </w:rPr>
        <w:t>15</w:t>
      </w:r>
      <w:r w:rsidRPr="0087737F">
        <w:t>N data ‘Volume control’ treatment data was not included in the model as data followed a baseline and were thus distributed similar to zero values. Initially plants were set up with 10 replicates per treatment although for one replicate of the ‘Volume control’ treatment aphids did not reproduce and this replicate was removed from the subsequent analysis.</w:t>
      </w:r>
    </w:p>
    <w:p w14:paraId="24FCED20" w14:textId="77777777" w:rsidR="0002061D" w:rsidRPr="0087737F" w:rsidRDefault="0002061D" w:rsidP="004663F1">
      <w:pPr>
        <w:rPr>
          <w:b/>
          <w:bCs/>
        </w:rPr>
      </w:pPr>
      <w:r w:rsidRPr="0087737F">
        <w:rPr>
          <w:b/>
          <w:bCs/>
        </w:rPr>
        <w:t>Results</w:t>
      </w:r>
    </w:p>
    <w:p w14:paraId="1621BB18" w14:textId="77777777" w:rsidR="0002061D" w:rsidRPr="0087737F" w:rsidRDefault="0002061D" w:rsidP="004663F1">
      <w:pPr>
        <w:rPr>
          <w:b/>
          <w:bCs/>
        </w:rPr>
      </w:pPr>
      <w:r w:rsidRPr="0087737F">
        <w:rPr>
          <w:b/>
          <w:bCs/>
        </w:rPr>
        <w:t>AMF characteristics</w:t>
      </w:r>
    </w:p>
    <w:p w14:paraId="271352B9" w14:textId="2CB9ED81" w:rsidR="0002061D" w:rsidRPr="0087737F" w:rsidRDefault="0002061D" w:rsidP="004663F1">
      <w:r w:rsidRPr="0087737F">
        <w:lastRenderedPageBreak/>
        <w:t xml:space="preserve">Plant roots of +AM treatments were </w:t>
      </w:r>
      <w:r w:rsidR="00B723A3" w:rsidRPr="0087737F">
        <w:t>well</w:t>
      </w:r>
      <w:r w:rsidRPr="0087737F">
        <w:t xml:space="preserve"> colonised (</w:t>
      </w:r>
      <w:r w:rsidRPr="0087737F">
        <w:rPr>
          <w:i/>
        </w:rPr>
        <w:t>c</w:t>
      </w:r>
      <w:r w:rsidRPr="0087737F">
        <w:t xml:space="preserve">. </w:t>
      </w:r>
      <w:r w:rsidR="00B723A3" w:rsidRPr="0087737F">
        <w:t>49</w:t>
      </w:r>
      <w:r w:rsidRPr="0087737F">
        <w:t xml:space="preserve"> ± </w:t>
      </w:r>
      <w:r w:rsidR="00B723A3" w:rsidRPr="0087737F">
        <w:t>2.9</w:t>
      </w:r>
      <w:r w:rsidRPr="0087737F">
        <w:t xml:space="preserve"> S.E % RLC; </w:t>
      </w:r>
      <w:r w:rsidR="00B723A3" w:rsidRPr="0087737F">
        <w:t>13</w:t>
      </w:r>
      <w:r w:rsidRPr="0087737F">
        <w:t xml:space="preserve"> ± </w:t>
      </w:r>
      <w:r w:rsidR="00B723A3" w:rsidRPr="0087737F">
        <w:t>1.6</w:t>
      </w:r>
      <w:r w:rsidR="00CC4C0A" w:rsidRPr="0087737F">
        <w:t xml:space="preserve"> </w:t>
      </w:r>
      <w:r w:rsidRPr="0087737F">
        <w:t xml:space="preserve">% vesicles and </w:t>
      </w:r>
      <w:r w:rsidR="00B723A3" w:rsidRPr="0087737F">
        <w:t>15</w:t>
      </w:r>
      <w:r w:rsidRPr="0087737F">
        <w:t xml:space="preserve"> ± </w:t>
      </w:r>
      <w:r w:rsidR="00B723A3" w:rsidRPr="0087737F">
        <w:t>1.6</w:t>
      </w:r>
      <w:r w:rsidRPr="0087737F">
        <w:t xml:space="preserve"> % arbuscules</w:t>
      </w:r>
      <w:r w:rsidR="00E20B22" w:rsidRPr="0087737F">
        <w:t xml:space="preserve">; see Fig S1 in Supporting information </w:t>
      </w:r>
      <w:r w:rsidRPr="0087737F">
        <w:t>), whilst no AMF colonisation was found in the ‘</w:t>
      </w:r>
      <w:r w:rsidR="003223FF" w:rsidRPr="0087737F">
        <w:t>-</w:t>
      </w:r>
      <w:r w:rsidRPr="0087737F">
        <w:t>AM’ treatment. Neither access to, or the presence of, an organic patch in the second compartment influenced RLC, or the percentage of vesicles and arbuscules (</w:t>
      </w:r>
      <w:r w:rsidRPr="0087737F">
        <w:rPr>
          <w:i/>
        </w:rPr>
        <w:t>F</w:t>
      </w:r>
      <w:r w:rsidRPr="0087737F">
        <w:rPr>
          <w:i/>
          <w:vertAlign w:val="subscript"/>
        </w:rPr>
        <w:t>2,2</w:t>
      </w:r>
      <w:r w:rsidR="00E32A30" w:rsidRPr="0087737F">
        <w:rPr>
          <w:i/>
          <w:vertAlign w:val="subscript"/>
        </w:rPr>
        <w:t>6</w:t>
      </w:r>
      <w:r w:rsidRPr="0087737F">
        <w:t xml:space="preserve"> = 0.</w:t>
      </w:r>
      <w:r w:rsidR="00E32A30" w:rsidRPr="0087737F">
        <w:t>16</w:t>
      </w:r>
      <w:r w:rsidRPr="0087737F">
        <w:t xml:space="preserve"> , </w:t>
      </w:r>
      <w:r w:rsidRPr="0087737F">
        <w:rPr>
          <w:i/>
        </w:rPr>
        <w:t>P</w:t>
      </w:r>
      <w:r w:rsidRPr="0087737F">
        <w:t xml:space="preserve"> = 0.</w:t>
      </w:r>
      <w:r w:rsidR="00E32A30" w:rsidRPr="0087737F">
        <w:t>82</w:t>
      </w:r>
      <w:r w:rsidRPr="0087737F">
        <w:t xml:space="preserve">; </w:t>
      </w:r>
      <w:r w:rsidRPr="0087737F">
        <w:rPr>
          <w:i/>
        </w:rPr>
        <w:t>F</w:t>
      </w:r>
      <w:r w:rsidRPr="0087737F">
        <w:rPr>
          <w:vertAlign w:val="subscript"/>
        </w:rPr>
        <w:t>2,2</w:t>
      </w:r>
      <w:r w:rsidR="00E32A30" w:rsidRPr="0087737F">
        <w:rPr>
          <w:vertAlign w:val="subscript"/>
        </w:rPr>
        <w:t>6</w:t>
      </w:r>
      <w:r w:rsidRPr="0087737F">
        <w:t xml:space="preserve"> = 0.2</w:t>
      </w:r>
      <w:r w:rsidR="00E32A30" w:rsidRPr="0087737F">
        <w:t>4</w:t>
      </w:r>
      <w:r w:rsidRPr="0087737F">
        <w:t xml:space="preserve">, </w:t>
      </w:r>
      <w:r w:rsidRPr="0087737F">
        <w:rPr>
          <w:i/>
        </w:rPr>
        <w:t>P</w:t>
      </w:r>
      <w:r w:rsidRPr="0087737F">
        <w:t xml:space="preserve"> = 0.7</w:t>
      </w:r>
      <w:r w:rsidR="00E32A30" w:rsidRPr="0087737F">
        <w:t>9</w:t>
      </w:r>
      <w:r w:rsidRPr="0087737F">
        <w:t xml:space="preserve">; </w:t>
      </w:r>
      <w:r w:rsidRPr="0087737F">
        <w:rPr>
          <w:i/>
        </w:rPr>
        <w:t>F</w:t>
      </w:r>
      <w:r w:rsidRPr="0087737F">
        <w:rPr>
          <w:vertAlign w:val="subscript"/>
        </w:rPr>
        <w:t>2,2</w:t>
      </w:r>
      <w:r w:rsidR="00E32A30" w:rsidRPr="0087737F">
        <w:rPr>
          <w:vertAlign w:val="subscript"/>
        </w:rPr>
        <w:t>6</w:t>
      </w:r>
      <w:r w:rsidRPr="0087737F">
        <w:t xml:space="preserve"> = 0.</w:t>
      </w:r>
      <w:r w:rsidR="00E32A30" w:rsidRPr="0087737F">
        <w:t>62</w:t>
      </w:r>
      <w:r w:rsidRPr="0087737F">
        <w:t xml:space="preserve">, </w:t>
      </w:r>
      <w:r w:rsidRPr="0087737F">
        <w:rPr>
          <w:i/>
        </w:rPr>
        <w:t>P</w:t>
      </w:r>
      <w:r w:rsidRPr="0087737F">
        <w:t xml:space="preserve"> = 0.</w:t>
      </w:r>
      <w:r w:rsidR="00E32A30" w:rsidRPr="0087737F">
        <w:t>55</w:t>
      </w:r>
      <w:r w:rsidRPr="0087737F">
        <w:t xml:space="preserve"> respectively). However, AMF access to the second compartment, and the presence of the organic patch influenced HLD in the ‘patch zone’ (</w:t>
      </w:r>
      <w:r w:rsidRPr="0087737F">
        <w:rPr>
          <w:i/>
        </w:rPr>
        <w:t>F</w:t>
      </w:r>
      <w:r w:rsidRPr="0087737F">
        <w:rPr>
          <w:vertAlign w:val="subscript"/>
        </w:rPr>
        <w:t>2,25</w:t>
      </w:r>
      <w:r w:rsidRPr="0087737F">
        <w:t xml:space="preserve"> = 6.4, </w:t>
      </w:r>
      <w:r w:rsidRPr="0087737F">
        <w:rPr>
          <w:i/>
        </w:rPr>
        <w:t>P</w:t>
      </w:r>
      <w:r w:rsidRPr="0087737F">
        <w:t xml:space="preserve"> &lt; 0.01). When the AMF had access to the second compartment with an organic patch</w:t>
      </w:r>
      <w:r w:rsidR="003223FF" w:rsidRPr="0087737F">
        <w:t xml:space="preserve"> (+AM, +Access)</w:t>
      </w:r>
      <w:r w:rsidR="004D2BBA" w:rsidRPr="0087737F">
        <w:t>,</w:t>
      </w:r>
      <w:r w:rsidRPr="0087737F">
        <w:t xml:space="preserve"> the HLD values were significantly greater (0.41 ± 0.07 m hyphae g</w:t>
      </w:r>
      <w:r w:rsidRPr="0087737F">
        <w:rPr>
          <w:vertAlign w:val="superscript"/>
        </w:rPr>
        <w:t>-1</w:t>
      </w:r>
      <w:r w:rsidRPr="0087737F">
        <w:t xml:space="preserve"> fresh substrate) than when no AMF access was permitted (</w:t>
      </w:r>
      <w:r w:rsidR="003223FF" w:rsidRPr="0087737F">
        <w:t xml:space="preserve">+AM, -Access: </w:t>
      </w:r>
      <w:r w:rsidRPr="0087737F">
        <w:t>0.13 ± 0.06 m hyphae g</w:t>
      </w:r>
      <w:r w:rsidRPr="0087737F">
        <w:rPr>
          <w:vertAlign w:val="superscript"/>
        </w:rPr>
        <w:t>-1</w:t>
      </w:r>
      <w:r w:rsidRPr="0087737F">
        <w:t xml:space="preserve"> fresh substrate), whilst </w:t>
      </w:r>
      <w:r w:rsidR="003223FF" w:rsidRPr="0087737F">
        <w:t xml:space="preserve">HLD in the </w:t>
      </w:r>
      <w:r w:rsidR="00A4534A" w:rsidRPr="0087737F">
        <w:t xml:space="preserve">treatment with </w:t>
      </w:r>
      <w:r w:rsidRPr="0087737F">
        <w:t xml:space="preserve">AMF access to the second compartment without an organic patch </w:t>
      </w:r>
      <w:r w:rsidR="00A4534A" w:rsidRPr="0087737F">
        <w:t xml:space="preserve">(Volume control) </w:t>
      </w:r>
      <w:r w:rsidRPr="0087737F">
        <w:t>did not significantly differ</w:t>
      </w:r>
      <w:r w:rsidR="003223FF" w:rsidRPr="0087737F">
        <w:t xml:space="preserve"> from </w:t>
      </w:r>
      <w:r w:rsidR="00A4534A" w:rsidRPr="0087737F">
        <w:t xml:space="preserve">either of </w:t>
      </w:r>
      <w:r w:rsidRPr="0087737F">
        <w:t>these treatments (0.29 ± 0.08 m hyphae g</w:t>
      </w:r>
      <w:r w:rsidRPr="0087737F">
        <w:rPr>
          <w:vertAlign w:val="superscript"/>
        </w:rPr>
        <w:t>-1</w:t>
      </w:r>
      <w:r w:rsidRPr="0087737F">
        <w:t xml:space="preserve"> fresh substrate).</w:t>
      </w:r>
    </w:p>
    <w:p w14:paraId="2B59563B" w14:textId="77777777" w:rsidR="0002061D" w:rsidRPr="0087737F" w:rsidRDefault="0002061D" w:rsidP="004663F1">
      <w:pPr>
        <w:rPr>
          <w:b/>
          <w:bCs/>
        </w:rPr>
      </w:pPr>
      <w:r w:rsidRPr="0087737F">
        <w:rPr>
          <w:b/>
          <w:bCs/>
        </w:rPr>
        <w:t>Plant characteristics</w:t>
      </w:r>
    </w:p>
    <w:p w14:paraId="1D4DD2CD" w14:textId="63BD1E8E" w:rsidR="0002061D" w:rsidRPr="0087737F" w:rsidRDefault="0002061D" w:rsidP="004663F1">
      <w:r w:rsidRPr="0087737F">
        <w:t>To investigate the effects of AMF colonisation on plant biomass and above ground nutrient status when the AMF cannot directly access the organic nutrient patch, a treatment where the AMF was restricted to the plant compartment (+AM, -Access) was included in the experimental design. Compared to non-AMF plants (-AM), this treatment (+AM, -Access) resulted in a reduction of live plant leaf area one week prior to aphid addition (38.9 ± 5.7 cm</w:t>
      </w:r>
      <w:r w:rsidRPr="0087737F">
        <w:rPr>
          <w:vertAlign w:val="superscript"/>
        </w:rPr>
        <w:t xml:space="preserve">2 </w:t>
      </w:r>
      <w:r w:rsidRPr="0087737F">
        <w:t>c.f. 53.9 ± 3.9 cm</w:t>
      </w:r>
      <w:r w:rsidRPr="0087737F">
        <w:rPr>
          <w:vertAlign w:val="superscript"/>
        </w:rPr>
        <w:t>2</w:t>
      </w:r>
      <w:r w:rsidRPr="0087737F">
        <w:t xml:space="preserve">; </w:t>
      </w:r>
      <w:r w:rsidRPr="0087737F">
        <w:rPr>
          <w:i/>
        </w:rPr>
        <w:t>F</w:t>
      </w:r>
      <w:r w:rsidRPr="0087737F">
        <w:rPr>
          <w:vertAlign w:val="subscript"/>
        </w:rPr>
        <w:t xml:space="preserve">3,26.1 </w:t>
      </w:r>
      <w:r w:rsidRPr="0087737F">
        <w:t xml:space="preserve">= 4.7, </w:t>
      </w:r>
      <w:r w:rsidRPr="0087737F">
        <w:rPr>
          <w:i/>
        </w:rPr>
        <w:t>P</w:t>
      </w:r>
      <w:r w:rsidRPr="0087737F">
        <w:t xml:space="preserve"> &lt;0.01). In contrast, the other +AMF colonisation treatments did not differ from the non-AMF plants. The +AM, -Access  plants also showed reduced total dry weight at harvest compared to non-AMF plants, but increased grain, stem and leaf P concentrations (Table 2). However, neither the grain N concentration, or the amount of grain N originating from the organic patch, of the +AM, -Access plants differed significantly from that of the non-AMF plants (Fig 2.; Table 3)</w:t>
      </w:r>
      <w:r w:rsidR="004D2BBA" w:rsidRPr="0087737F">
        <w:t>,</w:t>
      </w:r>
      <w:r w:rsidRPr="0087737F">
        <w:t xml:space="preserve"> but the </w:t>
      </w:r>
      <w:r w:rsidRPr="0087737F">
        <w:rPr>
          <w:i/>
        </w:rPr>
        <w:t>proportion</w:t>
      </w:r>
      <w:r w:rsidRPr="0087737F">
        <w:t xml:space="preserve"> of grain N derived from the patch for these plants was lower than any other treatment (Fig 3a). No treatment altered the N concentration of the stem and leaf (Table 2), the stem and leaf N:P ratio (1.16 ± 0.05), or </w:t>
      </w:r>
      <w:r w:rsidRPr="0087737F">
        <w:lastRenderedPageBreak/>
        <w:t>the grain N:P ratio (3.01 ± 0.05) (</w:t>
      </w:r>
      <w:r w:rsidRPr="0087737F">
        <w:rPr>
          <w:i/>
        </w:rPr>
        <w:t>F</w:t>
      </w:r>
      <w:r w:rsidRPr="0087737F">
        <w:rPr>
          <w:vertAlign w:val="subscript"/>
        </w:rPr>
        <w:t>3,32</w:t>
      </w:r>
      <w:r w:rsidRPr="0087737F">
        <w:t xml:space="preserve"> = 1.1, </w:t>
      </w:r>
      <w:r w:rsidRPr="0087737F">
        <w:rPr>
          <w:i/>
        </w:rPr>
        <w:t>P</w:t>
      </w:r>
      <w:r w:rsidRPr="0087737F">
        <w:t xml:space="preserve"> = 0.37, and </w:t>
      </w:r>
      <w:r w:rsidRPr="0087737F">
        <w:rPr>
          <w:i/>
        </w:rPr>
        <w:t>F</w:t>
      </w:r>
      <w:r w:rsidRPr="0087737F">
        <w:rPr>
          <w:vertAlign w:val="subscript"/>
        </w:rPr>
        <w:t>3, 33</w:t>
      </w:r>
      <w:r w:rsidRPr="0087737F">
        <w:t xml:space="preserve"> = 1.1, </w:t>
      </w:r>
      <w:r w:rsidRPr="0087737F">
        <w:rPr>
          <w:i/>
        </w:rPr>
        <w:t>P</w:t>
      </w:r>
      <w:r w:rsidRPr="0087737F">
        <w:t xml:space="preserve"> = 0.37, respectively).</w:t>
      </w:r>
    </w:p>
    <w:p w14:paraId="4D9CD33F" w14:textId="032ED501" w:rsidR="0002061D" w:rsidRPr="0087737F" w:rsidRDefault="0002061D" w:rsidP="004663F1">
      <w:r w:rsidRPr="0087737F">
        <w:t>To investigate the effect of AMF colonisation when the AMF can directly access more nutrients than the plant hosts roots, the AMF were allowed to access a second compartment containing an organic nutrient patch (+AM, +Access). This did not alter total plant biomass compared to non-AMF (-AM) plants, but increased above ground P concentrations (Table 2). Moreover, the grain N concentration was increased (</w:t>
      </w:r>
      <w:r w:rsidRPr="0087737F">
        <w:rPr>
          <w:i/>
        </w:rPr>
        <w:t>c</w:t>
      </w:r>
      <w:r w:rsidRPr="0087737F">
        <w:t>. 28%) compared to non-AMF plants (Fig. 2), and more grain N was derived from the organic patch (Table 3). Consequently, the proportion of grain N that originated from the organic patch was highest in this treatment (7.8 %</w:t>
      </w:r>
      <w:r w:rsidRPr="0087737F">
        <w:rPr>
          <w:vertAlign w:val="superscript"/>
        </w:rPr>
        <w:t xml:space="preserve"> </w:t>
      </w:r>
      <w:r w:rsidRPr="0087737F">
        <w:t>± 0.93; Fig. 3a).</w:t>
      </w:r>
    </w:p>
    <w:p w14:paraId="1460EA63" w14:textId="159EFDC3" w:rsidR="0002061D" w:rsidRPr="0087737F" w:rsidRDefault="00A80A17" w:rsidP="004663F1">
      <w:r w:rsidRPr="0087737F">
        <w:t xml:space="preserve">The volume </w:t>
      </w:r>
      <w:r w:rsidR="0002061D" w:rsidRPr="0087737F">
        <w:t xml:space="preserve">control was included </w:t>
      </w:r>
      <w:r w:rsidRPr="0087737F">
        <w:t xml:space="preserve">and allowed </w:t>
      </w:r>
      <w:r w:rsidR="0002061D" w:rsidRPr="0087737F">
        <w:t xml:space="preserve">AMF access to the second compartment but without an organic nutrient patch present. This did not alter grain N or P concentrations compared to the other treatments, but, unlike when the AMF was completely denied access to the second compartment (+AM, -Access), did not induce a reduction of grain biomass compared to non-AMF (-AM) plants (Table 2). Moreover, the grain biomass of the </w:t>
      </w:r>
      <w:r w:rsidRPr="0087737F">
        <w:t>v</w:t>
      </w:r>
      <w:r w:rsidR="0002061D" w:rsidRPr="0087737F">
        <w:t xml:space="preserve">olume </w:t>
      </w:r>
      <w:r w:rsidRPr="0087737F">
        <w:t xml:space="preserve">control’ </w:t>
      </w:r>
      <w:r w:rsidR="0002061D" w:rsidRPr="0087737F">
        <w:t xml:space="preserve">was higher than the other AMF colonised treatments, although the mean grain biomass was highest when plants were not colonised by AMF (-AM). However, a Games Howell </w:t>
      </w:r>
      <w:r w:rsidR="0002061D" w:rsidRPr="0087737F">
        <w:rPr>
          <w:i/>
        </w:rPr>
        <w:t xml:space="preserve">post hoc </w:t>
      </w:r>
      <w:r w:rsidR="0002061D" w:rsidRPr="0087737F">
        <w:t xml:space="preserve">test </w:t>
      </w:r>
      <w:r w:rsidRPr="0087737F">
        <w:t xml:space="preserve">did </w:t>
      </w:r>
      <w:r w:rsidR="0002061D" w:rsidRPr="0087737F">
        <w:t>not identify this as being significantly different from that of the ‘+AM, +Access’ treatment (</w:t>
      </w:r>
      <w:r w:rsidR="0002061D" w:rsidRPr="0087737F">
        <w:rPr>
          <w:i/>
        </w:rPr>
        <w:t>P = 0.051</w:t>
      </w:r>
      <w:r w:rsidR="0002061D" w:rsidRPr="0087737F">
        <w:t>) (Table 2).</w:t>
      </w:r>
    </w:p>
    <w:p w14:paraId="650C8AEA" w14:textId="77777777" w:rsidR="0002061D" w:rsidRPr="0087737F" w:rsidRDefault="0002061D" w:rsidP="004663F1">
      <w:pPr>
        <w:rPr>
          <w:b/>
        </w:rPr>
      </w:pPr>
      <w:r w:rsidRPr="0087737F">
        <w:rPr>
          <w:b/>
        </w:rPr>
        <w:t>Aphid Characteristics</w:t>
      </w:r>
    </w:p>
    <w:p w14:paraId="2D3A20A1" w14:textId="1A5FBBB6" w:rsidR="0002061D" w:rsidRPr="0087737F" w:rsidRDefault="0002061D" w:rsidP="004663F1">
      <w:r w:rsidRPr="0087737F">
        <w:rPr>
          <w:bCs/>
        </w:rPr>
        <w:t xml:space="preserve">The majority of the aphids were found feeding upon the grain (80% ± 0.03 S.E), and the mean number of aphids feeding on each plant (51.8 ± 2.7, </w:t>
      </w:r>
      <w:r w:rsidRPr="0087737F">
        <w:rPr>
          <w:bCs/>
          <w:i/>
        </w:rPr>
        <w:t>F</w:t>
      </w:r>
      <w:r w:rsidRPr="0087737F">
        <w:rPr>
          <w:bCs/>
          <w:vertAlign w:val="subscript"/>
        </w:rPr>
        <w:t>3,35</w:t>
      </w:r>
      <w:r w:rsidRPr="0087737F">
        <w:rPr>
          <w:bCs/>
        </w:rPr>
        <w:t xml:space="preserve"> = 0.09, </w:t>
      </w:r>
      <w:r w:rsidRPr="0087737F">
        <w:rPr>
          <w:bCs/>
          <w:i/>
        </w:rPr>
        <w:t>P</w:t>
      </w:r>
      <w:r w:rsidRPr="0087737F">
        <w:rPr>
          <w:bCs/>
        </w:rPr>
        <w:t xml:space="preserve"> = 0.97), total aphid biomass (7.1 ± 0.5 mg, </w:t>
      </w:r>
      <w:r w:rsidRPr="0087737F">
        <w:rPr>
          <w:bCs/>
          <w:i/>
        </w:rPr>
        <w:t>F</w:t>
      </w:r>
      <w:r w:rsidRPr="0087737F">
        <w:rPr>
          <w:bCs/>
          <w:vertAlign w:val="subscript"/>
        </w:rPr>
        <w:t>3,35</w:t>
      </w:r>
      <w:r w:rsidRPr="0087737F">
        <w:rPr>
          <w:bCs/>
        </w:rPr>
        <w:t xml:space="preserve"> = 0.24, </w:t>
      </w:r>
      <w:r w:rsidRPr="0087737F">
        <w:rPr>
          <w:bCs/>
          <w:i/>
        </w:rPr>
        <w:t>P</w:t>
      </w:r>
      <w:r w:rsidRPr="0087737F">
        <w:rPr>
          <w:bCs/>
        </w:rPr>
        <w:t xml:space="preserve"> =</w:t>
      </w:r>
      <w:r w:rsidR="005D0553" w:rsidRPr="0087737F">
        <w:rPr>
          <w:bCs/>
        </w:rPr>
        <w:t xml:space="preserve"> </w:t>
      </w:r>
      <w:r w:rsidRPr="0087737F">
        <w:rPr>
          <w:bCs/>
        </w:rPr>
        <w:t>0.87), aphid N concentration (62.3 ± 1 mg g</w:t>
      </w:r>
      <w:r w:rsidRPr="0087737F">
        <w:rPr>
          <w:bCs/>
          <w:vertAlign w:val="superscript"/>
        </w:rPr>
        <w:t>-1</w:t>
      </w:r>
      <w:r w:rsidRPr="0087737F">
        <w:rPr>
          <w:bCs/>
        </w:rPr>
        <w:t xml:space="preserve">, </w:t>
      </w:r>
      <w:r w:rsidRPr="0087737F">
        <w:rPr>
          <w:bCs/>
          <w:i/>
        </w:rPr>
        <w:t>F</w:t>
      </w:r>
      <w:r w:rsidRPr="0087737F">
        <w:rPr>
          <w:bCs/>
          <w:vertAlign w:val="subscript"/>
        </w:rPr>
        <w:t>3,35</w:t>
      </w:r>
      <w:r w:rsidRPr="0087737F">
        <w:rPr>
          <w:bCs/>
        </w:rPr>
        <w:t xml:space="preserve"> = 1.1, </w:t>
      </w:r>
      <w:r w:rsidRPr="0087737F">
        <w:rPr>
          <w:bCs/>
          <w:i/>
        </w:rPr>
        <w:t>P</w:t>
      </w:r>
      <w:r w:rsidRPr="0087737F">
        <w:rPr>
          <w:bCs/>
        </w:rPr>
        <w:t xml:space="preserve"> = 0.38) and the total N content in the aphid population (0.44 ± 0.03 mg, </w:t>
      </w:r>
      <w:r w:rsidRPr="0087737F">
        <w:rPr>
          <w:bCs/>
          <w:i/>
        </w:rPr>
        <w:t>F</w:t>
      </w:r>
      <w:r w:rsidRPr="0087737F">
        <w:rPr>
          <w:bCs/>
          <w:vertAlign w:val="subscript"/>
        </w:rPr>
        <w:t xml:space="preserve">3.35 </w:t>
      </w:r>
      <w:r w:rsidRPr="0087737F">
        <w:rPr>
          <w:bCs/>
        </w:rPr>
        <w:t xml:space="preserve">= 0.005, </w:t>
      </w:r>
      <w:r w:rsidRPr="0087737F">
        <w:rPr>
          <w:bCs/>
          <w:i/>
        </w:rPr>
        <w:t xml:space="preserve">P </w:t>
      </w:r>
      <w:r w:rsidRPr="0087737F">
        <w:rPr>
          <w:bCs/>
        </w:rPr>
        <w:t xml:space="preserve">= 0.99) did not differ amongst any treatments. However, allowing the AMF to access the organic patch material (+AM, +Access) resulted in more N being delivered to the aphid </w:t>
      </w:r>
      <w:r w:rsidRPr="0087737F">
        <w:rPr>
          <w:bCs/>
        </w:rPr>
        <w:lastRenderedPageBreak/>
        <w:t xml:space="preserve">population (Table 3) and more of the N in the aphid being derived from the organic patch </w:t>
      </w:r>
      <w:r w:rsidRPr="0087737F">
        <w:t>(7.21 % ± 0.95 S.E</w:t>
      </w:r>
      <w:r w:rsidR="00A4534A" w:rsidRPr="0087737F">
        <w:t>.</w:t>
      </w:r>
      <w:r w:rsidRPr="0087737F">
        <w:t>, Fig. 3b).</w:t>
      </w:r>
    </w:p>
    <w:p w14:paraId="2A02905D" w14:textId="77777777" w:rsidR="0002061D" w:rsidRPr="0087737F" w:rsidRDefault="0002061D" w:rsidP="004663F1">
      <w:pPr>
        <w:rPr>
          <w:b/>
          <w:bCs/>
        </w:rPr>
      </w:pPr>
      <w:r w:rsidRPr="0087737F">
        <w:rPr>
          <w:b/>
          <w:bCs/>
        </w:rPr>
        <w:t xml:space="preserve">Discussion </w:t>
      </w:r>
    </w:p>
    <w:p w14:paraId="3F690B63" w14:textId="4A9DBE74" w:rsidR="0002061D" w:rsidRPr="0087737F" w:rsidRDefault="0002061D" w:rsidP="004663F1">
      <w:pPr>
        <w:rPr>
          <w:bCs/>
        </w:rPr>
      </w:pPr>
      <w:r w:rsidRPr="0087737F">
        <w:rPr>
          <w:bCs/>
        </w:rPr>
        <w:t xml:space="preserve">This study used a two compartment microcosm design to investigate the direct effect of AMF access to a complex N source on barley and its associated aphid </w:t>
      </w:r>
      <w:r w:rsidR="004D2BBA" w:rsidRPr="0087737F">
        <w:rPr>
          <w:bCs/>
        </w:rPr>
        <w:t xml:space="preserve">herbivores </w:t>
      </w:r>
      <w:r w:rsidRPr="0087737F">
        <w:rPr>
          <w:bCs/>
        </w:rPr>
        <w:t>under low N and P conditions. We reconfirmed that by directly accessing nutrient patches</w:t>
      </w:r>
      <w:r w:rsidR="00777F04" w:rsidRPr="0087737F">
        <w:rPr>
          <w:bCs/>
        </w:rPr>
        <w:t xml:space="preserve"> that</w:t>
      </w:r>
      <w:r w:rsidRPr="0087737F">
        <w:rPr>
          <w:bCs/>
        </w:rPr>
        <w:t xml:space="preserve"> the plant cannot</w:t>
      </w:r>
      <w:r w:rsidR="00777F04" w:rsidRPr="0087737F">
        <w:rPr>
          <w:bCs/>
        </w:rPr>
        <w:t xml:space="preserve"> access</w:t>
      </w:r>
      <w:r w:rsidRPr="0087737F">
        <w:rPr>
          <w:bCs/>
        </w:rPr>
        <w:t xml:space="preserve">, AMF may deliver previously unavailable N from such patches to the host plant (see </w:t>
      </w:r>
      <w:r w:rsidRPr="0087737F">
        <w:rPr>
          <w:bCs/>
          <w:noProof/>
        </w:rPr>
        <w:t>Barrett, Campbell &amp; Hodge 2014</w:t>
      </w:r>
      <w:r w:rsidRPr="0087737F">
        <w:rPr>
          <w:bCs/>
        </w:rPr>
        <w:t xml:space="preserve">). We also demonstrate, for the first time, that this may also be true for </w:t>
      </w:r>
      <w:r w:rsidR="004D2BBA" w:rsidRPr="0087737F">
        <w:rPr>
          <w:bCs/>
        </w:rPr>
        <w:t xml:space="preserve">herbivores </w:t>
      </w:r>
      <w:r w:rsidRPr="0087737F">
        <w:rPr>
          <w:bCs/>
        </w:rPr>
        <w:t>sharing the host plant. It was hypothesised that the delivery of this N would lead to an increase in plant performance and aphid number. This was reflected in some aspects of the plant</w:t>
      </w:r>
      <w:r w:rsidR="004D2BBA" w:rsidRPr="0087737F">
        <w:rPr>
          <w:bCs/>
        </w:rPr>
        <w:t>’s performance</w:t>
      </w:r>
      <w:r w:rsidRPr="0087737F">
        <w:rPr>
          <w:bCs/>
        </w:rPr>
        <w:t>, but interestingly, not in the aphids feeding upon it.</w:t>
      </w:r>
    </w:p>
    <w:p w14:paraId="3BE6B95F" w14:textId="77777777" w:rsidR="0002061D" w:rsidRPr="0087737F" w:rsidRDefault="0002061D" w:rsidP="004663F1">
      <w:pPr>
        <w:rPr>
          <w:b/>
          <w:bCs/>
        </w:rPr>
      </w:pPr>
      <w:r w:rsidRPr="0087737F">
        <w:rPr>
          <w:b/>
          <w:bCs/>
        </w:rPr>
        <w:t>Effects of direct AMF access to organic nutrient patches on plant growth and nutrition</w:t>
      </w:r>
    </w:p>
    <w:p w14:paraId="181455D0" w14:textId="63D0B03B" w:rsidR="00086F88" w:rsidRPr="0087737F" w:rsidRDefault="0002061D" w:rsidP="004663F1">
      <w:pPr>
        <w:rPr>
          <w:bCs/>
        </w:rPr>
      </w:pPr>
      <w:r w:rsidRPr="0087737F">
        <w:rPr>
          <w:bCs/>
        </w:rPr>
        <w:t>We hypothesised that when the AMF were denied access to the second compartment containing an organic patch, the cost of the AMF symbiosis to the plant would outweigh its nutritional benefits. Supporting this hypothesis, plants colonised by AMF restricted to the plant compartment derived the least amount of N from the organic patch, did not increase above ground N concentrations, and displayed the most severe growth depression compared to non-AMF plants (Table</w:t>
      </w:r>
      <w:r w:rsidR="00777F04" w:rsidRPr="0087737F">
        <w:rPr>
          <w:bCs/>
        </w:rPr>
        <w:t>s</w:t>
      </w:r>
      <w:r w:rsidRPr="0087737F">
        <w:rPr>
          <w:bCs/>
        </w:rPr>
        <w:t xml:space="preserve"> 2 and 3). Whilst the above ground P concentrations were higher</w:t>
      </w:r>
      <w:r w:rsidR="0034754F" w:rsidRPr="0087737F">
        <w:rPr>
          <w:bCs/>
        </w:rPr>
        <w:t xml:space="preserve"> in th</w:t>
      </w:r>
      <w:r w:rsidR="00086F88" w:rsidRPr="0087737F">
        <w:rPr>
          <w:bCs/>
        </w:rPr>
        <w:t>e</w:t>
      </w:r>
      <w:r w:rsidR="0034754F" w:rsidRPr="0087737F">
        <w:rPr>
          <w:bCs/>
        </w:rPr>
        <w:t>s</w:t>
      </w:r>
      <w:r w:rsidR="00086F88" w:rsidRPr="0087737F">
        <w:rPr>
          <w:bCs/>
        </w:rPr>
        <w:t>e</w:t>
      </w:r>
      <w:r w:rsidR="0034754F" w:rsidRPr="0087737F">
        <w:rPr>
          <w:bCs/>
        </w:rPr>
        <w:t xml:space="preserve"> ‘+AM, -Access’ </w:t>
      </w:r>
      <w:r w:rsidR="00086F88" w:rsidRPr="0087737F">
        <w:rPr>
          <w:bCs/>
        </w:rPr>
        <w:t>plants</w:t>
      </w:r>
      <w:r w:rsidR="00777F04" w:rsidRPr="0087737F">
        <w:rPr>
          <w:bCs/>
        </w:rPr>
        <w:t xml:space="preserve"> </w:t>
      </w:r>
      <w:r w:rsidRPr="0087737F">
        <w:rPr>
          <w:bCs/>
        </w:rPr>
        <w:t xml:space="preserve">than </w:t>
      </w:r>
      <w:r w:rsidR="00777F04" w:rsidRPr="0087737F">
        <w:rPr>
          <w:bCs/>
        </w:rPr>
        <w:t xml:space="preserve">in </w:t>
      </w:r>
      <w:r w:rsidRPr="0087737F">
        <w:rPr>
          <w:bCs/>
        </w:rPr>
        <w:t>non-AMF plants, this could be due to reduced plant biomass. Conversely, we hypothesised that increased nutrient transfer to the host plant would occur when the AM fungus could directly access the organic patch.</w:t>
      </w:r>
      <w:r w:rsidR="00086F88" w:rsidRPr="0087737F">
        <w:rPr>
          <w:bCs/>
        </w:rPr>
        <w:t xml:space="preserve"> </w:t>
      </w:r>
    </w:p>
    <w:p w14:paraId="1D623446" w14:textId="6C7DD4B3" w:rsidR="0002061D" w:rsidRPr="0087737F" w:rsidRDefault="00944ABE" w:rsidP="004663F1">
      <w:pPr>
        <w:rPr>
          <w:bCs/>
        </w:rPr>
      </w:pPr>
      <w:r w:rsidRPr="0087737F">
        <w:rPr>
          <w:bCs/>
        </w:rPr>
        <w:t>We cannot disentangle whether the increased above ground P concentrations in plants colonised by AMF accessing the organic patch is due to reduced biomass or increased P transfer from the patch, but</w:t>
      </w:r>
      <w:r w:rsidR="0002061D" w:rsidRPr="0087737F">
        <w:rPr>
          <w:bCs/>
        </w:rPr>
        <w:t xml:space="preserve"> as expected, these plants were the most highly enriched with the</w:t>
      </w:r>
      <w:r w:rsidR="0002061D" w:rsidRPr="0087737F">
        <w:rPr>
          <w:bCs/>
          <w:vertAlign w:val="superscript"/>
        </w:rPr>
        <w:t xml:space="preserve"> 15</w:t>
      </w:r>
      <w:r w:rsidR="0002061D" w:rsidRPr="0087737F">
        <w:rPr>
          <w:bCs/>
        </w:rPr>
        <w:t xml:space="preserve">N used to label the patch material. This suggests that the increase in grain N concentration </w:t>
      </w:r>
      <w:r w:rsidR="0002061D" w:rsidRPr="0087737F">
        <w:rPr>
          <w:bCs/>
        </w:rPr>
        <w:lastRenderedPageBreak/>
        <w:t xml:space="preserve">above that of the non-AMF plants was not due to reduced plant biomass, and as the live leaf area of these treatments did not differ, it is likely that differences in </w:t>
      </w:r>
      <w:r w:rsidR="0002061D" w:rsidRPr="0087737F">
        <w:rPr>
          <w:bCs/>
          <w:vertAlign w:val="superscript"/>
        </w:rPr>
        <w:t>15</w:t>
      </w:r>
      <w:r w:rsidR="0002061D" w:rsidRPr="0087737F">
        <w:rPr>
          <w:bCs/>
        </w:rPr>
        <w:t xml:space="preserve">N enrichment are due to AMF mediated delivery and not driven by mass flow. </w:t>
      </w:r>
    </w:p>
    <w:p w14:paraId="5B7C3533" w14:textId="7E667938" w:rsidR="0002061D" w:rsidRPr="0087737F" w:rsidRDefault="0002061D" w:rsidP="004663F1">
      <w:pPr>
        <w:rPr>
          <w:bCs/>
        </w:rPr>
      </w:pPr>
      <w:r w:rsidRPr="0087737F">
        <w:rPr>
          <w:bCs/>
        </w:rPr>
        <w:t>Contrary to expect</w:t>
      </w:r>
      <w:r w:rsidR="004D2BBA" w:rsidRPr="0087737F">
        <w:rPr>
          <w:bCs/>
        </w:rPr>
        <w:t>ations</w:t>
      </w:r>
      <w:r w:rsidRPr="0087737F">
        <w:rPr>
          <w:bCs/>
        </w:rPr>
        <w:t xml:space="preserve">, this AMF mediated delivery of nutrients from the organic patch did not positively impact plant biomass. Moreover, the grain biomass was reduced in comparison to when the AMF were allowed to access the second compartment but without a nutrient patch present. AMF may become more beneficial to the plant host with increasing pot size </w:t>
      </w:r>
      <w:r w:rsidRPr="0087737F">
        <w:rPr>
          <w:bCs/>
          <w:noProof/>
        </w:rPr>
        <w:t>(Audet &amp; Charest 2010; Zangaro</w:t>
      </w:r>
      <w:r w:rsidRPr="0087737F">
        <w:rPr>
          <w:bCs/>
          <w:i/>
          <w:noProof/>
        </w:rPr>
        <w:t xml:space="preserve"> et al.</w:t>
      </w:r>
      <w:r w:rsidRPr="0087737F">
        <w:rPr>
          <w:bCs/>
          <w:noProof/>
        </w:rPr>
        <w:t xml:space="preserve"> 2015)</w:t>
      </w:r>
      <w:r w:rsidRPr="0087737F">
        <w:rPr>
          <w:bCs/>
        </w:rPr>
        <w:t xml:space="preserve">, and the current study provides evidence that this is due to the AMF being able to explore growth substrate beyond the reach of the plant roots. However, AMF have relatively high N demands and can act as a sink for patch derived N </w:t>
      </w:r>
      <w:r w:rsidRPr="0087737F">
        <w:rPr>
          <w:bCs/>
          <w:noProof/>
        </w:rPr>
        <w:t>(Hodge &amp; Fitter 2010; Herman</w:t>
      </w:r>
      <w:r w:rsidRPr="0087737F">
        <w:rPr>
          <w:bCs/>
          <w:i/>
          <w:noProof/>
        </w:rPr>
        <w:t xml:space="preserve"> et al.</w:t>
      </w:r>
      <w:r w:rsidRPr="0087737F">
        <w:rPr>
          <w:bCs/>
          <w:noProof/>
        </w:rPr>
        <w:t xml:space="preserve"> 2012)</w:t>
      </w:r>
      <w:r w:rsidR="004D2BBA" w:rsidRPr="0087737F">
        <w:rPr>
          <w:bCs/>
          <w:noProof/>
        </w:rPr>
        <w:t>,</w:t>
      </w:r>
      <w:r w:rsidRPr="0087737F">
        <w:rPr>
          <w:bCs/>
        </w:rPr>
        <w:t xml:space="preserve"> hence, under low N conditions</w:t>
      </w:r>
      <w:r w:rsidR="004D2BBA" w:rsidRPr="0087737F">
        <w:rPr>
          <w:bCs/>
        </w:rPr>
        <w:t>,</w:t>
      </w:r>
      <w:r w:rsidRPr="0087737F">
        <w:rPr>
          <w:bCs/>
        </w:rPr>
        <w:t xml:space="preserve"> </w:t>
      </w:r>
      <w:r w:rsidR="00E4418D" w:rsidRPr="0087737F">
        <w:rPr>
          <w:bCs/>
        </w:rPr>
        <w:t xml:space="preserve">as used in this study, </w:t>
      </w:r>
      <w:r w:rsidRPr="0087737F">
        <w:rPr>
          <w:bCs/>
        </w:rPr>
        <w:t xml:space="preserve">AMF may become less mutualistic </w:t>
      </w:r>
      <w:r w:rsidRPr="0087737F">
        <w:rPr>
          <w:bCs/>
          <w:noProof/>
        </w:rPr>
        <w:t>(Johnson</w:t>
      </w:r>
      <w:r w:rsidRPr="0087737F">
        <w:rPr>
          <w:bCs/>
          <w:i/>
          <w:noProof/>
        </w:rPr>
        <w:t xml:space="preserve"> et al.</w:t>
      </w:r>
      <w:r w:rsidRPr="0087737F">
        <w:rPr>
          <w:bCs/>
          <w:noProof/>
        </w:rPr>
        <w:t xml:space="preserve"> 2010; Puschel</w:t>
      </w:r>
      <w:r w:rsidRPr="0087737F">
        <w:rPr>
          <w:bCs/>
          <w:i/>
          <w:noProof/>
        </w:rPr>
        <w:t xml:space="preserve"> et al.</w:t>
      </w:r>
      <w:r w:rsidRPr="0087737F">
        <w:rPr>
          <w:bCs/>
          <w:noProof/>
        </w:rPr>
        <w:t xml:space="preserve"> 2016)</w:t>
      </w:r>
      <w:r w:rsidRPr="0087737F">
        <w:rPr>
          <w:bCs/>
        </w:rPr>
        <w:t>, perhaps due to AMF fulfilling their own nutritional requirements first, before passing nutrients to the host. Thus, it is possible</w:t>
      </w:r>
      <w:r w:rsidR="004D2BBA" w:rsidRPr="0087737F">
        <w:rPr>
          <w:bCs/>
        </w:rPr>
        <w:t>,</w:t>
      </w:r>
      <w:r w:rsidRPr="0087737F">
        <w:rPr>
          <w:bCs/>
        </w:rPr>
        <w:t xml:space="preserve"> given that AMF proliferate their hyphae extensively upon organic patch interception </w:t>
      </w:r>
      <w:r w:rsidRPr="0087737F">
        <w:rPr>
          <w:bCs/>
          <w:noProof/>
        </w:rPr>
        <w:t>(Ravnskov</w:t>
      </w:r>
      <w:r w:rsidRPr="0087737F">
        <w:rPr>
          <w:bCs/>
          <w:i/>
          <w:noProof/>
        </w:rPr>
        <w:t xml:space="preserve"> et al.</w:t>
      </w:r>
      <w:r w:rsidRPr="0087737F">
        <w:rPr>
          <w:bCs/>
          <w:noProof/>
        </w:rPr>
        <w:t xml:space="preserve"> 1999; Hodge, Campbell &amp; Fitter 200</w:t>
      </w:r>
      <w:r w:rsidR="007466F0" w:rsidRPr="0087737F">
        <w:rPr>
          <w:bCs/>
          <w:noProof/>
        </w:rPr>
        <w:t>1)</w:t>
      </w:r>
      <w:r w:rsidRPr="0087737F">
        <w:rPr>
          <w:bCs/>
        </w:rPr>
        <w:t xml:space="preserve">, </w:t>
      </w:r>
      <w:r w:rsidR="00E36AD1" w:rsidRPr="0087737F">
        <w:rPr>
          <w:bCs/>
        </w:rPr>
        <w:t xml:space="preserve">that </w:t>
      </w:r>
      <w:r w:rsidRPr="0087737F">
        <w:rPr>
          <w:bCs/>
        </w:rPr>
        <w:t>this may have drawn more carbon from the plant host without an equal return in N, resulting in the growth depression found when the AMF had access to the organic patch present in the second compartment.</w:t>
      </w:r>
      <w:r w:rsidR="00E4418D" w:rsidRPr="0087737F">
        <w:rPr>
          <w:bCs/>
        </w:rPr>
        <w:t xml:space="preserve">   </w:t>
      </w:r>
      <w:r w:rsidRPr="0087737F">
        <w:rPr>
          <w:bCs/>
        </w:rPr>
        <w:t xml:space="preserve"> </w:t>
      </w:r>
    </w:p>
    <w:p w14:paraId="4711C237" w14:textId="667D7A39" w:rsidR="0002061D" w:rsidRPr="0087737F" w:rsidRDefault="0002061D" w:rsidP="004663F1">
      <w:pPr>
        <w:rPr>
          <w:bCs/>
        </w:rPr>
      </w:pPr>
      <w:r w:rsidRPr="0087737F">
        <w:rPr>
          <w:bCs/>
        </w:rPr>
        <w:t xml:space="preserve">This plant biomass reduction contrasts to previously reported effects in a low N and P context </w:t>
      </w:r>
      <w:r w:rsidRPr="0087737F">
        <w:rPr>
          <w:bCs/>
          <w:noProof/>
        </w:rPr>
        <w:t>(Thirkell, Cameron &amp; Hodge 2016)</w:t>
      </w:r>
      <w:r w:rsidRPr="0087737F">
        <w:rPr>
          <w:noProof/>
        </w:rPr>
        <w:t>. Evidence suggests that AMF rely upon the plant host for the energetically expensive process of fatty acid synthesis (Keymer &amp; Gutjahr 2018),</w:t>
      </w:r>
      <w:r w:rsidR="006635B1" w:rsidRPr="0087737F">
        <w:rPr>
          <w:noProof/>
        </w:rPr>
        <w:t xml:space="preserve"> although nutritional and plant–AMF partner genetic contexts also play roles in whether plant growth depression occurs</w:t>
      </w:r>
      <w:r w:rsidRPr="0087737F">
        <w:rPr>
          <w:bCs/>
        </w:rPr>
        <w:t xml:space="preserve"> </w:t>
      </w:r>
      <w:r w:rsidRPr="0087737F">
        <w:rPr>
          <w:bCs/>
          <w:noProof/>
        </w:rPr>
        <w:t>(Jin</w:t>
      </w:r>
      <w:r w:rsidRPr="0087737F">
        <w:rPr>
          <w:bCs/>
          <w:i/>
          <w:noProof/>
        </w:rPr>
        <w:t xml:space="preserve"> et al.</w:t>
      </w:r>
      <w:r w:rsidRPr="0087737F">
        <w:rPr>
          <w:bCs/>
          <w:noProof/>
        </w:rPr>
        <w:t xml:space="preserve"> 2017)</w:t>
      </w:r>
      <w:r w:rsidRPr="0087737F">
        <w:rPr>
          <w:bCs/>
        </w:rPr>
        <w:t xml:space="preserve">. This imbalance may have been exacerbated by above ground herbivory leading to increased C allocation to the roots </w:t>
      </w:r>
      <w:r w:rsidRPr="0087737F">
        <w:rPr>
          <w:bCs/>
          <w:noProof/>
        </w:rPr>
        <w:t>(Wamberg, Christensen &amp; Jakobsen 2003)</w:t>
      </w:r>
      <w:r w:rsidRPr="0087737F">
        <w:rPr>
          <w:bCs/>
        </w:rPr>
        <w:t>.</w:t>
      </w:r>
    </w:p>
    <w:p w14:paraId="0F5485E9" w14:textId="77777777" w:rsidR="0002061D" w:rsidRPr="0087737F" w:rsidRDefault="0002061D" w:rsidP="004663F1">
      <w:pPr>
        <w:rPr>
          <w:b/>
          <w:bCs/>
        </w:rPr>
      </w:pPr>
      <w:r w:rsidRPr="0087737F">
        <w:rPr>
          <w:b/>
          <w:bCs/>
        </w:rPr>
        <w:t>The effect of direct AMF access to nutrients on aphid number and N status</w:t>
      </w:r>
    </w:p>
    <w:p w14:paraId="38A1EB86" w14:textId="52CE86E9" w:rsidR="0002061D" w:rsidRPr="0087737F" w:rsidRDefault="0002061D" w:rsidP="004663F1">
      <w:r w:rsidRPr="0087737F">
        <w:lastRenderedPageBreak/>
        <w:t>We hypothesised that the nutritional benefit of AMF directly accessing an organic patch would be passed on to the plant</w:t>
      </w:r>
      <w:r w:rsidR="00646DC0" w:rsidRPr="0087737F">
        <w:t>’</w:t>
      </w:r>
      <w:r w:rsidRPr="0087737F">
        <w:t>s associated</w:t>
      </w:r>
      <w:r w:rsidR="00585E40" w:rsidRPr="0087737F">
        <w:t xml:space="preserve"> </w:t>
      </w:r>
      <w:r w:rsidR="004D2BBA" w:rsidRPr="0087737F">
        <w:t>herbivores</w:t>
      </w:r>
      <w:r w:rsidRPr="0087737F">
        <w:t xml:space="preserve">. The amount of N derived from the patch in the aphid closely relates to that of the grain (i.e. 7.2 %; aphid v.  7.8%; grain), which reflects where the majority of aphids were found. </w:t>
      </w:r>
      <w:r w:rsidR="007466F0" w:rsidRPr="0087737F">
        <w:t>T</w:t>
      </w:r>
      <w:r w:rsidRPr="0087737F">
        <w:t>his suggests that the AMF transfer of N from the patch to the grain, leading to increased grain N concentration, made more N available to the aphid per unit time. This change in concentration (</w:t>
      </w:r>
      <w:r w:rsidRPr="0087737F">
        <w:rPr>
          <w:i/>
        </w:rPr>
        <w:t>c.</w:t>
      </w:r>
      <w:r w:rsidRPr="0087737F">
        <w:t xml:space="preserve"> 28 % between non-AMF plants and AMF plants accessing the organic patch) is similar in magnitude to changes in leaf N concentrations of </w:t>
      </w:r>
      <w:r w:rsidRPr="0087737F">
        <w:rPr>
          <w:i/>
        </w:rPr>
        <w:t>Miscanthus</w:t>
      </w:r>
      <w:r w:rsidRPr="0087737F">
        <w:t xml:space="preserve"> species in which altering N regimes impacted aphid performance </w:t>
      </w:r>
      <w:r w:rsidRPr="0087737F">
        <w:rPr>
          <w:noProof/>
        </w:rPr>
        <w:t>(Bogaert</w:t>
      </w:r>
      <w:r w:rsidRPr="0087737F">
        <w:rPr>
          <w:i/>
          <w:noProof/>
        </w:rPr>
        <w:t xml:space="preserve"> et al.</w:t>
      </w:r>
      <w:r w:rsidRPr="0087737F">
        <w:rPr>
          <w:noProof/>
        </w:rPr>
        <w:t xml:space="preserve"> 2017). However, </w:t>
      </w:r>
      <w:r w:rsidRPr="0087737F">
        <w:t>in the present study, aphid number and N status remained unchanged, suggesting that the aphids did not make use of the extra N made available to them by the AMF, and that aphid and plant N status can be uncoupled.</w:t>
      </w:r>
      <w:r w:rsidR="00361EF3" w:rsidRPr="0087737F">
        <w:t xml:space="preserve">  </w:t>
      </w:r>
      <w:r w:rsidR="007F352F" w:rsidRPr="0087737F">
        <w:t xml:space="preserve">One caveat of our experimental design is that we measured aphid numbers rather than more detailed components of </w:t>
      </w:r>
      <w:r w:rsidR="00361EF3" w:rsidRPr="0087737F">
        <w:t>aphid performance (such as survival or individual fecundity)</w:t>
      </w:r>
      <w:r w:rsidR="007F352F" w:rsidRPr="0087737F">
        <w:t>, which may</w:t>
      </w:r>
      <w:r w:rsidR="00361EF3" w:rsidRPr="0087737F">
        <w:t xml:space="preserve"> might </w:t>
      </w:r>
      <w:r w:rsidR="007F352F" w:rsidRPr="0087737F">
        <w:t>reveal more subtle effects of increased N concentration</w:t>
      </w:r>
      <w:r w:rsidR="00361EF3" w:rsidRPr="0087737F">
        <w:t xml:space="preserve">. </w:t>
      </w:r>
    </w:p>
    <w:p w14:paraId="36D55024" w14:textId="29DF0EC0" w:rsidR="0002061D" w:rsidRPr="0087737F" w:rsidRDefault="00DC572E" w:rsidP="004663F1">
      <w:pPr>
        <w:rPr>
          <w:noProof/>
        </w:rPr>
      </w:pPr>
      <w:r w:rsidRPr="0087737F">
        <w:t>During their life cycle, a</w:t>
      </w:r>
      <w:r w:rsidR="00782907" w:rsidRPr="0087737F">
        <w:t xml:space="preserve">phids can compensate for </w:t>
      </w:r>
      <w:r w:rsidRPr="0087737F">
        <w:t>initial</w:t>
      </w:r>
      <w:r w:rsidR="00782907" w:rsidRPr="0087737F">
        <w:t xml:space="preserve"> reductions in</w:t>
      </w:r>
      <w:r w:rsidR="00E3599D" w:rsidRPr="0087737F">
        <w:t xml:space="preserve"> their</w:t>
      </w:r>
      <w:r w:rsidR="00782907" w:rsidRPr="0087737F">
        <w:t xml:space="preserve"> biomass</w:t>
      </w:r>
      <w:r w:rsidRPr="0087737F">
        <w:t xml:space="preserve"> that are</w:t>
      </w:r>
      <w:r w:rsidR="00782907" w:rsidRPr="0087737F">
        <w:t xml:space="preserve"> </w:t>
      </w:r>
      <w:r w:rsidRPr="0087737F">
        <w:t>caused by</w:t>
      </w:r>
      <w:r w:rsidR="00782907" w:rsidRPr="0087737F">
        <w:t xml:space="preserve"> AMF</w:t>
      </w:r>
      <w:r w:rsidRPr="0087737F">
        <w:t xml:space="preserve"> induced changes to plant nutrition</w:t>
      </w:r>
      <w:r w:rsidR="00782907" w:rsidRPr="0087737F">
        <w:t xml:space="preserve"> </w:t>
      </w:r>
      <w:r w:rsidR="00782907" w:rsidRPr="0087737F">
        <w:rPr>
          <w:rFonts w:cs="Arial"/>
        </w:rPr>
        <w:t>(Tomczak &amp; Muller 2017)</w:t>
      </w:r>
      <w:r w:rsidRPr="0087737F">
        <w:rPr>
          <w:rFonts w:cs="Arial"/>
        </w:rPr>
        <w:t xml:space="preserve">. </w:t>
      </w:r>
      <w:r w:rsidR="0002061D" w:rsidRPr="0087737F">
        <w:t xml:space="preserve">The ratio of essential to non-essential amino acids in the phloem is a driver of the host plants nutritional quality to aphids </w:t>
      </w:r>
      <w:r w:rsidR="0002061D" w:rsidRPr="0087737F">
        <w:rPr>
          <w:noProof/>
        </w:rPr>
        <w:t>(Douglas 2006)</w:t>
      </w:r>
      <w:r w:rsidR="00585E40" w:rsidRPr="0087737F">
        <w:rPr>
          <w:noProof/>
        </w:rPr>
        <w:t>,</w:t>
      </w:r>
      <w:r w:rsidR="0002061D" w:rsidRPr="0087737F">
        <w:rPr>
          <w:noProof/>
        </w:rPr>
        <w:t xml:space="preserve"> with </w:t>
      </w:r>
      <w:r w:rsidR="0002061D" w:rsidRPr="0087737F">
        <w:t xml:space="preserve">the symbiotic bacteria </w:t>
      </w:r>
      <w:r w:rsidR="0002061D" w:rsidRPr="0087737F">
        <w:rPr>
          <w:i/>
        </w:rPr>
        <w:t xml:space="preserve">Buchnera aphidicola </w:t>
      </w:r>
      <w:r w:rsidR="0002061D" w:rsidRPr="0087737F">
        <w:t xml:space="preserve">synthesising essential amino acids lacking from this diet </w:t>
      </w:r>
      <w:r w:rsidR="0002061D" w:rsidRPr="0087737F">
        <w:rPr>
          <w:rFonts w:cs="Arial"/>
          <w:noProof/>
        </w:rPr>
        <w:t>(Guenduez &amp; Douglas 2009)</w:t>
      </w:r>
      <w:r w:rsidR="0002061D" w:rsidRPr="0087737F">
        <w:rPr>
          <w:rFonts w:cs="Arial"/>
        </w:rPr>
        <w:t xml:space="preserve">. Thus, the composition of essential amino acids in the phloem, the synthesis of amino acids by </w:t>
      </w:r>
      <w:r w:rsidR="0002061D" w:rsidRPr="0087737F">
        <w:rPr>
          <w:rFonts w:cs="Arial"/>
          <w:i/>
        </w:rPr>
        <w:t xml:space="preserve">B. aphidicola, </w:t>
      </w:r>
      <w:r w:rsidR="0002061D" w:rsidRPr="0087737F">
        <w:rPr>
          <w:rFonts w:cs="Arial"/>
        </w:rPr>
        <w:t xml:space="preserve">and the aphid’s ability to alter its length of feeding </w:t>
      </w:r>
      <w:r w:rsidR="0002061D" w:rsidRPr="0087737F">
        <w:rPr>
          <w:rFonts w:cs="Arial"/>
          <w:noProof/>
        </w:rPr>
        <w:t>(Ponder</w:t>
      </w:r>
      <w:r w:rsidR="0002061D" w:rsidRPr="0087737F">
        <w:rPr>
          <w:rFonts w:cs="Arial"/>
          <w:i/>
          <w:noProof/>
        </w:rPr>
        <w:t xml:space="preserve"> et al.</w:t>
      </w:r>
      <w:r w:rsidR="0002061D" w:rsidRPr="0087737F">
        <w:rPr>
          <w:rFonts w:cs="Arial"/>
          <w:noProof/>
        </w:rPr>
        <w:t xml:space="preserve"> 2000)</w:t>
      </w:r>
      <w:r w:rsidR="00646DC0" w:rsidRPr="0087737F">
        <w:rPr>
          <w:rFonts w:cs="Arial"/>
        </w:rPr>
        <w:t xml:space="preserve">,  could </w:t>
      </w:r>
      <w:r w:rsidR="00227BFA" w:rsidRPr="0087737F">
        <w:rPr>
          <w:rFonts w:cs="Arial"/>
        </w:rPr>
        <w:t xml:space="preserve">all influence </w:t>
      </w:r>
      <w:r w:rsidR="00646DC0" w:rsidRPr="0087737F">
        <w:rPr>
          <w:rFonts w:cs="Arial"/>
        </w:rPr>
        <w:t>any</w:t>
      </w:r>
      <w:r w:rsidR="0002061D" w:rsidRPr="0087737F">
        <w:rPr>
          <w:rFonts w:cs="Arial"/>
        </w:rPr>
        <w:t xml:space="preserve"> effects of altered host plant</w:t>
      </w:r>
      <w:r w:rsidR="0002061D" w:rsidRPr="0087737F">
        <w:t xml:space="preserve"> tissue nutrient concentrations</w:t>
      </w:r>
      <w:r w:rsidR="00646DC0" w:rsidRPr="0087737F">
        <w:t xml:space="preserve"> on aphid performance</w:t>
      </w:r>
      <w:r w:rsidR="0002061D" w:rsidRPr="0087737F">
        <w:t>.</w:t>
      </w:r>
      <w:r w:rsidR="00782907" w:rsidRPr="0087737F">
        <w:rPr>
          <w:rFonts w:cs="Arial"/>
        </w:rPr>
        <w:t xml:space="preserve"> </w:t>
      </w:r>
      <w:r w:rsidR="00245551" w:rsidRPr="0087737F">
        <w:rPr>
          <w:rFonts w:cs="Arial"/>
        </w:rPr>
        <w:t xml:space="preserve">Although we were not able to measure amino acid availability to the aphid (Johnson, Ryalls &amp; Karley 2014), </w:t>
      </w:r>
      <w:r w:rsidR="00245551" w:rsidRPr="0087737F">
        <w:rPr>
          <w:noProof/>
        </w:rPr>
        <w:t>b</w:t>
      </w:r>
      <w:r w:rsidR="0002061D" w:rsidRPr="0087737F">
        <w:rPr>
          <w:noProof/>
        </w:rPr>
        <w:t xml:space="preserve">y tracking and measuring the N status of the aphid alongside that of their host plant, </w:t>
      </w:r>
      <w:r w:rsidR="00C432AE" w:rsidRPr="0087737F">
        <w:rPr>
          <w:noProof/>
        </w:rPr>
        <w:t xml:space="preserve">we show </w:t>
      </w:r>
      <w:r w:rsidR="0002061D" w:rsidRPr="0087737F">
        <w:rPr>
          <w:noProof/>
        </w:rPr>
        <w:t xml:space="preserve">that, at least in certain cases, aphids can </w:t>
      </w:r>
      <w:r w:rsidR="007F7C45" w:rsidRPr="0087737F">
        <w:rPr>
          <w:noProof/>
        </w:rPr>
        <w:t xml:space="preserve">adjust </w:t>
      </w:r>
      <w:r w:rsidR="0002061D" w:rsidRPr="0087737F">
        <w:rPr>
          <w:noProof/>
        </w:rPr>
        <w:t>their overall N intake when the</w:t>
      </w:r>
      <w:r w:rsidR="008118F0" w:rsidRPr="0087737F">
        <w:rPr>
          <w:noProof/>
        </w:rPr>
        <w:t xml:space="preserve"> nutritional</w:t>
      </w:r>
      <w:r w:rsidR="0002061D" w:rsidRPr="0087737F">
        <w:rPr>
          <w:noProof/>
        </w:rPr>
        <w:t xml:space="preserve"> quality of a plant host is altered by AMF colonisation. </w:t>
      </w:r>
      <w:r w:rsidR="0002061D" w:rsidRPr="0087737F">
        <w:t>This may aid in explaining the contrasting effects reported of AMF</w:t>
      </w:r>
      <w:r w:rsidR="00245551" w:rsidRPr="0087737F">
        <w:t>-</w:t>
      </w:r>
      <w:r w:rsidR="0002061D" w:rsidRPr="0087737F">
        <w:t xml:space="preserve">induced </w:t>
      </w:r>
      <w:r w:rsidR="0002061D" w:rsidRPr="0087737F">
        <w:lastRenderedPageBreak/>
        <w:t xml:space="preserve">changes to plant host N nutrition upon aphid performance </w:t>
      </w:r>
      <w:r w:rsidR="0002061D" w:rsidRPr="0087737F">
        <w:rPr>
          <w:noProof/>
        </w:rPr>
        <w:t>(Hempel</w:t>
      </w:r>
      <w:r w:rsidR="0002061D" w:rsidRPr="0087737F">
        <w:rPr>
          <w:i/>
          <w:noProof/>
        </w:rPr>
        <w:t xml:space="preserve"> et al.</w:t>
      </w:r>
      <w:r w:rsidR="0002061D" w:rsidRPr="0087737F">
        <w:rPr>
          <w:noProof/>
        </w:rPr>
        <w:t xml:space="preserve"> 2009; Babikova</w:t>
      </w:r>
      <w:r w:rsidR="0002061D" w:rsidRPr="0087737F">
        <w:rPr>
          <w:i/>
          <w:noProof/>
        </w:rPr>
        <w:t xml:space="preserve"> et al.</w:t>
      </w:r>
      <w:r w:rsidR="0002061D" w:rsidRPr="0087737F">
        <w:rPr>
          <w:noProof/>
        </w:rPr>
        <w:t xml:space="preserve"> 2014; Williams, Birkhofer &amp; Hedlund 2014), alongside potential simultaneous synergistic or confounding effects of AMF</w:t>
      </w:r>
      <w:r w:rsidR="00C432AE" w:rsidRPr="0087737F">
        <w:rPr>
          <w:noProof/>
        </w:rPr>
        <w:t>-</w:t>
      </w:r>
      <w:r w:rsidR="0002061D" w:rsidRPr="0087737F">
        <w:rPr>
          <w:noProof/>
        </w:rPr>
        <w:t>induced changes to plant defence (Mauch-Mani</w:t>
      </w:r>
      <w:r w:rsidR="0002061D" w:rsidRPr="0087737F">
        <w:rPr>
          <w:i/>
          <w:noProof/>
        </w:rPr>
        <w:t xml:space="preserve"> et al.</w:t>
      </w:r>
      <w:r w:rsidR="0002061D" w:rsidRPr="0087737F">
        <w:rPr>
          <w:noProof/>
        </w:rPr>
        <w:t xml:space="preserve"> 2017)</w:t>
      </w:r>
      <w:r w:rsidR="0002061D" w:rsidRPr="0087737F">
        <w:t>.</w:t>
      </w:r>
      <w:r w:rsidR="00C432AE" w:rsidRPr="0087737F">
        <w:t xml:space="preserve"> </w:t>
      </w:r>
      <w:r w:rsidR="005E2E25" w:rsidRPr="0087737F">
        <w:t>For example, a</w:t>
      </w:r>
      <w:r w:rsidR="00C432AE" w:rsidRPr="0087737F">
        <w:t xml:space="preserve"> significant defence for barley, as for many grasses, is silicon (Hartley &amp; DeGabriel </w:t>
      </w:r>
      <w:r w:rsidR="00555556" w:rsidRPr="0087737F">
        <w:t>2016) and l</w:t>
      </w:r>
      <w:r w:rsidR="00421603" w:rsidRPr="0087737F">
        <w:t xml:space="preserve">evels of foliar silicon </w:t>
      </w:r>
      <w:r w:rsidR="00555556" w:rsidRPr="0087737F">
        <w:t>have been shown to be</w:t>
      </w:r>
      <w:r w:rsidR="00C432AE" w:rsidRPr="0087737F">
        <w:t xml:space="preserve"> </w:t>
      </w:r>
      <w:r w:rsidR="005E2E25" w:rsidRPr="0087737F">
        <w:t xml:space="preserve">increased </w:t>
      </w:r>
      <w:r w:rsidR="00C432AE" w:rsidRPr="0087737F">
        <w:t>by the presence of AMF (</w:t>
      </w:r>
      <w:r w:rsidR="00421603" w:rsidRPr="0087737F">
        <w:t>A</w:t>
      </w:r>
      <w:r w:rsidR="00672224" w:rsidRPr="0087737F">
        <w:t>n</w:t>
      </w:r>
      <w:r w:rsidR="00421603" w:rsidRPr="0087737F">
        <w:t>d</w:t>
      </w:r>
      <w:r w:rsidR="008A3182" w:rsidRPr="0087737F">
        <w:t>a</w:t>
      </w:r>
      <w:r w:rsidR="00C432AE" w:rsidRPr="0087737F">
        <w:t xml:space="preserve">, </w:t>
      </w:r>
      <w:r w:rsidR="00421603" w:rsidRPr="0087737F">
        <w:t>Opfergelt &amp; Declerck</w:t>
      </w:r>
      <w:r w:rsidR="00555556" w:rsidRPr="0087737F">
        <w:t xml:space="preserve"> </w:t>
      </w:r>
      <w:r w:rsidR="00672224" w:rsidRPr="0087737F">
        <w:t>2</w:t>
      </w:r>
      <w:r w:rsidR="00555556" w:rsidRPr="0087737F">
        <w:t xml:space="preserve">016). Silicon </w:t>
      </w:r>
      <w:r w:rsidR="00421603" w:rsidRPr="0087737F">
        <w:t xml:space="preserve">uptake </w:t>
      </w:r>
      <w:r w:rsidR="00C432AE" w:rsidRPr="0087737F">
        <w:t xml:space="preserve">is </w:t>
      </w:r>
      <w:r w:rsidR="005E2E25" w:rsidRPr="0087737F">
        <w:t xml:space="preserve">likely to be </w:t>
      </w:r>
      <w:r w:rsidR="00C432AE" w:rsidRPr="0087737F">
        <w:t>relatively unaffected by</w:t>
      </w:r>
      <w:r w:rsidR="005E2E25" w:rsidRPr="0087737F">
        <w:t xml:space="preserve"> any changes in plant growth</w:t>
      </w:r>
      <w:r w:rsidR="00C432AE" w:rsidRPr="0087737F">
        <w:t>-defence trade-offs</w:t>
      </w:r>
      <w:r w:rsidR="005E2E25" w:rsidRPr="0087737F">
        <w:t xml:space="preserve"> resulting from colonisation</w:t>
      </w:r>
      <w:r w:rsidR="00C432AE" w:rsidRPr="0087737F">
        <w:t xml:space="preserve"> (Simpson</w:t>
      </w:r>
      <w:r w:rsidR="00BA03FA" w:rsidRPr="0087737F">
        <w:t xml:space="preserve"> </w:t>
      </w:r>
      <w:r w:rsidR="00BA03FA" w:rsidRPr="0087737F">
        <w:rPr>
          <w:i/>
        </w:rPr>
        <w:t>et al.</w:t>
      </w:r>
      <w:r w:rsidR="00BA03FA" w:rsidRPr="0087737F">
        <w:t xml:space="preserve"> </w:t>
      </w:r>
      <w:r w:rsidR="005E2E25" w:rsidRPr="0087737F">
        <w:t>2017)</w:t>
      </w:r>
      <w:r w:rsidR="00421603" w:rsidRPr="0087737F">
        <w:t xml:space="preserve">, though reductions in </w:t>
      </w:r>
      <w:r w:rsidR="00555556" w:rsidRPr="0087737F">
        <w:t>levels of other barley defences in relation to nutrient content and growth have been observed (</w:t>
      </w:r>
      <w:r w:rsidR="006427C2" w:rsidRPr="0087737F">
        <w:t>Norbaek</w:t>
      </w:r>
      <w:r w:rsidR="00555556" w:rsidRPr="0087737F">
        <w:t xml:space="preserve"> </w:t>
      </w:r>
      <w:r w:rsidR="00555556" w:rsidRPr="0087737F">
        <w:rPr>
          <w:i/>
        </w:rPr>
        <w:t>et al.</w:t>
      </w:r>
      <w:r w:rsidR="00555556" w:rsidRPr="0087737F">
        <w:t xml:space="preserve"> 2003)</w:t>
      </w:r>
      <w:r w:rsidR="005E2E25" w:rsidRPr="0087737F">
        <w:t>.</w:t>
      </w:r>
      <w:r w:rsidR="00C432AE" w:rsidRPr="0087737F">
        <w:t xml:space="preserve">     </w:t>
      </w:r>
    </w:p>
    <w:p w14:paraId="30705477" w14:textId="57123087" w:rsidR="0002061D" w:rsidRPr="0087737F" w:rsidRDefault="00E94534" w:rsidP="004663F1">
      <w:r w:rsidRPr="0087737F">
        <w:t xml:space="preserve">Although the nutritional status of the growth medium </w:t>
      </w:r>
      <w:r w:rsidR="001F7BE0" w:rsidRPr="0087737F">
        <w:t xml:space="preserve">in our microcosm was </w:t>
      </w:r>
      <w:r w:rsidRPr="0087737F">
        <w:t xml:space="preserve">low compared to a conventionally managed agriculture systems, our results </w:t>
      </w:r>
      <w:r w:rsidR="0002061D" w:rsidRPr="0087737F">
        <w:t>demonstrate that via the shared host plant, AMF can transfer N derived from complex N sources not directly available to the plant to higher trophic levels. This supports our hypothesis that direct AMF access to organic nutrient patches will result in more N being transferred to above</w:t>
      </w:r>
      <w:r w:rsidR="000F3360" w:rsidRPr="0087737F">
        <w:t xml:space="preserve"> </w:t>
      </w:r>
      <w:r w:rsidR="0002061D" w:rsidRPr="0087737F">
        <w:t>ground organisms and highlights the importance of AMF in below-above</w:t>
      </w:r>
      <w:r w:rsidR="008407C8" w:rsidRPr="0087737F">
        <w:t xml:space="preserve"> </w:t>
      </w:r>
      <w:r w:rsidR="0002061D" w:rsidRPr="0087737F">
        <w:t>ground N cycling.</w:t>
      </w:r>
    </w:p>
    <w:p w14:paraId="09C68D33" w14:textId="77777777" w:rsidR="0002061D" w:rsidRPr="0087737F" w:rsidRDefault="0002061D" w:rsidP="004663F1">
      <w:pPr>
        <w:rPr>
          <w:rFonts w:cs="Arial"/>
          <w:b/>
        </w:rPr>
      </w:pPr>
      <w:r w:rsidRPr="0087737F">
        <w:rPr>
          <w:rFonts w:cs="Arial"/>
          <w:b/>
        </w:rPr>
        <w:t>Acknowledgments</w:t>
      </w:r>
    </w:p>
    <w:p w14:paraId="21238ADC" w14:textId="2FCA9F1C" w:rsidR="0002061D" w:rsidRPr="0087737F" w:rsidRDefault="0002061D" w:rsidP="004663F1">
      <w:pPr>
        <w:rPr>
          <w:rFonts w:cs="Arial"/>
        </w:rPr>
      </w:pPr>
      <w:r w:rsidRPr="0087737F">
        <w:rPr>
          <w:rFonts w:cs="Arial"/>
        </w:rPr>
        <w:t xml:space="preserve">We thank the University of York horticultural staff for plant maintenance assistance and Dr Barry Thornton (The James Hutton Institute, Craigiebuckler, Aberdeen) for I.R.M.S analysis. This work was funded by the </w:t>
      </w:r>
      <w:r w:rsidR="00E20B22" w:rsidRPr="0087737F">
        <w:rPr>
          <w:rFonts w:cs="Arial"/>
        </w:rPr>
        <w:t>Biotechnology and Biological Sciences Research Council (</w:t>
      </w:r>
      <w:r w:rsidRPr="0087737F">
        <w:rPr>
          <w:rFonts w:cs="Arial"/>
        </w:rPr>
        <w:t>BBSRC</w:t>
      </w:r>
      <w:r w:rsidR="00E20B22" w:rsidRPr="0087737F">
        <w:rPr>
          <w:rFonts w:cs="Arial"/>
        </w:rPr>
        <w:t>) UK</w:t>
      </w:r>
      <w:r w:rsidRPr="0087737F">
        <w:rPr>
          <w:rFonts w:cs="Arial"/>
        </w:rPr>
        <w:t>, D</w:t>
      </w:r>
      <w:r w:rsidR="00E20B22" w:rsidRPr="0087737F">
        <w:rPr>
          <w:rFonts w:cs="Arial"/>
        </w:rPr>
        <w:t xml:space="preserve">octoral Training Partnership </w:t>
      </w:r>
      <w:r w:rsidRPr="0087737F">
        <w:rPr>
          <w:rFonts w:cs="Arial"/>
        </w:rPr>
        <w:t>grant (BB/J014443/1).</w:t>
      </w:r>
    </w:p>
    <w:p w14:paraId="6B92EFA3" w14:textId="77777777" w:rsidR="0002061D" w:rsidRPr="0087737F" w:rsidRDefault="0002061D" w:rsidP="004663F1">
      <w:pPr>
        <w:rPr>
          <w:b/>
        </w:rPr>
      </w:pPr>
      <w:r w:rsidRPr="0087737F">
        <w:rPr>
          <w:b/>
        </w:rPr>
        <w:t>Author’s contributions</w:t>
      </w:r>
    </w:p>
    <w:p w14:paraId="7F00389F" w14:textId="026E7572" w:rsidR="0002061D" w:rsidRPr="0087737F" w:rsidRDefault="0002061D" w:rsidP="004663F1">
      <w:r w:rsidRPr="0087737F">
        <w:t>All authors contributed to the experimental design of the study and writing of the manuscript. T.W</w:t>
      </w:r>
      <w:r w:rsidR="00564E77" w:rsidRPr="0087737F">
        <w:t>.</w:t>
      </w:r>
      <w:r w:rsidRPr="0087737F">
        <w:t xml:space="preserve"> conducted the experiment and analysed the data.</w:t>
      </w:r>
    </w:p>
    <w:p w14:paraId="46892811" w14:textId="77777777" w:rsidR="0002061D" w:rsidRPr="0087737F" w:rsidRDefault="0002061D" w:rsidP="004663F1">
      <w:pPr>
        <w:rPr>
          <w:b/>
        </w:rPr>
      </w:pPr>
      <w:r w:rsidRPr="0087737F">
        <w:rPr>
          <w:b/>
        </w:rPr>
        <w:t>Disclosure</w:t>
      </w:r>
    </w:p>
    <w:p w14:paraId="16D2FB34" w14:textId="77777777" w:rsidR="0002061D" w:rsidRPr="0087737F" w:rsidRDefault="0002061D" w:rsidP="004663F1">
      <w:pPr>
        <w:rPr>
          <w:b/>
        </w:rPr>
      </w:pPr>
      <w:r w:rsidRPr="0087737F">
        <w:t>The authors declare no competing interests.</w:t>
      </w:r>
      <w:r w:rsidRPr="0087737F">
        <w:rPr>
          <w:b/>
        </w:rPr>
        <w:t xml:space="preserve"> </w:t>
      </w:r>
    </w:p>
    <w:p w14:paraId="36FBCA5D" w14:textId="77777777" w:rsidR="0002061D" w:rsidRPr="0087737F" w:rsidRDefault="0002061D" w:rsidP="004663F1">
      <w:pPr>
        <w:rPr>
          <w:b/>
        </w:rPr>
      </w:pPr>
      <w:r w:rsidRPr="0087737F">
        <w:rPr>
          <w:b/>
        </w:rPr>
        <w:lastRenderedPageBreak/>
        <w:t>Data Accessibility</w:t>
      </w:r>
    </w:p>
    <w:p w14:paraId="748F2EC5" w14:textId="77777777" w:rsidR="0002061D" w:rsidRPr="0087737F" w:rsidRDefault="0002061D" w:rsidP="004663F1">
      <w:r w:rsidRPr="0087737F">
        <w:t xml:space="preserve">Data will be archived in the Dryad Digital Repository; entry doi: xx.xxxx/dryad.xxxx (TBC) </w:t>
      </w:r>
    </w:p>
    <w:p w14:paraId="24B92E2B" w14:textId="639F8DE7" w:rsidR="00D537C3" w:rsidRPr="0087737F" w:rsidRDefault="0002061D" w:rsidP="0053408C">
      <w:pPr>
        <w:tabs>
          <w:tab w:val="left" w:pos="2805"/>
        </w:tabs>
        <w:rPr>
          <w:rFonts w:cs="Arial"/>
          <w:b/>
        </w:rPr>
      </w:pPr>
      <w:r w:rsidRPr="0087737F">
        <w:rPr>
          <w:rFonts w:cs="Arial"/>
          <w:b/>
        </w:rPr>
        <w:t xml:space="preserve">References </w:t>
      </w:r>
    </w:p>
    <w:p w14:paraId="5C9F796D" w14:textId="1DE5B470" w:rsidR="0053408C" w:rsidRPr="0087737F" w:rsidRDefault="0053408C" w:rsidP="007373E6">
      <w:pPr>
        <w:pStyle w:val="EndNoteBibliography"/>
        <w:spacing w:after="0" w:line="480" w:lineRule="auto"/>
        <w:ind w:left="720" w:hanging="720"/>
      </w:pPr>
      <w:r w:rsidRPr="0087737F">
        <w:t xml:space="preserve">Anda, C.C.O., Opfergelt, S. &amp; Declerck, S. (2016) Silicon acquisition by bananas (c.V. Grande Naine) is increased in presence of the arbuscular mycorrhizal fungus </w:t>
      </w:r>
      <w:r w:rsidRPr="0087737F">
        <w:rPr>
          <w:i/>
        </w:rPr>
        <w:t>Rhizophagus irregularis</w:t>
      </w:r>
      <w:r w:rsidRPr="0087737F">
        <w:t xml:space="preserve"> MUCL 41833. </w:t>
      </w:r>
      <w:r w:rsidRPr="0087737F">
        <w:rPr>
          <w:i/>
        </w:rPr>
        <w:t>Plant and Soil</w:t>
      </w:r>
      <w:r w:rsidRPr="0087737F">
        <w:t xml:space="preserve">, </w:t>
      </w:r>
      <w:r w:rsidRPr="0087737F">
        <w:rPr>
          <w:b/>
        </w:rPr>
        <w:t>409</w:t>
      </w:r>
      <w:r w:rsidRPr="0087737F">
        <w:t xml:space="preserve">, 77-85. </w:t>
      </w:r>
      <w:hyperlink r:id="rId7" w:history="1">
        <w:r w:rsidR="00480FF7" w:rsidRPr="0087737F">
          <w:rPr>
            <w:rStyle w:val="Hyperlink"/>
            <w:color w:val="auto"/>
          </w:rPr>
          <w:t>https://doi.org/10.1007/s11104-016-2954-6</w:t>
        </w:r>
      </w:hyperlink>
      <w:r w:rsidR="00480FF7" w:rsidRPr="0087737F">
        <w:t xml:space="preserve"> </w:t>
      </w:r>
    </w:p>
    <w:p w14:paraId="51604CE8" w14:textId="4346E74F" w:rsidR="0002061D" w:rsidRPr="0087737F" w:rsidRDefault="0053408C" w:rsidP="007373E6">
      <w:pPr>
        <w:pStyle w:val="EndNoteBibliography"/>
        <w:spacing w:after="0" w:line="480" w:lineRule="auto"/>
        <w:ind w:left="720" w:hanging="720"/>
        <w:rPr>
          <w:u w:val="single"/>
        </w:rPr>
      </w:pPr>
      <w:r w:rsidRPr="0087737F">
        <w:t>A</w:t>
      </w:r>
      <w:r w:rsidR="0002061D" w:rsidRPr="0087737F">
        <w:t xml:space="preserve">queel, M.A. &amp; Leather, S.R. (2011) Effect of nitrogen fertilizer on the growth and survival of </w:t>
      </w:r>
      <w:r w:rsidR="0002061D" w:rsidRPr="0087737F">
        <w:rPr>
          <w:i/>
        </w:rPr>
        <w:t>Rhopalosiphum padi</w:t>
      </w:r>
      <w:r w:rsidR="0002061D" w:rsidRPr="0087737F">
        <w:t xml:space="preserve"> (L.) and </w:t>
      </w:r>
      <w:r w:rsidR="0002061D" w:rsidRPr="0087737F">
        <w:rPr>
          <w:i/>
        </w:rPr>
        <w:t>Sitobion avenae</w:t>
      </w:r>
      <w:r w:rsidR="0002061D" w:rsidRPr="0087737F">
        <w:t xml:space="preserve"> (F.) (Homoptera: Aphididae) on different wheat cultivars. </w:t>
      </w:r>
      <w:r w:rsidR="0002061D" w:rsidRPr="0087737F">
        <w:rPr>
          <w:i/>
        </w:rPr>
        <w:t>Crop Protection,</w:t>
      </w:r>
      <w:r w:rsidR="0002061D" w:rsidRPr="0087737F">
        <w:t xml:space="preserve"> </w:t>
      </w:r>
      <w:r w:rsidR="0002061D" w:rsidRPr="0087737F">
        <w:rPr>
          <w:b/>
        </w:rPr>
        <w:t>30,</w:t>
      </w:r>
      <w:r w:rsidR="0002061D" w:rsidRPr="0087737F">
        <w:t xml:space="preserve"> 216-221. </w:t>
      </w:r>
      <w:r w:rsidR="0002061D" w:rsidRPr="0087737F">
        <w:rPr>
          <w:u w:val="single"/>
        </w:rPr>
        <w:t>https://doi.org/10.1016/j.cropro.2010.09.013</w:t>
      </w:r>
    </w:p>
    <w:p w14:paraId="76733E3D" w14:textId="6F88A744" w:rsidR="0002061D" w:rsidRPr="0087737F" w:rsidRDefault="0002061D" w:rsidP="007373E6">
      <w:pPr>
        <w:pStyle w:val="EndNoteBibliography"/>
        <w:spacing w:after="0" w:line="480" w:lineRule="auto"/>
        <w:ind w:left="720" w:hanging="720"/>
        <w:rPr>
          <w:u w:val="single"/>
        </w:rPr>
      </w:pPr>
      <w:r w:rsidRPr="0087737F">
        <w:t xml:space="preserve">Audet, P. &amp; Charest, C. (2010) Identification of constraining experimental-design factors in mycorrhizal pot-growth studies. </w:t>
      </w:r>
      <w:r w:rsidRPr="0087737F">
        <w:rPr>
          <w:i/>
        </w:rPr>
        <w:t>Journal of Botany,</w:t>
      </w:r>
      <w:r w:rsidRPr="0087737F">
        <w:t xml:space="preserve"> </w:t>
      </w:r>
      <w:r w:rsidRPr="0087737F">
        <w:rPr>
          <w:b/>
        </w:rPr>
        <w:t>Article ID 718013</w:t>
      </w:r>
      <w:r w:rsidRPr="0087737F">
        <w:t xml:space="preserve">. </w:t>
      </w:r>
      <w:r w:rsidRPr="0087737F">
        <w:rPr>
          <w:u w:val="single"/>
        </w:rPr>
        <w:t>https://doi.org/https://doi.org/10.1155/2010/718013</w:t>
      </w:r>
    </w:p>
    <w:p w14:paraId="3E27A1D2" w14:textId="77777777" w:rsidR="0002061D" w:rsidRPr="0087737F" w:rsidRDefault="0002061D" w:rsidP="007373E6">
      <w:pPr>
        <w:pStyle w:val="EndNoteBibliography"/>
        <w:spacing w:after="0" w:line="480" w:lineRule="auto"/>
        <w:ind w:left="720" w:hanging="720"/>
        <w:rPr>
          <w:u w:val="single"/>
        </w:rPr>
      </w:pPr>
      <w:r w:rsidRPr="0087737F">
        <w:t xml:space="preserve">Babikova, Z., Gilbert, L., Bruce, T., Dewhirst, S.Y., Pickett, J.A. &amp; Johnson, D. (2014) Arbuscular mycorrhizal fungi and aphids interact by changing host plant quality and volatile emission. </w:t>
      </w:r>
      <w:r w:rsidRPr="0087737F">
        <w:rPr>
          <w:i/>
        </w:rPr>
        <w:t>Functional Ecology,</w:t>
      </w:r>
      <w:r w:rsidRPr="0087737F">
        <w:t xml:space="preserve"> </w:t>
      </w:r>
      <w:r w:rsidRPr="0087737F">
        <w:rPr>
          <w:b/>
        </w:rPr>
        <w:t>28,</w:t>
      </w:r>
      <w:r w:rsidRPr="0087737F">
        <w:t xml:space="preserve"> 375-385. </w:t>
      </w:r>
      <w:r w:rsidRPr="0087737F">
        <w:rPr>
          <w:u w:val="single"/>
        </w:rPr>
        <w:t>https://doi.org/10.1111/1365-2435.12181</w:t>
      </w:r>
    </w:p>
    <w:p w14:paraId="1177D247" w14:textId="77777777" w:rsidR="0002061D" w:rsidRPr="0087737F" w:rsidRDefault="0002061D" w:rsidP="007373E6">
      <w:pPr>
        <w:pStyle w:val="EndNoteBibliography"/>
        <w:spacing w:after="0" w:line="480" w:lineRule="auto"/>
        <w:ind w:left="720" w:hanging="720"/>
        <w:rPr>
          <w:u w:val="single"/>
        </w:rPr>
      </w:pPr>
      <w:r w:rsidRPr="0087737F">
        <w:t xml:space="preserve">Barrett, G., Campbell, C.D. &amp; Hodge, A. (2014) The direct response of the external mycelium of arbuscular mycorrhizal fungi to temperature and the implications for nutrient transfer. </w:t>
      </w:r>
      <w:r w:rsidRPr="0087737F">
        <w:rPr>
          <w:i/>
        </w:rPr>
        <w:t>Soil Biology &amp; Biochemistry,</w:t>
      </w:r>
      <w:r w:rsidRPr="0087737F">
        <w:t xml:space="preserve"> </w:t>
      </w:r>
      <w:r w:rsidRPr="0087737F">
        <w:rPr>
          <w:b/>
        </w:rPr>
        <w:t>78,</w:t>
      </w:r>
      <w:r w:rsidRPr="0087737F">
        <w:t xml:space="preserve"> 109-117. </w:t>
      </w:r>
      <w:r w:rsidRPr="0087737F">
        <w:rPr>
          <w:u w:val="single"/>
        </w:rPr>
        <w:t>https://doi.org/10.1016/j.soilbio.2014.07.025</w:t>
      </w:r>
    </w:p>
    <w:p w14:paraId="3CCAB13B" w14:textId="77777777" w:rsidR="0002061D" w:rsidRPr="0087737F" w:rsidRDefault="0002061D" w:rsidP="007373E6">
      <w:pPr>
        <w:pStyle w:val="EndNoteBibliography"/>
        <w:spacing w:after="0" w:line="480" w:lineRule="auto"/>
        <w:ind w:left="720" w:hanging="720"/>
        <w:rPr>
          <w:u w:val="single"/>
        </w:rPr>
      </w:pPr>
      <w:r w:rsidRPr="0087737F">
        <w:t>Bender, S.F., Conen, F. &amp; van der Heijden, M.G.A. (2015) Mycorrhizal effects on nutrient cycling, nutrient leaching and N</w:t>
      </w:r>
      <w:r w:rsidRPr="0087737F">
        <w:rPr>
          <w:vertAlign w:val="subscript"/>
        </w:rPr>
        <w:t>2</w:t>
      </w:r>
      <w:r w:rsidRPr="0087737F">
        <w:t xml:space="preserve">O production in experimental grassland. </w:t>
      </w:r>
      <w:r w:rsidRPr="0087737F">
        <w:rPr>
          <w:i/>
        </w:rPr>
        <w:t>Soil Biology &amp; Biochemistry,</w:t>
      </w:r>
      <w:r w:rsidRPr="0087737F">
        <w:t xml:space="preserve"> </w:t>
      </w:r>
      <w:r w:rsidRPr="0087737F">
        <w:rPr>
          <w:b/>
        </w:rPr>
        <w:t>80,</w:t>
      </w:r>
      <w:r w:rsidRPr="0087737F">
        <w:t xml:space="preserve"> 283-292. </w:t>
      </w:r>
      <w:r w:rsidRPr="0087737F">
        <w:rPr>
          <w:u w:val="single"/>
        </w:rPr>
        <w:t>https://doi.org/10.1016/j.soilbio.2014.10.016</w:t>
      </w:r>
    </w:p>
    <w:p w14:paraId="46FDEA31" w14:textId="77777777" w:rsidR="0002061D" w:rsidRPr="0087737F" w:rsidRDefault="0002061D" w:rsidP="007373E6">
      <w:pPr>
        <w:pStyle w:val="EndNoteBibliography"/>
        <w:spacing w:after="0" w:line="480" w:lineRule="auto"/>
        <w:ind w:left="720" w:hanging="720"/>
        <w:rPr>
          <w:u w:val="single"/>
        </w:rPr>
      </w:pPr>
      <w:r w:rsidRPr="0087737F">
        <w:lastRenderedPageBreak/>
        <w:t xml:space="preserve">Bogaert, F., Chesnais, Q., Catterou, M., Rambaud, C., Doury, G. &amp; Ameline, A. (2017) How the use of nitrogen fertiliser may switch plant suitability for aphids: the case of </w:t>
      </w:r>
      <w:r w:rsidRPr="0087737F">
        <w:rPr>
          <w:i/>
        </w:rPr>
        <w:t>Miscanthus</w:t>
      </w:r>
      <w:r w:rsidRPr="0087737F">
        <w:t xml:space="preserve">, a promising biomass crop, and the aphid pest </w:t>
      </w:r>
      <w:r w:rsidRPr="0087737F">
        <w:rPr>
          <w:i/>
        </w:rPr>
        <w:t>Rhopalosiphum maidis</w:t>
      </w:r>
      <w:r w:rsidRPr="0087737F">
        <w:t xml:space="preserve">. </w:t>
      </w:r>
      <w:r w:rsidRPr="0087737F">
        <w:rPr>
          <w:i/>
        </w:rPr>
        <w:t>Pest Management Science,</w:t>
      </w:r>
      <w:r w:rsidRPr="0087737F">
        <w:t xml:space="preserve"> </w:t>
      </w:r>
      <w:r w:rsidRPr="0087737F">
        <w:rPr>
          <w:b/>
        </w:rPr>
        <w:t>73,</w:t>
      </w:r>
      <w:r w:rsidRPr="0087737F">
        <w:t xml:space="preserve"> 1648-1654. </w:t>
      </w:r>
      <w:r w:rsidRPr="0087737F">
        <w:rPr>
          <w:u w:val="single"/>
        </w:rPr>
        <w:t>https://doi.org/10.1002/ps.4505</w:t>
      </w:r>
    </w:p>
    <w:p w14:paraId="6ABFAD54" w14:textId="27D95B25" w:rsidR="00847EC2" w:rsidRPr="0087737F" w:rsidRDefault="0002061D" w:rsidP="00F824ED">
      <w:pPr>
        <w:pStyle w:val="EndNoteBibliography"/>
        <w:spacing w:after="0" w:line="480" w:lineRule="auto"/>
        <w:ind w:left="720" w:hanging="720"/>
        <w:rPr>
          <w:u w:val="single"/>
        </w:rPr>
      </w:pPr>
      <w:r w:rsidRPr="0087737F">
        <w:t xml:space="preserve">Douglas, A.E. (2006) Phloem-sap feeding by animals: problems and solutions. </w:t>
      </w:r>
      <w:r w:rsidRPr="0087737F">
        <w:rPr>
          <w:i/>
        </w:rPr>
        <w:t>Journal of Experimental Botany,</w:t>
      </w:r>
      <w:r w:rsidRPr="0087737F">
        <w:t xml:space="preserve"> </w:t>
      </w:r>
      <w:r w:rsidRPr="0087737F">
        <w:rPr>
          <w:b/>
        </w:rPr>
        <w:t>57,</w:t>
      </w:r>
      <w:r w:rsidRPr="0087737F">
        <w:t xml:space="preserve"> 747-754. </w:t>
      </w:r>
      <w:hyperlink r:id="rId8" w:history="1">
        <w:r w:rsidR="00847EC2" w:rsidRPr="0087737F">
          <w:rPr>
            <w:rStyle w:val="Hyperlink"/>
            <w:color w:val="auto"/>
          </w:rPr>
          <w:t>https://doi.org/10.1093/jxb/erj067</w:t>
        </w:r>
      </w:hyperlink>
    </w:p>
    <w:p w14:paraId="0F97ECA1" w14:textId="77777777" w:rsidR="0002061D" w:rsidRPr="0087737F" w:rsidRDefault="0002061D" w:rsidP="007373E6">
      <w:pPr>
        <w:pStyle w:val="EndNoteBibliography"/>
        <w:spacing w:after="0" w:line="480" w:lineRule="auto"/>
        <w:ind w:left="720" w:hanging="720"/>
        <w:rPr>
          <w:u w:val="single"/>
        </w:rPr>
      </w:pPr>
      <w:r w:rsidRPr="0087737F">
        <w:t xml:space="preserve">Gange, A.C. &amp; West, H.M. (1994) Interactions between arbuscular mycorrhizal fungi and foliar feeding insects in </w:t>
      </w:r>
      <w:r w:rsidRPr="0087737F">
        <w:rPr>
          <w:i/>
        </w:rPr>
        <w:t>Plantago lanceolata</w:t>
      </w:r>
      <w:r w:rsidRPr="0087737F">
        <w:t xml:space="preserve"> L. </w:t>
      </w:r>
      <w:r w:rsidRPr="0087737F">
        <w:rPr>
          <w:i/>
        </w:rPr>
        <w:t>New Phytologist,</w:t>
      </w:r>
      <w:r w:rsidRPr="0087737F">
        <w:t xml:space="preserve"> </w:t>
      </w:r>
      <w:r w:rsidRPr="0087737F">
        <w:rPr>
          <w:b/>
        </w:rPr>
        <w:t>128,</w:t>
      </w:r>
      <w:r w:rsidRPr="0087737F">
        <w:t xml:space="preserve"> 79-87. </w:t>
      </w:r>
      <w:r w:rsidRPr="0087737F">
        <w:rPr>
          <w:u w:val="single"/>
        </w:rPr>
        <w:t>https://doi.org/10.1111/j.1469-8137.1994.tb03989.x</w:t>
      </w:r>
    </w:p>
    <w:p w14:paraId="525D98F4" w14:textId="77777777" w:rsidR="0002061D" w:rsidRPr="0087737F" w:rsidRDefault="0002061D" w:rsidP="007373E6">
      <w:pPr>
        <w:pStyle w:val="EndNoteBibliography"/>
        <w:spacing w:after="0" w:line="480" w:lineRule="auto"/>
        <w:ind w:left="720" w:hanging="720"/>
        <w:rPr>
          <w:u w:val="single"/>
        </w:rPr>
      </w:pPr>
      <w:r w:rsidRPr="0087737F">
        <w:t xml:space="preserve">Gehring, C. &amp; Bennett, A. (2009) Mycorrhizal fungal-plant-insect interactions: The importance of a community approach. </w:t>
      </w:r>
      <w:r w:rsidRPr="0087737F">
        <w:rPr>
          <w:i/>
        </w:rPr>
        <w:t>Environmental Entomology,</w:t>
      </w:r>
      <w:r w:rsidRPr="0087737F">
        <w:t xml:space="preserve"> </w:t>
      </w:r>
      <w:r w:rsidRPr="0087737F">
        <w:rPr>
          <w:b/>
        </w:rPr>
        <w:t>38,</w:t>
      </w:r>
      <w:r w:rsidRPr="0087737F">
        <w:t xml:space="preserve"> 93-102. </w:t>
      </w:r>
      <w:r w:rsidRPr="0087737F">
        <w:rPr>
          <w:u w:val="single"/>
        </w:rPr>
        <w:t>https://doi.org/10.1603/022.038.0111</w:t>
      </w:r>
    </w:p>
    <w:p w14:paraId="6BC1B8E1" w14:textId="553CE6A5" w:rsidR="0002061D" w:rsidRPr="0087737F" w:rsidRDefault="0002061D" w:rsidP="007373E6">
      <w:pPr>
        <w:pStyle w:val="EndNoteBibliography"/>
        <w:spacing w:after="0" w:line="480" w:lineRule="auto"/>
        <w:ind w:left="720" w:hanging="720"/>
        <w:rPr>
          <w:u w:val="single"/>
        </w:rPr>
      </w:pPr>
      <w:r w:rsidRPr="0087737F">
        <w:t xml:space="preserve">Grabmaier, A., Heigl, F., Eisenhauer, N., van der Heijden, M.G.A. &amp; Zaller, J.G. (2014) Stable isotope labelling of earthworms can help deciphering belowground-aboveground interactions involving earthworms, mycorrhizal fungi, plants and aphids. </w:t>
      </w:r>
      <w:r w:rsidRPr="0087737F">
        <w:rPr>
          <w:i/>
        </w:rPr>
        <w:t>Pedobiologia,</w:t>
      </w:r>
      <w:r w:rsidRPr="0087737F">
        <w:t xml:space="preserve"> </w:t>
      </w:r>
      <w:r w:rsidRPr="0087737F">
        <w:rPr>
          <w:b/>
        </w:rPr>
        <w:t>57,</w:t>
      </w:r>
      <w:r w:rsidRPr="0087737F">
        <w:t xml:space="preserve"> 197-203. </w:t>
      </w:r>
      <w:r w:rsidRPr="0087737F">
        <w:rPr>
          <w:u w:val="single"/>
        </w:rPr>
        <w:t>https://doi.org/10.1016/j.pedobi.2014.10.002</w:t>
      </w:r>
    </w:p>
    <w:p w14:paraId="416B0C81" w14:textId="77777777" w:rsidR="0002061D" w:rsidRPr="0087737F" w:rsidRDefault="0002061D" w:rsidP="007373E6">
      <w:pPr>
        <w:pStyle w:val="EndNoteBibliography"/>
        <w:spacing w:after="0" w:line="480" w:lineRule="auto"/>
        <w:ind w:left="720" w:hanging="720"/>
        <w:rPr>
          <w:u w:val="single"/>
        </w:rPr>
      </w:pPr>
      <w:r w:rsidRPr="0087737F">
        <w:t xml:space="preserve">Guenduez, E.A. &amp; Douglas, A.E. (2009) Symbiotic bacteria enable insect to use a nutritionally inadequate diet. </w:t>
      </w:r>
      <w:r w:rsidRPr="0087737F">
        <w:rPr>
          <w:i/>
        </w:rPr>
        <w:t>Proceedings of the Royal Society B-Biological Sciences,</w:t>
      </w:r>
      <w:r w:rsidRPr="0087737F">
        <w:t xml:space="preserve"> </w:t>
      </w:r>
      <w:r w:rsidRPr="0087737F">
        <w:rPr>
          <w:b/>
        </w:rPr>
        <w:t>276,</w:t>
      </w:r>
      <w:r w:rsidRPr="0087737F">
        <w:t xml:space="preserve"> 987-991. </w:t>
      </w:r>
      <w:r w:rsidRPr="0087737F">
        <w:rPr>
          <w:u w:val="single"/>
        </w:rPr>
        <w:t>https://doi.org/10.1098/rspb.2008.1476</w:t>
      </w:r>
    </w:p>
    <w:p w14:paraId="42CB7E57" w14:textId="77777777" w:rsidR="0002061D" w:rsidRPr="0087737F" w:rsidRDefault="0002061D" w:rsidP="007373E6">
      <w:pPr>
        <w:pStyle w:val="EndNoteBibliography"/>
        <w:spacing w:after="0" w:line="480" w:lineRule="auto"/>
        <w:ind w:left="720" w:hanging="720"/>
        <w:rPr>
          <w:u w:val="single"/>
        </w:rPr>
      </w:pPr>
      <w:r w:rsidRPr="0087737F">
        <w:t xml:space="preserve">Guerrieri, E., Lingua, G., Digilio, M.C., Massa, N. &amp; Berta, G. (2004) Do interactions between plant roots and the rhizosphere affect parasitoid behaviour? </w:t>
      </w:r>
      <w:r w:rsidRPr="0087737F">
        <w:rPr>
          <w:i/>
        </w:rPr>
        <w:t>Ecological Entomology,</w:t>
      </w:r>
      <w:r w:rsidRPr="0087737F">
        <w:t xml:space="preserve"> </w:t>
      </w:r>
      <w:r w:rsidRPr="0087737F">
        <w:rPr>
          <w:b/>
        </w:rPr>
        <w:t>29,</w:t>
      </w:r>
      <w:r w:rsidRPr="0087737F">
        <w:t xml:space="preserve"> 753-756. </w:t>
      </w:r>
      <w:r w:rsidRPr="0087737F">
        <w:rPr>
          <w:u w:val="single"/>
        </w:rPr>
        <w:t>https://doi.org/10.1111/j.0307-6946.2004.00644.x</w:t>
      </w:r>
    </w:p>
    <w:p w14:paraId="13BAA267" w14:textId="1D941F50" w:rsidR="0002061D" w:rsidRPr="0087737F" w:rsidRDefault="0002061D" w:rsidP="007373E6">
      <w:pPr>
        <w:pStyle w:val="EndNoteBibliography"/>
        <w:spacing w:after="0" w:line="480" w:lineRule="auto"/>
        <w:ind w:left="720" w:hanging="720"/>
        <w:rPr>
          <w:u w:val="single"/>
        </w:rPr>
      </w:pPr>
      <w:r w:rsidRPr="0087737F">
        <w:t xml:space="preserve">Harrison, M.J., Dewbre, G.R. &amp; Liu, J.Y. (2002) A phosphate transporter from </w:t>
      </w:r>
      <w:r w:rsidRPr="0087737F">
        <w:rPr>
          <w:i/>
        </w:rPr>
        <w:t>Medicago truncatula</w:t>
      </w:r>
      <w:r w:rsidRPr="0087737F">
        <w:t xml:space="preserve"> involved in the acquisiton of phosphate released by arbuscular mycorrhizal fungi. </w:t>
      </w:r>
      <w:r w:rsidRPr="0087737F">
        <w:rPr>
          <w:i/>
        </w:rPr>
        <w:t>Plant Cell,</w:t>
      </w:r>
      <w:r w:rsidRPr="0087737F">
        <w:t xml:space="preserve"> </w:t>
      </w:r>
      <w:r w:rsidRPr="0087737F">
        <w:rPr>
          <w:b/>
        </w:rPr>
        <w:t>14,</w:t>
      </w:r>
      <w:r w:rsidRPr="0087737F">
        <w:t xml:space="preserve"> 2413-2429. </w:t>
      </w:r>
      <w:hyperlink r:id="rId9" w:history="1">
        <w:r w:rsidR="00847EC2" w:rsidRPr="0087737F">
          <w:rPr>
            <w:rStyle w:val="Hyperlink"/>
            <w:color w:val="auto"/>
          </w:rPr>
          <w:t>https://doi.org/10.1105/tpc.004861</w:t>
        </w:r>
      </w:hyperlink>
    </w:p>
    <w:p w14:paraId="4CDD0BF4" w14:textId="6BF61285" w:rsidR="00847EC2" w:rsidRPr="0087737F" w:rsidRDefault="00847EC2" w:rsidP="007373E6">
      <w:pPr>
        <w:pStyle w:val="EndNoteBibliography"/>
        <w:spacing w:after="0" w:line="480" w:lineRule="auto"/>
        <w:ind w:left="720" w:hanging="720"/>
      </w:pPr>
      <w:r w:rsidRPr="0087737F">
        <w:t>Ha</w:t>
      </w:r>
      <w:r w:rsidR="00931639" w:rsidRPr="0087737F">
        <w:t>rtley</w:t>
      </w:r>
      <w:r w:rsidR="00931639" w:rsidRPr="0087737F">
        <w:rPr>
          <w:lang w:val="en-GB"/>
        </w:rPr>
        <w:t xml:space="preserve">, S.E. &amp; DeGabriel, J.L. (2016) The ecology of herbivore-induced silicon defences in grasses. </w:t>
      </w:r>
      <w:r w:rsidR="00931639" w:rsidRPr="0087737F">
        <w:rPr>
          <w:i/>
          <w:iCs/>
          <w:lang w:val="en-GB"/>
        </w:rPr>
        <w:t>Functional Ecology,</w:t>
      </w:r>
      <w:r w:rsidR="00931639" w:rsidRPr="0087737F">
        <w:rPr>
          <w:lang w:val="en-GB"/>
        </w:rPr>
        <w:t xml:space="preserve"> </w:t>
      </w:r>
      <w:r w:rsidR="00931639" w:rsidRPr="0087737F">
        <w:rPr>
          <w:b/>
          <w:bCs/>
          <w:lang w:val="en-GB"/>
        </w:rPr>
        <w:t>30,</w:t>
      </w:r>
      <w:r w:rsidR="00931639" w:rsidRPr="0087737F">
        <w:rPr>
          <w:lang w:val="en-GB"/>
        </w:rPr>
        <w:t xml:space="preserve"> 1311-1322. </w:t>
      </w:r>
      <w:hyperlink r:id="rId10" w:history="1">
        <w:r w:rsidR="005E7E58" w:rsidRPr="0087737F">
          <w:rPr>
            <w:rStyle w:val="Hyperlink"/>
            <w:color w:val="auto"/>
            <w:lang w:val="en-GB"/>
          </w:rPr>
          <w:t>https://doi.org/10.1111/1365-2435.12706</w:t>
        </w:r>
      </w:hyperlink>
      <w:r w:rsidR="005E7E58" w:rsidRPr="0087737F">
        <w:rPr>
          <w:lang w:val="en-GB"/>
        </w:rPr>
        <w:t xml:space="preserve"> </w:t>
      </w:r>
    </w:p>
    <w:p w14:paraId="79F5183D" w14:textId="77777777" w:rsidR="0002061D" w:rsidRPr="0087737F" w:rsidRDefault="0002061D" w:rsidP="007373E6">
      <w:pPr>
        <w:pStyle w:val="EndNoteBibliography"/>
        <w:spacing w:after="0" w:line="480" w:lineRule="auto"/>
        <w:ind w:left="720" w:hanging="720"/>
        <w:rPr>
          <w:u w:val="single"/>
        </w:rPr>
      </w:pPr>
      <w:r w:rsidRPr="0087737F">
        <w:lastRenderedPageBreak/>
        <w:t xml:space="preserve">Hartley, S.E. &amp; Gange, A.C. (2009) Impacts of plant symbiotic fungi on insect herbivores: Mutualism in a multitrophic context. </w:t>
      </w:r>
      <w:r w:rsidRPr="0087737F">
        <w:rPr>
          <w:i/>
        </w:rPr>
        <w:t>Annual Review of Entomology,</w:t>
      </w:r>
      <w:r w:rsidRPr="0087737F">
        <w:t xml:space="preserve"> </w:t>
      </w:r>
      <w:r w:rsidRPr="0087737F">
        <w:rPr>
          <w:b/>
        </w:rPr>
        <w:t>54,</w:t>
      </w:r>
      <w:r w:rsidRPr="0087737F">
        <w:t xml:space="preserve"> 323-342. </w:t>
      </w:r>
      <w:r w:rsidRPr="0087737F">
        <w:rPr>
          <w:u w:val="single"/>
        </w:rPr>
        <w:t>https://doi.org/10.1146/annurev.ento.54.110807.090614</w:t>
      </w:r>
    </w:p>
    <w:p w14:paraId="4AAFDFA9" w14:textId="77777777" w:rsidR="0002061D" w:rsidRPr="0087737F" w:rsidRDefault="0002061D" w:rsidP="007373E6">
      <w:pPr>
        <w:pStyle w:val="EndNoteBibliography"/>
        <w:spacing w:after="0" w:line="480" w:lineRule="auto"/>
        <w:ind w:left="720" w:hanging="720"/>
        <w:rPr>
          <w:u w:val="single"/>
        </w:rPr>
      </w:pPr>
      <w:r w:rsidRPr="0087737F">
        <w:t xml:space="preserve">Hempel, S., Stein, C., Unsicker, S.B., Renker, C., Auge, H., Weisser, W.W. &amp; Buscot, F. (2009) Specific bottom-up effects of arbuscular mycorrhizal fungi across a plant-herbivore-parasitoid system. </w:t>
      </w:r>
      <w:r w:rsidRPr="0087737F">
        <w:rPr>
          <w:i/>
        </w:rPr>
        <w:t>Oecologia,</w:t>
      </w:r>
      <w:r w:rsidRPr="0087737F">
        <w:t xml:space="preserve"> </w:t>
      </w:r>
      <w:r w:rsidRPr="0087737F">
        <w:rPr>
          <w:b/>
        </w:rPr>
        <w:t>160,</w:t>
      </w:r>
      <w:r w:rsidRPr="0087737F">
        <w:t xml:space="preserve"> 267-277. </w:t>
      </w:r>
      <w:r w:rsidRPr="0087737F">
        <w:rPr>
          <w:u w:val="single"/>
        </w:rPr>
        <w:t>https://doi.org/10.1007/s00442-009-1294-0</w:t>
      </w:r>
    </w:p>
    <w:p w14:paraId="582427D7" w14:textId="65218A66" w:rsidR="0002061D" w:rsidRPr="0087737F" w:rsidRDefault="0002061D" w:rsidP="007373E6">
      <w:pPr>
        <w:pStyle w:val="EndNoteBibliography"/>
        <w:spacing w:after="0" w:line="480" w:lineRule="auto"/>
        <w:ind w:left="720" w:hanging="720"/>
        <w:rPr>
          <w:u w:val="single"/>
        </w:rPr>
      </w:pPr>
      <w:r w:rsidRPr="0087737F">
        <w:t xml:space="preserve">Herman, D.J., Firestone, M.K., Nuccio, E. &amp; Hodge, A. (2012) Interactions between an arbuscular mycorrhizal fungus and a soil microbial community mediating litter decomposition. </w:t>
      </w:r>
      <w:r w:rsidR="00334A5C" w:rsidRPr="0087737F">
        <w:rPr>
          <w:i/>
        </w:rPr>
        <w:t xml:space="preserve">FEMS </w:t>
      </w:r>
      <w:r w:rsidRPr="0087737F">
        <w:rPr>
          <w:i/>
        </w:rPr>
        <w:t>Microbiology Ecology,</w:t>
      </w:r>
      <w:r w:rsidRPr="0087737F">
        <w:t xml:space="preserve"> </w:t>
      </w:r>
      <w:r w:rsidRPr="0087737F">
        <w:rPr>
          <w:b/>
        </w:rPr>
        <w:t>80,</w:t>
      </w:r>
      <w:r w:rsidRPr="0087737F">
        <w:t xml:space="preserve"> 236-247. </w:t>
      </w:r>
      <w:r w:rsidRPr="0087737F">
        <w:rPr>
          <w:u w:val="single"/>
        </w:rPr>
        <w:t>https://doi.org/10.1111/j.1574-6941.2011.01292.x</w:t>
      </w:r>
    </w:p>
    <w:p w14:paraId="7E194DF3" w14:textId="77777777" w:rsidR="0002061D" w:rsidRPr="0087737F" w:rsidRDefault="0002061D" w:rsidP="007373E6">
      <w:pPr>
        <w:pStyle w:val="EndNoteBibliography"/>
        <w:spacing w:after="0" w:line="480" w:lineRule="auto"/>
        <w:ind w:left="720" w:hanging="720"/>
        <w:rPr>
          <w:u w:val="single"/>
        </w:rPr>
      </w:pPr>
      <w:r w:rsidRPr="0087737F">
        <w:t xml:space="preserve">Hodge, A. (2001) Arbuscular mycorrhizal fungi influence decomposition of, but not plant nutrient capture from, glycine patches in soil. </w:t>
      </w:r>
      <w:r w:rsidRPr="0087737F">
        <w:rPr>
          <w:i/>
        </w:rPr>
        <w:t>New Phytologist,</w:t>
      </w:r>
      <w:r w:rsidRPr="0087737F">
        <w:t xml:space="preserve"> </w:t>
      </w:r>
      <w:r w:rsidRPr="0087737F">
        <w:rPr>
          <w:b/>
        </w:rPr>
        <w:t>151,</w:t>
      </w:r>
      <w:r w:rsidRPr="0087737F">
        <w:t xml:space="preserve"> 725-734. </w:t>
      </w:r>
      <w:r w:rsidRPr="0087737F">
        <w:rPr>
          <w:u w:val="single"/>
        </w:rPr>
        <w:t>https://doi.org/10.1046/j.0028-646x.2001.00200.x</w:t>
      </w:r>
    </w:p>
    <w:p w14:paraId="2BD0643B" w14:textId="77777777" w:rsidR="0002061D" w:rsidRPr="0087737F" w:rsidRDefault="0002061D" w:rsidP="007373E6">
      <w:pPr>
        <w:pStyle w:val="EndNoteBibliography"/>
        <w:spacing w:after="0" w:line="480" w:lineRule="auto"/>
        <w:ind w:left="720" w:hanging="720"/>
        <w:rPr>
          <w:u w:val="single"/>
        </w:rPr>
      </w:pPr>
      <w:r w:rsidRPr="0087737F">
        <w:t xml:space="preserve">Hodge, A. (2003) Plant nitrogen capture from organic matter as affected by spatial dispersion, interspecific competition and mycorrhizal colonization. </w:t>
      </w:r>
      <w:r w:rsidRPr="0087737F">
        <w:rPr>
          <w:i/>
        </w:rPr>
        <w:t>New Phytologist,</w:t>
      </w:r>
      <w:r w:rsidRPr="0087737F">
        <w:t xml:space="preserve"> </w:t>
      </w:r>
      <w:r w:rsidRPr="0087737F">
        <w:rPr>
          <w:b/>
        </w:rPr>
        <w:t>157,</w:t>
      </w:r>
      <w:r w:rsidRPr="0087737F">
        <w:t xml:space="preserve"> 303-314. </w:t>
      </w:r>
      <w:r w:rsidRPr="0087737F">
        <w:rPr>
          <w:u w:val="single"/>
        </w:rPr>
        <w:t>https://doi.org/10.1046/j.1469-8137.2003.00662.x</w:t>
      </w:r>
    </w:p>
    <w:p w14:paraId="74A1F622" w14:textId="77777777" w:rsidR="0002061D" w:rsidRPr="0087737F" w:rsidRDefault="0002061D" w:rsidP="007373E6">
      <w:pPr>
        <w:pStyle w:val="EndNoteBibliography"/>
        <w:spacing w:after="0" w:line="480" w:lineRule="auto"/>
        <w:ind w:left="720" w:hanging="720"/>
        <w:rPr>
          <w:u w:val="single"/>
        </w:rPr>
      </w:pPr>
      <w:r w:rsidRPr="0087737F">
        <w:t xml:space="preserve">Hodge, A. (2004) The plastic plant: root responses to heterogeneous supplies of nutrients. </w:t>
      </w:r>
      <w:r w:rsidRPr="0087737F">
        <w:rPr>
          <w:i/>
        </w:rPr>
        <w:t>New Phytologist,</w:t>
      </w:r>
      <w:r w:rsidRPr="0087737F">
        <w:t xml:space="preserve"> </w:t>
      </w:r>
      <w:r w:rsidRPr="0087737F">
        <w:rPr>
          <w:b/>
        </w:rPr>
        <w:t>162,</w:t>
      </w:r>
      <w:r w:rsidRPr="0087737F">
        <w:t xml:space="preserve"> 9-24. </w:t>
      </w:r>
      <w:r w:rsidRPr="0087737F">
        <w:rPr>
          <w:u w:val="single"/>
        </w:rPr>
        <w:t>https://doi.org/10.1111/j.1469-8137.2004.01015.x</w:t>
      </w:r>
    </w:p>
    <w:p w14:paraId="046C7A3B" w14:textId="77777777" w:rsidR="0002061D" w:rsidRPr="0087737F" w:rsidRDefault="0002061D" w:rsidP="007373E6">
      <w:pPr>
        <w:pStyle w:val="EndNoteBibliography"/>
        <w:spacing w:after="0" w:line="480" w:lineRule="auto"/>
        <w:ind w:left="720" w:hanging="720"/>
      </w:pPr>
      <w:r w:rsidRPr="0087737F">
        <w:t xml:space="preserve">Hodge, A. (2016) Accessibility of inorganic and organic nutrients for mycorrhizas. </w:t>
      </w:r>
      <w:r w:rsidRPr="0087737F">
        <w:rPr>
          <w:i/>
        </w:rPr>
        <w:t xml:space="preserve">Mycorrhizal Mediation of Soil: Fertility, Structure and Carbon Storage </w:t>
      </w:r>
      <w:r w:rsidRPr="0087737F">
        <w:t>(eds N. Johnson, C. Gehring &amp; J. Jansa), pp. 129-148.</w:t>
      </w:r>
      <w:r w:rsidRPr="0087737F">
        <w:rPr>
          <w:i/>
        </w:rPr>
        <w:t xml:space="preserve"> </w:t>
      </w:r>
      <w:r w:rsidRPr="0087737F">
        <w:t xml:space="preserve">Elsevier, Amsterdam. </w:t>
      </w:r>
    </w:p>
    <w:p w14:paraId="5099D0EC" w14:textId="77777777" w:rsidR="0002061D" w:rsidRPr="0087737F" w:rsidRDefault="0002061D" w:rsidP="007373E6">
      <w:pPr>
        <w:pStyle w:val="EndNoteBibliography"/>
        <w:spacing w:after="0" w:line="480" w:lineRule="auto"/>
        <w:ind w:left="720" w:hanging="720"/>
        <w:rPr>
          <w:u w:val="single"/>
        </w:rPr>
      </w:pPr>
      <w:r w:rsidRPr="0087737F">
        <w:t xml:space="preserve">Hodge, A., Campbell, C.D. &amp; Fitter, A.H. (2001) An arbuscular mycorrhizal fungus accelerates decomposition and acquires nitrogen directly from organic material. </w:t>
      </w:r>
      <w:r w:rsidRPr="0087737F">
        <w:rPr>
          <w:i/>
        </w:rPr>
        <w:t>Nature,</w:t>
      </w:r>
      <w:r w:rsidRPr="0087737F">
        <w:t xml:space="preserve"> </w:t>
      </w:r>
      <w:r w:rsidRPr="0087737F">
        <w:rPr>
          <w:b/>
        </w:rPr>
        <w:t>413,</w:t>
      </w:r>
      <w:r w:rsidRPr="0087737F">
        <w:t xml:space="preserve"> 297-299. </w:t>
      </w:r>
      <w:r w:rsidRPr="0087737F">
        <w:rPr>
          <w:u w:val="single"/>
        </w:rPr>
        <w:t>https://doi.org/10.1038/35095041</w:t>
      </w:r>
    </w:p>
    <w:p w14:paraId="37F0BD02" w14:textId="77777777" w:rsidR="0002061D" w:rsidRPr="0087737F" w:rsidRDefault="0002061D" w:rsidP="007373E6">
      <w:pPr>
        <w:pStyle w:val="EndNoteBibliography"/>
        <w:spacing w:after="0" w:line="480" w:lineRule="auto"/>
        <w:ind w:left="720" w:hanging="720"/>
        <w:rPr>
          <w:u w:val="single"/>
        </w:rPr>
      </w:pPr>
      <w:r w:rsidRPr="0087737F">
        <w:t xml:space="preserve">Hodge, A. &amp; Fitter, A.H. (2010) Substantial nitrogen acquisition by arbuscular mycorrhizal fungi from organic material has implications for N cycling. </w:t>
      </w:r>
      <w:r w:rsidRPr="0087737F">
        <w:rPr>
          <w:i/>
        </w:rPr>
        <w:t xml:space="preserve">Proceedings of the </w:t>
      </w:r>
      <w:r w:rsidRPr="0087737F">
        <w:rPr>
          <w:i/>
        </w:rPr>
        <w:lastRenderedPageBreak/>
        <w:t>National Academy of Sciences of the United States of America,</w:t>
      </w:r>
      <w:r w:rsidRPr="0087737F">
        <w:t xml:space="preserve"> </w:t>
      </w:r>
      <w:r w:rsidRPr="0087737F">
        <w:rPr>
          <w:b/>
        </w:rPr>
        <w:t>107,</w:t>
      </w:r>
      <w:r w:rsidRPr="0087737F">
        <w:t xml:space="preserve"> 13754-13759. </w:t>
      </w:r>
      <w:r w:rsidRPr="0087737F">
        <w:rPr>
          <w:u w:val="single"/>
        </w:rPr>
        <w:t>https://doi.org/10.1073/pnas.1005874107</w:t>
      </w:r>
    </w:p>
    <w:p w14:paraId="298FD650" w14:textId="77777777" w:rsidR="0002061D" w:rsidRPr="0087737F" w:rsidRDefault="0002061D" w:rsidP="007373E6">
      <w:pPr>
        <w:pStyle w:val="EndNoteBibliography"/>
        <w:spacing w:after="0" w:line="480" w:lineRule="auto"/>
        <w:ind w:left="720" w:hanging="720"/>
        <w:rPr>
          <w:u w:val="single"/>
        </w:rPr>
      </w:pPr>
      <w:r w:rsidRPr="0087737F">
        <w:t xml:space="preserve">Hodge, A. &amp; Storer, K. (2015) Arbuscular mycorrhiza and nitrogen: implications for individual plants through to ecosystems. </w:t>
      </w:r>
      <w:r w:rsidRPr="0087737F">
        <w:rPr>
          <w:i/>
        </w:rPr>
        <w:t>Plant and Soil,</w:t>
      </w:r>
      <w:r w:rsidRPr="0087737F">
        <w:t xml:space="preserve"> </w:t>
      </w:r>
      <w:r w:rsidRPr="0087737F">
        <w:rPr>
          <w:b/>
        </w:rPr>
        <w:t>386,</w:t>
      </w:r>
      <w:r w:rsidRPr="0087737F">
        <w:t xml:space="preserve"> 1-19. </w:t>
      </w:r>
      <w:r w:rsidRPr="0087737F">
        <w:rPr>
          <w:u w:val="single"/>
        </w:rPr>
        <w:t>https://doi.org/10.1007/s11104-014-2162-1</w:t>
      </w:r>
    </w:p>
    <w:p w14:paraId="0E1D73B6" w14:textId="77777777" w:rsidR="0002061D" w:rsidRPr="0087737F" w:rsidRDefault="0002061D" w:rsidP="007373E6">
      <w:pPr>
        <w:pStyle w:val="EndNoteBibliography"/>
        <w:spacing w:after="0" w:line="480" w:lineRule="auto"/>
        <w:ind w:left="720" w:hanging="720"/>
        <w:rPr>
          <w:u w:val="single"/>
        </w:rPr>
      </w:pPr>
      <w:r w:rsidRPr="0087737F">
        <w:t xml:space="preserve">Hughes, J.K., Hodge, A., Fitter, A.H. &amp; Atkin, O.K. (2008) Mycorrhizal respiration: implications for global scaling relationships. </w:t>
      </w:r>
      <w:r w:rsidRPr="0087737F">
        <w:rPr>
          <w:i/>
        </w:rPr>
        <w:t>Trends in Plant Science,</w:t>
      </w:r>
      <w:r w:rsidRPr="0087737F">
        <w:t xml:space="preserve"> </w:t>
      </w:r>
      <w:r w:rsidRPr="0087737F">
        <w:rPr>
          <w:b/>
        </w:rPr>
        <w:t>13,</w:t>
      </w:r>
      <w:r w:rsidRPr="0087737F">
        <w:t xml:space="preserve"> 583-588. </w:t>
      </w:r>
      <w:r w:rsidRPr="0087737F">
        <w:rPr>
          <w:u w:val="single"/>
        </w:rPr>
        <w:t>https://doi.org/10.1016/j.tplants.2008.08.010</w:t>
      </w:r>
    </w:p>
    <w:p w14:paraId="1AECCCE2" w14:textId="77777777" w:rsidR="0002061D" w:rsidRPr="0087737F" w:rsidRDefault="0002061D" w:rsidP="007373E6">
      <w:pPr>
        <w:pStyle w:val="EndNoteBibliography"/>
        <w:spacing w:after="0" w:line="480" w:lineRule="auto"/>
        <w:ind w:left="720" w:hanging="720"/>
        <w:rPr>
          <w:u w:val="single"/>
        </w:rPr>
      </w:pPr>
      <w:r w:rsidRPr="0087737F">
        <w:t xml:space="preserve">Jansson, J. &amp; Ekbom, B. (2002) The effect of different plant nutrient regimes on the aphid </w:t>
      </w:r>
      <w:r w:rsidRPr="0087737F">
        <w:rPr>
          <w:i/>
        </w:rPr>
        <w:t>Macrosiphum euphorbiae</w:t>
      </w:r>
      <w:r w:rsidRPr="0087737F">
        <w:t xml:space="preserve"> growing on petunia. </w:t>
      </w:r>
      <w:r w:rsidRPr="0087737F">
        <w:rPr>
          <w:i/>
        </w:rPr>
        <w:t>Entomologia Experimentalis Et Applicata,</w:t>
      </w:r>
      <w:r w:rsidRPr="0087737F">
        <w:t xml:space="preserve"> </w:t>
      </w:r>
      <w:r w:rsidRPr="0087737F">
        <w:rPr>
          <w:b/>
        </w:rPr>
        <w:t>104,</w:t>
      </w:r>
      <w:r w:rsidRPr="0087737F">
        <w:t xml:space="preserve"> 109-116. </w:t>
      </w:r>
      <w:r w:rsidRPr="0087737F">
        <w:rPr>
          <w:u w:val="single"/>
        </w:rPr>
        <w:t>https://doi.org/10.1046/j.1570-7458.2002.00997.x</w:t>
      </w:r>
    </w:p>
    <w:p w14:paraId="097CC3AF" w14:textId="77777777" w:rsidR="0002061D" w:rsidRPr="0087737F" w:rsidRDefault="0002061D" w:rsidP="007373E6">
      <w:pPr>
        <w:pStyle w:val="EndNoteBibliography"/>
        <w:spacing w:after="0" w:line="480" w:lineRule="auto"/>
        <w:ind w:left="720" w:hanging="720"/>
        <w:rPr>
          <w:u w:val="single"/>
        </w:rPr>
      </w:pPr>
      <w:r w:rsidRPr="0087737F">
        <w:t xml:space="preserve">Jin, L., Wang, Q., Wang, X.J. &amp; Gange, A.C. (2017) Mycorrhizal-induced growth depression in plants. </w:t>
      </w:r>
      <w:r w:rsidRPr="0087737F">
        <w:rPr>
          <w:i/>
        </w:rPr>
        <w:t>Symbiosis,</w:t>
      </w:r>
      <w:r w:rsidRPr="0087737F">
        <w:t xml:space="preserve"> </w:t>
      </w:r>
      <w:r w:rsidRPr="0087737F">
        <w:rPr>
          <w:b/>
        </w:rPr>
        <w:t>72,</w:t>
      </w:r>
      <w:r w:rsidRPr="0087737F">
        <w:t xml:space="preserve"> 81-88. </w:t>
      </w:r>
      <w:r w:rsidRPr="0087737F">
        <w:rPr>
          <w:u w:val="single"/>
        </w:rPr>
        <w:t>https://doi.org/10.1007/s13199-016-0444-5</w:t>
      </w:r>
    </w:p>
    <w:p w14:paraId="126BD24A" w14:textId="333FC6FD" w:rsidR="0002061D" w:rsidRPr="0087737F" w:rsidRDefault="0002061D" w:rsidP="007373E6">
      <w:pPr>
        <w:pStyle w:val="EndNoteBibliography"/>
        <w:spacing w:after="0" w:line="480" w:lineRule="auto"/>
        <w:ind w:left="720" w:hanging="720"/>
        <w:rPr>
          <w:u w:val="single"/>
        </w:rPr>
      </w:pPr>
      <w:r w:rsidRPr="0087737F">
        <w:t xml:space="preserve">Johnson, N.C., Wilson, G.W.T., Bowker, M.A., Wilson, J.A. &amp; Miller, R.M. (2010) Resource limitation is a driver of local adaptation in mycorrhizal symbioses. </w:t>
      </w:r>
      <w:r w:rsidRPr="0087737F">
        <w:rPr>
          <w:i/>
        </w:rPr>
        <w:t>Proceedings of the National Academy of Sciences of the United States of America,</w:t>
      </w:r>
      <w:r w:rsidRPr="0087737F">
        <w:t xml:space="preserve"> </w:t>
      </w:r>
      <w:r w:rsidRPr="0087737F">
        <w:rPr>
          <w:b/>
        </w:rPr>
        <w:t>107,</w:t>
      </w:r>
      <w:r w:rsidRPr="0087737F">
        <w:t xml:space="preserve"> 2093-2098. </w:t>
      </w:r>
      <w:hyperlink r:id="rId11" w:history="1">
        <w:r w:rsidR="0069257D" w:rsidRPr="0087737F">
          <w:rPr>
            <w:rStyle w:val="Hyperlink"/>
            <w:color w:val="auto"/>
          </w:rPr>
          <w:t>https://doi.org/10.1073/pnas.0906710107</w:t>
        </w:r>
      </w:hyperlink>
    </w:p>
    <w:p w14:paraId="24735D57" w14:textId="3F982D91" w:rsidR="0069257D" w:rsidRPr="0087737F" w:rsidRDefault="0069257D" w:rsidP="007373E6">
      <w:pPr>
        <w:pStyle w:val="EndNoteBibliography"/>
        <w:spacing w:after="0" w:line="480" w:lineRule="auto"/>
        <w:ind w:left="720" w:hanging="720"/>
      </w:pPr>
      <w:r w:rsidRPr="0087737F">
        <w:t xml:space="preserve">Johnson, S.N., Ryalls, J.M.W. &amp; Karley, A.J. (2014) Global climate change and crop resistance to aphids: contrasting responses of lucerne genotypes to elevated atmospheric carbon dioxide. </w:t>
      </w:r>
      <w:r w:rsidRPr="0087737F">
        <w:rPr>
          <w:i/>
        </w:rPr>
        <w:t>Annals of Applied Biology</w:t>
      </w:r>
      <w:r w:rsidRPr="0087737F">
        <w:t xml:space="preserve">, </w:t>
      </w:r>
      <w:r w:rsidRPr="0087737F">
        <w:rPr>
          <w:b/>
        </w:rPr>
        <w:t>165</w:t>
      </w:r>
      <w:r w:rsidRPr="0087737F">
        <w:t xml:space="preserve">, 62-72. </w:t>
      </w:r>
      <w:hyperlink r:id="rId12" w:history="1">
        <w:r w:rsidRPr="0087737F">
          <w:rPr>
            <w:rStyle w:val="Hyperlink"/>
            <w:color w:val="auto"/>
          </w:rPr>
          <w:t>https://doi.org/10.1111/aab.12115</w:t>
        </w:r>
      </w:hyperlink>
      <w:r w:rsidRPr="0087737F">
        <w:t xml:space="preserve"> </w:t>
      </w:r>
    </w:p>
    <w:p w14:paraId="4D6F1FD2" w14:textId="77777777" w:rsidR="0002061D" w:rsidRPr="0087737F" w:rsidRDefault="0002061D" w:rsidP="007373E6">
      <w:pPr>
        <w:pStyle w:val="EndNoteBibliography"/>
        <w:spacing w:after="0" w:line="480" w:lineRule="auto"/>
        <w:ind w:left="720" w:hanging="720"/>
        <w:rPr>
          <w:u w:val="single"/>
        </w:rPr>
      </w:pPr>
      <w:r w:rsidRPr="0087737F">
        <w:t xml:space="preserve">Karley, A.J., Emslie-Smith, M. &amp; Bennett, A.E. (2017) Potato aphid </w:t>
      </w:r>
      <w:r w:rsidRPr="0087737F">
        <w:rPr>
          <w:i/>
        </w:rPr>
        <w:t>Macrosiphum euphorbiae</w:t>
      </w:r>
      <w:r w:rsidRPr="0087737F">
        <w:t xml:space="preserve"> performance is determined by aphid genotype and not mycorrhizal fungi or water availability. </w:t>
      </w:r>
      <w:r w:rsidRPr="0087737F">
        <w:rPr>
          <w:i/>
        </w:rPr>
        <w:t>Insect Science,</w:t>
      </w:r>
      <w:r w:rsidRPr="0087737F">
        <w:t xml:space="preserve"> </w:t>
      </w:r>
      <w:r w:rsidRPr="0087737F">
        <w:rPr>
          <w:b/>
        </w:rPr>
        <w:t>24,</w:t>
      </w:r>
      <w:r w:rsidRPr="0087737F">
        <w:t xml:space="preserve"> 1015-1024. </w:t>
      </w:r>
      <w:r w:rsidRPr="0087737F">
        <w:rPr>
          <w:u w:val="single"/>
        </w:rPr>
        <w:t>https://doi.org/10.1111/1744-7917.12445</w:t>
      </w:r>
    </w:p>
    <w:p w14:paraId="3B24AB4F" w14:textId="77777777" w:rsidR="0002061D" w:rsidRPr="0087737F" w:rsidRDefault="0002061D" w:rsidP="007373E6">
      <w:pPr>
        <w:pStyle w:val="EndNoteBibliography"/>
        <w:spacing w:after="0" w:line="480" w:lineRule="auto"/>
        <w:ind w:left="720" w:hanging="720"/>
        <w:rPr>
          <w:u w:val="single"/>
        </w:rPr>
      </w:pPr>
      <w:r w:rsidRPr="0087737F">
        <w:t xml:space="preserve">Keymer, A. &amp; Gutjahr, C. (2018) Cross-kingdom lipid transfer in arbuscular mycorrhiza symbiosis and beyond. </w:t>
      </w:r>
      <w:r w:rsidRPr="0087737F">
        <w:rPr>
          <w:i/>
        </w:rPr>
        <w:t>Current Opinion in Plant Biology,</w:t>
      </w:r>
      <w:r w:rsidRPr="0087737F">
        <w:t xml:space="preserve"> </w:t>
      </w:r>
      <w:r w:rsidRPr="0087737F">
        <w:rPr>
          <w:b/>
        </w:rPr>
        <w:t>44,</w:t>
      </w:r>
      <w:r w:rsidRPr="0087737F">
        <w:t xml:space="preserve"> 137-144. </w:t>
      </w:r>
      <w:r w:rsidRPr="0087737F">
        <w:rPr>
          <w:u w:val="single"/>
        </w:rPr>
        <w:t>https://doi.org/https://doi.org/10.1016/j.pbi.2018.04.005</w:t>
      </w:r>
    </w:p>
    <w:p w14:paraId="08CCBE62" w14:textId="77777777" w:rsidR="0002061D" w:rsidRPr="0087737F" w:rsidRDefault="0002061D" w:rsidP="007373E6">
      <w:pPr>
        <w:pStyle w:val="EndNoteBibliography"/>
        <w:spacing w:after="0" w:line="480" w:lineRule="auto"/>
        <w:ind w:left="720" w:hanging="720"/>
        <w:rPr>
          <w:u w:val="single"/>
        </w:rPr>
      </w:pPr>
      <w:r w:rsidRPr="0087737F">
        <w:lastRenderedPageBreak/>
        <w:t xml:space="preserve">Khan, M. &amp; Port, G. (2008) Performance of clones and morphs of two cereal aphids on wheat plants with high and low nitrogen content. </w:t>
      </w:r>
      <w:r w:rsidRPr="0087737F">
        <w:rPr>
          <w:i/>
        </w:rPr>
        <w:t>Entomological Science,</w:t>
      </w:r>
      <w:r w:rsidRPr="0087737F">
        <w:t xml:space="preserve"> </w:t>
      </w:r>
      <w:r w:rsidRPr="0087737F">
        <w:rPr>
          <w:b/>
        </w:rPr>
        <w:t>11,</w:t>
      </w:r>
      <w:r w:rsidRPr="0087737F">
        <w:t xml:space="preserve"> 159-165. </w:t>
      </w:r>
      <w:r w:rsidRPr="0087737F">
        <w:rPr>
          <w:u w:val="single"/>
        </w:rPr>
        <w:t>https://doi.org/10.1111/j.1479-8298.2008.00262.x</w:t>
      </w:r>
    </w:p>
    <w:p w14:paraId="31B0706C" w14:textId="77777777" w:rsidR="0002061D" w:rsidRPr="0087737F" w:rsidRDefault="0002061D" w:rsidP="007373E6">
      <w:pPr>
        <w:pStyle w:val="EndNoteBibliography"/>
        <w:spacing w:after="0" w:line="480" w:lineRule="auto"/>
        <w:ind w:left="720" w:hanging="720"/>
        <w:rPr>
          <w:u w:val="single"/>
        </w:rPr>
      </w:pPr>
      <w:r w:rsidRPr="0087737F">
        <w:t xml:space="preserve">Koricheva, J., Gange, A.C. &amp; Jones, T. (2009) Effects of mycorrhizal fungi on insect herbivores: a meta-analysis. </w:t>
      </w:r>
      <w:r w:rsidRPr="0087737F">
        <w:rPr>
          <w:i/>
        </w:rPr>
        <w:t>Ecology,</w:t>
      </w:r>
      <w:r w:rsidRPr="0087737F">
        <w:t xml:space="preserve"> </w:t>
      </w:r>
      <w:r w:rsidRPr="0087737F">
        <w:rPr>
          <w:b/>
        </w:rPr>
        <w:t>90,</w:t>
      </w:r>
      <w:r w:rsidRPr="0087737F">
        <w:t xml:space="preserve"> 2088-2097. </w:t>
      </w:r>
      <w:r w:rsidRPr="0087737F">
        <w:rPr>
          <w:u w:val="single"/>
        </w:rPr>
        <w:t>https://doi.org/10.1890/08-1555.1</w:t>
      </w:r>
    </w:p>
    <w:p w14:paraId="58D5A943" w14:textId="77777777" w:rsidR="0002061D" w:rsidRPr="0087737F" w:rsidRDefault="0002061D" w:rsidP="007373E6">
      <w:pPr>
        <w:pStyle w:val="EndNoteBibliography"/>
        <w:spacing w:after="0" w:line="480" w:lineRule="auto"/>
        <w:ind w:left="720" w:hanging="720"/>
        <w:rPr>
          <w:u w:val="single"/>
        </w:rPr>
      </w:pPr>
      <w:r w:rsidRPr="0087737F">
        <w:t xml:space="preserve">Lau, J.A. (2011) Aboveground-belowground linkages: Biotic interactions, ecosystem processes, and global change. </w:t>
      </w:r>
      <w:r w:rsidRPr="0087737F">
        <w:rPr>
          <w:i/>
        </w:rPr>
        <w:t>Quarterly Review of Biology,</w:t>
      </w:r>
      <w:r w:rsidRPr="0087737F">
        <w:t xml:space="preserve"> </w:t>
      </w:r>
      <w:r w:rsidRPr="0087737F">
        <w:rPr>
          <w:b/>
        </w:rPr>
        <w:t>86,</w:t>
      </w:r>
      <w:r w:rsidRPr="0087737F">
        <w:t xml:space="preserve"> 340-340. </w:t>
      </w:r>
      <w:r w:rsidRPr="0087737F">
        <w:rPr>
          <w:u w:val="single"/>
        </w:rPr>
        <w:t>https://doi.org/10.1086/662483</w:t>
      </w:r>
    </w:p>
    <w:p w14:paraId="17CB5ADD" w14:textId="77777777" w:rsidR="0002061D" w:rsidRPr="0087737F" w:rsidRDefault="0002061D" w:rsidP="007373E6">
      <w:pPr>
        <w:pStyle w:val="EndNoteBibliography"/>
        <w:spacing w:after="0" w:line="480" w:lineRule="auto"/>
        <w:ind w:left="720" w:hanging="720"/>
        <w:rPr>
          <w:u w:val="single"/>
        </w:rPr>
      </w:pPr>
      <w:r w:rsidRPr="0087737F">
        <w:t xml:space="preserve">Leigh, J., Hodge, A. &amp; Fitter, A.H. (2009) Arbuscular mycorrhizal fungi can transfer substantial amounts of nitrogen to their host plant from organic material. </w:t>
      </w:r>
      <w:r w:rsidRPr="0087737F">
        <w:rPr>
          <w:i/>
        </w:rPr>
        <w:t>New Phytologist,</w:t>
      </w:r>
      <w:r w:rsidRPr="0087737F">
        <w:t xml:space="preserve"> </w:t>
      </w:r>
      <w:r w:rsidRPr="0087737F">
        <w:rPr>
          <w:b/>
        </w:rPr>
        <w:t>181,</w:t>
      </w:r>
      <w:r w:rsidRPr="0087737F">
        <w:t xml:space="preserve"> 199-207. </w:t>
      </w:r>
      <w:r w:rsidRPr="0087737F">
        <w:rPr>
          <w:u w:val="single"/>
        </w:rPr>
        <w:t>https://doi.org/10.1111/j.1469-8137.2008.02630.x</w:t>
      </w:r>
    </w:p>
    <w:p w14:paraId="49204E4F" w14:textId="26CEB9AC" w:rsidR="00647BC5" w:rsidRPr="0087737F" w:rsidRDefault="0002061D" w:rsidP="00706A14">
      <w:pPr>
        <w:pStyle w:val="EndNoteBibliography"/>
        <w:spacing w:after="0" w:line="480" w:lineRule="auto"/>
        <w:ind w:left="720" w:hanging="720"/>
        <w:rPr>
          <w:u w:val="single"/>
        </w:rPr>
      </w:pPr>
      <w:r w:rsidRPr="0087737F">
        <w:t xml:space="preserve">Mauch-Mani, B., Baccelli, I., Luna, E. &amp; Flors, V. (2017) Defense priming: An adaptive part of induced resistance. </w:t>
      </w:r>
      <w:r w:rsidRPr="0087737F">
        <w:rPr>
          <w:i/>
        </w:rPr>
        <w:t>Annual Review of Plant Biology,</w:t>
      </w:r>
      <w:r w:rsidRPr="0087737F">
        <w:t xml:space="preserve"> </w:t>
      </w:r>
      <w:r w:rsidRPr="0087737F">
        <w:rPr>
          <w:b/>
        </w:rPr>
        <w:t>68,</w:t>
      </w:r>
      <w:r w:rsidRPr="0087737F">
        <w:t xml:space="preserve"> 485-512. </w:t>
      </w:r>
      <w:hyperlink r:id="rId13" w:history="1">
        <w:r w:rsidR="00647BC5" w:rsidRPr="0087737F">
          <w:rPr>
            <w:rStyle w:val="Hyperlink"/>
            <w:color w:val="auto"/>
          </w:rPr>
          <w:t>https://doi.org/10.1146/annurev-arplant-042916-041132</w:t>
        </w:r>
      </w:hyperlink>
    </w:p>
    <w:p w14:paraId="69DF7125" w14:textId="10A46856" w:rsidR="008F00F0" w:rsidRPr="0087737F" w:rsidRDefault="008F00F0" w:rsidP="00706A14">
      <w:pPr>
        <w:pStyle w:val="EndNoteBibliography"/>
        <w:spacing w:after="0" w:line="480" w:lineRule="auto"/>
        <w:ind w:left="720" w:hanging="720"/>
      </w:pPr>
      <w:r w:rsidRPr="0087737F">
        <w:t>N</w:t>
      </w:r>
      <w:r w:rsidR="007A5848" w:rsidRPr="0087737F">
        <w:t>orbae</w:t>
      </w:r>
      <w:r w:rsidR="007A5848" w:rsidRPr="0087737F">
        <w:rPr>
          <w:lang w:val="en-GB"/>
        </w:rPr>
        <w:t xml:space="preserve">k, R., Aaboer, D.B.F., Bleeg, I.S., Christensen, B.T., Kondo, T. &amp; Brandt, K. (2003) Flavone C-glycoside, phenolic acid, and nitrogen contents in leaves of barley subject to organic fertilization treatments. </w:t>
      </w:r>
      <w:r w:rsidR="007A5848" w:rsidRPr="0087737F">
        <w:rPr>
          <w:i/>
          <w:iCs/>
          <w:lang w:val="en-GB"/>
        </w:rPr>
        <w:t>Journal of Agricultural and Food Chemistry,</w:t>
      </w:r>
      <w:r w:rsidR="007A5848" w:rsidRPr="0087737F">
        <w:rPr>
          <w:lang w:val="en-GB"/>
        </w:rPr>
        <w:t xml:space="preserve"> </w:t>
      </w:r>
      <w:r w:rsidR="007A5848" w:rsidRPr="0087737F">
        <w:rPr>
          <w:b/>
          <w:bCs/>
          <w:lang w:val="en-GB"/>
        </w:rPr>
        <w:t>51,</w:t>
      </w:r>
      <w:r w:rsidR="007A5848" w:rsidRPr="0087737F">
        <w:rPr>
          <w:lang w:val="en-GB"/>
        </w:rPr>
        <w:t xml:space="preserve"> 809-813. </w:t>
      </w:r>
      <w:hyperlink r:id="rId14" w:history="1">
        <w:r w:rsidR="007A5848" w:rsidRPr="0087737F">
          <w:rPr>
            <w:rStyle w:val="Hyperlink"/>
            <w:color w:val="auto"/>
            <w:lang w:val="en-GB"/>
          </w:rPr>
          <w:t>https://doi.org/10.1021/jf0258914</w:t>
        </w:r>
      </w:hyperlink>
      <w:r w:rsidR="007A5848" w:rsidRPr="0087737F">
        <w:rPr>
          <w:lang w:val="en-GB"/>
        </w:rPr>
        <w:t xml:space="preserve"> </w:t>
      </w:r>
    </w:p>
    <w:p w14:paraId="41B39630" w14:textId="77777777" w:rsidR="0002061D" w:rsidRPr="0087737F" w:rsidRDefault="0002061D" w:rsidP="007373E6">
      <w:pPr>
        <w:pStyle w:val="EndNoteBibliography"/>
        <w:spacing w:after="0" w:line="480" w:lineRule="auto"/>
        <w:ind w:left="720" w:hanging="720"/>
        <w:rPr>
          <w:u w:val="single"/>
        </w:rPr>
      </w:pPr>
      <w:r w:rsidRPr="0087737F">
        <w:t xml:space="preserve">Pineda, A., Zheng, S.J., van Loon, J.J.A. &amp; Dicke, M. (2012) Rhizobacteria modify plant-aphid interactions: a case of induced systemic susceptibility. </w:t>
      </w:r>
      <w:r w:rsidRPr="0087737F">
        <w:rPr>
          <w:i/>
        </w:rPr>
        <w:t>Plant Biology,</w:t>
      </w:r>
      <w:r w:rsidRPr="0087737F">
        <w:t xml:space="preserve"> </w:t>
      </w:r>
      <w:r w:rsidRPr="0087737F">
        <w:rPr>
          <w:b/>
        </w:rPr>
        <w:t>14,</w:t>
      </w:r>
      <w:r w:rsidRPr="0087737F">
        <w:t xml:space="preserve"> 83-90. </w:t>
      </w:r>
      <w:r w:rsidRPr="0087737F">
        <w:rPr>
          <w:u w:val="single"/>
        </w:rPr>
        <w:t>https://doi.org/10.1111/j.1438-8677.2011.00549.x</w:t>
      </w:r>
    </w:p>
    <w:p w14:paraId="2195896E" w14:textId="77777777" w:rsidR="0002061D" w:rsidRPr="0087737F" w:rsidRDefault="0002061D" w:rsidP="007373E6">
      <w:pPr>
        <w:pStyle w:val="EndNoteBibliography"/>
        <w:spacing w:after="0" w:line="480" w:lineRule="auto"/>
        <w:ind w:left="720" w:hanging="720"/>
        <w:rPr>
          <w:u w:val="single"/>
        </w:rPr>
      </w:pPr>
      <w:r w:rsidRPr="0087737F">
        <w:t xml:space="preserve">Ponder, K.L., Pritchard, J., Harrington, R. &amp; Bale, J.S. (2000) Difficulties in location and acceptance of phloem sap combined with reduced concentration of phloem amino acids explain lowered performance of the aphid </w:t>
      </w:r>
      <w:r w:rsidRPr="0087737F">
        <w:rPr>
          <w:i/>
        </w:rPr>
        <w:t>Rhopalosiphum padi</w:t>
      </w:r>
      <w:r w:rsidRPr="0087737F">
        <w:t xml:space="preserve"> on nitrogen deficient barley (</w:t>
      </w:r>
      <w:r w:rsidRPr="0087737F">
        <w:rPr>
          <w:i/>
        </w:rPr>
        <w:t>Hordeum vulgare</w:t>
      </w:r>
      <w:r w:rsidRPr="0087737F">
        <w:t xml:space="preserve">) seedlings. </w:t>
      </w:r>
      <w:r w:rsidRPr="0087737F">
        <w:rPr>
          <w:i/>
        </w:rPr>
        <w:t>Entomologia Experimentalis Et Applicata,</w:t>
      </w:r>
      <w:r w:rsidRPr="0087737F">
        <w:t xml:space="preserve"> </w:t>
      </w:r>
      <w:r w:rsidRPr="0087737F">
        <w:rPr>
          <w:b/>
        </w:rPr>
        <w:t>97,</w:t>
      </w:r>
      <w:r w:rsidRPr="0087737F">
        <w:t xml:space="preserve"> 203-210. </w:t>
      </w:r>
      <w:r w:rsidRPr="0087737F">
        <w:rPr>
          <w:u w:val="single"/>
        </w:rPr>
        <w:t>https://doi.org/10.1046/j.1570-7458.2000.00731.x</w:t>
      </w:r>
    </w:p>
    <w:p w14:paraId="00C5FA36" w14:textId="77777777" w:rsidR="0002061D" w:rsidRPr="0087737F" w:rsidRDefault="0002061D" w:rsidP="007373E6">
      <w:pPr>
        <w:pStyle w:val="EndNoteBibliography"/>
        <w:spacing w:after="0" w:line="480" w:lineRule="auto"/>
        <w:ind w:left="720" w:hanging="720"/>
        <w:rPr>
          <w:u w:val="single"/>
        </w:rPr>
      </w:pPr>
      <w:r w:rsidRPr="0087737F">
        <w:lastRenderedPageBreak/>
        <w:t xml:space="preserve">Puschel, D., Janouskova, M., Hujslova, M., Slavikova, R., Gryndlerova, H. &amp; Jansa, J. (2016) Plant-fungus competition for nitrogen erases mycorrhizal growth benefits of </w:t>
      </w:r>
      <w:r w:rsidRPr="0087737F">
        <w:rPr>
          <w:i/>
        </w:rPr>
        <w:t>Andropogon gerardii</w:t>
      </w:r>
      <w:r w:rsidRPr="0087737F">
        <w:t xml:space="preserve"> under limited nitrogen supply. </w:t>
      </w:r>
      <w:r w:rsidRPr="0087737F">
        <w:rPr>
          <w:i/>
        </w:rPr>
        <w:t>Ecology and Evolution,</w:t>
      </w:r>
      <w:r w:rsidRPr="0087737F">
        <w:t xml:space="preserve"> </w:t>
      </w:r>
      <w:r w:rsidRPr="0087737F">
        <w:rPr>
          <w:b/>
        </w:rPr>
        <w:t>6,</w:t>
      </w:r>
      <w:r w:rsidRPr="0087737F">
        <w:t xml:space="preserve"> 4332-4346. </w:t>
      </w:r>
      <w:r w:rsidRPr="0087737F">
        <w:rPr>
          <w:u w:val="single"/>
        </w:rPr>
        <w:t>https://doi.org/10.1002/ece3.2207</w:t>
      </w:r>
    </w:p>
    <w:p w14:paraId="461C9467" w14:textId="77777777" w:rsidR="0002061D" w:rsidRPr="0087737F" w:rsidRDefault="0002061D" w:rsidP="007373E6">
      <w:pPr>
        <w:pStyle w:val="EndNoteBibliography"/>
        <w:spacing w:after="0" w:line="480" w:lineRule="auto"/>
        <w:ind w:left="720" w:hanging="720"/>
        <w:rPr>
          <w:u w:val="single"/>
        </w:rPr>
      </w:pPr>
      <w:r w:rsidRPr="0087737F">
        <w:t>R Core Team (2016) R: A language and environment for statistical computing. R Foundation for Statistical Computing.</w:t>
      </w:r>
      <w:r w:rsidRPr="0087737F">
        <w:rPr>
          <w:i/>
        </w:rPr>
        <w:t xml:space="preserve"> </w:t>
      </w:r>
      <w:r w:rsidRPr="0087737F">
        <w:t xml:space="preserve">R Foundation for Statistical Computing, Vienna, Austria. </w:t>
      </w:r>
      <w:r w:rsidRPr="0087737F">
        <w:rPr>
          <w:u w:val="single"/>
        </w:rPr>
        <w:t>https://www.R-project.org/</w:t>
      </w:r>
    </w:p>
    <w:p w14:paraId="51760265" w14:textId="77777777" w:rsidR="0002061D" w:rsidRPr="0087737F" w:rsidRDefault="0002061D" w:rsidP="007373E6">
      <w:pPr>
        <w:pStyle w:val="EndNoteBibliography"/>
        <w:spacing w:after="0" w:line="480" w:lineRule="auto"/>
        <w:ind w:left="720" w:hanging="720"/>
        <w:rPr>
          <w:u w:val="single"/>
        </w:rPr>
      </w:pPr>
      <w:r w:rsidRPr="0087737F">
        <w:t xml:space="preserve">Ravnskov, S., Larsen, J., Olsson, P.A. &amp; Jakobsen, I. (1999) Effects of various organic compounds growth and phosphorus uptake of an arbuscular mycorrhizal fungus. </w:t>
      </w:r>
      <w:r w:rsidRPr="0087737F">
        <w:rPr>
          <w:i/>
        </w:rPr>
        <w:t>New Phytologist,</w:t>
      </w:r>
      <w:r w:rsidRPr="0087737F">
        <w:t xml:space="preserve"> </w:t>
      </w:r>
      <w:r w:rsidRPr="0087737F">
        <w:rPr>
          <w:b/>
        </w:rPr>
        <w:t>141,</w:t>
      </w:r>
      <w:r w:rsidRPr="0087737F">
        <w:t xml:space="preserve"> 517-524. </w:t>
      </w:r>
      <w:r w:rsidRPr="0087737F">
        <w:rPr>
          <w:u w:val="single"/>
        </w:rPr>
        <w:t>https://doi.org/10.1046/j.1469-8137.1999.00353.x</w:t>
      </w:r>
    </w:p>
    <w:p w14:paraId="3746ACDE" w14:textId="77777777" w:rsidR="0002061D" w:rsidRPr="0087737F" w:rsidRDefault="0002061D" w:rsidP="007373E6">
      <w:pPr>
        <w:pStyle w:val="EndNoteBibliography"/>
        <w:spacing w:after="0" w:line="480" w:lineRule="auto"/>
        <w:ind w:left="720" w:hanging="720"/>
        <w:rPr>
          <w:u w:val="single"/>
        </w:rPr>
      </w:pPr>
      <w:r w:rsidRPr="0087737F">
        <w:t xml:space="preserve">Reidinger, S., Ramsey, M.H. &amp; Hartley, S.E. (2012) Rapid and accurate analyses of silicon and phosphorus in plants using a portable X-ray fluorescence spectrometer. </w:t>
      </w:r>
      <w:r w:rsidRPr="0087737F">
        <w:rPr>
          <w:i/>
        </w:rPr>
        <w:t>New Phytologist,</w:t>
      </w:r>
      <w:r w:rsidRPr="0087737F">
        <w:t xml:space="preserve"> </w:t>
      </w:r>
      <w:r w:rsidRPr="0087737F">
        <w:rPr>
          <w:b/>
        </w:rPr>
        <w:t>195,</w:t>
      </w:r>
      <w:r w:rsidRPr="0087737F">
        <w:t xml:space="preserve"> 699-706. </w:t>
      </w:r>
      <w:r w:rsidRPr="0087737F">
        <w:rPr>
          <w:u w:val="single"/>
        </w:rPr>
        <w:t>https://doi.org/10.1111/j.1469-8137.2012.04179.x</w:t>
      </w:r>
    </w:p>
    <w:p w14:paraId="2D6281C3" w14:textId="3B6720FB" w:rsidR="0002061D" w:rsidRPr="0087737F" w:rsidRDefault="0002061D" w:rsidP="007373E6">
      <w:pPr>
        <w:pStyle w:val="EndNoteBibliography"/>
        <w:spacing w:after="0" w:line="480" w:lineRule="auto"/>
        <w:ind w:left="720" w:hanging="720"/>
        <w:rPr>
          <w:u w:val="single"/>
        </w:rPr>
      </w:pPr>
      <w:r w:rsidRPr="0087737F">
        <w:t xml:space="preserve">Simon, A.L., Wellham, P.A.D., Aradottir, G.I. &amp; Gange, A.C. (2017) Unravelling mycorrhiza-induced wheat susceptibility to the English grain aphid </w:t>
      </w:r>
      <w:r w:rsidRPr="0087737F">
        <w:rPr>
          <w:i/>
        </w:rPr>
        <w:t>Sitobion avenae</w:t>
      </w:r>
      <w:r w:rsidRPr="0087737F">
        <w:t xml:space="preserve">. </w:t>
      </w:r>
      <w:r w:rsidRPr="0087737F">
        <w:rPr>
          <w:i/>
        </w:rPr>
        <w:t>Scientific Reports,</w:t>
      </w:r>
      <w:r w:rsidRPr="0087737F">
        <w:t xml:space="preserve"> </w:t>
      </w:r>
      <w:r w:rsidRPr="0087737F">
        <w:rPr>
          <w:b/>
        </w:rPr>
        <w:t>7</w:t>
      </w:r>
      <w:r w:rsidRPr="0087737F">
        <w:t xml:space="preserve">. </w:t>
      </w:r>
      <w:hyperlink r:id="rId15" w:history="1">
        <w:r w:rsidR="00933B50" w:rsidRPr="0087737F">
          <w:rPr>
            <w:rStyle w:val="Hyperlink"/>
            <w:color w:val="auto"/>
          </w:rPr>
          <w:t>https://doi.org/10.1038/srep46497</w:t>
        </w:r>
      </w:hyperlink>
    </w:p>
    <w:p w14:paraId="685C46E0" w14:textId="78CE495E" w:rsidR="00933B50" w:rsidRPr="0087737F" w:rsidRDefault="00B7441D" w:rsidP="007373E6">
      <w:pPr>
        <w:pStyle w:val="EndNoteBibliography"/>
        <w:spacing w:after="0" w:line="480" w:lineRule="auto"/>
        <w:ind w:left="720" w:hanging="720"/>
      </w:pPr>
      <w:r w:rsidRPr="0087737F">
        <w:t>Simpson</w:t>
      </w:r>
      <w:r w:rsidRPr="0087737F">
        <w:rPr>
          <w:lang w:val="en-GB"/>
        </w:rPr>
        <w:t xml:space="preserve">, K.J., Wade, R.N., Rees, M., Osborne, C.P. &amp; Hartley, S.E. (2017) Still armed after domestication? Impacts of domestication and agronomic selection on silicon defences in cereals. </w:t>
      </w:r>
      <w:r w:rsidRPr="0087737F">
        <w:rPr>
          <w:i/>
          <w:iCs/>
          <w:lang w:val="en-GB"/>
        </w:rPr>
        <w:t>Functional Ecology,</w:t>
      </w:r>
      <w:r w:rsidRPr="0087737F">
        <w:rPr>
          <w:lang w:val="en-GB"/>
        </w:rPr>
        <w:t xml:space="preserve"> </w:t>
      </w:r>
      <w:r w:rsidRPr="0087737F">
        <w:rPr>
          <w:b/>
          <w:bCs/>
          <w:lang w:val="en-GB"/>
        </w:rPr>
        <w:t>31,</w:t>
      </w:r>
      <w:r w:rsidRPr="0087737F">
        <w:rPr>
          <w:lang w:val="en-GB"/>
        </w:rPr>
        <w:t xml:space="preserve"> 2108-2117. </w:t>
      </w:r>
      <w:hyperlink r:id="rId16" w:history="1">
        <w:r w:rsidRPr="0087737F">
          <w:rPr>
            <w:rStyle w:val="Hyperlink"/>
            <w:color w:val="auto"/>
            <w:lang w:val="en-GB"/>
          </w:rPr>
          <w:t>https://doi.org/10.1111/1365-2435.12935</w:t>
        </w:r>
      </w:hyperlink>
      <w:r w:rsidRPr="0087737F">
        <w:rPr>
          <w:lang w:val="en-GB"/>
        </w:rPr>
        <w:t xml:space="preserve"> </w:t>
      </w:r>
    </w:p>
    <w:p w14:paraId="3718E9C3" w14:textId="77777777" w:rsidR="0002061D" w:rsidRPr="0087737F" w:rsidRDefault="0002061D" w:rsidP="007373E6">
      <w:pPr>
        <w:pStyle w:val="EndNoteBibliography"/>
        <w:spacing w:after="0" w:line="480" w:lineRule="auto"/>
        <w:ind w:left="720" w:hanging="720"/>
        <w:rPr>
          <w:u w:val="single"/>
        </w:rPr>
      </w:pPr>
      <w:r w:rsidRPr="0087737F">
        <w:t xml:space="preserve">Smith, F.A. &amp; Smith, S.E. (2011) What is the significance of the arbuscular mycorrhizal colonisation of many economically important crop plants? </w:t>
      </w:r>
      <w:r w:rsidRPr="0087737F">
        <w:rPr>
          <w:i/>
        </w:rPr>
        <w:t>Plant and Soil,</w:t>
      </w:r>
      <w:r w:rsidRPr="0087737F">
        <w:t xml:space="preserve"> </w:t>
      </w:r>
      <w:r w:rsidRPr="0087737F">
        <w:rPr>
          <w:b/>
        </w:rPr>
        <w:t>348,</w:t>
      </w:r>
      <w:r w:rsidRPr="0087737F">
        <w:t xml:space="preserve"> 63-79. </w:t>
      </w:r>
      <w:r w:rsidRPr="0087737F">
        <w:rPr>
          <w:u w:val="single"/>
        </w:rPr>
        <w:t>https://doi.org/10.1007/s11104-011-0865-0</w:t>
      </w:r>
    </w:p>
    <w:p w14:paraId="51CCA219" w14:textId="77777777" w:rsidR="0002061D" w:rsidRPr="0087737F" w:rsidRDefault="0002061D" w:rsidP="007373E6">
      <w:pPr>
        <w:pStyle w:val="EndNoteBibliography"/>
        <w:spacing w:after="0" w:line="480" w:lineRule="auto"/>
        <w:ind w:left="720" w:hanging="720"/>
      </w:pPr>
      <w:r w:rsidRPr="0087737F">
        <w:t xml:space="preserve">Smith, S. &amp; Read, D. (2008) </w:t>
      </w:r>
      <w:r w:rsidRPr="0087737F">
        <w:rPr>
          <w:i/>
        </w:rPr>
        <w:t xml:space="preserve">Mycorrhizal Symbiosis, </w:t>
      </w:r>
      <w:r w:rsidRPr="0087737F">
        <w:t xml:space="preserve">3rd edn. Academic Press. </w:t>
      </w:r>
    </w:p>
    <w:p w14:paraId="32738521" w14:textId="77777777" w:rsidR="0002061D" w:rsidRPr="0087737F" w:rsidRDefault="0002061D" w:rsidP="007373E6">
      <w:pPr>
        <w:pStyle w:val="EndNoteBibliography"/>
        <w:spacing w:after="0" w:line="480" w:lineRule="auto"/>
        <w:ind w:left="720" w:hanging="720"/>
        <w:rPr>
          <w:u w:val="single"/>
        </w:rPr>
      </w:pPr>
      <w:r w:rsidRPr="0087737F">
        <w:t>Staddon, P.L., Fitter, A.H. &amp; Graves, J.D. (1999) Effect of elevated atmospheric CO</w:t>
      </w:r>
      <w:r w:rsidRPr="0087737F">
        <w:rPr>
          <w:vertAlign w:val="subscript"/>
        </w:rPr>
        <w:t>2</w:t>
      </w:r>
      <w:r w:rsidRPr="0087737F">
        <w:t xml:space="preserve"> on mycorrhizal colonization, external mycorrhizal hyphal production and phosphorus inflow in </w:t>
      </w:r>
      <w:r w:rsidRPr="0087737F">
        <w:rPr>
          <w:i/>
        </w:rPr>
        <w:t>Plantago lanceolata</w:t>
      </w:r>
      <w:r w:rsidRPr="0087737F">
        <w:t xml:space="preserve"> and </w:t>
      </w:r>
      <w:r w:rsidRPr="0087737F">
        <w:rPr>
          <w:i/>
        </w:rPr>
        <w:t>Trifolium repens</w:t>
      </w:r>
      <w:r w:rsidRPr="0087737F">
        <w:t xml:space="preserve"> in association with the arbuscular </w:t>
      </w:r>
      <w:r w:rsidRPr="0087737F">
        <w:lastRenderedPageBreak/>
        <w:t xml:space="preserve">mycorrhizal fungus </w:t>
      </w:r>
      <w:r w:rsidRPr="0087737F">
        <w:rPr>
          <w:i/>
        </w:rPr>
        <w:t>Glomus mosseae</w:t>
      </w:r>
      <w:r w:rsidRPr="0087737F">
        <w:t xml:space="preserve">. </w:t>
      </w:r>
      <w:r w:rsidRPr="0087737F">
        <w:rPr>
          <w:i/>
        </w:rPr>
        <w:t>Global Change Biology,</w:t>
      </w:r>
      <w:r w:rsidRPr="0087737F">
        <w:t xml:space="preserve"> </w:t>
      </w:r>
      <w:r w:rsidRPr="0087737F">
        <w:rPr>
          <w:b/>
        </w:rPr>
        <w:t>5,</w:t>
      </w:r>
      <w:r w:rsidRPr="0087737F">
        <w:t xml:space="preserve"> 347-358. </w:t>
      </w:r>
      <w:r w:rsidRPr="0087737F">
        <w:rPr>
          <w:u w:val="single"/>
        </w:rPr>
        <w:t>https://doi.org/10.1046/j.1365-2486.1999.00230.x</w:t>
      </w:r>
    </w:p>
    <w:p w14:paraId="14C719FC" w14:textId="390DB45C" w:rsidR="0002061D" w:rsidRPr="0087737F" w:rsidRDefault="0002061D" w:rsidP="007373E6">
      <w:pPr>
        <w:pStyle w:val="EndNoteBibliography"/>
        <w:spacing w:after="0" w:line="480" w:lineRule="auto"/>
        <w:ind w:left="720" w:hanging="720"/>
        <w:rPr>
          <w:u w:val="single"/>
        </w:rPr>
      </w:pPr>
      <w:r w:rsidRPr="0087737F">
        <w:t>Storer, K., Coggan, A., Ineson, P. &amp; Hodge, A. (201</w:t>
      </w:r>
      <w:r w:rsidR="00B24AB7" w:rsidRPr="0087737F">
        <w:t>8</w:t>
      </w:r>
      <w:r w:rsidRPr="0087737F">
        <w:t>) Arbuscular mycorrhizal fungi reduce nitrous oxide emissions from N</w:t>
      </w:r>
      <w:r w:rsidRPr="0087737F">
        <w:rPr>
          <w:vertAlign w:val="subscript"/>
        </w:rPr>
        <w:t>2</w:t>
      </w:r>
      <w:r w:rsidRPr="0087737F">
        <w:t xml:space="preserve">O hotspots. </w:t>
      </w:r>
      <w:r w:rsidRPr="0087737F">
        <w:rPr>
          <w:i/>
        </w:rPr>
        <w:t>New Phytologist</w:t>
      </w:r>
      <w:r w:rsidR="00E20B22" w:rsidRPr="0087737F">
        <w:t xml:space="preserve"> </w:t>
      </w:r>
      <w:r w:rsidR="00B24AB7" w:rsidRPr="0087737F">
        <w:rPr>
          <w:b/>
        </w:rPr>
        <w:t>220,</w:t>
      </w:r>
      <w:r w:rsidR="00B24AB7" w:rsidRPr="0087737F">
        <w:t xml:space="preserve"> 1285-1295.</w:t>
      </w:r>
      <w:r w:rsidRPr="0087737F">
        <w:t xml:space="preserve"> </w:t>
      </w:r>
      <w:r w:rsidRPr="0087737F">
        <w:rPr>
          <w:u w:val="single"/>
        </w:rPr>
        <w:t>https://doi.org/10.1111/nph.14931</w:t>
      </w:r>
    </w:p>
    <w:p w14:paraId="353C879A" w14:textId="77777777" w:rsidR="0002061D" w:rsidRPr="0087737F" w:rsidRDefault="0002061D" w:rsidP="007373E6">
      <w:pPr>
        <w:pStyle w:val="EndNoteBibliography"/>
        <w:spacing w:after="0" w:line="480" w:lineRule="auto"/>
        <w:ind w:left="720" w:hanging="720"/>
        <w:rPr>
          <w:u w:val="single"/>
        </w:rPr>
      </w:pPr>
      <w:r w:rsidRPr="0087737F">
        <w:t xml:space="preserve">Talaat, N.B. &amp; Shawky, B.T. (2012) Influence of arbuscular mycorrhizae on root colonization, growth and productivity of two wheat cultivars under salt stress. </w:t>
      </w:r>
      <w:r w:rsidRPr="0087737F">
        <w:rPr>
          <w:i/>
        </w:rPr>
        <w:t>Archives of Agronomy and Soil Science,</w:t>
      </w:r>
      <w:r w:rsidRPr="0087737F">
        <w:t xml:space="preserve"> </w:t>
      </w:r>
      <w:r w:rsidRPr="0087737F">
        <w:rPr>
          <w:b/>
        </w:rPr>
        <w:t>58,</w:t>
      </w:r>
      <w:r w:rsidRPr="0087737F">
        <w:t xml:space="preserve"> 85-100. </w:t>
      </w:r>
      <w:r w:rsidRPr="0087737F">
        <w:rPr>
          <w:u w:val="single"/>
        </w:rPr>
        <w:t>https://doi.org/10.1080/03650340.2010.506481</w:t>
      </w:r>
    </w:p>
    <w:p w14:paraId="6E2AFB7B" w14:textId="77777777" w:rsidR="0002061D" w:rsidRPr="0087737F" w:rsidRDefault="0002061D" w:rsidP="007373E6">
      <w:pPr>
        <w:pStyle w:val="EndNoteBibliography"/>
        <w:spacing w:after="0" w:line="480" w:lineRule="auto"/>
        <w:ind w:left="720" w:hanging="720"/>
        <w:rPr>
          <w:u w:val="single"/>
        </w:rPr>
      </w:pPr>
      <w:r w:rsidRPr="0087737F">
        <w:t xml:space="preserve">Thirkell, T.J., Cameron, D.D. &amp; Hodge, A. (2016) Resolving the 'nitrogen paradox' of arbuscular mycorrhizas: fertilization with organic matter brings considerable benefits for plant nutrition and growth. </w:t>
      </w:r>
      <w:r w:rsidRPr="0087737F">
        <w:rPr>
          <w:i/>
        </w:rPr>
        <w:t>Plant Cell and Environment,</w:t>
      </w:r>
      <w:r w:rsidRPr="0087737F">
        <w:t xml:space="preserve"> </w:t>
      </w:r>
      <w:r w:rsidRPr="0087737F">
        <w:rPr>
          <w:b/>
        </w:rPr>
        <w:t>39,</w:t>
      </w:r>
      <w:r w:rsidRPr="0087737F">
        <w:t xml:space="preserve"> 1683-1690. </w:t>
      </w:r>
      <w:r w:rsidRPr="0087737F">
        <w:rPr>
          <w:u w:val="single"/>
        </w:rPr>
        <w:t>https://doi.org/10.1111/pce.12667</w:t>
      </w:r>
    </w:p>
    <w:p w14:paraId="01FE840A" w14:textId="77777777" w:rsidR="0002061D" w:rsidRPr="0087737F" w:rsidRDefault="0002061D" w:rsidP="007373E6">
      <w:pPr>
        <w:pStyle w:val="EndNoteBibliography"/>
        <w:spacing w:after="0" w:line="480" w:lineRule="auto"/>
        <w:ind w:left="720" w:hanging="720"/>
        <w:rPr>
          <w:u w:val="single"/>
        </w:rPr>
      </w:pPr>
      <w:r w:rsidRPr="0087737F">
        <w:t xml:space="preserve">Thornton, B. &amp; Bausenwein, U. (2000) Seasonal protease activity in storage tissue of the deciduous grass </w:t>
      </w:r>
      <w:r w:rsidRPr="0087737F">
        <w:rPr>
          <w:i/>
        </w:rPr>
        <w:t>Molinia caerulea</w:t>
      </w:r>
      <w:r w:rsidRPr="0087737F">
        <w:t xml:space="preserve">. </w:t>
      </w:r>
      <w:r w:rsidRPr="0087737F">
        <w:rPr>
          <w:i/>
        </w:rPr>
        <w:t>New Phytologist,</w:t>
      </w:r>
      <w:r w:rsidRPr="0087737F">
        <w:t xml:space="preserve"> </w:t>
      </w:r>
      <w:r w:rsidRPr="0087737F">
        <w:rPr>
          <w:b/>
        </w:rPr>
        <w:t>146,</w:t>
      </w:r>
      <w:r w:rsidRPr="0087737F">
        <w:t xml:space="preserve"> 75-81. </w:t>
      </w:r>
      <w:r w:rsidRPr="0087737F">
        <w:rPr>
          <w:u w:val="single"/>
        </w:rPr>
        <w:t>https://doi.org/10.1046/j.1469-8137.2000.00619.x</w:t>
      </w:r>
    </w:p>
    <w:p w14:paraId="1C1C2BE8" w14:textId="2684BC56" w:rsidR="0002061D" w:rsidRPr="0087737F" w:rsidRDefault="0002061D" w:rsidP="007373E6">
      <w:pPr>
        <w:pStyle w:val="EndNoteBibliography"/>
        <w:spacing w:after="0" w:line="480" w:lineRule="auto"/>
        <w:ind w:left="720" w:hanging="720"/>
        <w:rPr>
          <w:u w:val="single"/>
        </w:rPr>
      </w:pPr>
      <w:r w:rsidRPr="0087737F">
        <w:t xml:space="preserve">Tomczak, V.V. &amp; Muller, C. (2017) Influence of arbuscular mycorrhizal stage and plant age on the performance of a generalist aphid. </w:t>
      </w:r>
      <w:r w:rsidRPr="0087737F">
        <w:rPr>
          <w:i/>
        </w:rPr>
        <w:t xml:space="preserve">Journal of </w:t>
      </w:r>
      <w:r w:rsidR="00334A5C" w:rsidRPr="0087737F">
        <w:rPr>
          <w:i/>
        </w:rPr>
        <w:t>Insect Physiology</w:t>
      </w:r>
      <w:r w:rsidRPr="0087737F">
        <w:rPr>
          <w:i/>
        </w:rPr>
        <w:t>,</w:t>
      </w:r>
      <w:r w:rsidRPr="0087737F">
        <w:t xml:space="preserve"> </w:t>
      </w:r>
      <w:r w:rsidRPr="0087737F">
        <w:rPr>
          <w:b/>
        </w:rPr>
        <w:t>98,</w:t>
      </w:r>
      <w:r w:rsidRPr="0087737F">
        <w:t xml:space="preserve"> 258-266. </w:t>
      </w:r>
      <w:r w:rsidRPr="0087737F">
        <w:rPr>
          <w:u w:val="single"/>
        </w:rPr>
        <w:t>https://doi.org/10.1016/j.jinsphys.2017.01.016</w:t>
      </w:r>
    </w:p>
    <w:p w14:paraId="7FCD2691" w14:textId="77777777" w:rsidR="0002061D" w:rsidRPr="0087737F" w:rsidRDefault="0002061D" w:rsidP="007373E6">
      <w:pPr>
        <w:pStyle w:val="EndNoteBibliography"/>
        <w:spacing w:after="0" w:line="480" w:lineRule="auto"/>
        <w:ind w:left="720" w:hanging="720"/>
        <w:rPr>
          <w:u w:val="single"/>
        </w:rPr>
      </w:pPr>
      <w:r w:rsidRPr="0087737F">
        <w:t xml:space="preserve">van der Heyde, M., Bennett, J.A., Pither, J. &amp; Hart, M. (2017) Longterm effects of grazing on arbuscular mycorrhizal fungi. </w:t>
      </w:r>
      <w:r w:rsidRPr="0087737F">
        <w:rPr>
          <w:i/>
        </w:rPr>
        <w:t>Agriculture Ecosystems &amp; Environment,</w:t>
      </w:r>
      <w:r w:rsidRPr="0087737F">
        <w:t xml:space="preserve"> </w:t>
      </w:r>
      <w:r w:rsidRPr="0087737F">
        <w:rPr>
          <w:b/>
        </w:rPr>
        <w:t>243,</w:t>
      </w:r>
      <w:r w:rsidRPr="0087737F">
        <w:t xml:space="preserve"> 27-33. </w:t>
      </w:r>
      <w:r w:rsidRPr="0087737F">
        <w:rPr>
          <w:u w:val="single"/>
        </w:rPr>
        <w:t>https://doi.org/10.1016/j.agee.2017.04.003</w:t>
      </w:r>
    </w:p>
    <w:p w14:paraId="7C4D7DDC" w14:textId="77777777" w:rsidR="0002061D" w:rsidRPr="0087737F" w:rsidRDefault="0002061D" w:rsidP="007373E6">
      <w:pPr>
        <w:pStyle w:val="EndNoteBibliography"/>
        <w:spacing w:after="0" w:line="480" w:lineRule="auto"/>
        <w:ind w:left="720" w:hanging="720"/>
        <w:rPr>
          <w:u w:val="single"/>
        </w:rPr>
      </w:pPr>
      <w:r w:rsidRPr="0087737F">
        <w:t>Venter, E., Mansoor, C.V., Sibisi, P. &amp; Botha, A.M. (2014) Potassium phosphate induces tolerance against the Russian wheat aphid (</w:t>
      </w:r>
      <w:r w:rsidRPr="0087737F">
        <w:rPr>
          <w:i/>
        </w:rPr>
        <w:t>Diuraphis noxia</w:t>
      </w:r>
      <w:r w:rsidRPr="0087737F">
        <w:t xml:space="preserve">, Homoptera: Aphididae) in wheat. </w:t>
      </w:r>
      <w:r w:rsidRPr="0087737F">
        <w:rPr>
          <w:i/>
        </w:rPr>
        <w:t>Crop Protection,</w:t>
      </w:r>
      <w:r w:rsidRPr="0087737F">
        <w:t xml:space="preserve"> </w:t>
      </w:r>
      <w:r w:rsidRPr="0087737F">
        <w:rPr>
          <w:b/>
        </w:rPr>
        <w:t>61,</w:t>
      </w:r>
      <w:r w:rsidRPr="0087737F">
        <w:t xml:space="preserve"> 43-50. </w:t>
      </w:r>
      <w:r w:rsidRPr="0087737F">
        <w:rPr>
          <w:u w:val="single"/>
        </w:rPr>
        <w:t>https://doi.org/10.1016/j.cropro.2014.03.015</w:t>
      </w:r>
    </w:p>
    <w:p w14:paraId="43E2646C" w14:textId="77777777" w:rsidR="0002061D" w:rsidRPr="0087737F" w:rsidRDefault="0002061D" w:rsidP="007373E6">
      <w:pPr>
        <w:pStyle w:val="EndNoteBibliography"/>
        <w:spacing w:after="0" w:line="480" w:lineRule="auto"/>
        <w:ind w:left="720" w:hanging="720"/>
      </w:pPr>
      <w:r w:rsidRPr="0087737F">
        <w:t xml:space="preserve">Vierheilig, H., Coughlan, A.P., Wyss, U. &amp; Piche, Y. (1998) Ink and vinegar, a simple staining technique for arbuscular-mycorrhizal fungi. </w:t>
      </w:r>
      <w:r w:rsidRPr="0087737F">
        <w:rPr>
          <w:i/>
        </w:rPr>
        <w:t>Applied and Environmental Microbiology,</w:t>
      </w:r>
      <w:r w:rsidRPr="0087737F">
        <w:t xml:space="preserve"> </w:t>
      </w:r>
      <w:r w:rsidRPr="0087737F">
        <w:rPr>
          <w:b/>
        </w:rPr>
        <w:t>64,</w:t>
      </w:r>
      <w:r w:rsidRPr="0087737F">
        <w:t xml:space="preserve"> 5004-5007. </w:t>
      </w:r>
    </w:p>
    <w:p w14:paraId="5F3354AE" w14:textId="77777777" w:rsidR="0002061D" w:rsidRPr="0087737F" w:rsidRDefault="0002061D" w:rsidP="007373E6">
      <w:pPr>
        <w:pStyle w:val="EndNoteBibliography"/>
        <w:spacing w:after="0" w:line="480" w:lineRule="auto"/>
        <w:ind w:left="720" w:hanging="720"/>
        <w:rPr>
          <w:u w:val="single"/>
        </w:rPr>
      </w:pPr>
      <w:r w:rsidRPr="0087737F">
        <w:lastRenderedPageBreak/>
        <w:t xml:space="preserve">Wamberg, C., Christensen, S. &amp; Jakobsen, I. (2003) Interaction between foliar-feeding insects, mycorrhizal fungi, and rhizosphere protozoa on pea plants. </w:t>
      </w:r>
      <w:r w:rsidRPr="0087737F">
        <w:rPr>
          <w:i/>
        </w:rPr>
        <w:t>Pedobiologia,</w:t>
      </w:r>
      <w:r w:rsidRPr="0087737F">
        <w:t xml:space="preserve"> </w:t>
      </w:r>
      <w:r w:rsidRPr="0087737F">
        <w:rPr>
          <w:b/>
        </w:rPr>
        <w:t>47,</w:t>
      </w:r>
      <w:r w:rsidRPr="0087737F">
        <w:t xml:space="preserve"> 281-287. </w:t>
      </w:r>
      <w:r w:rsidRPr="0087737F">
        <w:rPr>
          <w:u w:val="single"/>
        </w:rPr>
        <w:t>https://doi.org/10.1078/0031-4056-00191</w:t>
      </w:r>
    </w:p>
    <w:p w14:paraId="4F44820F" w14:textId="77777777" w:rsidR="0002061D" w:rsidRPr="0087737F" w:rsidRDefault="0002061D" w:rsidP="007373E6">
      <w:pPr>
        <w:pStyle w:val="EndNoteBibliography"/>
        <w:spacing w:after="0" w:line="480" w:lineRule="auto"/>
        <w:ind w:left="720" w:hanging="720"/>
        <w:rPr>
          <w:u w:val="single"/>
        </w:rPr>
      </w:pPr>
      <w:r w:rsidRPr="0087737F">
        <w:t xml:space="preserve">Williams, A., Birkhofer, K. &amp; Hedlund, K. (2014) Above- and below-ground interactions with agricultural management: Effects of soil microbial communities on barley and aphids. </w:t>
      </w:r>
      <w:r w:rsidRPr="0087737F">
        <w:rPr>
          <w:i/>
        </w:rPr>
        <w:t>Pedobiologia,</w:t>
      </w:r>
      <w:r w:rsidRPr="0087737F">
        <w:t xml:space="preserve"> </w:t>
      </w:r>
      <w:r w:rsidRPr="0087737F">
        <w:rPr>
          <w:b/>
        </w:rPr>
        <w:t>57,</w:t>
      </w:r>
      <w:r w:rsidRPr="0087737F">
        <w:t xml:space="preserve"> 67-74. </w:t>
      </w:r>
      <w:r w:rsidRPr="0087737F">
        <w:rPr>
          <w:u w:val="single"/>
        </w:rPr>
        <w:t>https://doi.org/10.1016/j.pedobi.2014.01.004</w:t>
      </w:r>
    </w:p>
    <w:p w14:paraId="123E540A" w14:textId="77777777" w:rsidR="0002061D" w:rsidRPr="0087737F" w:rsidRDefault="0002061D" w:rsidP="007373E6">
      <w:pPr>
        <w:pStyle w:val="EndNoteBibliography"/>
        <w:spacing w:after="0" w:line="480" w:lineRule="auto"/>
        <w:ind w:left="720" w:hanging="720"/>
        <w:rPr>
          <w:u w:val="single"/>
        </w:rPr>
      </w:pPr>
      <w:r w:rsidRPr="0087737F">
        <w:t xml:space="preserve">Yang, H., Dai, Y., Wang, X., Zhang, Q., Zhu, L. &amp; Bian, X. (2014) Meta-analysis of interactions between arbuscular mycorrhizal fungi and biotic stressors of plants. </w:t>
      </w:r>
      <w:r w:rsidRPr="0087737F">
        <w:rPr>
          <w:i/>
        </w:rPr>
        <w:t>Scientific World Journal</w:t>
      </w:r>
      <w:r w:rsidRPr="0087737F">
        <w:t xml:space="preserve">. </w:t>
      </w:r>
      <w:r w:rsidRPr="0087737F">
        <w:rPr>
          <w:u w:val="single"/>
        </w:rPr>
        <w:t>https://doi.org/10.1155/2014/746506</w:t>
      </w:r>
    </w:p>
    <w:p w14:paraId="7C2ACE42" w14:textId="77777777" w:rsidR="0002061D" w:rsidRPr="0087737F" w:rsidRDefault="0002061D" w:rsidP="007373E6">
      <w:pPr>
        <w:pStyle w:val="EndNoteBibliography"/>
        <w:spacing w:after="0" w:line="480" w:lineRule="auto"/>
        <w:ind w:left="720" w:hanging="720"/>
        <w:rPr>
          <w:u w:val="single"/>
        </w:rPr>
      </w:pPr>
      <w:r w:rsidRPr="0087737F">
        <w:t xml:space="preserve">Zangaro, W., Torezan, J.M.D., Rostirola, L.V., de Souza, P.B. &amp; Nogueira, M.A. (2015) Influence of mycorrhizas, organic substrates and container volumes on the growth of </w:t>
      </w:r>
      <w:r w:rsidRPr="0087737F">
        <w:rPr>
          <w:i/>
        </w:rPr>
        <w:t>Heliocarpus popayenensis</w:t>
      </w:r>
      <w:r w:rsidRPr="0087737F">
        <w:t xml:space="preserve"> Kunth. </w:t>
      </w:r>
      <w:r w:rsidRPr="0087737F">
        <w:rPr>
          <w:i/>
        </w:rPr>
        <w:t>Cerne,</w:t>
      </w:r>
      <w:r w:rsidRPr="0087737F">
        <w:t xml:space="preserve"> </w:t>
      </w:r>
      <w:r w:rsidRPr="0087737F">
        <w:rPr>
          <w:b/>
        </w:rPr>
        <w:t>21,</w:t>
      </w:r>
      <w:r w:rsidRPr="0087737F">
        <w:t xml:space="preserve"> 395-403. </w:t>
      </w:r>
      <w:r w:rsidRPr="0087737F">
        <w:rPr>
          <w:u w:val="single"/>
        </w:rPr>
        <w:t>https://doi.org/10.1590/01047760201521031335</w:t>
      </w:r>
    </w:p>
    <w:p w14:paraId="1137B6E3" w14:textId="77777777" w:rsidR="0002061D" w:rsidRPr="0087737F" w:rsidRDefault="0002061D" w:rsidP="007373E6">
      <w:pPr>
        <w:pStyle w:val="EndNoteBibliography"/>
        <w:spacing w:line="480" w:lineRule="auto"/>
        <w:ind w:left="720" w:hanging="720"/>
        <w:rPr>
          <w:u w:val="single"/>
        </w:rPr>
      </w:pPr>
      <w:r w:rsidRPr="0087737F">
        <w:t xml:space="preserve">Zhang, X.H., Zhu, Y.G., Chen, B.D., Lin, A.J., Smith, S.E. &amp; Smith, F.A. (2005) Arbuscular mycorrhizal fungi contribute to resistance of upland rice to combined metal contamination of soil. </w:t>
      </w:r>
      <w:r w:rsidRPr="0087737F">
        <w:rPr>
          <w:i/>
        </w:rPr>
        <w:t>Journal of Plant Nutrition,</w:t>
      </w:r>
      <w:r w:rsidRPr="0087737F">
        <w:t xml:space="preserve"> </w:t>
      </w:r>
      <w:r w:rsidRPr="0087737F">
        <w:rPr>
          <w:b/>
        </w:rPr>
        <w:t>28,</w:t>
      </w:r>
      <w:r w:rsidRPr="0087737F">
        <w:t xml:space="preserve"> 2065-2077. </w:t>
      </w:r>
      <w:r w:rsidRPr="0087737F">
        <w:rPr>
          <w:u w:val="single"/>
        </w:rPr>
        <w:t>https://doi.org/10.1080/01904160500320871</w:t>
      </w:r>
    </w:p>
    <w:p w14:paraId="072A2CD1" w14:textId="77777777" w:rsidR="00C6787D" w:rsidRPr="0087737F" w:rsidRDefault="00C6787D" w:rsidP="00C6787D">
      <w:pPr>
        <w:spacing w:before="120" w:after="240"/>
        <w:rPr>
          <w:rFonts w:cs="Arial"/>
        </w:rPr>
      </w:pPr>
      <w:r w:rsidRPr="0087737F">
        <w:rPr>
          <w:rFonts w:cs="Arial"/>
        </w:rPr>
        <w:t>SUPPORTING INFORMATION</w:t>
      </w:r>
    </w:p>
    <w:p w14:paraId="78060871" w14:textId="77777777" w:rsidR="00C6787D" w:rsidRPr="0087737F" w:rsidRDefault="00C6787D" w:rsidP="00C6787D">
      <w:pPr>
        <w:spacing w:before="120" w:after="240"/>
        <w:rPr>
          <w:rFonts w:cs="Arial"/>
        </w:rPr>
      </w:pPr>
      <w:r w:rsidRPr="0087737F">
        <w:rPr>
          <w:rFonts w:cs="Arial"/>
        </w:rPr>
        <w:t>Additional supporting information may be found in the online version of this article.</w:t>
      </w:r>
    </w:p>
    <w:p w14:paraId="7F3AF978" w14:textId="7142D87D" w:rsidR="00C6787D" w:rsidRPr="0087737F" w:rsidRDefault="00C6787D" w:rsidP="00C6787D">
      <w:pPr>
        <w:spacing w:before="120" w:after="240"/>
        <w:rPr>
          <w:rFonts w:cs="Arial"/>
        </w:rPr>
      </w:pPr>
      <w:r w:rsidRPr="0087737F">
        <w:rPr>
          <w:rFonts w:cs="Arial"/>
        </w:rPr>
        <w:t xml:space="preserve">Figure S1 a) and b) </w:t>
      </w:r>
      <w:r w:rsidR="004501A0" w:rsidRPr="0087737F">
        <w:rPr>
          <w:rFonts w:cs="Arial"/>
        </w:rPr>
        <w:t>Photomicrographs</w:t>
      </w:r>
      <w:r w:rsidRPr="0087737F">
        <w:rPr>
          <w:rFonts w:cs="Arial"/>
        </w:rPr>
        <w:t xml:space="preserve"> of the arbuscular mycorrhiza (AM) fungus </w:t>
      </w:r>
      <w:r w:rsidRPr="0087737F">
        <w:rPr>
          <w:rFonts w:cs="Arial"/>
          <w:i/>
        </w:rPr>
        <w:t>Funneliformis mosseae</w:t>
      </w:r>
      <w:r w:rsidRPr="0087737F">
        <w:rPr>
          <w:rFonts w:cs="Arial"/>
        </w:rPr>
        <w:t xml:space="preserve"> in roots of barley.</w:t>
      </w:r>
    </w:p>
    <w:p w14:paraId="14817692" w14:textId="77777777" w:rsidR="00C6787D" w:rsidRPr="0087737F" w:rsidRDefault="00C6787D" w:rsidP="00C6787D">
      <w:pPr>
        <w:spacing w:before="120" w:after="240"/>
        <w:rPr>
          <w:rFonts w:cs="Arial"/>
        </w:rPr>
      </w:pPr>
      <w:r w:rsidRPr="0087737F">
        <w:rPr>
          <w:rFonts w:cs="Arial"/>
        </w:rPr>
        <w:t>Please note: Wiley Blackwell are not responsible for the content or functionality of any</w:t>
      </w:r>
    </w:p>
    <w:p w14:paraId="45AE69D3" w14:textId="77777777" w:rsidR="00C6787D" w:rsidRPr="0087737F" w:rsidRDefault="00C6787D" w:rsidP="00C6787D">
      <w:pPr>
        <w:spacing w:before="120" w:after="240"/>
        <w:rPr>
          <w:rFonts w:cs="Arial"/>
        </w:rPr>
      </w:pPr>
      <w:r w:rsidRPr="0087737F">
        <w:rPr>
          <w:rFonts w:cs="Arial"/>
        </w:rPr>
        <w:t>supporting information supplied by the authors. Any queries (other than missing material)</w:t>
      </w:r>
    </w:p>
    <w:p w14:paraId="59445DAC" w14:textId="61C9111B" w:rsidR="0002061D" w:rsidRPr="0087737F" w:rsidRDefault="00C6787D" w:rsidP="006418F7">
      <w:pPr>
        <w:spacing w:before="120" w:after="240"/>
        <w:rPr>
          <w:rFonts w:cs="Arial"/>
        </w:rPr>
      </w:pPr>
      <w:r w:rsidRPr="0087737F">
        <w:rPr>
          <w:rFonts w:cs="Arial"/>
        </w:rPr>
        <w:t>should be directed to the corresponding author for the article.</w:t>
      </w:r>
    </w:p>
    <w:p w14:paraId="2ECA6F78" w14:textId="77777777" w:rsidR="0002061D" w:rsidRPr="0087737F" w:rsidRDefault="0002061D" w:rsidP="004663F1">
      <w:pPr>
        <w:rPr>
          <w:rFonts w:cs="Arial"/>
          <w:b/>
        </w:rPr>
        <w:sectPr w:rsidR="0002061D" w:rsidRPr="0087737F" w:rsidSect="00920712">
          <w:footerReference w:type="default" r:id="rId17"/>
          <w:pgSz w:w="11906" w:h="16838"/>
          <w:pgMar w:top="1440" w:right="1440" w:bottom="1440" w:left="1440" w:header="708" w:footer="708" w:gutter="0"/>
          <w:lnNumType w:countBy="1" w:restart="continuous"/>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310A3" w:rsidRPr="0087737F" w14:paraId="08FE7114" w14:textId="77777777" w:rsidTr="004663F1">
        <w:tc>
          <w:tcPr>
            <w:tcW w:w="9242" w:type="dxa"/>
          </w:tcPr>
          <w:p w14:paraId="27231C39" w14:textId="77777777" w:rsidR="0002061D" w:rsidRPr="0087737F" w:rsidRDefault="0002061D" w:rsidP="004663F1">
            <w:pPr>
              <w:rPr>
                <w:rFonts w:cs="Arial"/>
                <w:b/>
                <w:sz w:val="20"/>
                <w:szCs w:val="20"/>
              </w:rPr>
            </w:pPr>
            <w:r w:rsidRPr="0087737F">
              <w:rPr>
                <w:rFonts w:cs="Arial"/>
                <w:b/>
                <w:noProof/>
                <w:sz w:val="20"/>
                <w:szCs w:val="20"/>
                <w:lang w:eastAsia="en-GB"/>
              </w:rPr>
              <w:lastRenderedPageBreak/>
              <w:drawing>
                <wp:inline distT="0" distB="0" distL="0" distR="0" wp14:anchorId="5A937237" wp14:editId="65919B85">
                  <wp:extent cx="5731510" cy="3839845"/>
                  <wp:effectExtent l="0" t="0" r="254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id 15 N exp microcosm diagram slightly larg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839845"/>
                          </a:xfrm>
                          <a:prstGeom prst="rect">
                            <a:avLst/>
                          </a:prstGeom>
                        </pic:spPr>
                      </pic:pic>
                    </a:graphicData>
                  </a:graphic>
                </wp:inline>
              </w:drawing>
            </w:r>
          </w:p>
        </w:tc>
      </w:tr>
      <w:tr w:rsidR="0002061D" w:rsidRPr="0087737F" w14:paraId="7F59ACB7" w14:textId="77777777" w:rsidTr="004663F1">
        <w:tc>
          <w:tcPr>
            <w:tcW w:w="9242" w:type="dxa"/>
          </w:tcPr>
          <w:p w14:paraId="2444D2DA" w14:textId="77777777" w:rsidR="0002061D" w:rsidRPr="0087737F" w:rsidRDefault="0002061D" w:rsidP="004663F1">
            <w:pPr>
              <w:rPr>
                <w:rFonts w:cs="Arial"/>
                <w:sz w:val="20"/>
                <w:szCs w:val="20"/>
              </w:rPr>
            </w:pPr>
            <w:r w:rsidRPr="0087737F">
              <w:rPr>
                <w:rFonts w:cs="Arial"/>
                <w:szCs w:val="20"/>
              </w:rPr>
              <w:t xml:space="preserve">Figure 1. Illustration of the two compartment experimental microcosm unit. Plant roots are confined to the plant compartment only, while arbuscular mycorrhizal fungi (AMF) hyphae (blue lines) are permitted (20 µm mesh) or denied (0.45 µm mesh) access to the second compartment. The second compartment contained a </w:t>
            </w:r>
            <w:r w:rsidRPr="0087737F">
              <w:rPr>
                <w:rFonts w:cs="Arial"/>
                <w:szCs w:val="20"/>
                <w:vertAlign w:val="superscript"/>
              </w:rPr>
              <w:t>15</w:t>
            </w:r>
            <w:r w:rsidRPr="0087737F">
              <w:rPr>
                <w:rFonts w:cs="Arial"/>
                <w:szCs w:val="20"/>
              </w:rPr>
              <w:t xml:space="preserve">N labelled organic nutrient patch of milled barley shoot material except in the ‘Volume control’ treatment which was included to examine the impact of AMF access to increased physical space on the AMF-plant-aphid interaction. The system investigates the effect of direct access of AMF to nutrients by allowing the AMF, if present, access to the second compartment containing an organic patch.  </w:t>
            </w:r>
          </w:p>
        </w:tc>
      </w:tr>
    </w:tbl>
    <w:p w14:paraId="2E43D92D" w14:textId="77777777" w:rsidR="0002061D" w:rsidRPr="0087737F" w:rsidRDefault="0002061D" w:rsidP="004663F1">
      <w:pPr>
        <w:rPr>
          <w:rFonts w:cs="Arial"/>
          <w:b/>
          <w:sz w:val="20"/>
          <w:szCs w:val="20"/>
        </w:rPr>
      </w:pPr>
    </w:p>
    <w:p w14:paraId="7BEF4E03" w14:textId="77777777" w:rsidR="0002061D" w:rsidRPr="0087737F" w:rsidRDefault="0002061D" w:rsidP="004663F1">
      <w:pPr>
        <w:rPr>
          <w:rFonts w:cs="Arial"/>
          <w:b/>
          <w:sz w:val="20"/>
          <w:szCs w:val="20"/>
        </w:rPr>
      </w:pPr>
    </w:p>
    <w:p w14:paraId="2690D1E9" w14:textId="77777777" w:rsidR="0002061D" w:rsidRPr="0087737F" w:rsidRDefault="0002061D" w:rsidP="004663F1">
      <w:pPr>
        <w:rPr>
          <w:rFonts w:cs="Arial"/>
          <w:b/>
          <w:sz w:val="20"/>
          <w:szCs w:val="20"/>
        </w:rPr>
      </w:pPr>
    </w:p>
    <w:p w14:paraId="1CD1A533" w14:textId="77777777" w:rsidR="0002061D" w:rsidRPr="0087737F" w:rsidRDefault="0002061D" w:rsidP="004663F1">
      <w:pPr>
        <w:rPr>
          <w:rFonts w:cs="Arial"/>
          <w:b/>
          <w:sz w:val="20"/>
          <w:szCs w:val="20"/>
        </w:rPr>
      </w:pPr>
    </w:p>
    <w:p w14:paraId="31BB48EE" w14:textId="77777777" w:rsidR="0002061D" w:rsidRPr="0087737F" w:rsidRDefault="0002061D" w:rsidP="004663F1">
      <w:pPr>
        <w:rPr>
          <w:rFonts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310A3" w:rsidRPr="0087737F" w14:paraId="353F31C5" w14:textId="77777777" w:rsidTr="004663F1">
        <w:tc>
          <w:tcPr>
            <w:tcW w:w="9242" w:type="dxa"/>
          </w:tcPr>
          <w:p w14:paraId="78E99D29" w14:textId="77777777" w:rsidR="0002061D" w:rsidRPr="0087737F" w:rsidRDefault="0002061D" w:rsidP="004663F1">
            <w:pPr>
              <w:jc w:val="center"/>
              <w:rPr>
                <w:rFonts w:cs="Arial"/>
                <w:b/>
                <w:sz w:val="20"/>
                <w:szCs w:val="20"/>
              </w:rPr>
            </w:pPr>
            <w:r w:rsidRPr="0087737F">
              <w:rPr>
                <w:noProof/>
                <w:lang w:eastAsia="en-GB"/>
              </w:rPr>
              <w:drawing>
                <wp:inline distT="0" distB="0" distL="0" distR="0" wp14:anchorId="1E081A9B" wp14:editId="4B1C9C04">
                  <wp:extent cx="3599902" cy="3599999"/>
                  <wp:effectExtent l="0" t="0" r="635"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om\AppData\Local\Microsoft\Windows\Temporary Internet Files\Content.Word\Rplot13.emf"/>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599902" cy="3599999"/>
                          </a:xfrm>
                          <a:prstGeom prst="rect">
                            <a:avLst/>
                          </a:prstGeom>
                          <a:noFill/>
                          <a:ln>
                            <a:noFill/>
                          </a:ln>
                        </pic:spPr>
                      </pic:pic>
                    </a:graphicData>
                  </a:graphic>
                </wp:inline>
              </w:drawing>
            </w:r>
          </w:p>
        </w:tc>
      </w:tr>
      <w:tr w:rsidR="00B310A3" w:rsidRPr="0087737F" w14:paraId="08A30407" w14:textId="77777777" w:rsidTr="004663F1">
        <w:tc>
          <w:tcPr>
            <w:tcW w:w="9242" w:type="dxa"/>
          </w:tcPr>
          <w:p w14:paraId="5465206A" w14:textId="77777777" w:rsidR="0002061D" w:rsidRPr="0087737F" w:rsidRDefault="0002061D" w:rsidP="004663F1">
            <w:pPr>
              <w:spacing w:after="360"/>
              <w:rPr>
                <w:sz w:val="24"/>
              </w:rPr>
            </w:pPr>
            <w:r w:rsidRPr="0087737F">
              <w:rPr>
                <w:rFonts w:eastAsia="SimSun" w:cs="Arial"/>
                <w:bCs/>
                <w:szCs w:val="18"/>
                <w:lang w:eastAsia="zh-CN"/>
              </w:rPr>
              <w:t xml:space="preserve">Figure 2. Mean grain N concentration of AMF colonisation and AMF access treatments at harvest. Different letters indicate significant differences at </w:t>
            </w:r>
            <w:r w:rsidRPr="0087737F">
              <w:rPr>
                <w:rFonts w:eastAsia="SimSun" w:cs="Arial"/>
                <w:bCs/>
                <w:i/>
                <w:szCs w:val="18"/>
                <w:lang w:eastAsia="zh-CN"/>
              </w:rPr>
              <w:t>P</w:t>
            </w:r>
            <w:r w:rsidRPr="0087737F">
              <w:rPr>
                <w:rFonts w:eastAsia="SimSun" w:cs="Arial"/>
                <w:bCs/>
                <w:szCs w:val="18"/>
                <w:lang w:eastAsia="zh-CN"/>
              </w:rPr>
              <w:t xml:space="preserve"> = 0.05 based on a Tukey </w:t>
            </w:r>
            <w:r w:rsidRPr="0087737F">
              <w:rPr>
                <w:rFonts w:eastAsia="SimSun" w:cs="Arial"/>
                <w:bCs/>
                <w:i/>
                <w:szCs w:val="18"/>
                <w:lang w:eastAsia="zh-CN"/>
              </w:rPr>
              <w:t>post hoc</w:t>
            </w:r>
            <w:r w:rsidRPr="0087737F">
              <w:rPr>
                <w:rFonts w:eastAsia="SimSun" w:cs="Arial"/>
                <w:bCs/>
                <w:szCs w:val="18"/>
                <w:lang w:eastAsia="zh-CN"/>
              </w:rPr>
              <w:t xml:space="preserve"> test. Error bars are ± standard error of the mean (n = 10, except for ‘Volume control’ treatments where n = 9). AMF colonisation and access to the organic nutrient patch in the second compartment significantly increased the grain N concentration (</w:t>
            </w:r>
            <w:r w:rsidRPr="0087737F">
              <w:rPr>
                <w:i/>
              </w:rPr>
              <w:t>F</w:t>
            </w:r>
            <w:r w:rsidRPr="0087737F">
              <w:rPr>
                <w:i/>
                <w:vertAlign w:val="subscript"/>
              </w:rPr>
              <w:t>3,35</w:t>
            </w:r>
            <w:r w:rsidRPr="0087737F">
              <w:t xml:space="preserve"> = 7.2, </w:t>
            </w:r>
            <w:r w:rsidRPr="0087737F">
              <w:rPr>
                <w:i/>
              </w:rPr>
              <w:t>P</w:t>
            </w:r>
            <w:r w:rsidRPr="0087737F">
              <w:t xml:space="preserve"> &lt; 0.001).</w:t>
            </w:r>
          </w:p>
          <w:p w14:paraId="46997825" w14:textId="77777777" w:rsidR="0002061D" w:rsidRPr="0087737F" w:rsidRDefault="0002061D" w:rsidP="004663F1">
            <w:pPr>
              <w:rPr>
                <w:rFonts w:cs="Arial"/>
                <w:b/>
                <w:sz w:val="20"/>
                <w:szCs w:val="20"/>
              </w:rPr>
            </w:pPr>
          </w:p>
        </w:tc>
      </w:tr>
    </w:tbl>
    <w:p w14:paraId="70DE3930" w14:textId="77777777" w:rsidR="0002061D" w:rsidRPr="0087737F" w:rsidRDefault="0002061D" w:rsidP="004663F1">
      <w:pPr>
        <w:rPr>
          <w:rFonts w:cs="Arial"/>
          <w:b/>
          <w:sz w:val="20"/>
          <w:szCs w:val="20"/>
        </w:rPr>
        <w:sectPr w:rsidR="0002061D" w:rsidRPr="0087737F" w:rsidSect="004663F1">
          <w:pgSz w:w="11906" w:h="16838"/>
          <w:pgMar w:top="1440" w:right="1440" w:bottom="1440" w:left="1440" w:header="708" w:footer="708" w:gutter="0"/>
          <w:cols w:space="708"/>
          <w:docGrid w:linePitch="360"/>
        </w:sectPr>
      </w:pP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8726"/>
      </w:tblGrid>
      <w:tr w:rsidR="00B310A3" w:rsidRPr="0087737F" w14:paraId="22DBA590" w14:textId="77777777" w:rsidTr="004663F1">
        <w:tc>
          <w:tcPr>
            <w:tcW w:w="4928" w:type="dxa"/>
          </w:tcPr>
          <w:p w14:paraId="1844CC91" w14:textId="77777777" w:rsidR="0002061D" w:rsidRPr="0087737F" w:rsidRDefault="0002061D" w:rsidP="004663F1">
            <w:pPr>
              <w:spacing w:after="360"/>
              <w:rPr>
                <w:rFonts w:eastAsia="SimSun" w:cs="Arial"/>
                <w:b/>
                <w:bCs/>
                <w:szCs w:val="18"/>
                <w:lang w:eastAsia="zh-CN"/>
              </w:rPr>
            </w:pPr>
            <w:r w:rsidRPr="0087737F">
              <w:rPr>
                <w:noProof/>
                <w:lang w:eastAsia="en-GB"/>
              </w:rPr>
              <w:lastRenderedPageBreak/>
              <w:drawing>
                <wp:inline distT="0" distB="0" distL="0" distR="0" wp14:anchorId="42C64A40" wp14:editId="1E69BB88">
                  <wp:extent cx="3151036" cy="35999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AppData\Local\Microsoft\Windows\Temporary Internet Files\Content.Word\Rplot20.emf"/>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151036" cy="3599998"/>
                          </a:xfrm>
                          <a:prstGeom prst="rect">
                            <a:avLst/>
                          </a:prstGeom>
                          <a:noFill/>
                          <a:ln>
                            <a:noFill/>
                          </a:ln>
                        </pic:spPr>
                      </pic:pic>
                    </a:graphicData>
                  </a:graphic>
                </wp:inline>
              </w:drawing>
            </w:r>
          </w:p>
        </w:tc>
        <w:tc>
          <w:tcPr>
            <w:tcW w:w="8726" w:type="dxa"/>
          </w:tcPr>
          <w:p w14:paraId="2268A055" w14:textId="77777777" w:rsidR="0002061D" w:rsidRPr="0087737F" w:rsidRDefault="0002061D" w:rsidP="004663F1">
            <w:pPr>
              <w:keepNext/>
              <w:spacing w:after="360"/>
              <w:rPr>
                <w:rFonts w:eastAsia="SimSun" w:cs="Arial"/>
                <w:b/>
                <w:bCs/>
                <w:szCs w:val="18"/>
                <w:lang w:eastAsia="zh-CN"/>
              </w:rPr>
            </w:pPr>
            <w:r w:rsidRPr="0087737F">
              <w:rPr>
                <w:noProof/>
                <w:lang w:eastAsia="en-GB"/>
              </w:rPr>
              <w:drawing>
                <wp:inline distT="0" distB="0" distL="0" distR="0" wp14:anchorId="50270154" wp14:editId="35FE9BC8">
                  <wp:extent cx="3151036" cy="359999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AppData\Local\Microsoft\Windows\Temporary Internet Files\Content.Word\Rplot21.emf"/>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151036" cy="3599998"/>
                          </a:xfrm>
                          <a:prstGeom prst="rect">
                            <a:avLst/>
                          </a:prstGeom>
                          <a:noFill/>
                          <a:ln>
                            <a:noFill/>
                          </a:ln>
                        </pic:spPr>
                      </pic:pic>
                    </a:graphicData>
                  </a:graphic>
                </wp:inline>
              </w:drawing>
            </w:r>
          </w:p>
        </w:tc>
      </w:tr>
    </w:tbl>
    <w:p w14:paraId="5F6B4021" w14:textId="6AD5DB9C" w:rsidR="0002061D" w:rsidRPr="0087737F" w:rsidRDefault="0002061D" w:rsidP="004663F1">
      <w:pPr>
        <w:spacing w:after="360"/>
        <w:rPr>
          <w:sz w:val="24"/>
        </w:rPr>
      </w:pPr>
      <w:r w:rsidRPr="0087737F">
        <w:rPr>
          <w:rFonts w:eastAsia="SimSun" w:cs="Arial"/>
          <w:bCs/>
          <w:szCs w:val="18"/>
          <w:lang w:eastAsia="zh-CN"/>
        </w:rPr>
        <w:t xml:space="preserve">Figure 3. Mean percentage (%) of nitrogen (N) in the A) grain and B) aphid tissues derived from the added organic patch of AMF colonisation and AMF access treatments at harvest. Different letters indicate significant differences at </w:t>
      </w:r>
      <w:r w:rsidRPr="0087737F">
        <w:rPr>
          <w:rFonts w:eastAsia="SimSun" w:cs="Arial"/>
          <w:bCs/>
          <w:i/>
          <w:szCs w:val="18"/>
          <w:lang w:eastAsia="zh-CN"/>
        </w:rPr>
        <w:t>P</w:t>
      </w:r>
      <w:r w:rsidRPr="0087737F">
        <w:rPr>
          <w:rFonts w:eastAsia="SimSun" w:cs="Arial"/>
          <w:bCs/>
          <w:szCs w:val="18"/>
          <w:lang w:eastAsia="zh-CN"/>
        </w:rPr>
        <w:t xml:space="preserve"> = 0.05 based on a Tukey </w:t>
      </w:r>
      <w:r w:rsidRPr="0087737F">
        <w:rPr>
          <w:rFonts w:eastAsia="SimSun" w:cs="Arial"/>
          <w:bCs/>
          <w:i/>
          <w:szCs w:val="18"/>
          <w:lang w:eastAsia="zh-CN"/>
        </w:rPr>
        <w:t>post hoc</w:t>
      </w:r>
      <w:r w:rsidRPr="0087737F">
        <w:rPr>
          <w:rFonts w:eastAsia="SimSun" w:cs="Arial"/>
          <w:bCs/>
          <w:szCs w:val="18"/>
          <w:lang w:eastAsia="zh-CN"/>
        </w:rPr>
        <w:t xml:space="preserve"> test. Error bars are ± standard error of the mean (n = 10). AMF colonisation with access to the organic nutrient patch in the second compartment significantly increased the proportion of N derived from the org</w:t>
      </w:r>
      <w:r w:rsidR="00347E51" w:rsidRPr="0087737F">
        <w:rPr>
          <w:rFonts w:eastAsia="SimSun" w:cs="Arial"/>
          <w:bCs/>
          <w:szCs w:val="18"/>
          <w:lang w:eastAsia="zh-CN"/>
        </w:rPr>
        <w:t>anic nutrient patch contributing</w:t>
      </w:r>
      <w:r w:rsidRPr="0087737F">
        <w:rPr>
          <w:rFonts w:eastAsia="SimSun" w:cs="Arial"/>
          <w:bCs/>
          <w:szCs w:val="18"/>
          <w:lang w:eastAsia="zh-CN"/>
        </w:rPr>
        <w:t xml:space="preserve"> to the grain and the aphid (</w:t>
      </w:r>
      <w:r w:rsidRPr="0087737F">
        <w:rPr>
          <w:i/>
        </w:rPr>
        <w:t>F</w:t>
      </w:r>
      <w:r w:rsidRPr="0087737F">
        <w:rPr>
          <w:i/>
          <w:vertAlign w:val="subscript"/>
        </w:rPr>
        <w:t>2,27</w:t>
      </w:r>
      <w:r w:rsidRPr="0087737F">
        <w:t xml:space="preserve"> =</w:t>
      </w:r>
      <w:r w:rsidR="009824E1" w:rsidRPr="0087737F">
        <w:t xml:space="preserve"> </w:t>
      </w:r>
      <w:r w:rsidRPr="0087737F">
        <w:t xml:space="preserve">21.7, </w:t>
      </w:r>
      <w:r w:rsidRPr="0087737F">
        <w:rPr>
          <w:i/>
        </w:rPr>
        <w:t>P</w:t>
      </w:r>
      <w:r w:rsidRPr="0087737F">
        <w:t xml:space="preserve"> &lt; 0.001;</w:t>
      </w:r>
      <w:r w:rsidR="00585E40" w:rsidRPr="0087737F">
        <w:t xml:space="preserve"> </w:t>
      </w:r>
      <w:r w:rsidRPr="0087737F">
        <w:rPr>
          <w:i/>
        </w:rPr>
        <w:t>F</w:t>
      </w:r>
      <w:r w:rsidRPr="0087737F">
        <w:rPr>
          <w:i/>
          <w:vertAlign w:val="subscript"/>
        </w:rPr>
        <w:t>2,27</w:t>
      </w:r>
      <w:r w:rsidRPr="0087737F">
        <w:t xml:space="preserve"> = 8.7, </w:t>
      </w:r>
      <w:r w:rsidRPr="0087737F">
        <w:rPr>
          <w:i/>
        </w:rPr>
        <w:t>P</w:t>
      </w:r>
      <w:r w:rsidRPr="0087737F">
        <w:t xml:space="preserve"> &lt; 0.01; respectively).</w:t>
      </w:r>
    </w:p>
    <w:p w14:paraId="30882262" w14:textId="2B797DA7" w:rsidR="0002061D" w:rsidRPr="0087737F" w:rsidRDefault="0002061D" w:rsidP="004663F1">
      <w:pPr>
        <w:pStyle w:val="Caption"/>
        <w:keepNext/>
        <w:spacing w:line="480" w:lineRule="auto"/>
        <w:rPr>
          <w:rFonts w:cs="Arial"/>
          <w:b w:val="0"/>
          <w:color w:val="auto"/>
          <w:sz w:val="22"/>
          <w:szCs w:val="20"/>
        </w:rPr>
      </w:pPr>
      <w:r w:rsidRPr="0087737F">
        <w:rPr>
          <w:rFonts w:cs="Arial"/>
          <w:b w:val="0"/>
          <w:color w:val="auto"/>
          <w:sz w:val="22"/>
          <w:szCs w:val="20"/>
        </w:rPr>
        <w:lastRenderedPageBreak/>
        <w:t xml:space="preserve">Table </w:t>
      </w:r>
      <w:r w:rsidRPr="0087737F">
        <w:rPr>
          <w:rFonts w:cs="Arial"/>
          <w:b w:val="0"/>
          <w:color w:val="auto"/>
          <w:sz w:val="22"/>
          <w:szCs w:val="20"/>
        </w:rPr>
        <w:fldChar w:fldCharType="begin"/>
      </w:r>
      <w:r w:rsidRPr="0087737F">
        <w:rPr>
          <w:rFonts w:cs="Arial"/>
          <w:b w:val="0"/>
          <w:color w:val="auto"/>
          <w:sz w:val="22"/>
          <w:szCs w:val="20"/>
        </w:rPr>
        <w:instrText xml:space="preserve"> SEQ Table \* ARABIC </w:instrText>
      </w:r>
      <w:r w:rsidRPr="0087737F">
        <w:rPr>
          <w:rFonts w:cs="Arial"/>
          <w:b w:val="0"/>
          <w:color w:val="auto"/>
          <w:sz w:val="22"/>
          <w:szCs w:val="20"/>
        </w:rPr>
        <w:fldChar w:fldCharType="separate"/>
      </w:r>
      <w:r w:rsidR="00BC0842" w:rsidRPr="0087737F">
        <w:rPr>
          <w:rFonts w:cs="Arial"/>
          <w:b w:val="0"/>
          <w:noProof/>
          <w:color w:val="auto"/>
          <w:sz w:val="22"/>
          <w:szCs w:val="20"/>
        </w:rPr>
        <w:t>1</w:t>
      </w:r>
      <w:r w:rsidRPr="0087737F">
        <w:rPr>
          <w:rFonts w:cs="Arial"/>
          <w:b w:val="0"/>
          <w:color w:val="auto"/>
          <w:sz w:val="22"/>
          <w:szCs w:val="20"/>
        </w:rPr>
        <w:fldChar w:fldCharType="end"/>
      </w:r>
      <w:r w:rsidRPr="0087737F">
        <w:rPr>
          <w:rFonts w:cs="Arial"/>
          <w:b w:val="0"/>
          <w:color w:val="auto"/>
          <w:sz w:val="22"/>
          <w:szCs w:val="20"/>
        </w:rPr>
        <w:t xml:space="preserve">. AMF colonisation, AMF access to the second compartment and patch presence treatment combinations. Arrow direction represents the hypothesised effect of the treatment compared to the non-colonised plant. </w:t>
      </w:r>
      <w:r w:rsidR="000C1479" w:rsidRPr="0087737F">
        <w:rPr>
          <w:rFonts w:cs="Arial"/>
          <w:b w:val="0"/>
          <w:color w:val="auto"/>
          <w:sz w:val="22"/>
          <w:szCs w:val="20"/>
        </w:rPr>
        <w:t>‘=’</w:t>
      </w:r>
      <w:r w:rsidRPr="0087737F">
        <w:rPr>
          <w:rFonts w:cs="Arial"/>
          <w:b w:val="0"/>
          <w:color w:val="auto"/>
          <w:sz w:val="22"/>
          <w:szCs w:val="20"/>
        </w:rPr>
        <w:t xml:space="preserve"> represent</w:t>
      </w:r>
      <w:r w:rsidR="000C1479" w:rsidRPr="0087737F">
        <w:rPr>
          <w:rFonts w:cs="Arial"/>
          <w:b w:val="0"/>
          <w:color w:val="auto"/>
          <w:sz w:val="22"/>
          <w:szCs w:val="20"/>
        </w:rPr>
        <w:t>s</w:t>
      </w:r>
      <w:r w:rsidRPr="0087737F">
        <w:rPr>
          <w:rFonts w:cs="Arial"/>
          <w:b w:val="0"/>
          <w:color w:val="auto"/>
          <w:sz w:val="22"/>
          <w:szCs w:val="20"/>
        </w:rPr>
        <w:t xml:space="preserve"> no effect,</w:t>
      </w:r>
      <w:r w:rsidR="00C2629A" w:rsidRPr="0087737F">
        <w:rPr>
          <w:rFonts w:cs="Arial"/>
          <w:b w:val="0"/>
          <w:color w:val="auto"/>
          <w:sz w:val="22"/>
          <w:szCs w:val="20"/>
        </w:rPr>
        <w:t xml:space="preserve"> ‘NA</w:t>
      </w:r>
      <w:r w:rsidRPr="0087737F">
        <w:rPr>
          <w:rFonts w:cs="Arial"/>
          <w:b w:val="0"/>
          <w:color w:val="auto"/>
          <w:sz w:val="22"/>
          <w:szCs w:val="20"/>
        </w:rPr>
        <w:t>’ represents no hypothesis in comparison to the ‘-AM’ treatment.</w:t>
      </w:r>
    </w:p>
    <w:tbl>
      <w:tblPr>
        <w:tblStyle w:val="TableGrid1"/>
        <w:tblW w:w="1495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7"/>
        <w:gridCol w:w="1568"/>
        <w:gridCol w:w="1533"/>
        <w:gridCol w:w="1226"/>
        <w:gridCol w:w="306"/>
        <w:gridCol w:w="4572"/>
        <w:gridCol w:w="284"/>
        <w:gridCol w:w="992"/>
        <w:gridCol w:w="992"/>
        <w:gridCol w:w="1134"/>
        <w:gridCol w:w="918"/>
      </w:tblGrid>
      <w:tr w:rsidR="00B310A3" w:rsidRPr="0087737F" w14:paraId="1CA8109C" w14:textId="77777777" w:rsidTr="004663F1">
        <w:trPr>
          <w:trHeight w:val="235"/>
        </w:trPr>
        <w:tc>
          <w:tcPr>
            <w:tcW w:w="1427" w:type="dxa"/>
            <w:tcBorders>
              <w:top w:val="single" w:sz="4" w:space="0" w:color="auto"/>
            </w:tcBorders>
          </w:tcPr>
          <w:p w14:paraId="719BCEC2" w14:textId="77777777" w:rsidR="0002061D" w:rsidRPr="0087737F" w:rsidRDefault="0002061D" w:rsidP="004663F1">
            <w:pPr>
              <w:pStyle w:val="table"/>
            </w:pPr>
            <w:r w:rsidRPr="0087737F">
              <w:t>Treatment name</w:t>
            </w:r>
          </w:p>
        </w:tc>
        <w:tc>
          <w:tcPr>
            <w:tcW w:w="4327" w:type="dxa"/>
            <w:gridSpan w:val="3"/>
            <w:tcBorders>
              <w:top w:val="single" w:sz="4" w:space="0" w:color="auto"/>
              <w:bottom w:val="single" w:sz="4" w:space="0" w:color="auto"/>
            </w:tcBorders>
          </w:tcPr>
          <w:p w14:paraId="0157DB6C" w14:textId="77777777" w:rsidR="0002061D" w:rsidRPr="0087737F" w:rsidRDefault="0002061D" w:rsidP="004663F1">
            <w:pPr>
              <w:pStyle w:val="table"/>
            </w:pPr>
            <w:r w:rsidRPr="0087737F">
              <w:t>Treatment design</w:t>
            </w:r>
          </w:p>
        </w:tc>
        <w:tc>
          <w:tcPr>
            <w:tcW w:w="306" w:type="dxa"/>
            <w:tcBorders>
              <w:top w:val="single" w:sz="4" w:space="0" w:color="auto"/>
            </w:tcBorders>
          </w:tcPr>
          <w:p w14:paraId="228963ED" w14:textId="77777777" w:rsidR="0002061D" w:rsidRPr="0087737F" w:rsidRDefault="0002061D" w:rsidP="004663F1">
            <w:pPr>
              <w:pStyle w:val="table"/>
            </w:pPr>
          </w:p>
        </w:tc>
        <w:tc>
          <w:tcPr>
            <w:tcW w:w="4572" w:type="dxa"/>
            <w:tcBorders>
              <w:top w:val="single" w:sz="4" w:space="0" w:color="auto"/>
            </w:tcBorders>
          </w:tcPr>
          <w:p w14:paraId="0BCB3C97" w14:textId="77777777" w:rsidR="0002061D" w:rsidRPr="0087737F" w:rsidRDefault="0002061D" w:rsidP="004663F1">
            <w:pPr>
              <w:pStyle w:val="table"/>
            </w:pPr>
            <w:r w:rsidRPr="0087737F">
              <w:t>Purpose of treatment</w:t>
            </w:r>
          </w:p>
        </w:tc>
        <w:tc>
          <w:tcPr>
            <w:tcW w:w="284" w:type="dxa"/>
            <w:tcBorders>
              <w:top w:val="single" w:sz="4" w:space="0" w:color="auto"/>
            </w:tcBorders>
          </w:tcPr>
          <w:p w14:paraId="0EE02265" w14:textId="77777777" w:rsidR="0002061D" w:rsidRPr="0087737F" w:rsidRDefault="0002061D" w:rsidP="004663F1">
            <w:pPr>
              <w:pStyle w:val="table"/>
            </w:pPr>
          </w:p>
        </w:tc>
        <w:tc>
          <w:tcPr>
            <w:tcW w:w="4036" w:type="dxa"/>
            <w:gridSpan w:val="4"/>
            <w:tcBorders>
              <w:top w:val="single" w:sz="4" w:space="0" w:color="auto"/>
              <w:bottom w:val="single" w:sz="4" w:space="0" w:color="auto"/>
            </w:tcBorders>
          </w:tcPr>
          <w:p w14:paraId="47943AFF" w14:textId="77777777" w:rsidR="0002061D" w:rsidRPr="0087737F" w:rsidRDefault="0002061D" w:rsidP="004663F1">
            <w:pPr>
              <w:pStyle w:val="table"/>
            </w:pPr>
            <w:r w:rsidRPr="0087737F">
              <w:t>Hypothesised effect compared to ‘-AM’</w:t>
            </w:r>
          </w:p>
        </w:tc>
      </w:tr>
      <w:tr w:rsidR="00B310A3" w:rsidRPr="0087737F" w14:paraId="17CE6501" w14:textId="77777777" w:rsidTr="004663F1">
        <w:trPr>
          <w:trHeight w:val="670"/>
        </w:trPr>
        <w:tc>
          <w:tcPr>
            <w:tcW w:w="1427" w:type="dxa"/>
            <w:tcBorders>
              <w:bottom w:val="single" w:sz="4" w:space="0" w:color="auto"/>
            </w:tcBorders>
          </w:tcPr>
          <w:p w14:paraId="7691E2DF" w14:textId="77777777" w:rsidR="0002061D" w:rsidRPr="0087737F" w:rsidRDefault="0002061D" w:rsidP="004663F1">
            <w:pPr>
              <w:pStyle w:val="table"/>
            </w:pPr>
          </w:p>
        </w:tc>
        <w:tc>
          <w:tcPr>
            <w:tcW w:w="1568" w:type="dxa"/>
            <w:tcBorders>
              <w:top w:val="single" w:sz="4" w:space="0" w:color="auto"/>
              <w:bottom w:val="single" w:sz="4" w:space="0" w:color="auto"/>
            </w:tcBorders>
          </w:tcPr>
          <w:p w14:paraId="55B979AD" w14:textId="77777777" w:rsidR="0002061D" w:rsidRPr="0087737F" w:rsidRDefault="0002061D" w:rsidP="004663F1">
            <w:pPr>
              <w:pStyle w:val="table"/>
            </w:pPr>
            <w:r w:rsidRPr="0087737F">
              <w:t>AMF colonisation</w:t>
            </w:r>
          </w:p>
        </w:tc>
        <w:tc>
          <w:tcPr>
            <w:tcW w:w="1533" w:type="dxa"/>
            <w:tcBorders>
              <w:top w:val="single" w:sz="4" w:space="0" w:color="auto"/>
              <w:bottom w:val="single" w:sz="4" w:space="0" w:color="auto"/>
            </w:tcBorders>
          </w:tcPr>
          <w:p w14:paraId="477DB4A5" w14:textId="77777777" w:rsidR="0002061D" w:rsidRPr="0087737F" w:rsidRDefault="0002061D" w:rsidP="004663F1">
            <w:pPr>
              <w:pStyle w:val="table"/>
            </w:pPr>
            <w:r w:rsidRPr="0087737F">
              <w:t>Potential AMF access to second compartment</w:t>
            </w:r>
          </w:p>
        </w:tc>
        <w:tc>
          <w:tcPr>
            <w:tcW w:w="1226" w:type="dxa"/>
            <w:tcBorders>
              <w:top w:val="single" w:sz="4" w:space="0" w:color="auto"/>
              <w:bottom w:val="single" w:sz="4" w:space="0" w:color="auto"/>
            </w:tcBorders>
          </w:tcPr>
          <w:p w14:paraId="3C87ECC4" w14:textId="77777777" w:rsidR="0002061D" w:rsidRPr="0087737F" w:rsidRDefault="0002061D" w:rsidP="004663F1">
            <w:pPr>
              <w:pStyle w:val="table"/>
            </w:pPr>
            <w:r w:rsidRPr="0087737F">
              <w:t>Organic patch presence</w:t>
            </w:r>
          </w:p>
        </w:tc>
        <w:tc>
          <w:tcPr>
            <w:tcW w:w="306" w:type="dxa"/>
          </w:tcPr>
          <w:p w14:paraId="4592F857" w14:textId="77777777" w:rsidR="0002061D" w:rsidRPr="0087737F" w:rsidRDefault="0002061D" w:rsidP="004663F1">
            <w:pPr>
              <w:pStyle w:val="table"/>
            </w:pPr>
          </w:p>
        </w:tc>
        <w:tc>
          <w:tcPr>
            <w:tcW w:w="4572" w:type="dxa"/>
            <w:tcBorders>
              <w:bottom w:val="single" w:sz="4" w:space="0" w:color="auto"/>
            </w:tcBorders>
          </w:tcPr>
          <w:p w14:paraId="324DF2FB" w14:textId="77777777" w:rsidR="0002061D" w:rsidRPr="0087737F" w:rsidRDefault="0002061D" w:rsidP="004663F1">
            <w:pPr>
              <w:pStyle w:val="table"/>
            </w:pPr>
          </w:p>
        </w:tc>
        <w:tc>
          <w:tcPr>
            <w:tcW w:w="284" w:type="dxa"/>
          </w:tcPr>
          <w:p w14:paraId="736F44B2" w14:textId="77777777" w:rsidR="0002061D" w:rsidRPr="0087737F" w:rsidRDefault="0002061D" w:rsidP="004663F1">
            <w:pPr>
              <w:pStyle w:val="table"/>
            </w:pPr>
          </w:p>
        </w:tc>
        <w:tc>
          <w:tcPr>
            <w:tcW w:w="992" w:type="dxa"/>
            <w:tcBorders>
              <w:top w:val="single" w:sz="4" w:space="0" w:color="auto"/>
              <w:bottom w:val="single" w:sz="4" w:space="0" w:color="auto"/>
            </w:tcBorders>
          </w:tcPr>
          <w:p w14:paraId="0EAB65BD" w14:textId="77777777" w:rsidR="0002061D" w:rsidRPr="0087737F" w:rsidRDefault="0002061D" w:rsidP="004663F1">
            <w:pPr>
              <w:pStyle w:val="table"/>
            </w:pPr>
            <w:r w:rsidRPr="0087737F">
              <w:t>Plant biomass</w:t>
            </w:r>
          </w:p>
        </w:tc>
        <w:tc>
          <w:tcPr>
            <w:tcW w:w="992" w:type="dxa"/>
            <w:tcBorders>
              <w:top w:val="single" w:sz="4" w:space="0" w:color="auto"/>
              <w:bottom w:val="single" w:sz="4" w:space="0" w:color="auto"/>
            </w:tcBorders>
          </w:tcPr>
          <w:p w14:paraId="606ACDEA" w14:textId="77777777" w:rsidR="0002061D" w:rsidRPr="0087737F" w:rsidRDefault="0002061D" w:rsidP="004663F1">
            <w:pPr>
              <w:pStyle w:val="table"/>
            </w:pPr>
            <w:r w:rsidRPr="0087737F">
              <w:t>Plant N and P</w:t>
            </w:r>
          </w:p>
        </w:tc>
        <w:tc>
          <w:tcPr>
            <w:tcW w:w="1134" w:type="dxa"/>
            <w:tcBorders>
              <w:top w:val="single" w:sz="4" w:space="0" w:color="auto"/>
              <w:bottom w:val="single" w:sz="4" w:space="0" w:color="auto"/>
            </w:tcBorders>
          </w:tcPr>
          <w:p w14:paraId="7C6A6411" w14:textId="5F1B1242" w:rsidR="0002061D" w:rsidRPr="0087737F" w:rsidRDefault="0002061D" w:rsidP="004052C3">
            <w:pPr>
              <w:pStyle w:val="table"/>
            </w:pPr>
            <w:r w:rsidRPr="0087737F">
              <w:t>N delivery from</w:t>
            </w:r>
            <w:r w:rsidR="000F3360" w:rsidRPr="0087737F">
              <w:t xml:space="preserve"> the</w:t>
            </w:r>
            <w:r w:rsidRPr="0087737F">
              <w:t xml:space="preserve"> patch</w:t>
            </w:r>
            <w:r w:rsidR="00221C61" w:rsidRPr="0087737F">
              <w:t xml:space="preserve"> above</w:t>
            </w:r>
            <w:r w:rsidR="000F3360" w:rsidRPr="0087737F">
              <w:t xml:space="preserve"> </w:t>
            </w:r>
            <w:r w:rsidR="00221C61" w:rsidRPr="0087737F">
              <w:t>ground</w:t>
            </w:r>
          </w:p>
        </w:tc>
        <w:tc>
          <w:tcPr>
            <w:tcW w:w="918" w:type="dxa"/>
            <w:tcBorders>
              <w:top w:val="single" w:sz="4" w:space="0" w:color="auto"/>
              <w:bottom w:val="single" w:sz="4" w:space="0" w:color="auto"/>
            </w:tcBorders>
          </w:tcPr>
          <w:p w14:paraId="188DED1E" w14:textId="77777777" w:rsidR="0002061D" w:rsidRPr="0087737F" w:rsidRDefault="0002061D" w:rsidP="004663F1">
            <w:pPr>
              <w:pStyle w:val="table"/>
            </w:pPr>
            <w:r w:rsidRPr="0087737F">
              <w:t>Aphid number</w:t>
            </w:r>
          </w:p>
        </w:tc>
      </w:tr>
      <w:tr w:rsidR="00B310A3" w:rsidRPr="0087737F" w14:paraId="4D366D5A" w14:textId="77777777" w:rsidTr="004663F1">
        <w:trPr>
          <w:trHeight w:val="686"/>
        </w:trPr>
        <w:tc>
          <w:tcPr>
            <w:tcW w:w="1427" w:type="dxa"/>
            <w:tcBorders>
              <w:top w:val="single" w:sz="4" w:space="0" w:color="auto"/>
            </w:tcBorders>
          </w:tcPr>
          <w:p w14:paraId="64058751" w14:textId="77777777" w:rsidR="0002061D" w:rsidRPr="0087737F" w:rsidRDefault="0002061D" w:rsidP="004663F1">
            <w:pPr>
              <w:pStyle w:val="table"/>
            </w:pPr>
            <w:r w:rsidRPr="0087737F">
              <w:t>-AM</w:t>
            </w:r>
          </w:p>
        </w:tc>
        <w:tc>
          <w:tcPr>
            <w:tcW w:w="1568" w:type="dxa"/>
            <w:tcBorders>
              <w:top w:val="single" w:sz="4" w:space="0" w:color="auto"/>
            </w:tcBorders>
          </w:tcPr>
          <w:p w14:paraId="432511DB" w14:textId="77777777" w:rsidR="0002061D" w:rsidRPr="0087737F" w:rsidRDefault="0002061D" w:rsidP="004663F1">
            <w:pPr>
              <w:pStyle w:val="table"/>
            </w:pPr>
            <w:r w:rsidRPr="0087737F">
              <w:t>None</w:t>
            </w:r>
          </w:p>
        </w:tc>
        <w:tc>
          <w:tcPr>
            <w:tcW w:w="1533" w:type="dxa"/>
            <w:tcBorders>
              <w:top w:val="single" w:sz="4" w:space="0" w:color="auto"/>
            </w:tcBorders>
          </w:tcPr>
          <w:p w14:paraId="002AD9D3" w14:textId="77777777" w:rsidR="0002061D" w:rsidRPr="0087737F" w:rsidRDefault="0002061D" w:rsidP="004663F1">
            <w:pPr>
              <w:pStyle w:val="table"/>
            </w:pPr>
            <w:r w:rsidRPr="0087737F">
              <w:t>+Access</w:t>
            </w:r>
          </w:p>
        </w:tc>
        <w:tc>
          <w:tcPr>
            <w:tcW w:w="1226" w:type="dxa"/>
            <w:tcBorders>
              <w:top w:val="single" w:sz="4" w:space="0" w:color="auto"/>
            </w:tcBorders>
          </w:tcPr>
          <w:p w14:paraId="06F33046" w14:textId="77777777" w:rsidR="0002061D" w:rsidRPr="0087737F" w:rsidRDefault="0002061D" w:rsidP="004663F1">
            <w:pPr>
              <w:pStyle w:val="table"/>
            </w:pPr>
            <w:r w:rsidRPr="0087737F">
              <w:t>+Patch</w:t>
            </w:r>
          </w:p>
        </w:tc>
        <w:tc>
          <w:tcPr>
            <w:tcW w:w="306" w:type="dxa"/>
          </w:tcPr>
          <w:p w14:paraId="3A8F9EE2" w14:textId="77777777" w:rsidR="0002061D" w:rsidRPr="0087737F" w:rsidRDefault="0002061D" w:rsidP="004663F1">
            <w:pPr>
              <w:pStyle w:val="table"/>
            </w:pPr>
          </w:p>
        </w:tc>
        <w:tc>
          <w:tcPr>
            <w:tcW w:w="4572" w:type="dxa"/>
            <w:tcBorders>
              <w:top w:val="single" w:sz="4" w:space="0" w:color="auto"/>
            </w:tcBorders>
          </w:tcPr>
          <w:p w14:paraId="0D81335F" w14:textId="5885CEC1" w:rsidR="001F769F" w:rsidRPr="0087737F" w:rsidRDefault="001F769F" w:rsidP="004663F1">
            <w:pPr>
              <w:pStyle w:val="table"/>
            </w:pPr>
            <w:r w:rsidRPr="0087737F">
              <w:t xml:space="preserve">Control for </w:t>
            </w:r>
            <w:r w:rsidR="0002061D" w:rsidRPr="0087737F">
              <w:t>hypotheses 1)</w:t>
            </w:r>
            <w:r w:rsidR="00827BF4" w:rsidRPr="0087737F">
              <w:t>,</w:t>
            </w:r>
            <w:r w:rsidR="0002061D" w:rsidRPr="0087737F">
              <w:t xml:space="preserve"> 2)</w:t>
            </w:r>
            <w:r w:rsidR="00827BF4" w:rsidRPr="0087737F">
              <w:t xml:space="preserve"> and 3)</w:t>
            </w:r>
            <w:r w:rsidR="0002061D" w:rsidRPr="0087737F">
              <w:t xml:space="preserve">. </w:t>
            </w:r>
          </w:p>
          <w:p w14:paraId="32CF27D3" w14:textId="698F0884" w:rsidR="0002061D" w:rsidRPr="0087737F" w:rsidRDefault="0002061D" w:rsidP="004663F1">
            <w:pPr>
              <w:pStyle w:val="table"/>
            </w:pPr>
            <w:r w:rsidRPr="0087737F">
              <w:t>As plant roots are always restricted to the plant compartment by the</w:t>
            </w:r>
            <w:r w:rsidR="000F3360" w:rsidRPr="0087737F">
              <w:t xml:space="preserve"> use of </w:t>
            </w:r>
            <w:r w:rsidRPr="0087737F">
              <w:t>mesh</w:t>
            </w:r>
            <w:r w:rsidR="000F3360" w:rsidRPr="0087737F">
              <w:t>es,</w:t>
            </w:r>
            <w:r w:rsidRPr="0087737F">
              <w:t xml:space="preserve"> a ‘-AM, -Access, -Patch’ treatment is redundant. </w:t>
            </w:r>
          </w:p>
          <w:p w14:paraId="50378B24" w14:textId="77777777" w:rsidR="0002061D" w:rsidRPr="0087737F" w:rsidRDefault="0002061D" w:rsidP="004663F1">
            <w:pPr>
              <w:pStyle w:val="NoSpacing"/>
            </w:pPr>
          </w:p>
        </w:tc>
        <w:tc>
          <w:tcPr>
            <w:tcW w:w="284" w:type="dxa"/>
          </w:tcPr>
          <w:p w14:paraId="7DE1B479" w14:textId="77777777" w:rsidR="0002061D" w:rsidRPr="0087737F" w:rsidRDefault="0002061D" w:rsidP="004663F1">
            <w:pPr>
              <w:pStyle w:val="table"/>
            </w:pPr>
          </w:p>
        </w:tc>
        <w:tc>
          <w:tcPr>
            <w:tcW w:w="992" w:type="dxa"/>
            <w:tcBorders>
              <w:top w:val="single" w:sz="4" w:space="0" w:color="auto"/>
            </w:tcBorders>
          </w:tcPr>
          <w:p w14:paraId="56D58256" w14:textId="1EA14755" w:rsidR="0002061D" w:rsidRPr="0087737F" w:rsidRDefault="00C96D51" w:rsidP="004663F1">
            <w:pPr>
              <w:pStyle w:val="table"/>
            </w:pPr>
            <w:r w:rsidRPr="0087737F">
              <w:t>NA</w:t>
            </w:r>
          </w:p>
        </w:tc>
        <w:tc>
          <w:tcPr>
            <w:tcW w:w="992" w:type="dxa"/>
            <w:tcBorders>
              <w:top w:val="single" w:sz="4" w:space="0" w:color="auto"/>
            </w:tcBorders>
          </w:tcPr>
          <w:p w14:paraId="57F60B29" w14:textId="2C3A5D60" w:rsidR="0002061D" w:rsidRPr="0087737F" w:rsidRDefault="00C96D51" w:rsidP="004663F1">
            <w:pPr>
              <w:pStyle w:val="table"/>
            </w:pPr>
            <w:r w:rsidRPr="0087737F">
              <w:t>NA</w:t>
            </w:r>
          </w:p>
        </w:tc>
        <w:tc>
          <w:tcPr>
            <w:tcW w:w="1134" w:type="dxa"/>
            <w:tcBorders>
              <w:top w:val="single" w:sz="4" w:space="0" w:color="auto"/>
            </w:tcBorders>
          </w:tcPr>
          <w:p w14:paraId="15170FA5" w14:textId="561CE904" w:rsidR="0002061D" w:rsidRPr="0087737F" w:rsidRDefault="00C96D51" w:rsidP="004663F1">
            <w:pPr>
              <w:pStyle w:val="table"/>
            </w:pPr>
            <w:r w:rsidRPr="0087737F">
              <w:t>NA</w:t>
            </w:r>
          </w:p>
        </w:tc>
        <w:tc>
          <w:tcPr>
            <w:tcW w:w="918" w:type="dxa"/>
            <w:tcBorders>
              <w:top w:val="single" w:sz="4" w:space="0" w:color="auto"/>
            </w:tcBorders>
          </w:tcPr>
          <w:p w14:paraId="30BFE810" w14:textId="2E2420AF" w:rsidR="0002061D" w:rsidRPr="0087737F" w:rsidRDefault="00C96D51" w:rsidP="004663F1">
            <w:pPr>
              <w:pStyle w:val="table"/>
            </w:pPr>
            <w:r w:rsidRPr="0087737F">
              <w:t>NA</w:t>
            </w:r>
          </w:p>
        </w:tc>
      </w:tr>
      <w:tr w:rsidR="00B310A3" w:rsidRPr="0087737F" w14:paraId="57B4A137" w14:textId="77777777" w:rsidTr="004663F1">
        <w:trPr>
          <w:trHeight w:val="730"/>
        </w:trPr>
        <w:tc>
          <w:tcPr>
            <w:tcW w:w="1427" w:type="dxa"/>
          </w:tcPr>
          <w:p w14:paraId="3C0DF0BC" w14:textId="77777777" w:rsidR="0002061D" w:rsidRPr="0087737F" w:rsidRDefault="0002061D" w:rsidP="004663F1">
            <w:pPr>
              <w:pStyle w:val="table"/>
            </w:pPr>
            <w:r w:rsidRPr="0087737F">
              <w:t xml:space="preserve">+AM, </w:t>
            </w:r>
          </w:p>
          <w:p w14:paraId="7DD92A5E" w14:textId="77777777" w:rsidR="0002061D" w:rsidRPr="0087737F" w:rsidRDefault="0002061D" w:rsidP="004663F1">
            <w:pPr>
              <w:pStyle w:val="table"/>
            </w:pPr>
            <w:r w:rsidRPr="0087737F">
              <w:t>-Access</w:t>
            </w:r>
          </w:p>
        </w:tc>
        <w:tc>
          <w:tcPr>
            <w:tcW w:w="1568" w:type="dxa"/>
          </w:tcPr>
          <w:p w14:paraId="0F3B62B2" w14:textId="77777777" w:rsidR="0002061D" w:rsidRPr="0087737F" w:rsidRDefault="0002061D" w:rsidP="004663F1">
            <w:pPr>
              <w:pStyle w:val="table"/>
            </w:pPr>
            <w:r w:rsidRPr="0087737F">
              <w:t>Yes</w:t>
            </w:r>
          </w:p>
        </w:tc>
        <w:tc>
          <w:tcPr>
            <w:tcW w:w="1533" w:type="dxa"/>
          </w:tcPr>
          <w:p w14:paraId="7445F498" w14:textId="2F46ADD6" w:rsidR="0002061D" w:rsidRPr="0087737F" w:rsidRDefault="0002061D" w:rsidP="004663F1">
            <w:pPr>
              <w:pStyle w:val="table"/>
            </w:pPr>
            <w:r w:rsidRPr="0087737F">
              <w:t>-Access</w:t>
            </w:r>
          </w:p>
        </w:tc>
        <w:tc>
          <w:tcPr>
            <w:tcW w:w="1226" w:type="dxa"/>
          </w:tcPr>
          <w:p w14:paraId="3AC55252" w14:textId="77777777" w:rsidR="0002061D" w:rsidRPr="0087737F" w:rsidRDefault="0002061D" w:rsidP="004663F1">
            <w:pPr>
              <w:pStyle w:val="table"/>
            </w:pPr>
            <w:r w:rsidRPr="0087737F">
              <w:t>+Patch</w:t>
            </w:r>
          </w:p>
        </w:tc>
        <w:tc>
          <w:tcPr>
            <w:tcW w:w="306" w:type="dxa"/>
          </w:tcPr>
          <w:p w14:paraId="3EF3EB3B" w14:textId="77777777" w:rsidR="0002061D" w:rsidRPr="0087737F" w:rsidRDefault="0002061D" w:rsidP="004663F1">
            <w:pPr>
              <w:pStyle w:val="table"/>
            </w:pPr>
          </w:p>
        </w:tc>
        <w:tc>
          <w:tcPr>
            <w:tcW w:w="4572" w:type="dxa"/>
          </w:tcPr>
          <w:p w14:paraId="2E940F4D" w14:textId="361D12F5" w:rsidR="0002061D" w:rsidRPr="0087737F" w:rsidRDefault="0002061D" w:rsidP="004663F1">
            <w:pPr>
              <w:pStyle w:val="table"/>
            </w:pPr>
            <w:r w:rsidRPr="0087737F">
              <w:t>Tests hypothesis 1)</w:t>
            </w:r>
            <w:r w:rsidR="00827BF4" w:rsidRPr="0087737F">
              <w:t xml:space="preserve"> and 3)</w:t>
            </w:r>
            <w:r w:rsidRPr="0087737F">
              <w:t>. Compare with (-AM) to test the effect of AMF colonisation when AMF cannot directly access more nutrient sources than the plant.</w:t>
            </w:r>
          </w:p>
          <w:p w14:paraId="011BC0C9" w14:textId="77777777" w:rsidR="0002061D" w:rsidRPr="0087737F" w:rsidRDefault="0002061D" w:rsidP="004663F1">
            <w:pPr>
              <w:pStyle w:val="NoSpacing"/>
            </w:pPr>
          </w:p>
        </w:tc>
        <w:tc>
          <w:tcPr>
            <w:tcW w:w="284" w:type="dxa"/>
          </w:tcPr>
          <w:p w14:paraId="20BFA142" w14:textId="77777777" w:rsidR="0002061D" w:rsidRPr="0087737F" w:rsidRDefault="0002061D" w:rsidP="004663F1">
            <w:pPr>
              <w:pStyle w:val="table"/>
            </w:pPr>
          </w:p>
        </w:tc>
        <w:tc>
          <w:tcPr>
            <w:tcW w:w="992" w:type="dxa"/>
          </w:tcPr>
          <w:p w14:paraId="729A2A54" w14:textId="77777777" w:rsidR="0002061D" w:rsidRPr="0087737F" w:rsidRDefault="0002061D" w:rsidP="004663F1">
            <w:pPr>
              <w:pStyle w:val="table"/>
            </w:pPr>
            <w:r w:rsidRPr="0087737F">
              <w:rPr>
                <w:rFonts w:cs="Arial"/>
              </w:rPr>
              <w:t>↓</w:t>
            </w:r>
          </w:p>
        </w:tc>
        <w:tc>
          <w:tcPr>
            <w:tcW w:w="992" w:type="dxa"/>
          </w:tcPr>
          <w:p w14:paraId="1F56DD8E" w14:textId="3B06B86F" w:rsidR="0002061D" w:rsidRPr="0087737F" w:rsidRDefault="001F769F" w:rsidP="004663F1">
            <w:pPr>
              <w:pStyle w:val="table"/>
            </w:pPr>
            <w:r w:rsidRPr="0087737F">
              <w:rPr>
                <w:rFonts w:cs="Arial"/>
              </w:rPr>
              <w:t>=</w:t>
            </w:r>
          </w:p>
        </w:tc>
        <w:tc>
          <w:tcPr>
            <w:tcW w:w="1134" w:type="dxa"/>
          </w:tcPr>
          <w:p w14:paraId="627E4436" w14:textId="0BDE5285" w:rsidR="0002061D" w:rsidRPr="0087737F" w:rsidRDefault="001F769F" w:rsidP="004663F1">
            <w:pPr>
              <w:pStyle w:val="table"/>
            </w:pPr>
            <w:r w:rsidRPr="0087737F">
              <w:rPr>
                <w:rFonts w:cs="Arial"/>
              </w:rPr>
              <w:t>=</w:t>
            </w:r>
          </w:p>
        </w:tc>
        <w:tc>
          <w:tcPr>
            <w:tcW w:w="918" w:type="dxa"/>
          </w:tcPr>
          <w:p w14:paraId="210BAB3A" w14:textId="6B1063C6" w:rsidR="0002061D" w:rsidRPr="0087737F" w:rsidRDefault="001F769F" w:rsidP="004663F1">
            <w:pPr>
              <w:pStyle w:val="table"/>
            </w:pPr>
            <w:r w:rsidRPr="0087737F">
              <w:rPr>
                <w:rFonts w:cs="Arial"/>
              </w:rPr>
              <w:t>=</w:t>
            </w:r>
          </w:p>
        </w:tc>
      </w:tr>
      <w:tr w:rsidR="00B310A3" w:rsidRPr="0087737F" w14:paraId="27BDD300" w14:textId="77777777" w:rsidTr="004663F1">
        <w:trPr>
          <w:trHeight w:val="686"/>
        </w:trPr>
        <w:tc>
          <w:tcPr>
            <w:tcW w:w="1427" w:type="dxa"/>
          </w:tcPr>
          <w:p w14:paraId="4799B051" w14:textId="77777777" w:rsidR="0002061D" w:rsidRPr="0087737F" w:rsidRDefault="0002061D" w:rsidP="004663F1">
            <w:pPr>
              <w:pStyle w:val="table"/>
            </w:pPr>
            <w:r w:rsidRPr="0087737F">
              <w:t>+AM, +Access</w:t>
            </w:r>
          </w:p>
        </w:tc>
        <w:tc>
          <w:tcPr>
            <w:tcW w:w="1568" w:type="dxa"/>
          </w:tcPr>
          <w:p w14:paraId="6E0DFE7F" w14:textId="77777777" w:rsidR="0002061D" w:rsidRPr="0087737F" w:rsidRDefault="0002061D" w:rsidP="004663F1">
            <w:pPr>
              <w:pStyle w:val="table"/>
            </w:pPr>
            <w:r w:rsidRPr="0087737F">
              <w:t>Yes</w:t>
            </w:r>
          </w:p>
        </w:tc>
        <w:tc>
          <w:tcPr>
            <w:tcW w:w="1533" w:type="dxa"/>
          </w:tcPr>
          <w:p w14:paraId="29E93DA2" w14:textId="4587A436" w:rsidR="0002061D" w:rsidRPr="0087737F" w:rsidRDefault="0002061D" w:rsidP="004663F1">
            <w:pPr>
              <w:pStyle w:val="table"/>
            </w:pPr>
            <w:r w:rsidRPr="0087737F">
              <w:t>+Access</w:t>
            </w:r>
          </w:p>
        </w:tc>
        <w:tc>
          <w:tcPr>
            <w:tcW w:w="1226" w:type="dxa"/>
          </w:tcPr>
          <w:p w14:paraId="73EE2E1D" w14:textId="77777777" w:rsidR="0002061D" w:rsidRPr="0087737F" w:rsidRDefault="0002061D" w:rsidP="004663F1">
            <w:pPr>
              <w:pStyle w:val="table"/>
            </w:pPr>
            <w:r w:rsidRPr="0087737F">
              <w:t>+Patch</w:t>
            </w:r>
          </w:p>
        </w:tc>
        <w:tc>
          <w:tcPr>
            <w:tcW w:w="306" w:type="dxa"/>
          </w:tcPr>
          <w:p w14:paraId="136C0C91" w14:textId="77777777" w:rsidR="0002061D" w:rsidRPr="0087737F" w:rsidRDefault="0002061D" w:rsidP="004663F1">
            <w:pPr>
              <w:pStyle w:val="table"/>
            </w:pPr>
          </w:p>
        </w:tc>
        <w:tc>
          <w:tcPr>
            <w:tcW w:w="4572" w:type="dxa"/>
          </w:tcPr>
          <w:p w14:paraId="332ADE3C" w14:textId="146D0245" w:rsidR="0002061D" w:rsidRPr="0087737F" w:rsidRDefault="0002061D" w:rsidP="004663F1">
            <w:pPr>
              <w:pStyle w:val="table"/>
            </w:pPr>
            <w:r w:rsidRPr="0087737F">
              <w:t>Tests hypothesis 2)</w:t>
            </w:r>
            <w:r w:rsidR="00827BF4" w:rsidRPr="0087737F">
              <w:t xml:space="preserve"> and 3)</w:t>
            </w:r>
            <w:r w:rsidRPr="0087737F">
              <w:t>. Compare with (-AM) to test effect of AMF colonisation when the AMF can directly access nutrient sources the plant cannot.</w:t>
            </w:r>
          </w:p>
          <w:p w14:paraId="0E9C692F" w14:textId="77777777" w:rsidR="0002061D" w:rsidRPr="0087737F" w:rsidRDefault="0002061D" w:rsidP="004663F1">
            <w:pPr>
              <w:pStyle w:val="table"/>
            </w:pPr>
            <w:r w:rsidRPr="0087737F">
              <w:t xml:space="preserve"> </w:t>
            </w:r>
          </w:p>
        </w:tc>
        <w:tc>
          <w:tcPr>
            <w:tcW w:w="284" w:type="dxa"/>
          </w:tcPr>
          <w:p w14:paraId="217BEB32" w14:textId="77777777" w:rsidR="0002061D" w:rsidRPr="0087737F" w:rsidRDefault="0002061D" w:rsidP="004663F1">
            <w:pPr>
              <w:pStyle w:val="table"/>
            </w:pPr>
          </w:p>
        </w:tc>
        <w:tc>
          <w:tcPr>
            <w:tcW w:w="992" w:type="dxa"/>
          </w:tcPr>
          <w:p w14:paraId="29FA9CB4" w14:textId="77777777" w:rsidR="0002061D" w:rsidRPr="0087737F" w:rsidRDefault="0002061D" w:rsidP="004663F1">
            <w:pPr>
              <w:pStyle w:val="table"/>
            </w:pPr>
            <w:r w:rsidRPr="0087737F">
              <w:rPr>
                <w:rFonts w:cs="Arial"/>
              </w:rPr>
              <w:t>↑</w:t>
            </w:r>
          </w:p>
        </w:tc>
        <w:tc>
          <w:tcPr>
            <w:tcW w:w="992" w:type="dxa"/>
          </w:tcPr>
          <w:p w14:paraId="0E5A806F" w14:textId="77777777" w:rsidR="0002061D" w:rsidRPr="0087737F" w:rsidRDefault="0002061D" w:rsidP="004663F1">
            <w:pPr>
              <w:pStyle w:val="table"/>
            </w:pPr>
            <w:r w:rsidRPr="0087737F">
              <w:rPr>
                <w:rFonts w:cs="Arial"/>
              </w:rPr>
              <w:t>↑</w:t>
            </w:r>
          </w:p>
        </w:tc>
        <w:tc>
          <w:tcPr>
            <w:tcW w:w="1134" w:type="dxa"/>
          </w:tcPr>
          <w:p w14:paraId="40FDCA09" w14:textId="77777777" w:rsidR="0002061D" w:rsidRPr="0087737F" w:rsidRDefault="0002061D" w:rsidP="004663F1">
            <w:pPr>
              <w:pStyle w:val="table"/>
            </w:pPr>
            <w:r w:rsidRPr="0087737F">
              <w:rPr>
                <w:rFonts w:cs="Arial"/>
              </w:rPr>
              <w:t>↑</w:t>
            </w:r>
          </w:p>
        </w:tc>
        <w:tc>
          <w:tcPr>
            <w:tcW w:w="918" w:type="dxa"/>
          </w:tcPr>
          <w:p w14:paraId="633C9F72" w14:textId="77777777" w:rsidR="0002061D" w:rsidRPr="0087737F" w:rsidRDefault="0002061D" w:rsidP="004663F1">
            <w:pPr>
              <w:pStyle w:val="table"/>
            </w:pPr>
            <w:r w:rsidRPr="0087737F">
              <w:rPr>
                <w:rFonts w:cs="Arial"/>
              </w:rPr>
              <w:t>↑</w:t>
            </w:r>
          </w:p>
        </w:tc>
      </w:tr>
      <w:tr w:rsidR="00B310A3" w:rsidRPr="0087737F" w14:paraId="1E4303B6" w14:textId="77777777" w:rsidTr="004663F1">
        <w:trPr>
          <w:trHeight w:val="592"/>
        </w:trPr>
        <w:tc>
          <w:tcPr>
            <w:tcW w:w="1427" w:type="dxa"/>
            <w:tcBorders>
              <w:bottom w:val="single" w:sz="4" w:space="0" w:color="auto"/>
            </w:tcBorders>
          </w:tcPr>
          <w:p w14:paraId="385460C5" w14:textId="0C64B326" w:rsidR="0002061D" w:rsidRPr="0087737F" w:rsidRDefault="0002061D" w:rsidP="001F769F">
            <w:pPr>
              <w:pStyle w:val="table"/>
            </w:pPr>
            <w:r w:rsidRPr="0087737F">
              <w:t>Volume control</w:t>
            </w:r>
          </w:p>
        </w:tc>
        <w:tc>
          <w:tcPr>
            <w:tcW w:w="1568" w:type="dxa"/>
            <w:tcBorders>
              <w:bottom w:val="single" w:sz="4" w:space="0" w:color="auto"/>
            </w:tcBorders>
          </w:tcPr>
          <w:p w14:paraId="18114122" w14:textId="77777777" w:rsidR="0002061D" w:rsidRPr="0087737F" w:rsidRDefault="0002061D" w:rsidP="004663F1">
            <w:pPr>
              <w:pStyle w:val="table"/>
            </w:pPr>
            <w:r w:rsidRPr="0087737F">
              <w:t>Yes</w:t>
            </w:r>
          </w:p>
        </w:tc>
        <w:tc>
          <w:tcPr>
            <w:tcW w:w="1533" w:type="dxa"/>
            <w:tcBorders>
              <w:bottom w:val="single" w:sz="4" w:space="0" w:color="auto"/>
            </w:tcBorders>
          </w:tcPr>
          <w:p w14:paraId="68FC677A" w14:textId="7FB391AA" w:rsidR="0002061D" w:rsidRPr="0087737F" w:rsidRDefault="0002061D" w:rsidP="004663F1">
            <w:pPr>
              <w:pStyle w:val="table"/>
            </w:pPr>
            <w:r w:rsidRPr="0087737F">
              <w:t>+Access</w:t>
            </w:r>
          </w:p>
        </w:tc>
        <w:tc>
          <w:tcPr>
            <w:tcW w:w="1226" w:type="dxa"/>
            <w:tcBorders>
              <w:bottom w:val="single" w:sz="4" w:space="0" w:color="auto"/>
            </w:tcBorders>
          </w:tcPr>
          <w:p w14:paraId="361AA104" w14:textId="77777777" w:rsidR="0002061D" w:rsidRPr="0087737F" w:rsidRDefault="0002061D" w:rsidP="004663F1">
            <w:pPr>
              <w:pStyle w:val="table"/>
            </w:pPr>
            <w:r w:rsidRPr="0087737F">
              <w:t>-Patch</w:t>
            </w:r>
          </w:p>
        </w:tc>
        <w:tc>
          <w:tcPr>
            <w:tcW w:w="306" w:type="dxa"/>
            <w:tcBorders>
              <w:bottom w:val="single" w:sz="4" w:space="0" w:color="auto"/>
            </w:tcBorders>
          </w:tcPr>
          <w:p w14:paraId="369FED4C" w14:textId="77777777" w:rsidR="0002061D" w:rsidRPr="0087737F" w:rsidRDefault="0002061D" w:rsidP="004663F1">
            <w:pPr>
              <w:pStyle w:val="table"/>
            </w:pPr>
          </w:p>
        </w:tc>
        <w:tc>
          <w:tcPr>
            <w:tcW w:w="4572" w:type="dxa"/>
            <w:tcBorders>
              <w:bottom w:val="single" w:sz="4" w:space="0" w:color="auto"/>
            </w:tcBorders>
          </w:tcPr>
          <w:p w14:paraId="305F4418" w14:textId="45775C27" w:rsidR="0002061D" w:rsidRPr="0087737F" w:rsidRDefault="0002061D">
            <w:pPr>
              <w:pStyle w:val="table"/>
            </w:pPr>
            <w:r w:rsidRPr="0087737F">
              <w:t>‘Volume control’ for hypothesis 2). Compare with (+AM, -Access) to test for the effect of AMF exploring more physical volume (growth substrate)</w:t>
            </w:r>
            <w:r w:rsidR="00C96D51" w:rsidRPr="0087737F">
              <w:t xml:space="preserve">. </w:t>
            </w:r>
            <w:r w:rsidRPr="0087737F">
              <w:t xml:space="preserve"> </w:t>
            </w:r>
            <w:r w:rsidR="00C96D51" w:rsidRPr="0087737F">
              <w:t xml:space="preserve">If </w:t>
            </w:r>
            <w:r w:rsidR="000F3360" w:rsidRPr="0087737F">
              <w:t xml:space="preserve">the volume of </w:t>
            </w:r>
            <w:r w:rsidR="00C96D51" w:rsidRPr="0087737F">
              <w:t xml:space="preserve">growth substrate has no effect, plant and aphid nutrient responses will not differ from </w:t>
            </w:r>
            <w:r w:rsidR="000D5FF4" w:rsidRPr="0087737F">
              <w:t>‘</w:t>
            </w:r>
            <w:r w:rsidR="00A02368" w:rsidRPr="0087737F">
              <w:t>+AM, -</w:t>
            </w:r>
            <w:r w:rsidR="00C96D51" w:rsidRPr="0087737F">
              <w:t>Access</w:t>
            </w:r>
            <w:r w:rsidR="000D5FF4" w:rsidRPr="0087737F">
              <w:t>’</w:t>
            </w:r>
            <w:r w:rsidR="00C96D51" w:rsidRPr="0087737F">
              <w:t xml:space="preserve">. If volume </w:t>
            </w:r>
            <w:r w:rsidR="000D5FF4" w:rsidRPr="0087737F">
              <w:t xml:space="preserve">does have </w:t>
            </w:r>
            <w:r w:rsidR="00C96D51" w:rsidRPr="0087737F">
              <w:t>an effect</w:t>
            </w:r>
            <w:r w:rsidR="000D5FF4" w:rsidRPr="0087737F">
              <w:t>, then</w:t>
            </w:r>
            <w:r w:rsidR="00C96D51" w:rsidRPr="0087737F">
              <w:t xml:space="preserve"> compar</w:t>
            </w:r>
            <w:r w:rsidR="000D5FF4" w:rsidRPr="0087737F">
              <w:t>ison</w:t>
            </w:r>
            <w:r w:rsidR="00C96D51" w:rsidRPr="0087737F">
              <w:t xml:space="preserve"> with </w:t>
            </w:r>
            <w:r w:rsidR="000D5FF4" w:rsidRPr="0087737F">
              <w:t>‘</w:t>
            </w:r>
            <w:r w:rsidR="00C96D51" w:rsidRPr="0087737F">
              <w:t>+AM, +Access</w:t>
            </w:r>
            <w:r w:rsidR="000D5FF4" w:rsidRPr="0087737F">
              <w:t>’ enables the</w:t>
            </w:r>
            <w:r w:rsidR="00C96D51" w:rsidRPr="0087737F">
              <w:t xml:space="preserve"> effects of </w:t>
            </w:r>
            <w:r w:rsidRPr="0087737F">
              <w:t>the nutrient patch</w:t>
            </w:r>
            <w:r w:rsidR="000D5FF4" w:rsidRPr="0087737F">
              <w:t xml:space="preserve"> to be studied</w:t>
            </w:r>
            <w:r w:rsidR="00C96D51" w:rsidRPr="0087737F">
              <w:t>.</w:t>
            </w:r>
            <w:r w:rsidRPr="0087737F">
              <w:t xml:space="preserve"> </w:t>
            </w:r>
          </w:p>
        </w:tc>
        <w:tc>
          <w:tcPr>
            <w:tcW w:w="284" w:type="dxa"/>
            <w:tcBorders>
              <w:bottom w:val="single" w:sz="4" w:space="0" w:color="auto"/>
            </w:tcBorders>
          </w:tcPr>
          <w:p w14:paraId="51C40B22" w14:textId="77777777" w:rsidR="0002061D" w:rsidRPr="0087737F" w:rsidRDefault="0002061D" w:rsidP="004663F1">
            <w:pPr>
              <w:pStyle w:val="table"/>
            </w:pPr>
          </w:p>
        </w:tc>
        <w:tc>
          <w:tcPr>
            <w:tcW w:w="992" w:type="dxa"/>
            <w:tcBorders>
              <w:bottom w:val="single" w:sz="4" w:space="0" w:color="auto"/>
            </w:tcBorders>
          </w:tcPr>
          <w:p w14:paraId="68EBFCF4" w14:textId="77777777" w:rsidR="0002061D" w:rsidRPr="0087737F" w:rsidRDefault="0002061D" w:rsidP="004663F1">
            <w:pPr>
              <w:pStyle w:val="table"/>
            </w:pPr>
            <w:r w:rsidRPr="0087737F">
              <w:rPr>
                <w:rFonts w:cs="Arial"/>
              </w:rPr>
              <w:t>↓</w:t>
            </w:r>
          </w:p>
        </w:tc>
        <w:tc>
          <w:tcPr>
            <w:tcW w:w="992" w:type="dxa"/>
            <w:tcBorders>
              <w:bottom w:val="single" w:sz="4" w:space="0" w:color="auto"/>
            </w:tcBorders>
          </w:tcPr>
          <w:p w14:paraId="4054022B" w14:textId="4B435991" w:rsidR="0002061D" w:rsidRPr="0087737F" w:rsidRDefault="001F769F" w:rsidP="004663F1">
            <w:pPr>
              <w:pStyle w:val="table"/>
            </w:pPr>
            <w:r w:rsidRPr="0087737F">
              <w:rPr>
                <w:rFonts w:cs="Arial"/>
              </w:rPr>
              <w:t>=</w:t>
            </w:r>
          </w:p>
        </w:tc>
        <w:tc>
          <w:tcPr>
            <w:tcW w:w="1134" w:type="dxa"/>
            <w:tcBorders>
              <w:bottom w:val="single" w:sz="4" w:space="0" w:color="auto"/>
            </w:tcBorders>
          </w:tcPr>
          <w:p w14:paraId="71E40A2E" w14:textId="77777777" w:rsidR="0002061D" w:rsidRPr="0087737F" w:rsidRDefault="0002061D" w:rsidP="004663F1">
            <w:pPr>
              <w:pStyle w:val="table"/>
            </w:pPr>
            <w:r w:rsidRPr="0087737F">
              <w:rPr>
                <w:rFonts w:cs="Arial"/>
              </w:rPr>
              <w:t>NA</w:t>
            </w:r>
          </w:p>
        </w:tc>
        <w:tc>
          <w:tcPr>
            <w:tcW w:w="918" w:type="dxa"/>
            <w:tcBorders>
              <w:bottom w:val="single" w:sz="4" w:space="0" w:color="auto"/>
            </w:tcBorders>
          </w:tcPr>
          <w:p w14:paraId="54676964" w14:textId="71CFF786" w:rsidR="0002061D" w:rsidRPr="0087737F" w:rsidRDefault="001F769F" w:rsidP="004663F1">
            <w:pPr>
              <w:pStyle w:val="table"/>
            </w:pPr>
            <w:r w:rsidRPr="0087737F">
              <w:rPr>
                <w:rFonts w:cs="Arial"/>
              </w:rPr>
              <w:t>=</w:t>
            </w:r>
          </w:p>
        </w:tc>
      </w:tr>
    </w:tbl>
    <w:p w14:paraId="0BF2238E" w14:textId="477B3CFE" w:rsidR="0002061D" w:rsidRPr="0087737F" w:rsidRDefault="0002061D" w:rsidP="004663F1">
      <w:pPr>
        <w:keepNext/>
        <w:spacing w:after="360"/>
        <w:rPr>
          <w:rFonts w:eastAsia="SimSun" w:cs="Arial"/>
          <w:bCs/>
          <w:szCs w:val="18"/>
          <w:lang w:eastAsia="zh-CN"/>
        </w:rPr>
      </w:pPr>
      <w:bookmarkStart w:id="1" w:name="_Ref476682901"/>
      <w:r w:rsidRPr="0087737F">
        <w:rPr>
          <w:rFonts w:eastAsia="SimSun" w:cs="Arial"/>
          <w:bCs/>
          <w:szCs w:val="18"/>
          <w:lang w:eastAsia="zh-CN"/>
        </w:rPr>
        <w:lastRenderedPageBreak/>
        <w:t xml:space="preserve">Table </w:t>
      </w:r>
      <w:bookmarkEnd w:id="1"/>
      <w:r w:rsidRPr="0087737F">
        <w:rPr>
          <w:rFonts w:eastAsia="SimSun" w:cs="Arial"/>
          <w:bCs/>
          <w:szCs w:val="18"/>
          <w:lang w:eastAsia="zh-CN"/>
        </w:rPr>
        <w:t xml:space="preserve">2. Plant biomass (dry weight; dw) and above ground tissue nutrient responses (mean ± 1 standard error) to AMF colonisation, AMF access to the second compartment and organic patch presence at harvest. Different letters within rows indicate significant differences at </w:t>
      </w:r>
      <w:r w:rsidRPr="0087737F">
        <w:rPr>
          <w:rFonts w:eastAsia="SimSun" w:cs="Arial"/>
          <w:bCs/>
          <w:i/>
          <w:szCs w:val="18"/>
          <w:lang w:eastAsia="zh-CN"/>
        </w:rPr>
        <w:t>P</w:t>
      </w:r>
      <w:r w:rsidRPr="0087737F">
        <w:rPr>
          <w:rFonts w:eastAsia="SimSun" w:cs="Arial"/>
          <w:bCs/>
          <w:szCs w:val="18"/>
          <w:lang w:eastAsia="zh-CN"/>
        </w:rPr>
        <w:t xml:space="preserve"> = 0.05 using a Tukey, or a Games Howell </w:t>
      </w:r>
      <w:r w:rsidRPr="0087737F">
        <w:rPr>
          <w:rFonts w:eastAsia="SimSun" w:cs="Arial"/>
          <w:bCs/>
          <w:i/>
          <w:szCs w:val="18"/>
          <w:lang w:eastAsia="zh-CN"/>
        </w:rPr>
        <w:t>post hoc</w:t>
      </w:r>
      <w:r w:rsidRPr="0087737F">
        <w:rPr>
          <w:rFonts w:eastAsia="SimSun" w:cs="Arial"/>
          <w:bCs/>
          <w:szCs w:val="18"/>
          <w:lang w:eastAsia="zh-CN"/>
        </w:rPr>
        <w:t xml:space="preserve"> test and are shown in bold. D.F = degrees of freedom.</w:t>
      </w:r>
    </w:p>
    <w:tbl>
      <w:tblPr>
        <w:tblStyle w:val="TableGrid6"/>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1559"/>
        <w:gridCol w:w="1701"/>
        <w:gridCol w:w="1701"/>
        <w:gridCol w:w="425"/>
        <w:gridCol w:w="992"/>
        <w:gridCol w:w="709"/>
        <w:gridCol w:w="930"/>
      </w:tblGrid>
      <w:tr w:rsidR="00B310A3" w:rsidRPr="0087737F" w14:paraId="7195DB25" w14:textId="77777777" w:rsidTr="004663F1">
        <w:trPr>
          <w:trHeight w:val="20"/>
        </w:trPr>
        <w:tc>
          <w:tcPr>
            <w:tcW w:w="4077" w:type="dxa"/>
            <w:shd w:val="clear" w:color="auto" w:fill="auto"/>
          </w:tcPr>
          <w:p w14:paraId="634AA82B" w14:textId="77777777" w:rsidR="0002061D" w:rsidRPr="0087737F" w:rsidRDefault="0002061D" w:rsidP="004663F1">
            <w:pPr>
              <w:pStyle w:val="NoSpacing"/>
              <w:rPr>
                <w:lang w:eastAsia="zh-CN"/>
              </w:rPr>
            </w:pPr>
          </w:p>
        </w:tc>
        <w:tc>
          <w:tcPr>
            <w:tcW w:w="6946" w:type="dxa"/>
            <w:gridSpan w:val="5"/>
            <w:tcBorders>
              <w:top w:val="single" w:sz="4" w:space="0" w:color="auto"/>
              <w:bottom w:val="single" w:sz="4" w:space="0" w:color="auto"/>
            </w:tcBorders>
            <w:shd w:val="clear" w:color="auto" w:fill="auto"/>
          </w:tcPr>
          <w:p w14:paraId="4222728E" w14:textId="77777777" w:rsidR="0002061D" w:rsidRPr="0087737F" w:rsidRDefault="0002061D" w:rsidP="004663F1">
            <w:pPr>
              <w:pStyle w:val="NoSpacing"/>
              <w:rPr>
                <w:lang w:eastAsia="zh-CN"/>
              </w:rPr>
            </w:pPr>
            <w:r w:rsidRPr="0087737F">
              <w:rPr>
                <w:lang w:eastAsia="zh-CN"/>
              </w:rPr>
              <w:t>AM, access and organic patch presence or absence</w:t>
            </w:r>
          </w:p>
        </w:tc>
        <w:tc>
          <w:tcPr>
            <w:tcW w:w="2631" w:type="dxa"/>
            <w:gridSpan w:val="3"/>
            <w:tcBorders>
              <w:top w:val="single" w:sz="4" w:space="0" w:color="auto"/>
              <w:bottom w:val="single" w:sz="4" w:space="0" w:color="auto"/>
            </w:tcBorders>
            <w:shd w:val="clear" w:color="auto" w:fill="auto"/>
          </w:tcPr>
          <w:p w14:paraId="3E9191DF" w14:textId="77777777" w:rsidR="0002061D" w:rsidRPr="0087737F" w:rsidRDefault="0002061D" w:rsidP="004663F1">
            <w:pPr>
              <w:pStyle w:val="NoSpacing"/>
              <w:rPr>
                <w:lang w:eastAsia="zh-CN"/>
              </w:rPr>
            </w:pPr>
            <w:r w:rsidRPr="0087737F">
              <w:rPr>
                <w:lang w:eastAsia="zh-CN"/>
              </w:rPr>
              <w:t>Test statistics</w:t>
            </w:r>
          </w:p>
        </w:tc>
      </w:tr>
      <w:tr w:rsidR="00B310A3" w:rsidRPr="0087737F" w14:paraId="69BBF830" w14:textId="77777777" w:rsidTr="004663F1">
        <w:trPr>
          <w:trHeight w:val="20"/>
        </w:trPr>
        <w:tc>
          <w:tcPr>
            <w:tcW w:w="4077" w:type="dxa"/>
            <w:shd w:val="clear" w:color="auto" w:fill="auto"/>
          </w:tcPr>
          <w:p w14:paraId="1D05110E" w14:textId="77777777" w:rsidR="0002061D" w:rsidRPr="0087737F" w:rsidRDefault="0002061D" w:rsidP="004663F1">
            <w:pPr>
              <w:pStyle w:val="NoSpacing"/>
              <w:rPr>
                <w:lang w:eastAsia="zh-CN"/>
              </w:rPr>
            </w:pPr>
          </w:p>
        </w:tc>
        <w:tc>
          <w:tcPr>
            <w:tcW w:w="1560" w:type="dxa"/>
            <w:tcBorders>
              <w:top w:val="single" w:sz="4" w:space="0" w:color="auto"/>
              <w:bottom w:val="single" w:sz="4" w:space="0" w:color="auto"/>
            </w:tcBorders>
            <w:shd w:val="clear" w:color="auto" w:fill="auto"/>
          </w:tcPr>
          <w:p w14:paraId="666C0E3D" w14:textId="77777777" w:rsidR="0002061D" w:rsidRPr="0087737F" w:rsidRDefault="0002061D" w:rsidP="004663F1">
            <w:pPr>
              <w:pStyle w:val="NoSpacing"/>
              <w:rPr>
                <w:lang w:eastAsia="zh-CN"/>
              </w:rPr>
            </w:pPr>
            <w:r w:rsidRPr="0087737F">
              <w:rPr>
                <w:lang w:eastAsia="zh-CN"/>
              </w:rPr>
              <w:t>-AM</w:t>
            </w:r>
          </w:p>
        </w:tc>
        <w:tc>
          <w:tcPr>
            <w:tcW w:w="1559" w:type="dxa"/>
            <w:tcBorders>
              <w:top w:val="single" w:sz="4" w:space="0" w:color="auto"/>
              <w:bottom w:val="single" w:sz="4" w:space="0" w:color="auto"/>
            </w:tcBorders>
            <w:shd w:val="clear" w:color="auto" w:fill="auto"/>
          </w:tcPr>
          <w:p w14:paraId="5A6B374A" w14:textId="77777777" w:rsidR="0002061D" w:rsidRPr="0087737F" w:rsidRDefault="0002061D" w:rsidP="004663F1">
            <w:pPr>
              <w:pStyle w:val="NoSpacing"/>
              <w:rPr>
                <w:lang w:eastAsia="zh-CN"/>
              </w:rPr>
            </w:pPr>
            <w:r w:rsidRPr="0087737F">
              <w:rPr>
                <w:lang w:eastAsia="zh-CN"/>
              </w:rPr>
              <w:t>+AM, -Access</w:t>
            </w:r>
          </w:p>
        </w:tc>
        <w:tc>
          <w:tcPr>
            <w:tcW w:w="1701" w:type="dxa"/>
            <w:tcBorders>
              <w:top w:val="single" w:sz="4" w:space="0" w:color="auto"/>
              <w:bottom w:val="single" w:sz="4" w:space="0" w:color="auto"/>
            </w:tcBorders>
            <w:shd w:val="clear" w:color="auto" w:fill="auto"/>
          </w:tcPr>
          <w:p w14:paraId="5E34F8C2" w14:textId="77777777" w:rsidR="0002061D" w:rsidRPr="0087737F" w:rsidRDefault="0002061D" w:rsidP="004663F1">
            <w:pPr>
              <w:pStyle w:val="NoSpacing"/>
              <w:rPr>
                <w:lang w:eastAsia="zh-CN"/>
              </w:rPr>
            </w:pPr>
            <w:r w:rsidRPr="0087737F">
              <w:rPr>
                <w:lang w:eastAsia="zh-CN"/>
              </w:rPr>
              <w:t>+AM, +Access</w:t>
            </w:r>
          </w:p>
        </w:tc>
        <w:tc>
          <w:tcPr>
            <w:tcW w:w="1701" w:type="dxa"/>
            <w:tcBorders>
              <w:top w:val="single" w:sz="4" w:space="0" w:color="auto"/>
              <w:bottom w:val="single" w:sz="4" w:space="0" w:color="auto"/>
            </w:tcBorders>
            <w:shd w:val="clear" w:color="auto" w:fill="auto"/>
          </w:tcPr>
          <w:p w14:paraId="31381361" w14:textId="77777777" w:rsidR="0002061D" w:rsidRPr="0087737F" w:rsidRDefault="0002061D" w:rsidP="004663F1">
            <w:pPr>
              <w:pStyle w:val="NoSpacing"/>
              <w:rPr>
                <w:lang w:eastAsia="zh-CN"/>
              </w:rPr>
            </w:pPr>
            <w:r w:rsidRPr="0087737F">
              <w:rPr>
                <w:lang w:eastAsia="zh-CN"/>
              </w:rPr>
              <w:t>Volume Control</w:t>
            </w:r>
          </w:p>
        </w:tc>
        <w:tc>
          <w:tcPr>
            <w:tcW w:w="425" w:type="dxa"/>
            <w:tcBorders>
              <w:top w:val="nil"/>
              <w:bottom w:val="nil"/>
            </w:tcBorders>
            <w:shd w:val="clear" w:color="auto" w:fill="auto"/>
          </w:tcPr>
          <w:p w14:paraId="4F4C2F1A" w14:textId="77777777" w:rsidR="0002061D" w:rsidRPr="0087737F" w:rsidRDefault="0002061D" w:rsidP="004663F1">
            <w:pPr>
              <w:pStyle w:val="NoSpacing"/>
              <w:rPr>
                <w:lang w:eastAsia="zh-CN"/>
              </w:rPr>
            </w:pPr>
          </w:p>
        </w:tc>
        <w:tc>
          <w:tcPr>
            <w:tcW w:w="992" w:type="dxa"/>
            <w:tcBorders>
              <w:top w:val="single" w:sz="4" w:space="0" w:color="auto"/>
              <w:bottom w:val="single" w:sz="4" w:space="0" w:color="auto"/>
            </w:tcBorders>
            <w:shd w:val="clear" w:color="auto" w:fill="auto"/>
          </w:tcPr>
          <w:p w14:paraId="38B7E17F" w14:textId="77777777" w:rsidR="0002061D" w:rsidRPr="0087737F" w:rsidRDefault="0002061D" w:rsidP="004663F1">
            <w:pPr>
              <w:pStyle w:val="NoSpacing"/>
              <w:rPr>
                <w:lang w:eastAsia="zh-CN"/>
              </w:rPr>
            </w:pPr>
            <w:r w:rsidRPr="0087737F">
              <w:rPr>
                <w:lang w:eastAsia="zh-CN"/>
              </w:rPr>
              <w:t>D.F.</w:t>
            </w:r>
          </w:p>
        </w:tc>
        <w:tc>
          <w:tcPr>
            <w:tcW w:w="709" w:type="dxa"/>
            <w:tcBorders>
              <w:top w:val="single" w:sz="4" w:space="0" w:color="auto"/>
              <w:bottom w:val="single" w:sz="4" w:space="0" w:color="auto"/>
            </w:tcBorders>
            <w:shd w:val="clear" w:color="auto" w:fill="auto"/>
          </w:tcPr>
          <w:p w14:paraId="015291F1" w14:textId="77777777" w:rsidR="0002061D" w:rsidRPr="0087737F" w:rsidRDefault="0002061D" w:rsidP="004663F1">
            <w:pPr>
              <w:pStyle w:val="NoSpacing"/>
              <w:rPr>
                <w:i/>
                <w:lang w:eastAsia="zh-CN"/>
              </w:rPr>
            </w:pPr>
            <w:r w:rsidRPr="0087737F">
              <w:rPr>
                <w:i/>
                <w:lang w:eastAsia="zh-CN"/>
              </w:rPr>
              <w:t>F</w:t>
            </w:r>
          </w:p>
        </w:tc>
        <w:tc>
          <w:tcPr>
            <w:tcW w:w="930" w:type="dxa"/>
            <w:tcBorders>
              <w:top w:val="single" w:sz="4" w:space="0" w:color="auto"/>
              <w:bottom w:val="single" w:sz="4" w:space="0" w:color="auto"/>
            </w:tcBorders>
            <w:shd w:val="clear" w:color="auto" w:fill="auto"/>
          </w:tcPr>
          <w:p w14:paraId="57B584FE" w14:textId="77777777" w:rsidR="0002061D" w:rsidRPr="0087737F" w:rsidRDefault="0002061D" w:rsidP="004663F1">
            <w:pPr>
              <w:pStyle w:val="NoSpacing"/>
              <w:rPr>
                <w:lang w:eastAsia="zh-CN"/>
              </w:rPr>
            </w:pPr>
            <w:r w:rsidRPr="0087737F">
              <w:rPr>
                <w:i/>
                <w:lang w:eastAsia="zh-CN"/>
              </w:rPr>
              <w:t>P</w:t>
            </w:r>
          </w:p>
        </w:tc>
      </w:tr>
      <w:tr w:rsidR="00B310A3" w:rsidRPr="0087737F" w14:paraId="09D4FE45" w14:textId="77777777" w:rsidTr="004663F1">
        <w:trPr>
          <w:trHeight w:val="20"/>
        </w:trPr>
        <w:tc>
          <w:tcPr>
            <w:tcW w:w="4077" w:type="dxa"/>
            <w:shd w:val="clear" w:color="auto" w:fill="auto"/>
          </w:tcPr>
          <w:p w14:paraId="6B2D2EAA" w14:textId="77777777" w:rsidR="0002061D" w:rsidRPr="0087737F" w:rsidRDefault="0002061D" w:rsidP="004663F1">
            <w:pPr>
              <w:pStyle w:val="NoSpacing"/>
              <w:rPr>
                <w:lang w:eastAsia="zh-CN"/>
              </w:rPr>
            </w:pPr>
            <w:r w:rsidRPr="0087737F">
              <w:rPr>
                <w:lang w:eastAsia="zh-CN"/>
              </w:rPr>
              <w:t>Root dw (g)</w:t>
            </w:r>
          </w:p>
        </w:tc>
        <w:tc>
          <w:tcPr>
            <w:tcW w:w="1560" w:type="dxa"/>
            <w:tcBorders>
              <w:top w:val="single" w:sz="4" w:space="0" w:color="auto"/>
              <w:bottom w:val="nil"/>
            </w:tcBorders>
            <w:shd w:val="clear" w:color="auto" w:fill="auto"/>
          </w:tcPr>
          <w:p w14:paraId="3F6418CF" w14:textId="77777777" w:rsidR="0002061D" w:rsidRPr="0087737F" w:rsidRDefault="0002061D" w:rsidP="004663F1">
            <w:pPr>
              <w:pStyle w:val="NoSpacing"/>
              <w:rPr>
                <w:lang w:eastAsia="zh-CN"/>
              </w:rPr>
            </w:pPr>
            <w:r w:rsidRPr="0087737F">
              <w:rPr>
                <w:lang w:eastAsia="zh-CN"/>
              </w:rPr>
              <w:t>0.35 ± 0.04</w:t>
            </w:r>
          </w:p>
        </w:tc>
        <w:tc>
          <w:tcPr>
            <w:tcW w:w="1559" w:type="dxa"/>
            <w:tcBorders>
              <w:top w:val="single" w:sz="4" w:space="0" w:color="auto"/>
              <w:bottom w:val="nil"/>
            </w:tcBorders>
            <w:shd w:val="clear" w:color="auto" w:fill="auto"/>
          </w:tcPr>
          <w:p w14:paraId="7E188A26" w14:textId="77777777" w:rsidR="0002061D" w:rsidRPr="0087737F" w:rsidRDefault="0002061D" w:rsidP="004663F1">
            <w:pPr>
              <w:pStyle w:val="NoSpacing"/>
              <w:rPr>
                <w:lang w:eastAsia="zh-CN"/>
              </w:rPr>
            </w:pPr>
            <w:r w:rsidRPr="0087737F">
              <w:rPr>
                <w:lang w:eastAsia="zh-CN"/>
              </w:rPr>
              <w:t>0.23 ± 0.02</w:t>
            </w:r>
          </w:p>
        </w:tc>
        <w:tc>
          <w:tcPr>
            <w:tcW w:w="1701" w:type="dxa"/>
            <w:tcBorders>
              <w:top w:val="single" w:sz="4" w:space="0" w:color="auto"/>
              <w:bottom w:val="nil"/>
            </w:tcBorders>
            <w:shd w:val="clear" w:color="auto" w:fill="auto"/>
          </w:tcPr>
          <w:p w14:paraId="0E78C28D" w14:textId="77777777" w:rsidR="0002061D" w:rsidRPr="0087737F" w:rsidRDefault="0002061D" w:rsidP="004663F1">
            <w:pPr>
              <w:pStyle w:val="NoSpacing"/>
              <w:rPr>
                <w:lang w:eastAsia="zh-CN"/>
              </w:rPr>
            </w:pPr>
            <w:r w:rsidRPr="0087737F">
              <w:rPr>
                <w:lang w:eastAsia="zh-CN"/>
              </w:rPr>
              <w:t>0.27 ± 0.04</w:t>
            </w:r>
          </w:p>
        </w:tc>
        <w:tc>
          <w:tcPr>
            <w:tcW w:w="1701" w:type="dxa"/>
            <w:tcBorders>
              <w:top w:val="single" w:sz="4" w:space="0" w:color="auto"/>
              <w:bottom w:val="nil"/>
            </w:tcBorders>
            <w:shd w:val="clear" w:color="auto" w:fill="auto"/>
          </w:tcPr>
          <w:p w14:paraId="49CC60AE" w14:textId="77777777" w:rsidR="0002061D" w:rsidRPr="0087737F" w:rsidRDefault="0002061D" w:rsidP="004663F1">
            <w:pPr>
              <w:pStyle w:val="NoSpacing"/>
              <w:rPr>
                <w:lang w:eastAsia="zh-CN"/>
              </w:rPr>
            </w:pPr>
            <w:r w:rsidRPr="0087737F">
              <w:rPr>
                <w:lang w:eastAsia="zh-CN"/>
              </w:rPr>
              <w:t>0.28 ± 0.04</w:t>
            </w:r>
          </w:p>
        </w:tc>
        <w:tc>
          <w:tcPr>
            <w:tcW w:w="425" w:type="dxa"/>
            <w:tcBorders>
              <w:top w:val="nil"/>
              <w:bottom w:val="nil"/>
            </w:tcBorders>
            <w:shd w:val="clear" w:color="auto" w:fill="auto"/>
          </w:tcPr>
          <w:p w14:paraId="40A5DBA9" w14:textId="77777777" w:rsidR="0002061D" w:rsidRPr="0087737F" w:rsidRDefault="0002061D" w:rsidP="004663F1">
            <w:pPr>
              <w:pStyle w:val="NoSpacing"/>
              <w:rPr>
                <w:lang w:eastAsia="zh-CN"/>
              </w:rPr>
            </w:pPr>
          </w:p>
        </w:tc>
        <w:tc>
          <w:tcPr>
            <w:tcW w:w="992" w:type="dxa"/>
            <w:tcBorders>
              <w:top w:val="single" w:sz="4" w:space="0" w:color="auto"/>
              <w:bottom w:val="nil"/>
            </w:tcBorders>
            <w:shd w:val="clear" w:color="auto" w:fill="auto"/>
          </w:tcPr>
          <w:p w14:paraId="35E8C42D" w14:textId="77777777" w:rsidR="0002061D" w:rsidRPr="0087737F" w:rsidRDefault="0002061D" w:rsidP="004663F1">
            <w:pPr>
              <w:pStyle w:val="NoSpacing"/>
              <w:rPr>
                <w:lang w:eastAsia="zh-CN"/>
              </w:rPr>
            </w:pPr>
            <w:r w:rsidRPr="0087737F">
              <w:rPr>
                <w:lang w:eastAsia="zh-CN"/>
              </w:rPr>
              <w:t>3,35</w:t>
            </w:r>
          </w:p>
        </w:tc>
        <w:tc>
          <w:tcPr>
            <w:tcW w:w="709" w:type="dxa"/>
            <w:tcBorders>
              <w:top w:val="single" w:sz="4" w:space="0" w:color="auto"/>
              <w:bottom w:val="nil"/>
            </w:tcBorders>
            <w:shd w:val="clear" w:color="auto" w:fill="auto"/>
          </w:tcPr>
          <w:p w14:paraId="3DBACDC3" w14:textId="77777777" w:rsidR="0002061D" w:rsidRPr="0087737F" w:rsidRDefault="0002061D" w:rsidP="004663F1">
            <w:pPr>
              <w:pStyle w:val="NoSpacing"/>
              <w:rPr>
                <w:lang w:eastAsia="zh-CN"/>
              </w:rPr>
            </w:pPr>
            <w:r w:rsidRPr="0087737F">
              <w:rPr>
                <w:lang w:eastAsia="zh-CN"/>
              </w:rPr>
              <w:t>1.92</w:t>
            </w:r>
          </w:p>
        </w:tc>
        <w:tc>
          <w:tcPr>
            <w:tcW w:w="930" w:type="dxa"/>
            <w:tcBorders>
              <w:top w:val="single" w:sz="4" w:space="0" w:color="auto"/>
              <w:bottom w:val="nil"/>
            </w:tcBorders>
            <w:shd w:val="clear" w:color="auto" w:fill="auto"/>
          </w:tcPr>
          <w:p w14:paraId="42747C65" w14:textId="77777777" w:rsidR="0002061D" w:rsidRPr="0087737F" w:rsidRDefault="0002061D" w:rsidP="004663F1">
            <w:pPr>
              <w:pStyle w:val="NoSpacing"/>
              <w:rPr>
                <w:lang w:eastAsia="zh-CN"/>
              </w:rPr>
            </w:pPr>
            <w:r w:rsidRPr="0087737F">
              <w:rPr>
                <w:lang w:eastAsia="zh-CN"/>
              </w:rPr>
              <w:t>0.145</w:t>
            </w:r>
          </w:p>
        </w:tc>
      </w:tr>
      <w:tr w:rsidR="00B310A3" w:rsidRPr="0087737F" w14:paraId="6A6240C6" w14:textId="77777777" w:rsidTr="004663F1">
        <w:trPr>
          <w:trHeight w:val="20"/>
        </w:trPr>
        <w:tc>
          <w:tcPr>
            <w:tcW w:w="4077" w:type="dxa"/>
            <w:shd w:val="clear" w:color="auto" w:fill="auto"/>
          </w:tcPr>
          <w:p w14:paraId="4B2B4CCC" w14:textId="77777777" w:rsidR="0002061D" w:rsidRPr="0087737F" w:rsidRDefault="0002061D" w:rsidP="004663F1">
            <w:pPr>
              <w:pStyle w:val="NoSpacing"/>
              <w:rPr>
                <w:lang w:eastAsia="zh-CN"/>
              </w:rPr>
            </w:pPr>
            <w:r w:rsidRPr="0087737F">
              <w:rPr>
                <w:lang w:eastAsia="zh-CN"/>
              </w:rPr>
              <w:t>Stem and leaf dw (g)</w:t>
            </w:r>
          </w:p>
        </w:tc>
        <w:tc>
          <w:tcPr>
            <w:tcW w:w="1560" w:type="dxa"/>
            <w:tcBorders>
              <w:top w:val="nil"/>
              <w:bottom w:val="nil"/>
            </w:tcBorders>
            <w:shd w:val="clear" w:color="auto" w:fill="auto"/>
          </w:tcPr>
          <w:p w14:paraId="572DFCA2" w14:textId="77777777" w:rsidR="0002061D" w:rsidRPr="0087737F" w:rsidRDefault="0002061D" w:rsidP="004663F1">
            <w:pPr>
              <w:pStyle w:val="NoSpacing"/>
              <w:rPr>
                <w:lang w:eastAsia="zh-CN"/>
              </w:rPr>
            </w:pPr>
            <w:r w:rsidRPr="0087737F">
              <w:rPr>
                <w:lang w:eastAsia="zh-CN"/>
              </w:rPr>
              <w:t>1.20 ± 0.16</w:t>
            </w:r>
            <w:r w:rsidRPr="0087737F">
              <w:rPr>
                <w:b/>
                <w:vertAlign w:val="superscript"/>
                <w:lang w:eastAsia="zh-CN"/>
              </w:rPr>
              <w:t>b</w:t>
            </w:r>
          </w:p>
        </w:tc>
        <w:tc>
          <w:tcPr>
            <w:tcW w:w="1559" w:type="dxa"/>
            <w:tcBorders>
              <w:top w:val="nil"/>
              <w:bottom w:val="nil"/>
            </w:tcBorders>
            <w:shd w:val="clear" w:color="auto" w:fill="auto"/>
          </w:tcPr>
          <w:p w14:paraId="1A41BA7B" w14:textId="77777777" w:rsidR="0002061D" w:rsidRPr="0087737F" w:rsidRDefault="0002061D" w:rsidP="004663F1">
            <w:pPr>
              <w:pStyle w:val="NoSpacing"/>
              <w:rPr>
                <w:lang w:eastAsia="zh-CN"/>
              </w:rPr>
            </w:pPr>
            <w:r w:rsidRPr="0087737F">
              <w:rPr>
                <w:lang w:eastAsia="zh-CN"/>
              </w:rPr>
              <w:t>0.65 ± 0.06</w:t>
            </w:r>
            <w:r w:rsidRPr="0087737F">
              <w:rPr>
                <w:b/>
                <w:vertAlign w:val="superscript"/>
                <w:lang w:eastAsia="zh-CN"/>
              </w:rPr>
              <w:t>a</w:t>
            </w:r>
          </w:p>
        </w:tc>
        <w:tc>
          <w:tcPr>
            <w:tcW w:w="1701" w:type="dxa"/>
            <w:tcBorders>
              <w:top w:val="nil"/>
              <w:bottom w:val="nil"/>
            </w:tcBorders>
            <w:shd w:val="clear" w:color="auto" w:fill="auto"/>
          </w:tcPr>
          <w:p w14:paraId="669BBC2D" w14:textId="77777777" w:rsidR="0002061D" w:rsidRPr="0087737F" w:rsidRDefault="0002061D" w:rsidP="004663F1">
            <w:pPr>
              <w:pStyle w:val="NoSpacing"/>
              <w:rPr>
                <w:lang w:eastAsia="zh-CN"/>
              </w:rPr>
            </w:pPr>
            <w:r w:rsidRPr="0087737F">
              <w:rPr>
                <w:lang w:eastAsia="zh-CN"/>
              </w:rPr>
              <w:t>0.79 ± 0.09</w:t>
            </w:r>
            <w:r w:rsidRPr="0087737F">
              <w:rPr>
                <w:b/>
                <w:vertAlign w:val="superscript"/>
                <w:lang w:eastAsia="zh-CN"/>
              </w:rPr>
              <w:t>a</w:t>
            </w:r>
          </w:p>
        </w:tc>
        <w:tc>
          <w:tcPr>
            <w:tcW w:w="1701" w:type="dxa"/>
            <w:tcBorders>
              <w:top w:val="nil"/>
              <w:bottom w:val="nil"/>
            </w:tcBorders>
            <w:shd w:val="clear" w:color="auto" w:fill="auto"/>
          </w:tcPr>
          <w:p w14:paraId="7F8EECBA" w14:textId="77777777" w:rsidR="0002061D" w:rsidRPr="0087737F" w:rsidRDefault="0002061D" w:rsidP="004663F1">
            <w:pPr>
              <w:pStyle w:val="NoSpacing"/>
              <w:rPr>
                <w:lang w:eastAsia="zh-CN"/>
              </w:rPr>
            </w:pPr>
            <w:r w:rsidRPr="0087737F">
              <w:rPr>
                <w:lang w:eastAsia="zh-CN"/>
              </w:rPr>
              <w:t>0.94 ± 0.07</w:t>
            </w:r>
            <w:r w:rsidRPr="0087737F">
              <w:rPr>
                <w:b/>
                <w:vertAlign w:val="superscript"/>
                <w:lang w:eastAsia="zh-CN"/>
              </w:rPr>
              <w:t>ab</w:t>
            </w:r>
          </w:p>
        </w:tc>
        <w:tc>
          <w:tcPr>
            <w:tcW w:w="425" w:type="dxa"/>
            <w:tcBorders>
              <w:top w:val="nil"/>
              <w:bottom w:val="nil"/>
            </w:tcBorders>
            <w:shd w:val="clear" w:color="auto" w:fill="auto"/>
          </w:tcPr>
          <w:p w14:paraId="291C885E" w14:textId="77777777" w:rsidR="0002061D" w:rsidRPr="0087737F" w:rsidRDefault="0002061D" w:rsidP="004663F1">
            <w:pPr>
              <w:pStyle w:val="NoSpacing"/>
              <w:rPr>
                <w:lang w:eastAsia="zh-CN"/>
              </w:rPr>
            </w:pPr>
          </w:p>
        </w:tc>
        <w:tc>
          <w:tcPr>
            <w:tcW w:w="992" w:type="dxa"/>
            <w:tcBorders>
              <w:top w:val="nil"/>
              <w:bottom w:val="nil"/>
            </w:tcBorders>
            <w:shd w:val="clear" w:color="auto" w:fill="auto"/>
          </w:tcPr>
          <w:p w14:paraId="46A84E19" w14:textId="77777777" w:rsidR="0002061D" w:rsidRPr="0087737F" w:rsidRDefault="0002061D" w:rsidP="004663F1">
            <w:pPr>
              <w:pStyle w:val="NoSpacing"/>
              <w:rPr>
                <w:lang w:eastAsia="zh-CN"/>
              </w:rPr>
            </w:pPr>
            <w:r w:rsidRPr="0087737F">
              <w:rPr>
                <w:lang w:eastAsia="zh-CN"/>
              </w:rPr>
              <w:t>3,35</w:t>
            </w:r>
          </w:p>
        </w:tc>
        <w:tc>
          <w:tcPr>
            <w:tcW w:w="709" w:type="dxa"/>
            <w:tcBorders>
              <w:top w:val="nil"/>
              <w:bottom w:val="nil"/>
            </w:tcBorders>
            <w:shd w:val="clear" w:color="auto" w:fill="auto"/>
          </w:tcPr>
          <w:p w14:paraId="41C8E7A7" w14:textId="77777777" w:rsidR="0002061D" w:rsidRPr="0087737F" w:rsidRDefault="0002061D" w:rsidP="004663F1">
            <w:pPr>
              <w:pStyle w:val="NoSpacing"/>
              <w:rPr>
                <w:lang w:eastAsia="zh-CN"/>
              </w:rPr>
            </w:pPr>
            <w:r w:rsidRPr="0087737F">
              <w:rPr>
                <w:lang w:eastAsia="zh-CN"/>
              </w:rPr>
              <w:t>5.12</w:t>
            </w:r>
          </w:p>
        </w:tc>
        <w:tc>
          <w:tcPr>
            <w:tcW w:w="930" w:type="dxa"/>
            <w:tcBorders>
              <w:top w:val="nil"/>
              <w:bottom w:val="nil"/>
            </w:tcBorders>
            <w:shd w:val="clear" w:color="auto" w:fill="auto"/>
          </w:tcPr>
          <w:p w14:paraId="536BD1F3" w14:textId="4EAA1CBB" w:rsidR="0002061D" w:rsidRPr="0087737F" w:rsidRDefault="0002061D" w:rsidP="004D581C">
            <w:pPr>
              <w:pStyle w:val="NoSpacing"/>
              <w:rPr>
                <w:b/>
                <w:lang w:eastAsia="zh-CN"/>
              </w:rPr>
            </w:pPr>
            <w:r w:rsidRPr="0087737F">
              <w:rPr>
                <w:b/>
                <w:lang w:eastAsia="zh-CN"/>
              </w:rPr>
              <w:t>0.00</w:t>
            </w:r>
            <w:r w:rsidR="004D581C" w:rsidRPr="0087737F">
              <w:rPr>
                <w:b/>
                <w:lang w:eastAsia="zh-CN"/>
              </w:rPr>
              <w:t>5</w:t>
            </w:r>
          </w:p>
        </w:tc>
      </w:tr>
      <w:tr w:rsidR="00B310A3" w:rsidRPr="0087737F" w14:paraId="5044946D" w14:textId="77777777" w:rsidTr="004663F1">
        <w:trPr>
          <w:trHeight w:val="20"/>
        </w:trPr>
        <w:tc>
          <w:tcPr>
            <w:tcW w:w="4077" w:type="dxa"/>
            <w:shd w:val="clear" w:color="auto" w:fill="auto"/>
          </w:tcPr>
          <w:p w14:paraId="565BE28A" w14:textId="77777777" w:rsidR="0002061D" w:rsidRPr="0087737F" w:rsidRDefault="0002061D" w:rsidP="004663F1">
            <w:pPr>
              <w:pStyle w:val="NoSpacing"/>
              <w:rPr>
                <w:lang w:eastAsia="zh-CN"/>
              </w:rPr>
            </w:pPr>
            <w:r w:rsidRPr="0087737F">
              <w:rPr>
                <w:lang w:eastAsia="zh-CN"/>
              </w:rPr>
              <w:t>Grain dw (g)</w:t>
            </w:r>
          </w:p>
        </w:tc>
        <w:tc>
          <w:tcPr>
            <w:tcW w:w="1560" w:type="dxa"/>
            <w:tcBorders>
              <w:top w:val="nil"/>
              <w:bottom w:val="nil"/>
            </w:tcBorders>
            <w:shd w:val="clear" w:color="auto" w:fill="auto"/>
          </w:tcPr>
          <w:p w14:paraId="1E0EB694" w14:textId="77777777" w:rsidR="0002061D" w:rsidRPr="0087737F" w:rsidRDefault="0002061D" w:rsidP="004663F1">
            <w:pPr>
              <w:pStyle w:val="NoSpacing"/>
              <w:rPr>
                <w:lang w:eastAsia="zh-CN"/>
              </w:rPr>
            </w:pPr>
            <w:r w:rsidRPr="0087737F">
              <w:rPr>
                <w:lang w:eastAsia="zh-CN"/>
              </w:rPr>
              <w:t>1.43 ± 0.15</w:t>
            </w:r>
            <w:r w:rsidRPr="0087737F">
              <w:rPr>
                <w:b/>
                <w:vertAlign w:val="superscript"/>
                <w:lang w:eastAsia="zh-CN"/>
              </w:rPr>
              <w:t>cb</w:t>
            </w:r>
          </w:p>
        </w:tc>
        <w:tc>
          <w:tcPr>
            <w:tcW w:w="1559" w:type="dxa"/>
            <w:tcBorders>
              <w:top w:val="nil"/>
              <w:bottom w:val="nil"/>
            </w:tcBorders>
            <w:shd w:val="clear" w:color="auto" w:fill="auto"/>
          </w:tcPr>
          <w:p w14:paraId="357F1B91" w14:textId="77777777" w:rsidR="0002061D" w:rsidRPr="0087737F" w:rsidRDefault="0002061D" w:rsidP="004663F1">
            <w:pPr>
              <w:pStyle w:val="NoSpacing"/>
              <w:rPr>
                <w:lang w:eastAsia="zh-CN"/>
              </w:rPr>
            </w:pPr>
            <w:r w:rsidRPr="0087737F">
              <w:rPr>
                <w:lang w:eastAsia="zh-CN"/>
              </w:rPr>
              <w:t>0.91 ± 0.07</w:t>
            </w:r>
            <w:r w:rsidRPr="0087737F">
              <w:rPr>
                <w:b/>
                <w:vertAlign w:val="superscript"/>
                <w:lang w:eastAsia="zh-CN"/>
              </w:rPr>
              <w:t>a</w:t>
            </w:r>
          </w:p>
        </w:tc>
        <w:tc>
          <w:tcPr>
            <w:tcW w:w="1701" w:type="dxa"/>
            <w:tcBorders>
              <w:top w:val="nil"/>
              <w:bottom w:val="nil"/>
            </w:tcBorders>
            <w:shd w:val="clear" w:color="auto" w:fill="auto"/>
          </w:tcPr>
          <w:p w14:paraId="68514E4F" w14:textId="77777777" w:rsidR="0002061D" w:rsidRPr="0087737F" w:rsidRDefault="0002061D" w:rsidP="004663F1">
            <w:pPr>
              <w:pStyle w:val="NoSpacing"/>
              <w:rPr>
                <w:lang w:eastAsia="zh-CN"/>
              </w:rPr>
            </w:pPr>
            <w:r w:rsidRPr="0087737F">
              <w:rPr>
                <w:lang w:eastAsia="zh-CN"/>
              </w:rPr>
              <w:t>0.95 ± 0.03</w:t>
            </w:r>
            <w:r w:rsidRPr="0087737F">
              <w:rPr>
                <w:b/>
                <w:vertAlign w:val="superscript"/>
                <w:lang w:eastAsia="zh-CN"/>
              </w:rPr>
              <w:t>b</w:t>
            </w:r>
          </w:p>
        </w:tc>
        <w:tc>
          <w:tcPr>
            <w:tcW w:w="1701" w:type="dxa"/>
            <w:tcBorders>
              <w:top w:val="nil"/>
              <w:bottom w:val="nil"/>
            </w:tcBorders>
            <w:shd w:val="clear" w:color="auto" w:fill="auto"/>
          </w:tcPr>
          <w:p w14:paraId="1236153A" w14:textId="77777777" w:rsidR="0002061D" w:rsidRPr="0087737F" w:rsidRDefault="0002061D" w:rsidP="004663F1">
            <w:pPr>
              <w:pStyle w:val="NoSpacing"/>
              <w:rPr>
                <w:lang w:eastAsia="zh-CN"/>
              </w:rPr>
            </w:pPr>
            <w:r w:rsidRPr="0087737F">
              <w:rPr>
                <w:lang w:eastAsia="zh-CN"/>
              </w:rPr>
              <w:t>1.34 ± 0.08</w:t>
            </w:r>
            <w:r w:rsidRPr="0087737F">
              <w:rPr>
                <w:b/>
                <w:vertAlign w:val="superscript"/>
                <w:lang w:eastAsia="zh-CN"/>
              </w:rPr>
              <w:t>c</w:t>
            </w:r>
          </w:p>
        </w:tc>
        <w:tc>
          <w:tcPr>
            <w:tcW w:w="425" w:type="dxa"/>
            <w:tcBorders>
              <w:top w:val="nil"/>
              <w:bottom w:val="nil"/>
            </w:tcBorders>
            <w:shd w:val="clear" w:color="auto" w:fill="auto"/>
          </w:tcPr>
          <w:p w14:paraId="3FD91475" w14:textId="77777777" w:rsidR="0002061D" w:rsidRPr="0087737F" w:rsidRDefault="0002061D" w:rsidP="004663F1">
            <w:pPr>
              <w:pStyle w:val="NoSpacing"/>
              <w:rPr>
                <w:lang w:eastAsia="zh-CN"/>
              </w:rPr>
            </w:pPr>
          </w:p>
        </w:tc>
        <w:tc>
          <w:tcPr>
            <w:tcW w:w="992" w:type="dxa"/>
            <w:tcBorders>
              <w:top w:val="nil"/>
              <w:bottom w:val="nil"/>
            </w:tcBorders>
            <w:shd w:val="clear" w:color="auto" w:fill="auto"/>
          </w:tcPr>
          <w:p w14:paraId="05F2A3CD" w14:textId="77777777" w:rsidR="0002061D" w:rsidRPr="0087737F" w:rsidRDefault="0002061D" w:rsidP="004663F1">
            <w:pPr>
              <w:pStyle w:val="NoSpacing"/>
              <w:rPr>
                <w:lang w:eastAsia="zh-CN"/>
              </w:rPr>
            </w:pPr>
            <w:r w:rsidRPr="0087737F">
              <w:rPr>
                <w:lang w:eastAsia="zh-CN"/>
              </w:rPr>
              <w:t>3,17</w:t>
            </w:r>
          </w:p>
        </w:tc>
        <w:tc>
          <w:tcPr>
            <w:tcW w:w="709" w:type="dxa"/>
            <w:tcBorders>
              <w:top w:val="nil"/>
              <w:bottom w:val="nil"/>
            </w:tcBorders>
            <w:shd w:val="clear" w:color="auto" w:fill="auto"/>
          </w:tcPr>
          <w:p w14:paraId="4882940A" w14:textId="77777777" w:rsidR="0002061D" w:rsidRPr="0087737F" w:rsidRDefault="0002061D" w:rsidP="004663F1">
            <w:pPr>
              <w:pStyle w:val="NoSpacing"/>
              <w:rPr>
                <w:lang w:eastAsia="zh-CN"/>
              </w:rPr>
            </w:pPr>
            <w:r w:rsidRPr="0087737F">
              <w:rPr>
                <w:lang w:eastAsia="zh-CN"/>
              </w:rPr>
              <w:t>8.45</w:t>
            </w:r>
          </w:p>
        </w:tc>
        <w:tc>
          <w:tcPr>
            <w:tcW w:w="930" w:type="dxa"/>
            <w:tcBorders>
              <w:top w:val="nil"/>
              <w:bottom w:val="nil"/>
            </w:tcBorders>
            <w:shd w:val="clear" w:color="auto" w:fill="auto"/>
          </w:tcPr>
          <w:p w14:paraId="54760FAF" w14:textId="6F1D0C5F" w:rsidR="0002061D" w:rsidRPr="0087737F" w:rsidRDefault="0002061D" w:rsidP="004D581C">
            <w:pPr>
              <w:pStyle w:val="NoSpacing"/>
              <w:rPr>
                <w:b/>
                <w:lang w:eastAsia="zh-CN"/>
              </w:rPr>
            </w:pPr>
            <w:r w:rsidRPr="0087737F">
              <w:rPr>
                <w:b/>
                <w:lang w:eastAsia="zh-CN"/>
              </w:rPr>
              <w:t>0.001</w:t>
            </w:r>
          </w:p>
        </w:tc>
      </w:tr>
      <w:tr w:rsidR="00B310A3" w:rsidRPr="0087737F" w14:paraId="0BC70E77" w14:textId="77777777" w:rsidTr="004663F1">
        <w:trPr>
          <w:trHeight w:val="20"/>
        </w:trPr>
        <w:tc>
          <w:tcPr>
            <w:tcW w:w="4077" w:type="dxa"/>
            <w:shd w:val="clear" w:color="auto" w:fill="auto"/>
          </w:tcPr>
          <w:p w14:paraId="71FEE9FE" w14:textId="77777777" w:rsidR="0002061D" w:rsidRPr="0087737F" w:rsidRDefault="0002061D" w:rsidP="004663F1">
            <w:pPr>
              <w:pStyle w:val="NoSpacing"/>
              <w:rPr>
                <w:lang w:eastAsia="zh-CN"/>
              </w:rPr>
            </w:pPr>
            <w:r w:rsidRPr="0087737F">
              <w:rPr>
                <w:lang w:eastAsia="zh-CN"/>
              </w:rPr>
              <w:t>Total plant dw (g)</w:t>
            </w:r>
          </w:p>
        </w:tc>
        <w:tc>
          <w:tcPr>
            <w:tcW w:w="1560" w:type="dxa"/>
            <w:tcBorders>
              <w:top w:val="nil"/>
              <w:bottom w:val="nil"/>
            </w:tcBorders>
            <w:shd w:val="clear" w:color="auto" w:fill="auto"/>
          </w:tcPr>
          <w:p w14:paraId="5B63B1A7" w14:textId="77777777" w:rsidR="0002061D" w:rsidRPr="0087737F" w:rsidRDefault="0002061D" w:rsidP="004663F1">
            <w:pPr>
              <w:pStyle w:val="NoSpacing"/>
              <w:rPr>
                <w:lang w:eastAsia="zh-CN"/>
              </w:rPr>
            </w:pPr>
            <w:r w:rsidRPr="0087737F">
              <w:rPr>
                <w:lang w:eastAsia="zh-CN"/>
              </w:rPr>
              <w:t>2.98 ± 0.33</w:t>
            </w:r>
            <w:r w:rsidRPr="0087737F">
              <w:rPr>
                <w:b/>
                <w:vertAlign w:val="superscript"/>
                <w:lang w:eastAsia="zh-CN"/>
              </w:rPr>
              <w:t>b</w:t>
            </w:r>
          </w:p>
        </w:tc>
        <w:tc>
          <w:tcPr>
            <w:tcW w:w="1559" w:type="dxa"/>
            <w:tcBorders>
              <w:top w:val="nil"/>
              <w:bottom w:val="nil"/>
            </w:tcBorders>
            <w:shd w:val="clear" w:color="auto" w:fill="auto"/>
          </w:tcPr>
          <w:p w14:paraId="1AA34197" w14:textId="77777777" w:rsidR="0002061D" w:rsidRPr="0087737F" w:rsidRDefault="0002061D" w:rsidP="004663F1">
            <w:pPr>
              <w:pStyle w:val="NoSpacing"/>
              <w:rPr>
                <w:lang w:eastAsia="zh-CN"/>
              </w:rPr>
            </w:pPr>
            <w:r w:rsidRPr="0087737F">
              <w:rPr>
                <w:lang w:eastAsia="zh-CN"/>
              </w:rPr>
              <w:t>1.80 ± 0.15</w:t>
            </w:r>
            <w:r w:rsidRPr="0087737F">
              <w:rPr>
                <w:b/>
                <w:vertAlign w:val="superscript"/>
                <w:lang w:eastAsia="zh-CN"/>
              </w:rPr>
              <w:t>a</w:t>
            </w:r>
          </w:p>
        </w:tc>
        <w:tc>
          <w:tcPr>
            <w:tcW w:w="1701" w:type="dxa"/>
            <w:tcBorders>
              <w:top w:val="nil"/>
              <w:bottom w:val="nil"/>
            </w:tcBorders>
            <w:shd w:val="clear" w:color="auto" w:fill="auto"/>
          </w:tcPr>
          <w:p w14:paraId="0418033E" w14:textId="77777777" w:rsidR="0002061D" w:rsidRPr="0087737F" w:rsidRDefault="0002061D" w:rsidP="004663F1">
            <w:pPr>
              <w:pStyle w:val="NoSpacing"/>
              <w:rPr>
                <w:lang w:eastAsia="zh-CN"/>
              </w:rPr>
            </w:pPr>
            <w:r w:rsidRPr="0087737F">
              <w:rPr>
                <w:lang w:eastAsia="zh-CN"/>
              </w:rPr>
              <w:t>2.01 ± 0.13</w:t>
            </w:r>
            <w:r w:rsidRPr="0087737F">
              <w:rPr>
                <w:b/>
                <w:vertAlign w:val="superscript"/>
                <w:lang w:eastAsia="zh-CN"/>
              </w:rPr>
              <w:t>ab</w:t>
            </w:r>
          </w:p>
        </w:tc>
        <w:tc>
          <w:tcPr>
            <w:tcW w:w="1701" w:type="dxa"/>
            <w:tcBorders>
              <w:top w:val="nil"/>
              <w:bottom w:val="nil"/>
            </w:tcBorders>
            <w:shd w:val="clear" w:color="auto" w:fill="auto"/>
          </w:tcPr>
          <w:p w14:paraId="28411CA5" w14:textId="77777777" w:rsidR="0002061D" w:rsidRPr="0087737F" w:rsidRDefault="0002061D" w:rsidP="004663F1">
            <w:pPr>
              <w:pStyle w:val="NoSpacing"/>
              <w:rPr>
                <w:lang w:eastAsia="zh-CN"/>
              </w:rPr>
            </w:pPr>
            <w:r w:rsidRPr="0087737F">
              <w:rPr>
                <w:lang w:eastAsia="zh-CN"/>
              </w:rPr>
              <w:t>2.56 ± 0.17</w:t>
            </w:r>
            <w:r w:rsidRPr="0087737F">
              <w:rPr>
                <w:b/>
                <w:vertAlign w:val="superscript"/>
                <w:lang w:eastAsia="zh-CN"/>
              </w:rPr>
              <w:t>b</w:t>
            </w:r>
          </w:p>
        </w:tc>
        <w:tc>
          <w:tcPr>
            <w:tcW w:w="425" w:type="dxa"/>
            <w:tcBorders>
              <w:top w:val="nil"/>
              <w:bottom w:val="nil"/>
            </w:tcBorders>
            <w:shd w:val="clear" w:color="auto" w:fill="auto"/>
          </w:tcPr>
          <w:p w14:paraId="64F4A57B" w14:textId="77777777" w:rsidR="0002061D" w:rsidRPr="0087737F" w:rsidRDefault="0002061D" w:rsidP="004663F1">
            <w:pPr>
              <w:pStyle w:val="NoSpacing"/>
              <w:rPr>
                <w:lang w:eastAsia="zh-CN"/>
              </w:rPr>
            </w:pPr>
          </w:p>
        </w:tc>
        <w:tc>
          <w:tcPr>
            <w:tcW w:w="992" w:type="dxa"/>
            <w:tcBorders>
              <w:top w:val="nil"/>
              <w:bottom w:val="nil"/>
            </w:tcBorders>
            <w:shd w:val="clear" w:color="auto" w:fill="auto"/>
          </w:tcPr>
          <w:p w14:paraId="187D3AB9" w14:textId="77777777" w:rsidR="0002061D" w:rsidRPr="0087737F" w:rsidRDefault="0002061D" w:rsidP="004663F1">
            <w:pPr>
              <w:pStyle w:val="NoSpacing"/>
              <w:rPr>
                <w:lang w:eastAsia="zh-CN"/>
              </w:rPr>
            </w:pPr>
            <w:r w:rsidRPr="0087737F">
              <w:rPr>
                <w:lang w:eastAsia="zh-CN"/>
              </w:rPr>
              <w:t>3,19</w:t>
            </w:r>
          </w:p>
        </w:tc>
        <w:tc>
          <w:tcPr>
            <w:tcW w:w="709" w:type="dxa"/>
            <w:tcBorders>
              <w:top w:val="nil"/>
              <w:bottom w:val="nil"/>
            </w:tcBorders>
            <w:shd w:val="clear" w:color="auto" w:fill="auto"/>
          </w:tcPr>
          <w:p w14:paraId="17429949" w14:textId="77777777" w:rsidR="0002061D" w:rsidRPr="0087737F" w:rsidRDefault="0002061D" w:rsidP="004663F1">
            <w:pPr>
              <w:pStyle w:val="NoSpacing"/>
              <w:rPr>
                <w:lang w:eastAsia="zh-CN"/>
              </w:rPr>
            </w:pPr>
            <w:r w:rsidRPr="0087737F">
              <w:rPr>
                <w:lang w:eastAsia="zh-CN"/>
              </w:rPr>
              <w:t>5.67</w:t>
            </w:r>
          </w:p>
        </w:tc>
        <w:tc>
          <w:tcPr>
            <w:tcW w:w="930" w:type="dxa"/>
            <w:tcBorders>
              <w:top w:val="nil"/>
              <w:bottom w:val="nil"/>
            </w:tcBorders>
            <w:shd w:val="clear" w:color="auto" w:fill="auto"/>
          </w:tcPr>
          <w:p w14:paraId="70FF4355" w14:textId="48707B91" w:rsidR="0002061D" w:rsidRPr="0087737F" w:rsidRDefault="0002061D" w:rsidP="004D581C">
            <w:pPr>
              <w:pStyle w:val="NoSpacing"/>
              <w:rPr>
                <w:b/>
                <w:lang w:eastAsia="zh-CN"/>
              </w:rPr>
            </w:pPr>
            <w:r w:rsidRPr="0087737F">
              <w:rPr>
                <w:b/>
                <w:lang w:eastAsia="zh-CN"/>
              </w:rPr>
              <w:t>0.006</w:t>
            </w:r>
          </w:p>
        </w:tc>
      </w:tr>
      <w:tr w:rsidR="00B310A3" w:rsidRPr="0087737F" w14:paraId="39879435" w14:textId="77777777" w:rsidTr="004663F1">
        <w:trPr>
          <w:trHeight w:val="20"/>
        </w:trPr>
        <w:tc>
          <w:tcPr>
            <w:tcW w:w="4077" w:type="dxa"/>
            <w:shd w:val="clear" w:color="auto" w:fill="auto"/>
          </w:tcPr>
          <w:p w14:paraId="6E82A4FF" w14:textId="77777777" w:rsidR="0002061D" w:rsidRPr="0087737F" w:rsidRDefault="0002061D" w:rsidP="004663F1">
            <w:pPr>
              <w:pStyle w:val="NoSpacing"/>
              <w:rPr>
                <w:lang w:eastAsia="zh-CN"/>
              </w:rPr>
            </w:pPr>
            <w:r w:rsidRPr="0087737F">
              <w:rPr>
                <w:lang w:eastAsia="zh-CN"/>
              </w:rPr>
              <w:t>Stem and leaf P concentration (mg g</w:t>
            </w:r>
            <w:r w:rsidRPr="0087737F">
              <w:rPr>
                <w:vertAlign w:val="superscript"/>
                <w:lang w:eastAsia="zh-CN"/>
              </w:rPr>
              <w:t>-1</w:t>
            </w:r>
            <w:r w:rsidRPr="0087737F">
              <w:rPr>
                <w:lang w:eastAsia="zh-CN"/>
              </w:rPr>
              <w:t>)</w:t>
            </w:r>
          </w:p>
        </w:tc>
        <w:tc>
          <w:tcPr>
            <w:tcW w:w="1560" w:type="dxa"/>
            <w:tcBorders>
              <w:top w:val="nil"/>
              <w:bottom w:val="nil"/>
            </w:tcBorders>
            <w:shd w:val="clear" w:color="auto" w:fill="auto"/>
          </w:tcPr>
          <w:p w14:paraId="2500CC90" w14:textId="77777777" w:rsidR="0002061D" w:rsidRPr="0087737F" w:rsidRDefault="0002061D" w:rsidP="004663F1">
            <w:pPr>
              <w:pStyle w:val="NoSpacing"/>
              <w:rPr>
                <w:lang w:eastAsia="zh-CN"/>
              </w:rPr>
            </w:pPr>
            <w:r w:rsidRPr="0087737F">
              <w:rPr>
                <w:lang w:eastAsia="zh-CN"/>
              </w:rPr>
              <w:t>2.09 ± 0.13</w:t>
            </w:r>
            <w:r w:rsidRPr="0087737F">
              <w:rPr>
                <w:b/>
                <w:vertAlign w:val="superscript"/>
                <w:lang w:eastAsia="zh-CN"/>
              </w:rPr>
              <w:t>a</w:t>
            </w:r>
          </w:p>
        </w:tc>
        <w:tc>
          <w:tcPr>
            <w:tcW w:w="1559" w:type="dxa"/>
            <w:tcBorders>
              <w:top w:val="nil"/>
              <w:bottom w:val="nil"/>
            </w:tcBorders>
            <w:shd w:val="clear" w:color="auto" w:fill="auto"/>
          </w:tcPr>
          <w:p w14:paraId="2AB488F4" w14:textId="77777777" w:rsidR="0002061D" w:rsidRPr="0087737F" w:rsidRDefault="0002061D" w:rsidP="004663F1">
            <w:pPr>
              <w:pStyle w:val="NoSpacing"/>
              <w:rPr>
                <w:lang w:eastAsia="zh-CN"/>
              </w:rPr>
            </w:pPr>
            <w:r w:rsidRPr="0087737F">
              <w:rPr>
                <w:lang w:eastAsia="zh-CN"/>
              </w:rPr>
              <w:t>2.69 ± 0.19</w:t>
            </w:r>
            <w:r w:rsidRPr="0087737F">
              <w:rPr>
                <w:b/>
                <w:vertAlign w:val="superscript"/>
                <w:lang w:eastAsia="zh-CN"/>
              </w:rPr>
              <w:t>b</w:t>
            </w:r>
          </w:p>
        </w:tc>
        <w:tc>
          <w:tcPr>
            <w:tcW w:w="1701" w:type="dxa"/>
            <w:tcBorders>
              <w:top w:val="nil"/>
              <w:bottom w:val="nil"/>
            </w:tcBorders>
            <w:shd w:val="clear" w:color="auto" w:fill="auto"/>
          </w:tcPr>
          <w:p w14:paraId="6AF6CDE8" w14:textId="77777777" w:rsidR="0002061D" w:rsidRPr="0087737F" w:rsidRDefault="0002061D" w:rsidP="004663F1">
            <w:pPr>
              <w:pStyle w:val="NoSpacing"/>
              <w:rPr>
                <w:lang w:eastAsia="zh-CN"/>
              </w:rPr>
            </w:pPr>
            <w:r w:rsidRPr="0087737F">
              <w:rPr>
                <w:lang w:eastAsia="zh-CN"/>
              </w:rPr>
              <w:t>3.21 ± 0.18</w:t>
            </w:r>
            <w:r w:rsidRPr="0087737F">
              <w:rPr>
                <w:b/>
                <w:vertAlign w:val="superscript"/>
                <w:lang w:eastAsia="zh-CN"/>
              </w:rPr>
              <w:t>b</w:t>
            </w:r>
          </w:p>
        </w:tc>
        <w:tc>
          <w:tcPr>
            <w:tcW w:w="1701" w:type="dxa"/>
            <w:tcBorders>
              <w:top w:val="nil"/>
              <w:bottom w:val="nil"/>
            </w:tcBorders>
            <w:shd w:val="clear" w:color="auto" w:fill="auto"/>
          </w:tcPr>
          <w:p w14:paraId="1946323F" w14:textId="77777777" w:rsidR="0002061D" w:rsidRPr="0087737F" w:rsidRDefault="0002061D" w:rsidP="004663F1">
            <w:pPr>
              <w:pStyle w:val="NoSpacing"/>
              <w:rPr>
                <w:lang w:eastAsia="zh-CN"/>
              </w:rPr>
            </w:pPr>
            <w:r w:rsidRPr="0087737F">
              <w:rPr>
                <w:lang w:eastAsia="zh-CN"/>
              </w:rPr>
              <w:t>2.80 ± 0.17</w:t>
            </w:r>
            <w:r w:rsidRPr="0087737F">
              <w:rPr>
                <w:b/>
                <w:vertAlign w:val="superscript"/>
                <w:lang w:eastAsia="zh-CN"/>
              </w:rPr>
              <w:t>b</w:t>
            </w:r>
          </w:p>
        </w:tc>
        <w:tc>
          <w:tcPr>
            <w:tcW w:w="425" w:type="dxa"/>
            <w:tcBorders>
              <w:top w:val="nil"/>
              <w:bottom w:val="nil"/>
            </w:tcBorders>
            <w:shd w:val="clear" w:color="auto" w:fill="auto"/>
          </w:tcPr>
          <w:p w14:paraId="35026332" w14:textId="77777777" w:rsidR="0002061D" w:rsidRPr="0087737F" w:rsidRDefault="0002061D" w:rsidP="004663F1">
            <w:pPr>
              <w:pStyle w:val="NoSpacing"/>
              <w:rPr>
                <w:lang w:eastAsia="zh-CN"/>
              </w:rPr>
            </w:pPr>
          </w:p>
        </w:tc>
        <w:tc>
          <w:tcPr>
            <w:tcW w:w="992" w:type="dxa"/>
            <w:tcBorders>
              <w:top w:val="nil"/>
              <w:bottom w:val="nil"/>
            </w:tcBorders>
            <w:shd w:val="clear" w:color="auto" w:fill="auto"/>
          </w:tcPr>
          <w:p w14:paraId="37A43381" w14:textId="77777777" w:rsidR="0002061D" w:rsidRPr="0087737F" w:rsidRDefault="0002061D" w:rsidP="004663F1">
            <w:pPr>
              <w:pStyle w:val="NoSpacing"/>
              <w:rPr>
                <w:lang w:eastAsia="zh-CN"/>
              </w:rPr>
            </w:pPr>
            <w:r w:rsidRPr="0087737F">
              <w:rPr>
                <w:lang w:eastAsia="zh-CN"/>
              </w:rPr>
              <w:t>3,33</w:t>
            </w:r>
          </w:p>
        </w:tc>
        <w:tc>
          <w:tcPr>
            <w:tcW w:w="709" w:type="dxa"/>
            <w:tcBorders>
              <w:top w:val="nil"/>
              <w:bottom w:val="nil"/>
            </w:tcBorders>
            <w:shd w:val="clear" w:color="auto" w:fill="auto"/>
          </w:tcPr>
          <w:p w14:paraId="3158BA80" w14:textId="77777777" w:rsidR="0002061D" w:rsidRPr="0087737F" w:rsidRDefault="0002061D" w:rsidP="004663F1">
            <w:pPr>
              <w:pStyle w:val="NoSpacing"/>
              <w:rPr>
                <w:lang w:eastAsia="zh-CN"/>
              </w:rPr>
            </w:pPr>
            <w:r w:rsidRPr="0087737F">
              <w:rPr>
                <w:lang w:eastAsia="zh-CN"/>
              </w:rPr>
              <w:t>8.45</w:t>
            </w:r>
          </w:p>
        </w:tc>
        <w:tc>
          <w:tcPr>
            <w:tcW w:w="930" w:type="dxa"/>
            <w:tcBorders>
              <w:top w:val="nil"/>
              <w:bottom w:val="nil"/>
            </w:tcBorders>
            <w:shd w:val="clear" w:color="auto" w:fill="auto"/>
          </w:tcPr>
          <w:p w14:paraId="33F783C9" w14:textId="77777777" w:rsidR="0002061D" w:rsidRPr="0087737F" w:rsidRDefault="0002061D" w:rsidP="004663F1">
            <w:pPr>
              <w:pStyle w:val="NoSpacing"/>
              <w:rPr>
                <w:b/>
                <w:lang w:eastAsia="zh-CN"/>
              </w:rPr>
            </w:pPr>
            <w:r w:rsidRPr="0087737F">
              <w:rPr>
                <w:b/>
                <w:lang w:eastAsia="zh-CN"/>
              </w:rPr>
              <w:t>&lt;0.001</w:t>
            </w:r>
          </w:p>
        </w:tc>
      </w:tr>
      <w:tr w:rsidR="00B310A3" w:rsidRPr="0087737F" w14:paraId="7B7398D5" w14:textId="77777777" w:rsidTr="004663F1">
        <w:trPr>
          <w:trHeight w:val="20"/>
        </w:trPr>
        <w:tc>
          <w:tcPr>
            <w:tcW w:w="4077" w:type="dxa"/>
            <w:shd w:val="clear" w:color="auto" w:fill="auto"/>
          </w:tcPr>
          <w:p w14:paraId="214D7518" w14:textId="77777777" w:rsidR="0002061D" w:rsidRPr="0087737F" w:rsidRDefault="0002061D" w:rsidP="004663F1">
            <w:pPr>
              <w:pStyle w:val="NoSpacing"/>
              <w:rPr>
                <w:lang w:eastAsia="zh-CN"/>
              </w:rPr>
            </w:pPr>
            <w:r w:rsidRPr="0087737F">
              <w:rPr>
                <w:lang w:eastAsia="zh-CN"/>
              </w:rPr>
              <w:t>Grain P concentration (mg g</w:t>
            </w:r>
            <w:r w:rsidRPr="0087737F">
              <w:rPr>
                <w:vertAlign w:val="superscript"/>
                <w:lang w:eastAsia="zh-CN"/>
              </w:rPr>
              <w:t>-1</w:t>
            </w:r>
            <w:r w:rsidRPr="0087737F">
              <w:rPr>
                <w:lang w:eastAsia="zh-CN"/>
              </w:rPr>
              <w:t>)</w:t>
            </w:r>
          </w:p>
        </w:tc>
        <w:tc>
          <w:tcPr>
            <w:tcW w:w="1560" w:type="dxa"/>
            <w:tcBorders>
              <w:top w:val="nil"/>
              <w:bottom w:val="nil"/>
            </w:tcBorders>
            <w:shd w:val="clear" w:color="auto" w:fill="auto"/>
          </w:tcPr>
          <w:p w14:paraId="3391EA45" w14:textId="77777777" w:rsidR="0002061D" w:rsidRPr="0087737F" w:rsidRDefault="0002061D" w:rsidP="004663F1">
            <w:pPr>
              <w:pStyle w:val="NoSpacing"/>
              <w:rPr>
                <w:lang w:eastAsia="zh-CN"/>
              </w:rPr>
            </w:pPr>
            <w:r w:rsidRPr="0087737F">
              <w:rPr>
                <w:lang w:eastAsia="zh-CN"/>
              </w:rPr>
              <w:t>3.09 ± 0.12</w:t>
            </w:r>
            <w:r w:rsidRPr="0087737F">
              <w:rPr>
                <w:b/>
                <w:vertAlign w:val="superscript"/>
                <w:lang w:eastAsia="zh-CN"/>
              </w:rPr>
              <w:t>a</w:t>
            </w:r>
          </w:p>
        </w:tc>
        <w:tc>
          <w:tcPr>
            <w:tcW w:w="1559" w:type="dxa"/>
            <w:tcBorders>
              <w:top w:val="nil"/>
              <w:bottom w:val="nil"/>
            </w:tcBorders>
            <w:shd w:val="clear" w:color="auto" w:fill="auto"/>
          </w:tcPr>
          <w:p w14:paraId="7FD516A7" w14:textId="77777777" w:rsidR="0002061D" w:rsidRPr="0087737F" w:rsidRDefault="0002061D" w:rsidP="004663F1">
            <w:pPr>
              <w:pStyle w:val="NoSpacing"/>
              <w:rPr>
                <w:lang w:eastAsia="zh-CN"/>
              </w:rPr>
            </w:pPr>
            <w:r w:rsidRPr="0087737F">
              <w:rPr>
                <w:lang w:eastAsia="zh-CN"/>
              </w:rPr>
              <w:t>3.61 ± 0.14</w:t>
            </w:r>
            <w:r w:rsidRPr="0087737F">
              <w:rPr>
                <w:b/>
                <w:vertAlign w:val="superscript"/>
                <w:lang w:eastAsia="zh-CN"/>
              </w:rPr>
              <w:t>b</w:t>
            </w:r>
          </w:p>
        </w:tc>
        <w:tc>
          <w:tcPr>
            <w:tcW w:w="1701" w:type="dxa"/>
            <w:tcBorders>
              <w:top w:val="nil"/>
              <w:bottom w:val="nil"/>
            </w:tcBorders>
            <w:shd w:val="clear" w:color="auto" w:fill="auto"/>
          </w:tcPr>
          <w:p w14:paraId="2CD310B6" w14:textId="77777777" w:rsidR="0002061D" w:rsidRPr="0087737F" w:rsidRDefault="0002061D" w:rsidP="004663F1">
            <w:pPr>
              <w:pStyle w:val="NoSpacing"/>
              <w:rPr>
                <w:lang w:eastAsia="zh-CN"/>
              </w:rPr>
            </w:pPr>
            <w:r w:rsidRPr="0087737F">
              <w:rPr>
                <w:lang w:eastAsia="zh-CN"/>
              </w:rPr>
              <w:t>3.77 ± 0.10</w:t>
            </w:r>
            <w:r w:rsidRPr="0087737F">
              <w:rPr>
                <w:b/>
                <w:vertAlign w:val="superscript"/>
                <w:lang w:eastAsia="zh-CN"/>
              </w:rPr>
              <w:t>b</w:t>
            </w:r>
          </w:p>
        </w:tc>
        <w:tc>
          <w:tcPr>
            <w:tcW w:w="1701" w:type="dxa"/>
            <w:tcBorders>
              <w:top w:val="nil"/>
              <w:bottom w:val="nil"/>
            </w:tcBorders>
            <w:shd w:val="clear" w:color="auto" w:fill="auto"/>
          </w:tcPr>
          <w:p w14:paraId="3834DC53" w14:textId="77777777" w:rsidR="0002061D" w:rsidRPr="0087737F" w:rsidRDefault="0002061D" w:rsidP="004663F1">
            <w:pPr>
              <w:pStyle w:val="NoSpacing"/>
              <w:rPr>
                <w:lang w:eastAsia="zh-CN"/>
              </w:rPr>
            </w:pPr>
            <w:r w:rsidRPr="0087737F">
              <w:rPr>
                <w:lang w:eastAsia="zh-CN"/>
              </w:rPr>
              <w:t>3.52 ± 0.09</w:t>
            </w:r>
            <w:r w:rsidRPr="0087737F">
              <w:rPr>
                <w:b/>
                <w:vertAlign w:val="superscript"/>
                <w:lang w:eastAsia="zh-CN"/>
              </w:rPr>
              <w:t>ab</w:t>
            </w:r>
          </w:p>
        </w:tc>
        <w:tc>
          <w:tcPr>
            <w:tcW w:w="425" w:type="dxa"/>
            <w:tcBorders>
              <w:top w:val="nil"/>
              <w:bottom w:val="nil"/>
            </w:tcBorders>
            <w:shd w:val="clear" w:color="auto" w:fill="auto"/>
          </w:tcPr>
          <w:p w14:paraId="5EF53D8F" w14:textId="77777777" w:rsidR="0002061D" w:rsidRPr="0087737F" w:rsidRDefault="0002061D" w:rsidP="004663F1">
            <w:pPr>
              <w:pStyle w:val="NoSpacing"/>
              <w:rPr>
                <w:lang w:eastAsia="zh-CN"/>
              </w:rPr>
            </w:pPr>
          </w:p>
        </w:tc>
        <w:tc>
          <w:tcPr>
            <w:tcW w:w="992" w:type="dxa"/>
            <w:tcBorders>
              <w:top w:val="nil"/>
              <w:bottom w:val="nil"/>
            </w:tcBorders>
            <w:shd w:val="clear" w:color="auto" w:fill="auto"/>
          </w:tcPr>
          <w:p w14:paraId="014775E3" w14:textId="77777777" w:rsidR="0002061D" w:rsidRPr="0087737F" w:rsidRDefault="0002061D" w:rsidP="004663F1">
            <w:pPr>
              <w:pStyle w:val="NoSpacing"/>
              <w:rPr>
                <w:lang w:eastAsia="zh-CN"/>
              </w:rPr>
            </w:pPr>
            <w:r w:rsidRPr="0087737F">
              <w:rPr>
                <w:lang w:eastAsia="zh-CN"/>
              </w:rPr>
              <w:t>3,34</w:t>
            </w:r>
          </w:p>
        </w:tc>
        <w:tc>
          <w:tcPr>
            <w:tcW w:w="709" w:type="dxa"/>
            <w:tcBorders>
              <w:top w:val="nil"/>
              <w:bottom w:val="nil"/>
            </w:tcBorders>
            <w:shd w:val="clear" w:color="auto" w:fill="auto"/>
          </w:tcPr>
          <w:p w14:paraId="2D823E43" w14:textId="77777777" w:rsidR="0002061D" w:rsidRPr="0087737F" w:rsidRDefault="0002061D" w:rsidP="004663F1">
            <w:pPr>
              <w:pStyle w:val="NoSpacing"/>
              <w:rPr>
                <w:lang w:eastAsia="zh-CN"/>
              </w:rPr>
            </w:pPr>
            <w:r w:rsidRPr="0087737F">
              <w:rPr>
                <w:lang w:eastAsia="zh-CN"/>
              </w:rPr>
              <w:t>6.18</w:t>
            </w:r>
          </w:p>
        </w:tc>
        <w:tc>
          <w:tcPr>
            <w:tcW w:w="930" w:type="dxa"/>
            <w:tcBorders>
              <w:top w:val="nil"/>
              <w:bottom w:val="nil"/>
            </w:tcBorders>
            <w:shd w:val="clear" w:color="auto" w:fill="auto"/>
          </w:tcPr>
          <w:p w14:paraId="789B5E0A" w14:textId="1E41489D" w:rsidR="0002061D" w:rsidRPr="0087737F" w:rsidRDefault="0002061D" w:rsidP="004D581C">
            <w:pPr>
              <w:pStyle w:val="NoSpacing"/>
              <w:rPr>
                <w:b/>
                <w:lang w:eastAsia="zh-CN"/>
              </w:rPr>
            </w:pPr>
            <w:r w:rsidRPr="0087737F">
              <w:rPr>
                <w:b/>
                <w:lang w:eastAsia="zh-CN"/>
              </w:rPr>
              <w:t>0.00</w:t>
            </w:r>
            <w:r w:rsidR="004D581C" w:rsidRPr="0087737F">
              <w:rPr>
                <w:b/>
                <w:lang w:eastAsia="zh-CN"/>
              </w:rPr>
              <w:t>2</w:t>
            </w:r>
          </w:p>
        </w:tc>
      </w:tr>
      <w:tr w:rsidR="00B310A3" w:rsidRPr="0087737F" w14:paraId="0F8A6B15" w14:textId="77777777" w:rsidTr="004663F1">
        <w:trPr>
          <w:trHeight w:val="20"/>
        </w:trPr>
        <w:tc>
          <w:tcPr>
            <w:tcW w:w="4077" w:type="dxa"/>
            <w:shd w:val="clear" w:color="auto" w:fill="auto"/>
          </w:tcPr>
          <w:p w14:paraId="1CBB1AE4" w14:textId="77777777" w:rsidR="0002061D" w:rsidRPr="0087737F" w:rsidRDefault="0002061D" w:rsidP="004663F1">
            <w:pPr>
              <w:pStyle w:val="NoSpacing"/>
              <w:rPr>
                <w:lang w:eastAsia="zh-CN"/>
              </w:rPr>
            </w:pPr>
            <w:r w:rsidRPr="0087737F">
              <w:rPr>
                <w:lang w:eastAsia="zh-CN"/>
              </w:rPr>
              <w:t>Stem and leaf N concentration (mg g</w:t>
            </w:r>
            <w:r w:rsidRPr="0087737F">
              <w:rPr>
                <w:vertAlign w:val="superscript"/>
                <w:lang w:eastAsia="zh-CN"/>
              </w:rPr>
              <w:t>-1</w:t>
            </w:r>
            <w:r w:rsidRPr="0087737F">
              <w:rPr>
                <w:lang w:eastAsia="zh-CN"/>
              </w:rPr>
              <w:t>)</w:t>
            </w:r>
          </w:p>
        </w:tc>
        <w:tc>
          <w:tcPr>
            <w:tcW w:w="1560" w:type="dxa"/>
            <w:shd w:val="clear" w:color="auto" w:fill="auto"/>
          </w:tcPr>
          <w:p w14:paraId="51036BE0" w14:textId="77777777" w:rsidR="0002061D" w:rsidRPr="0087737F" w:rsidRDefault="0002061D" w:rsidP="004663F1">
            <w:pPr>
              <w:pStyle w:val="NoSpacing"/>
              <w:rPr>
                <w:lang w:eastAsia="zh-CN"/>
              </w:rPr>
            </w:pPr>
            <w:r w:rsidRPr="0087737F">
              <w:rPr>
                <w:lang w:eastAsia="zh-CN"/>
              </w:rPr>
              <w:t>2.55 ± 0.30</w:t>
            </w:r>
          </w:p>
        </w:tc>
        <w:tc>
          <w:tcPr>
            <w:tcW w:w="1559" w:type="dxa"/>
            <w:shd w:val="clear" w:color="auto" w:fill="auto"/>
          </w:tcPr>
          <w:p w14:paraId="0B4E626B" w14:textId="77777777" w:rsidR="0002061D" w:rsidRPr="0087737F" w:rsidRDefault="0002061D" w:rsidP="004663F1">
            <w:pPr>
              <w:pStyle w:val="NoSpacing"/>
              <w:rPr>
                <w:lang w:eastAsia="zh-CN"/>
              </w:rPr>
            </w:pPr>
            <w:r w:rsidRPr="0087737F">
              <w:rPr>
                <w:lang w:eastAsia="zh-CN"/>
              </w:rPr>
              <w:t>2.92 ± 0.53</w:t>
            </w:r>
          </w:p>
        </w:tc>
        <w:tc>
          <w:tcPr>
            <w:tcW w:w="1701" w:type="dxa"/>
            <w:shd w:val="clear" w:color="auto" w:fill="auto"/>
          </w:tcPr>
          <w:p w14:paraId="592267E1" w14:textId="77777777" w:rsidR="0002061D" w:rsidRPr="0087737F" w:rsidRDefault="0002061D" w:rsidP="004663F1">
            <w:pPr>
              <w:pStyle w:val="NoSpacing"/>
              <w:rPr>
                <w:lang w:eastAsia="zh-CN"/>
              </w:rPr>
            </w:pPr>
            <w:r w:rsidRPr="0087737F">
              <w:rPr>
                <w:lang w:eastAsia="zh-CN"/>
              </w:rPr>
              <w:t>3.76 ± 0.49</w:t>
            </w:r>
          </w:p>
        </w:tc>
        <w:tc>
          <w:tcPr>
            <w:tcW w:w="1701" w:type="dxa"/>
            <w:shd w:val="clear" w:color="auto" w:fill="auto"/>
          </w:tcPr>
          <w:p w14:paraId="17F807BF" w14:textId="77777777" w:rsidR="0002061D" w:rsidRPr="0087737F" w:rsidRDefault="0002061D" w:rsidP="004663F1">
            <w:pPr>
              <w:pStyle w:val="NoSpacing"/>
              <w:rPr>
                <w:lang w:eastAsia="zh-CN"/>
              </w:rPr>
            </w:pPr>
            <w:r w:rsidRPr="0087737F">
              <w:rPr>
                <w:lang w:eastAsia="zh-CN"/>
              </w:rPr>
              <w:t>3.61 ± 0.42</w:t>
            </w:r>
          </w:p>
        </w:tc>
        <w:tc>
          <w:tcPr>
            <w:tcW w:w="425" w:type="dxa"/>
            <w:shd w:val="clear" w:color="auto" w:fill="auto"/>
          </w:tcPr>
          <w:p w14:paraId="214DD82C" w14:textId="77777777" w:rsidR="0002061D" w:rsidRPr="0087737F" w:rsidRDefault="0002061D" w:rsidP="004663F1">
            <w:pPr>
              <w:pStyle w:val="NoSpacing"/>
              <w:rPr>
                <w:lang w:eastAsia="zh-CN"/>
              </w:rPr>
            </w:pPr>
          </w:p>
        </w:tc>
        <w:tc>
          <w:tcPr>
            <w:tcW w:w="992" w:type="dxa"/>
            <w:shd w:val="clear" w:color="auto" w:fill="auto"/>
          </w:tcPr>
          <w:p w14:paraId="426AC2C9" w14:textId="77777777" w:rsidR="0002061D" w:rsidRPr="0087737F" w:rsidRDefault="0002061D" w:rsidP="004663F1">
            <w:pPr>
              <w:pStyle w:val="NoSpacing"/>
              <w:rPr>
                <w:lang w:eastAsia="zh-CN"/>
              </w:rPr>
            </w:pPr>
            <w:r w:rsidRPr="0087737F">
              <w:rPr>
                <w:lang w:eastAsia="zh-CN"/>
              </w:rPr>
              <w:t>3,35</w:t>
            </w:r>
          </w:p>
        </w:tc>
        <w:tc>
          <w:tcPr>
            <w:tcW w:w="709" w:type="dxa"/>
            <w:shd w:val="clear" w:color="auto" w:fill="auto"/>
          </w:tcPr>
          <w:p w14:paraId="14BF78B5" w14:textId="77777777" w:rsidR="0002061D" w:rsidRPr="0087737F" w:rsidRDefault="0002061D" w:rsidP="004663F1">
            <w:pPr>
              <w:pStyle w:val="NoSpacing"/>
              <w:rPr>
                <w:lang w:eastAsia="zh-CN"/>
              </w:rPr>
            </w:pPr>
            <w:r w:rsidRPr="0087737F">
              <w:rPr>
                <w:lang w:eastAsia="zh-CN"/>
              </w:rPr>
              <w:t>2.23</w:t>
            </w:r>
          </w:p>
        </w:tc>
        <w:tc>
          <w:tcPr>
            <w:tcW w:w="930" w:type="dxa"/>
            <w:shd w:val="clear" w:color="auto" w:fill="auto"/>
          </w:tcPr>
          <w:p w14:paraId="10866982" w14:textId="77777777" w:rsidR="0002061D" w:rsidRPr="0087737F" w:rsidRDefault="0002061D" w:rsidP="004663F1">
            <w:pPr>
              <w:pStyle w:val="NoSpacing"/>
              <w:rPr>
                <w:lang w:eastAsia="zh-CN"/>
              </w:rPr>
            </w:pPr>
            <w:r w:rsidRPr="0087737F">
              <w:rPr>
                <w:lang w:eastAsia="zh-CN"/>
              </w:rPr>
              <w:t>0.103</w:t>
            </w:r>
          </w:p>
        </w:tc>
      </w:tr>
    </w:tbl>
    <w:p w14:paraId="4C3AC9B6" w14:textId="77777777" w:rsidR="0002061D" w:rsidRPr="0087737F" w:rsidRDefault="0002061D" w:rsidP="004663F1">
      <w:pPr>
        <w:spacing w:before="120" w:after="240"/>
        <w:rPr>
          <w:rFonts w:cs="Arial"/>
          <w:szCs w:val="20"/>
        </w:rPr>
        <w:sectPr w:rsidR="0002061D" w:rsidRPr="0087737F" w:rsidSect="004663F1">
          <w:pgSz w:w="16840" w:h="11907" w:orient="landscape" w:code="9"/>
          <w:pgMar w:top="1440" w:right="1440" w:bottom="1440" w:left="1440" w:header="709" w:footer="737" w:gutter="0"/>
          <w:cols w:space="708"/>
          <w:docGrid w:linePitch="360"/>
        </w:sectPr>
      </w:pPr>
    </w:p>
    <w:p w14:paraId="06593718" w14:textId="77777777" w:rsidR="0002061D" w:rsidRPr="0087737F" w:rsidRDefault="0002061D" w:rsidP="004663F1">
      <w:pPr>
        <w:keepNext/>
        <w:spacing w:after="360"/>
        <w:rPr>
          <w:rFonts w:eastAsia="SimSun" w:cs="Arial"/>
          <w:bCs/>
          <w:szCs w:val="18"/>
          <w:lang w:eastAsia="zh-CN"/>
        </w:rPr>
      </w:pPr>
      <w:bookmarkStart w:id="2" w:name="_Ref476685849"/>
      <w:r w:rsidRPr="0087737F">
        <w:rPr>
          <w:rFonts w:eastAsia="SimSun" w:cs="Arial"/>
          <w:bCs/>
          <w:szCs w:val="18"/>
          <w:lang w:eastAsia="zh-CN"/>
        </w:rPr>
        <w:lastRenderedPageBreak/>
        <w:t xml:space="preserve">Table </w:t>
      </w:r>
      <w:bookmarkEnd w:id="2"/>
      <w:r w:rsidRPr="0087737F">
        <w:rPr>
          <w:rFonts w:eastAsia="SimSun" w:cs="Arial"/>
          <w:bCs/>
          <w:szCs w:val="18"/>
          <w:lang w:eastAsia="zh-CN"/>
        </w:rPr>
        <w:t xml:space="preserve">3. Above ground plant and aphid </w:t>
      </w:r>
      <w:r w:rsidRPr="0087737F">
        <w:rPr>
          <w:rFonts w:eastAsia="SimSun" w:cs="Arial"/>
          <w:bCs/>
          <w:szCs w:val="18"/>
          <w:vertAlign w:val="superscript"/>
          <w:lang w:eastAsia="zh-CN"/>
        </w:rPr>
        <w:t>15</w:t>
      </w:r>
      <w:r w:rsidRPr="0087737F">
        <w:rPr>
          <w:rFonts w:eastAsia="SimSun" w:cs="Arial"/>
          <w:bCs/>
          <w:szCs w:val="18"/>
          <w:lang w:eastAsia="zh-CN"/>
        </w:rPr>
        <w:t xml:space="preserve">N tissue responses (mean ± 1 standard error) to AMF colonisation and AMF access to the second compartment containing an organic patch at harvest. Note aphid </w:t>
      </w:r>
      <w:r w:rsidRPr="0087737F">
        <w:rPr>
          <w:rFonts w:eastAsia="SimSun" w:cs="Arial"/>
          <w:bCs/>
          <w:szCs w:val="18"/>
          <w:vertAlign w:val="superscript"/>
          <w:lang w:eastAsia="zh-CN"/>
        </w:rPr>
        <w:t>15</w:t>
      </w:r>
      <w:r w:rsidRPr="0087737F">
        <w:rPr>
          <w:rFonts w:eastAsia="SimSun" w:cs="Arial"/>
          <w:bCs/>
          <w:szCs w:val="18"/>
          <w:lang w:eastAsia="zh-CN"/>
        </w:rPr>
        <w:t xml:space="preserve">N enrichment is expressed as ng whilst other </w:t>
      </w:r>
      <w:r w:rsidRPr="0087737F">
        <w:rPr>
          <w:rFonts w:eastAsia="SimSun" w:cs="Arial"/>
          <w:bCs/>
          <w:szCs w:val="18"/>
          <w:vertAlign w:val="superscript"/>
          <w:lang w:eastAsia="zh-CN"/>
        </w:rPr>
        <w:t>15</w:t>
      </w:r>
      <w:r w:rsidRPr="0087737F">
        <w:rPr>
          <w:rFonts w:eastAsia="SimSun" w:cs="Arial"/>
          <w:bCs/>
          <w:szCs w:val="18"/>
          <w:lang w:eastAsia="zh-CN"/>
        </w:rPr>
        <w:t xml:space="preserve">N enrichments are expressed as µg. Different letters within rows indicate significant differences at a level of </w:t>
      </w:r>
      <w:r w:rsidRPr="0087737F">
        <w:rPr>
          <w:rFonts w:eastAsia="SimSun" w:cs="Arial"/>
          <w:bCs/>
          <w:i/>
          <w:szCs w:val="18"/>
          <w:lang w:eastAsia="zh-CN"/>
        </w:rPr>
        <w:t>P</w:t>
      </w:r>
      <w:r w:rsidRPr="0087737F">
        <w:rPr>
          <w:rFonts w:eastAsia="SimSun" w:cs="Arial"/>
          <w:bCs/>
          <w:szCs w:val="18"/>
          <w:lang w:eastAsia="zh-CN"/>
        </w:rPr>
        <w:t xml:space="preserve"> = 0.05 using a Tukey </w:t>
      </w:r>
      <w:r w:rsidRPr="0087737F">
        <w:rPr>
          <w:rFonts w:eastAsia="SimSun" w:cs="Arial"/>
          <w:bCs/>
          <w:i/>
          <w:szCs w:val="18"/>
          <w:lang w:eastAsia="zh-CN"/>
        </w:rPr>
        <w:t>post hoc</w:t>
      </w:r>
      <w:r w:rsidRPr="0087737F">
        <w:rPr>
          <w:rFonts w:eastAsia="SimSun" w:cs="Arial"/>
          <w:bCs/>
          <w:szCs w:val="18"/>
          <w:lang w:eastAsia="zh-CN"/>
        </w:rPr>
        <w:t xml:space="preserve"> test and are in bold. DF = degrees of freedom.  </w:t>
      </w:r>
    </w:p>
    <w:tbl>
      <w:tblPr>
        <w:tblStyle w:val="TableGrid8"/>
        <w:tblW w:w="1365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2126"/>
        <w:gridCol w:w="1843"/>
        <w:gridCol w:w="1701"/>
        <w:gridCol w:w="284"/>
        <w:gridCol w:w="992"/>
        <w:gridCol w:w="992"/>
        <w:gridCol w:w="1497"/>
      </w:tblGrid>
      <w:tr w:rsidR="00B310A3" w:rsidRPr="0087737F" w14:paraId="0225A505" w14:textId="77777777" w:rsidTr="004663F1">
        <w:trPr>
          <w:trHeight w:val="20"/>
        </w:trPr>
        <w:tc>
          <w:tcPr>
            <w:tcW w:w="4219" w:type="dxa"/>
            <w:tcBorders>
              <w:top w:val="single" w:sz="4" w:space="0" w:color="auto"/>
              <w:bottom w:val="nil"/>
            </w:tcBorders>
          </w:tcPr>
          <w:p w14:paraId="27A33D61" w14:textId="77777777" w:rsidR="0002061D" w:rsidRPr="0087737F" w:rsidRDefault="0002061D" w:rsidP="004663F1">
            <w:pPr>
              <w:pStyle w:val="NoSpacing"/>
              <w:rPr>
                <w:lang w:eastAsia="zh-CN"/>
              </w:rPr>
            </w:pPr>
          </w:p>
        </w:tc>
        <w:tc>
          <w:tcPr>
            <w:tcW w:w="5954" w:type="dxa"/>
            <w:gridSpan w:val="4"/>
            <w:tcBorders>
              <w:top w:val="single" w:sz="4" w:space="0" w:color="auto"/>
              <w:bottom w:val="single" w:sz="4" w:space="0" w:color="auto"/>
            </w:tcBorders>
          </w:tcPr>
          <w:p w14:paraId="3C768BC7" w14:textId="77777777" w:rsidR="0002061D" w:rsidRPr="0087737F" w:rsidRDefault="0002061D" w:rsidP="004663F1">
            <w:pPr>
              <w:pStyle w:val="NoSpacing"/>
              <w:rPr>
                <w:lang w:eastAsia="zh-CN"/>
              </w:rPr>
            </w:pPr>
            <w:r w:rsidRPr="0087737F">
              <w:rPr>
                <w:lang w:eastAsia="zh-CN"/>
              </w:rPr>
              <w:t xml:space="preserve">AM colonisation and access </w:t>
            </w:r>
          </w:p>
        </w:tc>
        <w:tc>
          <w:tcPr>
            <w:tcW w:w="3481" w:type="dxa"/>
            <w:gridSpan w:val="3"/>
            <w:tcBorders>
              <w:top w:val="single" w:sz="4" w:space="0" w:color="auto"/>
              <w:bottom w:val="single" w:sz="4" w:space="0" w:color="auto"/>
            </w:tcBorders>
          </w:tcPr>
          <w:p w14:paraId="2ADD2D75" w14:textId="77777777" w:rsidR="0002061D" w:rsidRPr="0087737F" w:rsidRDefault="0002061D" w:rsidP="004663F1">
            <w:pPr>
              <w:pStyle w:val="NoSpacing"/>
              <w:rPr>
                <w:lang w:eastAsia="zh-CN"/>
              </w:rPr>
            </w:pPr>
            <w:r w:rsidRPr="0087737F">
              <w:rPr>
                <w:lang w:eastAsia="zh-CN"/>
              </w:rPr>
              <w:t>Test statistics</w:t>
            </w:r>
          </w:p>
        </w:tc>
      </w:tr>
      <w:tr w:rsidR="00B310A3" w:rsidRPr="0087737F" w14:paraId="1E069B89" w14:textId="77777777" w:rsidTr="004663F1">
        <w:trPr>
          <w:trHeight w:val="20"/>
        </w:trPr>
        <w:tc>
          <w:tcPr>
            <w:tcW w:w="4219" w:type="dxa"/>
            <w:tcBorders>
              <w:top w:val="nil"/>
              <w:bottom w:val="single" w:sz="4" w:space="0" w:color="auto"/>
            </w:tcBorders>
          </w:tcPr>
          <w:p w14:paraId="7938572D" w14:textId="77777777" w:rsidR="0002061D" w:rsidRPr="0087737F" w:rsidRDefault="0002061D" w:rsidP="004663F1">
            <w:pPr>
              <w:pStyle w:val="NoSpacing"/>
              <w:rPr>
                <w:lang w:eastAsia="zh-CN"/>
              </w:rPr>
            </w:pPr>
          </w:p>
        </w:tc>
        <w:tc>
          <w:tcPr>
            <w:tcW w:w="2126" w:type="dxa"/>
            <w:tcBorders>
              <w:top w:val="single" w:sz="4" w:space="0" w:color="auto"/>
              <w:bottom w:val="single" w:sz="4" w:space="0" w:color="auto"/>
            </w:tcBorders>
          </w:tcPr>
          <w:p w14:paraId="0175598E" w14:textId="77777777" w:rsidR="0002061D" w:rsidRPr="0087737F" w:rsidRDefault="0002061D" w:rsidP="004663F1">
            <w:pPr>
              <w:pStyle w:val="NoSpacing"/>
              <w:rPr>
                <w:lang w:eastAsia="zh-CN"/>
              </w:rPr>
            </w:pPr>
            <w:r w:rsidRPr="0087737F">
              <w:rPr>
                <w:lang w:eastAsia="zh-CN"/>
              </w:rPr>
              <w:t>-AM</w:t>
            </w:r>
          </w:p>
        </w:tc>
        <w:tc>
          <w:tcPr>
            <w:tcW w:w="1843" w:type="dxa"/>
            <w:tcBorders>
              <w:top w:val="single" w:sz="4" w:space="0" w:color="auto"/>
              <w:bottom w:val="single" w:sz="4" w:space="0" w:color="auto"/>
            </w:tcBorders>
          </w:tcPr>
          <w:p w14:paraId="0DF95EE7" w14:textId="77777777" w:rsidR="0002061D" w:rsidRPr="0087737F" w:rsidRDefault="0002061D" w:rsidP="004663F1">
            <w:pPr>
              <w:pStyle w:val="NoSpacing"/>
              <w:rPr>
                <w:lang w:eastAsia="zh-CN"/>
              </w:rPr>
            </w:pPr>
            <w:r w:rsidRPr="0087737F">
              <w:rPr>
                <w:lang w:eastAsia="zh-CN"/>
              </w:rPr>
              <w:t>+AM, -Access</w:t>
            </w:r>
          </w:p>
        </w:tc>
        <w:tc>
          <w:tcPr>
            <w:tcW w:w="1701" w:type="dxa"/>
            <w:tcBorders>
              <w:top w:val="single" w:sz="4" w:space="0" w:color="auto"/>
              <w:bottom w:val="single" w:sz="4" w:space="0" w:color="auto"/>
            </w:tcBorders>
          </w:tcPr>
          <w:p w14:paraId="32BA6DE1" w14:textId="77777777" w:rsidR="0002061D" w:rsidRPr="0087737F" w:rsidRDefault="0002061D" w:rsidP="004663F1">
            <w:pPr>
              <w:pStyle w:val="NoSpacing"/>
              <w:rPr>
                <w:lang w:eastAsia="zh-CN"/>
              </w:rPr>
            </w:pPr>
            <w:r w:rsidRPr="0087737F">
              <w:rPr>
                <w:lang w:eastAsia="zh-CN"/>
              </w:rPr>
              <w:t>+AM, +Access,</w:t>
            </w:r>
          </w:p>
        </w:tc>
        <w:tc>
          <w:tcPr>
            <w:tcW w:w="284" w:type="dxa"/>
            <w:vMerge w:val="restart"/>
            <w:tcBorders>
              <w:top w:val="single" w:sz="4" w:space="0" w:color="auto"/>
              <w:bottom w:val="single" w:sz="4" w:space="0" w:color="auto"/>
            </w:tcBorders>
          </w:tcPr>
          <w:p w14:paraId="35162B4A" w14:textId="77777777" w:rsidR="0002061D" w:rsidRPr="0087737F" w:rsidRDefault="0002061D" w:rsidP="004663F1">
            <w:pPr>
              <w:pStyle w:val="NoSpacing"/>
              <w:rPr>
                <w:lang w:eastAsia="zh-CN"/>
              </w:rPr>
            </w:pPr>
          </w:p>
        </w:tc>
        <w:tc>
          <w:tcPr>
            <w:tcW w:w="992" w:type="dxa"/>
            <w:tcBorders>
              <w:top w:val="single" w:sz="4" w:space="0" w:color="auto"/>
              <w:bottom w:val="single" w:sz="4" w:space="0" w:color="auto"/>
            </w:tcBorders>
          </w:tcPr>
          <w:p w14:paraId="2E879036" w14:textId="77777777" w:rsidR="0002061D" w:rsidRPr="0087737F" w:rsidRDefault="0002061D" w:rsidP="004663F1">
            <w:pPr>
              <w:pStyle w:val="NoSpacing"/>
              <w:rPr>
                <w:lang w:eastAsia="zh-CN"/>
              </w:rPr>
            </w:pPr>
            <w:r w:rsidRPr="0087737F">
              <w:rPr>
                <w:lang w:eastAsia="zh-CN"/>
              </w:rPr>
              <w:t>D.F.</w:t>
            </w:r>
          </w:p>
        </w:tc>
        <w:tc>
          <w:tcPr>
            <w:tcW w:w="992" w:type="dxa"/>
            <w:tcBorders>
              <w:top w:val="single" w:sz="4" w:space="0" w:color="auto"/>
              <w:bottom w:val="single" w:sz="4" w:space="0" w:color="auto"/>
            </w:tcBorders>
          </w:tcPr>
          <w:p w14:paraId="21B42D0A" w14:textId="77777777" w:rsidR="0002061D" w:rsidRPr="0087737F" w:rsidRDefault="0002061D" w:rsidP="004663F1">
            <w:pPr>
              <w:pStyle w:val="NoSpacing"/>
              <w:rPr>
                <w:i/>
                <w:lang w:eastAsia="zh-CN"/>
              </w:rPr>
            </w:pPr>
            <w:r w:rsidRPr="0087737F">
              <w:rPr>
                <w:i/>
                <w:lang w:eastAsia="zh-CN"/>
              </w:rPr>
              <w:t>F</w:t>
            </w:r>
          </w:p>
        </w:tc>
        <w:tc>
          <w:tcPr>
            <w:tcW w:w="1497" w:type="dxa"/>
            <w:tcBorders>
              <w:top w:val="single" w:sz="4" w:space="0" w:color="auto"/>
              <w:bottom w:val="single" w:sz="4" w:space="0" w:color="auto"/>
            </w:tcBorders>
          </w:tcPr>
          <w:p w14:paraId="1830AA6B" w14:textId="77777777" w:rsidR="0002061D" w:rsidRPr="0087737F" w:rsidRDefault="0002061D" w:rsidP="004663F1">
            <w:pPr>
              <w:pStyle w:val="NoSpacing"/>
              <w:rPr>
                <w:lang w:eastAsia="zh-CN"/>
              </w:rPr>
            </w:pPr>
            <w:r w:rsidRPr="0087737F">
              <w:rPr>
                <w:i/>
                <w:lang w:eastAsia="zh-CN"/>
              </w:rPr>
              <w:t>P</w:t>
            </w:r>
          </w:p>
        </w:tc>
      </w:tr>
      <w:tr w:rsidR="00B310A3" w:rsidRPr="0087737F" w14:paraId="03D2DC73" w14:textId="77777777" w:rsidTr="004663F1">
        <w:trPr>
          <w:trHeight w:val="20"/>
        </w:trPr>
        <w:tc>
          <w:tcPr>
            <w:tcW w:w="4219" w:type="dxa"/>
            <w:tcBorders>
              <w:top w:val="single" w:sz="4" w:space="0" w:color="auto"/>
            </w:tcBorders>
          </w:tcPr>
          <w:p w14:paraId="7E898BA1" w14:textId="77777777" w:rsidR="0002061D" w:rsidRPr="0087737F" w:rsidRDefault="0002061D" w:rsidP="004663F1">
            <w:pPr>
              <w:pStyle w:val="NoSpacing"/>
              <w:rPr>
                <w:lang w:eastAsia="zh-CN"/>
              </w:rPr>
            </w:pPr>
            <w:r w:rsidRPr="0087737F">
              <w:rPr>
                <w:lang w:eastAsia="zh-CN"/>
              </w:rPr>
              <w:t xml:space="preserve">Total shoot </w:t>
            </w:r>
            <w:r w:rsidRPr="0087737F">
              <w:rPr>
                <w:vertAlign w:val="superscript"/>
                <w:lang w:eastAsia="zh-CN"/>
              </w:rPr>
              <w:t>15</w:t>
            </w:r>
            <w:r w:rsidRPr="0087737F">
              <w:rPr>
                <w:lang w:eastAsia="zh-CN"/>
              </w:rPr>
              <w:t xml:space="preserve"> N enrichment (</w:t>
            </w:r>
            <w:r w:rsidRPr="0087737F">
              <w:rPr>
                <w:rFonts w:eastAsia="SimSun" w:cs="Arial"/>
                <w:bCs/>
                <w:lang w:eastAsia="zh-CN"/>
              </w:rPr>
              <w:t>µg</w:t>
            </w:r>
            <w:r w:rsidRPr="0087737F">
              <w:rPr>
                <w:lang w:eastAsia="zh-CN"/>
              </w:rPr>
              <w:t>)</w:t>
            </w:r>
          </w:p>
        </w:tc>
        <w:tc>
          <w:tcPr>
            <w:tcW w:w="2126" w:type="dxa"/>
            <w:tcBorders>
              <w:top w:val="single" w:sz="4" w:space="0" w:color="auto"/>
            </w:tcBorders>
          </w:tcPr>
          <w:p w14:paraId="7DBE922A" w14:textId="77777777" w:rsidR="0002061D" w:rsidRPr="0087737F" w:rsidRDefault="0002061D" w:rsidP="004663F1">
            <w:pPr>
              <w:pStyle w:val="NoSpacing"/>
              <w:rPr>
                <w:lang w:eastAsia="zh-CN"/>
              </w:rPr>
            </w:pPr>
            <w:r w:rsidRPr="0087737F">
              <w:rPr>
                <w:lang w:eastAsia="zh-CN"/>
              </w:rPr>
              <w:t>16.23 ± 2.27</w:t>
            </w:r>
            <w:r w:rsidRPr="0087737F">
              <w:rPr>
                <w:b/>
                <w:vertAlign w:val="superscript"/>
                <w:lang w:eastAsia="zh-CN"/>
              </w:rPr>
              <w:t>b</w:t>
            </w:r>
            <w:r w:rsidRPr="0087737F">
              <w:rPr>
                <w:lang w:eastAsia="zh-CN"/>
              </w:rPr>
              <w:t xml:space="preserve">     </w:t>
            </w:r>
          </w:p>
        </w:tc>
        <w:tc>
          <w:tcPr>
            <w:tcW w:w="1843" w:type="dxa"/>
            <w:tcBorders>
              <w:top w:val="single" w:sz="4" w:space="0" w:color="auto"/>
            </w:tcBorders>
          </w:tcPr>
          <w:p w14:paraId="12FA426E" w14:textId="77777777" w:rsidR="0002061D" w:rsidRPr="0087737F" w:rsidRDefault="0002061D" w:rsidP="004663F1">
            <w:pPr>
              <w:pStyle w:val="NoSpacing"/>
              <w:rPr>
                <w:lang w:eastAsia="zh-CN"/>
              </w:rPr>
            </w:pPr>
            <w:r w:rsidRPr="0087737F">
              <w:rPr>
                <w:lang w:eastAsia="zh-CN"/>
              </w:rPr>
              <w:t>5.73 ± 2.02</w:t>
            </w:r>
            <w:r w:rsidRPr="0087737F">
              <w:rPr>
                <w:b/>
                <w:vertAlign w:val="superscript"/>
                <w:lang w:eastAsia="zh-CN"/>
              </w:rPr>
              <w:t>a</w:t>
            </w:r>
            <w:r w:rsidRPr="0087737F">
              <w:rPr>
                <w:lang w:eastAsia="zh-CN"/>
              </w:rPr>
              <w:t xml:space="preserve">     </w:t>
            </w:r>
          </w:p>
        </w:tc>
        <w:tc>
          <w:tcPr>
            <w:tcW w:w="1701" w:type="dxa"/>
            <w:tcBorders>
              <w:top w:val="single" w:sz="4" w:space="0" w:color="auto"/>
            </w:tcBorders>
          </w:tcPr>
          <w:p w14:paraId="25D34277" w14:textId="77777777" w:rsidR="0002061D" w:rsidRPr="0087737F" w:rsidRDefault="0002061D" w:rsidP="004663F1">
            <w:pPr>
              <w:pStyle w:val="NoSpacing"/>
              <w:rPr>
                <w:lang w:eastAsia="zh-CN"/>
              </w:rPr>
            </w:pPr>
            <w:r w:rsidRPr="0087737F">
              <w:rPr>
                <w:lang w:eastAsia="zh-CN"/>
              </w:rPr>
              <w:t>43.83 ± 7.24</w:t>
            </w:r>
            <w:r w:rsidRPr="0087737F">
              <w:rPr>
                <w:b/>
                <w:vertAlign w:val="superscript"/>
                <w:lang w:eastAsia="zh-CN"/>
              </w:rPr>
              <w:t>c</w:t>
            </w:r>
            <w:r w:rsidRPr="0087737F">
              <w:rPr>
                <w:lang w:eastAsia="zh-CN"/>
              </w:rPr>
              <w:t xml:space="preserve">  </w:t>
            </w:r>
          </w:p>
        </w:tc>
        <w:tc>
          <w:tcPr>
            <w:tcW w:w="284" w:type="dxa"/>
            <w:vMerge/>
            <w:tcBorders>
              <w:top w:val="single" w:sz="4" w:space="0" w:color="auto"/>
            </w:tcBorders>
          </w:tcPr>
          <w:p w14:paraId="34A9942A" w14:textId="77777777" w:rsidR="0002061D" w:rsidRPr="0087737F" w:rsidRDefault="0002061D" w:rsidP="004663F1">
            <w:pPr>
              <w:pStyle w:val="NoSpacing"/>
              <w:rPr>
                <w:lang w:eastAsia="zh-CN"/>
              </w:rPr>
            </w:pPr>
          </w:p>
        </w:tc>
        <w:tc>
          <w:tcPr>
            <w:tcW w:w="992" w:type="dxa"/>
            <w:tcBorders>
              <w:top w:val="single" w:sz="4" w:space="0" w:color="auto"/>
            </w:tcBorders>
          </w:tcPr>
          <w:p w14:paraId="68A5ED4A" w14:textId="77777777" w:rsidR="0002061D" w:rsidRPr="0087737F" w:rsidRDefault="0002061D" w:rsidP="004663F1">
            <w:pPr>
              <w:pStyle w:val="NoSpacing"/>
              <w:rPr>
                <w:lang w:eastAsia="zh-CN"/>
              </w:rPr>
            </w:pPr>
            <w:r w:rsidRPr="0087737F">
              <w:rPr>
                <w:lang w:eastAsia="zh-CN"/>
              </w:rPr>
              <w:t>2,27</w:t>
            </w:r>
          </w:p>
        </w:tc>
        <w:tc>
          <w:tcPr>
            <w:tcW w:w="992" w:type="dxa"/>
            <w:tcBorders>
              <w:top w:val="single" w:sz="4" w:space="0" w:color="auto"/>
            </w:tcBorders>
          </w:tcPr>
          <w:p w14:paraId="408D2E83" w14:textId="77777777" w:rsidR="0002061D" w:rsidRPr="0087737F" w:rsidRDefault="0002061D" w:rsidP="004663F1">
            <w:pPr>
              <w:pStyle w:val="NoSpacing"/>
              <w:rPr>
                <w:lang w:eastAsia="zh-CN"/>
              </w:rPr>
            </w:pPr>
            <w:r w:rsidRPr="0087737F">
              <w:rPr>
                <w:lang w:eastAsia="zh-CN"/>
              </w:rPr>
              <w:t>22.05</w:t>
            </w:r>
          </w:p>
        </w:tc>
        <w:tc>
          <w:tcPr>
            <w:tcW w:w="1497" w:type="dxa"/>
            <w:tcBorders>
              <w:top w:val="single" w:sz="4" w:space="0" w:color="auto"/>
            </w:tcBorders>
          </w:tcPr>
          <w:p w14:paraId="033E3062" w14:textId="77777777" w:rsidR="0002061D" w:rsidRPr="0087737F" w:rsidRDefault="0002061D" w:rsidP="004663F1">
            <w:pPr>
              <w:pStyle w:val="NoSpacing"/>
              <w:rPr>
                <w:b/>
                <w:lang w:eastAsia="zh-CN"/>
              </w:rPr>
            </w:pPr>
            <w:r w:rsidRPr="0087737F">
              <w:rPr>
                <w:b/>
                <w:lang w:eastAsia="zh-CN"/>
              </w:rPr>
              <w:t>&lt;0.001</w:t>
            </w:r>
          </w:p>
        </w:tc>
      </w:tr>
      <w:tr w:rsidR="00B310A3" w:rsidRPr="0087737F" w14:paraId="2CD4BE97" w14:textId="77777777" w:rsidTr="004663F1">
        <w:trPr>
          <w:trHeight w:val="20"/>
        </w:trPr>
        <w:tc>
          <w:tcPr>
            <w:tcW w:w="4219" w:type="dxa"/>
          </w:tcPr>
          <w:p w14:paraId="4B5FC7C6" w14:textId="77777777" w:rsidR="0002061D" w:rsidRPr="0087737F" w:rsidRDefault="0002061D" w:rsidP="004663F1">
            <w:pPr>
              <w:pStyle w:val="NoSpacing"/>
              <w:rPr>
                <w:lang w:eastAsia="zh-CN"/>
              </w:rPr>
            </w:pPr>
            <w:r w:rsidRPr="0087737F">
              <w:rPr>
                <w:lang w:eastAsia="zh-CN"/>
              </w:rPr>
              <w:t xml:space="preserve">Stem and leaf </w:t>
            </w:r>
            <w:r w:rsidRPr="0087737F">
              <w:rPr>
                <w:vertAlign w:val="superscript"/>
                <w:lang w:eastAsia="zh-CN"/>
              </w:rPr>
              <w:t>15</w:t>
            </w:r>
            <w:r w:rsidRPr="0087737F">
              <w:rPr>
                <w:lang w:eastAsia="zh-CN"/>
              </w:rPr>
              <w:t xml:space="preserve"> N enrichment (</w:t>
            </w:r>
            <w:r w:rsidRPr="0087737F">
              <w:rPr>
                <w:rFonts w:eastAsia="SimSun" w:cs="Arial"/>
                <w:bCs/>
                <w:lang w:eastAsia="zh-CN"/>
              </w:rPr>
              <w:t>µg</w:t>
            </w:r>
            <w:r w:rsidRPr="0087737F">
              <w:rPr>
                <w:lang w:eastAsia="zh-CN"/>
              </w:rPr>
              <w:t>)</w:t>
            </w:r>
          </w:p>
        </w:tc>
        <w:tc>
          <w:tcPr>
            <w:tcW w:w="2126" w:type="dxa"/>
          </w:tcPr>
          <w:p w14:paraId="347FD6E8" w14:textId="77777777" w:rsidR="0002061D" w:rsidRPr="0087737F" w:rsidRDefault="0002061D" w:rsidP="004663F1">
            <w:pPr>
              <w:pStyle w:val="NoSpacing"/>
              <w:rPr>
                <w:lang w:eastAsia="zh-CN"/>
              </w:rPr>
            </w:pPr>
            <w:r w:rsidRPr="0087737F">
              <w:rPr>
                <w:lang w:eastAsia="zh-CN"/>
              </w:rPr>
              <w:t>1.87 ± 0.30</w:t>
            </w:r>
            <w:r w:rsidRPr="0087737F">
              <w:rPr>
                <w:b/>
                <w:vertAlign w:val="superscript"/>
                <w:lang w:eastAsia="zh-CN"/>
              </w:rPr>
              <w:t>b</w:t>
            </w:r>
          </w:p>
        </w:tc>
        <w:tc>
          <w:tcPr>
            <w:tcW w:w="1843" w:type="dxa"/>
          </w:tcPr>
          <w:p w14:paraId="276440A0" w14:textId="77777777" w:rsidR="0002061D" w:rsidRPr="0087737F" w:rsidRDefault="0002061D" w:rsidP="004663F1">
            <w:pPr>
              <w:pStyle w:val="NoSpacing"/>
              <w:rPr>
                <w:lang w:eastAsia="zh-CN"/>
              </w:rPr>
            </w:pPr>
            <w:r w:rsidRPr="0087737F">
              <w:rPr>
                <w:lang w:eastAsia="zh-CN"/>
              </w:rPr>
              <w:t>0.71 ± 0.25</w:t>
            </w:r>
            <w:r w:rsidRPr="0087737F">
              <w:rPr>
                <w:b/>
                <w:vertAlign w:val="superscript"/>
                <w:lang w:eastAsia="zh-CN"/>
              </w:rPr>
              <w:t>a</w:t>
            </w:r>
          </w:p>
        </w:tc>
        <w:tc>
          <w:tcPr>
            <w:tcW w:w="1701" w:type="dxa"/>
          </w:tcPr>
          <w:p w14:paraId="4C0FF265" w14:textId="77777777" w:rsidR="0002061D" w:rsidRPr="0087737F" w:rsidRDefault="0002061D" w:rsidP="004663F1">
            <w:pPr>
              <w:pStyle w:val="NoSpacing"/>
              <w:rPr>
                <w:lang w:eastAsia="zh-CN"/>
              </w:rPr>
            </w:pPr>
            <w:r w:rsidRPr="0087737F">
              <w:rPr>
                <w:lang w:eastAsia="zh-CN"/>
              </w:rPr>
              <w:t>6.77 ± 3.05</w:t>
            </w:r>
            <w:r w:rsidRPr="0087737F">
              <w:rPr>
                <w:b/>
                <w:vertAlign w:val="superscript"/>
                <w:lang w:eastAsia="zh-CN"/>
              </w:rPr>
              <w:t>b</w:t>
            </w:r>
          </w:p>
        </w:tc>
        <w:tc>
          <w:tcPr>
            <w:tcW w:w="284" w:type="dxa"/>
            <w:vMerge/>
          </w:tcPr>
          <w:p w14:paraId="1AD2F658" w14:textId="77777777" w:rsidR="0002061D" w:rsidRPr="0087737F" w:rsidRDefault="0002061D" w:rsidP="004663F1">
            <w:pPr>
              <w:pStyle w:val="NoSpacing"/>
              <w:rPr>
                <w:lang w:eastAsia="zh-CN"/>
              </w:rPr>
            </w:pPr>
          </w:p>
        </w:tc>
        <w:tc>
          <w:tcPr>
            <w:tcW w:w="992" w:type="dxa"/>
          </w:tcPr>
          <w:p w14:paraId="2A4145CB" w14:textId="77777777" w:rsidR="0002061D" w:rsidRPr="0087737F" w:rsidRDefault="0002061D" w:rsidP="004663F1">
            <w:pPr>
              <w:pStyle w:val="NoSpacing"/>
              <w:rPr>
                <w:lang w:eastAsia="zh-CN"/>
              </w:rPr>
            </w:pPr>
            <w:r w:rsidRPr="0087737F">
              <w:rPr>
                <w:lang w:eastAsia="zh-CN"/>
              </w:rPr>
              <w:t xml:space="preserve">2,27  </w:t>
            </w:r>
          </w:p>
        </w:tc>
        <w:tc>
          <w:tcPr>
            <w:tcW w:w="992" w:type="dxa"/>
          </w:tcPr>
          <w:p w14:paraId="251F3C96" w14:textId="77777777" w:rsidR="0002061D" w:rsidRPr="0087737F" w:rsidRDefault="0002061D" w:rsidP="004663F1">
            <w:pPr>
              <w:pStyle w:val="NoSpacing"/>
              <w:rPr>
                <w:lang w:eastAsia="zh-CN"/>
              </w:rPr>
            </w:pPr>
            <w:r w:rsidRPr="0087737F">
              <w:rPr>
                <w:lang w:eastAsia="zh-CN"/>
              </w:rPr>
              <w:t>13.90</w:t>
            </w:r>
          </w:p>
        </w:tc>
        <w:tc>
          <w:tcPr>
            <w:tcW w:w="1497" w:type="dxa"/>
          </w:tcPr>
          <w:p w14:paraId="3A64170A" w14:textId="77777777" w:rsidR="0002061D" w:rsidRPr="0087737F" w:rsidRDefault="0002061D" w:rsidP="004663F1">
            <w:pPr>
              <w:pStyle w:val="NoSpacing"/>
              <w:rPr>
                <w:b/>
                <w:lang w:eastAsia="zh-CN"/>
              </w:rPr>
            </w:pPr>
            <w:r w:rsidRPr="0087737F">
              <w:rPr>
                <w:b/>
                <w:lang w:eastAsia="zh-CN"/>
              </w:rPr>
              <w:t>&lt;0.001</w:t>
            </w:r>
          </w:p>
        </w:tc>
      </w:tr>
      <w:tr w:rsidR="00B310A3" w:rsidRPr="0087737F" w14:paraId="564A7024" w14:textId="77777777" w:rsidTr="004663F1">
        <w:trPr>
          <w:trHeight w:val="20"/>
        </w:trPr>
        <w:tc>
          <w:tcPr>
            <w:tcW w:w="4219" w:type="dxa"/>
          </w:tcPr>
          <w:p w14:paraId="78A0662B" w14:textId="77777777" w:rsidR="0002061D" w:rsidRPr="0087737F" w:rsidRDefault="0002061D" w:rsidP="004663F1">
            <w:pPr>
              <w:pStyle w:val="NoSpacing"/>
              <w:rPr>
                <w:lang w:eastAsia="zh-CN"/>
              </w:rPr>
            </w:pPr>
            <w:r w:rsidRPr="0087737F">
              <w:rPr>
                <w:lang w:eastAsia="zh-CN"/>
              </w:rPr>
              <w:t>Stem and leaf N derived from patch (%)</w:t>
            </w:r>
          </w:p>
        </w:tc>
        <w:tc>
          <w:tcPr>
            <w:tcW w:w="2126" w:type="dxa"/>
          </w:tcPr>
          <w:p w14:paraId="3C7C6C1E" w14:textId="77777777" w:rsidR="0002061D" w:rsidRPr="0087737F" w:rsidRDefault="0002061D" w:rsidP="004663F1">
            <w:pPr>
              <w:pStyle w:val="NoSpacing"/>
              <w:rPr>
                <w:lang w:eastAsia="zh-CN"/>
              </w:rPr>
            </w:pPr>
            <w:r w:rsidRPr="0087737F">
              <w:rPr>
                <w:lang w:eastAsia="zh-CN"/>
              </w:rPr>
              <w:t>1.88 ± 0.35</w:t>
            </w:r>
            <w:r w:rsidRPr="0087737F">
              <w:rPr>
                <w:b/>
                <w:vertAlign w:val="superscript"/>
                <w:lang w:eastAsia="zh-CN"/>
              </w:rPr>
              <w:t>ab</w:t>
            </w:r>
          </w:p>
        </w:tc>
        <w:tc>
          <w:tcPr>
            <w:tcW w:w="1843" w:type="dxa"/>
          </w:tcPr>
          <w:p w14:paraId="0C4C9557" w14:textId="77777777" w:rsidR="0002061D" w:rsidRPr="0087737F" w:rsidRDefault="0002061D" w:rsidP="004663F1">
            <w:pPr>
              <w:pStyle w:val="NoSpacing"/>
              <w:rPr>
                <w:lang w:eastAsia="zh-CN"/>
              </w:rPr>
            </w:pPr>
            <w:r w:rsidRPr="0087737F">
              <w:rPr>
                <w:lang w:eastAsia="zh-CN"/>
              </w:rPr>
              <w:t>0.89 ± 0.30</w:t>
            </w:r>
            <w:r w:rsidRPr="0087737F">
              <w:rPr>
                <w:b/>
                <w:vertAlign w:val="superscript"/>
                <w:lang w:eastAsia="zh-CN"/>
              </w:rPr>
              <w:t>a</w:t>
            </w:r>
          </w:p>
        </w:tc>
        <w:tc>
          <w:tcPr>
            <w:tcW w:w="1701" w:type="dxa"/>
          </w:tcPr>
          <w:p w14:paraId="7109E74B" w14:textId="77777777" w:rsidR="0002061D" w:rsidRPr="0087737F" w:rsidRDefault="0002061D" w:rsidP="004663F1">
            <w:pPr>
              <w:pStyle w:val="NoSpacing"/>
              <w:rPr>
                <w:lang w:eastAsia="zh-CN"/>
              </w:rPr>
            </w:pPr>
            <w:r w:rsidRPr="0087737F">
              <w:rPr>
                <w:lang w:eastAsia="zh-CN"/>
              </w:rPr>
              <w:t>4.12 ± 0.73</w:t>
            </w:r>
            <w:r w:rsidRPr="0087737F">
              <w:rPr>
                <w:b/>
                <w:vertAlign w:val="superscript"/>
                <w:lang w:eastAsia="zh-CN"/>
              </w:rPr>
              <w:t>b</w:t>
            </w:r>
          </w:p>
        </w:tc>
        <w:tc>
          <w:tcPr>
            <w:tcW w:w="284" w:type="dxa"/>
            <w:vMerge/>
          </w:tcPr>
          <w:p w14:paraId="23FB2D65" w14:textId="77777777" w:rsidR="0002061D" w:rsidRPr="0087737F" w:rsidRDefault="0002061D" w:rsidP="004663F1">
            <w:pPr>
              <w:pStyle w:val="NoSpacing"/>
              <w:rPr>
                <w:lang w:eastAsia="zh-CN"/>
              </w:rPr>
            </w:pPr>
          </w:p>
        </w:tc>
        <w:tc>
          <w:tcPr>
            <w:tcW w:w="992" w:type="dxa"/>
          </w:tcPr>
          <w:p w14:paraId="76094CFC" w14:textId="77777777" w:rsidR="0002061D" w:rsidRPr="0087737F" w:rsidRDefault="0002061D" w:rsidP="004663F1">
            <w:pPr>
              <w:pStyle w:val="NoSpacing"/>
              <w:rPr>
                <w:lang w:eastAsia="zh-CN"/>
              </w:rPr>
            </w:pPr>
            <w:r w:rsidRPr="0087737F">
              <w:rPr>
                <w:lang w:eastAsia="zh-CN"/>
              </w:rPr>
              <w:t>2,27</w:t>
            </w:r>
          </w:p>
        </w:tc>
        <w:tc>
          <w:tcPr>
            <w:tcW w:w="992" w:type="dxa"/>
          </w:tcPr>
          <w:p w14:paraId="5DDB62D2" w14:textId="77777777" w:rsidR="0002061D" w:rsidRPr="0087737F" w:rsidRDefault="0002061D" w:rsidP="004663F1">
            <w:pPr>
              <w:pStyle w:val="NoSpacing"/>
              <w:rPr>
                <w:lang w:eastAsia="zh-CN"/>
              </w:rPr>
            </w:pPr>
            <w:r w:rsidRPr="0087737F">
              <w:rPr>
                <w:lang w:eastAsia="zh-CN"/>
              </w:rPr>
              <w:t>11.32</w:t>
            </w:r>
          </w:p>
        </w:tc>
        <w:tc>
          <w:tcPr>
            <w:tcW w:w="1497" w:type="dxa"/>
          </w:tcPr>
          <w:p w14:paraId="446AF51F" w14:textId="77777777" w:rsidR="0002061D" w:rsidRPr="0087737F" w:rsidRDefault="0002061D" w:rsidP="004663F1">
            <w:pPr>
              <w:pStyle w:val="NoSpacing"/>
              <w:rPr>
                <w:b/>
                <w:lang w:eastAsia="zh-CN"/>
              </w:rPr>
            </w:pPr>
            <w:r w:rsidRPr="0087737F">
              <w:rPr>
                <w:b/>
                <w:lang w:eastAsia="zh-CN"/>
              </w:rPr>
              <w:t>&lt;0.001</w:t>
            </w:r>
          </w:p>
        </w:tc>
      </w:tr>
      <w:tr w:rsidR="00B310A3" w:rsidRPr="0087737F" w14:paraId="6B35B29B" w14:textId="77777777" w:rsidTr="004663F1">
        <w:trPr>
          <w:trHeight w:val="20"/>
        </w:trPr>
        <w:tc>
          <w:tcPr>
            <w:tcW w:w="4219" w:type="dxa"/>
          </w:tcPr>
          <w:p w14:paraId="00BCF2AB" w14:textId="77777777" w:rsidR="0002061D" w:rsidRPr="0087737F" w:rsidRDefault="0002061D" w:rsidP="004663F1">
            <w:pPr>
              <w:pStyle w:val="NoSpacing"/>
              <w:rPr>
                <w:lang w:eastAsia="zh-CN"/>
              </w:rPr>
            </w:pPr>
            <w:r w:rsidRPr="0087737F">
              <w:rPr>
                <w:lang w:eastAsia="zh-CN"/>
              </w:rPr>
              <w:t xml:space="preserve">Grain </w:t>
            </w:r>
            <w:r w:rsidRPr="0087737F">
              <w:rPr>
                <w:vertAlign w:val="superscript"/>
                <w:lang w:eastAsia="zh-CN"/>
              </w:rPr>
              <w:t>15</w:t>
            </w:r>
            <w:r w:rsidRPr="0087737F">
              <w:rPr>
                <w:lang w:eastAsia="zh-CN"/>
              </w:rPr>
              <w:t xml:space="preserve"> N enrichment (</w:t>
            </w:r>
            <w:r w:rsidRPr="0087737F">
              <w:rPr>
                <w:rFonts w:eastAsia="SimSun" w:cs="Arial"/>
                <w:bCs/>
                <w:lang w:eastAsia="zh-CN"/>
              </w:rPr>
              <w:t>µg</w:t>
            </w:r>
            <w:r w:rsidRPr="0087737F">
              <w:rPr>
                <w:lang w:eastAsia="zh-CN"/>
              </w:rPr>
              <w:t>)</w:t>
            </w:r>
          </w:p>
        </w:tc>
        <w:tc>
          <w:tcPr>
            <w:tcW w:w="2126" w:type="dxa"/>
          </w:tcPr>
          <w:p w14:paraId="6BB63893" w14:textId="77777777" w:rsidR="0002061D" w:rsidRPr="0087737F" w:rsidRDefault="0002061D" w:rsidP="004663F1">
            <w:pPr>
              <w:pStyle w:val="NoSpacing"/>
              <w:rPr>
                <w:lang w:eastAsia="zh-CN"/>
              </w:rPr>
            </w:pPr>
            <w:r w:rsidRPr="0087737F">
              <w:rPr>
                <w:lang w:eastAsia="zh-CN"/>
              </w:rPr>
              <w:t>14.36 ± 2.15</w:t>
            </w:r>
            <w:r w:rsidRPr="0087737F">
              <w:rPr>
                <w:b/>
                <w:vertAlign w:val="superscript"/>
                <w:lang w:eastAsia="zh-CN"/>
              </w:rPr>
              <w:t>a</w:t>
            </w:r>
          </w:p>
        </w:tc>
        <w:tc>
          <w:tcPr>
            <w:tcW w:w="1843" w:type="dxa"/>
          </w:tcPr>
          <w:p w14:paraId="48A550EB" w14:textId="77777777" w:rsidR="0002061D" w:rsidRPr="0087737F" w:rsidRDefault="0002061D" w:rsidP="004663F1">
            <w:pPr>
              <w:pStyle w:val="NoSpacing"/>
              <w:rPr>
                <w:lang w:eastAsia="zh-CN"/>
              </w:rPr>
            </w:pPr>
            <w:r w:rsidRPr="0087737F">
              <w:rPr>
                <w:lang w:eastAsia="zh-CN"/>
              </w:rPr>
              <w:t>5.02 ± 1.97</w:t>
            </w:r>
            <w:r w:rsidRPr="0087737F">
              <w:rPr>
                <w:b/>
                <w:vertAlign w:val="superscript"/>
                <w:lang w:eastAsia="zh-CN"/>
              </w:rPr>
              <w:t>a</w:t>
            </w:r>
          </w:p>
        </w:tc>
        <w:tc>
          <w:tcPr>
            <w:tcW w:w="1701" w:type="dxa"/>
          </w:tcPr>
          <w:p w14:paraId="091E33F2" w14:textId="77777777" w:rsidR="0002061D" w:rsidRPr="0087737F" w:rsidRDefault="0002061D" w:rsidP="004663F1">
            <w:pPr>
              <w:pStyle w:val="NoSpacing"/>
              <w:rPr>
                <w:lang w:eastAsia="zh-CN"/>
              </w:rPr>
            </w:pPr>
            <w:r w:rsidRPr="0087737F">
              <w:rPr>
                <w:lang w:eastAsia="zh-CN"/>
              </w:rPr>
              <w:t>37.06 ± 5.28</w:t>
            </w:r>
            <w:r w:rsidRPr="0087737F">
              <w:rPr>
                <w:b/>
                <w:vertAlign w:val="superscript"/>
                <w:lang w:eastAsia="zh-CN"/>
              </w:rPr>
              <w:t>b</w:t>
            </w:r>
          </w:p>
        </w:tc>
        <w:tc>
          <w:tcPr>
            <w:tcW w:w="284" w:type="dxa"/>
            <w:vMerge/>
          </w:tcPr>
          <w:p w14:paraId="66BB85F5" w14:textId="77777777" w:rsidR="0002061D" w:rsidRPr="0087737F" w:rsidRDefault="0002061D" w:rsidP="004663F1">
            <w:pPr>
              <w:pStyle w:val="NoSpacing"/>
              <w:rPr>
                <w:lang w:eastAsia="zh-CN"/>
              </w:rPr>
            </w:pPr>
          </w:p>
        </w:tc>
        <w:tc>
          <w:tcPr>
            <w:tcW w:w="992" w:type="dxa"/>
          </w:tcPr>
          <w:p w14:paraId="430EE6F0" w14:textId="77777777" w:rsidR="0002061D" w:rsidRPr="0087737F" w:rsidRDefault="0002061D" w:rsidP="004663F1">
            <w:pPr>
              <w:pStyle w:val="NoSpacing"/>
              <w:rPr>
                <w:lang w:eastAsia="zh-CN"/>
              </w:rPr>
            </w:pPr>
            <w:r w:rsidRPr="0087737F">
              <w:rPr>
                <w:lang w:eastAsia="zh-CN"/>
              </w:rPr>
              <w:t>2,27</w:t>
            </w:r>
          </w:p>
        </w:tc>
        <w:tc>
          <w:tcPr>
            <w:tcW w:w="992" w:type="dxa"/>
          </w:tcPr>
          <w:p w14:paraId="2DBE6459" w14:textId="77777777" w:rsidR="0002061D" w:rsidRPr="0087737F" w:rsidRDefault="0002061D" w:rsidP="004663F1">
            <w:pPr>
              <w:pStyle w:val="NoSpacing"/>
              <w:rPr>
                <w:lang w:eastAsia="zh-CN"/>
              </w:rPr>
            </w:pPr>
            <w:r w:rsidRPr="0087737F">
              <w:rPr>
                <w:lang w:eastAsia="zh-CN"/>
              </w:rPr>
              <w:t>22.36</w:t>
            </w:r>
          </w:p>
        </w:tc>
        <w:tc>
          <w:tcPr>
            <w:tcW w:w="1497" w:type="dxa"/>
          </w:tcPr>
          <w:p w14:paraId="7C1C7808" w14:textId="77777777" w:rsidR="0002061D" w:rsidRPr="0087737F" w:rsidRDefault="0002061D" w:rsidP="004663F1">
            <w:pPr>
              <w:pStyle w:val="NoSpacing"/>
              <w:rPr>
                <w:b/>
                <w:lang w:eastAsia="zh-CN"/>
              </w:rPr>
            </w:pPr>
            <w:r w:rsidRPr="0087737F">
              <w:rPr>
                <w:b/>
                <w:lang w:eastAsia="zh-CN"/>
              </w:rPr>
              <w:t>&lt;0.001</w:t>
            </w:r>
          </w:p>
        </w:tc>
      </w:tr>
      <w:tr w:rsidR="0002061D" w:rsidRPr="00B310A3" w14:paraId="57E9FBFE" w14:textId="77777777" w:rsidTr="004663F1">
        <w:trPr>
          <w:trHeight w:val="20"/>
        </w:trPr>
        <w:tc>
          <w:tcPr>
            <w:tcW w:w="4219" w:type="dxa"/>
          </w:tcPr>
          <w:p w14:paraId="0611CD23" w14:textId="77777777" w:rsidR="0002061D" w:rsidRPr="0087737F" w:rsidRDefault="0002061D" w:rsidP="004663F1">
            <w:pPr>
              <w:pStyle w:val="NoSpacing"/>
              <w:rPr>
                <w:lang w:eastAsia="zh-CN"/>
              </w:rPr>
            </w:pPr>
            <w:r w:rsidRPr="0087737F">
              <w:rPr>
                <w:lang w:eastAsia="zh-CN"/>
              </w:rPr>
              <w:t xml:space="preserve">Aphid </w:t>
            </w:r>
            <w:r w:rsidRPr="0087737F">
              <w:rPr>
                <w:vertAlign w:val="superscript"/>
                <w:lang w:eastAsia="zh-CN"/>
              </w:rPr>
              <w:t>15</w:t>
            </w:r>
            <w:r w:rsidRPr="0087737F">
              <w:rPr>
                <w:lang w:eastAsia="zh-CN"/>
              </w:rPr>
              <w:t xml:space="preserve"> N enrichment (ng)</w:t>
            </w:r>
          </w:p>
        </w:tc>
        <w:tc>
          <w:tcPr>
            <w:tcW w:w="2126" w:type="dxa"/>
          </w:tcPr>
          <w:p w14:paraId="73F76FAF" w14:textId="77777777" w:rsidR="0002061D" w:rsidRPr="0087737F" w:rsidRDefault="0002061D" w:rsidP="004663F1">
            <w:pPr>
              <w:pStyle w:val="NoSpacing"/>
              <w:rPr>
                <w:lang w:eastAsia="zh-CN"/>
              </w:rPr>
            </w:pPr>
            <w:r w:rsidRPr="0087737F">
              <w:rPr>
                <w:lang w:eastAsia="zh-CN"/>
              </w:rPr>
              <w:t>0.50 ± 0.12</w:t>
            </w:r>
            <w:r w:rsidRPr="0087737F">
              <w:rPr>
                <w:b/>
                <w:vertAlign w:val="superscript"/>
                <w:lang w:eastAsia="zh-CN"/>
              </w:rPr>
              <w:t>a</w:t>
            </w:r>
          </w:p>
        </w:tc>
        <w:tc>
          <w:tcPr>
            <w:tcW w:w="1843" w:type="dxa"/>
          </w:tcPr>
          <w:p w14:paraId="768480B6" w14:textId="77777777" w:rsidR="0002061D" w:rsidRPr="0087737F" w:rsidRDefault="0002061D" w:rsidP="004663F1">
            <w:pPr>
              <w:pStyle w:val="NoSpacing"/>
              <w:rPr>
                <w:lang w:eastAsia="zh-CN"/>
              </w:rPr>
            </w:pPr>
            <w:r w:rsidRPr="0087737F">
              <w:rPr>
                <w:lang w:eastAsia="zh-CN"/>
              </w:rPr>
              <w:t>0.45 ± 0.18</w:t>
            </w:r>
            <w:r w:rsidRPr="0087737F">
              <w:rPr>
                <w:b/>
                <w:vertAlign w:val="superscript"/>
                <w:lang w:eastAsia="zh-CN"/>
              </w:rPr>
              <w:t>a</w:t>
            </w:r>
          </w:p>
        </w:tc>
        <w:tc>
          <w:tcPr>
            <w:tcW w:w="1701" w:type="dxa"/>
          </w:tcPr>
          <w:p w14:paraId="544AB4EF" w14:textId="77777777" w:rsidR="0002061D" w:rsidRPr="0087737F" w:rsidRDefault="0002061D" w:rsidP="004663F1">
            <w:pPr>
              <w:pStyle w:val="NoSpacing"/>
              <w:rPr>
                <w:lang w:eastAsia="zh-CN"/>
              </w:rPr>
            </w:pPr>
            <w:r w:rsidRPr="0087737F">
              <w:rPr>
                <w:lang w:eastAsia="zh-CN"/>
              </w:rPr>
              <w:t>1.36 ± 0.28</w:t>
            </w:r>
            <w:r w:rsidRPr="0087737F">
              <w:rPr>
                <w:b/>
                <w:vertAlign w:val="superscript"/>
                <w:lang w:eastAsia="zh-CN"/>
              </w:rPr>
              <w:t>b</w:t>
            </w:r>
          </w:p>
        </w:tc>
        <w:tc>
          <w:tcPr>
            <w:tcW w:w="284" w:type="dxa"/>
            <w:vMerge/>
          </w:tcPr>
          <w:p w14:paraId="510C278A" w14:textId="77777777" w:rsidR="0002061D" w:rsidRPr="0087737F" w:rsidRDefault="0002061D" w:rsidP="004663F1">
            <w:pPr>
              <w:pStyle w:val="NoSpacing"/>
              <w:rPr>
                <w:lang w:eastAsia="zh-CN"/>
              </w:rPr>
            </w:pPr>
          </w:p>
        </w:tc>
        <w:tc>
          <w:tcPr>
            <w:tcW w:w="992" w:type="dxa"/>
          </w:tcPr>
          <w:p w14:paraId="5A55B67E" w14:textId="77777777" w:rsidR="0002061D" w:rsidRPr="0087737F" w:rsidRDefault="0002061D" w:rsidP="004663F1">
            <w:pPr>
              <w:pStyle w:val="NoSpacing"/>
              <w:rPr>
                <w:lang w:eastAsia="zh-CN"/>
              </w:rPr>
            </w:pPr>
            <w:r w:rsidRPr="0087737F">
              <w:rPr>
                <w:lang w:eastAsia="zh-CN"/>
              </w:rPr>
              <w:t>2,18</w:t>
            </w:r>
          </w:p>
        </w:tc>
        <w:tc>
          <w:tcPr>
            <w:tcW w:w="992" w:type="dxa"/>
          </w:tcPr>
          <w:p w14:paraId="2546E60D" w14:textId="77777777" w:rsidR="0002061D" w:rsidRPr="0087737F" w:rsidRDefault="0002061D" w:rsidP="004663F1">
            <w:pPr>
              <w:pStyle w:val="NoSpacing"/>
              <w:rPr>
                <w:lang w:eastAsia="zh-CN"/>
              </w:rPr>
            </w:pPr>
            <w:r w:rsidRPr="0087737F">
              <w:rPr>
                <w:lang w:eastAsia="zh-CN"/>
              </w:rPr>
              <w:t>11.68</w:t>
            </w:r>
          </w:p>
        </w:tc>
        <w:tc>
          <w:tcPr>
            <w:tcW w:w="1497" w:type="dxa"/>
          </w:tcPr>
          <w:p w14:paraId="2BF4583E" w14:textId="77777777" w:rsidR="0002061D" w:rsidRPr="00B310A3" w:rsidRDefault="0002061D" w:rsidP="004663F1">
            <w:pPr>
              <w:pStyle w:val="NoSpacing"/>
              <w:rPr>
                <w:b/>
                <w:lang w:eastAsia="zh-CN"/>
              </w:rPr>
            </w:pPr>
            <w:r w:rsidRPr="0087737F">
              <w:rPr>
                <w:b/>
                <w:lang w:eastAsia="zh-CN"/>
              </w:rPr>
              <w:t>&lt;0.001</w:t>
            </w:r>
          </w:p>
        </w:tc>
      </w:tr>
    </w:tbl>
    <w:p w14:paraId="46752553" w14:textId="77777777" w:rsidR="0002061D" w:rsidRPr="00B310A3" w:rsidRDefault="0002061D" w:rsidP="004663F1">
      <w:pPr>
        <w:spacing w:before="120" w:after="240"/>
        <w:rPr>
          <w:rFonts w:cs="Arial"/>
        </w:rPr>
      </w:pPr>
    </w:p>
    <w:p w14:paraId="1725CA21" w14:textId="77777777" w:rsidR="0002061D" w:rsidRPr="00B310A3" w:rsidRDefault="0002061D" w:rsidP="004663F1">
      <w:pPr>
        <w:spacing w:before="120" w:after="240"/>
        <w:rPr>
          <w:rFonts w:cs="Arial"/>
        </w:rPr>
      </w:pPr>
    </w:p>
    <w:p w14:paraId="1FC819D3" w14:textId="77777777" w:rsidR="005D0722" w:rsidRPr="00B310A3" w:rsidRDefault="005D0722"/>
    <w:sectPr w:rsidR="005D0722" w:rsidRPr="00B310A3" w:rsidSect="004663F1">
      <w:pgSz w:w="16840" w:h="11907" w:orient="landscape" w:code="9"/>
      <w:pgMar w:top="1440" w:right="1440" w:bottom="1440" w:left="144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E2875" w14:textId="77777777" w:rsidR="00DC5C6C" w:rsidRDefault="00DC5C6C">
      <w:pPr>
        <w:spacing w:after="0" w:line="240" w:lineRule="auto"/>
      </w:pPr>
      <w:r>
        <w:separator/>
      </w:r>
    </w:p>
  </w:endnote>
  <w:endnote w:type="continuationSeparator" w:id="0">
    <w:p w14:paraId="758880FF" w14:textId="77777777" w:rsidR="00DC5C6C" w:rsidRDefault="00DC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04820"/>
      <w:docPartObj>
        <w:docPartGallery w:val="Page Numbers (Bottom of Page)"/>
        <w:docPartUnique/>
      </w:docPartObj>
    </w:sdtPr>
    <w:sdtEndPr>
      <w:rPr>
        <w:noProof/>
      </w:rPr>
    </w:sdtEndPr>
    <w:sdtContent>
      <w:p w14:paraId="075714AD" w14:textId="576766C3" w:rsidR="00C432AE" w:rsidRDefault="00C432AE">
        <w:pPr>
          <w:pStyle w:val="Footer"/>
          <w:jc w:val="right"/>
        </w:pPr>
        <w:r>
          <w:fldChar w:fldCharType="begin"/>
        </w:r>
        <w:r>
          <w:instrText xml:space="preserve"> PAGE   \* MERGEFORMAT </w:instrText>
        </w:r>
        <w:r>
          <w:fldChar w:fldCharType="separate"/>
        </w:r>
        <w:r w:rsidR="00692F5B">
          <w:rPr>
            <w:noProof/>
          </w:rPr>
          <w:t>1</w:t>
        </w:r>
        <w:r>
          <w:rPr>
            <w:noProof/>
          </w:rPr>
          <w:fldChar w:fldCharType="end"/>
        </w:r>
      </w:p>
    </w:sdtContent>
  </w:sdt>
  <w:p w14:paraId="32C0D3C4" w14:textId="77777777" w:rsidR="00C432AE" w:rsidRDefault="00C4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9CA79" w14:textId="77777777" w:rsidR="00DC5C6C" w:rsidRDefault="00DC5C6C">
      <w:pPr>
        <w:spacing w:after="0" w:line="240" w:lineRule="auto"/>
      </w:pPr>
      <w:r>
        <w:separator/>
      </w:r>
    </w:p>
  </w:footnote>
  <w:footnote w:type="continuationSeparator" w:id="0">
    <w:p w14:paraId="128A1C2D" w14:textId="77777777" w:rsidR="00DC5C6C" w:rsidRDefault="00DC5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1343"/>
    <w:multiLevelType w:val="hybridMultilevel"/>
    <w:tmpl w:val="31CEFB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663C2E"/>
    <w:multiLevelType w:val="hybridMultilevel"/>
    <w:tmpl w:val="F956DAA6"/>
    <w:lvl w:ilvl="0" w:tplc="C17A0FA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E63C51"/>
    <w:multiLevelType w:val="hybridMultilevel"/>
    <w:tmpl w:val="46CEA840"/>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3" w15:restartNumberingAfterBreak="0">
    <w:nsid w:val="1E8F1B77"/>
    <w:multiLevelType w:val="hybridMultilevel"/>
    <w:tmpl w:val="D2185A56"/>
    <w:lvl w:ilvl="0" w:tplc="1809000F">
      <w:start w:val="1"/>
      <w:numFmt w:val="decimal"/>
      <w:lvlText w:val="%1."/>
      <w:lvlJc w:val="left"/>
      <w:pPr>
        <w:ind w:left="7200" w:hanging="360"/>
      </w:pPr>
    </w:lvl>
    <w:lvl w:ilvl="1" w:tplc="18090019" w:tentative="1">
      <w:start w:val="1"/>
      <w:numFmt w:val="lowerLetter"/>
      <w:lvlText w:val="%2."/>
      <w:lvlJc w:val="left"/>
      <w:pPr>
        <w:ind w:left="7920" w:hanging="360"/>
      </w:pPr>
    </w:lvl>
    <w:lvl w:ilvl="2" w:tplc="1809001B" w:tentative="1">
      <w:start w:val="1"/>
      <w:numFmt w:val="lowerRoman"/>
      <w:lvlText w:val="%3."/>
      <w:lvlJc w:val="right"/>
      <w:pPr>
        <w:ind w:left="8640" w:hanging="180"/>
      </w:pPr>
    </w:lvl>
    <w:lvl w:ilvl="3" w:tplc="1809000F" w:tentative="1">
      <w:start w:val="1"/>
      <w:numFmt w:val="decimal"/>
      <w:lvlText w:val="%4."/>
      <w:lvlJc w:val="left"/>
      <w:pPr>
        <w:ind w:left="9360" w:hanging="360"/>
      </w:pPr>
    </w:lvl>
    <w:lvl w:ilvl="4" w:tplc="18090019" w:tentative="1">
      <w:start w:val="1"/>
      <w:numFmt w:val="lowerLetter"/>
      <w:lvlText w:val="%5."/>
      <w:lvlJc w:val="left"/>
      <w:pPr>
        <w:ind w:left="10080" w:hanging="360"/>
      </w:pPr>
    </w:lvl>
    <w:lvl w:ilvl="5" w:tplc="1809001B" w:tentative="1">
      <w:start w:val="1"/>
      <w:numFmt w:val="lowerRoman"/>
      <w:lvlText w:val="%6."/>
      <w:lvlJc w:val="right"/>
      <w:pPr>
        <w:ind w:left="10800" w:hanging="180"/>
      </w:pPr>
    </w:lvl>
    <w:lvl w:ilvl="6" w:tplc="1809000F" w:tentative="1">
      <w:start w:val="1"/>
      <w:numFmt w:val="decimal"/>
      <w:lvlText w:val="%7."/>
      <w:lvlJc w:val="left"/>
      <w:pPr>
        <w:ind w:left="11520" w:hanging="360"/>
      </w:pPr>
    </w:lvl>
    <w:lvl w:ilvl="7" w:tplc="18090019" w:tentative="1">
      <w:start w:val="1"/>
      <w:numFmt w:val="lowerLetter"/>
      <w:lvlText w:val="%8."/>
      <w:lvlJc w:val="left"/>
      <w:pPr>
        <w:ind w:left="12240" w:hanging="360"/>
      </w:pPr>
    </w:lvl>
    <w:lvl w:ilvl="8" w:tplc="1809001B" w:tentative="1">
      <w:start w:val="1"/>
      <w:numFmt w:val="lowerRoman"/>
      <w:lvlText w:val="%9."/>
      <w:lvlJc w:val="right"/>
      <w:pPr>
        <w:ind w:left="12960" w:hanging="180"/>
      </w:pPr>
    </w:lvl>
  </w:abstractNum>
  <w:abstractNum w:abstractNumId="4" w15:restartNumberingAfterBreak="0">
    <w:nsid w:val="2DE856F2"/>
    <w:multiLevelType w:val="hybridMultilevel"/>
    <w:tmpl w:val="AA84094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186AB9"/>
    <w:multiLevelType w:val="hybridMultilevel"/>
    <w:tmpl w:val="315613C0"/>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6" w15:restartNumberingAfterBreak="0">
    <w:nsid w:val="787871E6"/>
    <w:multiLevelType w:val="hybridMultilevel"/>
    <w:tmpl w:val="CF8A9FC2"/>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7" w15:restartNumberingAfterBreak="0">
    <w:nsid w:val="79CE1754"/>
    <w:multiLevelType w:val="hybridMultilevel"/>
    <w:tmpl w:val="6CE03C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DCF4629"/>
    <w:multiLevelType w:val="hybridMultilevel"/>
    <w:tmpl w:val="A246D7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E1C4670"/>
    <w:multiLevelType w:val="hybridMultilevel"/>
    <w:tmpl w:val="D5C21962"/>
    <w:lvl w:ilvl="0" w:tplc="1809000F">
      <w:start w:val="1"/>
      <w:numFmt w:val="decimal"/>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num w:numId="1">
    <w:abstractNumId w:val="6"/>
  </w:num>
  <w:num w:numId="2">
    <w:abstractNumId w:val="9"/>
  </w:num>
  <w:num w:numId="3">
    <w:abstractNumId w:val="7"/>
  </w:num>
  <w:num w:numId="4">
    <w:abstractNumId w:val="2"/>
  </w:num>
  <w:num w:numId="5">
    <w:abstractNumId w:val="3"/>
  </w:num>
  <w:num w:numId="6">
    <w:abstractNumId w:val="5"/>
  </w:num>
  <w:num w:numId="7">
    <w:abstractNumId w:val="0"/>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02061D"/>
    <w:rsid w:val="000113A6"/>
    <w:rsid w:val="00016A16"/>
    <w:rsid w:val="00017A29"/>
    <w:rsid w:val="0002061D"/>
    <w:rsid w:val="00020CA1"/>
    <w:rsid w:val="00047E76"/>
    <w:rsid w:val="00050549"/>
    <w:rsid w:val="00062F45"/>
    <w:rsid w:val="00063262"/>
    <w:rsid w:val="00066638"/>
    <w:rsid w:val="000727D8"/>
    <w:rsid w:val="00072EF7"/>
    <w:rsid w:val="00075177"/>
    <w:rsid w:val="00086F88"/>
    <w:rsid w:val="000A77EB"/>
    <w:rsid w:val="000C1479"/>
    <w:rsid w:val="000D4DE7"/>
    <w:rsid w:val="000D5FF4"/>
    <w:rsid w:val="000F3360"/>
    <w:rsid w:val="000F7DBE"/>
    <w:rsid w:val="0010399E"/>
    <w:rsid w:val="0010446A"/>
    <w:rsid w:val="001148FF"/>
    <w:rsid w:val="0012224F"/>
    <w:rsid w:val="0012489C"/>
    <w:rsid w:val="00142640"/>
    <w:rsid w:val="00145DA5"/>
    <w:rsid w:val="001466FC"/>
    <w:rsid w:val="00146896"/>
    <w:rsid w:val="00157357"/>
    <w:rsid w:val="00160A7D"/>
    <w:rsid w:val="00176632"/>
    <w:rsid w:val="00177A86"/>
    <w:rsid w:val="0019026B"/>
    <w:rsid w:val="00194BCD"/>
    <w:rsid w:val="001A3CE5"/>
    <w:rsid w:val="001B0AAA"/>
    <w:rsid w:val="001C043E"/>
    <w:rsid w:val="001C2880"/>
    <w:rsid w:val="001C3D38"/>
    <w:rsid w:val="001F095C"/>
    <w:rsid w:val="001F0DED"/>
    <w:rsid w:val="001F2F19"/>
    <w:rsid w:val="001F36AF"/>
    <w:rsid w:val="001F769F"/>
    <w:rsid w:val="001F7BE0"/>
    <w:rsid w:val="001F7FC2"/>
    <w:rsid w:val="00204C57"/>
    <w:rsid w:val="002114B3"/>
    <w:rsid w:val="00221C61"/>
    <w:rsid w:val="00227BFA"/>
    <w:rsid w:val="00235AC2"/>
    <w:rsid w:val="00240F4A"/>
    <w:rsid w:val="00245551"/>
    <w:rsid w:val="002500AB"/>
    <w:rsid w:val="0025322C"/>
    <w:rsid w:val="00256E02"/>
    <w:rsid w:val="0026294A"/>
    <w:rsid w:val="00283A16"/>
    <w:rsid w:val="00294299"/>
    <w:rsid w:val="002978A6"/>
    <w:rsid w:val="002A3904"/>
    <w:rsid w:val="002A510C"/>
    <w:rsid w:val="002B18C5"/>
    <w:rsid w:val="002B786A"/>
    <w:rsid w:val="002C2E6A"/>
    <w:rsid w:val="002E162D"/>
    <w:rsid w:val="002E488D"/>
    <w:rsid w:val="002E4FBF"/>
    <w:rsid w:val="002F5600"/>
    <w:rsid w:val="002F70CE"/>
    <w:rsid w:val="00313F84"/>
    <w:rsid w:val="00315B04"/>
    <w:rsid w:val="00316B4D"/>
    <w:rsid w:val="00317EA4"/>
    <w:rsid w:val="00320806"/>
    <w:rsid w:val="003223FF"/>
    <w:rsid w:val="00325F8B"/>
    <w:rsid w:val="00334A5C"/>
    <w:rsid w:val="0033506B"/>
    <w:rsid w:val="00346130"/>
    <w:rsid w:val="0034754F"/>
    <w:rsid w:val="00347E51"/>
    <w:rsid w:val="00351AFA"/>
    <w:rsid w:val="00352083"/>
    <w:rsid w:val="00355349"/>
    <w:rsid w:val="00355C80"/>
    <w:rsid w:val="00357379"/>
    <w:rsid w:val="00361EF3"/>
    <w:rsid w:val="00395377"/>
    <w:rsid w:val="003A05F4"/>
    <w:rsid w:val="003A2F19"/>
    <w:rsid w:val="003E2EBA"/>
    <w:rsid w:val="00400CA4"/>
    <w:rsid w:val="004052C3"/>
    <w:rsid w:val="00405CD3"/>
    <w:rsid w:val="00421603"/>
    <w:rsid w:val="00442A60"/>
    <w:rsid w:val="0044723E"/>
    <w:rsid w:val="004501A0"/>
    <w:rsid w:val="004663F1"/>
    <w:rsid w:val="004741FA"/>
    <w:rsid w:val="00480FF7"/>
    <w:rsid w:val="0048137B"/>
    <w:rsid w:val="004A2EC5"/>
    <w:rsid w:val="004A3CA4"/>
    <w:rsid w:val="004A604E"/>
    <w:rsid w:val="004B5417"/>
    <w:rsid w:val="004B5567"/>
    <w:rsid w:val="004C0ED0"/>
    <w:rsid w:val="004C5831"/>
    <w:rsid w:val="004D2BBA"/>
    <w:rsid w:val="004D581C"/>
    <w:rsid w:val="004E138D"/>
    <w:rsid w:val="004E6188"/>
    <w:rsid w:val="004F1384"/>
    <w:rsid w:val="004F1A48"/>
    <w:rsid w:val="004F4542"/>
    <w:rsid w:val="00500863"/>
    <w:rsid w:val="00510226"/>
    <w:rsid w:val="00532452"/>
    <w:rsid w:val="0053408C"/>
    <w:rsid w:val="005449A7"/>
    <w:rsid w:val="00555556"/>
    <w:rsid w:val="00560756"/>
    <w:rsid w:val="00564E77"/>
    <w:rsid w:val="00565996"/>
    <w:rsid w:val="00567227"/>
    <w:rsid w:val="0058103E"/>
    <w:rsid w:val="00583A41"/>
    <w:rsid w:val="005858B3"/>
    <w:rsid w:val="00585E40"/>
    <w:rsid w:val="005B2590"/>
    <w:rsid w:val="005B6758"/>
    <w:rsid w:val="005C0BB3"/>
    <w:rsid w:val="005D0553"/>
    <w:rsid w:val="005D0722"/>
    <w:rsid w:val="005D1B3F"/>
    <w:rsid w:val="005D7B26"/>
    <w:rsid w:val="005E2E25"/>
    <w:rsid w:val="005E7E58"/>
    <w:rsid w:val="005F7781"/>
    <w:rsid w:val="00601162"/>
    <w:rsid w:val="00601B0D"/>
    <w:rsid w:val="006255F8"/>
    <w:rsid w:val="006261D0"/>
    <w:rsid w:val="006418F7"/>
    <w:rsid w:val="006427C2"/>
    <w:rsid w:val="00646DC0"/>
    <w:rsid w:val="00647BC5"/>
    <w:rsid w:val="00653F56"/>
    <w:rsid w:val="00653FF4"/>
    <w:rsid w:val="006635B1"/>
    <w:rsid w:val="00664BB5"/>
    <w:rsid w:val="00667463"/>
    <w:rsid w:val="00671FC3"/>
    <w:rsid w:val="00672224"/>
    <w:rsid w:val="006828BC"/>
    <w:rsid w:val="00686A6D"/>
    <w:rsid w:val="0069257D"/>
    <w:rsid w:val="00692F5B"/>
    <w:rsid w:val="006A2A38"/>
    <w:rsid w:val="006B0FED"/>
    <w:rsid w:val="006C5FB8"/>
    <w:rsid w:val="006D547E"/>
    <w:rsid w:val="006F16AD"/>
    <w:rsid w:val="006F32CF"/>
    <w:rsid w:val="00700696"/>
    <w:rsid w:val="007049F6"/>
    <w:rsid w:val="00706A14"/>
    <w:rsid w:val="00710A3A"/>
    <w:rsid w:val="00712E2D"/>
    <w:rsid w:val="007219DA"/>
    <w:rsid w:val="007373E6"/>
    <w:rsid w:val="007466F0"/>
    <w:rsid w:val="00757EAD"/>
    <w:rsid w:val="00764829"/>
    <w:rsid w:val="00773BA4"/>
    <w:rsid w:val="00777F04"/>
    <w:rsid w:val="00782907"/>
    <w:rsid w:val="00783BFA"/>
    <w:rsid w:val="00786EF4"/>
    <w:rsid w:val="00790C8A"/>
    <w:rsid w:val="007A1E75"/>
    <w:rsid w:val="007A5848"/>
    <w:rsid w:val="007A5E1C"/>
    <w:rsid w:val="007B497A"/>
    <w:rsid w:val="007D777A"/>
    <w:rsid w:val="007E010B"/>
    <w:rsid w:val="007E5F3F"/>
    <w:rsid w:val="007F352F"/>
    <w:rsid w:val="007F3873"/>
    <w:rsid w:val="007F4837"/>
    <w:rsid w:val="007F7C45"/>
    <w:rsid w:val="00802779"/>
    <w:rsid w:val="00806E75"/>
    <w:rsid w:val="008118F0"/>
    <w:rsid w:val="00823226"/>
    <w:rsid w:val="00827BF4"/>
    <w:rsid w:val="008407C8"/>
    <w:rsid w:val="00843999"/>
    <w:rsid w:val="00847EC2"/>
    <w:rsid w:val="00861492"/>
    <w:rsid w:val="008637D8"/>
    <w:rsid w:val="00865FD0"/>
    <w:rsid w:val="008662A2"/>
    <w:rsid w:val="00875053"/>
    <w:rsid w:val="0087737F"/>
    <w:rsid w:val="00885D40"/>
    <w:rsid w:val="008A227E"/>
    <w:rsid w:val="008A3182"/>
    <w:rsid w:val="008A390A"/>
    <w:rsid w:val="008B3470"/>
    <w:rsid w:val="008B5FE2"/>
    <w:rsid w:val="008C18AE"/>
    <w:rsid w:val="008D2853"/>
    <w:rsid w:val="008F00F0"/>
    <w:rsid w:val="008F7A61"/>
    <w:rsid w:val="0090566A"/>
    <w:rsid w:val="00907401"/>
    <w:rsid w:val="009154E4"/>
    <w:rsid w:val="00920712"/>
    <w:rsid w:val="00931639"/>
    <w:rsid w:val="009326E4"/>
    <w:rsid w:val="00933B50"/>
    <w:rsid w:val="009375DD"/>
    <w:rsid w:val="00944ABE"/>
    <w:rsid w:val="0095572E"/>
    <w:rsid w:val="00960C53"/>
    <w:rsid w:val="0096393B"/>
    <w:rsid w:val="00966145"/>
    <w:rsid w:val="00977390"/>
    <w:rsid w:val="009824E1"/>
    <w:rsid w:val="0099126E"/>
    <w:rsid w:val="009956BC"/>
    <w:rsid w:val="009A3D7B"/>
    <w:rsid w:val="009A3ECC"/>
    <w:rsid w:val="009D1841"/>
    <w:rsid w:val="009E3812"/>
    <w:rsid w:val="009F7A61"/>
    <w:rsid w:val="00A02368"/>
    <w:rsid w:val="00A13EAF"/>
    <w:rsid w:val="00A14279"/>
    <w:rsid w:val="00A32977"/>
    <w:rsid w:val="00A32CD7"/>
    <w:rsid w:val="00A340DB"/>
    <w:rsid w:val="00A41FAC"/>
    <w:rsid w:val="00A4534A"/>
    <w:rsid w:val="00A46091"/>
    <w:rsid w:val="00A537CB"/>
    <w:rsid w:val="00A560DD"/>
    <w:rsid w:val="00A56F5A"/>
    <w:rsid w:val="00A63A7F"/>
    <w:rsid w:val="00A63DD2"/>
    <w:rsid w:val="00A7004D"/>
    <w:rsid w:val="00A800B9"/>
    <w:rsid w:val="00A80A17"/>
    <w:rsid w:val="00A95591"/>
    <w:rsid w:val="00AA2DDE"/>
    <w:rsid w:val="00AC5BF2"/>
    <w:rsid w:val="00AD5A75"/>
    <w:rsid w:val="00AE269D"/>
    <w:rsid w:val="00AE541D"/>
    <w:rsid w:val="00AE60EB"/>
    <w:rsid w:val="00B04B29"/>
    <w:rsid w:val="00B04B33"/>
    <w:rsid w:val="00B07F02"/>
    <w:rsid w:val="00B12F13"/>
    <w:rsid w:val="00B24AB7"/>
    <w:rsid w:val="00B30F46"/>
    <w:rsid w:val="00B310A3"/>
    <w:rsid w:val="00B37A32"/>
    <w:rsid w:val="00B46FCC"/>
    <w:rsid w:val="00B521D5"/>
    <w:rsid w:val="00B52A28"/>
    <w:rsid w:val="00B5419A"/>
    <w:rsid w:val="00B723A3"/>
    <w:rsid w:val="00B7441D"/>
    <w:rsid w:val="00B755A7"/>
    <w:rsid w:val="00B7677A"/>
    <w:rsid w:val="00B773F3"/>
    <w:rsid w:val="00B80696"/>
    <w:rsid w:val="00B95C96"/>
    <w:rsid w:val="00BA03FA"/>
    <w:rsid w:val="00BB15EC"/>
    <w:rsid w:val="00BC0842"/>
    <w:rsid w:val="00BC5EA6"/>
    <w:rsid w:val="00BD0ADA"/>
    <w:rsid w:val="00BD70D0"/>
    <w:rsid w:val="00C16B21"/>
    <w:rsid w:val="00C23B62"/>
    <w:rsid w:val="00C2629A"/>
    <w:rsid w:val="00C34D48"/>
    <w:rsid w:val="00C432AE"/>
    <w:rsid w:val="00C50E6B"/>
    <w:rsid w:val="00C61F5C"/>
    <w:rsid w:val="00C6787D"/>
    <w:rsid w:val="00C702EB"/>
    <w:rsid w:val="00C73B82"/>
    <w:rsid w:val="00C96D51"/>
    <w:rsid w:val="00CA5CA1"/>
    <w:rsid w:val="00CC4C0A"/>
    <w:rsid w:val="00CC728F"/>
    <w:rsid w:val="00CE69E2"/>
    <w:rsid w:val="00CF33B4"/>
    <w:rsid w:val="00D00D55"/>
    <w:rsid w:val="00D04AD8"/>
    <w:rsid w:val="00D30C60"/>
    <w:rsid w:val="00D44817"/>
    <w:rsid w:val="00D537C3"/>
    <w:rsid w:val="00D55F5B"/>
    <w:rsid w:val="00D7218D"/>
    <w:rsid w:val="00D86BEF"/>
    <w:rsid w:val="00D932E5"/>
    <w:rsid w:val="00D950FE"/>
    <w:rsid w:val="00DB4997"/>
    <w:rsid w:val="00DC572E"/>
    <w:rsid w:val="00DC5C6C"/>
    <w:rsid w:val="00DD7D37"/>
    <w:rsid w:val="00DF0A7B"/>
    <w:rsid w:val="00E20B22"/>
    <w:rsid w:val="00E275E0"/>
    <w:rsid w:val="00E32A0D"/>
    <w:rsid w:val="00E32A30"/>
    <w:rsid w:val="00E3599D"/>
    <w:rsid w:val="00E36AD1"/>
    <w:rsid w:val="00E4418D"/>
    <w:rsid w:val="00E61D45"/>
    <w:rsid w:val="00E64022"/>
    <w:rsid w:val="00E70805"/>
    <w:rsid w:val="00E8458B"/>
    <w:rsid w:val="00E94534"/>
    <w:rsid w:val="00E979A9"/>
    <w:rsid w:val="00EA24D9"/>
    <w:rsid w:val="00EA40BE"/>
    <w:rsid w:val="00EB1895"/>
    <w:rsid w:val="00EB60B8"/>
    <w:rsid w:val="00EC0647"/>
    <w:rsid w:val="00EC5817"/>
    <w:rsid w:val="00ED7B88"/>
    <w:rsid w:val="00EF51E9"/>
    <w:rsid w:val="00F00213"/>
    <w:rsid w:val="00F0129B"/>
    <w:rsid w:val="00F015B9"/>
    <w:rsid w:val="00F121A7"/>
    <w:rsid w:val="00F164E6"/>
    <w:rsid w:val="00F20F56"/>
    <w:rsid w:val="00F3162C"/>
    <w:rsid w:val="00F32678"/>
    <w:rsid w:val="00F432BA"/>
    <w:rsid w:val="00F809E2"/>
    <w:rsid w:val="00F824ED"/>
    <w:rsid w:val="00F922AF"/>
    <w:rsid w:val="00FA3578"/>
    <w:rsid w:val="00FA5E4D"/>
    <w:rsid w:val="00FA689A"/>
    <w:rsid w:val="00FB13D2"/>
    <w:rsid w:val="00FB3132"/>
    <w:rsid w:val="00FE166D"/>
    <w:rsid w:val="00FF1878"/>
    <w:rsid w:val="00FF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6D31"/>
  <w15:docId w15:val="{E4E8CAA1-4545-48F5-BC36-D1D846F7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1D"/>
    <w:pPr>
      <w:spacing w:after="200" w:line="48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61D"/>
    <w:pPr>
      <w:ind w:left="720"/>
      <w:contextualSpacing/>
    </w:pPr>
  </w:style>
  <w:style w:type="paragraph" w:styleId="Header">
    <w:name w:val="header"/>
    <w:basedOn w:val="Normal"/>
    <w:link w:val="HeaderChar"/>
    <w:uiPriority w:val="99"/>
    <w:unhideWhenUsed/>
    <w:rsid w:val="00020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61D"/>
    <w:rPr>
      <w:rFonts w:ascii="Arial" w:hAnsi="Arial"/>
    </w:rPr>
  </w:style>
  <w:style w:type="paragraph" w:styleId="Footer">
    <w:name w:val="footer"/>
    <w:basedOn w:val="Normal"/>
    <w:link w:val="FooterChar"/>
    <w:uiPriority w:val="99"/>
    <w:unhideWhenUsed/>
    <w:rsid w:val="00020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61D"/>
    <w:rPr>
      <w:rFonts w:ascii="Arial" w:hAnsi="Arial"/>
    </w:rPr>
  </w:style>
  <w:style w:type="character" w:styleId="LineNumber">
    <w:name w:val="line number"/>
    <w:basedOn w:val="DefaultParagraphFont"/>
    <w:uiPriority w:val="99"/>
    <w:semiHidden/>
    <w:unhideWhenUsed/>
    <w:rsid w:val="0002061D"/>
  </w:style>
  <w:style w:type="table" w:styleId="TableGrid">
    <w:name w:val="Table Grid"/>
    <w:basedOn w:val="TableNormal"/>
    <w:uiPriority w:val="59"/>
    <w:rsid w:val="0002061D"/>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061D"/>
    <w:rPr>
      <w:rFonts w:ascii="Times New Roman" w:hAnsi="Times New Roman" w:cs="Times New Roman"/>
      <w:sz w:val="24"/>
      <w:szCs w:val="24"/>
    </w:rPr>
  </w:style>
  <w:style w:type="table" w:customStyle="1" w:styleId="TableGrid1">
    <w:name w:val="Table Grid1"/>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1D"/>
    <w:rPr>
      <w:rFonts w:ascii="Tahoma" w:hAnsi="Tahoma" w:cs="Tahoma"/>
      <w:sz w:val="16"/>
      <w:szCs w:val="16"/>
    </w:rPr>
  </w:style>
  <w:style w:type="table" w:customStyle="1" w:styleId="TableGrid3">
    <w:name w:val="Table Grid3"/>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2061D"/>
    <w:pPr>
      <w:spacing w:after="0" w:line="240" w:lineRule="auto"/>
    </w:pPr>
    <w:rPr>
      <w:rFonts w:ascii="Times New Roman" w:hAnsi="Times New Roman" w:cs="Times New Roman"/>
      <w:szCs w:val="20"/>
    </w:rPr>
    <w:tblPr>
      <w:tblBorders>
        <w:top w:val="single" w:sz="4" w:space="0" w:color="auto"/>
        <w:insideH w:val="single" w:sz="4" w:space="0" w:color="auto"/>
      </w:tblBorders>
    </w:tblPr>
  </w:style>
  <w:style w:type="table" w:customStyle="1" w:styleId="TableGrid5">
    <w:name w:val="Table Grid5"/>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206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061D"/>
    <w:pPr>
      <w:spacing w:after="0" w:line="240" w:lineRule="auto"/>
    </w:pPr>
    <w:rPr>
      <w:rFonts w:ascii="Arial" w:hAnsi="Arial"/>
    </w:rPr>
  </w:style>
  <w:style w:type="paragraph" w:styleId="Caption">
    <w:name w:val="caption"/>
    <w:basedOn w:val="Normal"/>
    <w:next w:val="Normal"/>
    <w:uiPriority w:val="35"/>
    <w:unhideWhenUsed/>
    <w:qFormat/>
    <w:rsid w:val="0002061D"/>
    <w:pPr>
      <w:spacing w:line="240" w:lineRule="auto"/>
    </w:pPr>
    <w:rPr>
      <w:b/>
      <w:bCs/>
      <w:color w:val="5B9BD5" w:themeColor="accent1"/>
      <w:sz w:val="18"/>
      <w:szCs w:val="18"/>
    </w:rPr>
  </w:style>
  <w:style w:type="character" w:customStyle="1" w:styleId="st1">
    <w:name w:val="st1"/>
    <w:basedOn w:val="DefaultParagraphFont"/>
    <w:rsid w:val="0002061D"/>
  </w:style>
  <w:style w:type="character" w:styleId="Emphasis">
    <w:name w:val="Emphasis"/>
    <w:basedOn w:val="DefaultParagraphFont"/>
    <w:uiPriority w:val="20"/>
    <w:qFormat/>
    <w:rsid w:val="0002061D"/>
    <w:rPr>
      <w:i/>
      <w:iCs/>
    </w:rPr>
  </w:style>
  <w:style w:type="paragraph" w:customStyle="1" w:styleId="EndNoteBibliographyTitle">
    <w:name w:val="EndNote Bibliography Title"/>
    <w:basedOn w:val="Normal"/>
    <w:link w:val="EndNoteBibliographyTitleChar"/>
    <w:rsid w:val="0002061D"/>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02061D"/>
    <w:rPr>
      <w:rFonts w:ascii="Arial" w:hAnsi="Arial" w:cs="Arial"/>
      <w:noProof/>
      <w:lang w:val="en-US"/>
    </w:rPr>
  </w:style>
  <w:style w:type="paragraph" w:customStyle="1" w:styleId="EndNoteBibliography">
    <w:name w:val="EndNote Bibliography"/>
    <w:basedOn w:val="Normal"/>
    <w:link w:val="EndNoteBibliographyChar"/>
    <w:rsid w:val="0002061D"/>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02061D"/>
    <w:rPr>
      <w:rFonts w:ascii="Arial" w:hAnsi="Arial" w:cs="Arial"/>
      <w:noProof/>
      <w:lang w:val="en-US"/>
    </w:rPr>
  </w:style>
  <w:style w:type="paragraph" w:styleId="Revision">
    <w:name w:val="Revision"/>
    <w:hidden/>
    <w:uiPriority w:val="99"/>
    <w:semiHidden/>
    <w:rsid w:val="0002061D"/>
    <w:pPr>
      <w:spacing w:after="0" w:line="240" w:lineRule="auto"/>
    </w:pPr>
    <w:rPr>
      <w:rFonts w:ascii="Arial" w:hAnsi="Arial"/>
    </w:rPr>
  </w:style>
  <w:style w:type="character" w:styleId="Strong">
    <w:name w:val="Strong"/>
    <w:basedOn w:val="DefaultParagraphFont"/>
    <w:uiPriority w:val="22"/>
    <w:qFormat/>
    <w:rsid w:val="0002061D"/>
    <w:rPr>
      <w:rFonts w:ascii="Arial" w:hAnsi="Arial"/>
      <w:b w:val="0"/>
      <w:bCs/>
    </w:rPr>
  </w:style>
  <w:style w:type="paragraph" w:customStyle="1" w:styleId="table">
    <w:name w:val="table"/>
    <w:basedOn w:val="NoSpacing"/>
    <w:next w:val="NoSpacing"/>
    <w:qFormat/>
    <w:rsid w:val="0002061D"/>
    <w:rPr>
      <w:rFonts w:cs="Times New Roman"/>
      <w:sz w:val="20"/>
      <w:szCs w:val="20"/>
    </w:rPr>
  </w:style>
  <w:style w:type="character" w:styleId="PlaceholderText">
    <w:name w:val="Placeholder Text"/>
    <w:basedOn w:val="DefaultParagraphFont"/>
    <w:uiPriority w:val="99"/>
    <w:semiHidden/>
    <w:rsid w:val="0002061D"/>
    <w:rPr>
      <w:color w:val="808080"/>
    </w:rPr>
  </w:style>
  <w:style w:type="character" w:styleId="Hyperlink">
    <w:name w:val="Hyperlink"/>
    <w:basedOn w:val="DefaultParagraphFont"/>
    <w:uiPriority w:val="99"/>
    <w:unhideWhenUsed/>
    <w:rsid w:val="0002061D"/>
    <w:rPr>
      <w:color w:val="0563C1" w:themeColor="hyperlink"/>
      <w:u w:val="single"/>
    </w:rPr>
  </w:style>
  <w:style w:type="character" w:styleId="FollowedHyperlink">
    <w:name w:val="FollowedHyperlink"/>
    <w:basedOn w:val="DefaultParagraphFont"/>
    <w:uiPriority w:val="99"/>
    <w:semiHidden/>
    <w:unhideWhenUsed/>
    <w:rsid w:val="0002061D"/>
    <w:rPr>
      <w:color w:val="954F72" w:themeColor="followedHyperlink"/>
      <w:u w:val="single"/>
    </w:rPr>
  </w:style>
  <w:style w:type="character" w:styleId="CommentReference">
    <w:name w:val="annotation reference"/>
    <w:basedOn w:val="DefaultParagraphFont"/>
    <w:uiPriority w:val="99"/>
    <w:semiHidden/>
    <w:unhideWhenUsed/>
    <w:rsid w:val="0002061D"/>
    <w:rPr>
      <w:sz w:val="16"/>
      <w:szCs w:val="16"/>
    </w:rPr>
  </w:style>
  <w:style w:type="paragraph" w:styleId="CommentText">
    <w:name w:val="annotation text"/>
    <w:basedOn w:val="Normal"/>
    <w:link w:val="CommentTextChar"/>
    <w:uiPriority w:val="99"/>
    <w:semiHidden/>
    <w:unhideWhenUsed/>
    <w:rsid w:val="0002061D"/>
    <w:pPr>
      <w:spacing w:line="240" w:lineRule="auto"/>
    </w:pPr>
    <w:rPr>
      <w:sz w:val="20"/>
      <w:szCs w:val="20"/>
    </w:rPr>
  </w:style>
  <w:style w:type="character" w:customStyle="1" w:styleId="CommentTextChar">
    <w:name w:val="Comment Text Char"/>
    <w:basedOn w:val="DefaultParagraphFont"/>
    <w:link w:val="CommentText"/>
    <w:uiPriority w:val="99"/>
    <w:semiHidden/>
    <w:rsid w:val="000206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061D"/>
    <w:rPr>
      <w:b/>
      <w:bCs/>
    </w:rPr>
  </w:style>
  <w:style w:type="character" w:customStyle="1" w:styleId="CommentSubjectChar">
    <w:name w:val="Comment Subject Char"/>
    <w:basedOn w:val="CommentTextChar"/>
    <w:link w:val="CommentSubject"/>
    <w:uiPriority w:val="99"/>
    <w:semiHidden/>
    <w:rsid w:val="0002061D"/>
    <w:rPr>
      <w:rFonts w:ascii="Arial" w:hAnsi="Arial"/>
      <w:b/>
      <w:bCs/>
      <w:sz w:val="20"/>
      <w:szCs w:val="20"/>
    </w:rPr>
  </w:style>
  <w:style w:type="character" w:customStyle="1" w:styleId="mixed-citation">
    <w:name w:val="mixed-citation"/>
    <w:basedOn w:val="DefaultParagraphFont"/>
    <w:rsid w:val="00245551"/>
  </w:style>
  <w:style w:type="character" w:customStyle="1" w:styleId="ref-title">
    <w:name w:val="ref-title"/>
    <w:basedOn w:val="DefaultParagraphFont"/>
    <w:rsid w:val="00245551"/>
  </w:style>
  <w:style w:type="character" w:customStyle="1" w:styleId="ref-journal">
    <w:name w:val="ref-journal"/>
    <w:basedOn w:val="DefaultParagraphFont"/>
    <w:rsid w:val="00245551"/>
  </w:style>
  <w:style w:type="character" w:customStyle="1" w:styleId="ref-vol">
    <w:name w:val="ref-vol"/>
    <w:basedOn w:val="DefaultParagraphFont"/>
    <w:rsid w:val="0024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jxb/erj067" TargetMode="External"/><Relationship Id="rId13" Type="http://schemas.openxmlformats.org/officeDocument/2006/relationships/hyperlink" Target="https://doi.org/10.1146/annurev-arplant-042916-041132"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yperlink" Target="https://doi.org/10.1007/s11104-016-2954-6" TargetMode="External"/><Relationship Id="rId12" Type="http://schemas.openxmlformats.org/officeDocument/2006/relationships/hyperlink" Target="https://doi.org/10.1111/aab.121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111/1365-2435.12935" TargetMode="Externa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73/pnas.0906710107" TargetMode="External"/><Relationship Id="rId5" Type="http://schemas.openxmlformats.org/officeDocument/2006/relationships/footnotes" Target="footnotes.xml"/><Relationship Id="rId15" Type="http://schemas.openxmlformats.org/officeDocument/2006/relationships/hyperlink" Target="https://doi.org/10.1038/srep46497" TargetMode="External"/><Relationship Id="rId23" Type="http://schemas.openxmlformats.org/officeDocument/2006/relationships/theme" Target="theme/theme1.xml"/><Relationship Id="rId10" Type="http://schemas.openxmlformats.org/officeDocument/2006/relationships/hyperlink" Target="https://doi.org/10.1111/1365-2435.12706"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doi.org/10.1105/tpc.004861" TargetMode="External"/><Relationship Id="rId14" Type="http://schemas.openxmlformats.org/officeDocument/2006/relationships/hyperlink" Target="https://doi.org/10.1021/jf02589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8081</Words>
  <Characters>46064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Wilkinson</dc:creator>
  <cp:lastModifiedBy>Angela Hodge</cp:lastModifiedBy>
  <cp:revision>2</cp:revision>
  <cp:lastPrinted>2018-12-06T10:10:00Z</cp:lastPrinted>
  <dcterms:created xsi:type="dcterms:W3CDTF">2018-12-06T15:39:00Z</dcterms:created>
  <dcterms:modified xsi:type="dcterms:W3CDTF">2018-12-06T15:39:00Z</dcterms:modified>
</cp:coreProperties>
</file>