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3CE8D" w14:textId="221FC129" w:rsidR="008C79C9" w:rsidRPr="00BF72D2" w:rsidRDefault="00726024" w:rsidP="00800BD1">
      <w:pPr>
        <w:pStyle w:val="Default"/>
        <w:spacing w:line="480" w:lineRule="auto"/>
        <w:rPr>
          <w:rFonts w:asciiTheme="minorHAnsi" w:hAnsiTheme="minorHAnsi" w:cstheme="minorHAnsi"/>
          <w:color w:val="000000" w:themeColor="text1"/>
          <w:sz w:val="22"/>
          <w:szCs w:val="22"/>
        </w:rPr>
      </w:pPr>
      <w:r w:rsidRPr="00BF72D2">
        <w:rPr>
          <w:rFonts w:asciiTheme="minorHAnsi" w:hAnsiTheme="minorHAnsi" w:cstheme="minorHAnsi"/>
          <w:color w:val="000000" w:themeColor="text1"/>
          <w:sz w:val="22"/>
          <w:szCs w:val="22"/>
        </w:rPr>
        <w:t>A Review of Issues Affecting the Efficiency of Decision Making in the NICE Single Technology Appraisal Process</w:t>
      </w:r>
    </w:p>
    <w:p w14:paraId="2EC33B4B" w14:textId="44554B26" w:rsidR="008C79C9" w:rsidRPr="00BF72D2" w:rsidRDefault="008C79C9" w:rsidP="00800BD1">
      <w:pPr>
        <w:pStyle w:val="Default"/>
        <w:spacing w:line="480" w:lineRule="auto"/>
        <w:rPr>
          <w:rFonts w:asciiTheme="minorHAnsi" w:hAnsiTheme="minorHAnsi" w:cstheme="minorHAnsi"/>
          <w:color w:val="000000" w:themeColor="text1"/>
          <w:sz w:val="22"/>
          <w:szCs w:val="22"/>
        </w:rPr>
      </w:pPr>
      <w:r w:rsidRPr="00BF72D2">
        <w:rPr>
          <w:rFonts w:asciiTheme="minorHAnsi" w:hAnsiTheme="minorHAnsi" w:cstheme="minorHAnsi"/>
          <w:color w:val="000000" w:themeColor="text1"/>
          <w:sz w:val="22"/>
          <w:szCs w:val="22"/>
        </w:rPr>
        <w:t>Walton M</w:t>
      </w:r>
      <w:r w:rsidR="007322F5" w:rsidRPr="00BF72D2">
        <w:rPr>
          <w:rFonts w:asciiTheme="minorHAnsi" w:hAnsiTheme="minorHAnsi" w:cstheme="minorHAnsi"/>
          <w:color w:val="000000" w:themeColor="text1"/>
          <w:sz w:val="22"/>
          <w:szCs w:val="22"/>
        </w:rPr>
        <w:t>J</w:t>
      </w:r>
      <w:r w:rsidR="00780198">
        <w:rPr>
          <w:rFonts w:asciiTheme="minorHAnsi" w:hAnsiTheme="minorHAnsi" w:cstheme="minorHAnsi"/>
          <w:color w:val="000000" w:themeColor="text1"/>
          <w:sz w:val="22"/>
          <w:szCs w:val="22"/>
          <w:vertAlign w:val="superscript"/>
        </w:rPr>
        <w:t>1</w:t>
      </w:r>
      <w:r w:rsidRPr="00BF72D2">
        <w:rPr>
          <w:rFonts w:asciiTheme="minorHAnsi" w:hAnsiTheme="minorHAnsi" w:cstheme="minorHAnsi"/>
          <w:color w:val="000000" w:themeColor="text1"/>
          <w:sz w:val="22"/>
          <w:szCs w:val="22"/>
        </w:rPr>
        <w:t>, O’Connor J</w:t>
      </w:r>
      <w:r w:rsidR="00780198" w:rsidRPr="009169E6">
        <w:rPr>
          <w:rFonts w:asciiTheme="minorHAnsi" w:hAnsiTheme="minorHAnsi" w:cstheme="minorHAnsi"/>
          <w:color w:val="000000" w:themeColor="text1"/>
          <w:sz w:val="22"/>
          <w:szCs w:val="22"/>
          <w:vertAlign w:val="superscript"/>
        </w:rPr>
        <w:t>1</w:t>
      </w:r>
      <w:r w:rsidRPr="00BF72D2">
        <w:rPr>
          <w:rFonts w:asciiTheme="minorHAnsi" w:hAnsiTheme="minorHAnsi" w:cstheme="minorHAnsi"/>
          <w:color w:val="000000" w:themeColor="text1"/>
          <w:sz w:val="22"/>
          <w:szCs w:val="22"/>
        </w:rPr>
        <w:t>, Carroll C</w:t>
      </w:r>
      <w:r w:rsidR="00780198" w:rsidRPr="009169E6">
        <w:rPr>
          <w:rFonts w:asciiTheme="minorHAnsi" w:hAnsiTheme="minorHAnsi" w:cstheme="minorHAnsi"/>
          <w:color w:val="000000" w:themeColor="text1"/>
          <w:sz w:val="22"/>
          <w:szCs w:val="22"/>
          <w:vertAlign w:val="superscript"/>
        </w:rPr>
        <w:t>2</w:t>
      </w:r>
      <w:r w:rsidRPr="00BF72D2">
        <w:rPr>
          <w:rFonts w:asciiTheme="minorHAnsi" w:hAnsiTheme="minorHAnsi" w:cstheme="minorHAnsi"/>
          <w:color w:val="000000" w:themeColor="text1"/>
          <w:sz w:val="22"/>
          <w:szCs w:val="22"/>
        </w:rPr>
        <w:t>, Claxton L</w:t>
      </w:r>
      <w:r w:rsidR="00780198" w:rsidRPr="009169E6">
        <w:rPr>
          <w:rFonts w:asciiTheme="minorHAnsi" w:hAnsiTheme="minorHAnsi" w:cstheme="minorHAnsi"/>
          <w:color w:val="000000" w:themeColor="text1"/>
          <w:sz w:val="22"/>
          <w:szCs w:val="22"/>
          <w:vertAlign w:val="superscript"/>
        </w:rPr>
        <w:t>1</w:t>
      </w:r>
      <w:r w:rsidRPr="00BF72D2">
        <w:rPr>
          <w:rFonts w:asciiTheme="minorHAnsi" w:hAnsiTheme="minorHAnsi" w:cstheme="minorHAnsi"/>
          <w:color w:val="000000" w:themeColor="text1"/>
          <w:sz w:val="22"/>
          <w:szCs w:val="22"/>
        </w:rPr>
        <w:t>, Hodgson R</w:t>
      </w:r>
      <w:r w:rsidR="00780198" w:rsidRPr="009169E6">
        <w:rPr>
          <w:rFonts w:asciiTheme="minorHAnsi" w:hAnsiTheme="minorHAnsi" w:cstheme="minorHAnsi"/>
          <w:color w:val="000000" w:themeColor="text1"/>
          <w:sz w:val="22"/>
          <w:szCs w:val="22"/>
          <w:vertAlign w:val="superscript"/>
        </w:rPr>
        <w:t>1</w:t>
      </w:r>
      <w:r w:rsidRPr="00BF72D2">
        <w:rPr>
          <w:rFonts w:asciiTheme="minorHAnsi" w:hAnsiTheme="minorHAnsi" w:cstheme="minorHAnsi"/>
          <w:color w:val="000000" w:themeColor="text1"/>
          <w:sz w:val="22"/>
          <w:szCs w:val="22"/>
        </w:rPr>
        <w:t>.</w:t>
      </w:r>
    </w:p>
    <w:p w14:paraId="38730A1E" w14:textId="38EF086A" w:rsidR="00780198" w:rsidRDefault="00780198" w:rsidP="00780198">
      <w:pPr>
        <w:pStyle w:val="Default"/>
        <w:spacing w:line="480" w:lineRule="auto"/>
        <w:rPr>
          <w:rFonts w:asciiTheme="minorHAnsi" w:hAnsiTheme="minorHAnsi" w:cstheme="minorHAnsi"/>
          <w:color w:val="000000" w:themeColor="text1"/>
          <w:sz w:val="22"/>
          <w:szCs w:val="22"/>
        </w:rPr>
      </w:pPr>
      <w:r w:rsidRPr="009169E6">
        <w:rPr>
          <w:rFonts w:asciiTheme="minorHAnsi" w:hAnsiTheme="minorHAnsi" w:cstheme="minorHAnsi"/>
          <w:color w:val="000000" w:themeColor="text1"/>
          <w:sz w:val="22"/>
          <w:szCs w:val="22"/>
          <w:vertAlign w:val="superscript"/>
        </w:rPr>
        <w:t>1</w:t>
      </w:r>
      <w:r>
        <w:rPr>
          <w:rFonts w:asciiTheme="minorHAnsi" w:hAnsiTheme="minorHAnsi" w:cstheme="minorHAnsi"/>
          <w:color w:val="000000" w:themeColor="text1"/>
          <w:sz w:val="22"/>
          <w:szCs w:val="22"/>
        </w:rPr>
        <w:t xml:space="preserve"> </w:t>
      </w:r>
      <w:r w:rsidR="008C79C9" w:rsidRPr="00BF72D2">
        <w:rPr>
          <w:rFonts w:asciiTheme="minorHAnsi" w:hAnsiTheme="minorHAnsi" w:cstheme="minorHAnsi"/>
          <w:color w:val="000000" w:themeColor="text1"/>
          <w:sz w:val="22"/>
          <w:szCs w:val="22"/>
        </w:rPr>
        <w:t>Centre for Reviews and Dissemination, University of York, United Kingdom</w:t>
      </w:r>
      <w:r w:rsidR="008C79C9" w:rsidRPr="00BF72D2">
        <w:rPr>
          <w:rFonts w:asciiTheme="minorHAnsi" w:hAnsiTheme="minorHAnsi" w:cstheme="minorHAnsi"/>
          <w:color w:val="000000" w:themeColor="text1"/>
          <w:sz w:val="22"/>
          <w:szCs w:val="22"/>
        </w:rPr>
        <w:br/>
      </w:r>
      <w:r w:rsidRPr="009169E6">
        <w:rPr>
          <w:rFonts w:asciiTheme="minorHAnsi" w:hAnsiTheme="minorHAnsi" w:cstheme="minorHAnsi"/>
          <w:color w:val="000000" w:themeColor="text1"/>
          <w:sz w:val="22"/>
          <w:szCs w:val="22"/>
          <w:vertAlign w:val="superscript"/>
        </w:rPr>
        <w:t>2</w:t>
      </w:r>
      <w:r>
        <w:rPr>
          <w:rFonts w:asciiTheme="minorHAnsi" w:hAnsiTheme="minorHAnsi" w:cstheme="minorHAnsi"/>
          <w:color w:val="000000" w:themeColor="text1"/>
          <w:sz w:val="22"/>
          <w:szCs w:val="22"/>
        </w:rPr>
        <w:t xml:space="preserve"> </w:t>
      </w:r>
      <w:r w:rsidR="008C79C9" w:rsidRPr="00BF72D2">
        <w:rPr>
          <w:rFonts w:asciiTheme="minorHAnsi" w:hAnsiTheme="minorHAnsi" w:cstheme="minorHAnsi"/>
          <w:color w:val="000000" w:themeColor="text1"/>
          <w:sz w:val="22"/>
          <w:szCs w:val="22"/>
        </w:rPr>
        <w:t>School of Health and Related Research, University of Sheffield, United Kingdom</w:t>
      </w:r>
    </w:p>
    <w:p w14:paraId="60ABFE5C" w14:textId="3B5A618F" w:rsidR="008C79C9" w:rsidRPr="00BF72D2" w:rsidRDefault="001E4842" w:rsidP="00780198">
      <w:pPr>
        <w:pStyle w:val="Default"/>
        <w:spacing w:line="48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Corresponding A</w:t>
      </w:r>
      <w:r w:rsidR="00780198">
        <w:rPr>
          <w:rFonts w:asciiTheme="minorHAnsi" w:hAnsiTheme="minorHAnsi" w:cstheme="minorHAnsi"/>
          <w:color w:val="000000" w:themeColor="text1"/>
          <w:sz w:val="22"/>
          <w:szCs w:val="22"/>
        </w:rPr>
        <w:t>uthor:</w:t>
      </w:r>
      <w:r>
        <w:rPr>
          <w:rFonts w:asciiTheme="minorHAnsi" w:hAnsiTheme="minorHAnsi" w:cstheme="minorHAnsi"/>
          <w:color w:val="000000" w:themeColor="text1"/>
          <w:sz w:val="22"/>
          <w:szCs w:val="22"/>
        </w:rPr>
        <w:t xml:space="preserve"> Matthew James Walton, Centre for Reviews and Dissemination, University of York, UK, Email: </w:t>
      </w:r>
      <w:r w:rsidR="00780198">
        <w:rPr>
          <w:rFonts w:asciiTheme="minorHAnsi" w:hAnsiTheme="minorHAnsi" w:cstheme="minorHAnsi"/>
          <w:color w:val="000000" w:themeColor="text1"/>
          <w:sz w:val="22"/>
          <w:szCs w:val="22"/>
        </w:rPr>
        <w:t>matthew.walton@york.ac.uk</w:t>
      </w:r>
    </w:p>
    <w:p w14:paraId="3B03AA68" w14:textId="506850B2" w:rsidR="004B0CF0" w:rsidRPr="00BF72D2" w:rsidRDefault="004B0CF0" w:rsidP="004B0CF0">
      <w:pPr>
        <w:pStyle w:val="Default"/>
        <w:spacing w:line="480" w:lineRule="auto"/>
        <w:rPr>
          <w:rFonts w:asciiTheme="minorHAnsi" w:hAnsiTheme="minorHAnsi" w:cstheme="minorHAnsi"/>
          <w:color w:val="000000" w:themeColor="text1"/>
          <w:sz w:val="22"/>
          <w:szCs w:val="22"/>
        </w:rPr>
      </w:pPr>
      <w:r w:rsidRPr="00BF72D2">
        <w:rPr>
          <w:rFonts w:asciiTheme="minorHAnsi" w:hAnsiTheme="minorHAnsi" w:cstheme="minorHAnsi"/>
          <w:color w:val="000000" w:themeColor="text1"/>
          <w:sz w:val="22"/>
          <w:szCs w:val="22"/>
        </w:rPr>
        <w:t>Runni</w:t>
      </w:r>
      <w:r w:rsidR="009D317C" w:rsidRPr="00BF72D2">
        <w:rPr>
          <w:rFonts w:asciiTheme="minorHAnsi" w:hAnsiTheme="minorHAnsi" w:cstheme="minorHAnsi"/>
          <w:color w:val="000000" w:themeColor="text1"/>
          <w:sz w:val="22"/>
          <w:szCs w:val="22"/>
        </w:rPr>
        <w:t>ng heading: A Review of Issues A</w:t>
      </w:r>
      <w:r w:rsidRPr="00BF72D2">
        <w:rPr>
          <w:rFonts w:asciiTheme="minorHAnsi" w:hAnsiTheme="minorHAnsi" w:cstheme="minorHAnsi"/>
          <w:color w:val="000000" w:themeColor="text1"/>
          <w:sz w:val="22"/>
          <w:szCs w:val="22"/>
        </w:rPr>
        <w:t>ffecting the Efficiency of NICE’s STA Process</w:t>
      </w:r>
    </w:p>
    <w:p w14:paraId="58C34FB6" w14:textId="274C77EA" w:rsidR="00656258" w:rsidRPr="00BF72D2" w:rsidRDefault="00656258" w:rsidP="00800BD1">
      <w:pPr>
        <w:pStyle w:val="Default"/>
        <w:spacing w:line="480" w:lineRule="auto"/>
        <w:rPr>
          <w:rFonts w:asciiTheme="minorHAnsi" w:hAnsiTheme="minorHAnsi" w:cstheme="minorHAnsi"/>
          <w:b/>
          <w:color w:val="000000" w:themeColor="text1"/>
          <w:sz w:val="22"/>
          <w:szCs w:val="22"/>
        </w:rPr>
      </w:pPr>
      <w:r w:rsidRPr="00BF72D2">
        <w:rPr>
          <w:rFonts w:asciiTheme="minorHAnsi" w:hAnsiTheme="minorHAnsi" w:cstheme="minorHAnsi"/>
          <w:b/>
          <w:color w:val="000000" w:themeColor="text1"/>
          <w:sz w:val="22"/>
          <w:szCs w:val="22"/>
        </w:rPr>
        <w:t xml:space="preserve">Abstract </w:t>
      </w:r>
    </w:p>
    <w:p w14:paraId="4E76E1F1" w14:textId="265C3528" w:rsidR="00CB4F5F" w:rsidRPr="00BF72D2" w:rsidRDefault="00CB4F5F" w:rsidP="00CB4F5F">
      <w:pPr>
        <w:spacing w:line="360" w:lineRule="auto"/>
        <w:rPr>
          <w:color w:val="000000" w:themeColor="text1"/>
        </w:rPr>
      </w:pPr>
      <w:r w:rsidRPr="00BF72D2">
        <w:rPr>
          <w:b/>
          <w:bCs/>
          <w:color w:val="000000" w:themeColor="text1"/>
        </w:rPr>
        <w:t>Background</w:t>
      </w:r>
      <w:r w:rsidRPr="00BF72D2">
        <w:rPr>
          <w:color w:val="000000" w:themeColor="text1"/>
        </w:rPr>
        <w:t xml:space="preserve">: Escalating demands upon NICE’s Single Technology Appraisal (STA) programme </w:t>
      </w:r>
      <w:r w:rsidR="003A0C2C" w:rsidRPr="00BF72D2">
        <w:rPr>
          <w:color w:val="000000" w:themeColor="text1"/>
        </w:rPr>
        <w:t>require</w:t>
      </w:r>
      <w:r w:rsidRPr="00BF72D2">
        <w:rPr>
          <w:color w:val="000000" w:themeColor="text1"/>
        </w:rPr>
        <w:t xml:space="preserve"> a 2.5x increase </w:t>
      </w:r>
      <w:r w:rsidR="000151C0" w:rsidRPr="00BF72D2">
        <w:rPr>
          <w:color w:val="000000" w:themeColor="text1"/>
        </w:rPr>
        <w:t>up</w:t>
      </w:r>
      <w:r w:rsidR="006C63F3" w:rsidRPr="00BF72D2">
        <w:rPr>
          <w:color w:val="000000" w:themeColor="text1"/>
        </w:rPr>
        <w:t xml:space="preserve">on 2015 </w:t>
      </w:r>
      <w:r w:rsidR="000151C0" w:rsidRPr="00BF72D2">
        <w:rPr>
          <w:color w:val="000000" w:themeColor="text1"/>
        </w:rPr>
        <w:t>capacity</w:t>
      </w:r>
      <w:r w:rsidR="006C63F3" w:rsidRPr="00BF72D2">
        <w:rPr>
          <w:color w:val="000000" w:themeColor="text1"/>
        </w:rPr>
        <w:t xml:space="preserve"> </w:t>
      </w:r>
      <w:r w:rsidRPr="00BF72D2">
        <w:rPr>
          <w:color w:val="000000" w:themeColor="text1"/>
        </w:rPr>
        <w:t>by 2020</w:t>
      </w:r>
      <w:r w:rsidR="0000142B" w:rsidRPr="00BF72D2">
        <w:rPr>
          <w:color w:val="000000" w:themeColor="text1"/>
        </w:rPr>
        <w:t>. T</w:t>
      </w:r>
      <w:r w:rsidRPr="00BF72D2">
        <w:rPr>
          <w:color w:val="000000" w:themeColor="text1"/>
        </w:rPr>
        <w:t xml:space="preserve">his additional strain upon committee resources threatens to compromise the rigour of the STA process. In 2018, NICE introduced changes </w:t>
      </w:r>
      <w:r w:rsidR="00860479">
        <w:rPr>
          <w:color w:val="000000" w:themeColor="text1"/>
        </w:rPr>
        <w:t xml:space="preserve">to the appraisal process </w:t>
      </w:r>
      <w:r w:rsidRPr="00BF72D2">
        <w:rPr>
          <w:color w:val="000000" w:themeColor="text1"/>
        </w:rPr>
        <w:t>aiming to expedite final decisions</w:t>
      </w:r>
      <w:r w:rsidR="00860479">
        <w:rPr>
          <w:color w:val="000000" w:themeColor="text1"/>
        </w:rPr>
        <w:t xml:space="preserve">, including consultation opportunities </w:t>
      </w:r>
      <w:r w:rsidR="00D95C4C">
        <w:rPr>
          <w:color w:val="000000" w:themeColor="text1"/>
        </w:rPr>
        <w:t xml:space="preserve">prior to the </w:t>
      </w:r>
      <w:r w:rsidR="00860479">
        <w:rPr>
          <w:color w:val="000000" w:themeColor="text1"/>
        </w:rPr>
        <w:t>company</w:t>
      </w:r>
      <w:r w:rsidR="00D95C4C">
        <w:rPr>
          <w:color w:val="000000" w:themeColor="text1"/>
        </w:rPr>
        <w:t>’s evidence</w:t>
      </w:r>
      <w:r w:rsidR="00860479">
        <w:rPr>
          <w:color w:val="000000" w:themeColor="text1"/>
        </w:rPr>
        <w:t xml:space="preserve"> </w:t>
      </w:r>
      <w:r w:rsidR="00D95C4C">
        <w:rPr>
          <w:color w:val="000000" w:themeColor="text1"/>
        </w:rPr>
        <w:t>submission</w:t>
      </w:r>
      <w:r w:rsidR="00860479">
        <w:rPr>
          <w:color w:val="000000" w:themeColor="text1"/>
        </w:rPr>
        <w:t>, a ‘Technical Engagement’</w:t>
      </w:r>
      <w:r w:rsidR="00D95C4C">
        <w:rPr>
          <w:color w:val="000000" w:themeColor="text1"/>
        </w:rPr>
        <w:t xml:space="preserve"> stage</w:t>
      </w:r>
      <w:r w:rsidR="00860479">
        <w:rPr>
          <w:color w:val="000000" w:themeColor="text1"/>
        </w:rPr>
        <w:t xml:space="preserve"> prior to the first Committee meeting, and </w:t>
      </w:r>
      <w:r w:rsidR="00D95C4C">
        <w:rPr>
          <w:color w:val="000000" w:themeColor="text1"/>
        </w:rPr>
        <w:t>powers for Committee chairs to recommend</w:t>
      </w:r>
      <w:r w:rsidR="00860479">
        <w:rPr>
          <w:color w:val="000000" w:themeColor="text1"/>
        </w:rPr>
        <w:t xml:space="preserve"> technologies without a second formal meeting</w:t>
      </w:r>
      <w:r w:rsidR="00F21E47" w:rsidRPr="00BF72D2">
        <w:rPr>
          <w:color w:val="000000" w:themeColor="text1"/>
        </w:rPr>
        <w:t>.</w:t>
      </w:r>
    </w:p>
    <w:p w14:paraId="052637FA" w14:textId="1003535A" w:rsidR="00CB4F5F" w:rsidRPr="00BF72D2" w:rsidRDefault="00CB4F5F" w:rsidP="00CB4F5F">
      <w:pPr>
        <w:spacing w:line="360" w:lineRule="auto"/>
        <w:rPr>
          <w:b/>
          <w:color w:val="000000" w:themeColor="text1"/>
        </w:rPr>
      </w:pPr>
      <w:r w:rsidRPr="00BF72D2">
        <w:rPr>
          <w:b/>
          <w:color w:val="000000" w:themeColor="text1"/>
        </w:rPr>
        <w:t>Objective:</w:t>
      </w:r>
      <w:r w:rsidRPr="00BF72D2">
        <w:rPr>
          <w:color w:val="000000" w:themeColor="text1"/>
        </w:rPr>
        <w:t xml:space="preserve"> This study reviews </w:t>
      </w:r>
      <w:r w:rsidR="003A0C2C" w:rsidRPr="00BF72D2">
        <w:rPr>
          <w:color w:val="000000" w:themeColor="text1"/>
        </w:rPr>
        <w:t xml:space="preserve">recent </w:t>
      </w:r>
      <w:r w:rsidRPr="00BF72D2">
        <w:rPr>
          <w:color w:val="000000" w:themeColor="text1"/>
        </w:rPr>
        <w:t>STAs and aims to understand why appraisals require multiple meetings, and whether recent reforms can address the underlying issues.</w:t>
      </w:r>
    </w:p>
    <w:p w14:paraId="6A81029A" w14:textId="64AC8FCE" w:rsidR="00CB4F5F" w:rsidRPr="00BF72D2" w:rsidRDefault="00CB4F5F" w:rsidP="00CB4F5F">
      <w:pPr>
        <w:spacing w:line="360" w:lineRule="auto"/>
        <w:rPr>
          <w:bCs/>
          <w:color w:val="000000" w:themeColor="text1"/>
        </w:rPr>
      </w:pPr>
      <w:r w:rsidRPr="00BF72D2">
        <w:rPr>
          <w:b/>
          <w:bCs/>
          <w:color w:val="000000" w:themeColor="text1"/>
        </w:rPr>
        <w:t xml:space="preserve">Methods: </w:t>
      </w:r>
      <w:r w:rsidRPr="00BF72D2">
        <w:rPr>
          <w:bCs/>
          <w:color w:val="000000" w:themeColor="text1"/>
        </w:rPr>
        <w:t xml:space="preserve">NICE </w:t>
      </w:r>
      <w:r w:rsidR="00AD3F58" w:rsidRPr="00BF72D2">
        <w:rPr>
          <w:bCs/>
          <w:color w:val="000000" w:themeColor="text1"/>
        </w:rPr>
        <w:t>STAs</w:t>
      </w:r>
      <w:r w:rsidRPr="00BF72D2">
        <w:rPr>
          <w:bCs/>
          <w:color w:val="000000" w:themeColor="text1"/>
        </w:rPr>
        <w:t xml:space="preserve"> published between January 2010 and January 2018 </w:t>
      </w:r>
      <w:r w:rsidR="00AD3F58" w:rsidRPr="00BF72D2">
        <w:rPr>
          <w:bCs/>
          <w:color w:val="000000" w:themeColor="text1"/>
        </w:rPr>
        <w:t>were</w:t>
      </w:r>
      <w:r w:rsidRPr="00BF72D2">
        <w:rPr>
          <w:bCs/>
          <w:color w:val="000000" w:themeColor="text1"/>
        </w:rPr>
        <w:t xml:space="preserve"> reviewed, excluding updates or re-considerations. Data on cost, clinical, and decision-making outcomes from 146 appraisals were extracted and analysed</w:t>
      </w:r>
      <w:r w:rsidR="003A0C2C" w:rsidRPr="00BF72D2">
        <w:rPr>
          <w:bCs/>
          <w:color w:val="000000" w:themeColor="text1"/>
        </w:rPr>
        <w:t xml:space="preserve"> thematically</w:t>
      </w:r>
      <w:r w:rsidRPr="00BF72D2">
        <w:rPr>
          <w:bCs/>
          <w:color w:val="000000" w:themeColor="text1"/>
        </w:rPr>
        <w:t xml:space="preserve">. </w:t>
      </w:r>
    </w:p>
    <w:p w14:paraId="2E07182F" w14:textId="3ACCF125" w:rsidR="00CB4F5F" w:rsidRPr="00BF72D2" w:rsidRDefault="00CB4F5F" w:rsidP="00CB4F5F">
      <w:pPr>
        <w:spacing w:line="360" w:lineRule="auto"/>
        <w:rPr>
          <w:bCs/>
          <w:color w:val="000000" w:themeColor="text1"/>
        </w:rPr>
      </w:pPr>
      <w:r w:rsidRPr="00BF72D2">
        <w:rPr>
          <w:b/>
          <w:bCs/>
          <w:color w:val="000000" w:themeColor="text1"/>
        </w:rPr>
        <w:t>Results:</w:t>
      </w:r>
      <w:r w:rsidRPr="00BF72D2">
        <w:rPr>
          <w:bCs/>
          <w:color w:val="000000" w:themeColor="text1"/>
        </w:rPr>
        <w:t xml:space="preserve"> Drugs for advanced cancers were least likely to be recommended (28/</w:t>
      </w:r>
      <w:r w:rsidR="003A0C2C" w:rsidRPr="00BF72D2">
        <w:rPr>
          <w:bCs/>
          <w:color w:val="000000" w:themeColor="text1"/>
        </w:rPr>
        <w:t>43 [65.1%] versus 71/74 [96%]</w:t>
      </w:r>
      <w:r w:rsidRPr="00BF72D2">
        <w:rPr>
          <w:bCs/>
          <w:color w:val="000000" w:themeColor="text1"/>
        </w:rPr>
        <w:t xml:space="preserve"> non-cancer), </w:t>
      </w:r>
      <w:r w:rsidR="006C63F3" w:rsidRPr="00BF72D2">
        <w:rPr>
          <w:bCs/>
          <w:color w:val="000000" w:themeColor="text1"/>
        </w:rPr>
        <w:t>and took longer (</w:t>
      </w:r>
      <w:r w:rsidRPr="00BF72D2">
        <w:rPr>
          <w:bCs/>
          <w:color w:val="000000" w:themeColor="text1"/>
        </w:rPr>
        <w:t xml:space="preserve">2.36 meetings </w:t>
      </w:r>
      <w:r w:rsidR="003A0C2C" w:rsidRPr="00BF72D2">
        <w:rPr>
          <w:bCs/>
          <w:color w:val="000000" w:themeColor="text1"/>
        </w:rPr>
        <w:t>for a</w:t>
      </w:r>
      <w:r w:rsidRPr="00BF72D2">
        <w:rPr>
          <w:bCs/>
          <w:color w:val="000000" w:themeColor="text1"/>
        </w:rPr>
        <w:t xml:space="preserve"> final decision </w:t>
      </w:r>
      <w:r w:rsidR="00AD3F58" w:rsidRPr="00BF72D2">
        <w:rPr>
          <w:bCs/>
          <w:color w:val="000000" w:themeColor="text1"/>
        </w:rPr>
        <w:t xml:space="preserve">versus </w:t>
      </w:r>
      <w:r w:rsidRPr="00BF72D2">
        <w:rPr>
          <w:bCs/>
          <w:color w:val="000000" w:themeColor="text1"/>
        </w:rPr>
        <w:t xml:space="preserve">1.97 non-cancer). The academic review </w:t>
      </w:r>
      <w:r w:rsidR="003A0C2C" w:rsidRPr="00BF72D2">
        <w:rPr>
          <w:bCs/>
          <w:color w:val="000000" w:themeColor="text1"/>
        </w:rPr>
        <w:t>increased upon the</w:t>
      </w:r>
      <w:r w:rsidRPr="00BF72D2">
        <w:rPr>
          <w:bCs/>
          <w:color w:val="000000" w:themeColor="text1"/>
        </w:rPr>
        <w:t xml:space="preserve"> company’s base-case ICER</w:t>
      </w:r>
      <w:r w:rsidR="003A0C2C" w:rsidRPr="00BF72D2">
        <w:rPr>
          <w:bCs/>
          <w:color w:val="000000" w:themeColor="text1"/>
        </w:rPr>
        <w:t xml:space="preserve"> by </w:t>
      </w:r>
      <w:r w:rsidR="00F77530">
        <w:rPr>
          <w:bCs/>
          <w:color w:val="000000" w:themeColor="text1"/>
        </w:rPr>
        <w:t xml:space="preserve"> a median of </w:t>
      </w:r>
      <w:r w:rsidR="003A0C2C" w:rsidRPr="00BF72D2">
        <w:rPr>
          <w:bCs/>
          <w:color w:val="000000" w:themeColor="text1"/>
        </w:rPr>
        <w:t>32.7%.</w:t>
      </w:r>
      <w:r w:rsidRPr="00BF72D2">
        <w:rPr>
          <w:bCs/>
          <w:color w:val="000000" w:themeColor="text1"/>
        </w:rPr>
        <w:t>Eighty-four (57.5%) technologies received a negative preliminary recommendation, deferring a final decision by an average of 142 days. 85.1%</w:t>
      </w:r>
      <w:r w:rsidR="00AD3F58" w:rsidRPr="00BF72D2">
        <w:rPr>
          <w:bCs/>
          <w:color w:val="000000" w:themeColor="text1"/>
        </w:rPr>
        <w:t xml:space="preserve"> of these </w:t>
      </w:r>
      <w:r w:rsidRPr="00BF72D2">
        <w:rPr>
          <w:bCs/>
          <w:color w:val="000000" w:themeColor="text1"/>
        </w:rPr>
        <w:t>were not considered cost-effective</w:t>
      </w:r>
      <w:r w:rsidR="00FC29DD" w:rsidRPr="00BF72D2">
        <w:rPr>
          <w:bCs/>
          <w:color w:val="000000" w:themeColor="text1"/>
        </w:rPr>
        <w:t>. U</w:t>
      </w:r>
      <w:r w:rsidRPr="00BF72D2">
        <w:rPr>
          <w:bCs/>
          <w:color w:val="000000" w:themeColor="text1"/>
        </w:rPr>
        <w:t>ncertainty in economic (59.7%) and clinical (29.8%) data also prevented a positive decision.</w:t>
      </w:r>
      <w:r w:rsidR="001E4842">
        <w:rPr>
          <w:bCs/>
          <w:color w:val="000000" w:themeColor="text1"/>
        </w:rPr>
        <w:t xml:space="preserve"> </w:t>
      </w:r>
      <w:r w:rsidR="000151C0" w:rsidRPr="00BF72D2">
        <w:rPr>
          <w:bCs/>
          <w:color w:val="000000" w:themeColor="text1"/>
        </w:rPr>
        <w:t>The majority</w:t>
      </w:r>
      <w:r w:rsidRPr="00BF72D2">
        <w:rPr>
          <w:bCs/>
          <w:color w:val="000000" w:themeColor="text1"/>
        </w:rPr>
        <w:t xml:space="preserve"> </w:t>
      </w:r>
      <w:r w:rsidR="000151C0" w:rsidRPr="00BF72D2">
        <w:rPr>
          <w:bCs/>
          <w:color w:val="000000" w:themeColor="text1"/>
        </w:rPr>
        <w:t>(</w:t>
      </w:r>
      <w:r w:rsidRPr="00BF72D2">
        <w:rPr>
          <w:bCs/>
          <w:color w:val="000000" w:themeColor="text1"/>
        </w:rPr>
        <w:t>72.6%</w:t>
      </w:r>
      <w:r w:rsidR="00AD3F58" w:rsidRPr="00BF72D2">
        <w:rPr>
          <w:bCs/>
          <w:color w:val="000000" w:themeColor="text1"/>
        </w:rPr>
        <w:t xml:space="preserve"> [61/84]</w:t>
      </w:r>
      <w:r w:rsidR="000151C0" w:rsidRPr="00BF72D2">
        <w:rPr>
          <w:bCs/>
          <w:color w:val="000000" w:themeColor="text1"/>
        </w:rPr>
        <w:t>)</w:t>
      </w:r>
      <w:r w:rsidRPr="00BF72D2">
        <w:rPr>
          <w:bCs/>
          <w:color w:val="000000" w:themeColor="text1"/>
        </w:rPr>
        <w:t xml:space="preserve"> of negative preliminary decisions were overturned following further committee discussion; important considerations were Patient Access Schemes, decision optimisation, and the Cancer Drugs Fund. </w:t>
      </w:r>
    </w:p>
    <w:p w14:paraId="6137999D" w14:textId="634BDAE7" w:rsidR="00CB4F5F" w:rsidRPr="00BF72D2" w:rsidRDefault="00CB4F5F" w:rsidP="00CB4F5F">
      <w:pPr>
        <w:spacing w:line="360" w:lineRule="auto"/>
        <w:rPr>
          <w:color w:val="000000" w:themeColor="text1"/>
        </w:rPr>
      </w:pPr>
      <w:r w:rsidRPr="00BF72D2">
        <w:rPr>
          <w:b/>
          <w:bCs/>
          <w:color w:val="000000" w:themeColor="text1"/>
        </w:rPr>
        <w:lastRenderedPageBreak/>
        <w:t xml:space="preserve">Conclusions: </w:t>
      </w:r>
      <w:r w:rsidRPr="00BF72D2">
        <w:rPr>
          <w:color w:val="000000" w:themeColor="text1"/>
        </w:rPr>
        <w:t xml:space="preserve">Value considerations are the primary driver of negative preliminary recommendations. It is unclear if new opportunities for additional interaction between NICE, </w:t>
      </w:r>
      <w:r w:rsidR="00860479">
        <w:rPr>
          <w:color w:val="000000" w:themeColor="text1"/>
        </w:rPr>
        <w:t>review groups</w:t>
      </w:r>
      <w:r w:rsidRPr="00BF72D2">
        <w:rPr>
          <w:color w:val="000000" w:themeColor="text1"/>
        </w:rPr>
        <w:t>, and manufacturers will meaningfully improve the efficiency of the appraisal process, particularly given the proportion of technologies requiring further committee discussion for decision optimisation or admission into the CDF. </w:t>
      </w:r>
    </w:p>
    <w:p w14:paraId="683F7AF7" w14:textId="77777777" w:rsidR="007322F5" w:rsidRPr="00BF72D2" w:rsidRDefault="007322F5" w:rsidP="007322F5">
      <w:pPr>
        <w:rPr>
          <w:b/>
          <w:color w:val="000000" w:themeColor="text1"/>
        </w:rPr>
      </w:pPr>
      <w:r w:rsidRPr="00BF72D2">
        <w:rPr>
          <w:b/>
          <w:color w:val="000000" w:themeColor="text1"/>
        </w:rPr>
        <w:t>Key Points for Decision Makers</w:t>
      </w:r>
    </w:p>
    <w:p w14:paraId="25352951" w14:textId="76F37A70" w:rsidR="007322F5" w:rsidRPr="00BF72D2" w:rsidRDefault="007322F5" w:rsidP="007322F5">
      <w:pPr>
        <w:rPr>
          <w:color w:val="000000" w:themeColor="text1"/>
        </w:rPr>
      </w:pPr>
      <w:r w:rsidRPr="00BF72D2">
        <w:rPr>
          <w:color w:val="000000" w:themeColor="text1"/>
        </w:rPr>
        <w:t>NICE have introduced further opportunities for technical engagement and co-operation with manufacturers during the STA process to help the Appraisal Committee make more timely decisions.</w:t>
      </w:r>
      <w:r w:rsidR="00B3243E" w:rsidRPr="00BF72D2">
        <w:rPr>
          <w:color w:val="000000" w:themeColor="text1"/>
        </w:rPr>
        <w:t xml:space="preserve"> It </w:t>
      </w:r>
      <w:r w:rsidR="009F5243" w:rsidRPr="00BF72D2">
        <w:rPr>
          <w:color w:val="000000" w:themeColor="text1"/>
        </w:rPr>
        <w:t>remains</w:t>
      </w:r>
      <w:r w:rsidR="00B3243E" w:rsidRPr="00BF72D2">
        <w:rPr>
          <w:color w:val="000000" w:themeColor="text1"/>
        </w:rPr>
        <w:t xml:space="preserve"> uncertain if this will have any substantive impact on overall process efficiency.</w:t>
      </w:r>
    </w:p>
    <w:p w14:paraId="037EDB73" w14:textId="77777777" w:rsidR="007322F5" w:rsidRPr="00BF72D2" w:rsidRDefault="007322F5" w:rsidP="007322F5">
      <w:pPr>
        <w:rPr>
          <w:color w:val="000000" w:themeColor="text1"/>
        </w:rPr>
      </w:pPr>
      <w:r w:rsidRPr="00BF72D2">
        <w:rPr>
          <w:color w:val="000000" w:themeColor="text1"/>
        </w:rPr>
        <w:t>The vast majority of NICE’s negative decisions stem from an often wide disparity between manufacturer and Evidence Review Groups’ estimates of the value of a new technology.</w:t>
      </w:r>
    </w:p>
    <w:p w14:paraId="34B58825" w14:textId="77777777" w:rsidR="007322F5" w:rsidRPr="00BF72D2" w:rsidRDefault="007322F5" w:rsidP="007322F5">
      <w:pPr>
        <w:rPr>
          <w:color w:val="000000" w:themeColor="text1"/>
        </w:rPr>
      </w:pPr>
      <w:r w:rsidRPr="00BF72D2">
        <w:rPr>
          <w:color w:val="000000" w:themeColor="text1"/>
        </w:rPr>
        <w:t>The introduction or enhancement of a Patient Access Scheme discount, and focus on a more clinically- or cost-effective subgroup were the two most effective ways of overturning a negative preliminary decision.</w:t>
      </w:r>
    </w:p>
    <w:p w14:paraId="3334C437" w14:textId="77777777" w:rsidR="007322F5" w:rsidRPr="00BF72D2" w:rsidRDefault="007322F5" w:rsidP="007322F5">
      <w:pPr>
        <w:rPr>
          <w:color w:val="000000" w:themeColor="text1"/>
        </w:rPr>
      </w:pPr>
      <w:r w:rsidRPr="00BF72D2">
        <w:rPr>
          <w:color w:val="000000" w:themeColor="text1"/>
        </w:rPr>
        <w:t>Over half of all cancer drugs have been approved through the reformed Cancer Drugs Fund in the 18 months from January 2017, resulting in a greater overall proportion of approvals. However, the time it takes to reach a final decision appears to be increasing.</w:t>
      </w:r>
    </w:p>
    <w:p w14:paraId="320AED54" w14:textId="77777777" w:rsidR="007322F5" w:rsidRPr="00BF72D2" w:rsidRDefault="007322F5" w:rsidP="00CB4F5F">
      <w:pPr>
        <w:spacing w:line="360" w:lineRule="auto"/>
        <w:rPr>
          <w:color w:val="000000" w:themeColor="text1"/>
        </w:rPr>
      </w:pPr>
    </w:p>
    <w:p w14:paraId="4C163A8C" w14:textId="01E5B108" w:rsidR="0015089F" w:rsidRPr="00BF72D2" w:rsidRDefault="00CB4F5F" w:rsidP="00D57B51">
      <w:pPr>
        <w:rPr>
          <w:rFonts w:cstheme="minorHAnsi"/>
          <w:b/>
          <w:color w:val="000000" w:themeColor="text1"/>
        </w:rPr>
      </w:pPr>
      <w:r w:rsidRPr="00BF72D2">
        <w:rPr>
          <w:color w:val="000000" w:themeColor="text1"/>
        </w:rPr>
        <w:br w:type="page"/>
      </w:r>
      <w:r w:rsidR="00D57B51" w:rsidRPr="00BF72D2">
        <w:rPr>
          <w:b/>
          <w:color w:val="000000" w:themeColor="text1"/>
        </w:rPr>
        <w:lastRenderedPageBreak/>
        <w:t xml:space="preserve">1. </w:t>
      </w:r>
      <w:r w:rsidR="008C79C9" w:rsidRPr="00BF72D2">
        <w:rPr>
          <w:rFonts w:cstheme="minorHAnsi"/>
          <w:b/>
          <w:color w:val="000000" w:themeColor="text1"/>
        </w:rPr>
        <w:t>Introduction</w:t>
      </w:r>
    </w:p>
    <w:p w14:paraId="52C88C91" w14:textId="3B3B1319" w:rsidR="00800BD1" w:rsidRPr="00BF72D2" w:rsidRDefault="00800BD1" w:rsidP="00BC46A4">
      <w:pPr>
        <w:spacing w:line="480" w:lineRule="auto"/>
        <w:rPr>
          <w:rFonts w:cstheme="minorHAnsi"/>
          <w:color w:val="000000" w:themeColor="text1"/>
        </w:rPr>
      </w:pPr>
      <w:r w:rsidRPr="00BF72D2">
        <w:rPr>
          <w:rFonts w:cstheme="minorHAnsi"/>
          <w:color w:val="000000" w:themeColor="text1"/>
        </w:rPr>
        <w:t xml:space="preserve">The National Institute for Health and Care Excellence’s (NICE) Single Technology Appraisal (STA) process is the principal route via which new pharmacological technologies are evaluated for a single indication </w:t>
      </w:r>
      <w:r w:rsidR="00DD3B82" w:rsidRPr="00BF72D2">
        <w:rPr>
          <w:rFonts w:cstheme="minorHAnsi"/>
          <w:color w:val="000000" w:themeColor="text1"/>
        </w:rPr>
        <w:t>o</w:t>
      </w:r>
      <w:r w:rsidRPr="00BF72D2">
        <w:rPr>
          <w:rFonts w:cstheme="minorHAnsi"/>
          <w:color w:val="000000" w:themeColor="text1"/>
        </w:rPr>
        <w:t>n the English NHS. This constitutes a formal submission of evidence on the clinical and cost effectiveness of the technology by the manufacturer, which is reviewed, critiqued, and supplemented by an independent Evidence Review Group (ERG). This evidence is then considered by a NICE Technology Appraisal Committee who provide a judgement on whether the technology should be recommended as a</w:t>
      </w:r>
      <w:r w:rsidR="003D01CA" w:rsidRPr="00BF72D2">
        <w:rPr>
          <w:rFonts w:cstheme="minorHAnsi"/>
          <w:color w:val="000000" w:themeColor="text1"/>
        </w:rPr>
        <w:t xml:space="preserve">n </w:t>
      </w:r>
      <w:r w:rsidRPr="00BF72D2">
        <w:rPr>
          <w:rFonts w:cstheme="minorHAnsi"/>
          <w:color w:val="000000" w:themeColor="text1"/>
        </w:rPr>
        <w:t>effective use of NHS resources. This may take the form of the appraisal consultation document (ACD), in which the Appraisal Committee set</w:t>
      </w:r>
      <w:r w:rsidR="00CF0812" w:rsidRPr="00BF72D2">
        <w:rPr>
          <w:rFonts w:cstheme="minorHAnsi"/>
          <w:color w:val="000000" w:themeColor="text1"/>
        </w:rPr>
        <w:t>s</w:t>
      </w:r>
      <w:r w:rsidRPr="00BF72D2">
        <w:rPr>
          <w:rFonts w:cstheme="minorHAnsi"/>
          <w:color w:val="000000" w:themeColor="text1"/>
        </w:rPr>
        <w:t xml:space="preserve"> out its provisional recommendations, or the final appraisal determination (FAD), which is issued after the Committee’s final decision is made</w:t>
      </w:r>
      <w:r w:rsidR="00CF0812" w:rsidRPr="00BF72D2">
        <w:rPr>
          <w:rFonts w:cstheme="minorHAnsi"/>
          <w:color w:val="000000" w:themeColor="text1"/>
        </w:rPr>
        <w:t xml:space="preserve"> </w:t>
      </w:r>
      <w:r w:rsidR="00656258" w:rsidRPr="00BF72D2">
        <w:rPr>
          <w:rFonts w:cstheme="minorHAnsi"/>
          <w:color w:val="000000" w:themeColor="text1"/>
        </w:rPr>
        <w:fldChar w:fldCharType="begin"/>
      </w:r>
      <w:r w:rsidR="00656258" w:rsidRPr="00BF72D2">
        <w:rPr>
          <w:rFonts w:cstheme="minorHAnsi"/>
          <w:color w:val="000000" w:themeColor="text1"/>
        </w:rPr>
        <w:instrText xml:space="preserve"> ADDIN EN.CITE &lt;EndNote&gt;&lt;Cite&gt;&lt;Author&gt;Excellence&lt;/Author&gt;&lt;Year&gt;2018&lt;/Year&gt;&lt;RecNum&gt;4&lt;/RecNum&gt;&lt;DisplayText&gt;[1]&lt;/DisplayText&gt;&lt;record&gt;&lt;rec-number&gt;4&lt;/rec-number&gt;&lt;foreign-keys&gt;&lt;key app="EN" db-id="5rwap9w0xt9zppefx0k5f554daxwppexp2xx" timestamp="1533207828"&gt;4&lt;/key&gt;&lt;/foreign-keys&gt;&lt;ref-type name="Report"&gt;27&lt;/ref-type&gt;&lt;contributors&gt;&lt;authors&gt;&lt;author&gt;National Institute for Health and Care Excellence&lt;/author&gt;&lt;/authors&gt;&lt;/contributors&gt;&lt;titles&gt;&lt;title&gt;Guide to the processes of technology appraisal&lt;/title&gt;&lt;/titles&gt;&lt;dates&gt;&lt;year&gt;2018&lt;/year&gt;&lt;/dates&gt;&lt;pub-location&gt;London&lt;/pub-location&gt;&lt;publisher&gt;NICE&lt;/publisher&gt;&lt;urls&gt;&lt;/urls&gt;&lt;/record&gt;&lt;/Cite&gt;&lt;/EndNote&gt;</w:instrText>
      </w:r>
      <w:r w:rsidR="00656258" w:rsidRPr="00BF72D2">
        <w:rPr>
          <w:rFonts w:cstheme="minorHAnsi"/>
          <w:color w:val="000000" w:themeColor="text1"/>
        </w:rPr>
        <w:fldChar w:fldCharType="separate"/>
      </w:r>
      <w:r w:rsidR="00656258" w:rsidRPr="00BF72D2">
        <w:rPr>
          <w:rFonts w:cstheme="minorHAnsi"/>
          <w:noProof/>
          <w:color w:val="000000" w:themeColor="text1"/>
        </w:rPr>
        <w:t>[1]</w:t>
      </w:r>
      <w:r w:rsidR="00656258" w:rsidRPr="00BF72D2">
        <w:rPr>
          <w:rFonts w:cstheme="minorHAnsi"/>
          <w:color w:val="000000" w:themeColor="text1"/>
        </w:rPr>
        <w:fldChar w:fldCharType="end"/>
      </w:r>
      <w:r w:rsidR="00656258" w:rsidRPr="00BF72D2">
        <w:rPr>
          <w:rFonts w:cstheme="minorHAnsi"/>
          <w:color w:val="000000" w:themeColor="text1"/>
        </w:rPr>
        <w:t>.</w:t>
      </w:r>
      <w:r w:rsidRPr="00BF72D2">
        <w:rPr>
          <w:rFonts w:cstheme="minorHAnsi"/>
          <w:color w:val="000000" w:themeColor="text1"/>
        </w:rPr>
        <w:t xml:space="preserve"> </w:t>
      </w:r>
    </w:p>
    <w:p w14:paraId="65FBCC0C" w14:textId="58CC7839" w:rsidR="008C79C9" w:rsidRPr="00BF72D2" w:rsidRDefault="008C79C9" w:rsidP="00800BD1">
      <w:pPr>
        <w:spacing w:line="480" w:lineRule="auto"/>
        <w:rPr>
          <w:rFonts w:cstheme="minorHAnsi"/>
          <w:color w:val="000000" w:themeColor="text1"/>
        </w:rPr>
      </w:pPr>
      <w:r w:rsidRPr="00BF72D2">
        <w:rPr>
          <w:rFonts w:cstheme="minorHAnsi"/>
          <w:color w:val="000000" w:themeColor="text1"/>
        </w:rPr>
        <w:t xml:space="preserve">The technology appraisal programme has in recent years seen a rapid increase in demand; </w:t>
      </w:r>
      <w:r w:rsidR="00F409AB" w:rsidRPr="00BF72D2">
        <w:rPr>
          <w:rFonts w:cstheme="minorHAnsi"/>
          <w:color w:val="000000" w:themeColor="text1"/>
        </w:rPr>
        <w:t xml:space="preserve">it is </w:t>
      </w:r>
      <w:r w:rsidRPr="00BF72D2">
        <w:rPr>
          <w:rFonts w:cstheme="minorHAnsi"/>
          <w:color w:val="000000" w:themeColor="text1"/>
        </w:rPr>
        <w:t xml:space="preserve">expected that the annual number of appraisals will increase to 75 over the next </w:t>
      </w:r>
      <w:r w:rsidR="00954954" w:rsidRPr="00BF72D2">
        <w:rPr>
          <w:rFonts w:cstheme="minorHAnsi"/>
          <w:color w:val="000000" w:themeColor="text1"/>
        </w:rPr>
        <w:t>two</w:t>
      </w:r>
      <w:r w:rsidRPr="00BF72D2">
        <w:rPr>
          <w:rFonts w:cstheme="minorHAnsi"/>
          <w:color w:val="000000" w:themeColor="text1"/>
        </w:rPr>
        <w:t xml:space="preserve"> years, from only 30 in 2015</w:t>
      </w:r>
      <w:r w:rsidR="00AD3F58" w:rsidRPr="00BF72D2">
        <w:rPr>
          <w:color w:val="000000" w:themeColor="text1"/>
        </w:rPr>
        <w:t xml:space="preserve"> </w:t>
      </w:r>
      <w:r w:rsidR="00AD3F58" w:rsidRPr="00BF72D2">
        <w:rPr>
          <w:rFonts w:cstheme="minorHAnsi"/>
          <w:color w:val="000000" w:themeColor="text1"/>
        </w:rPr>
        <w:fldChar w:fldCharType="begin"/>
      </w:r>
      <w:r w:rsidR="00AD3F58" w:rsidRPr="00BF72D2">
        <w:rPr>
          <w:rFonts w:cstheme="minorHAnsi"/>
          <w:color w:val="000000" w:themeColor="text1"/>
        </w:rPr>
        <w:instrText xml:space="preserve"> ADDIN EN.CITE &lt;EndNote&gt;&lt;Cite&gt;&lt;Author&gt;Excellence&lt;/Author&gt;&lt;Year&gt;2017&lt;/Year&gt;&lt;RecNum&gt;2&lt;/RecNum&gt;&lt;DisplayText&gt;[2]&lt;/DisplayText&gt;&lt;record&gt;&lt;rec-number&gt;2&lt;/rec-number&gt;&lt;foreign-keys&gt;&lt;key app="EN" db-id="5rwap9w0xt9zppefx0k5f554daxwppexp2xx" timestamp="1533206522"&gt;2&lt;/key&gt;&lt;/foreign-keys&gt;&lt;ref-type name="Report"&gt;27&lt;/ref-type&gt;&lt;contributors&gt;&lt;authors&gt;&lt;author&gt;National Institute for Health and Care Excellence&lt;/author&gt;&lt;/authors&gt;&lt;/contributors&gt;&lt;titles&gt;&lt;title&gt;Proposals for increasing capacity within NICE&amp;apos;s technology appraisal programme&lt;/title&gt;&lt;/titles&gt;&lt;dates&gt;&lt;year&gt;2017&lt;/year&gt;&lt;/dates&gt;&lt;pub-location&gt;London&lt;/pub-location&gt;&lt;publisher&gt;NICE&lt;/publisher&gt;&lt;urls&gt;&lt;/urls&gt;&lt;/record&gt;&lt;/Cite&gt;&lt;/EndNote&gt;</w:instrText>
      </w:r>
      <w:r w:rsidR="00AD3F58" w:rsidRPr="00BF72D2">
        <w:rPr>
          <w:rFonts w:cstheme="minorHAnsi"/>
          <w:color w:val="000000" w:themeColor="text1"/>
        </w:rPr>
        <w:fldChar w:fldCharType="separate"/>
      </w:r>
      <w:r w:rsidR="00AD3F58" w:rsidRPr="00BF72D2">
        <w:rPr>
          <w:rFonts w:cstheme="minorHAnsi"/>
          <w:noProof/>
          <w:color w:val="000000" w:themeColor="text1"/>
        </w:rPr>
        <w:t>[2]</w:t>
      </w:r>
      <w:r w:rsidR="00AD3F58" w:rsidRPr="00BF72D2">
        <w:rPr>
          <w:rFonts w:cstheme="minorHAnsi"/>
          <w:color w:val="000000" w:themeColor="text1"/>
        </w:rPr>
        <w:fldChar w:fldCharType="end"/>
      </w:r>
      <w:r w:rsidRPr="00BF72D2">
        <w:rPr>
          <w:rFonts w:cstheme="minorHAnsi"/>
          <w:color w:val="000000" w:themeColor="text1"/>
        </w:rPr>
        <w:t>. NICE has suggested several potential re</w:t>
      </w:r>
      <w:r w:rsidR="00CF0812" w:rsidRPr="00BF72D2">
        <w:rPr>
          <w:rFonts w:cstheme="minorHAnsi"/>
          <w:color w:val="000000" w:themeColor="text1"/>
        </w:rPr>
        <w:t>asons for this trend</w:t>
      </w:r>
      <w:bookmarkStart w:id="0" w:name="_Hlk530150101"/>
      <w:r w:rsidR="00CF0812" w:rsidRPr="00BF72D2">
        <w:rPr>
          <w:rFonts w:cstheme="minorHAnsi"/>
          <w:color w:val="000000" w:themeColor="text1"/>
        </w:rPr>
        <w:t xml:space="preserve">, </w:t>
      </w:r>
      <w:bookmarkStart w:id="1" w:name="_Hlk530150125"/>
      <w:r w:rsidR="00427A4C" w:rsidRPr="00BF72D2">
        <w:rPr>
          <w:rFonts w:cstheme="minorHAnsi"/>
          <w:color w:val="000000" w:themeColor="text1"/>
        </w:rPr>
        <w:t>principally</w:t>
      </w:r>
      <w:r w:rsidR="00CF0812" w:rsidRPr="00BF72D2">
        <w:rPr>
          <w:rFonts w:cstheme="minorHAnsi"/>
          <w:color w:val="000000" w:themeColor="text1"/>
        </w:rPr>
        <w:t xml:space="preserve"> </w:t>
      </w:r>
      <w:r w:rsidR="00781C88" w:rsidRPr="00BF72D2">
        <w:rPr>
          <w:rFonts w:cstheme="minorHAnsi"/>
          <w:color w:val="000000" w:themeColor="text1"/>
        </w:rPr>
        <w:t xml:space="preserve">the introduction of increasingly tissue-agnostic cancer drugs </w:t>
      </w:r>
      <w:r w:rsidR="00781C88" w:rsidRPr="00BF72D2">
        <w:rPr>
          <w:rFonts w:cstheme="minorHAnsi"/>
          <w:color w:val="000000" w:themeColor="text1"/>
        </w:rPr>
        <w:fldChar w:fldCharType="begin"/>
      </w:r>
      <w:r w:rsidR="00781C88" w:rsidRPr="00BF72D2">
        <w:rPr>
          <w:rFonts w:cstheme="minorHAnsi"/>
          <w:color w:val="000000" w:themeColor="text1"/>
        </w:rPr>
        <w:instrText xml:space="preserve"> ADDIN EN.CITE &lt;EndNote&gt;&lt;Cite&gt;&lt;Author&gt;Yan&lt;/Author&gt;&lt;Year&gt;2018&lt;/Year&gt;&lt;RecNum&gt;10&lt;/RecNum&gt;&lt;DisplayText&gt;[3]&lt;/DisplayText&gt;&lt;record&gt;&lt;rec-number&gt;10&lt;/rec-number&gt;&lt;foreign-keys&gt;&lt;key app="EN" db-id="5rwap9w0xt9zppefx0k5f554daxwppexp2xx" timestamp="1533820435"&gt;10&lt;/key&gt;&lt;/foreign-keys&gt;&lt;ref-type name="Journal Article"&gt;17&lt;/ref-type&gt;&lt;contributors&gt;&lt;authors&gt;&lt;author&gt;Yan, L; Zhang, W;&lt;/author&gt;&lt;/authors&gt;&lt;/contributors&gt;&lt;titles&gt;&lt;title&gt;Precision medicine becomes reality - tumour type agnostic-therapy&lt;/title&gt;&lt;secondary-title&gt;Cancer Communications&lt;/secondary-title&gt;&lt;/titles&gt;&lt;periodical&gt;&lt;full-title&gt;Cancer Communications&lt;/full-title&gt;&lt;/periodical&gt;&lt;volume&gt;38&lt;/volume&gt;&lt;number&gt;6&lt;/number&gt;&lt;dates&gt;&lt;year&gt;2018&lt;/year&gt;&lt;/dates&gt;&lt;urls&gt;&lt;/urls&gt;&lt;/record&gt;&lt;/Cite&gt;&lt;/EndNote&gt;</w:instrText>
      </w:r>
      <w:r w:rsidR="00781C88" w:rsidRPr="00BF72D2">
        <w:rPr>
          <w:rFonts w:cstheme="minorHAnsi"/>
          <w:color w:val="000000" w:themeColor="text1"/>
        </w:rPr>
        <w:fldChar w:fldCharType="separate"/>
      </w:r>
      <w:r w:rsidR="00781C88" w:rsidRPr="00BF72D2">
        <w:rPr>
          <w:rFonts w:cstheme="minorHAnsi"/>
          <w:noProof/>
          <w:color w:val="000000" w:themeColor="text1"/>
        </w:rPr>
        <w:t>[3]</w:t>
      </w:r>
      <w:r w:rsidR="00781C88" w:rsidRPr="00BF72D2">
        <w:rPr>
          <w:rFonts w:cstheme="minorHAnsi"/>
          <w:color w:val="000000" w:themeColor="text1"/>
        </w:rPr>
        <w:fldChar w:fldCharType="end"/>
      </w:r>
      <w:r w:rsidR="00781C88" w:rsidRPr="00BF72D2">
        <w:rPr>
          <w:rFonts w:cstheme="minorHAnsi"/>
          <w:color w:val="000000" w:themeColor="text1"/>
        </w:rPr>
        <w:t xml:space="preserve">, </w:t>
      </w:r>
      <w:bookmarkEnd w:id="0"/>
      <w:r w:rsidR="00781C88" w:rsidRPr="00BF72D2">
        <w:rPr>
          <w:rFonts w:cstheme="minorHAnsi"/>
          <w:color w:val="000000" w:themeColor="text1"/>
        </w:rPr>
        <w:t xml:space="preserve">which under current processes may have more than 10 indications to be individually appraised </w:t>
      </w:r>
      <w:r w:rsidR="00781C88" w:rsidRPr="00BF72D2">
        <w:rPr>
          <w:rFonts w:cstheme="minorHAnsi"/>
          <w:color w:val="000000" w:themeColor="text1"/>
        </w:rPr>
        <w:fldChar w:fldCharType="begin"/>
      </w:r>
      <w:r w:rsidR="00781C88" w:rsidRPr="00BF72D2">
        <w:rPr>
          <w:rFonts w:cstheme="minorHAnsi"/>
          <w:color w:val="000000" w:themeColor="text1"/>
        </w:rPr>
        <w:instrText xml:space="preserve"> ADDIN EN.CITE &lt;EndNote&gt;&lt;Cite&gt;&lt;Author&gt;Excellence&lt;/Author&gt;&lt;Year&gt;2017&lt;/Year&gt;&lt;RecNum&gt;2&lt;/RecNum&gt;&lt;DisplayText&gt;[2]&lt;/DisplayText&gt;&lt;record&gt;&lt;rec-number&gt;2&lt;/rec-number&gt;&lt;foreign-keys&gt;&lt;key app="EN" db-id="5rwap9w0xt9zppefx0k5f554daxwppexp2xx" timestamp="1533206522"&gt;2&lt;/key&gt;&lt;/foreign-keys&gt;&lt;ref-type name="Report"&gt;27&lt;/ref-type&gt;&lt;contributors&gt;&lt;authors&gt;&lt;author&gt;National Institute for Health and Care Excellence&lt;/author&gt;&lt;/authors&gt;&lt;/contributors&gt;&lt;titles&gt;&lt;title&gt;Proposals for increasing capacity within NICE&amp;apos;s technology appraisal programme&lt;/title&gt;&lt;/titles&gt;&lt;dates&gt;&lt;year&gt;2017&lt;/year&gt;&lt;/dates&gt;&lt;pub-location&gt;London&lt;/pub-location&gt;&lt;publisher&gt;NICE&lt;/publisher&gt;&lt;urls&gt;&lt;/urls&gt;&lt;/record&gt;&lt;/Cite&gt;&lt;/EndNote&gt;</w:instrText>
      </w:r>
      <w:r w:rsidR="00781C88" w:rsidRPr="00BF72D2">
        <w:rPr>
          <w:rFonts w:cstheme="minorHAnsi"/>
          <w:color w:val="000000" w:themeColor="text1"/>
        </w:rPr>
        <w:fldChar w:fldCharType="separate"/>
      </w:r>
      <w:r w:rsidR="00781C88" w:rsidRPr="00BF72D2">
        <w:rPr>
          <w:rFonts w:cstheme="minorHAnsi"/>
          <w:noProof/>
          <w:color w:val="000000" w:themeColor="text1"/>
        </w:rPr>
        <w:t>[2]</w:t>
      </w:r>
      <w:r w:rsidR="00781C88" w:rsidRPr="00BF72D2">
        <w:rPr>
          <w:rFonts w:cstheme="minorHAnsi"/>
          <w:color w:val="000000" w:themeColor="text1"/>
        </w:rPr>
        <w:fldChar w:fldCharType="end"/>
      </w:r>
      <w:r w:rsidR="00781C88" w:rsidRPr="00BF72D2">
        <w:rPr>
          <w:rFonts w:cstheme="minorHAnsi"/>
          <w:color w:val="000000" w:themeColor="text1"/>
        </w:rPr>
        <w:t>.</w:t>
      </w:r>
      <w:bookmarkEnd w:id="1"/>
      <w:r w:rsidR="00781C88" w:rsidRPr="00BF72D2">
        <w:rPr>
          <w:rFonts w:cstheme="minorHAnsi"/>
          <w:color w:val="000000" w:themeColor="text1"/>
        </w:rPr>
        <w:t xml:space="preserve"> </w:t>
      </w:r>
      <w:bookmarkStart w:id="2" w:name="_Hlk530150148"/>
      <w:r w:rsidR="00781C88" w:rsidRPr="00BF72D2">
        <w:rPr>
          <w:rFonts w:cstheme="minorHAnsi"/>
          <w:color w:val="000000" w:themeColor="text1"/>
        </w:rPr>
        <w:t>Another challenge is presented by the</w:t>
      </w:r>
      <w:r w:rsidRPr="00BF72D2">
        <w:rPr>
          <w:rFonts w:cstheme="minorHAnsi"/>
          <w:color w:val="000000" w:themeColor="text1"/>
        </w:rPr>
        <w:t xml:space="preserve"> </w:t>
      </w:r>
      <w:r w:rsidR="00CF0812" w:rsidRPr="00BF72D2">
        <w:rPr>
          <w:rFonts w:cstheme="minorHAnsi"/>
          <w:color w:val="000000" w:themeColor="text1"/>
        </w:rPr>
        <w:t>growing</w:t>
      </w:r>
      <w:r w:rsidRPr="00BF72D2">
        <w:rPr>
          <w:rFonts w:cstheme="minorHAnsi"/>
          <w:color w:val="000000" w:themeColor="text1"/>
        </w:rPr>
        <w:t xml:space="preserve"> tendency for marketing authorisation to be granted earlier in produ</w:t>
      </w:r>
      <w:r w:rsidR="009B2584" w:rsidRPr="00BF72D2">
        <w:rPr>
          <w:rFonts w:cstheme="minorHAnsi"/>
          <w:color w:val="000000" w:themeColor="text1"/>
        </w:rPr>
        <w:t>ct development</w:t>
      </w:r>
      <w:r w:rsidR="00DE707D" w:rsidRPr="00BF72D2">
        <w:rPr>
          <w:rFonts w:cstheme="minorHAnsi"/>
          <w:color w:val="000000" w:themeColor="text1"/>
        </w:rPr>
        <w:t>. W</w:t>
      </w:r>
      <w:r w:rsidR="00CF0812" w:rsidRPr="00BF72D2">
        <w:rPr>
          <w:rFonts w:cstheme="minorHAnsi"/>
          <w:color w:val="000000" w:themeColor="text1"/>
        </w:rPr>
        <w:t>hile this can mean more timely access for patients, it also adds greater complexity and uncertainty to each topic.</w:t>
      </w:r>
      <w:r w:rsidR="009B2584" w:rsidRPr="00BF72D2">
        <w:rPr>
          <w:rFonts w:cstheme="minorHAnsi"/>
          <w:color w:val="000000" w:themeColor="text1"/>
        </w:rPr>
        <w:t xml:space="preserve"> </w:t>
      </w:r>
      <w:bookmarkEnd w:id="2"/>
      <w:r w:rsidR="004263F3" w:rsidRPr="00BF72D2">
        <w:rPr>
          <w:rFonts w:cstheme="minorHAnsi"/>
          <w:color w:val="000000" w:themeColor="text1"/>
        </w:rPr>
        <w:t xml:space="preserve">Given the increasing demands placed upon the appraisal committees, NICE has judged the substantial committee resources currently dedicated to each topic to be inefficient and unsustainable </w:t>
      </w:r>
      <w:r w:rsidR="004263F3" w:rsidRPr="00BF72D2">
        <w:rPr>
          <w:rFonts w:cstheme="minorHAnsi"/>
          <w:color w:val="000000" w:themeColor="text1"/>
        </w:rPr>
        <w:fldChar w:fldCharType="begin"/>
      </w:r>
      <w:r w:rsidR="00AD3F58" w:rsidRPr="00BF72D2">
        <w:rPr>
          <w:rFonts w:cstheme="minorHAnsi"/>
          <w:color w:val="000000" w:themeColor="text1"/>
        </w:rPr>
        <w:instrText xml:space="preserve"> ADDIN EN.CITE &lt;EndNote&gt;&lt;Cite&gt;&lt;Author&gt;Excellence&lt;/Author&gt;&lt;Year&gt;2017&lt;/Year&gt;&lt;RecNum&gt;2&lt;/RecNum&gt;&lt;DisplayText&gt;[2]&lt;/DisplayText&gt;&lt;record&gt;&lt;rec-number&gt;2&lt;/rec-number&gt;&lt;foreign-keys&gt;&lt;key app="EN" db-id="5rwap9w0xt9zppefx0k5f554daxwppexp2xx" timestamp="1533206522"&gt;2&lt;/key&gt;&lt;/foreign-keys&gt;&lt;ref-type name="Report"&gt;27&lt;/ref-type&gt;&lt;contributors&gt;&lt;authors&gt;&lt;author&gt;National Institute for Health and Care Excellence&lt;/author&gt;&lt;/authors&gt;&lt;/contributors&gt;&lt;titles&gt;&lt;title&gt;Proposals for increasing capacity within NICE&amp;apos;s technology appraisal programme&lt;/title&gt;&lt;/titles&gt;&lt;dates&gt;&lt;year&gt;2017&lt;/year&gt;&lt;/dates&gt;&lt;pub-location&gt;London&lt;/pub-location&gt;&lt;publisher&gt;NICE&lt;/publisher&gt;&lt;urls&gt;&lt;/urls&gt;&lt;/record&gt;&lt;/Cite&gt;&lt;/EndNote&gt;</w:instrText>
      </w:r>
      <w:r w:rsidR="004263F3" w:rsidRPr="00BF72D2">
        <w:rPr>
          <w:rFonts w:cstheme="minorHAnsi"/>
          <w:color w:val="000000" w:themeColor="text1"/>
        </w:rPr>
        <w:fldChar w:fldCharType="separate"/>
      </w:r>
      <w:r w:rsidR="00AD3F58" w:rsidRPr="00BF72D2">
        <w:rPr>
          <w:rFonts w:cstheme="minorHAnsi"/>
          <w:noProof/>
          <w:color w:val="000000" w:themeColor="text1"/>
        </w:rPr>
        <w:t>[2]</w:t>
      </w:r>
      <w:r w:rsidR="004263F3" w:rsidRPr="00BF72D2">
        <w:rPr>
          <w:rFonts w:cstheme="minorHAnsi"/>
          <w:color w:val="000000" w:themeColor="text1"/>
        </w:rPr>
        <w:fldChar w:fldCharType="end"/>
      </w:r>
      <w:r w:rsidR="004263F3" w:rsidRPr="00BF72D2">
        <w:rPr>
          <w:rFonts w:cstheme="minorHAnsi"/>
          <w:color w:val="000000" w:themeColor="text1"/>
        </w:rPr>
        <w:t xml:space="preserve">. </w:t>
      </w:r>
      <w:r w:rsidR="00121488" w:rsidRPr="00BF72D2">
        <w:rPr>
          <w:rFonts w:cstheme="minorHAnsi"/>
          <w:color w:val="000000" w:themeColor="text1"/>
        </w:rPr>
        <w:t>E</w:t>
      </w:r>
      <w:r w:rsidRPr="00BF72D2">
        <w:rPr>
          <w:rFonts w:cstheme="minorHAnsi"/>
          <w:color w:val="000000" w:themeColor="text1"/>
        </w:rPr>
        <w:t>ach appraisal now requ</w:t>
      </w:r>
      <w:r w:rsidR="004263F3" w:rsidRPr="00BF72D2">
        <w:rPr>
          <w:rFonts w:cstheme="minorHAnsi"/>
          <w:color w:val="000000" w:themeColor="text1"/>
        </w:rPr>
        <w:t>ires an average of 2.5 meetings</w:t>
      </w:r>
      <w:r w:rsidR="002A7BD5" w:rsidRPr="00BF72D2">
        <w:rPr>
          <w:rFonts w:cstheme="minorHAnsi"/>
          <w:color w:val="000000" w:themeColor="text1"/>
        </w:rPr>
        <w:t xml:space="preserve"> </w:t>
      </w:r>
      <w:r w:rsidR="00427A4C" w:rsidRPr="00BF72D2">
        <w:rPr>
          <w:rFonts w:cstheme="minorHAnsi"/>
          <w:color w:val="000000" w:themeColor="text1"/>
        </w:rPr>
        <w:fldChar w:fldCharType="begin"/>
      </w:r>
      <w:r w:rsidR="00427A4C" w:rsidRPr="00BF72D2">
        <w:rPr>
          <w:rFonts w:cstheme="minorHAnsi"/>
          <w:color w:val="000000" w:themeColor="text1"/>
        </w:rPr>
        <w:instrText xml:space="preserve"> ADDIN EN.CITE &lt;EndNote&gt;&lt;Cite&gt;&lt;Author&gt;Excellence&lt;/Author&gt;&lt;Year&gt;2017&lt;/Year&gt;&lt;RecNum&gt;2&lt;/RecNum&gt;&lt;DisplayText&gt;[2]&lt;/DisplayText&gt;&lt;record&gt;&lt;rec-number&gt;2&lt;/rec-number&gt;&lt;foreign-keys&gt;&lt;key app="EN" db-id="5rwap9w0xt9zppefx0k5f554daxwppexp2xx" timestamp="1533206522"&gt;2&lt;/key&gt;&lt;/foreign-keys&gt;&lt;ref-type name="Report"&gt;27&lt;/ref-type&gt;&lt;contributors&gt;&lt;authors&gt;&lt;author&gt;National Institute for Health and Care Excellence&lt;/author&gt;&lt;/authors&gt;&lt;/contributors&gt;&lt;titles&gt;&lt;title&gt;Proposals for increasing capacity within NICE&amp;apos;s technology appraisal programme&lt;/title&gt;&lt;/titles&gt;&lt;dates&gt;&lt;year&gt;2017&lt;/year&gt;&lt;/dates&gt;&lt;pub-location&gt;London&lt;/pub-location&gt;&lt;publisher&gt;NICE&lt;/publisher&gt;&lt;urls&gt;&lt;/urls&gt;&lt;/record&gt;&lt;/Cite&gt;&lt;/EndNote&gt;</w:instrText>
      </w:r>
      <w:r w:rsidR="00427A4C" w:rsidRPr="00BF72D2">
        <w:rPr>
          <w:rFonts w:cstheme="minorHAnsi"/>
          <w:color w:val="000000" w:themeColor="text1"/>
        </w:rPr>
        <w:fldChar w:fldCharType="separate"/>
      </w:r>
      <w:r w:rsidR="00427A4C" w:rsidRPr="00BF72D2">
        <w:rPr>
          <w:rFonts w:cstheme="minorHAnsi"/>
          <w:noProof/>
          <w:color w:val="000000" w:themeColor="text1"/>
        </w:rPr>
        <w:t>[2]</w:t>
      </w:r>
      <w:r w:rsidR="00427A4C" w:rsidRPr="00BF72D2">
        <w:rPr>
          <w:rFonts w:cstheme="minorHAnsi"/>
          <w:color w:val="000000" w:themeColor="text1"/>
        </w:rPr>
        <w:fldChar w:fldCharType="end"/>
      </w:r>
      <w:r w:rsidR="00427A4C" w:rsidRPr="00BF72D2">
        <w:rPr>
          <w:rFonts w:cstheme="minorHAnsi"/>
          <w:color w:val="000000" w:themeColor="text1"/>
        </w:rPr>
        <w:t xml:space="preserve"> </w:t>
      </w:r>
      <w:r w:rsidRPr="00BF72D2">
        <w:rPr>
          <w:rFonts w:cstheme="minorHAnsi"/>
          <w:color w:val="000000" w:themeColor="text1"/>
        </w:rPr>
        <w:t xml:space="preserve">and extensive consultation until a decision can be reached and final guidance produced, meaning </w:t>
      </w:r>
      <w:r w:rsidR="00F77530">
        <w:rPr>
          <w:rFonts w:cstheme="minorHAnsi"/>
          <w:color w:val="000000" w:themeColor="text1"/>
        </w:rPr>
        <w:t>an</w:t>
      </w:r>
      <w:r w:rsidRPr="00BF72D2">
        <w:rPr>
          <w:rFonts w:cstheme="minorHAnsi"/>
          <w:color w:val="000000" w:themeColor="text1"/>
        </w:rPr>
        <w:t xml:space="preserve"> increase of </w:t>
      </w:r>
      <w:r w:rsidR="00F77530">
        <w:rPr>
          <w:rFonts w:cstheme="minorHAnsi"/>
          <w:color w:val="000000" w:themeColor="text1"/>
        </w:rPr>
        <w:t>45</w:t>
      </w:r>
      <w:r w:rsidR="00F77530" w:rsidRPr="00BF72D2">
        <w:rPr>
          <w:rFonts w:cstheme="minorHAnsi"/>
          <w:color w:val="000000" w:themeColor="text1"/>
        </w:rPr>
        <w:t xml:space="preserve"> </w:t>
      </w:r>
      <w:r w:rsidRPr="00BF72D2">
        <w:rPr>
          <w:rFonts w:cstheme="minorHAnsi"/>
          <w:color w:val="000000" w:themeColor="text1"/>
        </w:rPr>
        <w:t xml:space="preserve">topics </w:t>
      </w:r>
      <w:r w:rsidR="00121488" w:rsidRPr="00BF72D2">
        <w:rPr>
          <w:rFonts w:cstheme="minorHAnsi"/>
          <w:color w:val="000000" w:themeColor="text1"/>
        </w:rPr>
        <w:t>could</w:t>
      </w:r>
      <w:r w:rsidRPr="00BF72D2">
        <w:rPr>
          <w:rFonts w:cstheme="minorHAnsi"/>
          <w:color w:val="000000" w:themeColor="text1"/>
        </w:rPr>
        <w:t xml:space="preserve"> require </w:t>
      </w:r>
      <w:r w:rsidR="001E4842">
        <w:rPr>
          <w:rFonts w:cstheme="minorHAnsi"/>
          <w:color w:val="000000" w:themeColor="text1"/>
        </w:rPr>
        <w:t xml:space="preserve">over 100 </w:t>
      </w:r>
      <w:r w:rsidRPr="00BF72D2">
        <w:rPr>
          <w:rFonts w:cstheme="minorHAnsi"/>
          <w:color w:val="000000" w:themeColor="text1"/>
        </w:rPr>
        <w:t xml:space="preserve">further committee meetings. </w:t>
      </w:r>
    </w:p>
    <w:p w14:paraId="07CFC3DA" w14:textId="1F876BC2" w:rsidR="008C79C9" w:rsidRPr="00BF72D2" w:rsidRDefault="00CB2054" w:rsidP="00800BD1">
      <w:pPr>
        <w:spacing w:line="480" w:lineRule="auto"/>
        <w:rPr>
          <w:rFonts w:cstheme="minorHAnsi"/>
          <w:color w:val="000000" w:themeColor="text1"/>
        </w:rPr>
      </w:pPr>
      <w:bookmarkStart w:id="3" w:name="_Hlk530150187"/>
      <w:r w:rsidRPr="00BF72D2">
        <w:rPr>
          <w:rFonts w:cstheme="minorHAnsi"/>
          <w:color w:val="000000" w:themeColor="text1"/>
        </w:rPr>
        <w:t>NICE anticipates that the accommodation of such a capacity</w:t>
      </w:r>
      <w:r w:rsidR="008C79C9" w:rsidRPr="00BF72D2">
        <w:rPr>
          <w:rFonts w:cstheme="minorHAnsi"/>
          <w:color w:val="000000" w:themeColor="text1"/>
        </w:rPr>
        <w:t xml:space="preserve"> increase </w:t>
      </w:r>
      <w:r w:rsidRPr="00BF72D2">
        <w:rPr>
          <w:rFonts w:cstheme="minorHAnsi"/>
          <w:color w:val="000000" w:themeColor="text1"/>
        </w:rPr>
        <w:t>will</w:t>
      </w:r>
      <w:r w:rsidR="008C79C9" w:rsidRPr="00BF72D2">
        <w:rPr>
          <w:rFonts w:cstheme="minorHAnsi"/>
          <w:color w:val="000000" w:themeColor="text1"/>
        </w:rPr>
        <w:t xml:space="preserve"> require fundamental ch</w:t>
      </w:r>
      <w:r w:rsidR="00781C88" w:rsidRPr="00BF72D2">
        <w:rPr>
          <w:rFonts w:cstheme="minorHAnsi"/>
          <w:color w:val="000000" w:themeColor="text1"/>
        </w:rPr>
        <w:t>anges to the appraisal process. There are currently no plans to increase the number of committees or meetings, therefore</w:t>
      </w:r>
      <w:r w:rsidR="008F49D9" w:rsidRPr="00BF72D2">
        <w:rPr>
          <w:rFonts w:cstheme="minorHAnsi"/>
          <w:color w:val="000000" w:themeColor="text1"/>
        </w:rPr>
        <w:t>,</w:t>
      </w:r>
      <w:r w:rsidR="00781C88" w:rsidRPr="00BF72D2">
        <w:rPr>
          <w:rFonts w:cstheme="minorHAnsi"/>
          <w:color w:val="000000" w:themeColor="text1"/>
        </w:rPr>
        <w:t xml:space="preserve"> as</w:t>
      </w:r>
      <w:r w:rsidR="008C79C9" w:rsidRPr="00BF72D2">
        <w:rPr>
          <w:rFonts w:cstheme="minorHAnsi"/>
          <w:color w:val="000000" w:themeColor="text1"/>
        </w:rPr>
        <w:t xml:space="preserve"> the amount of committee time </w:t>
      </w:r>
      <w:r w:rsidR="00781C88" w:rsidRPr="00BF72D2">
        <w:rPr>
          <w:rFonts w:cstheme="minorHAnsi"/>
          <w:color w:val="000000" w:themeColor="text1"/>
        </w:rPr>
        <w:t xml:space="preserve">allocated for the discussion of </w:t>
      </w:r>
      <w:r w:rsidR="00781C88" w:rsidRPr="00BF72D2">
        <w:rPr>
          <w:rFonts w:cstheme="minorHAnsi"/>
          <w:color w:val="000000" w:themeColor="text1"/>
        </w:rPr>
        <w:lastRenderedPageBreak/>
        <w:t>each topic decreases,</w:t>
      </w:r>
      <w:r w:rsidR="008C79C9" w:rsidRPr="00BF72D2">
        <w:rPr>
          <w:rFonts w:cstheme="minorHAnsi"/>
          <w:color w:val="000000" w:themeColor="text1"/>
        </w:rPr>
        <w:t xml:space="preserve"> </w:t>
      </w:r>
      <w:r w:rsidR="00781C88" w:rsidRPr="00BF72D2">
        <w:rPr>
          <w:rFonts w:cstheme="minorHAnsi"/>
          <w:color w:val="000000" w:themeColor="text1"/>
        </w:rPr>
        <w:t>it is possible that these meetings will become</w:t>
      </w:r>
      <w:r w:rsidR="008C79C9" w:rsidRPr="00BF72D2">
        <w:rPr>
          <w:rFonts w:cstheme="minorHAnsi"/>
          <w:color w:val="000000" w:themeColor="text1"/>
        </w:rPr>
        <w:t xml:space="preserve"> insufficient to fully consider the case for a decision. </w:t>
      </w:r>
      <w:r w:rsidR="00121488" w:rsidRPr="00BF72D2">
        <w:rPr>
          <w:rFonts w:cstheme="minorHAnsi"/>
          <w:color w:val="000000" w:themeColor="text1"/>
        </w:rPr>
        <w:t>NICE have</w:t>
      </w:r>
      <w:r w:rsidR="008C79C9" w:rsidRPr="00BF72D2">
        <w:rPr>
          <w:rFonts w:cstheme="minorHAnsi"/>
          <w:color w:val="000000" w:themeColor="text1"/>
        </w:rPr>
        <w:t xml:space="preserve"> noted that while the majority of topics ultimately receive positive guidance, </w:t>
      </w:r>
      <w:r w:rsidR="00121488" w:rsidRPr="00BF72D2">
        <w:rPr>
          <w:rFonts w:cstheme="minorHAnsi"/>
          <w:color w:val="000000" w:themeColor="text1"/>
        </w:rPr>
        <w:t xml:space="preserve">it is </w:t>
      </w:r>
      <w:r w:rsidR="008C79C9" w:rsidRPr="00BF72D2">
        <w:rPr>
          <w:rFonts w:cstheme="minorHAnsi"/>
          <w:color w:val="000000" w:themeColor="text1"/>
        </w:rPr>
        <w:t>estimate</w:t>
      </w:r>
      <w:r w:rsidR="00121488" w:rsidRPr="00BF72D2">
        <w:rPr>
          <w:rFonts w:cstheme="minorHAnsi"/>
          <w:color w:val="000000" w:themeColor="text1"/>
        </w:rPr>
        <w:t>d</w:t>
      </w:r>
      <w:r w:rsidR="008C79C9" w:rsidRPr="00BF72D2">
        <w:rPr>
          <w:rFonts w:cstheme="minorHAnsi"/>
          <w:color w:val="000000" w:themeColor="text1"/>
        </w:rPr>
        <w:t xml:space="preserve"> that 60% of draft recommendations are negative</w:t>
      </w:r>
      <w:r w:rsidR="00427A4C" w:rsidRPr="00BF72D2">
        <w:rPr>
          <w:rFonts w:cstheme="minorHAnsi"/>
          <w:color w:val="000000" w:themeColor="text1"/>
        </w:rPr>
        <w:t xml:space="preserve"> </w:t>
      </w:r>
      <w:r w:rsidR="00427A4C" w:rsidRPr="00BF72D2">
        <w:rPr>
          <w:rFonts w:cstheme="minorHAnsi"/>
          <w:color w:val="000000" w:themeColor="text1"/>
        </w:rPr>
        <w:fldChar w:fldCharType="begin"/>
      </w:r>
      <w:r w:rsidR="00427A4C" w:rsidRPr="00BF72D2">
        <w:rPr>
          <w:rFonts w:cstheme="minorHAnsi"/>
          <w:color w:val="000000" w:themeColor="text1"/>
        </w:rPr>
        <w:instrText xml:space="preserve"> ADDIN EN.CITE &lt;EndNote&gt;&lt;Cite&gt;&lt;Author&gt;Excellence&lt;/Author&gt;&lt;Year&gt;2017&lt;/Year&gt;&lt;RecNum&gt;2&lt;/RecNum&gt;&lt;DisplayText&gt;[2]&lt;/DisplayText&gt;&lt;record&gt;&lt;rec-number&gt;2&lt;/rec-number&gt;&lt;foreign-keys&gt;&lt;key app="EN" db-id="5rwap9w0xt9zppefx0k5f554daxwppexp2xx" timestamp="1533206522"&gt;2&lt;/key&gt;&lt;/foreign-keys&gt;&lt;ref-type name="Report"&gt;27&lt;/ref-type&gt;&lt;contributors&gt;&lt;authors&gt;&lt;author&gt;National Institute for Health and Care Excellence&lt;/author&gt;&lt;/authors&gt;&lt;/contributors&gt;&lt;titles&gt;&lt;title&gt;Proposals for increasing capacity within NICE&amp;apos;s technology appraisal programme&lt;/title&gt;&lt;/titles&gt;&lt;dates&gt;&lt;year&gt;2017&lt;/year&gt;&lt;/dates&gt;&lt;pub-location&gt;London&lt;/pub-location&gt;&lt;publisher&gt;NICE&lt;/publisher&gt;&lt;urls&gt;&lt;/urls&gt;&lt;/record&gt;&lt;/Cite&gt;&lt;/EndNote&gt;</w:instrText>
      </w:r>
      <w:r w:rsidR="00427A4C" w:rsidRPr="00BF72D2">
        <w:rPr>
          <w:rFonts w:cstheme="minorHAnsi"/>
          <w:color w:val="000000" w:themeColor="text1"/>
        </w:rPr>
        <w:fldChar w:fldCharType="separate"/>
      </w:r>
      <w:r w:rsidR="00427A4C" w:rsidRPr="00BF72D2">
        <w:rPr>
          <w:rFonts w:cstheme="minorHAnsi"/>
          <w:noProof/>
          <w:color w:val="000000" w:themeColor="text1"/>
        </w:rPr>
        <w:t>[2]</w:t>
      </w:r>
      <w:r w:rsidR="00427A4C" w:rsidRPr="00BF72D2">
        <w:rPr>
          <w:rFonts w:cstheme="minorHAnsi"/>
          <w:color w:val="000000" w:themeColor="text1"/>
        </w:rPr>
        <w:fldChar w:fldCharType="end"/>
      </w:r>
      <w:r w:rsidR="00DE707D" w:rsidRPr="00BF72D2">
        <w:rPr>
          <w:rFonts w:cstheme="minorHAnsi"/>
          <w:color w:val="000000" w:themeColor="text1"/>
        </w:rPr>
        <w:t>,</w:t>
      </w:r>
      <w:r w:rsidR="008C79C9" w:rsidRPr="00BF72D2">
        <w:rPr>
          <w:rFonts w:cstheme="minorHAnsi"/>
          <w:color w:val="000000" w:themeColor="text1"/>
        </w:rPr>
        <w:t xml:space="preserve"> however, the reasons for this are not fully </w:t>
      </w:r>
      <w:r w:rsidR="00781C88" w:rsidRPr="00BF72D2">
        <w:rPr>
          <w:rFonts w:cstheme="minorHAnsi"/>
          <w:color w:val="000000" w:themeColor="text1"/>
        </w:rPr>
        <w:t>resolved</w:t>
      </w:r>
      <w:r w:rsidR="008C79C9" w:rsidRPr="00BF72D2">
        <w:rPr>
          <w:rFonts w:cstheme="minorHAnsi"/>
          <w:color w:val="000000" w:themeColor="text1"/>
        </w:rPr>
        <w:t>.</w:t>
      </w:r>
    </w:p>
    <w:bookmarkEnd w:id="3"/>
    <w:p w14:paraId="5EF7C834" w14:textId="48243129" w:rsidR="00F75360" w:rsidRPr="00BF72D2" w:rsidRDefault="008C79C9" w:rsidP="00800BD1">
      <w:pPr>
        <w:spacing w:line="480" w:lineRule="auto"/>
        <w:rPr>
          <w:rFonts w:cstheme="minorHAnsi"/>
          <w:color w:val="000000" w:themeColor="text1"/>
        </w:rPr>
      </w:pPr>
      <w:r w:rsidRPr="00BF72D2">
        <w:rPr>
          <w:rFonts w:cstheme="minorHAnsi"/>
          <w:color w:val="000000" w:themeColor="text1"/>
        </w:rPr>
        <w:t>In recognition of the unsustainable</w:t>
      </w:r>
      <w:r w:rsidR="00E8259E" w:rsidRPr="00BF72D2">
        <w:rPr>
          <w:rFonts w:cstheme="minorHAnsi"/>
          <w:color w:val="000000" w:themeColor="text1"/>
        </w:rPr>
        <w:t xml:space="preserve"> required</w:t>
      </w:r>
      <w:r w:rsidRPr="00BF72D2">
        <w:rPr>
          <w:rFonts w:cstheme="minorHAnsi"/>
          <w:color w:val="000000" w:themeColor="text1"/>
        </w:rPr>
        <w:t xml:space="preserve"> increases in resources, committee</w:t>
      </w:r>
      <w:r w:rsidR="00E8259E" w:rsidRPr="00BF72D2">
        <w:rPr>
          <w:rFonts w:cstheme="minorHAnsi"/>
          <w:color w:val="000000" w:themeColor="text1"/>
        </w:rPr>
        <w:t>,</w:t>
      </w:r>
      <w:r w:rsidRPr="00BF72D2">
        <w:rPr>
          <w:rFonts w:cstheme="minorHAnsi"/>
          <w:color w:val="000000" w:themeColor="text1"/>
        </w:rPr>
        <w:t xml:space="preserve"> and ERG time, in April 2018 NICE introduced changes to the STA process aimed at reducing the need for multiple committee meetings. </w:t>
      </w:r>
      <w:r w:rsidR="00F75360" w:rsidRPr="00BF72D2">
        <w:rPr>
          <w:rFonts w:cstheme="minorHAnsi"/>
          <w:color w:val="000000" w:themeColor="text1"/>
        </w:rPr>
        <w:t>This is further to the earlier introduction of the Fast Track Appraisal process</w:t>
      </w:r>
      <w:r w:rsidR="00F75360" w:rsidRPr="00BF72D2">
        <w:rPr>
          <w:color w:val="000000" w:themeColor="text1"/>
        </w:rPr>
        <w:t xml:space="preserve"> </w:t>
      </w:r>
      <w:r w:rsidR="00F75360" w:rsidRPr="00BF72D2">
        <w:rPr>
          <w:rFonts w:cstheme="minorHAnsi"/>
          <w:color w:val="000000" w:themeColor="text1"/>
        </w:rPr>
        <w:fldChar w:fldCharType="begin"/>
      </w:r>
      <w:r w:rsidR="00F75360" w:rsidRPr="00BF72D2">
        <w:rPr>
          <w:rFonts w:cstheme="minorHAnsi"/>
          <w:color w:val="000000" w:themeColor="text1"/>
        </w:rPr>
        <w:instrText xml:space="preserve"> ADDIN EN.CITE &lt;EndNote&gt;&lt;Cite&gt;&lt;Author&gt;England.&lt;/Author&gt;&lt;Year&gt;2017&lt;/Year&gt;&lt;RecNum&gt;14&lt;/RecNum&gt;&lt;DisplayText&gt;[4]&lt;/DisplayText&gt;&lt;record&gt;&lt;rec-number&gt;14&lt;/rec-number&gt;&lt;foreign-keys&gt;&lt;key app="EN" db-id="5rwap9w0xt9zppefx0k5f554daxwppexp2xx" timestamp="1537200791"&gt;14&lt;/key&gt;&lt;/foreign-keys&gt;&lt;ref-type name="Report"&gt;27&lt;/ref-type&gt;&lt;contributors&gt;&lt;authors&gt;&lt;author&gt;National Institute for Health and Care Excellence; NHS England.&lt;/author&gt;&lt;/authors&gt;&lt;/contributors&gt;&lt;titles&gt;&lt;title&gt;Consultation on changes to technology appraisals and highly specialised technologies&lt;/title&gt;&lt;/titles&gt;&lt;dates&gt;&lt;year&gt;2017&lt;/year&gt;&lt;/dates&gt;&lt;urls&gt;&lt;related-urls&gt;&lt;url&gt;https://www.nice.org.uk/about/what-we-do/our-programmes/nice-guidance/nice-technology-appraisal-guidance/consultation-on-changes-to-technology-appraisals-and-highly-specialised-technologies. [Accessed 03 September 2018]&lt;/url&gt;&lt;/related-urls&gt;&lt;/urls&gt;&lt;/record&gt;&lt;/Cite&gt;&lt;/EndNote&gt;</w:instrText>
      </w:r>
      <w:r w:rsidR="00F75360" w:rsidRPr="00BF72D2">
        <w:rPr>
          <w:rFonts w:cstheme="minorHAnsi"/>
          <w:color w:val="000000" w:themeColor="text1"/>
        </w:rPr>
        <w:fldChar w:fldCharType="separate"/>
      </w:r>
      <w:r w:rsidR="00F75360" w:rsidRPr="00BF72D2">
        <w:rPr>
          <w:rFonts w:cstheme="minorHAnsi"/>
          <w:noProof/>
          <w:color w:val="000000" w:themeColor="text1"/>
        </w:rPr>
        <w:t>[4]</w:t>
      </w:r>
      <w:r w:rsidR="00F75360" w:rsidRPr="00BF72D2">
        <w:rPr>
          <w:rFonts w:cstheme="minorHAnsi"/>
          <w:color w:val="000000" w:themeColor="text1"/>
        </w:rPr>
        <w:fldChar w:fldCharType="end"/>
      </w:r>
      <w:r w:rsidR="00F75360" w:rsidRPr="00BF72D2">
        <w:rPr>
          <w:rFonts w:cstheme="minorHAnsi"/>
          <w:color w:val="000000" w:themeColor="text1"/>
        </w:rPr>
        <w:t>, which aimed to reduce time to approval and reduce resource use for highly cost-effective technologies (&lt;£10,000 per QALY) with an obvious and significant benefit over existing practice. However, it has been suggested that these changes may not significantly impact upon the overall efficiency of the process due to the small number of appraisals affected</w:t>
      </w:r>
      <w:r w:rsidR="00C87B47" w:rsidRPr="00BF72D2">
        <w:rPr>
          <w:rFonts w:cstheme="minorHAnsi"/>
          <w:color w:val="000000" w:themeColor="text1"/>
        </w:rPr>
        <w:t xml:space="preserve"> and other unexpected complications which often arise during STAs</w:t>
      </w:r>
      <w:r w:rsidR="00C87B47" w:rsidRPr="00BF72D2">
        <w:rPr>
          <w:color w:val="000000" w:themeColor="text1"/>
        </w:rPr>
        <w:t xml:space="preserve"> </w:t>
      </w:r>
      <w:r w:rsidR="009D7764" w:rsidRPr="00BF72D2">
        <w:rPr>
          <w:rFonts w:cstheme="minorHAnsi"/>
          <w:color w:val="000000" w:themeColor="text1"/>
        </w:rPr>
        <w:fldChar w:fldCharType="begin"/>
      </w:r>
      <w:r w:rsidR="009D7764" w:rsidRPr="00BF72D2">
        <w:rPr>
          <w:rFonts w:cstheme="minorHAnsi"/>
          <w:color w:val="000000" w:themeColor="text1"/>
        </w:rPr>
        <w:instrText xml:space="preserve"> ADDIN EN.CITE &lt;EndNote&gt;&lt;Cite&gt;&lt;Author&gt;Carroll&lt;/Author&gt;&lt;Year&gt;2017&lt;/Year&gt;&lt;RecNum&gt;15&lt;/RecNum&gt;&lt;DisplayText&gt;[5]&lt;/DisplayText&gt;&lt;record&gt;&lt;rec-number&gt;15&lt;/rec-number&gt;&lt;foreign-keys&gt;&lt;key app="EN" db-id="5rwap9w0xt9zppefx0k5f554daxwppexp2xx" timestamp="1537201026"&gt;15&lt;/key&gt;&lt;/foreign-keys&gt;&lt;ref-type name="Journal Article"&gt;17&lt;/ref-type&gt;&lt;contributors&gt;&lt;authors&gt;&lt;author&gt;Carroll, C.; Houten, R.; Boland, A.; Kaltenthaler, E.; Dickson, R.;&lt;/author&gt;&lt;/authors&gt;&lt;/contributors&gt;&lt;titles&gt;&lt;title&gt;What Is the Evidence from Past National Institute of Health and Care Excellence Single-Technology Appraisals Regarding Company Submissions with Base-Case Incremental Cost-Effectiveness Ratios of Less Than £10,000/QALY?&lt;/title&gt;&lt;secondary-title&gt;Value in Health&lt;/secondary-title&gt;&lt;/titles&gt;&lt;periodical&gt;&lt;full-title&gt;Value in Health&lt;/full-title&gt;&lt;/periodical&gt;&lt;pages&gt;341 - 350&lt;/pages&gt;&lt;volume&gt;21&lt;/volume&gt;&lt;dates&gt;&lt;year&gt;2017&lt;/year&gt;&lt;/dates&gt;&lt;urls&gt;&lt;/urls&gt;&lt;/record&gt;&lt;/Cite&gt;&lt;/EndNote&gt;</w:instrText>
      </w:r>
      <w:r w:rsidR="009D7764" w:rsidRPr="00BF72D2">
        <w:rPr>
          <w:rFonts w:cstheme="minorHAnsi"/>
          <w:color w:val="000000" w:themeColor="text1"/>
        </w:rPr>
        <w:fldChar w:fldCharType="separate"/>
      </w:r>
      <w:r w:rsidR="009D7764" w:rsidRPr="00BF72D2">
        <w:rPr>
          <w:rFonts w:cstheme="minorHAnsi"/>
          <w:noProof/>
          <w:color w:val="000000" w:themeColor="text1"/>
        </w:rPr>
        <w:t>[5]</w:t>
      </w:r>
      <w:r w:rsidR="009D7764" w:rsidRPr="00BF72D2">
        <w:rPr>
          <w:rFonts w:cstheme="minorHAnsi"/>
          <w:color w:val="000000" w:themeColor="text1"/>
        </w:rPr>
        <w:fldChar w:fldCharType="end"/>
      </w:r>
      <w:r w:rsidR="00F75360" w:rsidRPr="00BF72D2">
        <w:rPr>
          <w:rFonts w:cstheme="minorHAnsi"/>
          <w:color w:val="000000" w:themeColor="text1"/>
        </w:rPr>
        <w:t>.</w:t>
      </w:r>
    </w:p>
    <w:p w14:paraId="48992D5B" w14:textId="0DB90BE1" w:rsidR="008C79C9" w:rsidRPr="00BF72D2" w:rsidRDefault="00F75360" w:rsidP="00800BD1">
      <w:pPr>
        <w:spacing w:line="480" w:lineRule="auto"/>
        <w:rPr>
          <w:rFonts w:cstheme="minorHAnsi"/>
          <w:color w:val="000000" w:themeColor="text1"/>
        </w:rPr>
      </w:pPr>
      <w:r w:rsidRPr="00BF72D2">
        <w:rPr>
          <w:rFonts w:cstheme="minorHAnsi"/>
          <w:color w:val="000000" w:themeColor="text1"/>
        </w:rPr>
        <w:t xml:space="preserve">In these latest changes, </w:t>
      </w:r>
      <w:r w:rsidR="008C79C9" w:rsidRPr="00BF72D2">
        <w:rPr>
          <w:rFonts w:cstheme="minorHAnsi"/>
          <w:color w:val="000000" w:themeColor="text1"/>
        </w:rPr>
        <w:t xml:space="preserve">NICE highlighted the increasing need for further evidence during consultation </w:t>
      </w:r>
      <w:r w:rsidR="00600205" w:rsidRPr="00BF72D2">
        <w:rPr>
          <w:rFonts w:cstheme="minorHAnsi"/>
          <w:color w:val="000000" w:themeColor="text1"/>
        </w:rPr>
        <w:t>following</w:t>
      </w:r>
      <w:r w:rsidR="008C79C9" w:rsidRPr="00BF72D2">
        <w:rPr>
          <w:rFonts w:cstheme="minorHAnsi"/>
          <w:color w:val="000000" w:themeColor="text1"/>
        </w:rPr>
        <w:t xml:space="preserve"> provisional recommendations, both at the request of committees and companies</w:t>
      </w:r>
      <w:r w:rsidR="00DE707D" w:rsidRPr="00BF72D2">
        <w:rPr>
          <w:rFonts w:cstheme="minorHAnsi"/>
          <w:color w:val="000000" w:themeColor="text1"/>
        </w:rPr>
        <w:t xml:space="preserve"> -</w:t>
      </w:r>
      <w:r w:rsidR="008C79C9" w:rsidRPr="00BF72D2">
        <w:rPr>
          <w:rFonts w:cstheme="minorHAnsi"/>
          <w:color w:val="000000" w:themeColor="text1"/>
        </w:rPr>
        <w:t xml:space="preserve"> particularly when considering whether to recommend funding a technology through the </w:t>
      </w:r>
      <w:r w:rsidR="000A2A5C" w:rsidRPr="00BF72D2">
        <w:rPr>
          <w:rFonts w:cstheme="minorHAnsi"/>
          <w:color w:val="000000" w:themeColor="text1"/>
        </w:rPr>
        <w:t>recently reformed</w:t>
      </w:r>
      <w:r w:rsidR="008C79C9" w:rsidRPr="00BF72D2">
        <w:rPr>
          <w:rFonts w:cstheme="minorHAnsi"/>
          <w:color w:val="000000" w:themeColor="text1"/>
        </w:rPr>
        <w:t xml:space="preserve"> Cancer Drugs Fund. </w:t>
      </w:r>
      <w:r w:rsidR="00600205" w:rsidRPr="00BF72D2">
        <w:rPr>
          <w:rFonts w:cstheme="minorHAnsi"/>
          <w:color w:val="000000" w:themeColor="text1"/>
        </w:rPr>
        <w:t>C</w:t>
      </w:r>
      <w:r w:rsidR="008C79C9" w:rsidRPr="00BF72D2">
        <w:rPr>
          <w:rFonts w:cstheme="minorHAnsi"/>
          <w:color w:val="000000" w:themeColor="text1"/>
        </w:rPr>
        <w:t>ompanies are</w:t>
      </w:r>
      <w:r w:rsidR="00600205" w:rsidRPr="00BF72D2">
        <w:rPr>
          <w:rFonts w:cstheme="minorHAnsi"/>
          <w:color w:val="000000" w:themeColor="text1"/>
        </w:rPr>
        <w:t xml:space="preserve"> now</w:t>
      </w:r>
      <w:r w:rsidR="008C79C9" w:rsidRPr="00BF72D2">
        <w:rPr>
          <w:rFonts w:cstheme="minorHAnsi"/>
          <w:color w:val="000000" w:themeColor="text1"/>
        </w:rPr>
        <w:t xml:space="preserve"> invited to discuss their evidence submission earlier in the regulatory process,</w:t>
      </w:r>
      <w:r w:rsidR="001E5516" w:rsidRPr="00BF72D2">
        <w:rPr>
          <w:rFonts w:cstheme="minorHAnsi"/>
          <w:color w:val="000000" w:themeColor="text1"/>
        </w:rPr>
        <w:t xml:space="preserve"> </w:t>
      </w:r>
      <w:r w:rsidR="008C79C9" w:rsidRPr="00BF72D2">
        <w:rPr>
          <w:rFonts w:cstheme="minorHAnsi"/>
          <w:color w:val="000000" w:themeColor="text1"/>
        </w:rPr>
        <w:t xml:space="preserve">and with greater guidance </w:t>
      </w:r>
      <w:r w:rsidR="00F409AB" w:rsidRPr="00BF72D2">
        <w:rPr>
          <w:rFonts w:cstheme="minorHAnsi"/>
          <w:color w:val="000000" w:themeColor="text1"/>
        </w:rPr>
        <w:t>from the NICE technical team</w:t>
      </w:r>
      <w:r w:rsidR="008C79C9" w:rsidRPr="00BF72D2">
        <w:rPr>
          <w:rFonts w:cstheme="minorHAnsi"/>
          <w:color w:val="000000" w:themeColor="text1"/>
        </w:rPr>
        <w:t xml:space="preserve">, who along with the ERG will have more engagement in technical and methodological </w:t>
      </w:r>
      <w:r w:rsidR="00F409AB" w:rsidRPr="00BF72D2">
        <w:rPr>
          <w:rFonts w:cstheme="minorHAnsi"/>
          <w:color w:val="000000" w:themeColor="text1"/>
        </w:rPr>
        <w:t>issues</w:t>
      </w:r>
      <w:r w:rsidR="008C79C9" w:rsidRPr="00BF72D2">
        <w:rPr>
          <w:rFonts w:cstheme="minorHAnsi"/>
          <w:color w:val="000000" w:themeColor="text1"/>
        </w:rPr>
        <w:t xml:space="preserve"> prior to the primary evidence </w:t>
      </w:r>
      <w:r w:rsidR="00427A4C" w:rsidRPr="00BF72D2">
        <w:rPr>
          <w:rFonts w:cstheme="minorHAnsi"/>
          <w:color w:val="000000" w:themeColor="text1"/>
        </w:rPr>
        <w:t xml:space="preserve">submission </w:t>
      </w:r>
      <w:r w:rsidR="00427A4C" w:rsidRPr="00BF72D2">
        <w:rPr>
          <w:rFonts w:cstheme="minorHAnsi"/>
          <w:color w:val="000000" w:themeColor="text1"/>
        </w:rPr>
        <w:fldChar w:fldCharType="begin"/>
      </w:r>
      <w:r w:rsidR="00427A4C" w:rsidRPr="00BF72D2">
        <w:rPr>
          <w:rFonts w:cstheme="minorHAnsi"/>
          <w:color w:val="000000" w:themeColor="text1"/>
        </w:rPr>
        <w:instrText xml:space="preserve"> ADDIN EN.CITE &lt;EndNote&gt;&lt;Cite&gt;&lt;Author&gt;Excellence&lt;/Author&gt;&lt;Year&gt;2018&lt;/Year&gt;&lt;RecNum&gt;4&lt;/RecNum&gt;&lt;DisplayText&gt;[1]&lt;/DisplayText&gt;&lt;record&gt;&lt;rec-number&gt;4&lt;/rec-number&gt;&lt;foreign-keys&gt;&lt;key app="EN" db-id="5rwap9w0xt9zppefx0k5f554daxwppexp2xx" timestamp="1533207828"&gt;4&lt;/key&gt;&lt;/foreign-keys&gt;&lt;ref-type name="Report"&gt;27&lt;/ref-type&gt;&lt;contributors&gt;&lt;authors&gt;&lt;author&gt;National Institute for Health and Care Excellence&lt;/author&gt;&lt;/authors&gt;&lt;/contributors&gt;&lt;titles&gt;&lt;title&gt;Guide to the processes of technology appraisal&lt;/title&gt;&lt;/titles&gt;&lt;dates&gt;&lt;year&gt;2018&lt;/year&gt;&lt;/dates&gt;&lt;pub-location&gt;London&lt;/pub-location&gt;&lt;publisher&gt;NICE&lt;/publisher&gt;&lt;urls&gt;&lt;/urls&gt;&lt;/record&gt;&lt;/Cite&gt;&lt;/EndNote&gt;</w:instrText>
      </w:r>
      <w:r w:rsidR="00427A4C" w:rsidRPr="00BF72D2">
        <w:rPr>
          <w:rFonts w:cstheme="minorHAnsi"/>
          <w:color w:val="000000" w:themeColor="text1"/>
        </w:rPr>
        <w:fldChar w:fldCharType="separate"/>
      </w:r>
      <w:r w:rsidR="00427A4C" w:rsidRPr="00BF72D2">
        <w:rPr>
          <w:rFonts w:cstheme="minorHAnsi"/>
          <w:noProof/>
          <w:color w:val="000000" w:themeColor="text1"/>
        </w:rPr>
        <w:t>[1]</w:t>
      </w:r>
      <w:r w:rsidR="00427A4C" w:rsidRPr="00BF72D2">
        <w:rPr>
          <w:rFonts w:cstheme="minorHAnsi"/>
          <w:color w:val="000000" w:themeColor="text1"/>
        </w:rPr>
        <w:fldChar w:fldCharType="end"/>
      </w:r>
      <w:r w:rsidR="008C79C9" w:rsidRPr="00BF72D2">
        <w:rPr>
          <w:rFonts w:cstheme="minorHAnsi"/>
          <w:color w:val="000000" w:themeColor="text1"/>
        </w:rPr>
        <w:t xml:space="preserve">. </w:t>
      </w:r>
      <w:bookmarkStart w:id="4" w:name="_Hlk530150217"/>
      <w:r w:rsidR="001E5516" w:rsidRPr="00BF72D2">
        <w:rPr>
          <w:rFonts w:cstheme="minorHAnsi"/>
          <w:color w:val="000000" w:themeColor="text1"/>
        </w:rPr>
        <w:t>Processes now also allow for a</w:t>
      </w:r>
      <w:r w:rsidR="008C79C9" w:rsidRPr="00BF72D2">
        <w:rPr>
          <w:rFonts w:cstheme="minorHAnsi"/>
          <w:color w:val="000000" w:themeColor="text1"/>
        </w:rPr>
        <w:t xml:space="preserve"> ‘technical engagement’ stage following the completion of the ERG report, in which the views of clinical, patient, and commissioning experts are sought. This offer</w:t>
      </w:r>
      <w:r w:rsidR="001955E4" w:rsidRPr="00BF72D2">
        <w:rPr>
          <w:rFonts w:cstheme="minorHAnsi"/>
          <w:color w:val="000000" w:themeColor="text1"/>
        </w:rPr>
        <w:t>s</w:t>
      </w:r>
      <w:r w:rsidR="008C79C9" w:rsidRPr="00BF72D2">
        <w:rPr>
          <w:rFonts w:cstheme="minorHAnsi"/>
          <w:color w:val="000000" w:themeColor="text1"/>
        </w:rPr>
        <w:t xml:space="preserve"> an opportunity to address outstanding unc</w:t>
      </w:r>
      <w:r w:rsidR="00600205" w:rsidRPr="00BF72D2">
        <w:rPr>
          <w:rFonts w:cstheme="minorHAnsi"/>
          <w:color w:val="000000" w:themeColor="text1"/>
        </w:rPr>
        <w:t xml:space="preserve">ertainty in the </w:t>
      </w:r>
      <w:r w:rsidR="001955E4" w:rsidRPr="00BF72D2">
        <w:rPr>
          <w:rFonts w:cstheme="minorHAnsi"/>
          <w:color w:val="000000" w:themeColor="text1"/>
        </w:rPr>
        <w:t>evidence submission</w:t>
      </w:r>
      <w:r w:rsidR="00DF480A" w:rsidRPr="00BF72D2">
        <w:rPr>
          <w:rFonts w:cstheme="minorHAnsi"/>
          <w:color w:val="000000" w:themeColor="text1"/>
        </w:rPr>
        <w:t xml:space="preserve">, and to resolve </w:t>
      </w:r>
      <w:r w:rsidR="001955E4" w:rsidRPr="00BF72D2">
        <w:rPr>
          <w:rFonts w:cstheme="minorHAnsi"/>
          <w:color w:val="000000" w:themeColor="text1"/>
        </w:rPr>
        <w:t>key questions raised by the ERG</w:t>
      </w:r>
      <w:r w:rsidR="001E5516" w:rsidRPr="00BF72D2">
        <w:rPr>
          <w:rFonts w:cstheme="minorHAnsi"/>
          <w:color w:val="000000" w:themeColor="text1"/>
        </w:rPr>
        <w:t>. T</w:t>
      </w:r>
      <w:r w:rsidR="00600205" w:rsidRPr="00BF72D2">
        <w:rPr>
          <w:rFonts w:cstheme="minorHAnsi"/>
          <w:color w:val="000000" w:themeColor="text1"/>
        </w:rPr>
        <w:t>he</w:t>
      </w:r>
      <w:r w:rsidR="001955E4" w:rsidRPr="00BF72D2">
        <w:rPr>
          <w:rFonts w:cstheme="minorHAnsi"/>
          <w:color w:val="000000" w:themeColor="text1"/>
        </w:rPr>
        <w:t xml:space="preserve"> company </w:t>
      </w:r>
      <w:r w:rsidR="00DF480A" w:rsidRPr="00BF72D2">
        <w:rPr>
          <w:rFonts w:cstheme="minorHAnsi"/>
          <w:color w:val="000000" w:themeColor="text1"/>
        </w:rPr>
        <w:t>may</w:t>
      </w:r>
      <w:r w:rsidR="001E5516" w:rsidRPr="00BF72D2">
        <w:rPr>
          <w:rFonts w:cstheme="minorHAnsi"/>
          <w:color w:val="000000" w:themeColor="text1"/>
        </w:rPr>
        <w:t xml:space="preserve"> </w:t>
      </w:r>
      <w:r w:rsidR="001955E4" w:rsidRPr="00BF72D2">
        <w:rPr>
          <w:rFonts w:cstheme="minorHAnsi"/>
          <w:color w:val="000000" w:themeColor="text1"/>
        </w:rPr>
        <w:t>provide</w:t>
      </w:r>
      <w:r w:rsidR="00600205" w:rsidRPr="00BF72D2">
        <w:rPr>
          <w:rFonts w:cstheme="minorHAnsi"/>
          <w:color w:val="000000" w:themeColor="text1"/>
        </w:rPr>
        <w:t xml:space="preserve"> </w:t>
      </w:r>
      <w:r w:rsidR="008C79C9" w:rsidRPr="00BF72D2">
        <w:rPr>
          <w:rFonts w:cstheme="minorHAnsi"/>
          <w:color w:val="000000" w:themeColor="text1"/>
        </w:rPr>
        <w:t>new evidence and analysis prior to the first committee meeting</w:t>
      </w:r>
      <w:r w:rsidR="00DF480A" w:rsidRPr="00BF72D2">
        <w:rPr>
          <w:rFonts w:cstheme="minorHAnsi"/>
          <w:color w:val="000000" w:themeColor="text1"/>
        </w:rPr>
        <w:t xml:space="preserve"> to</w:t>
      </w:r>
      <w:r w:rsidR="001E5516" w:rsidRPr="00BF72D2">
        <w:rPr>
          <w:rFonts w:cstheme="minorHAnsi"/>
          <w:color w:val="000000" w:themeColor="text1"/>
        </w:rPr>
        <w:t xml:space="preserve"> facilitate more focused discussion. NICE also aim to reduce the use of a second committee meeting when only commercial considerations have changed. The</w:t>
      </w:r>
      <w:bookmarkEnd w:id="4"/>
      <w:r w:rsidR="001E5516" w:rsidRPr="00BF72D2">
        <w:rPr>
          <w:rFonts w:cstheme="minorHAnsi"/>
          <w:color w:val="000000" w:themeColor="text1"/>
        </w:rPr>
        <w:t xml:space="preserve"> </w:t>
      </w:r>
      <w:r w:rsidR="008C79C9" w:rsidRPr="00BF72D2">
        <w:rPr>
          <w:rFonts w:cstheme="minorHAnsi"/>
          <w:color w:val="000000" w:themeColor="text1"/>
        </w:rPr>
        <w:t xml:space="preserve">Committee Chair now </w:t>
      </w:r>
      <w:r w:rsidR="001E5516" w:rsidRPr="00BF72D2">
        <w:rPr>
          <w:rFonts w:cstheme="minorHAnsi"/>
          <w:color w:val="000000" w:themeColor="text1"/>
        </w:rPr>
        <w:t>has</w:t>
      </w:r>
      <w:r w:rsidR="008C79C9" w:rsidRPr="00BF72D2">
        <w:rPr>
          <w:rFonts w:cstheme="minorHAnsi"/>
          <w:color w:val="000000" w:themeColor="text1"/>
        </w:rPr>
        <w:t xml:space="preserve"> the authority to make a final decision in </w:t>
      </w:r>
      <w:r w:rsidR="008C79C9" w:rsidRPr="00BF72D2">
        <w:rPr>
          <w:rFonts w:cstheme="minorHAnsi"/>
          <w:color w:val="000000" w:themeColor="text1"/>
        </w:rPr>
        <w:lastRenderedPageBreak/>
        <w:t>cases where the company provides a sufficiently improved commercial offer in response to the ACD</w:t>
      </w:r>
      <w:r w:rsidR="00427A4C" w:rsidRPr="00BF72D2">
        <w:rPr>
          <w:rFonts w:cstheme="minorHAnsi"/>
          <w:color w:val="000000" w:themeColor="text1"/>
        </w:rPr>
        <w:t xml:space="preserve"> </w:t>
      </w:r>
      <w:r w:rsidR="00427A4C" w:rsidRPr="00BF72D2">
        <w:rPr>
          <w:rFonts w:cstheme="minorHAnsi"/>
          <w:color w:val="000000" w:themeColor="text1"/>
        </w:rPr>
        <w:fldChar w:fldCharType="begin"/>
      </w:r>
      <w:r w:rsidR="00427A4C" w:rsidRPr="00BF72D2">
        <w:rPr>
          <w:rFonts w:cstheme="minorHAnsi"/>
          <w:color w:val="000000" w:themeColor="text1"/>
        </w:rPr>
        <w:instrText xml:space="preserve"> ADDIN EN.CITE &lt;EndNote&gt;&lt;Cite&gt;&lt;Author&gt;Excellence&lt;/Author&gt;&lt;Year&gt;2018&lt;/Year&gt;&lt;RecNum&gt;4&lt;/RecNum&gt;&lt;DisplayText&gt;[1]&lt;/DisplayText&gt;&lt;record&gt;&lt;rec-number&gt;4&lt;/rec-number&gt;&lt;foreign-keys&gt;&lt;key app="EN" db-id="5rwap9w0xt9zppefx0k5f554daxwppexp2xx" timestamp="1533207828"&gt;4&lt;/key&gt;&lt;/foreign-keys&gt;&lt;ref-type name="Report"&gt;27&lt;/ref-type&gt;&lt;contributors&gt;&lt;authors&gt;&lt;author&gt;National Institute for Health and Care Excellence&lt;/author&gt;&lt;/authors&gt;&lt;/contributors&gt;&lt;titles&gt;&lt;title&gt;Guide to the processes of technology appraisal&lt;/title&gt;&lt;/titles&gt;&lt;dates&gt;&lt;year&gt;2018&lt;/year&gt;&lt;/dates&gt;&lt;pub-location&gt;London&lt;/pub-location&gt;&lt;publisher&gt;NICE&lt;/publisher&gt;&lt;urls&gt;&lt;/urls&gt;&lt;/record&gt;&lt;/Cite&gt;&lt;/EndNote&gt;</w:instrText>
      </w:r>
      <w:r w:rsidR="00427A4C" w:rsidRPr="00BF72D2">
        <w:rPr>
          <w:rFonts w:cstheme="minorHAnsi"/>
          <w:color w:val="000000" w:themeColor="text1"/>
        </w:rPr>
        <w:fldChar w:fldCharType="separate"/>
      </w:r>
      <w:r w:rsidR="00427A4C" w:rsidRPr="00BF72D2">
        <w:rPr>
          <w:rFonts w:cstheme="minorHAnsi"/>
          <w:noProof/>
          <w:color w:val="000000" w:themeColor="text1"/>
        </w:rPr>
        <w:t>[1]</w:t>
      </w:r>
      <w:r w:rsidR="00427A4C" w:rsidRPr="00BF72D2">
        <w:rPr>
          <w:rFonts w:cstheme="minorHAnsi"/>
          <w:color w:val="000000" w:themeColor="text1"/>
        </w:rPr>
        <w:fldChar w:fldCharType="end"/>
      </w:r>
      <w:r w:rsidR="008C79C9" w:rsidRPr="00BF72D2">
        <w:rPr>
          <w:rFonts w:cstheme="minorHAnsi"/>
          <w:color w:val="000000" w:themeColor="text1"/>
        </w:rPr>
        <w:t>.</w:t>
      </w:r>
    </w:p>
    <w:p w14:paraId="098BC310" w14:textId="7168F829" w:rsidR="00215C96" w:rsidRPr="00BF72D2" w:rsidRDefault="008C79C9" w:rsidP="00800BD1">
      <w:pPr>
        <w:spacing w:line="480" w:lineRule="auto"/>
        <w:rPr>
          <w:rFonts w:cstheme="minorHAnsi"/>
          <w:color w:val="000000" w:themeColor="text1"/>
        </w:rPr>
      </w:pPr>
      <w:r w:rsidRPr="00BF72D2">
        <w:rPr>
          <w:rFonts w:cstheme="minorHAnsi"/>
          <w:color w:val="000000" w:themeColor="text1"/>
        </w:rPr>
        <w:t xml:space="preserve">While the factors addressed in these most recent revisions to the STA process </w:t>
      </w:r>
      <w:r w:rsidR="00600205" w:rsidRPr="00BF72D2">
        <w:rPr>
          <w:rFonts w:cstheme="minorHAnsi"/>
          <w:color w:val="000000" w:themeColor="text1"/>
        </w:rPr>
        <w:t>may</w:t>
      </w:r>
      <w:r w:rsidRPr="00BF72D2">
        <w:rPr>
          <w:rFonts w:cstheme="minorHAnsi"/>
          <w:color w:val="000000" w:themeColor="text1"/>
        </w:rPr>
        <w:t xml:space="preserve"> facilitate cooperation between stakeholders in an appraisal, these issues may only be a symptom of deeper issues in the way manufacturers engage with the </w:t>
      </w:r>
      <w:r w:rsidR="003A0C2C" w:rsidRPr="00BF72D2">
        <w:rPr>
          <w:rFonts w:cstheme="minorHAnsi"/>
          <w:color w:val="000000" w:themeColor="text1"/>
        </w:rPr>
        <w:t xml:space="preserve">appraisal </w:t>
      </w:r>
      <w:r w:rsidRPr="00BF72D2">
        <w:rPr>
          <w:rFonts w:cstheme="minorHAnsi"/>
          <w:color w:val="000000" w:themeColor="text1"/>
        </w:rPr>
        <w:t xml:space="preserve">process. A greater understanding of the </w:t>
      </w:r>
      <w:r w:rsidR="00F409AB" w:rsidRPr="00BF72D2">
        <w:rPr>
          <w:rFonts w:cstheme="minorHAnsi"/>
          <w:color w:val="000000" w:themeColor="text1"/>
        </w:rPr>
        <w:t>underlying causes of negative preliminary decisions</w:t>
      </w:r>
      <w:r w:rsidRPr="00BF72D2">
        <w:rPr>
          <w:rFonts w:cstheme="minorHAnsi"/>
          <w:color w:val="000000" w:themeColor="text1"/>
        </w:rPr>
        <w:t xml:space="preserve">, and the relationship between </w:t>
      </w:r>
      <w:r w:rsidR="00600205" w:rsidRPr="00BF72D2">
        <w:rPr>
          <w:rFonts w:cstheme="minorHAnsi"/>
          <w:color w:val="000000" w:themeColor="text1"/>
        </w:rPr>
        <w:t>disease areas</w:t>
      </w:r>
      <w:r w:rsidRPr="00BF72D2">
        <w:rPr>
          <w:rFonts w:cstheme="minorHAnsi"/>
          <w:color w:val="000000" w:themeColor="text1"/>
        </w:rPr>
        <w:t xml:space="preserve"> and associated economic considerations could inform more targeted reform of STA processes, and sustainably and efficiently allow the inevitable increases in appraisal throughput, without compromising the rigour of the STA process. </w:t>
      </w:r>
      <w:r w:rsidR="00600205" w:rsidRPr="00BF72D2">
        <w:rPr>
          <w:rFonts w:cstheme="minorHAnsi"/>
          <w:color w:val="000000" w:themeColor="text1"/>
        </w:rPr>
        <w:t>This study reviews eight years of</w:t>
      </w:r>
      <w:r w:rsidRPr="00BF72D2">
        <w:rPr>
          <w:rFonts w:cstheme="minorHAnsi"/>
          <w:color w:val="000000" w:themeColor="text1"/>
        </w:rPr>
        <w:t xml:space="preserve"> previous </w:t>
      </w:r>
      <w:r w:rsidR="00800BD1" w:rsidRPr="00BF72D2">
        <w:rPr>
          <w:rFonts w:cstheme="minorHAnsi"/>
          <w:color w:val="000000" w:themeColor="text1"/>
        </w:rPr>
        <w:t>STAs</w:t>
      </w:r>
      <w:r w:rsidRPr="00BF72D2">
        <w:rPr>
          <w:rFonts w:cstheme="minorHAnsi"/>
          <w:color w:val="000000" w:themeColor="text1"/>
        </w:rPr>
        <w:t xml:space="preserve"> to better understand why certain topics require more meetings</w:t>
      </w:r>
      <w:r w:rsidR="00600205" w:rsidRPr="00BF72D2">
        <w:rPr>
          <w:rFonts w:cstheme="minorHAnsi"/>
          <w:color w:val="000000" w:themeColor="text1"/>
        </w:rPr>
        <w:t xml:space="preserve"> and resource to reach a final decision, and how far the recent changes to the STA process may go to increasing its efficiency and sustainability.</w:t>
      </w:r>
    </w:p>
    <w:p w14:paraId="630533CE" w14:textId="77777777" w:rsidR="00215C96" w:rsidRPr="00BF72D2" w:rsidRDefault="00215C96">
      <w:pPr>
        <w:rPr>
          <w:rFonts w:cstheme="minorHAnsi"/>
          <w:color w:val="000000" w:themeColor="text1"/>
        </w:rPr>
      </w:pPr>
      <w:r w:rsidRPr="00BF72D2">
        <w:rPr>
          <w:rFonts w:cstheme="minorHAnsi"/>
          <w:color w:val="000000" w:themeColor="text1"/>
        </w:rPr>
        <w:br w:type="page"/>
      </w:r>
    </w:p>
    <w:p w14:paraId="2B454449" w14:textId="398CC200" w:rsidR="00E8259E" w:rsidRPr="00BF72D2" w:rsidRDefault="00D57B51" w:rsidP="00800BD1">
      <w:pPr>
        <w:spacing w:line="480" w:lineRule="auto"/>
        <w:rPr>
          <w:rFonts w:cstheme="minorHAnsi"/>
          <w:b/>
          <w:color w:val="000000" w:themeColor="text1"/>
        </w:rPr>
      </w:pPr>
      <w:r w:rsidRPr="00BF72D2">
        <w:rPr>
          <w:rFonts w:cstheme="minorHAnsi"/>
          <w:b/>
          <w:color w:val="000000" w:themeColor="text1"/>
        </w:rPr>
        <w:lastRenderedPageBreak/>
        <w:t xml:space="preserve">2. </w:t>
      </w:r>
      <w:r w:rsidR="008C79C9" w:rsidRPr="00BF72D2">
        <w:rPr>
          <w:rFonts w:cstheme="minorHAnsi"/>
          <w:b/>
          <w:color w:val="000000" w:themeColor="text1"/>
        </w:rPr>
        <w:t>Methods</w:t>
      </w:r>
    </w:p>
    <w:p w14:paraId="6B243AB4" w14:textId="7F7115B0" w:rsidR="00817A75" w:rsidRPr="00BF72D2" w:rsidRDefault="00D57B51" w:rsidP="00E8259E">
      <w:pPr>
        <w:spacing w:line="480" w:lineRule="auto"/>
        <w:rPr>
          <w:rFonts w:cstheme="minorHAnsi"/>
          <w:color w:val="000000" w:themeColor="text1"/>
        </w:rPr>
      </w:pPr>
      <w:r w:rsidRPr="00BF72D2">
        <w:rPr>
          <w:rFonts w:cstheme="minorHAnsi"/>
          <w:i/>
          <w:color w:val="000000" w:themeColor="text1"/>
        </w:rPr>
        <w:t xml:space="preserve">2.1 </w:t>
      </w:r>
      <w:r w:rsidR="00E8259E" w:rsidRPr="00BF72D2">
        <w:rPr>
          <w:rFonts w:cstheme="minorHAnsi"/>
          <w:i/>
          <w:color w:val="000000" w:themeColor="text1"/>
        </w:rPr>
        <w:t>Appraisal Selection</w:t>
      </w:r>
      <w:r w:rsidR="00F940B9" w:rsidRPr="00BF72D2">
        <w:rPr>
          <w:rFonts w:cstheme="minorHAnsi"/>
          <w:i/>
          <w:color w:val="000000" w:themeColor="text1"/>
        </w:rPr>
        <w:br/>
      </w:r>
      <w:r w:rsidR="00E8259E" w:rsidRPr="00BF72D2">
        <w:rPr>
          <w:rFonts w:cstheme="minorHAnsi"/>
          <w:color w:val="000000" w:themeColor="text1"/>
        </w:rPr>
        <w:t xml:space="preserve">Researchers from the University of York and the University of Sheffield compiled a list of all NICE Technology Appraisal guidance for full STAs of any intervention or indication completed between January 2010 and </w:t>
      </w:r>
      <w:r w:rsidR="00817A75" w:rsidRPr="00BF72D2">
        <w:rPr>
          <w:rFonts w:cstheme="minorHAnsi"/>
          <w:color w:val="000000" w:themeColor="text1"/>
        </w:rPr>
        <w:t>31</w:t>
      </w:r>
      <w:r w:rsidR="00817A75" w:rsidRPr="00BF72D2">
        <w:rPr>
          <w:rFonts w:cstheme="minorHAnsi"/>
          <w:color w:val="000000" w:themeColor="text1"/>
          <w:vertAlign w:val="superscript"/>
        </w:rPr>
        <w:t>st</w:t>
      </w:r>
      <w:r w:rsidR="00817A75" w:rsidRPr="00BF72D2">
        <w:rPr>
          <w:rFonts w:cstheme="minorHAnsi"/>
          <w:color w:val="000000" w:themeColor="text1"/>
        </w:rPr>
        <w:t xml:space="preserve"> December 2017</w:t>
      </w:r>
      <w:r w:rsidR="00E8259E" w:rsidRPr="00BF72D2">
        <w:rPr>
          <w:rFonts w:cstheme="minorHAnsi"/>
          <w:color w:val="000000" w:themeColor="text1"/>
        </w:rPr>
        <w:t>.  STA d</w:t>
      </w:r>
      <w:r w:rsidR="00817A75" w:rsidRPr="00BF72D2">
        <w:rPr>
          <w:rFonts w:cstheme="minorHAnsi"/>
          <w:color w:val="000000" w:themeColor="text1"/>
        </w:rPr>
        <w:t>ocuments (namely the Committee Papers</w:t>
      </w:r>
      <w:r w:rsidR="005F754C" w:rsidRPr="00BF72D2">
        <w:rPr>
          <w:rFonts w:cstheme="minorHAnsi"/>
          <w:color w:val="000000" w:themeColor="text1"/>
        </w:rPr>
        <w:t xml:space="preserve"> and Final Appraisal Determination</w:t>
      </w:r>
      <w:r w:rsidR="00817A75" w:rsidRPr="00BF72D2">
        <w:rPr>
          <w:rFonts w:cstheme="minorHAnsi"/>
          <w:color w:val="000000" w:themeColor="text1"/>
        </w:rPr>
        <w:t xml:space="preserve">) were </w:t>
      </w:r>
      <w:r w:rsidR="00F940B9" w:rsidRPr="00BF72D2">
        <w:rPr>
          <w:rFonts w:cstheme="minorHAnsi"/>
          <w:color w:val="000000" w:themeColor="text1"/>
        </w:rPr>
        <w:t xml:space="preserve">independently </w:t>
      </w:r>
      <w:r w:rsidR="00817A75" w:rsidRPr="00BF72D2">
        <w:rPr>
          <w:rFonts w:cstheme="minorHAnsi"/>
          <w:color w:val="000000" w:themeColor="text1"/>
        </w:rPr>
        <w:t xml:space="preserve">screened </w:t>
      </w:r>
      <w:r w:rsidR="00F940B9" w:rsidRPr="00BF72D2">
        <w:rPr>
          <w:rFonts w:cstheme="minorHAnsi"/>
          <w:color w:val="000000" w:themeColor="text1"/>
        </w:rPr>
        <w:t>by two authors</w:t>
      </w:r>
      <w:r w:rsidR="00800F22">
        <w:rPr>
          <w:rFonts w:cstheme="minorHAnsi"/>
          <w:color w:val="000000" w:themeColor="text1"/>
        </w:rPr>
        <w:t xml:space="preserve"> (MW and JOC)</w:t>
      </w:r>
      <w:r w:rsidR="00F940B9" w:rsidRPr="00BF72D2">
        <w:rPr>
          <w:rFonts w:cstheme="minorHAnsi"/>
          <w:color w:val="000000" w:themeColor="text1"/>
        </w:rPr>
        <w:t xml:space="preserve"> </w:t>
      </w:r>
      <w:r w:rsidR="00817A75" w:rsidRPr="00BF72D2">
        <w:rPr>
          <w:rFonts w:cstheme="minorHAnsi"/>
          <w:color w:val="000000" w:themeColor="text1"/>
        </w:rPr>
        <w:t>against the following</w:t>
      </w:r>
      <w:r w:rsidR="00E8259E" w:rsidRPr="00BF72D2">
        <w:rPr>
          <w:rFonts w:cstheme="minorHAnsi"/>
          <w:color w:val="000000" w:themeColor="text1"/>
        </w:rPr>
        <w:t xml:space="preserve"> </w:t>
      </w:r>
      <w:r w:rsidR="00817A75" w:rsidRPr="00BF72D2">
        <w:rPr>
          <w:rFonts w:cstheme="minorHAnsi"/>
          <w:color w:val="000000" w:themeColor="text1"/>
        </w:rPr>
        <w:t xml:space="preserve">eligibility criteria: </w:t>
      </w:r>
    </w:p>
    <w:p w14:paraId="08C95297" w14:textId="5FABFF73" w:rsidR="00817A75" w:rsidRPr="00BF72D2" w:rsidRDefault="00817A75" w:rsidP="00817A75">
      <w:pPr>
        <w:pStyle w:val="ListParagraph"/>
        <w:numPr>
          <w:ilvl w:val="0"/>
          <w:numId w:val="4"/>
        </w:numPr>
        <w:spacing w:line="480" w:lineRule="auto"/>
        <w:rPr>
          <w:rFonts w:cstheme="minorHAnsi"/>
          <w:color w:val="000000" w:themeColor="text1"/>
        </w:rPr>
      </w:pPr>
      <w:r w:rsidRPr="00BF72D2">
        <w:rPr>
          <w:rFonts w:cstheme="minorHAnsi"/>
          <w:color w:val="000000" w:themeColor="text1"/>
        </w:rPr>
        <w:t>Must be a full Single Technology Appraisal</w:t>
      </w:r>
    </w:p>
    <w:p w14:paraId="34FEE93C" w14:textId="73A6967F" w:rsidR="00817A75" w:rsidRPr="00BF72D2" w:rsidRDefault="00817A75" w:rsidP="00817A75">
      <w:pPr>
        <w:pStyle w:val="ListParagraph"/>
        <w:numPr>
          <w:ilvl w:val="0"/>
          <w:numId w:val="4"/>
        </w:numPr>
        <w:spacing w:line="480" w:lineRule="auto"/>
        <w:rPr>
          <w:rFonts w:cstheme="minorHAnsi"/>
          <w:color w:val="000000" w:themeColor="text1"/>
        </w:rPr>
      </w:pPr>
      <w:r w:rsidRPr="00BF72D2">
        <w:rPr>
          <w:rFonts w:cstheme="minorHAnsi"/>
          <w:color w:val="000000" w:themeColor="text1"/>
        </w:rPr>
        <w:t>Published between 01/01/2010 and 31/12/2017</w:t>
      </w:r>
    </w:p>
    <w:p w14:paraId="58E889EF" w14:textId="48F69B19" w:rsidR="00817A75" w:rsidRPr="00BF72D2" w:rsidRDefault="00817A75" w:rsidP="00817A75">
      <w:pPr>
        <w:spacing w:line="480" w:lineRule="auto"/>
        <w:rPr>
          <w:rFonts w:cstheme="minorHAnsi"/>
          <w:color w:val="000000" w:themeColor="text1"/>
        </w:rPr>
      </w:pPr>
      <w:r w:rsidRPr="00BF72D2">
        <w:rPr>
          <w:rFonts w:cstheme="minorHAnsi"/>
          <w:color w:val="000000" w:themeColor="text1"/>
        </w:rPr>
        <w:t>Appraisals were excluded if:</w:t>
      </w:r>
    </w:p>
    <w:p w14:paraId="7C795E7B" w14:textId="3491BF08" w:rsidR="00817A75" w:rsidRPr="00BF72D2" w:rsidRDefault="00817A75" w:rsidP="00817A75">
      <w:pPr>
        <w:pStyle w:val="ListParagraph"/>
        <w:numPr>
          <w:ilvl w:val="0"/>
          <w:numId w:val="5"/>
        </w:numPr>
        <w:spacing w:line="480" w:lineRule="auto"/>
        <w:rPr>
          <w:rFonts w:cstheme="minorHAnsi"/>
          <w:color w:val="000000" w:themeColor="text1"/>
        </w:rPr>
      </w:pPr>
      <w:r w:rsidRPr="00BF72D2">
        <w:rPr>
          <w:rFonts w:cstheme="minorHAnsi"/>
          <w:color w:val="000000" w:themeColor="text1"/>
        </w:rPr>
        <w:t>They were reconsiderations or updates of previous STAs (including CDF rapid reconsiderations).</w:t>
      </w:r>
    </w:p>
    <w:p w14:paraId="160F2E47" w14:textId="1F789AB8" w:rsidR="00817A75" w:rsidRPr="00BF72D2" w:rsidRDefault="00817A75" w:rsidP="00817A75">
      <w:pPr>
        <w:pStyle w:val="ListParagraph"/>
        <w:numPr>
          <w:ilvl w:val="0"/>
          <w:numId w:val="5"/>
        </w:numPr>
        <w:spacing w:line="480" w:lineRule="auto"/>
        <w:rPr>
          <w:rFonts w:cstheme="minorHAnsi"/>
          <w:color w:val="000000" w:themeColor="text1"/>
        </w:rPr>
      </w:pPr>
      <w:r w:rsidRPr="00BF72D2">
        <w:rPr>
          <w:rFonts w:cstheme="minorHAnsi"/>
          <w:color w:val="000000" w:themeColor="text1"/>
        </w:rPr>
        <w:t>The appraisal had been terminated</w:t>
      </w:r>
      <w:r w:rsidR="0027161C" w:rsidRPr="00BF72D2">
        <w:rPr>
          <w:rFonts w:cstheme="minorHAnsi"/>
          <w:color w:val="000000" w:themeColor="text1"/>
        </w:rPr>
        <w:t xml:space="preserve"> e.g. due to failure to receive a license</w:t>
      </w:r>
    </w:p>
    <w:p w14:paraId="04FC56FD" w14:textId="01A90B7A" w:rsidR="00817A75" w:rsidRPr="00BF72D2" w:rsidRDefault="00817A75" w:rsidP="00817A75">
      <w:pPr>
        <w:pStyle w:val="ListParagraph"/>
        <w:numPr>
          <w:ilvl w:val="0"/>
          <w:numId w:val="5"/>
        </w:numPr>
        <w:spacing w:line="480" w:lineRule="auto"/>
        <w:rPr>
          <w:rFonts w:cstheme="minorHAnsi"/>
          <w:color w:val="000000" w:themeColor="text1"/>
        </w:rPr>
      </w:pPr>
      <w:r w:rsidRPr="00BF72D2">
        <w:rPr>
          <w:rFonts w:cstheme="minorHAnsi"/>
          <w:color w:val="000000" w:themeColor="text1"/>
        </w:rPr>
        <w:t>Guidance had since been withdrawn</w:t>
      </w:r>
    </w:p>
    <w:p w14:paraId="375F3DC9" w14:textId="04FF3574" w:rsidR="00E8259E" w:rsidRPr="00BF72D2" w:rsidRDefault="00E8259E" w:rsidP="00E8259E">
      <w:pPr>
        <w:spacing w:line="480" w:lineRule="auto"/>
        <w:rPr>
          <w:rFonts w:cstheme="minorHAnsi"/>
          <w:color w:val="000000" w:themeColor="text1"/>
        </w:rPr>
      </w:pPr>
      <w:r w:rsidRPr="00BF72D2">
        <w:rPr>
          <w:rFonts w:cstheme="minorHAnsi"/>
          <w:color w:val="000000" w:themeColor="text1"/>
        </w:rPr>
        <w:t xml:space="preserve">Twenty-seven </w:t>
      </w:r>
      <w:r w:rsidR="00F940B9" w:rsidRPr="00BF72D2">
        <w:rPr>
          <w:rFonts w:cstheme="minorHAnsi"/>
          <w:color w:val="000000" w:themeColor="text1"/>
        </w:rPr>
        <w:t xml:space="preserve">further </w:t>
      </w:r>
      <w:r w:rsidRPr="00BF72D2">
        <w:rPr>
          <w:rFonts w:cstheme="minorHAnsi"/>
          <w:color w:val="000000" w:themeColor="text1"/>
        </w:rPr>
        <w:t>appraisals were excluded after extraction as important information</w:t>
      </w:r>
      <w:r w:rsidR="002E6147" w:rsidRPr="00BF72D2">
        <w:rPr>
          <w:rFonts w:cstheme="minorHAnsi"/>
          <w:color w:val="000000" w:themeColor="text1"/>
        </w:rPr>
        <w:t xml:space="preserve"> (typically ICERs)</w:t>
      </w:r>
      <w:r w:rsidRPr="00BF72D2">
        <w:rPr>
          <w:rFonts w:cstheme="minorHAnsi"/>
          <w:color w:val="000000" w:themeColor="text1"/>
        </w:rPr>
        <w:t xml:space="preserve"> had been redacted or was otherwise missing from appraisal documents. An updated </w:t>
      </w:r>
      <w:bookmarkStart w:id="5" w:name="_Hlk530150251"/>
      <w:r w:rsidRPr="00BF72D2">
        <w:rPr>
          <w:rFonts w:cstheme="minorHAnsi"/>
          <w:color w:val="000000" w:themeColor="text1"/>
        </w:rPr>
        <w:t xml:space="preserve">review of </w:t>
      </w:r>
      <w:r w:rsidR="001B65C1" w:rsidRPr="00BF72D2">
        <w:rPr>
          <w:rFonts w:cstheme="minorHAnsi"/>
          <w:color w:val="000000" w:themeColor="text1"/>
        </w:rPr>
        <w:t xml:space="preserve">NICE’s </w:t>
      </w:r>
      <w:r w:rsidRPr="00BF72D2">
        <w:rPr>
          <w:rFonts w:cstheme="minorHAnsi"/>
          <w:color w:val="000000" w:themeColor="text1"/>
        </w:rPr>
        <w:t>decisions</w:t>
      </w:r>
      <w:r w:rsidR="001B65C1" w:rsidRPr="00BF72D2">
        <w:rPr>
          <w:rFonts w:cstheme="minorHAnsi"/>
          <w:color w:val="000000" w:themeColor="text1"/>
        </w:rPr>
        <w:t xml:space="preserve"> and use of the CDF</w:t>
      </w:r>
      <w:r w:rsidRPr="00BF72D2">
        <w:rPr>
          <w:rFonts w:cstheme="minorHAnsi"/>
          <w:color w:val="000000" w:themeColor="text1"/>
        </w:rPr>
        <w:t xml:space="preserve"> </w:t>
      </w:r>
      <w:bookmarkEnd w:id="5"/>
      <w:r w:rsidRPr="00BF72D2">
        <w:rPr>
          <w:rFonts w:cstheme="minorHAnsi"/>
          <w:color w:val="000000" w:themeColor="text1"/>
        </w:rPr>
        <w:t xml:space="preserve">was performed </w:t>
      </w:r>
      <w:r w:rsidR="00F940B9" w:rsidRPr="00BF72D2">
        <w:rPr>
          <w:rFonts w:cstheme="minorHAnsi"/>
          <w:color w:val="000000" w:themeColor="text1"/>
        </w:rPr>
        <w:t xml:space="preserve">in August 2018 </w:t>
      </w:r>
      <w:r w:rsidRPr="00BF72D2">
        <w:rPr>
          <w:rFonts w:cstheme="minorHAnsi"/>
          <w:color w:val="000000" w:themeColor="text1"/>
        </w:rPr>
        <w:t xml:space="preserve">which included all appraisals of cancer drugs </w:t>
      </w:r>
      <w:r w:rsidR="00F940B9" w:rsidRPr="00BF72D2">
        <w:rPr>
          <w:rFonts w:cstheme="minorHAnsi"/>
          <w:color w:val="000000" w:themeColor="text1"/>
        </w:rPr>
        <w:t>published</w:t>
      </w:r>
      <w:r w:rsidRPr="00BF72D2">
        <w:rPr>
          <w:rFonts w:cstheme="minorHAnsi"/>
          <w:color w:val="000000" w:themeColor="text1"/>
        </w:rPr>
        <w:t xml:space="preserve"> between January and July 2018 inclusive. </w:t>
      </w:r>
    </w:p>
    <w:p w14:paraId="52EBD601" w14:textId="5140BF5E" w:rsidR="00445DC0" w:rsidRPr="00BF72D2" w:rsidRDefault="00D57B51" w:rsidP="00800BD1">
      <w:pPr>
        <w:spacing w:line="480" w:lineRule="auto"/>
        <w:rPr>
          <w:rFonts w:cstheme="minorHAnsi"/>
          <w:color w:val="000000" w:themeColor="text1"/>
        </w:rPr>
      </w:pPr>
      <w:r w:rsidRPr="00BF72D2">
        <w:rPr>
          <w:rFonts w:cstheme="minorHAnsi"/>
          <w:i/>
          <w:color w:val="000000" w:themeColor="text1"/>
        </w:rPr>
        <w:t xml:space="preserve">2.2 </w:t>
      </w:r>
      <w:r w:rsidR="00E8259E" w:rsidRPr="00BF72D2">
        <w:rPr>
          <w:rFonts w:cstheme="minorHAnsi"/>
          <w:i/>
          <w:color w:val="000000" w:themeColor="text1"/>
        </w:rPr>
        <w:t>Data Extraction</w:t>
      </w:r>
      <w:r w:rsidR="00817A75" w:rsidRPr="00BF72D2">
        <w:rPr>
          <w:rFonts w:cstheme="minorHAnsi"/>
          <w:i/>
          <w:color w:val="000000" w:themeColor="text1"/>
        </w:rPr>
        <w:br/>
      </w:r>
      <w:r w:rsidR="008C79C9" w:rsidRPr="00BF72D2">
        <w:rPr>
          <w:rFonts w:cstheme="minorHAnsi"/>
          <w:color w:val="000000" w:themeColor="text1"/>
        </w:rPr>
        <w:t xml:space="preserve">Relevant documentation for each appraisal was obtained from the NICE website, including the full Committee papers and ERG reports, </w:t>
      </w:r>
      <w:r w:rsidR="00800BD1" w:rsidRPr="00BF72D2">
        <w:rPr>
          <w:rFonts w:cstheme="minorHAnsi"/>
          <w:color w:val="000000" w:themeColor="text1"/>
        </w:rPr>
        <w:t>A</w:t>
      </w:r>
      <w:r w:rsidR="003F31FC" w:rsidRPr="00BF72D2">
        <w:rPr>
          <w:rFonts w:cstheme="minorHAnsi"/>
          <w:color w:val="000000" w:themeColor="text1"/>
        </w:rPr>
        <w:t>ppraisal Consultation Documents (ACDs)</w:t>
      </w:r>
      <w:r w:rsidR="008C79C9" w:rsidRPr="00BF72D2">
        <w:rPr>
          <w:rFonts w:cstheme="minorHAnsi"/>
          <w:color w:val="000000" w:themeColor="text1"/>
        </w:rPr>
        <w:t xml:space="preserve">, and </w:t>
      </w:r>
      <w:r w:rsidR="003F31FC" w:rsidRPr="00BF72D2">
        <w:rPr>
          <w:rFonts w:cstheme="minorHAnsi"/>
          <w:color w:val="000000" w:themeColor="text1"/>
        </w:rPr>
        <w:t>Final Appraisal Determinations (FADs)</w:t>
      </w:r>
      <w:r w:rsidR="008C79C9" w:rsidRPr="00BF72D2">
        <w:rPr>
          <w:rFonts w:cstheme="minorHAnsi"/>
          <w:color w:val="000000" w:themeColor="text1"/>
        </w:rPr>
        <w:t>. Data were extracted from these documents</w:t>
      </w:r>
      <w:r w:rsidR="008F357D" w:rsidRPr="00BF72D2">
        <w:rPr>
          <w:rFonts w:cstheme="minorHAnsi"/>
          <w:color w:val="000000" w:themeColor="text1"/>
        </w:rPr>
        <w:t xml:space="preserve"> by single reviewer</w:t>
      </w:r>
      <w:r w:rsidR="00800F22">
        <w:rPr>
          <w:rFonts w:cstheme="minorHAnsi"/>
          <w:color w:val="000000" w:themeColor="text1"/>
        </w:rPr>
        <w:t xml:space="preserve"> (MW)</w:t>
      </w:r>
      <w:r w:rsidR="008C79C9" w:rsidRPr="00BF72D2">
        <w:rPr>
          <w:rFonts w:cstheme="minorHAnsi"/>
          <w:color w:val="000000" w:themeColor="text1"/>
        </w:rPr>
        <w:t xml:space="preserve"> into a standardised data extraction tool based on that used by Kaltenthaler and colleagues </w:t>
      </w:r>
      <w:r w:rsidR="00656258" w:rsidRPr="00BF72D2">
        <w:rPr>
          <w:rFonts w:cstheme="minorHAnsi"/>
          <w:color w:val="000000" w:themeColor="text1"/>
        </w:rPr>
        <w:fldChar w:fldCharType="begin"/>
      </w:r>
      <w:r w:rsidR="009D7764" w:rsidRPr="00BF72D2">
        <w:rPr>
          <w:rFonts w:cstheme="minorHAnsi"/>
          <w:color w:val="000000" w:themeColor="text1"/>
        </w:rPr>
        <w:instrText xml:space="preserve"> ADDIN EN.CITE &lt;EndNote&gt;&lt;Cite&gt;&lt;Author&gt;N&lt;/Author&gt;&lt;Year&gt;2016&lt;/Year&gt;&lt;RecNum&gt;9&lt;/RecNum&gt;&lt;DisplayText&gt;[6]&lt;/DisplayText&gt;&lt;record&gt;&lt;rec-number&gt;9&lt;/rec-number&gt;&lt;foreign-keys&gt;&lt;key app="EN" db-id="5rwap9w0xt9zppefx0k5f554daxwppexp2xx" timestamp="1533718019"&gt;9&lt;/key&gt;&lt;/foreign-keys&gt;&lt;ref-type name="Journal Article"&gt;17&lt;/ref-type&gt;&lt;contributors&gt;&lt;authors&gt;&lt;author&gt;Kaltenthaler, E; Carroll, C; Hill-McManus, D; Scope, A; Holmes, M; Rice, S; Rose, M; Tappenden, P; Woolacott N;&lt;/author&gt;&lt;/authors&gt;&lt;/contributors&gt;&lt;titles&gt;&lt;title&gt;Issues Related to the Frequency of Exploratory Analyses by Evidence Review Groups in the NICE Single Technology Appraisal Process&lt;/title&gt;&lt;secondary-title&gt;PharmacoEconomics Open&lt;/secondary-title&gt;&lt;/titles&gt;&lt;periodical&gt;&lt;full-title&gt;PharmacoEconomics Open&lt;/full-title&gt;&lt;/periodical&gt;&lt;pages&gt;99-108&lt;/pages&gt;&lt;volume&gt;1&lt;/volume&gt;&lt;dates&gt;&lt;year&gt;2016&lt;/year&gt;&lt;/dates&gt;&lt;urls&gt;&lt;/urls&gt;&lt;/record&gt;&lt;/Cite&gt;&lt;/EndNote&gt;</w:instrText>
      </w:r>
      <w:r w:rsidR="00656258" w:rsidRPr="00BF72D2">
        <w:rPr>
          <w:rFonts w:cstheme="minorHAnsi"/>
          <w:color w:val="000000" w:themeColor="text1"/>
        </w:rPr>
        <w:fldChar w:fldCharType="separate"/>
      </w:r>
      <w:r w:rsidR="009D7764" w:rsidRPr="00BF72D2">
        <w:rPr>
          <w:rFonts w:cstheme="minorHAnsi"/>
          <w:noProof/>
          <w:color w:val="000000" w:themeColor="text1"/>
        </w:rPr>
        <w:t>[6]</w:t>
      </w:r>
      <w:r w:rsidR="00656258" w:rsidRPr="00BF72D2">
        <w:rPr>
          <w:rFonts w:cstheme="minorHAnsi"/>
          <w:color w:val="000000" w:themeColor="text1"/>
        </w:rPr>
        <w:fldChar w:fldCharType="end"/>
      </w:r>
      <w:r w:rsidR="008C79C9" w:rsidRPr="00BF72D2">
        <w:rPr>
          <w:rFonts w:cstheme="minorHAnsi"/>
          <w:color w:val="000000" w:themeColor="text1"/>
        </w:rPr>
        <w:t xml:space="preserve">. </w:t>
      </w:r>
      <w:r w:rsidR="002333C3" w:rsidRPr="00BF72D2">
        <w:rPr>
          <w:rFonts w:cstheme="minorHAnsi"/>
          <w:color w:val="000000" w:themeColor="text1"/>
        </w:rPr>
        <w:t xml:space="preserve">The data extracted included the following: </w:t>
      </w:r>
      <w:r w:rsidR="00B33561" w:rsidRPr="00BF72D2">
        <w:rPr>
          <w:rFonts w:cstheme="minorHAnsi"/>
          <w:color w:val="000000" w:themeColor="text1"/>
        </w:rPr>
        <w:t>TA title and number</w:t>
      </w:r>
      <w:r w:rsidR="002333C3" w:rsidRPr="00BF72D2">
        <w:rPr>
          <w:rFonts w:cstheme="minorHAnsi"/>
          <w:color w:val="000000" w:themeColor="text1"/>
        </w:rPr>
        <w:t xml:space="preserve">, disease area, appraisal committee (AC), </w:t>
      </w:r>
      <w:r w:rsidR="002333C3" w:rsidRPr="00BF72D2">
        <w:rPr>
          <w:rFonts w:cstheme="minorHAnsi"/>
          <w:color w:val="000000" w:themeColor="text1"/>
        </w:rPr>
        <w:lastRenderedPageBreak/>
        <w:t xml:space="preserve">company and ERG base-case ICERs, </w:t>
      </w:r>
      <w:r w:rsidR="00B33561" w:rsidRPr="00BF72D2">
        <w:rPr>
          <w:rFonts w:cstheme="minorHAnsi"/>
          <w:color w:val="000000" w:themeColor="text1"/>
        </w:rPr>
        <w:t>AC-preferred ICER at ACDs and FAD</w:t>
      </w:r>
      <w:r w:rsidR="002333C3" w:rsidRPr="00BF72D2">
        <w:rPr>
          <w:rFonts w:cstheme="minorHAnsi"/>
          <w:color w:val="000000" w:themeColor="text1"/>
        </w:rPr>
        <w:t xml:space="preserve">, </w:t>
      </w:r>
      <w:r w:rsidR="00B33561" w:rsidRPr="00BF72D2">
        <w:rPr>
          <w:rFonts w:cstheme="minorHAnsi"/>
          <w:color w:val="000000" w:themeColor="text1"/>
        </w:rPr>
        <w:t>recommendations at each stage and the</w:t>
      </w:r>
      <w:r w:rsidR="002333C3" w:rsidRPr="00BF72D2">
        <w:rPr>
          <w:rFonts w:cstheme="minorHAnsi"/>
          <w:color w:val="000000" w:themeColor="text1"/>
        </w:rPr>
        <w:t xml:space="preserve"> reasons </w:t>
      </w:r>
      <w:r w:rsidR="00B33561" w:rsidRPr="00BF72D2">
        <w:rPr>
          <w:rFonts w:cstheme="minorHAnsi"/>
          <w:color w:val="000000" w:themeColor="text1"/>
        </w:rPr>
        <w:t>behind them,</w:t>
      </w:r>
      <w:r w:rsidR="002333C3" w:rsidRPr="00BF72D2">
        <w:rPr>
          <w:rFonts w:cstheme="minorHAnsi"/>
          <w:color w:val="000000" w:themeColor="text1"/>
        </w:rPr>
        <w:t xml:space="preserve"> </w:t>
      </w:r>
      <w:r w:rsidR="000151C0" w:rsidRPr="00BF72D2">
        <w:rPr>
          <w:rFonts w:cstheme="minorHAnsi"/>
          <w:color w:val="000000" w:themeColor="text1"/>
        </w:rPr>
        <w:t>the Cancer Drugs Fund,</w:t>
      </w:r>
      <w:r w:rsidR="00802DB7" w:rsidRPr="00BF72D2">
        <w:rPr>
          <w:rFonts w:cstheme="minorHAnsi"/>
          <w:color w:val="000000" w:themeColor="text1"/>
        </w:rPr>
        <w:t xml:space="preserve"> and decision optimisation </w:t>
      </w:r>
      <w:bookmarkStart w:id="6" w:name="_Hlk530150291"/>
      <w:r w:rsidR="001B65C1" w:rsidRPr="00BF72D2">
        <w:rPr>
          <w:rFonts w:cstheme="minorHAnsi"/>
          <w:color w:val="000000" w:themeColor="text1"/>
        </w:rPr>
        <w:t>(where a recommendation was restricted to more cost-effective sub</w:t>
      </w:r>
      <w:r w:rsidR="006656CB" w:rsidRPr="00BF72D2">
        <w:rPr>
          <w:rFonts w:cstheme="minorHAnsi"/>
          <w:color w:val="000000" w:themeColor="text1"/>
        </w:rPr>
        <w:t>-populations</w:t>
      </w:r>
      <w:r w:rsidR="001B65C1" w:rsidRPr="00BF72D2">
        <w:rPr>
          <w:rFonts w:cstheme="minorHAnsi"/>
          <w:color w:val="000000" w:themeColor="text1"/>
        </w:rPr>
        <w:t>)</w:t>
      </w:r>
      <w:r w:rsidR="00802DB7" w:rsidRPr="00BF72D2">
        <w:rPr>
          <w:rFonts w:cstheme="minorHAnsi"/>
          <w:color w:val="000000" w:themeColor="text1"/>
        </w:rPr>
        <w:t xml:space="preserve">. </w:t>
      </w:r>
      <w:bookmarkEnd w:id="6"/>
      <w:r w:rsidR="00802DB7" w:rsidRPr="00BF72D2">
        <w:rPr>
          <w:rFonts w:cstheme="minorHAnsi"/>
          <w:color w:val="000000" w:themeColor="text1"/>
        </w:rPr>
        <w:t xml:space="preserve">Information about the </w:t>
      </w:r>
      <w:r w:rsidR="00B33561" w:rsidRPr="00BF72D2">
        <w:rPr>
          <w:rFonts w:cstheme="minorHAnsi"/>
          <w:color w:val="000000" w:themeColor="text1"/>
        </w:rPr>
        <w:t>introduction</w:t>
      </w:r>
      <w:r w:rsidR="00802DB7" w:rsidRPr="00BF72D2">
        <w:rPr>
          <w:rFonts w:cstheme="minorHAnsi"/>
          <w:color w:val="000000" w:themeColor="text1"/>
        </w:rPr>
        <w:t xml:space="preserve"> and progression of PAS discounts, the number of appraisal committee meetings, and the time from first committee meeting to the FAD were also extracted. </w:t>
      </w:r>
      <w:r w:rsidR="008F357D" w:rsidRPr="00BF72D2">
        <w:rPr>
          <w:rFonts w:cstheme="minorHAnsi"/>
          <w:color w:val="000000" w:themeColor="text1"/>
        </w:rPr>
        <w:t xml:space="preserve">All data were independently checked for accuracy by a second </w:t>
      </w:r>
      <w:r w:rsidR="0011345A" w:rsidRPr="00BF72D2">
        <w:rPr>
          <w:rFonts w:cstheme="minorHAnsi"/>
          <w:color w:val="000000" w:themeColor="text1"/>
        </w:rPr>
        <w:t xml:space="preserve">reviewer </w:t>
      </w:r>
      <w:r w:rsidR="00752C83">
        <w:rPr>
          <w:rFonts w:cstheme="minorHAnsi"/>
          <w:color w:val="000000" w:themeColor="text1"/>
        </w:rPr>
        <w:t xml:space="preserve">(JOC) </w:t>
      </w:r>
      <w:r w:rsidR="0011345A" w:rsidRPr="00BF72D2">
        <w:rPr>
          <w:rFonts w:cstheme="minorHAnsi"/>
          <w:color w:val="000000" w:themeColor="text1"/>
        </w:rPr>
        <w:t>to ensure consistency.</w:t>
      </w:r>
    </w:p>
    <w:p w14:paraId="71E0D1F6" w14:textId="7A0B6162" w:rsidR="00D65C93" w:rsidRPr="00BF72D2" w:rsidRDefault="00D57B51" w:rsidP="00D57B51">
      <w:pPr>
        <w:keepNext/>
        <w:spacing w:line="480" w:lineRule="auto"/>
        <w:rPr>
          <w:rFonts w:cstheme="minorHAnsi"/>
          <w:color w:val="000000" w:themeColor="text1"/>
        </w:rPr>
      </w:pPr>
      <w:r w:rsidRPr="00BF72D2">
        <w:rPr>
          <w:rFonts w:cstheme="minorHAnsi"/>
          <w:i/>
          <w:color w:val="000000" w:themeColor="text1"/>
        </w:rPr>
        <w:t xml:space="preserve">2.3 </w:t>
      </w:r>
      <w:r w:rsidR="00E8259E" w:rsidRPr="00BF72D2">
        <w:rPr>
          <w:rFonts w:cstheme="minorHAnsi"/>
          <w:i/>
          <w:color w:val="000000" w:themeColor="text1"/>
        </w:rPr>
        <w:t>Analysis</w:t>
      </w:r>
      <w:r w:rsidRPr="00BF72D2">
        <w:rPr>
          <w:rFonts w:cstheme="minorHAnsi"/>
          <w:i/>
          <w:color w:val="000000" w:themeColor="text1"/>
        </w:rPr>
        <w:br/>
      </w:r>
      <w:r w:rsidR="00D65C93" w:rsidRPr="00BF72D2">
        <w:rPr>
          <w:rFonts w:cstheme="minorHAnsi"/>
          <w:color w:val="000000" w:themeColor="text1"/>
        </w:rPr>
        <w:t xml:space="preserve">Descriptive summary statistics were generated for each of the quantitative items extracted as listed </w:t>
      </w:r>
      <w:r w:rsidR="00A87776">
        <w:rPr>
          <w:rFonts w:cstheme="minorHAnsi"/>
          <w:color w:val="000000" w:themeColor="text1"/>
        </w:rPr>
        <w:t>above</w:t>
      </w:r>
      <w:r w:rsidR="00D65C93" w:rsidRPr="00BF72D2">
        <w:rPr>
          <w:rFonts w:cstheme="minorHAnsi"/>
          <w:color w:val="000000" w:themeColor="text1"/>
        </w:rPr>
        <w:t xml:space="preserve"> (e.g. ICERs, number of ACMs</w:t>
      </w:r>
      <w:r w:rsidR="00427A4C" w:rsidRPr="00BF72D2">
        <w:rPr>
          <w:rFonts w:cstheme="minorHAnsi"/>
          <w:color w:val="000000" w:themeColor="text1"/>
        </w:rPr>
        <w:t>)</w:t>
      </w:r>
      <w:r w:rsidR="00A87776">
        <w:rPr>
          <w:rFonts w:cstheme="minorHAnsi"/>
          <w:color w:val="000000" w:themeColor="text1"/>
        </w:rPr>
        <w:t>;</w:t>
      </w:r>
      <w:r w:rsidR="009169E6">
        <w:rPr>
          <w:rFonts w:cstheme="minorHAnsi"/>
          <w:color w:val="000000" w:themeColor="text1"/>
        </w:rPr>
        <w:t xml:space="preserve"> </w:t>
      </w:r>
      <w:r w:rsidR="00427A4C" w:rsidRPr="00BF72D2">
        <w:rPr>
          <w:rFonts w:cstheme="minorHAnsi"/>
          <w:color w:val="000000" w:themeColor="text1"/>
        </w:rPr>
        <w:t>these were also calculated for</w:t>
      </w:r>
      <w:r w:rsidR="00D65C93" w:rsidRPr="00BF72D2">
        <w:rPr>
          <w:rFonts w:cstheme="minorHAnsi"/>
          <w:color w:val="000000" w:themeColor="text1"/>
        </w:rPr>
        <w:t xml:space="preserve"> subgroups such as disease area and committee, with mean ICERs by preliminary decision and final decision also calculated. Linear and logistic regression analyses were performed to explore relationships between variables such as</w:t>
      </w:r>
      <w:r w:rsidR="00A97706" w:rsidRPr="00BF72D2">
        <w:rPr>
          <w:rFonts w:cstheme="minorHAnsi"/>
          <w:color w:val="000000" w:themeColor="text1"/>
        </w:rPr>
        <w:t xml:space="preserve"> the</w:t>
      </w:r>
      <w:r w:rsidR="00D65C93" w:rsidRPr="00BF72D2">
        <w:rPr>
          <w:rFonts w:cstheme="minorHAnsi"/>
          <w:color w:val="000000" w:themeColor="text1"/>
        </w:rPr>
        <w:t xml:space="preserve"> disease area</w:t>
      </w:r>
      <w:bookmarkStart w:id="7" w:name="_Hlk530150314"/>
      <w:r w:rsidR="00D65C93" w:rsidRPr="00BF72D2">
        <w:rPr>
          <w:rFonts w:cstheme="minorHAnsi"/>
          <w:color w:val="000000" w:themeColor="text1"/>
        </w:rPr>
        <w:t>,</w:t>
      </w:r>
      <w:r w:rsidR="00A97706" w:rsidRPr="00BF72D2">
        <w:rPr>
          <w:rFonts w:cstheme="minorHAnsi"/>
          <w:color w:val="000000" w:themeColor="text1"/>
        </w:rPr>
        <w:t xml:space="preserve"> company and ERG base-case ICERs, the introduction of PAS discounts, year of appraisal, duration of appraisal, and number of committee meetings</w:t>
      </w:r>
      <w:bookmarkEnd w:id="7"/>
      <w:r w:rsidR="00D65C93" w:rsidRPr="00BF72D2">
        <w:rPr>
          <w:rFonts w:cstheme="minorHAnsi"/>
          <w:color w:val="000000" w:themeColor="text1"/>
        </w:rPr>
        <w:t>,</w:t>
      </w:r>
      <w:r w:rsidR="00A97706" w:rsidRPr="00BF72D2">
        <w:rPr>
          <w:rFonts w:cstheme="minorHAnsi"/>
          <w:color w:val="000000" w:themeColor="text1"/>
        </w:rPr>
        <w:t xml:space="preserve"> and </w:t>
      </w:r>
      <w:r w:rsidR="00D65C93" w:rsidRPr="00BF72D2">
        <w:rPr>
          <w:rFonts w:cstheme="minorHAnsi"/>
          <w:color w:val="000000" w:themeColor="text1"/>
        </w:rPr>
        <w:t>ACD and FAD decisions. For some analyses, technologies indicated for cancer were further split by whether or not they were indicated for cancers described as advanced, metastatic, or otherwise classed as ‘end-of-life’.</w:t>
      </w:r>
      <w:r w:rsidR="00A97706" w:rsidRPr="00BF72D2">
        <w:rPr>
          <w:rFonts w:cstheme="minorHAnsi"/>
          <w:color w:val="000000" w:themeColor="text1"/>
        </w:rPr>
        <w:t xml:space="preserve"> All </w:t>
      </w:r>
      <w:r w:rsidR="00FD4007" w:rsidRPr="00BF72D2">
        <w:rPr>
          <w:rFonts w:cstheme="minorHAnsi"/>
          <w:color w:val="000000" w:themeColor="text1"/>
        </w:rPr>
        <w:t>statistical</w:t>
      </w:r>
      <w:r w:rsidR="00A97706" w:rsidRPr="00BF72D2">
        <w:rPr>
          <w:rFonts w:cstheme="minorHAnsi"/>
          <w:color w:val="000000" w:themeColor="text1"/>
        </w:rPr>
        <w:t xml:space="preserve"> analyses were performed using Stata</w:t>
      </w:r>
      <w:r w:rsidR="00A01877" w:rsidRPr="00BF72D2">
        <w:rPr>
          <w:rFonts w:cstheme="minorHAnsi"/>
          <w:color w:val="000000" w:themeColor="text1"/>
        </w:rPr>
        <w:t xml:space="preserve"> </w:t>
      </w:r>
      <w:r w:rsidR="00A97706" w:rsidRPr="00BF72D2">
        <w:rPr>
          <w:rFonts w:cstheme="minorHAnsi"/>
          <w:color w:val="000000" w:themeColor="text1"/>
        </w:rPr>
        <w:t>15</w:t>
      </w:r>
      <w:r w:rsidR="008F49D9" w:rsidRPr="00BF72D2">
        <w:rPr>
          <w:rFonts w:cstheme="minorHAnsi"/>
          <w:color w:val="000000" w:themeColor="text1"/>
        </w:rPr>
        <w:t>.</w:t>
      </w:r>
    </w:p>
    <w:p w14:paraId="5EC696FE" w14:textId="75BE4570" w:rsidR="008C79C9" w:rsidRPr="00BF72D2" w:rsidRDefault="00D65C93" w:rsidP="00800BD1">
      <w:pPr>
        <w:spacing w:line="480" w:lineRule="auto"/>
        <w:rPr>
          <w:rFonts w:cstheme="minorHAnsi"/>
          <w:color w:val="000000" w:themeColor="text1"/>
        </w:rPr>
      </w:pPr>
      <w:r w:rsidRPr="00BF72D2">
        <w:rPr>
          <w:rFonts w:cstheme="minorHAnsi"/>
          <w:color w:val="000000" w:themeColor="text1"/>
        </w:rPr>
        <w:t xml:space="preserve"> </w:t>
      </w:r>
      <w:r w:rsidR="008C79C9" w:rsidRPr="00BF72D2">
        <w:rPr>
          <w:rFonts w:cstheme="minorHAnsi"/>
          <w:color w:val="000000" w:themeColor="text1"/>
        </w:rPr>
        <w:t>A narrative synthesis of the extracted data was performed, which highlighted potentially important patterns and relationships within the dataset.</w:t>
      </w:r>
    </w:p>
    <w:p w14:paraId="039B72AE" w14:textId="39ED85D6" w:rsidR="00215C96" w:rsidRPr="00BF72D2" w:rsidRDefault="008C79C9" w:rsidP="00800BD1">
      <w:pPr>
        <w:spacing w:line="480" w:lineRule="auto"/>
        <w:rPr>
          <w:rFonts w:cstheme="minorHAnsi"/>
          <w:color w:val="000000" w:themeColor="text1"/>
        </w:rPr>
      </w:pPr>
      <w:r w:rsidRPr="00BF72D2">
        <w:rPr>
          <w:rFonts w:cstheme="minorHAnsi"/>
          <w:color w:val="000000" w:themeColor="text1"/>
        </w:rPr>
        <w:t>The factors influencing the likelihood of a negative preliminary recommendation, and the reversal of negative decisions in the FAD were investigated through simple descriptive statistics and logistic regression</w:t>
      </w:r>
      <w:r w:rsidR="00D65C93" w:rsidRPr="00BF72D2">
        <w:rPr>
          <w:rFonts w:cstheme="minorHAnsi"/>
          <w:color w:val="000000" w:themeColor="text1"/>
        </w:rPr>
        <w:t xml:space="preserve"> analysis</w:t>
      </w:r>
      <w:r w:rsidRPr="00BF72D2">
        <w:rPr>
          <w:rFonts w:cstheme="minorHAnsi"/>
          <w:color w:val="000000" w:themeColor="text1"/>
        </w:rPr>
        <w:t xml:space="preserve">. </w:t>
      </w:r>
    </w:p>
    <w:p w14:paraId="68343D8E" w14:textId="77777777" w:rsidR="00215C96" w:rsidRPr="00BF72D2" w:rsidRDefault="00215C96">
      <w:pPr>
        <w:rPr>
          <w:rFonts w:cstheme="minorHAnsi"/>
          <w:color w:val="000000" w:themeColor="text1"/>
        </w:rPr>
      </w:pPr>
      <w:r w:rsidRPr="00BF72D2">
        <w:rPr>
          <w:rFonts w:cstheme="minorHAnsi"/>
          <w:color w:val="000000" w:themeColor="text1"/>
        </w:rPr>
        <w:br w:type="page"/>
      </w:r>
    </w:p>
    <w:p w14:paraId="2F7E6942" w14:textId="68E546BA" w:rsidR="00D94121" w:rsidRPr="00BF72D2" w:rsidRDefault="00D57B51" w:rsidP="00D94121">
      <w:pPr>
        <w:spacing w:line="480" w:lineRule="auto"/>
        <w:rPr>
          <w:rFonts w:cstheme="minorHAnsi"/>
          <w:b/>
          <w:color w:val="000000" w:themeColor="text1"/>
        </w:rPr>
      </w:pPr>
      <w:r w:rsidRPr="00BF72D2">
        <w:rPr>
          <w:rFonts w:cstheme="minorHAnsi"/>
          <w:b/>
          <w:color w:val="000000" w:themeColor="text1"/>
        </w:rPr>
        <w:lastRenderedPageBreak/>
        <w:t xml:space="preserve">3. </w:t>
      </w:r>
      <w:r w:rsidR="00D94121" w:rsidRPr="00BF72D2">
        <w:rPr>
          <w:rFonts w:cstheme="minorHAnsi"/>
          <w:b/>
          <w:color w:val="000000" w:themeColor="text1"/>
        </w:rPr>
        <w:t>Results</w:t>
      </w:r>
    </w:p>
    <w:p w14:paraId="74E459A3" w14:textId="64BD6BF9" w:rsidR="003F4708" w:rsidRPr="00BF72D2" w:rsidRDefault="00D94121" w:rsidP="00D94121">
      <w:pPr>
        <w:spacing w:line="480" w:lineRule="auto"/>
        <w:rPr>
          <w:rFonts w:cstheme="minorHAnsi"/>
          <w:color w:val="000000" w:themeColor="text1"/>
        </w:rPr>
      </w:pPr>
      <w:r w:rsidRPr="00BF72D2">
        <w:rPr>
          <w:rFonts w:cstheme="minorHAnsi"/>
          <w:color w:val="000000" w:themeColor="text1"/>
        </w:rPr>
        <w:t xml:space="preserve">A total of 146 STAs conducted between </w:t>
      </w:r>
      <w:r w:rsidR="003F4708" w:rsidRPr="00BF72D2">
        <w:rPr>
          <w:rFonts w:cstheme="minorHAnsi"/>
          <w:color w:val="000000" w:themeColor="text1"/>
        </w:rPr>
        <w:t>1</w:t>
      </w:r>
      <w:r w:rsidR="003F4708" w:rsidRPr="00BF72D2">
        <w:rPr>
          <w:rFonts w:cstheme="minorHAnsi"/>
          <w:color w:val="000000" w:themeColor="text1"/>
          <w:vertAlign w:val="superscript"/>
        </w:rPr>
        <w:t>st</w:t>
      </w:r>
      <w:r w:rsidR="003F4708" w:rsidRPr="00BF72D2">
        <w:rPr>
          <w:rFonts w:cstheme="minorHAnsi"/>
          <w:color w:val="000000" w:themeColor="text1"/>
        </w:rPr>
        <w:t xml:space="preserve"> January </w:t>
      </w:r>
      <w:r w:rsidRPr="00BF72D2">
        <w:rPr>
          <w:rFonts w:cstheme="minorHAnsi"/>
          <w:color w:val="000000" w:themeColor="text1"/>
        </w:rPr>
        <w:t xml:space="preserve">2011 and </w:t>
      </w:r>
      <w:r w:rsidR="003F4708" w:rsidRPr="00BF72D2">
        <w:rPr>
          <w:rFonts w:cstheme="minorHAnsi"/>
          <w:color w:val="000000" w:themeColor="text1"/>
        </w:rPr>
        <w:t>31</w:t>
      </w:r>
      <w:r w:rsidR="003F4708" w:rsidRPr="00BF72D2">
        <w:rPr>
          <w:rFonts w:cstheme="minorHAnsi"/>
          <w:color w:val="000000" w:themeColor="text1"/>
          <w:vertAlign w:val="superscript"/>
        </w:rPr>
        <w:t>st</w:t>
      </w:r>
      <w:r w:rsidR="003F4708" w:rsidRPr="00BF72D2">
        <w:rPr>
          <w:rFonts w:cstheme="minorHAnsi"/>
          <w:color w:val="000000" w:themeColor="text1"/>
        </w:rPr>
        <w:t xml:space="preserve"> </w:t>
      </w:r>
      <w:r w:rsidRPr="00BF72D2">
        <w:rPr>
          <w:rFonts w:cstheme="minorHAnsi"/>
          <w:color w:val="000000" w:themeColor="text1"/>
        </w:rPr>
        <w:t xml:space="preserve">December 2017 met the study inclusion criteria. </w:t>
      </w:r>
      <w:r w:rsidR="003F4708" w:rsidRPr="00BF72D2">
        <w:rPr>
          <w:rFonts w:cstheme="minorHAnsi"/>
          <w:color w:val="000000" w:themeColor="text1"/>
        </w:rPr>
        <w:t>A further 24 studies were included following a rapid review of decisions on cancer drugs appraised between January and July 2018 inclusive. A flowchart of the selection process is presented in Figure 1.</w:t>
      </w:r>
    </w:p>
    <w:p w14:paraId="774FA75D" w14:textId="467F5011" w:rsidR="003F4708" w:rsidRPr="00BF72D2" w:rsidRDefault="00FC1D54" w:rsidP="003F4708">
      <w:pPr>
        <w:pStyle w:val="Caption"/>
        <w:keepNext/>
        <w:rPr>
          <w:rFonts w:cstheme="minorHAnsi"/>
          <w:i w:val="0"/>
          <w:color w:val="000000" w:themeColor="text1"/>
          <w:sz w:val="22"/>
        </w:rPr>
      </w:pPr>
      <w:r w:rsidRPr="00BF72D2">
        <w:rPr>
          <w:rFonts w:cstheme="minorHAnsi"/>
          <w:b/>
          <w:i w:val="0"/>
          <w:color w:val="000000" w:themeColor="text1"/>
          <w:sz w:val="22"/>
        </w:rPr>
        <w:t>Fig.</w:t>
      </w:r>
      <w:r w:rsidR="003F4708" w:rsidRPr="00BF72D2">
        <w:rPr>
          <w:rFonts w:cstheme="minorHAnsi"/>
          <w:b/>
          <w:i w:val="0"/>
          <w:color w:val="000000" w:themeColor="text1"/>
          <w:sz w:val="22"/>
        </w:rPr>
        <w:t xml:space="preserve"> </w:t>
      </w:r>
      <w:r w:rsidR="003F4708" w:rsidRPr="00BF72D2">
        <w:rPr>
          <w:rFonts w:cstheme="minorHAnsi"/>
          <w:b/>
          <w:i w:val="0"/>
          <w:color w:val="000000" w:themeColor="text1"/>
          <w:sz w:val="22"/>
        </w:rPr>
        <w:fldChar w:fldCharType="begin"/>
      </w:r>
      <w:r w:rsidR="003F4708" w:rsidRPr="00BF72D2">
        <w:rPr>
          <w:rFonts w:cstheme="minorHAnsi"/>
          <w:b/>
          <w:i w:val="0"/>
          <w:color w:val="000000" w:themeColor="text1"/>
          <w:sz w:val="22"/>
        </w:rPr>
        <w:instrText xml:space="preserve"> SEQ Figure \* ARABIC </w:instrText>
      </w:r>
      <w:r w:rsidR="003F4708" w:rsidRPr="00BF72D2">
        <w:rPr>
          <w:rFonts w:cstheme="minorHAnsi"/>
          <w:b/>
          <w:i w:val="0"/>
          <w:color w:val="000000" w:themeColor="text1"/>
          <w:sz w:val="22"/>
        </w:rPr>
        <w:fldChar w:fldCharType="separate"/>
      </w:r>
      <w:r w:rsidR="003F4708" w:rsidRPr="00BF72D2">
        <w:rPr>
          <w:rFonts w:cstheme="minorHAnsi"/>
          <w:b/>
          <w:i w:val="0"/>
          <w:noProof/>
          <w:color w:val="000000" w:themeColor="text1"/>
          <w:sz w:val="22"/>
        </w:rPr>
        <w:t>1</w:t>
      </w:r>
      <w:r w:rsidR="003F4708" w:rsidRPr="00BF72D2">
        <w:rPr>
          <w:rFonts w:cstheme="minorHAnsi"/>
          <w:b/>
          <w:i w:val="0"/>
          <w:color w:val="000000" w:themeColor="text1"/>
          <w:sz w:val="22"/>
        </w:rPr>
        <w:fldChar w:fldCharType="end"/>
      </w:r>
      <w:r w:rsidR="003F4708" w:rsidRPr="00BF72D2">
        <w:rPr>
          <w:rFonts w:cstheme="minorHAnsi"/>
          <w:i w:val="0"/>
          <w:color w:val="000000" w:themeColor="text1"/>
          <w:sz w:val="22"/>
        </w:rPr>
        <w:t xml:space="preserve"> PRISMA flow diagram of appraisal selection process</w:t>
      </w:r>
    </w:p>
    <w:p w14:paraId="45D4A361" w14:textId="20DFF0EE" w:rsidR="003F4708" w:rsidRPr="00BF72D2" w:rsidRDefault="003F4708" w:rsidP="003F4708">
      <w:pPr>
        <w:keepNext/>
        <w:spacing w:line="480" w:lineRule="auto"/>
        <w:rPr>
          <w:color w:val="000000" w:themeColor="text1"/>
        </w:rPr>
      </w:pPr>
      <w:r w:rsidRPr="00BF72D2">
        <w:rPr>
          <w:noProof/>
          <w:color w:val="000000" w:themeColor="text1"/>
          <w:lang w:eastAsia="en-GB"/>
        </w:rPr>
        <w:drawing>
          <wp:inline distT="0" distB="0" distL="0" distR="0" wp14:anchorId="4A2A9129" wp14:editId="512D550B">
            <wp:extent cx="5469147" cy="359427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78422" cy="3600367"/>
                    </a:xfrm>
                    <a:prstGeom prst="rect">
                      <a:avLst/>
                    </a:prstGeom>
                  </pic:spPr>
                </pic:pic>
              </a:graphicData>
            </a:graphic>
          </wp:inline>
        </w:drawing>
      </w:r>
      <w:r w:rsidRPr="00BF72D2">
        <w:rPr>
          <w:b/>
          <w:color w:val="000000" w:themeColor="text1"/>
          <w:sz w:val="20"/>
        </w:rPr>
        <w:t xml:space="preserve"> </w:t>
      </w:r>
    </w:p>
    <w:p w14:paraId="2B9123E8" w14:textId="0DA98F98" w:rsidR="00427A4C" w:rsidRPr="00BF72D2" w:rsidRDefault="00D94121" w:rsidP="00D94121">
      <w:pPr>
        <w:spacing w:line="480" w:lineRule="auto"/>
        <w:rPr>
          <w:rFonts w:cstheme="minorHAnsi"/>
          <w:color w:val="000000" w:themeColor="text1"/>
        </w:rPr>
      </w:pPr>
      <w:r w:rsidRPr="00BF72D2">
        <w:rPr>
          <w:rFonts w:cstheme="minorHAnsi"/>
          <w:color w:val="000000" w:themeColor="text1"/>
        </w:rPr>
        <w:t>The main disease areas covered by the STA process were cancer (72/146, 49.3%), cardiovascular conditions (14/146, 9.6%), autoimmune diseases (10/146, 6.8%), and eye conditions (9/146, 6.2%). Overall, 123 (84.2%) of STAs ended with a positive final recommendation; however, a</w:t>
      </w:r>
      <w:r w:rsidR="00121E48">
        <w:rPr>
          <w:rFonts w:cstheme="minorHAnsi"/>
          <w:color w:val="000000" w:themeColor="text1"/>
        </w:rPr>
        <w:t xml:space="preserve"> significantly</w:t>
      </w:r>
      <w:r w:rsidRPr="00BF72D2">
        <w:rPr>
          <w:rFonts w:cstheme="minorHAnsi"/>
          <w:color w:val="000000" w:themeColor="text1"/>
        </w:rPr>
        <w:t xml:space="preserve"> lower proportion (28/43, 65.1%) of drugs for advanced or ‘end-of-life’ cancers received a positive final recommendation</w:t>
      </w:r>
      <w:r w:rsidR="00121E48">
        <w:rPr>
          <w:rFonts w:cstheme="minorHAnsi"/>
          <w:color w:val="000000" w:themeColor="text1"/>
        </w:rPr>
        <w:t xml:space="preserve"> (χ</w:t>
      </w:r>
      <w:r w:rsidR="00121E48">
        <w:rPr>
          <w:rFonts w:cstheme="minorHAnsi"/>
          <w:color w:val="000000" w:themeColor="text1"/>
          <w:vertAlign w:val="superscript"/>
        </w:rPr>
        <w:t>2</w:t>
      </w:r>
      <w:r w:rsidR="00121E48">
        <w:rPr>
          <w:rFonts w:cstheme="minorHAnsi"/>
          <w:color w:val="000000" w:themeColor="text1"/>
        </w:rPr>
        <w:t xml:space="preserve"> [2, N=146] = 19.8, p&lt;0.001)</w:t>
      </w:r>
      <w:r w:rsidRPr="00BF72D2">
        <w:rPr>
          <w:rFonts w:cstheme="minorHAnsi"/>
          <w:color w:val="000000" w:themeColor="text1"/>
        </w:rPr>
        <w:t xml:space="preserve">. Despite making up only 29.5% of included STAs, drugs for advanced cancers comprised 65% of all negative recommendations. </w:t>
      </w:r>
      <w:bookmarkStart w:id="8" w:name="_Hlk530150479"/>
      <w:r w:rsidR="00927744" w:rsidRPr="00BF72D2">
        <w:rPr>
          <w:rFonts w:cstheme="minorHAnsi"/>
          <w:color w:val="000000" w:themeColor="text1"/>
        </w:rPr>
        <w:t>Non-advanced cancer drugs were approved 82.8% of the time (24/29), while</w:t>
      </w:r>
      <w:bookmarkEnd w:id="8"/>
      <w:r w:rsidR="00927744" w:rsidRPr="00BF72D2">
        <w:rPr>
          <w:rFonts w:cstheme="minorHAnsi"/>
          <w:color w:val="000000" w:themeColor="text1"/>
        </w:rPr>
        <w:t xml:space="preserve"> d</w:t>
      </w:r>
      <w:r w:rsidRPr="00BF72D2">
        <w:rPr>
          <w:rFonts w:cstheme="minorHAnsi"/>
          <w:color w:val="000000" w:themeColor="text1"/>
        </w:rPr>
        <w:t xml:space="preserve">rugs indicated for conditions other than cancer were approved in 96% of cases (71/74). Notably, in the two years since the relaunch of </w:t>
      </w:r>
      <w:r w:rsidRPr="00BF72D2">
        <w:rPr>
          <w:rFonts w:cstheme="minorHAnsi"/>
          <w:color w:val="000000" w:themeColor="text1"/>
        </w:rPr>
        <w:lastRenderedPageBreak/>
        <w:t xml:space="preserve">the CDF, 81.1% of cancer drugs appraised have received some form of positive recommendation, compared to 63.3% between 2000-2016 </w:t>
      </w:r>
      <w:r w:rsidRPr="00BF72D2">
        <w:rPr>
          <w:rFonts w:cstheme="minorHAnsi"/>
          <w:color w:val="000000" w:themeColor="text1"/>
        </w:rPr>
        <w:fldChar w:fldCharType="begin"/>
      </w:r>
      <w:r w:rsidR="009D7764" w:rsidRPr="00BF72D2">
        <w:rPr>
          <w:rFonts w:cstheme="minorHAnsi"/>
          <w:color w:val="000000" w:themeColor="text1"/>
        </w:rPr>
        <w:instrText xml:space="preserve"> ADDIN EN.CITE &lt;EndNote&gt;&lt;Cite&gt;&lt;Author&gt;LJ&lt;/Author&gt;&lt;Year&gt;2018&lt;/Year&gt;&lt;RecNum&gt;6&lt;/RecNum&gt;&lt;DisplayText&gt;[7]&lt;/DisplayText&gt;&lt;record&gt;&lt;rec-number&gt;6&lt;/rec-number&gt;&lt;foreign-keys&gt;&lt;key app="EN" db-id="5rwap9w0xt9zppefx0k5f554daxwppexp2xx" timestamp="1533208355"&gt;6&lt;/key&gt;&lt;/foreign-keys&gt;&lt;ref-type name="Journal Article"&gt;17&lt;/ref-type&gt;&lt;contributors&gt;&lt;authors&gt;&lt;author&gt;Dillon, A; Landells, LJ;&lt;/author&gt;&lt;/authors&gt;&lt;/contributors&gt;&lt;titles&gt;&lt;title&gt;NICE, the NHS, and Cancer Drugs&lt;/title&gt;&lt;secondary-title&gt;The Journal of the American Medical Association&lt;/secondary-title&gt;&lt;/titles&gt;&lt;periodical&gt;&lt;full-title&gt;The Journal of the American Medical Association&lt;/full-title&gt;&lt;/periodical&gt;&lt;pages&gt;767-768&lt;/pages&gt;&lt;volume&gt;319&lt;/volume&gt;&lt;number&gt;8&lt;/number&gt;&lt;dates&gt;&lt;year&gt;2018&lt;/year&gt;&lt;/dates&gt;&lt;urls&gt;&lt;/urls&gt;&lt;/record&gt;&lt;/Cite&gt;&lt;/EndNote&gt;</w:instrText>
      </w:r>
      <w:r w:rsidRPr="00BF72D2">
        <w:rPr>
          <w:rFonts w:cstheme="minorHAnsi"/>
          <w:color w:val="000000" w:themeColor="text1"/>
        </w:rPr>
        <w:fldChar w:fldCharType="separate"/>
      </w:r>
      <w:r w:rsidR="009D7764" w:rsidRPr="00BF72D2">
        <w:rPr>
          <w:rFonts w:cstheme="minorHAnsi"/>
          <w:noProof/>
          <w:color w:val="000000" w:themeColor="text1"/>
        </w:rPr>
        <w:t>[7]</w:t>
      </w:r>
      <w:r w:rsidRPr="00BF72D2">
        <w:rPr>
          <w:rFonts w:cstheme="minorHAnsi"/>
          <w:color w:val="000000" w:themeColor="text1"/>
        </w:rPr>
        <w:fldChar w:fldCharType="end"/>
      </w:r>
      <w:r w:rsidRPr="00BF72D2">
        <w:rPr>
          <w:rFonts w:cstheme="minorHAnsi"/>
          <w:color w:val="000000" w:themeColor="text1"/>
        </w:rPr>
        <w:t xml:space="preserve">. </w:t>
      </w:r>
    </w:p>
    <w:p w14:paraId="428AF3EA" w14:textId="2AF822E3" w:rsidR="00D94121" w:rsidRPr="00BF72D2" w:rsidRDefault="00D57B51" w:rsidP="00D94121">
      <w:pPr>
        <w:spacing w:line="480" w:lineRule="auto"/>
        <w:rPr>
          <w:rFonts w:cstheme="minorHAnsi"/>
          <w:color w:val="000000" w:themeColor="text1"/>
        </w:rPr>
      </w:pPr>
      <w:r w:rsidRPr="00BF72D2">
        <w:rPr>
          <w:rFonts w:cstheme="minorHAnsi"/>
          <w:i/>
          <w:color w:val="000000" w:themeColor="text1"/>
        </w:rPr>
        <w:t xml:space="preserve">3.1 The determinants of multiple committee meetings </w:t>
      </w:r>
      <w:r w:rsidR="006763E8" w:rsidRPr="00BF72D2">
        <w:rPr>
          <w:rFonts w:cstheme="minorHAnsi"/>
          <w:i/>
          <w:color w:val="000000" w:themeColor="text1"/>
        </w:rPr>
        <w:br/>
      </w:r>
      <w:r w:rsidR="006763E8" w:rsidRPr="00BF72D2">
        <w:rPr>
          <w:rFonts w:cstheme="minorHAnsi"/>
          <w:color w:val="000000" w:themeColor="text1"/>
        </w:rPr>
        <w:t>An</w:t>
      </w:r>
      <w:r w:rsidR="00D94121" w:rsidRPr="00BF72D2">
        <w:rPr>
          <w:rFonts w:cstheme="minorHAnsi"/>
          <w:color w:val="000000" w:themeColor="text1"/>
        </w:rPr>
        <w:t xml:space="preserve"> average of 2.16 (95% CI 2.01 to 2.32) committee meetings </w:t>
      </w:r>
      <w:r w:rsidR="006763E8" w:rsidRPr="00BF72D2">
        <w:rPr>
          <w:rFonts w:cstheme="minorHAnsi"/>
          <w:color w:val="000000" w:themeColor="text1"/>
        </w:rPr>
        <w:t xml:space="preserve">were </w:t>
      </w:r>
      <w:r w:rsidR="00E13AAC" w:rsidRPr="00BF72D2">
        <w:rPr>
          <w:rFonts w:cstheme="minorHAnsi"/>
          <w:color w:val="000000" w:themeColor="text1"/>
        </w:rPr>
        <w:t>required</w:t>
      </w:r>
      <w:r w:rsidR="006763E8" w:rsidRPr="00BF72D2">
        <w:rPr>
          <w:rFonts w:cstheme="minorHAnsi"/>
          <w:color w:val="000000" w:themeColor="text1"/>
        </w:rPr>
        <w:t xml:space="preserve"> to reach </w:t>
      </w:r>
      <w:r w:rsidR="00D94121" w:rsidRPr="00BF72D2">
        <w:rPr>
          <w:rFonts w:cstheme="minorHAnsi"/>
          <w:color w:val="000000" w:themeColor="text1"/>
        </w:rPr>
        <w:t>a final de</w:t>
      </w:r>
      <w:r w:rsidR="006763E8" w:rsidRPr="00BF72D2">
        <w:rPr>
          <w:rFonts w:cstheme="minorHAnsi"/>
          <w:color w:val="000000" w:themeColor="text1"/>
        </w:rPr>
        <w:t>cision across all disease areas. A final decision was reached in one meeting for only 20.5% of technologies</w:t>
      </w:r>
      <w:r w:rsidR="00D94121" w:rsidRPr="00BF72D2">
        <w:rPr>
          <w:rFonts w:cstheme="minorHAnsi"/>
          <w:color w:val="000000" w:themeColor="text1"/>
        </w:rPr>
        <w:t>, with the majority (</w:t>
      </w:r>
      <w:r w:rsidR="00D04DC2" w:rsidRPr="00BF72D2">
        <w:rPr>
          <w:rFonts w:cstheme="minorHAnsi"/>
          <w:color w:val="000000" w:themeColor="text1"/>
        </w:rPr>
        <w:t xml:space="preserve">54%) requiring two (see </w:t>
      </w:r>
      <w:r w:rsidR="00D04DC2" w:rsidRPr="00BF72D2">
        <w:rPr>
          <w:rFonts w:cstheme="minorHAnsi"/>
          <w:color w:val="000000" w:themeColor="text1"/>
        </w:rPr>
        <w:fldChar w:fldCharType="begin"/>
      </w:r>
      <w:r w:rsidR="00D04DC2" w:rsidRPr="00BF72D2">
        <w:rPr>
          <w:rFonts w:cstheme="minorHAnsi"/>
          <w:color w:val="000000" w:themeColor="text1"/>
        </w:rPr>
        <w:instrText xml:space="preserve"> REF _Ref524953558 \h </w:instrText>
      </w:r>
      <w:r w:rsidR="00D04DC2" w:rsidRPr="00BF72D2">
        <w:rPr>
          <w:rFonts w:cstheme="minorHAnsi"/>
          <w:color w:val="000000" w:themeColor="text1"/>
        </w:rPr>
      </w:r>
      <w:r w:rsidR="00D04DC2" w:rsidRPr="00BF72D2">
        <w:rPr>
          <w:rFonts w:cstheme="minorHAnsi"/>
          <w:color w:val="000000" w:themeColor="text1"/>
        </w:rPr>
        <w:fldChar w:fldCharType="separate"/>
      </w:r>
      <w:r w:rsidR="00D04DC2" w:rsidRPr="00BF72D2">
        <w:rPr>
          <w:color w:val="000000" w:themeColor="text1"/>
        </w:rPr>
        <w:t xml:space="preserve">Figure </w:t>
      </w:r>
      <w:r w:rsidR="00D04DC2" w:rsidRPr="00BF72D2">
        <w:rPr>
          <w:noProof/>
          <w:color w:val="000000" w:themeColor="text1"/>
        </w:rPr>
        <w:t>2</w:t>
      </w:r>
      <w:r w:rsidR="00D04DC2" w:rsidRPr="00BF72D2">
        <w:rPr>
          <w:rFonts w:cstheme="minorHAnsi"/>
          <w:color w:val="000000" w:themeColor="text1"/>
        </w:rPr>
        <w:fldChar w:fldCharType="end"/>
      </w:r>
      <w:r w:rsidR="00D94121" w:rsidRPr="00BF72D2">
        <w:rPr>
          <w:rFonts w:cstheme="minorHAnsi"/>
          <w:color w:val="000000" w:themeColor="text1"/>
        </w:rPr>
        <w:t>). Cancer drugs required the most meetings (2.36, 95% CI 2.12 to 2.60), while drugs for all other indications took 1.97 meetings (95% CI 1.79 to 2.15</w:t>
      </w:r>
      <w:r w:rsidR="00D04DC2" w:rsidRPr="00BF72D2">
        <w:rPr>
          <w:rFonts w:cstheme="minorHAnsi"/>
          <w:color w:val="000000" w:themeColor="text1"/>
        </w:rPr>
        <w:t>) to reach a final decision</w:t>
      </w:r>
      <w:r w:rsidR="00D94121" w:rsidRPr="00BF72D2">
        <w:rPr>
          <w:rFonts w:cstheme="minorHAnsi"/>
          <w:color w:val="000000" w:themeColor="text1"/>
        </w:rPr>
        <w:t xml:space="preserve">. </w:t>
      </w:r>
      <w:r w:rsidR="0055272C" w:rsidRPr="00BF72D2">
        <w:rPr>
          <w:rFonts w:cstheme="minorHAnsi"/>
          <w:color w:val="000000" w:themeColor="text1"/>
        </w:rPr>
        <w:t xml:space="preserve">There were no statistically significant trends over time in the number of committee meetings </w:t>
      </w:r>
      <w:r w:rsidR="006763E8" w:rsidRPr="00BF72D2">
        <w:rPr>
          <w:rFonts w:cstheme="minorHAnsi"/>
          <w:color w:val="000000" w:themeColor="text1"/>
        </w:rPr>
        <w:t>dedicated to each appraisal</w:t>
      </w:r>
      <w:r w:rsidR="00911CCA" w:rsidRPr="00BF72D2">
        <w:rPr>
          <w:rFonts w:cstheme="minorHAnsi"/>
          <w:color w:val="000000" w:themeColor="text1"/>
        </w:rPr>
        <w:t xml:space="preserve">, </w:t>
      </w:r>
      <w:bookmarkStart w:id="9" w:name="_Hlk530150499"/>
      <w:r w:rsidR="00911CCA" w:rsidRPr="00BF72D2">
        <w:rPr>
          <w:rFonts w:cstheme="minorHAnsi"/>
          <w:color w:val="000000" w:themeColor="text1"/>
        </w:rPr>
        <w:t>and no other factors were found to be influential</w:t>
      </w:r>
      <w:r w:rsidR="0055272C" w:rsidRPr="00BF72D2">
        <w:rPr>
          <w:rFonts w:cstheme="minorHAnsi"/>
          <w:color w:val="000000" w:themeColor="text1"/>
        </w:rPr>
        <w:t>.</w:t>
      </w:r>
      <w:bookmarkEnd w:id="9"/>
    </w:p>
    <w:p w14:paraId="67BC35E4" w14:textId="1424ADAB" w:rsidR="00D94121" w:rsidRPr="00BF72D2" w:rsidRDefault="00FC1D54" w:rsidP="00D94121">
      <w:pPr>
        <w:pStyle w:val="Caption"/>
        <w:keepNext/>
        <w:rPr>
          <w:i w:val="0"/>
          <w:color w:val="000000" w:themeColor="text1"/>
          <w:sz w:val="22"/>
          <w:szCs w:val="22"/>
        </w:rPr>
      </w:pPr>
      <w:bookmarkStart w:id="10" w:name="_Ref524953558"/>
      <w:r w:rsidRPr="00BF72D2">
        <w:rPr>
          <w:b/>
          <w:i w:val="0"/>
          <w:color w:val="000000" w:themeColor="text1"/>
          <w:sz w:val="22"/>
          <w:szCs w:val="22"/>
        </w:rPr>
        <w:t>Fig</w:t>
      </w:r>
      <w:r w:rsidR="00D94121" w:rsidRPr="00BF72D2">
        <w:rPr>
          <w:b/>
          <w:i w:val="0"/>
          <w:color w:val="000000" w:themeColor="text1"/>
          <w:sz w:val="22"/>
          <w:szCs w:val="22"/>
        </w:rPr>
        <w:t xml:space="preserve"> </w:t>
      </w:r>
      <w:r w:rsidR="004C4F1D" w:rsidRPr="00BF72D2">
        <w:rPr>
          <w:b/>
          <w:i w:val="0"/>
          <w:color w:val="000000" w:themeColor="text1"/>
          <w:sz w:val="22"/>
          <w:szCs w:val="22"/>
        </w:rPr>
        <w:fldChar w:fldCharType="begin"/>
      </w:r>
      <w:r w:rsidR="004C4F1D" w:rsidRPr="00BF72D2">
        <w:rPr>
          <w:b/>
          <w:i w:val="0"/>
          <w:color w:val="000000" w:themeColor="text1"/>
          <w:sz w:val="22"/>
          <w:szCs w:val="22"/>
        </w:rPr>
        <w:instrText xml:space="preserve"> SEQ Figure \* ARABIC </w:instrText>
      </w:r>
      <w:r w:rsidR="004C4F1D" w:rsidRPr="00BF72D2">
        <w:rPr>
          <w:b/>
          <w:i w:val="0"/>
          <w:color w:val="000000" w:themeColor="text1"/>
          <w:sz w:val="22"/>
          <w:szCs w:val="22"/>
        </w:rPr>
        <w:fldChar w:fldCharType="separate"/>
      </w:r>
      <w:r w:rsidR="00232226" w:rsidRPr="00BF72D2">
        <w:rPr>
          <w:b/>
          <w:i w:val="0"/>
          <w:noProof/>
          <w:color w:val="000000" w:themeColor="text1"/>
          <w:sz w:val="22"/>
          <w:szCs w:val="22"/>
        </w:rPr>
        <w:t>2</w:t>
      </w:r>
      <w:r w:rsidR="004C4F1D" w:rsidRPr="00BF72D2">
        <w:rPr>
          <w:b/>
          <w:i w:val="0"/>
          <w:color w:val="000000" w:themeColor="text1"/>
          <w:sz w:val="22"/>
          <w:szCs w:val="22"/>
        </w:rPr>
        <w:fldChar w:fldCharType="end"/>
      </w:r>
      <w:bookmarkEnd w:id="10"/>
      <w:r w:rsidRPr="00BF72D2">
        <w:rPr>
          <w:b/>
          <w:i w:val="0"/>
          <w:color w:val="000000" w:themeColor="text1"/>
          <w:sz w:val="22"/>
          <w:szCs w:val="22"/>
        </w:rPr>
        <w:t>.</w:t>
      </w:r>
      <w:r w:rsidR="00D94121" w:rsidRPr="00BF72D2">
        <w:rPr>
          <w:i w:val="0"/>
          <w:color w:val="000000" w:themeColor="text1"/>
          <w:sz w:val="22"/>
          <w:szCs w:val="22"/>
        </w:rPr>
        <w:t xml:space="preserve"> Number of committee meetings taken to reach a final decision by disease area</w:t>
      </w:r>
    </w:p>
    <w:p w14:paraId="3A6C5C85" w14:textId="77777777" w:rsidR="00D94121" w:rsidRPr="00BF72D2" w:rsidRDefault="00D94121" w:rsidP="00D94121">
      <w:pPr>
        <w:spacing w:line="480" w:lineRule="auto"/>
        <w:rPr>
          <w:rFonts w:cstheme="minorHAnsi"/>
          <w:color w:val="000000" w:themeColor="text1"/>
        </w:rPr>
      </w:pPr>
      <w:r w:rsidRPr="00BF72D2">
        <w:rPr>
          <w:rFonts w:cstheme="minorHAnsi"/>
          <w:noProof/>
          <w:color w:val="000000" w:themeColor="text1"/>
          <w:lang w:eastAsia="en-GB"/>
        </w:rPr>
        <w:drawing>
          <wp:inline distT="0" distB="0" distL="0" distR="0" wp14:anchorId="09F48508" wp14:editId="0066A16A">
            <wp:extent cx="5417389" cy="333819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263B59" w14:textId="536B7D72" w:rsidR="00D94121" w:rsidRPr="00BF72D2" w:rsidRDefault="00D94121" w:rsidP="00D94121">
      <w:pPr>
        <w:spacing w:line="480" w:lineRule="auto"/>
        <w:rPr>
          <w:rFonts w:cstheme="minorHAnsi"/>
          <w:color w:val="000000" w:themeColor="text1"/>
        </w:rPr>
      </w:pPr>
      <w:r w:rsidRPr="00BF72D2">
        <w:rPr>
          <w:rFonts w:cstheme="minorHAnsi"/>
          <w:color w:val="000000" w:themeColor="text1"/>
        </w:rPr>
        <w:t>In most cases (84/146, 57.5%), the Committee issued a negative preliminary recommendation following the first committee meeting. The implications of a negative preliminary decision are significant, typically delaying the publication of final guidance by a further 142 days</w:t>
      </w:r>
      <w:r w:rsidR="0060387E" w:rsidRPr="00BF72D2">
        <w:rPr>
          <w:rFonts w:cstheme="minorHAnsi"/>
          <w:color w:val="000000" w:themeColor="text1"/>
        </w:rPr>
        <w:t>. F</w:t>
      </w:r>
      <w:r w:rsidRPr="00BF72D2">
        <w:rPr>
          <w:rFonts w:cstheme="minorHAnsi"/>
          <w:color w:val="000000" w:themeColor="text1"/>
        </w:rPr>
        <w:t xml:space="preserve">inal guidance is published an average of 98 days </w:t>
      </w:r>
      <w:r w:rsidR="002D65FB">
        <w:rPr>
          <w:rFonts w:cstheme="minorHAnsi"/>
          <w:color w:val="000000" w:themeColor="text1"/>
        </w:rPr>
        <w:t>(</w:t>
      </w:r>
      <w:r w:rsidRPr="00BF72D2">
        <w:rPr>
          <w:rFonts w:cstheme="minorHAnsi"/>
          <w:color w:val="000000" w:themeColor="text1"/>
        </w:rPr>
        <w:t>95% CI 86 to 111</w:t>
      </w:r>
      <w:r w:rsidR="002D65FB">
        <w:rPr>
          <w:rFonts w:cstheme="minorHAnsi"/>
          <w:color w:val="000000" w:themeColor="text1"/>
        </w:rPr>
        <w:t>)</w:t>
      </w:r>
      <w:r w:rsidR="002D65FB" w:rsidRPr="00BF72D2">
        <w:rPr>
          <w:rFonts w:cstheme="minorHAnsi"/>
          <w:color w:val="000000" w:themeColor="text1"/>
        </w:rPr>
        <w:t xml:space="preserve"> </w:t>
      </w:r>
      <w:r w:rsidR="0060387E" w:rsidRPr="00BF72D2">
        <w:rPr>
          <w:rFonts w:cstheme="minorHAnsi"/>
          <w:color w:val="000000" w:themeColor="text1"/>
        </w:rPr>
        <w:t>following a</w:t>
      </w:r>
      <w:r w:rsidRPr="00BF72D2">
        <w:rPr>
          <w:rFonts w:cstheme="minorHAnsi"/>
          <w:color w:val="000000" w:themeColor="text1"/>
        </w:rPr>
        <w:t xml:space="preserve"> positive preliminary recommendation, </w:t>
      </w:r>
      <w:r w:rsidR="0060387E" w:rsidRPr="00BF72D2">
        <w:rPr>
          <w:rFonts w:cstheme="minorHAnsi"/>
          <w:color w:val="000000" w:themeColor="text1"/>
        </w:rPr>
        <w:t>increasing</w:t>
      </w:r>
      <w:r w:rsidRPr="00BF72D2">
        <w:rPr>
          <w:rFonts w:cstheme="minorHAnsi"/>
          <w:color w:val="000000" w:themeColor="text1"/>
        </w:rPr>
        <w:t xml:space="preserve"> to 240 days </w:t>
      </w:r>
      <w:r w:rsidR="002D65FB">
        <w:rPr>
          <w:rFonts w:cstheme="minorHAnsi"/>
          <w:color w:val="000000" w:themeColor="text1"/>
        </w:rPr>
        <w:t>(</w:t>
      </w:r>
      <w:r w:rsidR="00F21E47" w:rsidRPr="00BF72D2">
        <w:rPr>
          <w:rFonts w:cstheme="minorHAnsi"/>
          <w:color w:val="000000" w:themeColor="text1"/>
        </w:rPr>
        <w:t xml:space="preserve">95% CI </w:t>
      </w:r>
      <w:r w:rsidRPr="00BF72D2">
        <w:rPr>
          <w:rFonts w:cstheme="minorHAnsi"/>
          <w:color w:val="000000" w:themeColor="text1"/>
        </w:rPr>
        <w:t>202 to 274</w:t>
      </w:r>
      <w:r w:rsidR="002D65FB">
        <w:rPr>
          <w:rFonts w:cstheme="minorHAnsi"/>
          <w:color w:val="000000" w:themeColor="text1"/>
        </w:rPr>
        <w:t>)</w:t>
      </w:r>
      <w:r w:rsidR="002D65FB" w:rsidRPr="00BF72D2">
        <w:rPr>
          <w:rFonts w:cstheme="minorHAnsi"/>
          <w:color w:val="000000" w:themeColor="text1"/>
        </w:rPr>
        <w:t xml:space="preserve"> </w:t>
      </w:r>
      <w:r w:rsidRPr="00BF72D2">
        <w:rPr>
          <w:rFonts w:cstheme="minorHAnsi"/>
          <w:color w:val="000000" w:themeColor="text1"/>
        </w:rPr>
        <w:t xml:space="preserve">after a negative preliminary </w:t>
      </w:r>
      <w:r w:rsidRPr="00BF72D2">
        <w:rPr>
          <w:rFonts w:cstheme="minorHAnsi"/>
          <w:color w:val="000000" w:themeColor="text1"/>
        </w:rPr>
        <w:lastRenderedPageBreak/>
        <w:t>recommendation.</w:t>
      </w:r>
      <w:r w:rsidR="008B7251">
        <w:rPr>
          <w:rFonts w:cstheme="minorHAnsi"/>
          <w:color w:val="000000" w:themeColor="text1"/>
        </w:rPr>
        <w:t xml:space="preserve"> Cancer drug appraisals took 224 days (</w:t>
      </w:r>
      <w:r w:rsidR="002D65FB">
        <w:rPr>
          <w:rFonts w:cstheme="minorHAnsi"/>
          <w:color w:val="000000" w:themeColor="text1"/>
        </w:rPr>
        <w:t>95% 182 to 266) from the first committee meeting to publication of final guidance, while this was 148 days (95% CI 120 to 176) across all other disease areas.</w:t>
      </w:r>
    </w:p>
    <w:p w14:paraId="57BFA7C9" w14:textId="350FC403" w:rsidR="00D94121" w:rsidRPr="00BF72D2" w:rsidRDefault="00D94121" w:rsidP="00D94121">
      <w:pPr>
        <w:spacing w:line="480" w:lineRule="auto"/>
        <w:rPr>
          <w:rFonts w:cstheme="minorHAnsi"/>
          <w:color w:val="000000" w:themeColor="text1"/>
        </w:rPr>
      </w:pPr>
      <w:r w:rsidRPr="00BF72D2">
        <w:rPr>
          <w:rFonts w:cstheme="minorHAnsi"/>
          <w:color w:val="000000" w:themeColor="text1"/>
        </w:rPr>
        <w:t>The reasons for a negative preliminary decision can b</w:t>
      </w:r>
      <w:r w:rsidR="0060387E" w:rsidRPr="00BF72D2">
        <w:rPr>
          <w:rFonts w:cstheme="minorHAnsi"/>
          <w:color w:val="000000" w:themeColor="text1"/>
        </w:rPr>
        <w:t>e grouped into three categories</w:t>
      </w:r>
      <w:bookmarkStart w:id="11" w:name="_Hlk530150518"/>
      <w:r w:rsidR="00C63E4E" w:rsidRPr="00BF72D2">
        <w:rPr>
          <w:rFonts w:cstheme="minorHAnsi"/>
          <w:color w:val="000000" w:themeColor="text1"/>
        </w:rPr>
        <w:t>, with some decisions citing all three</w:t>
      </w:r>
      <w:r w:rsidR="0060387E" w:rsidRPr="00BF72D2">
        <w:rPr>
          <w:rFonts w:cstheme="minorHAnsi"/>
          <w:color w:val="000000" w:themeColor="text1"/>
        </w:rPr>
        <w:t>.</w:t>
      </w:r>
      <w:bookmarkEnd w:id="11"/>
      <w:r w:rsidR="0060387E" w:rsidRPr="00BF72D2">
        <w:rPr>
          <w:rFonts w:cstheme="minorHAnsi"/>
          <w:color w:val="000000" w:themeColor="text1"/>
        </w:rPr>
        <w:t xml:space="preserve"> Most</w:t>
      </w:r>
      <w:r w:rsidRPr="00BF72D2">
        <w:rPr>
          <w:rFonts w:cstheme="minorHAnsi"/>
          <w:color w:val="000000" w:themeColor="text1"/>
        </w:rPr>
        <w:t xml:space="preserve"> </w:t>
      </w:r>
      <w:r w:rsidR="0060387E" w:rsidRPr="00BF72D2">
        <w:rPr>
          <w:rFonts w:cstheme="minorHAnsi"/>
          <w:color w:val="000000" w:themeColor="text1"/>
        </w:rPr>
        <w:t xml:space="preserve">(85.1%, </w:t>
      </w:r>
      <w:r w:rsidRPr="00BF72D2">
        <w:rPr>
          <w:rFonts w:cstheme="minorHAnsi"/>
          <w:color w:val="000000" w:themeColor="text1"/>
        </w:rPr>
        <w:t xml:space="preserve">57/67) </w:t>
      </w:r>
      <w:r w:rsidR="0060387E" w:rsidRPr="00BF72D2">
        <w:rPr>
          <w:rFonts w:cstheme="minorHAnsi"/>
          <w:color w:val="000000" w:themeColor="text1"/>
        </w:rPr>
        <w:t>technologies</w:t>
      </w:r>
      <w:r w:rsidRPr="00BF72D2">
        <w:rPr>
          <w:rFonts w:cstheme="minorHAnsi"/>
          <w:color w:val="000000" w:themeColor="text1"/>
        </w:rPr>
        <w:t xml:space="preserve"> were judged not to be a cost-effective use of NHS resources using the C</w:t>
      </w:r>
      <w:r w:rsidR="00C751EB" w:rsidRPr="00BF72D2">
        <w:rPr>
          <w:rFonts w:cstheme="minorHAnsi"/>
          <w:color w:val="000000" w:themeColor="text1"/>
        </w:rPr>
        <w:t>ommittee’s preferred ICER. The C</w:t>
      </w:r>
      <w:r w:rsidRPr="00BF72D2">
        <w:rPr>
          <w:rFonts w:cstheme="minorHAnsi"/>
          <w:color w:val="000000" w:themeColor="text1"/>
        </w:rPr>
        <w:t>ommittee also often considered the uncertainty of the presented cost (34.3%, 23/67) or clinical effectiveness (22.3</w:t>
      </w:r>
      <w:bookmarkStart w:id="12" w:name="_Hlk530150533"/>
      <w:r w:rsidR="0000142B" w:rsidRPr="00BF72D2">
        <w:rPr>
          <w:rFonts w:cstheme="minorHAnsi"/>
          <w:color w:val="000000" w:themeColor="text1"/>
        </w:rPr>
        <w:t>%</w:t>
      </w:r>
      <w:r w:rsidRPr="00BF72D2">
        <w:rPr>
          <w:rFonts w:cstheme="minorHAnsi"/>
          <w:color w:val="000000" w:themeColor="text1"/>
        </w:rPr>
        <w:t>, 15/67</w:t>
      </w:r>
      <w:bookmarkEnd w:id="12"/>
      <w:r w:rsidRPr="00BF72D2">
        <w:rPr>
          <w:rFonts w:cstheme="minorHAnsi"/>
          <w:color w:val="000000" w:themeColor="text1"/>
        </w:rPr>
        <w:t>) too great to make a reliable decision and decide upon a preferred set of assumptions, citing immature, limited, or inappropriate clinical data which had been inadequately</w:t>
      </w:r>
      <w:r w:rsidR="0060387E" w:rsidRPr="00BF72D2">
        <w:rPr>
          <w:rFonts w:cstheme="minorHAnsi"/>
          <w:color w:val="000000" w:themeColor="text1"/>
        </w:rPr>
        <w:t xml:space="preserve"> analysed</w:t>
      </w:r>
      <w:r w:rsidRPr="00BF72D2">
        <w:rPr>
          <w:rFonts w:cstheme="minorHAnsi"/>
          <w:color w:val="000000" w:themeColor="text1"/>
        </w:rPr>
        <w:t xml:space="preserve"> or modelled. </w:t>
      </w:r>
    </w:p>
    <w:p w14:paraId="2E643976" w14:textId="5DB8557B" w:rsidR="00A76DF4" w:rsidRPr="00BF72D2" w:rsidRDefault="00D94121" w:rsidP="00D94121">
      <w:pPr>
        <w:spacing w:line="480" w:lineRule="auto"/>
        <w:rPr>
          <w:rFonts w:cstheme="minorHAnsi"/>
          <w:color w:val="000000" w:themeColor="text1"/>
        </w:rPr>
      </w:pPr>
      <w:r w:rsidRPr="00BF72D2">
        <w:rPr>
          <w:rFonts w:cstheme="minorHAnsi"/>
          <w:color w:val="000000" w:themeColor="text1"/>
        </w:rPr>
        <w:t xml:space="preserve">The divergence in cost-effectiveness estimates presented to the Committee by the company and ERG was a significant factor in many negative preliminary decisions. At the time of the first committee meeting, the mean base-case ICER </w:t>
      </w:r>
      <w:r w:rsidR="0060387E" w:rsidRPr="00BF72D2">
        <w:rPr>
          <w:rFonts w:cstheme="minorHAnsi"/>
          <w:color w:val="000000" w:themeColor="text1"/>
        </w:rPr>
        <w:t xml:space="preserve">as presented by the manufacturer </w:t>
      </w:r>
      <w:r w:rsidRPr="00BF72D2">
        <w:rPr>
          <w:rFonts w:cstheme="minorHAnsi"/>
          <w:color w:val="000000" w:themeColor="text1"/>
        </w:rPr>
        <w:t xml:space="preserve">was £31,635 </w:t>
      </w:r>
      <w:r w:rsidR="00F7611B">
        <w:rPr>
          <w:rFonts w:cstheme="minorHAnsi"/>
          <w:color w:val="000000" w:themeColor="text1"/>
        </w:rPr>
        <w:t xml:space="preserve">per QALY gained </w:t>
      </w:r>
      <w:r w:rsidRPr="00BF72D2">
        <w:rPr>
          <w:rFonts w:cstheme="minorHAnsi"/>
          <w:color w:val="000000" w:themeColor="text1"/>
        </w:rPr>
        <w:t xml:space="preserve">(95% CI 25,947 to 37,324) across all indications. </w:t>
      </w:r>
      <w:r w:rsidR="00C63E4E" w:rsidRPr="00BF72D2">
        <w:rPr>
          <w:rFonts w:cstheme="minorHAnsi"/>
          <w:color w:val="000000" w:themeColor="text1"/>
        </w:rPr>
        <w:t>T</w:t>
      </w:r>
      <w:r w:rsidRPr="00BF72D2">
        <w:rPr>
          <w:rFonts w:cstheme="minorHAnsi"/>
          <w:color w:val="000000" w:themeColor="text1"/>
        </w:rPr>
        <w:t>he</w:t>
      </w:r>
      <w:r w:rsidR="00C63E4E" w:rsidRPr="00BF72D2">
        <w:rPr>
          <w:rFonts w:cstheme="minorHAnsi"/>
          <w:color w:val="000000" w:themeColor="text1"/>
        </w:rPr>
        <w:t xml:space="preserve"> mean</w:t>
      </w:r>
      <w:r w:rsidRPr="00BF72D2">
        <w:rPr>
          <w:rFonts w:cstheme="minorHAnsi"/>
          <w:color w:val="000000" w:themeColor="text1"/>
        </w:rPr>
        <w:t xml:space="preserve"> ICER preferred by the ERG was significantly higher, at £51,644 </w:t>
      </w:r>
      <w:r w:rsidR="00F7611B">
        <w:rPr>
          <w:rFonts w:cstheme="minorHAnsi"/>
          <w:color w:val="000000" w:themeColor="text1"/>
        </w:rPr>
        <w:t xml:space="preserve">per QALY gained </w:t>
      </w:r>
      <w:r w:rsidRPr="00BF72D2">
        <w:rPr>
          <w:rFonts w:cstheme="minorHAnsi"/>
          <w:color w:val="000000" w:themeColor="text1"/>
        </w:rPr>
        <w:t>(</w:t>
      </w:r>
      <w:r w:rsidR="00F21E47" w:rsidRPr="00BF72D2">
        <w:rPr>
          <w:rFonts w:cstheme="minorHAnsi"/>
          <w:color w:val="000000" w:themeColor="text1"/>
        </w:rPr>
        <w:t xml:space="preserve">95% CI </w:t>
      </w:r>
      <w:r w:rsidRPr="00BF72D2">
        <w:rPr>
          <w:rFonts w:cstheme="minorHAnsi"/>
          <w:color w:val="000000" w:themeColor="text1"/>
        </w:rPr>
        <w:t>42,675 to 60,612)</w:t>
      </w:r>
      <w:r w:rsidR="00A76DF4" w:rsidRPr="00BF72D2">
        <w:rPr>
          <w:rFonts w:cstheme="minorHAnsi"/>
          <w:color w:val="000000" w:themeColor="text1"/>
        </w:rPr>
        <w:t xml:space="preserve">. </w:t>
      </w:r>
      <w:r w:rsidRPr="00BF72D2">
        <w:rPr>
          <w:rFonts w:cstheme="minorHAnsi"/>
          <w:color w:val="000000" w:themeColor="text1"/>
        </w:rPr>
        <w:t>Following the ERG’s review of the company submission, the base-case ICER increased by a median of 32.7%</w:t>
      </w:r>
      <w:r w:rsidR="005F754C" w:rsidRPr="00BF72D2">
        <w:rPr>
          <w:rFonts w:cstheme="minorHAnsi"/>
          <w:color w:val="000000" w:themeColor="text1"/>
        </w:rPr>
        <w:t xml:space="preserve"> (mean </w:t>
      </w:r>
      <w:r w:rsidR="00F7611B">
        <w:rPr>
          <w:rFonts w:cstheme="minorHAnsi"/>
          <w:color w:val="000000" w:themeColor="text1"/>
        </w:rPr>
        <w:t>63</w:t>
      </w:r>
      <w:r w:rsidR="005F754C" w:rsidRPr="00BF72D2">
        <w:rPr>
          <w:rFonts w:cstheme="minorHAnsi"/>
          <w:color w:val="000000" w:themeColor="text1"/>
        </w:rPr>
        <w:t>%)</w:t>
      </w:r>
      <w:r w:rsidRPr="00BF72D2">
        <w:rPr>
          <w:rFonts w:cstheme="minorHAnsi"/>
          <w:color w:val="000000" w:themeColor="text1"/>
        </w:rPr>
        <w:t xml:space="preserve"> on the company’s estimate: this was 41.1% for advanced cancer drugs, and 22.5% for other types of </w:t>
      </w:r>
      <w:r w:rsidR="00C63E4E" w:rsidRPr="00BF72D2">
        <w:rPr>
          <w:rFonts w:cstheme="minorHAnsi"/>
          <w:color w:val="000000" w:themeColor="text1"/>
        </w:rPr>
        <w:t xml:space="preserve">non-advanced </w:t>
      </w:r>
      <w:r w:rsidRPr="00BF72D2">
        <w:rPr>
          <w:rFonts w:cstheme="minorHAnsi"/>
          <w:color w:val="000000" w:themeColor="text1"/>
        </w:rPr>
        <w:t xml:space="preserve">cancer. </w:t>
      </w:r>
      <w:r w:rsidR="009058E4" w:rsidRPr="00BF72D2">
        <w:rPr>
          <w:rFonts w:cstheme="minorHAnsi"/>
          <w:color w:val="000000" w:themeColor="text1"/>
        </w:rPr>
        <w:t>This excludes instances where a judgment of dominance by the company was not agreed with by the ERG</w:t>
      </w:r>
      <w:bookmarkStart w:id="13" w:name="_Hlk530150577"/>
      <w:r w:rsidR="00A76DF4" w:rsidRPr="00BF72D2">
        <w:rPr>
          <w:rFonts w:cstheme="minorHAnsi"/>
          <w:color w:val="000000" w:themeColor="text1"/>
        </w:rPr>
        <w:t xml:space="preserve">, which means these figures may overestimate the mean company base-case </w:t>
      </w:r>
      <w:r w:rsidR="00C36786" w:rsidRPr="00BF72D2">
        <w:rPr>
          <w:rFonts w:cstheme="minorHAnsi"/>
          <w:color w:val="000000" w:themeColor="text1"/>
        </w:rPr>
        <w:t>ICER and</w:t>
      </w:r>
      <w:r w:rsidR="00A76DF4" w:rsidRPr="00BF72D2">
        <w:rPr>
          <w:rFonts w:cstheme="minorHAnsi"/>
          <w:color w:val="000000" w:themeColor="text1"/>
        </w:rPr>
        <w:t xml:space="preserve"> underestimate the </w:t>
      </w:r>
      <w:r w:rsidR="009F5243" w:rsidRPr="00BF72D2">
        <w:rPr>
          <w:rFonts w:cstheme="minorHAnsi"/>
          <w:color w:val="000000" w:themeColor="text1"/>
        </w:rPr>
        <w:t>increase in the ERG preferred ICER</w:t>
      </w:r>
      <w:r w:rsidR="00A76DF4" w:rsidRPr="00BF72D2">
        <w:rPr>
          <w:rFonts w:cstheme="minorHAnsi"/>
          <w:color w:val="000000" w:themeColor="text1"/>
        </w:rPr>
        <w:t>.</w:t>
      </w:r>
      <w:r w:rsidR="009058E4" w:rsidRPr="00BF72D2">
        <w:rPr>
          <w:rFonts w:cstheme="minorHAnsi"/>
          <w:color w:val="000000" w:themeColor="text1"/>
        </w:rPr>
        <w:t xml:space="preserve"> </w:t>
      </w:r>
      <w:bookmarkEnd w:id="13"/>
    </w:p>
    <w:p w14:paraId="6E94BDC8" w14:textId="4CCB4D60" w:rsidR="00D94121" w:rsidRPr="00BF72D2" w:rsidRDefault="00D94121" w:rsidP="00D94121">
      <w:pPr>
        <w:spacing w:line="480" w:lineRule="auto"/>
        <w:rPr>
          <w:rFonts w:cstheme="minorHAnsi"/>
          <w:color w:val="000000" w:themeColor="text1"/>
        </w:rPr>
      </w:pPr>
      <w:r w:rsidRPr="00BF72D2">
        <w:rPr>
          <w:rFonts w:cstheme="minorHAnsi"/>
          <w:color w:val="000000" w:themeColor="text1"/>
        </w:rPr>
        <w:t xml:space="preserve">The magnitude of the difference between the company and ERG cost-effectiveness estimates was influential in the preliminary decision; logistic regression analysis indicated that each £1,000 difference in the </w:t>
      </w:r>
      <w:r w:rsidR="0060387E" w:rsidRPr="00BF72D2">
        <w:rPr>
          <w:rFonts w:cstheme="minorHAnsi"/>
          <w:color w:val="000000" w:themeColor="text1"/>
        </w:rPr>
        <w:t>ERG and company base-cases</w:t>
      </w:r>
      <w:r w:rsidRPr="00BF72D2">
        <w:rPr>
          <w:rFonts w:cstheme="minorHAnsi"/>
          <w:color w:val="000000" w:themeColor="text1"/>
        </w:rPr>
        <w:t xml:space="preserve"> was associated with a decrease of 0.04 (95% CI 0.02 to 0.07) in the odds of a positive preliminary decision, i.e. greater uncertainty in value estimates made a negative decision more likely.</w:t>
      </w:r>
    </w:p>
    <w:p w14:paraId="62A4A736" w14:textId="4BED9DD0" w:rsidR="00215C96" w:rsidRPr="00BF72D2" w:rsidRDefault="00D94121" w:rsidP="00911CCA">
      <w:pPr>
        <w:spacing w:line="480" w:lineRule="auto"/>
        <w:rPr>
          <w:rFonts w:cstheme="minorHAnsi"/>
          <w:color w:val="000000" w:themeColor="text1"/>
        </w:rPr>
      </w:pPr>
      <w:r w:rsidRPr="00BF72D2">
        <w:rPr>
          <w:rFonts w:cstheme="minorHAnsi"/>
          <w:color w:val="000000" w:themeColor="text1"/>
        </w:rPr>
        <w:lastRenderedPageBreak/>
        <w:t xml:space="preserve">Across all indications, NICE approved drugs at £26,431 </w:t>
      </w:r>
      <w:r w:rsidR="00F7611B">
        <w:rPr>
          <w:rFonts w:cstheme="minorHAnsi"/>
          <w:color w:val="000000" w:themeColor="text1"/>
        </w:rPr>
        <w:t xml:space="preserve">per QALY gained </w:t>
      </w:r>
      <w:r w:rsidRPr="00BF72D2">
        <w:rPr>
          <w:rFonts w:cstheme="minorHAnsi"/>
          <w:color w:val="000000" w:themeColor="text1"/>
        </w:rPr>
        <w:t>on av</w:t>
      </w:r>
      <w:r w:rsidR="00427A4C" w:rsidRPr="00BF72D2">
        <w:rPr>
          <w:rFonts w:cstheme="minorHAnsi"/>
          <w:color w:val="000000" w:themeColor="text1"/>
        </w:rPr>
        <w:t>erage (95% CI 23,268 to 29,594). The mean</w:t>
      </w:r>
      <w:r w:rsidRPr="00BF72D2">
        <w:rPr>
          <w:rFonts w:cstheme="minorHAnsi"/>
          <w:color w:val="000000" w:themeColor="text1"/>
        </w:rPr>
        <w:t xml:space="preserve"> ICER at FAD is presented by indication in </w:t>
      </w:r>
      <w:r w:rsidRPr="00BF72D2">
        <w:rPr>
          <w:rFonts w:cstheme="minorHAnsi"/>
          <w:color w:val="000000" w:themeColor="text1"/>
        </w:rPr>
        <w:fldChar w:fldCharType="begin"/>
      </w:r>
      <w:r w:rsidRPr="00BF72D2">
        <w:rPr>
          <w:rFonts w:cstheme="minorHAnsi"/>
          <w:color w:val="000000" w:themeColor="text1"/>
        </w:rPr>
        <w:instrText xml:space="preserve"> REF _Ref520816709 \h  \* MERGEFORMAT </w:instrText>
      </w:r>
      <w:r w:rsidRPr="00BF72D2">
        <w:rPr>
          <w:rFonts w:cstheme="minorHAnsi"/>
          <w:color w:val="000000" w:themeColor="text1"/>
        </w:rPr>
      </w:r>
      <w:r w:rsidRPr="00BF72D2">
        <w:rPr>
          <w:rFonts w:cstheme="minorHAnsi"/>
          <w:color w:val="000000" w:themeColor="text1"/>
        </w:rPr>
        <w:fldChar w:fldCharType="separate"/>
      </w:r>
      <w:r w:rsidR="00C16742" w:rsidRPr="00BF72D2">
        <w:rPr>
          <w:rFonts w:cstheme="minorHAnsi"/>
          <w:color w:val="000000" w:themeColor="text1"/>
        </w:rPr>
        <w:t xml:space="preserve">Table </w:t>
      </w:r>
      <w:r w:rsidR="00C16742" w:rsidRPr="00BF72D2">
        <w:rPr>
          <w:rFonts w:cstheme="minorHAnsi"/>
          <w:noProof/>
          <w:color w:val="000000" w:themeColor="text1"/>
        </w:rPr>
        <w:t>1</w:t>
      </w:r>
      <w:r w:rsidRPr="00BF72D2">
        <w:rPr>
          <w:rFonts w:cstheme="minorHAnsi"/>
          <w:color w:val="000000" w:themeColor="text1"/>
        </w:rPr>
        <w:fldChar w:fldCharType="end"/>
      </w:r>
      <w:r w:rsidRPr="00BF72D2">
        <w:rPr>
          <w:rFonts w:cstheme="minorHAnsi"/>
          <w:color w:val="000000" w:themeColor="text1"/>
        </w:rPr>
        <w:t>. There were no apparent trends over time in the ICER at which technologies were approved</w:t>
      </w:r>
      <w:r w:rsidR="00532E06" w:rsidRPr="00BF72D2">
        <w:rPr>
          <w:rFonts w:cstheme="minorHAnsi"/>
          <w:color w:val="000000" w:themeColor="text1"/>
        </w:rPr>
        <w:t xml:space="preserve"> by NICE</w:t>
      </w:r>
      <w:bookmarkStart w:id="14" w:name="_Hlk530150596"/>
      <w:r w:rsidR="00911CCA" w:rsidRPr="00BF72D2">
        <w:rPr>
          <w:rFonts w:cstheme="minorHAnsi"/>
          <w:color w:val="000000" w:themeColor="text1"/>
        </w:rPr>
        <w:t xml:space="preserve">, and </w:t>
      </w:r>
      <w:r w:rsidR="00733878">
        <w:rPr>
          <w:rFonts w:cstheme="minorHAnsi"/>
          <w:color w:val="000000" w:themeColor="text1"/>
        </w:rPr>
        <w:t>regression analysis adjusting for Committee case mix in terms of disease area showed</w:t>
      </w:r>
      <w:r w:rsidR="00733878" w:rsidRPr="00BF72D2">
        <w:rPr>
          <w:rFonts w:cstheme="minorHAnsi"/>
          <w:color w:val="000000" w:themeColor="text1"/>
        </w:rPr>
        <w:t xml:space="preserve"> </w:t>
      </w:r>
      <w:r w:rsidR="00911CCA" w:rsidRPr="00BF72D2">
        <w:rPr>
          <w:rFonts w:cstheme="minorHAnsi"/>
          <w:color w:val="000000" w:themeColor="text1"/>
        </w:rPr>
        <w:t xml:space="preserve">no statistically significant difference in the </w:t>
      </w:r>
      <w:r w:rsidR="00F7611B">
        <w:rPr>
          <w:rFonts w:cstheme="minorHAnsi"/>
          <w:color w:val="000000" w:themeColor="text1"/>
        </w:rPr>
        <w:t>ICERs</w:t>
      </w:r>
      <w:r w:rsidR="00F7611B" w:rsidRPr="00BF72D2">
        <w:rPr>
          <w:rFonts w:cstheme="minorHAnsi"/>
          <w:color w:val="000000" w:themeColor="text1"/>
        </w:rPr>
        <w:t xml:space="preserve"> </w:t>
      </w:r>
      <w:r w:rsidR="00911CCA" w:rsidRPr="00BF72D2">
        <w:rPr>
          <w:rFonts w:cstheme="minorHAnsi"/>
          <w:color w:val="000000" w:themeColor="text1"/>
        </w:rPr>
        <w:t xml:space="preserve">at which </w:t>
      </w:r>
      <w:r w:rsidR="00733878">
        <w:rPr>
          <w:rFonts w:cstheme="minorHAnsi"/>
          <w:color w:val="000000" w:themeColor="text1"/>
        </w:rPr>
        <w:t xml:space="preserve">the </w:t>
      </w:r>
      <w:r w:rsidR="00911CCA" w:rsidRPr="00BF72D2">
        <w:rPr>
          <w:rFonts w:cstheme="minorHAnsi"/>
          <w:color w:val="000000" w:themeColor="text1"/>
        </w:rPr>
        <w:t xml:space="preserve">different </w:t>
      </w:r>
      <w:r w:rsidR="00733878">
        <w:rPr>
          <w:rFonts w:cstheme="minorHAnsi"/>
          <w:color w:val="000000" w:themeColor="text1"/>
        </w:rPr>
        <w:t>C</w:t>
      </w:r>
      <w:r w:rsidR="00911CCA" w:rsidRPr="00BF72D2">
        <w:rPr>
          <w:rFonts w:cstheme="minorHAnsi"/>
          <w:color w:val="000000" w:themeColor="text1"/>
        </w:rPr>
        <w:t>ommittees approved technologies</w:t>
      </w:r>
      <w:bookmarkEnd w:id="14"/>
      <w:r w:rsidR="00733878">
        <w:rPr>
          <w:rFonts w:cstheme="minorHAnsi"/>
          <w:color w:val="000000" w:themeColor="text1"/>
        </w:rPr>
        <w:t>.</w:t>
      </w:r>
    </w:p>
    <w:p w14:paraId="7DD1BEC6" w14:textId="63293443" w:rsidR="00D94121" w:rsidRPr="00BF72D2" w:rsidRDefault="00D94121" w:rsidP="00D94121">
      <w:pPr>
        <w:pStyle w:val="Caption"/>
        <w:keepNext/>
        <w:spacing w:after="0" w:line="480" w:lineRule="auto"/>
        <w:rPr>
          <w:rFonts w:cstheme="minorHAnsi"/>
          <w:b/>
          <w:i w:val="0"/>
          <w:color w:val="000000" w:themeColor="text1"/>
          <w:sz w:val="22"/>
          <w:szCs w:val="22"/>
        </w:rPr>
      </w:pPr>
      <w:bookmarkStart w:id="15" w:name="_Ref520816709"/>
      <w:r w:rsidRPr="00BF72D2">
        <w:rPr>
          <w:rFonts w:cstheme="minorHAnsi"/>
          <w:b/>
          <w:i w:val="0"/>
          <w:color w:val="000000" w:themeColor="text1"/>
          <w:sz w:val="22"/>
          <w:szCs w:val="22"/>
        </w:rPr>
        <w:t xml:space="preserve">Table </w:t>
      </w:r>
      <w:r w:rsidR="004C4F1D" w:rsidRPr="00BF72D2">
        <w:rPr>
          <w:rFonts w:cstheme="minorHAnsi"/>
          <w:b/>
          <w:i w:val="0"/>
          <w:color w:val="000000" w:themeColor="text1"/>
          <w:sz w:val="22"/>
          <w:szCs w:val="22"/>
        </w:rPr>
        <w:fldChar w:fldCharType="begin"/>
      </w:r>
      <w:r w:rsidR="004C4F1D" w:rsidRPr="00BF72D2">
        <w:rPr>
          <w:rFonts w:cstheme="minorHAnsi"/>
          <w:b/>
          <w:i w:val="0"/>
          <w:color w:val="000000" w:themeColor="text1"/>
          <w:sz w:val="22"/>
          <w:szCs w:val="22"/>
        </w:rPr>
        <w:instrText xml:space="preserve"> SEQ Table \* ARABIC </w:instrText>
      </w:r>
      <w:r w:rsidR="004C4F1D" w:rsidRPr="00BF72D2">
        <w:rPr>
          <w:rFonts w:cstheme="minorHAnsi"/>
          <w:b/>
          <w:i w:val="0"/>
          <w:color w:val="000000" w:themeColor="text1"/>
          <w:sz w:val="22"/>
          <w:szCs w:val="22"/>
        </w:rPr>
        <w:fldChar w:fldCharType="separate"/>
      </w:r>
      <w:r w:rsidR="00C16742" w:rsidRPr="00BF72D2">
        <w:rPr>
          <w:rFonts w:cstheme="minorHAnsi"/>
          <w:b/>
          <w:i w:val="0"/>
          <w:noProof/>
          <w:color w:val="000000" w:themeColor="text1"/>
          <w:sz w:val="22"/>
          <w:szCs w:val="22"/>
        </w:rPr>
        <w:t>1</w:t>
      </w:r>
      <w:r w:rsidR="004C4F1D" w:rsidRPr="00BF72D2">
        <w:rPr>
          <w:rFonts w:cstheme="minorHAnsi"/>
          <w:b/>
          <w:i w:val="0"/>
          <w:color w:val="000000" w:themeColor="text1"/>
          <w:sz w:val="22"/>
          <w:szCs w:val="22"/>
        </w:rPr>
        <w:fldChar w:fldCharType="end"/>
      </w:r>
      <w:bookmarkEnd w:id="15"/>
      <w:r w:rsidRPr="00BF72D2">
        <w:rPr>
          <w:rFonts w:cstheme="minorHAnsi"/>
          <w:b/>
          <w:i w:val="0"/>
          <w:color w:val="000000" w:themeColor="text1"/>
          <w:sz w:val="22"/>
          <w:szCs w:val="22"/>
        </w:rPr>
        <w:t xml:space="preserve"> </w:t>
      </w:r>
      <w:r w:rsidRPr="00BF72D2">
        <w:rPr>
          <w:rFonts w:cstheme="minorHAnsi"/>
          <w:i w:val="0"/>
          <w:color w:val="000000" w:themeColor="text1"/>
          <w:sz w:val="22"/>
          <w:szCs w:val="22"/>
        </w:rPr>
        <w:t>Mean ICERs of Technologies Recommended by NICE</w:t>
      </w: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551"/>
        <w:gridCol w:w="1427"/>
        <w:gridCol w:w="2228"/>
      </w:tblGrid>
      <w:tr w:rsidR="00BF72D2" w:rsidRPr="00BF72D2" w14:paraId="5CC1444B" w14:textId="77777777" w:rsidTr="00D501D2">
        <w:trPr>
          <w:trHeight w:val="313"/>
        </w:trPr>
        <w:tc>
          <w:tcPr>
            <w:tcW w:w="0" w:type="auto"/>
            <w:shd w:val="clear" w:color="auto" w:fill="auto"/>
            <w:noWrap/>
            <w:vAlign w:val="bottom"/>
            <w:hideMark/>
          </w:tcPr>
          <w:p w14:paraId="7290B50D" w14:textId="77777777" w:rsidR="00D94121" w:rsidRPr="00BF72D2" w:rsidRDefault="00D94121" w:rsidP="00DD70D1">
            <w:pPr>
              <w:spacing w:after="0" w:line="480" w:lineRule="auto"/>
              <w:rPr>
                <w:rFonts w:eastAsia="Times New Roman" w:cstheme="minorHAnsi"/>
                <w:b/>
                <w:color w:val="000000" w:themeColor="text1"/>
                <w:lang w:eastAsia="en-GB"/>
              </w:rPr>
            </w:pPr>
            <w:r w:rsidRPr="00BF72D2">
              <w:rPr>
                <w:rFonts w:eastAsia="Times New Roman" w:cstheme="minorHAnsi"/>
                <w:b/>
                <w:color w:val="000000" w:themeColor="text1"/>
                <w:lang w:eastAsia="en-GB"/>
              </w:rPr>
              <w:t>Disease area</w:t>
            </w:r>
          </w:p>
        </w:tc>
        <w:tc>
          <w:tcPr>
            <w:tcW w:w="0" w:type="auto"/>
            <w:shd w:val="clear" w:color="auto" w:fill="auto"/>
            <w:noWrap/>
            <w:vAlign w:val="bottom"/>
            <w:hideMark/>
          </w:tcPr>
          <w:p w14:paraId="347EAF21" w14:textId="77777777" w:rsidR="00D94121" w:rsidRPr="00BF72D2" w:rsidRDefault="00D94121" w:rsidP="00DD70D1">
            <w:pPr>
              <w:spacing w:after="0" w:line="480" w:lineRule="auto"/>
              <w:rPr>
                <w:rFonts w:eastAsia="Times New Roman" w:cstheme="minorHAnsi"/>
                <w:b/>
                <w:color w:val="000000" w:themeColor="text1"/>
                <w:lang w:eastAsia="en-GB"/>
              </w:rPr>
            </w:pPr>
            <w:r w:rsidRPr="00BF72D2">
              <w:rPr>
                <w:rFonts w:eastAsia="Times New Roman" w:cstheme="minorHAnsi"/>
                <w:b/>
                <w:color w:val="000000" w:themeColor="text1"/>
                <w:lang w:eastAsia="en-GB"/>
              </w:rPr>
              <w:t>n</w:t>
            </w:r>
          </w:p>
        </w:tc>
        <w:tc>
          <w:tcPr>
            <w:tcW w:w="1427" w:type="dxa"/>
            <w:shd w:val="clear" w:color="auto" w:fill="auto"/>
            <w:noWrap/>
            <w:vAlign w:val="bottom"/>
            <w:hideMark/>
          </w:tcPr>
          <w:p w14:paraId="7B11651E" w14:textId="77777777" w:rsidR="00D94121" w:rsidRPr="00BF72D2" w:rsidRDefault="00D94121" w:rsidP="00DD70D1">
            <w:pPr>
              <w:spacing w:after="0" w:line="480" w:lineRule="auto"/>
              <w:rPr>
                <w:rFonts w:eastAsia="Times New Roman" w:cstheme="minorHAnsi"/>
                <w:b/>
                <w:color w:val="000000" w:themeColor="text1"/>
                <w:lang w:eastAsia="en-GB"/>
              </w:rPr>
            </w:pPr>
            <w:r w:rsidRPr="00BF72D2">
              <w:rPr>
                <w:rFonts w:eastAsia="Times New Roman" w:cstheme="minorHAnsi"/>
                <w:b/>
                <w:color w:val="000000" w:themeColor="text1"/>
                <w:lang w:eastAsia="en-GB"/>
              </w:rPr>
              <w:t>FAD ICER (£)</w:t>
            </w:r>
          </w:p>
        </w:tc>
        <w:tc>
          <w:tcPr>
            <w:tcW w:w="2228" w:type="dxa"/>
            <w:shd w:val="clear" w:color="auto" w:fill="auto"/>
            <w:noWrap/>
            <w:vAlign w:val="bottom"/>
            <w:hideMark/>
          </w:tcPr>
          <w:p w14:paraId="656131D2" w14:textId="77777777" w:rsidR="00D94121" w:rsidRPr="00BF72D2" w:rsidRDefault="00D94121" w:rsidP="00DD70D1">
            <w:pPr>
              <w:spacing w:after="0" w:line="480" w:lineRule="auto"/>
              <w:rPr>
                <w:rFonts w:eastAsia="Times New Roman" w:cstheme="minorHAnsi"/>
                <w:b/>
                <w:color w:val="000000" w:themeColor="text1"/>
                <w:lang w:eastAsia="en-GB"/>
              </w:rPr>
            </w:pPr>
            <w:r w:rsidRPr="00BF72D2">
              <w:rPr>
                <w:rFonts w:eastAsia="Times New Roman" w:cstheme="minorHAnsi"/>
                <w:b/>
                <w:color w:val="000000" w:themeColor="text1"/>
                <w:lang w:eastAsia="en-GB"/>
              </w:rPr>
              <w:t>95% CI</w:t>
            </w:r>
          </w:p>
        </w:tc>
      </w:tr>
      <w:tr w:rsidR="00BF72D2" w:rsidRPr="00BF72D2" w14:paraId="4CD80E0A" w14:textId="77777777" w:rsidTr="00D501D2">
        <w:trPr>
          <w:trHeight w:val="313"/>
        </w:trPr>
        <w:tc>
          <w:tcPr>
            <w:tcW w:w="0" w:type="auto"/>
            <w:shd w:val="clear" w:color="auto" w:fill="auto"/>
            <w:noWrap/>
            <w:vAlign w:val="bottom"/>
            <w:hideMark/>
          </w:tcPr>
          <w:p w14:paraId="7D65C683" w14:textId="77777777" w:rsidR="00D94121" w:rsidRPr="00BF72D2" w:rsidRDefault="00D94121" w:rsidP="00DD70D1">
            <w:pPr>
              <w:spacing w:after="0" w:line="480" w:lineRule="auto"/>
              <w:rPr>
                <w:rFonts w:eastAsia="Times New Roman" w:cstheme="minorHAnsi"/>
                <w:color w:val="000000" w:themeColor="text1"/>
                <w:lang w:eastAsia="en-GB"/>
              </w:rPr>
            </w:pPr>
            <w:r w:rsidRPr="00BF72D2">
              <w:rPr>
                <w:rFonts w:eastAsia="Times New Roman" w:cstheme="minorHAnsi"/>
                <w:color w:val="000000" w:themeColor="text1"/>
                <w:lang w:eastAsia="en-GB"/>
              </w:rPr>
              <w:t>Total</w:t>
            </w:r>
          </w:p>
        </w:tc>
        <w:tc>
          <w:tcPr>
            <w:tcW w:w="0" w:type="auto"/>
            <w:shd w:val="clear" w:color="auto" w:fill="auto"/>
            <w:noWrap/>
            <w:vAlign w:val="bottom"/>
            <w:hideMark/>
          </w:tcPr>
          <w:p w14:paraId="447D848E" w14:textId="77777777" w:rsidR="00D94121" w:rsidRPr="00BF72D2" w:rsidRDefault="00D94121" w:rsidP="00DD70D1">
            <w:pPr>
              <w:spacing w:after="0" w:line="480" w:lineRule="auto"/>
              <w:jc w:val="center"/>
              <w:rPr>
                <w:rFonts w:eastAsia="Times New Roman" w:cstheme="minorHAnsi"/>
                <w:color w:val="000000" w:themeColor="text1"/>
                <w:lang w:eastAsia="en-GB"/>
              </w:rPr>
            </w:pPr>
            <w:r w:rsidRPr="00BF72D2">
              <w:rPr>
                <w:rFonts w:eastAsia="Times New Roman" w:cstheme="minorHAnsi"/>
                <w:color w:val="000000" w:themeColor="text1"/>
                <w:lang w:eastAsia="en-GB"/>
              </w:rPr>
              <w:t>123</w:t>
            </w:r>
          </w:p>
        </w:tc>
        <w:tc>
          <w:tcPr>
            <w:tcW w:w="1427" w:type="dxa"/>
            <w:shd w:val="clear" w:color="auto" w:fill="auto"/>
            <w:noWrap/>
            <w:vAlign w:val="bottom"/>
            <w:hideMark/>
          </w:tcPr>
          <w:p w14:paraId="1E5303E5" w14:textId="77777777" w:rsidR="00D94121" w:rsidRPr="00BF72D2" w:rsidRDefault="00D94121" w:rsidP="00DD70D1">
            <w:pPr>
              <w:spacing w:after="0" w:line="480" w:lineRule="auto"/>
              <w:jc w:val="right"/>
              <w:rPr>
                <w:rFonts w:eastAsia="Times New Roman" w:cstheme="minorHAnsi"/>
                <w:color w:val="000000" w:themeColor="text1"/>
                <w:lang w:eastAsia="en-GB"/>
              </w:rPr>
            </w:pPr>
            <w:r w:rsidRPr="00BF72D2">
              <w:rPr>
                <w:rFonts w:eastAsia="Times New Roman" w:cstheme="minorHAnsi"/>
                <w:color w:val="000000" w:themeColor="text1"/>
                <w:lang w:eastAsia="en-GB"/>
              </w:rPr>
              <w:t>26431</w:t>
            </w:r>
          </w:p>
        </w:tc>
        <w:tc>
          <w:tcPr>
            <w:tcW w:w="2228" w:type="dxa"/>
            <w:shd w:val="clear" w:color="auto" w:fill="auto"/>
            <w:noWrap/>
            <w:vAlign w:val="bottom"/>
            <w:hideMark/>
          </w:tcPr>
          <w:p w14:paraId="71C92687" w14:textId="77777777" w:rsidR="00D94121" w:rsidRPr="00BF72D2" w:rsidRDefault="00D94121" w:rsidP="00DD70D1">
            <w:pPr>
              <w:spacing w:after="0" w:line="480" w:lineRule="auto"/>
              <w:rPr>
                <w:rFonts w:eastAsia="Times New Roman" w:cstheme="minorHAnsi"/>
                <w:color w:val="000000" w:themeColor="text1"/>
                <w:lang w:eastAsia="en-GB"/>
              </w:rPr>
            </w:pPr>
            <w:r w:rsidRPr="00BF72D2">
              <w:rPr>
                <w:rFonts w:eastAsia="Times New Roman" w:cstheme="minorHAnsi"/>
                <w:color w:val="000000" w:themeColor="text1"/>
                <w:lang w:eastAsia="en-GB"/>
              </w:rPr>
              <w:t>23268 to 29594</w:t>
            </w:r>
          </w:p>
        </w:tc>
      </w:tr>
      <w:tr w:rsidR="00BF72D2" w:rsidRPr="00BF72D2" w14:paraId="102A59B7" w14:textId="77777777" w:rsidTr="00D501D2">
        <w:trPr>
          <w:trHeight w:val="313"/>
        </w:trPr>
        <w:tc>
          <w:tcPr>
            <w:tcW w:w="0" w:type="auto"/>
            <w:shd w:val="clear" w:color="auto" w:fill="auto"/>
            <w:noWrap/>
            <w:vAlign w:val="bottom"/>
            <w:hideMark/>
          </w:tcPr>
          <w:p w14:paraId="179F7F5C" w14:textId="06DE6552" w:rsidR="00D94121" w:rsidRPr="00BF72D2" w:rsidRDefault="00C63E4E" w:rsidP="00C63E4E">
            <w:pPr>
              <w:spacing w:after="0" w:line="480" w:lineRule="auto"/>
              <w:rPr>
                <w:rFonts w:eastAsia="Times New Roman" w:cstheme="minorHAnsi"/>
                <w:color w:val="000000" w:themeColor="text1"/>
                <w:lang w:eastAsia="en-GB"/>
              </w:rPr>
            </w:pPr>
            <w:r w:rsidRPr="00BF72D2">
              <w:rPr>
                <w:rFonts w:eastAsia="Times New Roman" w:cstheme="minorHAnsi"/>
                <w:color w:val="000000" w:themeColor="text1"/>
                <w:lang w:eastAsia="en-GB"/>
              </w:rPr>
              <w:t>Non-advanced c</w:t>
            </w:r>
            <w:r w:rsidR="00D94121" w:rsidRPr="00BF72D2">
              <w:rPr>
                <w:rFonts w:eastAsia="Times New Roman" w:cstheme="minorHAnsi"/>
                <w:color w:val="000000" w:themeColor="text1"/>
                <w:lang w:eastAsia="en-GB"/>
              </w:rPr>
              <w:t>ancer</w:t>
            </w:r>
          </w:p>
        </w:tc>
        <w:tc>
          <w:tcPr>
            <w:tcW w:w="0" w:type="auto"/>
            <w:shd w:val="clear" w:color="auto" w:fill="auto"/>
            <w:noWrap/>
            <w:vAlign w:val="bottom"/>
            <w:hideMark/>
          </w:tcPr>
          <w:p w14:paraId="5CE5AB36" w14:textId="77777777" w:rsidR="00D94121" w:rsidRPr="00BF72D2" w:rsidRDefault="00D94121" w:rsidP="00DD70D1">
            <w:pPr>
              <w:spacing w:after="0" w:line="480" w:lineRule="auto"/>
              <w:jc w:val="center"/>
              <w:rPr>
                <w:rFonts w:eastAsia="Times New Roman" w:cstheme="minorHAnsi"/>
                <w:color w:val="000000" w:themeColor="text1"/>
                <w:lang w:eastAsia="en-GB"/>
              </w:rPr>
            </w:pPr>
            <w:r w:rsidRPr="00BF72D2">
              <w:rPr>
                <w:rFonts w:eastAsia="Times New Roman" w:cstheme="minorHAnsi"/>
                <w:color w:val="000000" w:themeColor="text1"/>
                <w:lang w:eastAsia="en-GB"/>
              </w:rPr>
              <w:t>24</w:t>
            </w:r>
          </w:p>
        </w:tc>
        <w:tc>
          <w:tcPr>
            <w:tcW w:w="1427" w:type="dxa"/>
            <w:shd w:val="clear" w:color="auto" w:fill="auto"/>
            <w:noWrap/>
            <w:vAlign w:val="bottom"/>
            <w:hideMark/>
          </w:tcPr>
          <w:p w14:paraId="71E618B2" w14:textId="77777777" w:rsidR="00D94121" w:rsidRPr="00BF72D2" w:rsidRDefault="00D94121" w:rsidP="00DD70D1">
            <w:pPr>
              <w:spacing w:after="0" w:line="480" w:lineRule="auto"/>
              <w:jc w:val="right"/>
              <w:rPr>
                <w:rFonts w:eastAsia="Times New Roman" w:cstheme="minorHAnsi"/>
                <w:color w:val="000000" w:themeColor="text1"/>
                <w:lang w:eastAsia="en-GB"/>
              </w:rPr>
            </w:pPr>
            <w:r w:rsidRPr="00BF72D2">
              <w:rPr>
                <w:rFonts w:eastAsia="Times New Roman" w:cstheme="minorHAnsi"/>
                <w:color w:val="000000" w:themeColor="text1"/>
                <w:lang w:eastAsia="en-GB"/>
              </w:rPr>
              <w:t>30784</w:t>
            </w:r>
          </w:p>
        </w:tc>
        <w:tc>
          <w:tcPr>
            <w:tcW w:w="2228" w:type="dxa"/>
            <w:shd w:val="clear" w:color="auto" w:fill="auto"/>
            <w:noWrap/>
            <w:vAlign w:val="bottom"/>
            <w:hideMark/>
          </w:tcPr>
          <w:p w14:paraId="234E5BF4" w14:textId="77777777" w:rsidR="00D94121" w:rsidRPr="00BF72D2" w:rsidRDefault="00D94121" w:rsidP="00DD70D1">
            <w:pPr>
              <w:spacing w:after="0" w:line="480" w:lineRule="auto"/>
              <w:rPr>
                <w:rFonts w:eastAsia="Times New Roman" w:cstheme="minorHAnsi"/>
                <w:color w:val="000000" w:themeColor="text1"/>
                <w:lang w:eastAsia="en-GB"/>
              </w:rPr>
            </w:pPr>
            <w:r w:rsidRPr="00BF72D2">
              <w:rPr>
                <w:rFonts w:eastAsia="Times New Roman" w:cstheme="minorHAnsi"/>
                <w:color w:val="000000" w:themeColor="text1"/>
                <w:lang w:eastAsia="en-GB"/>
              </w:rPr>
              <w:t>24783 to 36785</w:t>
            </w:r>
          </w:p>
        </w:tc>
      </w:tr>
      <w:tr w:rsidR="00BF72D2" w:rsidRPr="00BF72D2" w14:paraId="691FEF8B" w14:textId="77777777" w:rsidTr="00D501D2">
        <w:trPr>
          <w:trHeight w:val="313"/>
        </w:trPr>
        <w:tc>
          <w:tcPr>
            <w:tcW w:w="0" w:type="auto"/>
            <w:shd w:val="clear" w:color="auto" w:fill="auto"/>
            <w:noWrap/>
            <w:vAlign w:val="bottom"/>
            <w:hideMark/>
          </w:tcPr>
          <w:p w14:paraId="43C06C31" w14:textId="77777777" w:rsidR="00D94121" w:rsidRPr="00BF72D2" w:rsidRDefault="00D94121" w:rsidP="00DD70D1">
            <w:pPr>
              <w:spacing w:after="0" w:line="480" w:lineRule="auto"/>
              <w:rPr>
                <w:rFonts w:eastAsia="Times New Roman" w:cstheme="minorHAnsi"/>
                <w:color w:val="000000" w:themeColor="text1"/>
                <w:lang w:eastAsia="en-GB"/>
              </w:rPr>
            </w:pPr>
            <w:r w:rsidRPr="00BF72D2">
              <w:rPr>
                <w:rFonts w:eastAsia="Times New Roman" w:cstheme="minorHAnsi"/>
                <w:color w:val="000000" w:themeColor="text1"/>
                <w:lang w:eastAsia="en-GB"/>
              </w:rPr>
              <w:t>Advanced Cancer</w:t>
            </w:r>
          </w:p>
        </w:tc>
        <w:tc>
          <w:tcPr>
            <w:tcW w:w="0" w:type="auto"/>
            <w:shd w:val="clear" w:color="auto" w:fill="auto"/>
            <w:noWrap/>
            <w:vAlign w:val="bottom"/>
            <w:hideMark/>
          </w:tcPr>
          <w:p w14:paraId="48035BCF" w14:textId="77777777" w:rsidR="00D94121" w:rsidRPr="00BF72D2" w:rsidRDefault="00D94121" w:rsidP="00DD70D1">
            <w:pPr>
              <w:spacing w:after="0" w:line="480" w:lineRule="auto"/>
              <w:jc w:val="center"/>
              <w:rPr>
                <w:rFonts w:eastAsia="Times New Roman" w:cstheme="minorHAnsi"/>
                <w:color w:val="000000" w:themeColor="text1"/>
                <w:lang w:eastAsia="en-GB"/>
              </w:rPr>
            </w:pPr>
            <w:r w:rsidRPr="00BF72D2">
              <w:rPr>
                <w:rFonts w:eastAsia="Times New Roman" w:cstheme="minorHAnsi"/>
                <w:color w:val="000000" w:themeColor="text1"/>
                <w:lang w:eastAsia="en-GB"/>
              </w:rPr>
              <w:t>28</w:t>
            </w:r>
          </w:p>
        </w:tc>
        <w:tc>
          <w:tcPr>
            <w:tcW w:w="1427" w:type="dxa"/>
            <w:shd w:val="clear" w:color="auto" w:fill="auto"/>
            <w:noWrap/>
            <w:vAlign w:val="bottom"/>
            <w:hideMark/>
          </w:tcPr>
          <w:p w14:paraId="43E5DD08" w14:textId="77777777" w:rsidR="00D94121" w:rsidRPr="00BF72D2" w:rsidRDefault="00D94121" w:rsidP="00DD70D1">
            <w:pPr>
              <w:spacing w:after="0" w:line="480" w:lineRule="auto"/>
              <w:jc w:val="right"/>
              <w:rPr>
                <w:rFonts w:eastAsia="Times New Roman" w:cstheme="minorHAnsi"/>
                <w:color w:val="000000" w:themeColor="text1"/>
                <w:lang w:eastAsia="en-GB"/>
              </w:rPr>
            </w:pPr>
            <w:r w:rsidRPr="00BF72D2">
              <w:rPr>
                <w:rFonts w:eastAsia="Times New Roman" w:cstheme="minorHAnsi"/>
                <w:color w:val="000000" w:themeColor="text1"/>
                <w:lang w:eastAsia="en-GB"/>
              </w:rPr>
              <w:t>41462</w:t>
            </w:r>
          </w:p>
        </w:tc>
        <w:tc>
          <w:tcPr>
            <w:tcW w:w="2228" w:type="dxa"/>
            <w:shd w:val="clear" w:color="auto" w:fill="auto"/>
            <w:noWrap/>
            <w:vAlign w:val="bottom"/>
            <w:hideMark/>
          </w:tcPr>
          <w:p w14:paraId="645D44A9" w14:textId="77777777" w:rsidR="00D94121" w:rsidRPr="00BF72D2" w:rsidRDefault="00D94121" w:rsidP="00DD70D1">
            <w:pPr>
              <w:spacing w:after="0" w:line="480" w:lineRule="auto"/>
              <w:rPr>
                <w:rFonts w:eastAsia="Times New Roman" w:cstheme="minorHAnsi"/>
                <w:color w:val="000000" w:themeColor="text1"/>
                <w:lang w:eastAsia="en-GB"/>
              </w:rPr>
            </w:pPr>
            <w:r w:rsidRPr="00BF72D2">
              <w:rPr>
                <w:rFonts w:eastAsia="Times New Roman" w:cstheme="minorHAnsi"/>
                <w:color w:val="000000" w:themeColor="text1"/>
                <w:lang w:eastAsia="en-GB"/>
              </w:rPr>
              <w:t>35811 to 48112</w:t>
            </w:r>
          </w:p>
        </w:tc>
      </w:tr>
      <w:tr w:rsidR="00BF72D2" w:rsidRPr="00BF72D2" w14:paraId="705B74AE" w14:textId="77777777" w:rsidTr="00D501D2">
        <w:trPr>
          <w:trHeight w:val="70"/>
        </w:trPr>
        <w:tc>
          <w:tcPr>
            <w:tcW w:w="0" w:type="auto"/>
            <w:tcBorders>
              <w:bottom w:val="single" w:sz="4" w:space="0" w:color="auto"/>
            </w:tcBorders>
            <w:shd w:val="clear" w:color="auto" w:fill="auto"/>
            <w:noWrap/>
            <w:vAlign w:val="bottom"/>
            <w:hideMark/>
          </w:tcPr>
          <w:p w14:paraId="093593C5" w14:textId="77777777" w:rsidR="00D94121" w:rsidRPr="00BF72D2" w:rsidRDefault="00D94121" w:rsidP="00DD70D1">
            <w:pPr>
              <w:spacing w:after="0" w:line="480" w:lineRule="auto"/>
              <w:rPr>
                <w:rFonts w:eastAsia="Times New Roman" w:cstheme="minorHAnsi"/>
                <w:color w:val="000000" w:themeColor="text1"/>
                <w:lang w:eastAsia="en-GB"/>
              </w:rPr>
            </w:pPr>
            <w:r w:rsidRPr="00BF72D2">
              <w:rPr>
                <w:rFonts w:eastAsia="Times New Roman" w:cstheme="minorHAnsi"/>
                <w:color w:val="000000" w:themeColor="text1"/>
                <w:lang w:eastAsia="en-GB"/>
              </w:rPr>
              <w:t>Other</w:t>
            </w:r>
          </w:p>
        </w:tc>
        <w:tc>
          <w:tcPr>
            <w:tcW w:w="0" w:type="auto"/>
            <w:tcBorders>
              <w:bottom w:val="single" w:sz="4" w:space="0" w:color="auto"/>
            </w:tcBorders>
            <w:shd w:val="clear" w:color="auto" w:fill="auto"/>
            <w:noWrap/>
            <w:vAlign w:val="bottom"/>
            <w:hideMark/>
          </w:tcPr>
          <w:p w14:paraId="6772B219" w14:textId="77777777" w:rsidR="00D94121" w:rsidRPr="00BF72D2" w:rsidRDefault="00D94121" w:rsidP="00DD70D1">
            <w:pPr>
              <w:spacing w:after="0" w:line="480" w:lineRule="auto"/>
              <w:jc w:val="center"/>
              <w:rPr>
                <w:rFonts w:eastAsia="Times New Roman" w:cstheme="minorHAnsi"/>
                <w:color w:val="000000" w:themeColor="text1"/>
                <w:lang w:eastAsia="en-GB"/>
              </w:rPr>
            </w:pPr>
            <w:r w:rsidRPr="00BF72D2">
              <w:rPr>
                <w:rFonts w:eastAsia="Times New Roman" w:cstheme="minorHAnsi"/>
                <w:color w:val="000000" w:themeColor="text1"/>
                <w:lang w:eastAsia="en-GB"/>
              </w:rPr>
              <w:t>71</w:t>
            </w:r>
          </w:p>
        </w:tc>
        <w:tc>
          <w:tcPr>
            <w:tcW w:w="1427" w:type="dxa"/>
            <w:tcBorders>
              <w:bottom w:val="single" w:sz="4" w:space="0" w:color="auto"/>
            </w:tcBorders>
            <w:shd w:val="clear" w:color="auto" w:fill="auto"/>
            <w:noWrap/>
            <w:vAlign w:val="bottom"/>
            <w:hideMark/>
          </w:tcPr>
          <w:p w14:paraId="36275880" w14:textId="77777777" w:rsidR="00D94121" w:rsidRPr="00BF72D2" w:rsidRDefault="00D94121" w:rsidP="00DD70D1">
            <w:pPr>
              <w:spacing w:after="0" w:line="480" w:lineRule="auto"/>
              <w:jc w:val="right"/>
              <w:rPr>
                <w:rFonts w:eastAsia="Times New Roman" w:cstheme="minorHAnsi"/>
                <w:color w:val="000000" w:themeColor="text1"/>
                <w:lang w:eastAsia="en-GB"/>
              </w:rPr>
            </w:pPr>
            <w:r w:rsidRPr="00BF72D2">
              <w:rPr>
                <w:rFonts w:eastAsia="Times New Roman" w:cstheme="minorHAnsi"/>
                <w:color w:val="000000" w:themeColor="text1"/>
                <w:lang w:eastAsia="en-GB"/>
              </w:rPr>
              <w:t>17075</w:t>
            </w:r>
          </w:p>
        </w:tc>
        <w:tc>
          <w:tcPr>
            <w:tcW w:w="2228" w:type="dxa"/>
            <w:tcBorders>
              <w:bottom w:val="single" w:sz="4" w:space="0" w:color="auto"/>
            </w:tcBorders>
            <w:shd w:val="clear" w:color="auto" w:fill="auto"/>
            <w:noWrap/>
            <w:vAlign w:val="bottom"/>
            <w:hideMark/>
          </w:tcPr>
          <w:p w14:paraId="1E7B042A" w14:textId="77777777" w:rsidR="00D94121" w:rsidRPr="00BF72D2" w:rsidRDefault="00D94121" w:rsidP="00DD70D1">
            <w:pPr>
              <w:spacing w:after="0" w:line="480" w:lineRule="auto"/>
              <w:rPr>
                <w:rFonts w:eastAsia="Times New Roman" w:cstheme="minorHAnsi"/>
                <w:color w:val="000000" w:themeColor="text1"/>
                <w:lang w:eastAsia="en-GB"/>
              </w:rPr>
            </w:pPr>
            <w:r w:rsidRPr="00BF72D2">
              <w:rPr>
                <w:rFonts w:eastAsia="Times New Roman" w:cstheme="minorHAnsi"/>
                <w:color w:val="000000" w:themeColor="text1"/>
                <w:lang w:eastAsia="en-GB"/>
              </w:rPr>
              <w:t>14519 to 19631</w:t>
            </w:r>
          </w:p>
        </w:tc>
      </w:tr>
      <w:tr w:rsidR="00BF72D2" w:rsidRPr="00BF72D2" w14:paraId="39DA0759" w14:textId="77777777" w:rsidTr="00D501D2">
        <w:trPr>
          <w:trHeight w:val="70"/>
        </w:trPr>
        <w:tc>
          <w:tcPr>
            <w:tcW w:w="6091" w:type="dxa"/>
            <w:gridSpan w:val="4"/>
            <w:tcBorders>
              <w:left w:val="nil"/>
              <w:bottom w:val="nil"/>
              <w:right w:val="nil"/>
            </w:tcBorders>
            <w:shd w:val="clear" w:color="auto" w:fill="auto"/>
            <w:noWrap/>
            <w:vAlign w:val="bottom"/>
          </w:tcPr>
          <w:p w14:paraId="59374EE2" w14:textId="0720B420" w:rsidR="00D501D2" w:rsidRPr="00BF72D2" w:rsidRDefault="00D501D2" w:rsidP="00D501D2">
            <w:pPr>
              <w:spacing w:line="240" w:lineRule="auto"/>
              <w:rPr>
                <w:rFonts w:cstheme="minorHAnsi"/>
                <w:color w:val="000000" w:themeColor="text1"/>
                <w:sz w:val="18"/>
              </w:rPr>
            </w:pPr>
            <w:r w:rsidRPr="00BF72D2">
              <w:rPr>
                <w:rFonts w:cstheme="minorHAnsi"/>
                <w:color w:val="000000" w:themeColor="text1"/>
                <w:sz w:val="18"/>
              </w:rPr>
              <w:t>FAD, Final Appraisal Determination; ICER, incremental cost-effectiveness ratio; CI, confidence interval</w:t>
            </w:r>
          </w:p>
        </w:tc>
      </w:tr>
    </w:tbl>
    <w:p w14:paraId="0AC12FA5" w14:textId="35D5BE3B" w:rsidR="00D94121" w:rsidRPr="00BF72D2" w:rsidRDefault="00D94121" w:rsidP="00D94121">
      <w:pPr>
        <w:spacing w:line="480" w:lineRule="auto"/>
        <w:rPr>
          <w:rFonts w:cstheme="minorHAnsi"/>
          <w:color w:val="000000" w:themeColor="text1"/>
        </w:rPr>
      </w:pPr>
      <w:r w:rsidRPr="00BF72D2">
        <w:rPr>
          <w:rFonts w:cstheme="minorHAnsi"/>
          <w:color w:val="000000" w:themeColor="text1"/>
        </w:rPr>
        <w:t xml:space="preserve">Drugs receiving a positive preliminary decision, or which went straight to a positive FAD were generally priced well below their respective WTP thresholds; NICE’s average preferred estimates of cost-effectiveness were £17,010 </w:t>
      </w:r>
      <w:r w:rsidR="00733878">
        <w:rPr>
          <w:rFonts w:cstheme="minorHAnsi"/>
          <w:color w:val="000000" w:themeColor="text1"/>
        </w:rPr>
        <w:t xml:space="preserve">per QALY gained </w:t>
      </w:r>
      <w:r w:rsidRPr="00BF72D2">
        <w:rPr>
          <w:rFonts w:cstheme="minorHAnsi"/>
          <w:color w:val="000000" w:themeColor="text1"/>
        </w:rPr>
        <w:t>for non-advanced cancers, £31,123 for advanced cancers, and £8,653 for other indications.</w:t>
      </w:r>
    </w:p>
    <w:p w14:paraId="27FF5DA6" w14:textId="19C4B9B0" w:rsidR="00D94121" w:rsidRPr="00BF72D2" w:rsidRDefault="00D57B51" w:rsidP="00D94121">
      <w:pPr>
        <w:spacing w:line="480" w:lineRule="auto"/>
        <w:rPr>
          <w:rFonts w:cstheme="minorHAnsi"/>
          <w:color w:val="000000" w:themeColor="text1"/>
        </w:rPr>
      </w:pPr>
      <w:r w:rsidRPr="00BF72D2">
        <w:rPr>
          <w:rFonts w:cstheme="minorHAnsi"/>
          <w:i/>
          <w:color w:val="000000" w:themeColor="text1"/>
        </w:rPr>
        <w:t xml:space="preserve">3.2 </w:t>
      </w:r>
      <w:r w:rsidR="00D94121" w:rsidRPr="00BF72D2">
        <w:rPr>
          <w:rFonts w:cstheme="minorHAnsi"/>
          <w:i/>
          <w:color w:val="000000" w:themeColor="text1"/>
        </w:rPr>
        <w:t>Reversal of negative preliminary decisions</w:t>
      </w:r>
      <w:r w:rsidR="004C4F1D" w:rsidRPr="00BF72D2">
        <w:rPr>
          <w:rFonts w:cstheme="minorHAnsi"/>
          <w:i/>
          <w:color w:val="000000" w:themeColor="text1"/>
        </w:rPr>
        <w:br/>
      </w:r>
      <w:r w:rsidR="00D94121" w:rsidRPr="00BF72D2">
        <w:rPr>
          <w:rFonts w:cstheme="minorHAnsi"/>
          <w:color w:val="000000" w:themeColor="text1"/>
        </w:rPr>
        <w:t xml:space="preserve">Out of 84 negative provisional decisions, 61 technologies (72.6%) went on to receive a positive final recommendation after further committee discussion. The main reasons for the reversal of a negative </w:t>
      </w:r>
      <w:r w:rsidR="00427A4C" w:rsidRPr="00BF72D2">
        <w:rPr>
          <w:rFonts w:cstheme="minorHAnsi"/>
          <w:color w:val="000000" w:themeColor="text1"/>
        </w:rPr>
        <w:t xml:space="preserve">preliminary </w:t>
      </w:r>
      <w:r w:rsidR="00D94121" w:rsidRPr="00BF72D2">
        <w:rPr>
          <w:rFonts w:cstheme="minorHAnsi"/>
          <w:color w:val="000000" w:themeColor="text1"/>
        </w:rPr>
        <w:t xml:space="preserve">ACD recommendation </w:t>
      </w:r>
      <w:r w:rsidR="00733878">
        <w:rPr>
          <w:rFonts w:cstheme="minorHAnsi"/>
          <w:color w:val="000000" w:themeColor="text1"/>
        </w:rPr>
        <w:t>are presented in Figure 3, and comprised</w:t>
      </w:r>
      <w:r w:rsidR="00D94121" w:rsidRPr="00BF72D2">
        <w:rPr>
          <w:rFonts w:cstheme="minorHAnsi"/>
          <w:color w:val="000000" w:themeColor="text1"/>
        </w:rPr>
        <w:t>: the introduction or enhancement of a patient access scheme discount (PAS) (37.7%), approval in more clinically- or c</w:t>
      </w:r>
      <w:r w:rsidR="00427A4C" w:rsidRPr="00BF72D2">
        <w:rPr>
          <w:rFonts w:cstheme="minorHAnsi"/>
          <w:color w:val="000000" w:themeColor="text1"/>
        </w:rPr>
        <w:t>ost-effective subgroups (32.8%);</w:t>
      </w:r>
      <w:r w:rsidR="00D94121" w:rsidRPr="00BF72D2">
        <w:rPr>
          <w:rFonts w:cstheme="minorHAnsi"/>
          <w:color w:val="000000" w:themeColor="text1"/>
        </w:rPr>
        <w:t xml:space="preserve"> </w:t>
      </w:r>
      <w:r w:rsidR="00733878">
        <w:rPr>
          <w:rFonts w:cstheme="minorHAnsi"/>
          <w:color w:val="000000" w:themeColor="text1"/>
        </w:rPr>
        <w:t xml:space="preserve">the </w:t>
      </w:r>
      <w:r w:rsidR="00D94121" w:rsidRPr="00BF72D2">
        <w:rPr>
          <w:rFonts w:cstheme="minorHAnsi"/>
          <w:color w:val="000000" w:themeColor="text1"/>
        </w:rPr>
        <w:t xml:space="preserve">decision to fund the drug through the </w:t>
      </w:r>
      <w:r w:rsidR="00C63E4E" w:rsidRPr="00BF72D2">
        <w:rPr>
          <w:rFonts w:cstheme="minorHAnsi"/>
          <w:color w:val="000000" w:themeColor="text1"/>
        </w:rPr>
        <w:t>Cancer Drugs F</w:t>
      </w:r>
      <w:r w:rsidR="00D94121" w:rsidRPr="00BF72D2">
        <w:rPr>
          <w:rFonts w:cstheme="minorHAnsi"/>
          <w:color w:val="000000" w:themeColor="text1"/>
        </w:rPr>
        <w:t xml:space="preserve">und, i.e. clinical uncertainty </w:t>
      </w:r>
      <w:r w:rsidR="004C4F1D" w:rsidRPr="00BF72D2">
        <w:rPr>
          <w:rFonts w:cstheme="minorHAnsi"/>
          <w:color w:val="000000" w:themeColor="text1"/>
        </w:rPr>
        <w:t xml:space="preserve">which </w:t>
      </w:r>
      <w:r w:rsidR="00D94121" w:rsidRPr="00BF72D2">
        <w:rPr>
          <w:rFonts w:cstheme="minorHAnsi"/>
          <w:color w:val="000000" w:themeColor="text1"/>
        </w:rPr>
        <w:t>could reasonably be resolved through a period of data collection (18%)</w:t>
      </w:r>
      <w:r w:rsidR="00733878">
        <w:rPr>
          <w:rFonts w:cstheme="minorHAnsi"/>
          <w:color w:val="000000" w:themeColor="text1"/>
        </w:rPr>
        <w:t xml:space="preserve">, and </w:t>
      </w:r>
      <w:r w:rsidR="00733878" w:rsidRPr="00BF72D2">
        <w:rPr>
          <w:rFonts w:cstheme="minorHAnsi"/>
          <w:color w:val="000000" w:themeColor="text1"/>
        </w:rPr>
        <w:t>provision of new clinical evidence or analysis (11.5%)</w:t>
      </w:r>
      <w:r w:rsidR="00D94121" w:rsidRPr="00BF72D2">
        <w:rPr>
          <w:rFonts w:cstheme="minorHAnsi"/>
          <w:color w:val="000000" w:themeColor="text1"/>
        </w:rPr>
        <w:t>.</w:t>
      </w:r>
      <w:r w:rsidR="00A90F69" w:rsidRPr="00BF72D2">
        <w:rPr>
          <w:rFonts w:cstheme="minorHAnsi"/>
          <w:color w:val="000000" w:themeColor="text1"/>
        </w:rPr>
        <w:t xml:space="preserve"> </w:t>
      </w:r>
    </w:p>
    <w:p w14:paraId="28818336" w14:textId="376B43EE" w:rsidR="004C4F1D" w:rsidRPr="00BF72D2" w:rsidRDefault="004C4F1D" w:rsidP="004C4F1D">
      <w:pPr>
        <w:pStyle w:val="Caption"/>
        <w:keepNext/>
        <w:rPr>
          <w:i w:val="0"/>
          <w:color w:val="000000" w:themeColor="text1"/>
          <w:sz w:val="22"/>
        </w:rPr>
      </w:pPr>
      <w:r w:rsidRPr="00BF72D2">
        <w:rPr>
          <w:b/>
          <w:i w:val="0"/>
          <w:color w:val="000000" w:themeColor="text1"/>
          <w:sz w:val="22"/>
        </w:rPr>
        <w:lastRenderedPageBreak/>
        <w:t>Fig</w:t>
      </w:r>
      <w:r w:rsidR="00FC1D54" w:rsidRPr="00BF72D2">
        <w:rPr>
          <w:b/>
          <w:i w:val="0"/>
          <w:color w:val="000000" w:themeColor="text1"/>
          <w:sz w:val="22"/>
        </w:rPr>
        <w:t>.</w:t>
      </w:r>
      <w:r w:rsidRPr="00BF72D2">
        <w:rPr>
          <w:b/>
          <w:i w:val="0"/>
          <w:color w:val="000000" w:themeColor="text1"/>
          <w:sz w:val="22"/>
        </w:rPr>
        <w:t xml:space="preserve"> </w:t>
      </w:r>
      <w:r w:rsidRPr="00BF72D2">
        <w:rPr>
          <w:b/>
          <w:i w:val="0"/>
          <w:color w:val="000000" w:themeColor="text1"/>
          <w:sz w:val="22"/>
        </w:rPr>
        <w:fldChar w:fldCharType="begin"/>
      </w:r>
      <w:r w:rsidRPr="00BF72D2">
        <w:rPr>
          <w:b/>
          <w:i w:val="0"/>
          <w:color w:val="000000" w:themeColor="text1"/>
          <w:sz w:val="22"/>
        </w:rPr>
        <w:instrText xml:space="preserve"> SEQ Figure \* ARABIC </w:instrText>
      </w:r>
      <w:r w:rsidRPr="00BF72D2">
        <w:rPr>
          <w:b/>
          <w:i w:val="0"/>
          <w:color w:val="000000" w:themeColor="text1"/>
          <w:sz w:val="22"/>
        </w:rPr>
        <w:fldChar w:fldCharType="separate"/>
      </w:r>
      <w:r w:rsidR="005F754C" w:rsidRPr="00BF72D2">
        <w:rPr>
          <w:b/>
          <w:i w:val="0"/>
          <w:noProof/>
          <w:color w:val="000000" w:themeColor="text1"/>
          <w:sz w:val="22"/>
        </w:rPr>
        <w:t>3</w:t>
      </w:r>
      <w:r w:rsidRPr="00BF72D2">
        <w:rPr>
          <w:b/>
          <w:i w:val="0"/>
          <w:color w:val="000000" w:themeColor="text1"/>
          <w:sz w:val="22"/>
        </w:rPr>
        <w:fldChar w:fldCharType="end"/>
      </w:r>
      <w:r w:rsidRPr="00BF72D2">
        <w:rPr>
          <w:i w:val="0"/>
          <w:color w:val="000000" w:themeColor="text1"/>
          <w:sz w:val="22"/>
        </w:rPr>
        <w:t xml:space="preserve"> Primary reason for reversal of a negative preliminary decision</w:t>
      </w:r>
    </w:p>
    <w:p w14:paraId="45C88E95" w14:textId="770A4371" w:rsidR="004C4F1D" w:rsidRPr="00BF72D2" w:rsidRDefault="00C04CA2" w:rsidP="004C4F1D">
      <w:pPr>
        <w:keepNext/>
        <w:spacing w:line="480" w:lineRule="auto"/>
        <w:rPr>
          <w:color w:val="000000" w:themeColor="text1"/>
        </w:rPr>
      </w:pPr>
      <w:r w:rsidRPr="00BF72D2">
        <w:rPr>
          <w:rFonts w:cstheme="minorHAnsi"/>
          <w:noProof/>
          <w:color w:val="000000" w:themeColor="text1"/>
          <w:lang w:eastAsia="en-GB"/>
        </w:rPr>
        <mc:AlternateContent>
          <mc:Choice Requires="wps">
            <w:drawing>
              <wp:anchor distT="45720" distB="45720" distL="114300" distR="114300" simplePos="0" relativeHeight="251659264" behindDoc="0" locked="0" layoutInCell="1" allowOverlap="1" wp14:anchorId="2E7041B1" wp14:editId="7C7050A6">
                <wp:simplePos x="0" y="0"/>
                <wp:positionH relativeFrom="column">
                  <wp:posOffset>3510855</wp:posOffset>
                </wp:positionH>
                <wp:positionV relativeFrom="paragraph">
                  <wp:posOffset>64459</wp:posOffset>
                </wp:positionV>
                <wp:extent cx="543464"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64" cy="1404620"/>
                        </a:xfrm>
                        <a:prstGeom prst="rect">
                          <a:avLst/>
                        </a:prstGeom>
                        <a:noFill/>
                        <a:ln w="9525">
                          <a:noFill/>
                          <a:miter lim="800000"/>
                          <a:headEnd/>
                          <a:tailEnd/>
                        </a:ln>
                      </wps:spPr>
                      <wps:txbx>
                        <w:txbxContent>
                          <w:p w14:paraId="2091E858" w14:textId="5BA860CA" w:rsidR="00C04CA2" w:rsidRDefault="00C04CA2">
                            <w:r>
                              <w:t>N=61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7041B1" id="_x0000_t202" coordsize="21600,21600" o:spt="202" path="m,l,21600r21600,l21600,xe">
                <v:stroke joinstyle="miter"/>
                <v:path gradientshapeok="t" o:connecttype="rect"/>
              </v:shapetype>
              <v:shape id="Text Box 2" o:spid="_x0000_s1026" type="#_x0000_t202" style="position:absolute;margin-left:276.45pt;margin-top:5.1pt;width:42.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" filled="f" stroked="f">
                <v:textbox style="mso-fit-shape-to-text:t">
                  <w:txbxContent>
                    <w:p w14:paraId="2091E858" w14:textId="5BA860CA" w:rsidR="00C04CA2" w:rsidRDefault="00C04CA2">
                      <w:r>
                        <w:t>N=61</w:t>
                      </w:r>
                    </w:p>
                  </w:txbxContent>
                </v:textbox>
              </v:shape>
            </w:pict>
          </mc:Fallback>
        </mc:AlternateContent>
      </w:r>
      <w:r w:rsidR="004C4F1D" w:rsidRPr="00BF72D2">
        <w:rPr>
          <w:noProof/>
          <w:color w:val="000000" w:themeColor="text1"/>
          <w:lang w:eastAsia="en-GB"/>
        </w:rPr>
        <w:drawing>
          <wp:inline distT="0" distB="0" distL="0" distR="0" wp14:anchorId="3AD55B2E" wp14:editId="4E85ABC3">
            <wp:extent cx="5731510" cy="3313430"/>
            <wp:effectExtent l="0" t="0" r="0" b="12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70FF0" w:rsidRPr="00BF72D2">
        <w:rPr>
          <w:color w:val="000000" w:themeColor="text1"/>
        </w:rPr>
        <w:br/>
      </w:r>
      <w:r w:rsidR="00470FF0" w:rsidRPr="00BF72D2">
        <w:rPr>
          <w:color w:val="000000" w:themeColor="text1"/>
          <w:sz w:val="18"/>
        </w:rPr>
        <w:t xml:space="preserve">CDF, Cancer Drugs Fund </w:t>
      </w:r>
    </w:p>
    <w:p w14:paraId="0AB87283" w14:textId="6A8C24AC" w:rsidR="00D94121" w:rsidRPr="00BF72D2" w:rsidRDefault="00D94121" w:rsidP="00D94121">
      <w:pPr>
        <w:spacing w:line="480" w:lineRule="auto"/>
        <w:rPr>
          <w:rFonts w:cstheme="minorHAnsi"/>
          <w:color w:val="000000" w:themeColor="text1"/>
        </w:rPr>
      </w:pPr>
      <w:r w:rsidRPr="00BF72D2">
        <w:rPr>
          <w:rFonts w:cstheme="minorHAnsi"/>
          <w:color w:val="000000" w:themeColor="text1"/>
        </w:rPr>
        <w:t xml:space="preserve">Technologies indicated for advanced cancers were less likely to have a negative preliminary decision reversed (OR 0.19, 95% CI 0.067 to 0.56), with 17/32 (53.1%) drugs receiving a negative ACD recommendation going on to be approved, while this was the case for 15/20 (75%) </w:t>
      </w:r>
      <w:r w:rsidR="00C63E4E" w:rsidRPr="00BF72D2">
        <w:rPr>
          <w:rFonts w:cstheme="minorHAnsi"/>
          <w:color w:val="000000" w:themeColor="text1"/>
        </w:rPr>
        <w:t xml:space="preserve">non-advanced </w:t>
      </w:r>
      <w:r w:rsidRPr="00BF72D2">
        <w:rPr>
          <w:rFonts w:cstheme="minorHAnsi"/>
          <w:color w:val="000000" w:themeColor="text1"/>
        </w:rPr>
        <w:t>cancer drugs and 29/32 (90</w:t>
      </w:r>
      <w:r w:rsidR="00C04CA2" w:rsidRPr="00BF72D2">
        <w:rPr>
          <w:rFonts w:cstheme="minorHAnsi"/>
          <w:color w:val="000000" w:themeColor="text1"/>
        </w:rPr>
        <w:t>%) drugs for other indications.</w:t>
      </w:r>
    </w:p>
    <w:p w14:paraId="610DD0D2" w14:textId="2774C05A" w:rsidR="00D94121" w:rsidRPr="00BF72D2" w:rsidRDefault="00D94121" w:rsidP="00D94121">
      <w:pPr>
        <w:spacing w:line="480" w:lineRule="auto"/>
        <w:rPr>
          <w:rFonts w:cstheme="minorHAnsi"/>
          <w:color w:val="000000" w:themeColor="text1"/>
        </w:rPr>
      </w:pPr>
      <w:r w:rsidRPr="00BF72D2">
        <w:rPr>
          <w:rFonts w:cstheme="minorHAnsi"/>
          <w:color w:val="000000" w:themeColor="text1"/>
        </w:rPr>
        <w:t>Patient Access Scheme (PAS) discounts are an important means of improving the likelihood of a positive recommendation. While inclusion of a PAS in the company’s first evidence submission did not affect the likelihood of a positive ACD recommendation; the introduction or enhancement of a PAS following a negative ACD recommendation meant a technology was 4.32 times more likely (95% CI 1.16 to 16.15) to receive a positive final recommendation, increasing to an odds ratio of 6.4 (95% CI 1.57 to 26.31) in cancer drugs. The introduction of a PAS following the ACD was associated with a median 38.7% (IQR 31.8%</w:t>
      </w:r>
      <w:r w:rsidR="00C8080C">
        <w:rPr>
          <w:rFonts w:cstheme="minorHAnsi"/>
          <w:color w:val="000000" w:themeColor="text1"/>
        </w:rPr>
        <w:t xml:space="preserve">, </w:t>
      </w:r>
      <w:r w:rsidR="00354DED">
        <w:rPr>
          <w:rFonts w:cstheme="minorHAnsi"/>
          <w:color w:val="000000" w:themeColor="text1"/>
        </w:rPr>
        <w:t>range 0 – 77.4%</w:t>
      </w:r>
      <w:r w:rsidRPr="00BF72D2">
        <w:rPr>
          <w:rFonts w:cstheme="minorHAnsi"/>
          <w:color w:val="000000" w:themeColor="text1"/>
        </w:rPr>
        <w:t>) reduction in the FAD ICER based on the ERG’s preferred base-case</w:t>
      </w:r>
      <w:r w:rsidR="00071FC4">
        <w:rPr>
          <w:rFonts w:cstheme="minorHAnsi"/>
          <w:color w:val="000000" w:themeColor="text1"/>
        </w:rPr>
        <w:t xml:space="preserve"> for recommended technologies</w:t>
      </w:r>
      <w:r w:rsidRPr="00BF72D2">
        <w:rPr>
          <w:rFonts w:cstheme="minorHAnsi"/>
          <w:color w:val="000000" w:themeColor="text1"/>
        </w:rPr>
        <w:t xml:space="preserve">. </w:t>
      </w:r>
    </w:p>
    <w:p w14:paraId="6A110232" w14:textId="77777777" w:rsidR="00D94121" w:rsidRPr="00BF72D2" w:rsidRDefault="00D94121" w:rsidP="00D94121">
      <w:pPr>
        <w:spacing w:line="480" w:lineRule="auto"/>
        <w:rPr>
          <w:rFonts w:cstheme="minorHAnsi"/>
          <w:color w:val="000000" w:themeColor="text1"/>
        </w:rPr>
      </w:pPr>
      <w:r w:rsidRPr="00BF72D2">
        <w:rPr>
          <w:rFonts w:cstheme="minorHAnsi"/>
          <w:color w:val="000000" w:themeColor="text1"/>
        </w:rPr>
        <w:lastRenderedPageBreak/>
        <w:t xml:space="preserve">The FAD ICER was in excess of the committee’s preferred WTP threshold in 23/24 of the drugs whose negative ACD recommendation was not reversed, with strength of uncertainty alone responsible for only one negative recommendation at FAD. </w:t>
      </w:r>
    </w:p>
    <w:p w14:paraId="298E264F" w14:textId="09ABA505" w:rsidR="00D94121" w:rsidRPr="00BF72D2" w:rsidRDefault="00D57B51" w:rsidP="00D94121">
      <w:pPr>
        <w:spacing w:line="480" w:lineRule="auto"/>
        <w:rPr>
          <w:rFonts w:cstheme="minorHAnsi"/>
          <w:i/>
          <w:color w:val="000000" w:themeColor="text1"/>
        </w:rPr>
      </w:pPr>
      <w:r w:rsidRPr="00BF72D2">
        <w:rPr>
          <w:rFonts w:cstheme="minorHAnsi"/>
          <w:i/>
          <w:color w:val="000000" w:themeColor="text1"/>
        </w:rPr>
        <w:t xml:space="preserve">3.3 </w:t>
      </w:r>
      <w:r w:rsidR="00D94121" w:rsidRPr="00BF72D2">
        <w:rPr>
          <w:rFonts w:cstheme="minorHAnsi"/>
          <w:i/>
          <w:color w:val="000000" w:themeColor="text1"/>
        </w:rPr>
        <w:t xml:space="preserve">The </w:t>
      </w:r>
      <w:r w:rsidR="00300CCA" w:rsidRPr="00BF72D2">
        <w:rPr>
          <w:rFonts w:cstheme="minorHAnsi"/>
          <w:i/>
          <w:color w:val="000000" w:themeColor="text1"/>
        </w:rPr>
        <w:t>impact</w:t>
      </w:r>
      <w:r w:rsidR="00D94121" w:rsidRPr="00BF72D2">
        <w:rPr>
          <w:rFonts w:cstheme="minorHAnsi"/>
          <w:i/>
          <w:color w:val="000000" w:themeColor="text1"/>
        </w:rPr>
        <w:t xml:space="preserve"> of the Cancer Drugs Fund</w:t>
      </w:r>
    </w:p>
    <w:p w14:paraId="4D607EFD" w14:textId="7D08286F" w:rsidR="00215C96" w:rsidRPr="00BF72D2" w:rsidRDefault="00D94121" w:rsidP="00D94121">
      <w:pPr>
        <w:spacing w:line="480" w:lineRule="auto"/>
        <w:rPr>
          <w:rFonts w:cstheme="minorHAnsi"/>
          <w:color w:val="000000" w:themeColor="text1"/>
        </w:rPr>
      </w:pPr>
      <w:r w:rsidRPr="00BF72D2">
        <w:rPr>
          <w:rFonts w:cstheme="minorHAnsi"/>
          <w:color w:val="000000" w:themeColor="text1"/>
        </w:rPr>
        <w:t xml:space="preserve">Following the introduction of the new Cancer Drugs Fund (CDF) in 2016, 19 drugs have been recommended for use within the CDF, </w:t>
      </w:r>
      <w:r w:rsidR="00300CCA" w:rsidRPr="00BF72D2">
        <w:rPr>
          <w:rFonts w:cstheme="minorHAnsi"/>
          <w:color w:val="000000" w:themeColor="text1"/>
        </w:rPr>
        <w:t>a</w:t>
      </w:r>
      <w:r w:rsidRPr="00BF72D2">
        <w:rPr>
          <w:rFonts w:cstheme="minorHAnsi"/>
          <w:color w:val="000000" w:themeColor="text1"/>
        </w:rPr>
        <w:t xml:space="preserve"> mechanism</w:t>
      </w:r>
      <w:r w:rsidR="00300CCA" w:rsidRPr="00BF72D2">
        <w:rPr>
          <w:rFonts w:cstheme="minorHAnsi"/>
          <w:color w:val="000000" w:themeColor="text1"/>
        </w:rPr>
        <w:t xml:space="preserve"> which</w:t>
      </w:r>
      <w:r w:rsidRPr="00BF72D2">
        <w:rPr>
          <w:rFonts w:cstheme="minorHAnsi"/>
          <w:color w:val="000000" w:themeColor="text1"/>
        </w:rPr>
        <w:t xml:space="preserve"> allows uncertainty around the efficacy of a technology to be resolved through a period of data collection. Between 2017 and July 2018, 54% (19/35) of all cancer drug recommendations were through the CDF. In 2017, the mean preferred ICER at FAD for drugs approved in</w:t>
      </w:r>
      <w:r w:rsidR="00D04DC2" w:rsidRPr="00BF72D2">
        <w:rPr>
          <w:rFonts w:cstheme="minorHAnsi"/>
          <w:color w:val="000000" w:themeColor="text1"/>
        </w:rPr>
        <w:t xml:space="preserve"> advanced cancers was £53,887 (</w:t>
      </w:r>
      <w:r w:rsidRPr="00BF72D2">
        <w:rPr>
          <w:rFonts w:cstheme="minorHAnsi"/>
          <w:color w:val="000000" w:themeColor="text1"/>
        </w:rPr>
        <w:t xml:space="preserve">46,849 to 60,925) – slightly above the increased threshold for technologies meeting NICE’s criteria for life extending end-of-life therapies of £50,000. The mean FAD ICER was £41,810 for all other </w:t>
      </w:r>
      <w:r w:rsidR="00C63E4E" w:rsidRPr="00BF72D2">
        <w:rPr>
          <w:rFonts w:cstheme="minorHAnsi"/>
          <w:color w:val="000000" w:themeColor="text1"/>
        </w:rPr>
        <w:t xml:space="preserve">non-advanced </w:t>
      </w:r>
      <w:r w:rsidRPr="00BF72D2">
        <w:rPr>
          <w:rFonts w:cstheme="minorHAnsi"/>
          <w:color w:val="000000" w:themeColor="text1"/>
        </w:rPr>
        <w:t>cancer drugs funded through the CDF.  The mean duration of the Committee appraisal process for cancer drugs increased from 208 days in 2015, to 244 days in 2016, and 275 days in 2017.</w:t>
      </w:r>
    </w:p>
    <w:p w14:paraId="682818DF" w14:textId="77777777" w:rsidR="00215C96" w:rsidRPr="00BF72D2" w:rsidRDefault="00215C96">
      <w:pPr>
        <w:rPr>
          <w:rFonts w:cstheme="minorHAnsi"/>
          <w:color w:val="000000" w:themeColor="text1"/>
        </w:rPr>
      </w:pPr>
      <w:r w:rsidRPr="00BF72D2">
        <w:rPr>
          <w:rFonts w:cstheme="minorHAnsi"/>
          <w:color w:val="000000" w:themeColor="text1"/>
        </w:rPr>
        <w:br w:type="page"/>
      </w:r>
    </w:p>
    <w:p w14:paraId="1954E7EB" w14:textId="18095B95" w:rsidR="005F5611" w:rsidRPr="00BF72D2" w:rsidRDefault="00D57B51" w:rsidP="00232226">
      <w:pPr>
        <w:keepNext/>
        <w:spacing w:line="480" w:lineRule="auto"/>
        <w:rPr>
          <w:rFonts w:cstheme="minorHAnsi"/>
          <w:b/>
          <w:color w:val="000000" w:themeColor="text1"/>
        </w:rPr>
      </w:pPr>
      <w:r w:rsidRPr="00BF72D2">
        <w:rPr>
          <w:rFonts w:cstheme="minorHAnsi"/>
          <w:b/>
          <w:color w:val="000000" w:themeColor="text1"/>
        </w:rPr>
        <w:lastRenderedPageBreak/>
        <w:t xml:space="preserve">4. </w:t>
      </w:r>
      <w:r w:rsidR="005F5611" w:rsidRPr="00BF72D2">
        <w:rPr>
          <w:rFonts w:cstheme="minorHAnsi"/>
          <w:b/>
          <w:color w:val="000000" w:themeColor="text1"/>
        </w:rPr>
        <w:t>Discussion</w:t>
      </w:r>
    </w:p>
    <w:p w14:paraId="2B030D47" w14:textId="2B1443B2" w:rsidR="00844D87" w:rsidRPr="00BF72D2" w:rsidRDefault="00B7253E" w:rsidP="00232226">
      <w:pPr>
        <w:keepNext/>
        <w:spacing w:line="480" w:lineRule="auto"/>
        <w:rPr>
          <w:rFonts w:cstheme="minorHAnsi"/>
          <w:color w:val="000000" w:themeColor="text1"/>
        </w:rPr>
      </w:pPr>
      <w:r w:rsidRPr="00BF72D2">
        <w:rPr>
          <w:rFonts w:cstheme="minorHAnsi"/>
          <w:color w:val="000000" w:themeColor="text1"/>
        </w:rPr>
        <w:t>Not unexpectedly</w:t>
      </w:r>
      <w:r w:rsidR="00AE7B1D" w:rsidRPr="00BF72D2">
        <w:rPr>
          <w:rFonts w:cstheme="minorHAnsi"/>
          <w:color w:val="000000" w:themeColor="text1"/>
        </w:rPr>
        <w:t xml:space="preserve">, the NICE STA process </w:t>
      </w:r>
      <w:r w:rsidRPr="00BF72D2">
        <w:rPr>
          <w:rFonts w:cstheme="minorHAnsi"/>
          <w:color w:val="000000" w:themeColor="text1"/>
        </w:rPr>
        <w:t>works most efficiently</w:t>
      </w:r>
      <w:r w:rsidR="00AE7B1D" w:rsidRPr="00BF72D2">
        <w:rPr>
          <w:rFonts w:cstheme="minorHAnsi"/>
          <w:color w:val="000000" w:themeColor="text1"/>
        </w:rPr>
        <w:t xml:space="preserve"> when appraising technologies with well-c</w:t>
      </w:r>
      <w:r w:rsidRPr="00BF72D2">
        <w:rPr>
          <w:rFonts w:cstheme="minorHAnsi"/>
          <w:color w:val="000000" w:themeColor="text1"/>
        </w:rPr>
        <w:t xml:space="preserve">haracterised efficacy profiles, </w:t>
      </w:r>
      <w:r w:rsidR="00AE7B1D" w:rsidRPr="00BF72D2">
        <w:rPr>
          <w:rFonts w:cstheme="minorHAnsi"/>
          <w:color w:val="000000" w:themeColor="text1"/>
        </w:rPr>
        <w:t>priced well below NICE’</w:t>
      </w:r>
      <w:r w:rsidR="002C6E79" w:rsidRPr="00BF72D2">
        <w:rPr>
          <w:rFonts w:cstheme="minorHAnsi"/>
          <w:color w:val="000000" w:themeColor="text1"/>
        </w:rPr>
        <w:t>s willingness-to-pay threshold</w:t>
      </w:r>
      <w:r w:rsidR="00283E2E" w:rsidRPr="00BF72D2">
        <w:rPr>
          <w:rFonts w:cstheme="minorHAnsi"/>
          <w:color w:val="000000" w:themeColor="text1"/>
        </w:rPr>
        <w:t>s</w:t>
      </w:r>
      <w:r w:rsidR="00AE7B1D" w:rsidRPr="00BF72D2">
        <w:rPr>
          <w:rFonts w:cstheme="minorHAnsi"/>
          <w:color w:val="000000" w:themeColor="text1"/>
        </w:rPr>
        <w:t xml:space="preserve">. </w:t>
      </w:r>
      <w:r w:rsidRPr="00BF72D2">
        <w:rPr>
          <w:rFonts w:cstheme="minorHAnsi"/>
          <w:color w:val="000000" w:themeColor="text1"/>
        </w:rPr>
        <w:t>Unfortunately, the distribution of such technologies is inequitable</w:t>
      </w:r>
      <w:r w:rsidR="002C6E79" w:rsidRPr="00BF72D2">
        <w:rPr>
          <w:rFonts w:cstheme="minorHAnsi"/>
          <w:color w:val="000000" w:themeColor="text1"/>
        </w:rPr>
        <w:t xml:space="preserve"> across disease areas</w:t>
      </w:r>
      <w:r w:rsidRPr="00BF72D2">
        <w:rPr>
          <w:rFonts w:cstheme="minorHAnsi"/>
          <w:color w:val="000000" w:themeColor="text1"/>
        </w:rPr>
        <w:t xml:space="preserve">, with the greater cost and uncertainty associated with drugs indicated for </w:t>
      </w:r>
      <w:r w:rsidR="002D65FB">
        <w:rPr>
          <w:rFonts w:cstheme="minorHAnsi"/>
          <w:color w:val="000000" w:themeColor="text1"/>
        </w:rPr>
        <w:t xml:space="preserve">cancer (particularly </w:t>
      </w:r>
      <w:r w:rsidRPr="00BF72D2">
        <w:rPr>
          <w:rFonts w:cstheme="minorHAnsi"/>
          <w:color w:val="000000" w:themeColor="text1"/>
        </w:rPr>
        <w:t xml:space="preserve">advanced </w:t>
      </w:r>
      <w:r w:rsidR="002D65FB">
        <w:rPr>
          <w:rFonts w:cstheme="minorHAnsi"/>
          <w:color w:val="000000" w:themeColor="text1"/>
        </w:rPr>
        <w:t>forms)</w:t>
      </w:r>
      <w:r w:rsidR="002D65FB" w:rsidRPr="00BF72D2">
        <w:rPr>
          <w:rFonts w:cstheme="minorHAnsi"/>
          <w:color w:val="000000" w:themeColor="text1"/>
        </w:rPr>
        <w:t xml:space="preserve"> </w:t>
      </w:r>
      <w:r w:rsidRPr="00BF72D2">
        <w:rPr>
          <w:rFonts w:cstheme="minorHAnsi"/>
          <w:color w:val="000000" w:themeColor="text1"/>
        </w:rPr>
        <w:t xml:space="preserve">leading to slower, and more </w:t>
      </w:r>
      <w:r w:rsidR="002C6E79" w:rsidRPr="00BF72D2">
        <w:rPr>
          <w:rFonts w:cstheme="minorHAnsi"/>
          <w:color w:val="000000" w:themeColor="text1"/>
        </w:rPr>
        <w:t>commonly</w:t>
      </w:r>
      <w:r w:rsidRPr="00BF72D2">
        <w:rPr>
          <w:rFonts w:cstheme="minorHAnsi"/>
          <w:color w:val="000000" w:themeColor="text1"/>
        </w:rPr>
        <w:t xml:space="preserve"> negative </w:t>
      </w:r>
      <w:r w:rsidR="00835F33" w:rsidRPr="00BF72D2">
        <w:rPr>
          <w:rFonts w:cstheme="minorHAnsi"/>
          <w:color w:val="000000" w:themeColor="text1"/>
        </w:rPr>
        <w:t xml:space="preserve">final </w:t>
      </w:r>
      <w:r w:rsidRPr="00BF72D2">
        <w:rPr>
          <w:rFonts w:cstheme="minorHAnsi"/>
          <w:color w:val="000000" w:themeColor="text1"/>
        </w:rPr>
        <w:t>decisions.</w:t>
      </w:r>
      <w:r w:rsidR="00835F33" w:rsidRPr="00BF72D2">
        <w:rPr>
          <w:rFonts w:cstheme="minorHAnsi"/>
          <w:color w:val="000000" w:themeColor="text1"/>
        </w:rPr>
        <w:t xml:space="preserve"> This review identified the outcome</w:t>
      </w:r>
      <w:r w:rsidR="002C6E79" w:rsidRPr="00BF72D2">
        <w:rPr>
          <w:rFonts w:cstheme="minorHAnsi"/>
          <w:color w:val="000000" w:themeColor="text1"/>
        </w:rPr>
        <w:t xml:space="preserve"> and decision determinants</w:t>
      </w:r>
      <w:r w:rsidR="00835F33" w:rsidRPr="00BF72D2">
        <w:rPr>
          <w:rFonts w:cstheme="minorHAnsi"/>
          <w:color w:val="000000" w:themeColor="text1"/>
        </w:rPr>
        <w:t xml:space="preserve"> of the first appraisal committee meeting </w:t>
      </w:r>
      <w:r w:rsidR="002C6E79" w:rsidRPr="00BF72D2">
        <w:rPr>
          <w:rFonts w:cstheme="minorHAnsi"/>
          <w:color w:val="000000" w:themeColor="text1"/>
        </w:rPr>
        <w:t xml:space="preserve">as the best indicator of the obstacles to decision-making faced by the appraisal committees, and the evidence provided in the subsequent consultation documents and FAD was used to understand how these were overcome. </w:t>
      </w:r>
    </w:p>
    <w:p w14:paraId="12AE4E1A" w14:textId="77777777" w:rsidR="00E61541" w:rsidRPr="00BF72D2" w:rsidRDefault="005F5611" w:rsidP="005F5611">
      <w:pPr>
        <w:spacing w:line="480" w:lineRule="auto"/>
        <w:rPr>
          <w:rFonts w:cstheme="minorHAnsi"/>
          <w:color w:val="000000" w:themeColor="text1"/>
        </w:rPr>
      </w:pPr>
      <w:r w:rsidRPr="00BF72D2">
        <w:rPr>
          <w:rFonts w:cstheme="minorHAnsi"/>
          <w:color w:val="000000" w:themeColor="text1"/>
        </w:rPr>
        <w:t xml:space="preserve">The results </w:t>
      </w:r>
      <w:r w:rsidR="001964BE" w:rsidRPr="00BF72D2">
        <w:rPr>
          <w:rFonts w:cstheme="minorHAnsi"/>
          <w:color w:val="000000" w:themeColor="text1"/>
        </w:rPr>
        <w:t>of this analysis demonstrate</w:t>
      </w:r>
      <w:r w:rsidRPr="00BF72D2">
        <w:rPr>
          <w:rFonts w:cstheme="minorHAnsi"/>
          <w:color w:val="000000" w:themeColor="text1"/>
        </w:rPr>
        <w:t xml:space="preserve"> that the most consistently cited </w:t>
      </w:r>
      <w:r w:rsidR="004132B9" w:rsidRPr="00BF72D2">
        <w:rPr>
          <w:rFonts w:cstheme="minorHAnsi"/>
          <w:color w:val="000000" w:themeColor="text1"/>
        </w:rPr>
        <w:t xml:space="preserve">decision factor </w:t>
      </w:r>
      <w:r w:rsidRPr="00BF72D2">
        <w:rPr>
          <w:rFonts w:cstheme="minorHAnsi"/>
          <w:color w:val="000000" w:themeColor="text1"/>
        </w:rPr>
        <w:t>in NICE’s negative provisional decisions</w:t>
      </w:r>
      <w:r w:rsidR="004132B9" w:rsidRPr="00BF72D2">
        <w:rPr>
          <w:rFonts w:cstheme="minorHAnsi"/>
          <w:color w:val="000000" w:themeColor="text1"/>
        </w:rPr>
        <w:t>, and therefore the most significant barrier to</w:t>
      </w:r>
      <w:r w:rsidR="00F549C5" w:rsidRPr="00BF72D2">
        <w:rPr>
          <w:rFonts w:cstheme="minorHAnsi"/>
          <w:color w:val="000000" w:themeColor="text1"/>
        </w:rPr>
        <w:t xml:space="preserve"> rapid decision making is cost</w:t>
      </w:r>
      <w:r w:rsidR="0000142B" w:rsidRPr="00BF72D2">
        <w:rPr>
          <w:rFonts w:cstheme="minorHAnsi"/>
          <w:color w:val="000000" w:themeColor="text1"/>
        </w:rPr>
        <w:t>-effectiveness</w:t>
      </w:r>
      <w:r w:rsidR="00F549C5" w:rsidRPr="00BF72D2">
        <w:rPr>
          <w:rFonts w:cstheme="minorHAnsi"/>
          <w:color w:val="000000" w:themeColor="text1"/>
        </w:rPr>
        <w:t xml:space="preserve">; strongly supportive of </w:t>
      </w:r>
      <w:r w:rsidR="00CA3939" w:rsidRPr="00BF72D2">
        <w:rPr>
          <w:rFonts w:cstheme="minorHAnsi"/>
          <w:color w:val="000000" w:themeColor="text1"/>
        </w:rPr>
        <w:t>earlier</w:t>
      </w:r>
      <w:r w:rsidR="00F549C5" w:rsidRPr="00BF72D2">
        <w:rPr>
          <w:rFonts w:cstheme="minorHAnsi"/>
          <w:color w:val="000000" w:themeColor="text1"/>
        </w:rPr>
        <w:t xml:space="preserve"> </w:t>
      </w:r>
      <w:r w:rsidR="00CA3939" w:rsidRPr="00BF72D2">
        <w:rPr>
          <w:rFonts w:cstheme="minorHAnsi"/>
          <w:color w:val="000000" w:themeColor="text1"/>
        </w:rPr>
        <w:t>reviews</w:t>
      </w:r>
      <w:r w:rsidR="00F549C5" w:rsidRPr="00BF72D2">
        <w:rPr>
          <w:rFonts w:cstheme="minorHAnsi"/>
          <w:color w:val="000000" w:themeColor="text1"/>
        </w:rPr>
        <w:t xml:space="preserve"> </w:t>
      </w:r>
      <w:r w:rsidR="00CA3939" w:rsidRPr="00BF72D2">
        <w:rPr>
          <w:rFonts w:cstheme="minorHAnsi"/>
          <w:color w:val="000000" w:themeColor="text1"/>
        </w:rPr>
        <w:t>of NICE</w:t>
      </w:r>
      <w:r w:rsidR="00E37B0F" w:rsidRPr="00BF72D2">
        <w:rPr>
          <w:rFonts w:cstheme="minorHAnsi"/>
          <w:color w:val="000000" w:themeColor="text1"/>
        </w:rPr>
        <w:t>’s</w:t>
      </w:r>
      <w:r w:rsidR="00CA3939" w:rsidRPr="00BF72D2">
        <w:rPr>
          <w:rFonts w:cstheme="minorHAnsi"/>
          <w:color w:val="000000" w:themeColor="text1"/>
        </w:rPr>
        <w:t xml:space="preserve"> decision-making</w:t>
      </w:r>
      <w:r w:rsidR="00E37B0F" w:rsidRPr="00BF72D2">
        <w:rPr>
          <w:rFonts w:cstheme="minorHAnsi"/>
          <w:color w:val="000000" w:themeColor="text1"/>
        </w:rPr>
        <w:t xml:space="preserve"> processes</w:t>
      </w:r>
      <w:r w:rsidR="00CA3939" w:rsidRPr="00BF72D2">
        <w:rPr>
          <w:rFonts w:cstheme="minorHAnsi"/>
          <w:color w:val="000000" w:themeColor="text1"/>
        </w:rPr>
        <w:t xml:space="preserve"> </w:t>
      </w:r>
      <w:r w:rsidR="00CA3939" w:rsidRPr="00BF72D2">
        <w:rPr>
          <w:rFonts w:cstheme="minorHAnsi"/>
          <w:color w:val="000000" w:themeColor="text1"/>
        </w:rPr>
        <w:fldChar w:fldCharType="begin">
          <w:fldData xml:space="preserve">PEVuZE5vdGU+PENpdGU+PEF1dGhvcj5DZXJyaTwvQXV0aG9yPjxZZWFyPjIwMTQ8L1llYXI+PFJl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</w:fldData>
        </w:fldChar>
      </w:r>
      <w:r w:rsidR="009D7764" w:rsidRPr="00BF72D2">
        <w:rPr>
          <w:rFonts w:cstheme="minorHAnsi"/>
          <w:color w:val="000000" w:themeColor="text1"/>
        </w:rPr>
        <w:instrText xml:space="preserve"> ADDIN EN.CITE </w:instrText>
      </w:r>
      <w:r w:rsidR="009D7764" w:rsidRPr="00BF72D2">
        <w:rPr>
          <w:rFonts w:cstheme="minorHAnsi"/>
          <w:color w:val="000000" w:themeColor="text1"/>
        </w:rPr>
        <w:fldChar w:fldCharType="begin">
          <w:fldData xml:space="preserve">PEVuZE5vdGU+PENpdGU+PEF1dGhvcj5DZXJyaTwvQXV0aG9yPjxZZWFyPjIwMTQ8L1llYXI+PFJl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</w:fldData>
        </w:fldChar>
      </w:r>
      <w:r w:rsidR="009D7764" w:rsidRPr="00BF72D2">
        <w:rPr>
          <w:rFonts w:cstheme="minorHAnsi"/>
          <w:color w:val="000000" w:themeColor="text1"/>
        </w:rPr>
        <w:instrText xml:space="preserve"> ADDIN EN.CITE.DATA </w:instrText>
      </w:r>
      <w:r w:rsidR="009D7764" w:rsidRPr="00BF72D2">
        <w:rPr>
          <w:rFonts w:cstheme="minorHAnsi"/>
          <w:color w:val="000000" w:themeColor="text1"/>
        </w:rPr>
      </w:r>
      <w:r w:rsidR="009D7764" w:rsidRPr="00BF72D2">
        <w:rPr>
          <w:rFonts w:cstheme="minorHAnsi"/>
          <w:color w:val="000000" w:themeColor="text1"/>
        </w:rPr>
        <w:fldChar w:fldCharType="end"/>
      </w:r>
      <w:r w:rsidR="00CA3939" w:rsidRPr="00BF72D2">
        <w:rPr>
          <w:rFonts w:cstheme="minorHAnsi"/>
          <w:color w:val="000000" w:themeColor="text1"/>
        </w:rPr>
      </w:r>
      <w:r w:rsidR="00CA3939" w:rsidRPr="00BF72D2">
        <w:rPr>
          <w:rFonts w:cstheme="minorHAnsi"/>
          <w:color w:val="000000" w:themeColor="text1"/>
        </w:rPr>
        <w:fldChar w:fldCharType="separate"/>
      </w:r>
      <w:r w:rsidR="009D7764" w:rsidRPr="00BF72D2">
        <w:rPr>
          <w:rFonts w:cstheme="minorHAnsi"/>
          <w:noProof/>
          <w:color w:val="000000" w:themeColor="text1"/>
        </w:rPr>
        <w:t>[8, 9]</w:t>
      </w:r>
      <w:r w:rsidR="00CA3939" w:rsidRPr="00BF72D2">
        <w:rPr>
          <w:rFonts w:cstheme="minorHAnsi"/>
          <w:color w:val="000000" w:themeColor="text1"/>
        </w:rPr>
        <w:fldChar w:fldCharType="end"/>
      </w:r>
      <w:r w:rsidR="00F549C5" w:rsidRPr="00BF72D2">
        <w:rPr>
          <w:rFonts w:cstheme="minorHAnsi"/>
          <w:color w:val="000000" w:themeColor="text1"/>
        </w:rPr>
        <w:t xml:space="preserve"> </w:t>
      </w:r>
      <w:r w:rsidR="004132B9" w:rsidRPr="00BF72D2">
        <w:rPr>
          <w:rFonts w:cstheme="minorHAnsi"/>
          <w:color w:val="000000" w:themeColor="text1"/>
        </w:rPr>
        <w:t xml:space="preserve">This appears to originate </w:t>
      </w:r>
      <w:r w:rsidRPr="00BF72D2">
        <w:rPr>
          <w:rFonts w:cstheme="minorHAnsi"/>
          <w:color w:val="000000" w:themeColor="text1"/>
        </w:rPr>
        <w:t xml:space="preserve">from consistent </w:t>
      </w:r>
      <w:r w:rsidR="004132B9" w:rsidRPr="00BF72D2">
        <w:rPr>
          <w:rFonts w:cstheme="minorHAnsi"/>
          <w:color w:val="000000" w:themeColor="text1"/>
        </w:rPr>
        <w:t>mischaracterisation</w:t>
      </w:r>
      <w:r w:rsidRPr="00BF72D2">
        <w:rPr>
          <w:rFonts w:cstheme="minorHAnsi"/>
          <w:color w:val="000000" w:themeColor="text1"/>
        </w:rPr>
        <w:t xml:space="preserve"> of a technology’s </w:t>
      </w:r>
      <w:r w:rsidR="001964BE" w:rsidRPr="00BF72D2">
        <w:rPr>
          <w:rFonts w:cstheme="minorHAnsi"/>
          <w:color w:val="000000" w:themeColor="text1"/>
        </w:rPr>
        <w:t xml:space="preserve">value and </w:t>
      </w:r>
      <w:r w:rsidR="004132B9" w:rsidRPr="00BF72D2">
        <w:rPr>
          <w:rFonts w:cstheme="minorHAnsi"/>
          <w:color w:val="000000" w:themeColor="text1"/>
        </w:rPr>
        <w:t xml:space="preserve">effectiveness </w:t>
      </w:r>
      <w:r w:rsidRPr="00BF72D2">
        <w:rPr>
          <w:rFonts w:cstheme="minorHAnsi"/>
          <w:color w:val="000000" w:themeColor="text1"/>
        </w:rPr>
        <w:t>by manufacturers</w:t>
      </w:r>
      <w:r w:rsidR="004132B9" w:rsidRPr="00BF72D2">
        <w:rPr>
          <w:rFonts w:cstheme="minorHAnsi"/>
          <w:color w:val="000000" w:themeColor="text1"/>
        </w:rPr>
        <w:t>, leading to uncertainty or doubt surrounding its cost-effectiveness following independent academic review</w:t>
      </w:r>
      <w:r w:rsidRPr="00BF72D2">
        <w:rPr>
          <w:rFonts w:cstheme="minorHAnsi"/>
          <w:color w:val="000000" w:themeColor="text1"/>
        </w:rPr>
        <w:t>.</w:t>
      </w:r>
      <w:r w:rsidR="005F754C" w:rsidRPr="00BF72D2">
        <w:rPr>
          <w:rFonts w:cstheme="minorHAnsi"/>
          <w:color w:val="000000" w:themeColor="text1"/>
        </w:rPr>
        <w:t xml:space="preserve"> </w:t>
      </w:r>
    </w:p>
    <w:p w14:paraId="213B81AD" w14:textId="5AE5D00E" w:rsidR="00DE707D" w:rsidRPr="00BF72D2" w:rsidRDefault="005F754C" w:rsidP="007C081F">
      <w:pPr>
        <w:spacing w:line="480" w:lineRule="auto"/>
        <w:rPr>
          <w:rFonts w:cstheme="minorHAnsi"/>
          <w:color w:val="000000" w:themeColor="text1"/>
        </w:rPr>
      </w:pPr>
      <w:r w:rsidRPr="00BF72D2">
        <w:rPr>
          <w:rFonts w:cstheme="minorHAnsi"/>
          <w:color w:val="000000" w:themeColor="text1"/>
        </w:rPr>
        <w:t>The issues preventing a positive decision cited in the appraisal consultation documents were satisfactorily resolved in the vast majority of cases, principally through decision optimisation, and the introduction or enhancement of commercial offers.</w:t>
      </w:r>
      <w:r w:rsidR="005F5611" w:rsidRPr="00BF72D2">
        <w:rPr>
          <w:rFonts w:cstheme="minorHAnsi"/>
          <w:color w:val="000000" w:themeColor="text1"/>
        </w:rPr>
        <w:t xml:space="preserve"> </w:t>
      </w:r>
      <w:bookmarkStart w:id="16" w:name="_Hlk530150952"/>
      <w:r w:rsidR="00C261AC" w:rsidRPr="00BF72D2">
        <w:rPr>
          <w:rFonts w:cstheme="minorHAnsi"/>
          <w:color w:val="000000" w:themeColor="text1"/>
        </w:rPr>
        <w:t xml:space="preserve">The recently introduced changes to the STA processes, namely the technical engagement step, may facilitate </w:t>
      </w:r>
      <w:r w:rsidRPr="00BF72D2">
        <w:rPr>
          <w:rFonts w:cstheme="minorHAnsi"/>
          <w:color w:val="000000" w:themeColor="text1"/>
        </w:rPr>
        <w:t>earlier communication regarding the</w:t>
      </w:r>
      <w:r w:rsidR="004401ED" w:rsidRPr="00BF72D2">
        <w:rPr>
          <w:rFonts w:cstheme="minorHAnsi"/>
          <w:color w:val="000000" w:themeColor="text1"/>
        </w:rPr>
        <w:t xml:space="preserve"> committee’s</w:t>
      </w:r>
      <w:r w:rsidRPr="00BF72D2">
        <w:rPr>
          <w:rFonts w:cstheme="minorHAnsi"/>
          <w:color w:val="000000" w:themeColor="text1"/>
        </w:rPr>
        <w:t xml:space="preserve"> requirements and preferences</w:t>
      </w:r>
      <w:r w:rsidR="00C261AC" w:rsidRPr="00BF72D2">
        <w:rPr>
          <w:rFonts w:cstheme="minorHAnsi"/>
          <w:color w:val="000000" w:themeColor="text1"/>
        </w:rPr>
        <w:t xml:space="preserve">. </w:t>
      </w:r>
      <w:r w:rsidR="0083004E" w:rsidRPr="00BF72D2">
        <w:rPr>
          <w:rFonts w:cstheme="minorHAnsi"/>
          <w:color w:val="000000" w:themeColor="text1"/>
        </w:rPr>
        <w:t xml:space="preserve">If implemented effectively, this could help resolve key issues prior to the first committee </w:t>
      </w:r>
      <w:r w:rsidR="00BF72D2" w:rsidRPr="00BF72D2">
        <w:rPr>
          <w:rFonts w:cstheme="minorHAnsi"/>
          <w:color w:val="000000" w:themeColor="text1"/>
        </w:rPr>
        <w:t>meeting and</w:t>
      </w:r>
      <w:r w:rsidR="0083004E" w:rsidRPr="00BF72D2">
        <w:rPr>
          <w:rFonts w:cstheme="minorHAnsi"/>
          <w:color w:val="000000" w:themeColor="text1"/>
        </w:rPr>
        <w:t xml:space="preserve"> focus discussion on the key issues. If the number of negative preliminary decisions could be reduced, a significant reduction in the time taken to produce final guidance, and thus patient access to treatment, could be achieved. </w:t>
      </w:r>
    </w:p>
    <w:p w14:paraId="10D69381" w14:textId="02EA7F33" w:rsidR="007C081F" w:rsidRPr="00BF72D2" w:rsidRDefault="007C081F" w:rsidP="007C081F">
      <w:pPr>
        <w:spacing w:line="480" w:lineRule="auto"/>
        <w:rPr>
          <w:rFonts w:cstheme="minorHAnsi"/>
          <w:color w:val="000000" w:themeColor="text1"/>
        </w:rPr>
      </w:pPr>
      <w:bookmarkStart w:id="17" w:name="_Hlk530150977"/>
      <w:bookmarkEnd w:id="16"/>
      <w:r w:rsidRPr="00BF72D2">
        <w:rPr>
          <w:rFonts w:cstheme="minorHAnsi"/>
          <w:color w:val="000000" w:themeColor="text1"/>
        </w:rPr>
        <w:lastRenderedPageBreak/>
        <w:t xml:space="preserve">However, it is unlikely that a resolution to the majority of issues raised by the ERG and NICE would be achieved through the </w:t>
      </w:r>
      <w:r w:rsidR="00C261AC" w:rsidRPr="00BF72D2">
        <w:rPr>
          <w:rFonts w:cstheme="minorHAnsi"/>
          <w:color w:val="000000" w:themeColor="text1"/>
        </w:rPr>
        <w:t>technical engagement</w:t>
      </w:r>
      <w:r w:rsidRPr="00BF72D2">
        <w:rPr>
          <w:rFonts w:cstheme="minorHAnsi"/>
          <w:color w:val="000000" w:themeColor="text1"/>
        </w:rPr>
        <w:t xml:space="preserve"> step as currently implemented. As a strategic player, manufacturers are unlikely to pre-emptively reduce their price to increase the likelihood of an early approval, or re-focus their submission on a more cost-effective subgroup. At this stage in the appraisal there is no ‘correct’ cost-effectiveness estimate or set of preferred assumptions, and there is no guarantee that the committee will favour those proposed by the ERG. Therefore, a company has little to lose by maintaining their position and arguing against the validity of the ERG’s analysis, rather than acting against their own interests by way of discounts. Furthermore, it is the prerogative of the committee alone to make considerations on the equitability of decision optimisation – i.e. placing restrictions upon the access to a drug for particular patient groups; and it is natural for companies to seek to market their product to the entire population covered under the license. Where the committee is minded to approve a technology in more cost-effective subgroups, or where the suitability of a technology for routine commissioning is under consideration (i.e. possible use of the CDF), it is highly likely further meetings will be required regardless of recent process changes.</w:t>
      </w:r>
      <w:bookmarkEnd w:id="17"/>
    </w:p>
    <w:p w14:paraId="23449150" w14:textId="77777777" w:rsidR="00DE707D" w:rsidRPr="00BF72D2" w:rsidRDefault="00DE707D" w:rsidP="00DE707D">
      <w:pPr>
        <w:spacing w:line="480" w:lineRule="auto"/>
        <w:rPr>
          <w:rFonts w:cstheme="minorHAnsi"/>
          <w:color w:val="000000" w:themeColor="text1"/>
        </w:rPr>
      </w:pPr>
      <w:bookmarkStart w:id="18" w:name="_Hlk530150992"/>
      <w:r w:rsidRPr="00BF72D2">
        <w:rPr>
          <w:rFonts w:cstheme="minorHAnsi"/>
          <w:color w:val="000000" w:themeColor="text1"/>
        </w:rPr>
        <w:t>In 38% of reversed negative preliminary decisions, the basis upon which the committee changed their decision was the introduction or enhancement of a PAS discount, which sufficiently reduced the ICER to below the WTP threshold. In these cases, the new powers of committee chairs to recommend a technology when cost is the only concern may yield a substantial reduction in unnecessary meetings.</w:t>
      </w:r>
    </w:p>
    <w:bookmarkEnd w:id="18"/>
    <w:p w14:paraId="02E1DEE1" w14:textId="55B8BE78" w:rsidR="005F5611" w:rsidRPr="00BF72D2" w:rsidRDefault="005F5611" w:rsidP="005F5611">
      <w:pPr>
        <w:spacing w:line="480" w:lineRule="auto"/>
        <w:rPr>
          <w:rFonts w:cstheme="minorHAnsi"/>
          <w:color w:val="000000" w:themeColor="text1"/>
        </w:rPr>
      </w:pPr>
      <w:r w:rsidRPr="00BF72D2">
        <w:rPr>
          <w:rFonts w:cstheme="minorHAnsi"/>
          <w:color w:val="000000" w:themeColor="text1"/>
        </w:rPr>
        <w:t xml:space="preserve">Historically, technologies indicated for cancers, and particularly advanced cancers, have been less successful in gaining approval from NICE than those for other indications. The Cancer Drugs Fund was reformed in 2016 in an attempt to curb the approval of highly cost-ineffective treatments in light of rapidly escalating costs, which stood at £416m in 2014, an increase of £185m on the previous year </w:t>
      </w:r>
      <w:r w:rsidRPr="00BF72D2">
        <w:rPr>
          <w:rFonts w:cstheme="minorHAnsi"/>
          <w:color w:val="000000" w:themeColor="text1"/>
        </w:rPr>
        <w:fldChar w:fldCharType="begin"/>
      </w:r>
      <w:r w:rsidR="009D7764" w:rsidRPr="00BF72D2">
        <w:rPr>
          <w:rFonts w:cstheme="minorHAnsi"/>
          <w:color w:val="000000" w:themeColor="text1"/>
        </w:rPr>
        <w:instrText xml:space="preserve"> ADDIN EN.CITE &lt;EndNote&gt;&lt;Cite&gt;&lt;Author&gt;Office&lt;/Author&gt;&lt;Year&gt;2015&lt;/Year&gt;&lt;RecNum&gt;3&lt;/RecNum&gt;&lt;DisplayText&gt;[10]&lt;/DisplayText&gt;&lt;record&gt;&lt;rec-number&gt;3&lt;/rec-number&gt;&lt;foreign-keys&gt;&lt;key app="EN" db-id="5rwap9w0xt9zppefx0k5f554daxwppexp2xx" timestamp="1533206625"&gt;3&lt;/key&gt;&lt;/foreign-keys&gt;&lt;ref-type name="Report"&gt;27&lt;/ref-type&gt;&lt;contributors&gt;&lt;authors&gt;&lt;author&gt;National Audit Office&lt;/author&gt;&lt;/authors&gt;&lt;/contributors&gt;&lt;titles&gt;&lt;title&gt;Investigation into the Cancer Drugs Fund&lt;/title&gt;&lt;/titles&gt;&lt;dates&gt;&lt;year&gt;2015&lt;/year&gt;&lt;/dates&gt;&lt;publisher&gt;National Audit Office&lt;/publisher&gt;&lt;urls&gt;&lt;/urls&gt;&lt;/record&gt;&lt;/Cite&gt;&lt;/EndNote&gt;</w:instrText>
      </w:r>
      <w:r w:rsidRPr="00BF72D2">
        <w:rPr>
          <w:rFonts w:cstheme="minorHAnsi"/>
          <w:color w:val="000000" w:themeColor="text1"/>
        </w:rPr>
        <w:fldChar w:fldCharType="separate"/>
      </w:r>
      <w:r w:rsidR="009D7764" w:rsidRPr="00BF72D2">
        <w:rPr>
          <w:rFonts w:cstheme="minorHAnsi"/>
          <w:noProof/>
          <w:color w:val="000000" w:themeColor="text1"/>
        </w:rPr>
        <w:t>[10]</w:t>
      </w:r>
      <w:r w:rsidRPr="00BF72D2">
        <w:rPr>
          <w:rFonts w:cstheme="minorHAnsi"/>
          <w:color w:val="000000" w:themeColor="text1"/>
        </w:rPr>
        <w:fldChar w:fldCharType="end"/>
      </w:r>
      <w:r w:rsidRPr="00BF72D2">
        <w:rPr>
          <w:rFonts w:cstheme="minorHAnsi"/>
          <w:color w:val="000000" w:themeColor="text1"/>
        </w:rPr>
        <w:t xml:space="preserve">. The CDF is now limited to drugs which have plausible potential to satisfy the criteria for </w:t>
      </w:r>
      <w:r w:rsidRPr="00BF72D2">
        <w:rPr>
          <w:rFonts w:cstheme="minorHAnsi"/>
          <w:color w:val="000000" w:themeColor="text1"/>
        </w:rPr>
        <w:lastRenderedPageBreak/>
        <w:t xml:space="preserve">routine commissioning </w:t>
      </w:r>
      <w:r w:rsidRPr="00BF72D2">
        <w:rPr>
          <w:rFonts w:cstheme="minorHAnsi"/>
          <w:color w:val="000000" w:themeColor="text1"/>
        </w:rPr>
        <w:fldChar w:fldCharType="begin"/>
      </w:r>
      <w:r w:rsidR="009D7764" w:rsidRPr="00BF72D2">
        <w:rPr>
          <w:rFonts w:cstheme="minorHAnsi"/>
          <w:color w:val="000000" w:themeColor="text1"/>
        </w:rPr>
        <w:instrText xml:space="preserve"> ADDIN EN.CITE &lt;EndNote&gt;&lt;Cite&gt;&lt;Author&gt;Team&lt;/Author&gt;&lt;Year&gt;2016&lt;/Year&gt;&lt;RecNum&gt;5&lt;/RecNum&gt;&lt;DisplayText&gt;[11]&lt;/DisplayText&gt;&lt;record&gt;&lt;rec-number&gt;5&lt;/rec-number&gt;&lt;foreign-keys&gt;&lt;key app="EN" db-id="5rwap9w0xt9zppefx0k5f554daxwppexp2xx" timestamp="1533207934"&gt;5&lt;/key&gt;&lt;/foreign-keys&gt;&lt;ref-type name="Report"&gt;27&lt;/ref-type&gt;&lt;contributors&gt;&lt;authors&gt;&lt;author&gt;NHS England Cancer Drugs Fund Team&lt;/author&gt;&lt;/authors&gt;&lt;/contributors&gt;&lt;titles&gt;&lt;title&gt;Appraisal and Funding of Cancer Drugs from July 2016 (including the new Cancer Drugs Fund) - A new deal for patients, taxpayers and industry&lt;/title&gt;&lt;/titles&gt;&lt;dates&gt;&lt;year&gt;2016&lt;/year&gt;&lt;/dates&gt;&lt;pub-location&gt;London&lt;/pub-location&gt;&lt;publisher&gt;NHS England&lt;/publisher&gt;&lt;urls&gt;&lt;/urls&gt;&lt;/record&gt;&lt;/Cite&gt;&lt;/EndNote&gt;</w:instrText>
      </w:r>
      <w:r w:rsidRPr="00BF72D2">
        <w:rPr>
          <w:rFonts w:cstheme="minorHAnsi"/>
          <w:color w:val="000000" w:themeColor="text1"/>
        </w:rPr>
        <w:fldChar w:fldCharType="separate"/>
      </w:r>
      <w:r w:rsidR="009D7764" w:rsidRPr="00BF72D2">
        <w:rPr>
          <w:rFonts w:cstheme="minorHAnsi"/>
          <w:noProof/>
          <w:color w:val="000000" w:themeColor="text1"/>
        </w:rPr>
        <w:t>[11]</w:t>
      </w:r>
      <w:r w:rsidRPr="00BF72D2">
        <w:rPr>
          <w:rFonts w:cstheme="minorHAnsi"/>
          <w:color w:val="000000" w:themeColor="text1"/>
        </w:rPr>
        <w:fldChar w:fldCharType="end"/>
      </w:r>
      <w:r w:rsidRPr="00BF72D2">
        <w:rPr>
          <w:rFonts w:cstheme="minorHAnsi"/>
          <w:color w:val="000000" w:themeColor="text1"/>
        </w:rPr>
        <w:t>, but around which there is significant remaining clinical uncertainty, typically due to immature trial data</w:t>
      </w:r>
      <w:r w:rsidR="00D04DC2" w:rsidRPr="00BF72D2">
        <w:rPr>
          <w:rFonts w:cstheme="minorHAnsi"/>
          <w:color w:val="000000" w:themeColor="text1"/>
        </w:rPr>
        <w:t>, which could be resolved through ongoing data collection</w:t>
      </w:r>
      <w:r w:rsidRPr="00BF72D2">
        <w:rPr>
          <w:rFonts w:cstheme="minorHAnsi"/>
          <w:color w:val="000000" w:themeColor="text1"/>
        </w:rPr>
        <w:t xml:space="preserve">. However, the application of the concept of ‘plausible potential’ </w:t>
      </w:r>
      <w:r w:rsidR="00782173" w:rsidRPr="00BF72D2">
        <w:rPr>
          <w:rFonts w:cstheme="minorHAnsi"/>
          <w:color w:val="000000" w:themeColor="text1"/>
        </w:rPr>
        <w:t>can be difficult to determine</w:t>
      </w:r>
      <w:r w:rsidRPr="00BF72D2">
        <w:rPr>
          <w:rFonts w:cstheme="minorHAnsi"/>
          <w:color w:val="000000" w:themeColor="text1"/>
        </w:rPr>
        <w:t xml:space="preserve">, particularly where an expensive treatment’s cost-effectiveness relies upon extrapolated long-term benefits. </w:t>
      </w:r>
    </w:p>
    <w:p w14:paraId="3A4F1BB3" w14:textId="583FB204" w:rsidR="009542A2" w:rsidRPr="00BF72D2" w:rsidRDefault="005F5611" w:rsidP="009542A2">
      <w:pPr>
        <w:spacing w:line="480" w:lineRule="auto"/>
        <w:rPr>
          <w:rFonts w:cstheme="minorHAnsi"/>
          <w:color w:val="000000" w:themeColor="text1"/>
        </w:rPr>
      </w:pPr>
      <w:r w:rsidRPr="00BF72D2">
        <w:rPr>
          <w:rFonts w:cstheme="minorHAnsi"/>
          <w:color w:val="000000" w:themeColor="text1"/>
        </w:rPr>
        <w:t xml:space="preserve">As most negative preliminary recommendations due to clinical uncertainty are for cancer drugs, it is likely that the </w:t>
      </w:r>
      <w:r w:rsidR="00571078" w:rsidRPr="00BF72D2">
        <w:rPr>
          <w:rFonts w:cstheme="minorHAnsi"/>
          <w:color w:val="000000" w:themeColor="text1"/>
        </w:rPr>
        <w:t>reformed Cancer Drugs Fund</w:t>
      </w:r>
      <w:r w:rsidRPr="00BF72D2">
        <w:rPr>
          <w:rFonts w:cstheme="minorHAnsi"/>
          <w:color w:val="000000" w:themeColor="text1"/>
        </w:rPr>
        <w:t xml:space="preserve"> will account for a significant proportion of resolvable clinical uncertainty.</w:t>
      </w:r>
      <w:r w:rsidR="009542A2" w:rsidRPr="00BF72D2">
        <w:rPr>
          <w:rFonts w:cstheme="minorHAnsi"/>
          <w:color w:val="000000" w:themeColor="text1"/>
        </w:rPr>
        <w:t xml:space="preserve"> Indeed, since its inception, the CDF has been used as a vehicle for over half of all cancer drug recommendations</w:t>
      </w:r>
      <w:r w:rsidR="003B6413" w:rsidRPr="00BF72D2">
        <w:rPr>
          <w:rFonts w:cstheme="minorHAnsi"/>
          <w:color w:val="000000" w:themeColor="text1"/>
        </w:rPr>
        <w:t xml:space="preserve">, </w:t>
      </w:r>
      <w:bookmarkStart w:id="19" w:name="_Hlk530151062"/>
      <w:r w:rsidR="003B6413" w:rsidRPr="00BF72D2">
        <w:rPr>
          <w:rFonts w:cstheme="minorHAnsi"/>
          <w:color w:val="000000" w:themeColor="text1"/>
        </w:rPr>
        <w:t>and appears to be responsible for a marked increase in drug approvals</w:t>
      </w:r>
      <w:r w:rsidR="00EE77B8" w:rsidRPr="00BF72D2">
        <w:rPr>
          <w:rFonts w:cstheme="minorHAnsi"/>
          <w:color w:val="000000" w:themeColor="text1"/>
        </w:rPr>
        <w:t xml:space="preserve"> in this period</w:t>
      </w:r>
      <w:r w:rsidR="009542A2" w:rsidRPr="00BF72D2">
        <w:rPr>
          <w:rFonts w:cstheme="minorHAnsi"/>
          <w:color w:val="000000" w:themeColor="text1"/>
        </w:rPr>
        <w:t>.</w:t>
      </w:r>
      <w:r w:rsidRPr="00BF72D2">
        <w:rPr>
          <w:rFonts w:cstheme="minorHAnsi"/>
          <w:color w:val="000000" w:themeColor="text1"/>
        </w:rPr>
        <w:t xml:space="preserve"> </w:t>
      </w:r>
      <w:r w:rsidR="00571078" w:rsidRPr="00BF72D2">
        <w:rPr>
          <w:rFonts w:cstheme="minorHAnsi"/>
          <w:color w:val="000000" w:themeColor="text1"/>
        </w:rPr>
        <w:t xml:space="preserve">The </w:t>
      </w:r>
      <w:bookmarkEnd w:id="19"/>
      <w:r w:rsidR="00571078" w:rsidRPr="00BF72D2">
        <w:rPr>
          <w:rFonts w:cstheme="minorHAnsi"/>
          <w:color w:val="000000" w:themeColor="text1"/>
        </w:rPr>
        <w:t xml:space="preserve">CDF is a valuable tool for resolving clinical uncertainty, and accommodates both the protection of NHS resources from potentially ineffective products, and the timely delivery of patient access to new technologies. </w:t>
      </w:r>
      <w:r w:rsidR="009542A2" w:rsidRPr="00BF72D2">
        <w:rPr>
          <w:rFonts w:cstheme="minorHAnsi"/>
          <w:color w:val="000000" w:themeColor="text1"/>
        </w:rPr>
        <w:t>The increased approval rate of drugs earlier in the development cycle is positive for UK</w:t>
      </w:r>
      <w:r w:rsidR="00AC4521" w:rsidRPr="00BF72D2">
        <w:rPr>
          <w:rFonts w:cstheme="minorHAnsi"/>
          <w:color w:val="000000" w:themeColor="text1"/>
        </w:rPr>
        <w:t xml:space="preserve"> patients</w:t>
      </w:r>
      <w:r w:rsidR="009542A2" w:rsidRPr="00BF72D2">
        <w:rPr>
          <w:rFonts w:cstheme="minorHAnsi"/>
          <w:color w:val="000000" w:themeColor="text1"/>
        </w:rPr>
        <w:t xml:space="preserve">, where drugs have historically been made available later than in other jurisdictions without HTA bodies such as NICE </w:t>
      </w:r>
      <w:r w:rsidR="009542A2" w:rsidRPr="00BF72D2">
        <w:rPr>
          <w:rFonts w:cstheme="minorHAnsi"/>
          <w:color w:val="000000" w:themeColor="text1"/>
        </w:rPr>
        <w:fldChar w:fldCharType="begin"/>
      </w:r>
      <w:r w:rsidR="009542A2" w:rsidRPr="00BF72D2">
        <w:rPr>
          <w:rFonts w:cstheme="minorHAnsi"/>
          <w:color w:val="000000" w:themeColor="text1"/>
        </w:rPr>
        <w:instrText xml:space="preserve"> ADDIN EN.CITE &lt;EndNote&gt;&lt;Cite&gt;&lt;Author&gt;F&lt;/Author&gt;&lt;Year&gt;2017&lt;/Year&gt;&lt;RecNum&gt;7&lt;/RecNum&gt;&lt;DisplayText&gt;[12, 13]&lt;/DisplayText&gt;&lt;record&gt;&lt;rec-number&gt;7&lt;/rec-number&gt;&lt;foreign-keys&gt;&lt;key app="EN" db-id="5rwap9w0xt9zppefx0k5f554daxwppexp2xx" timestamp="1533210341"&gt;7&lt;/key&gt;&lt;/foreign-keys&gt;&lt;ref-type name="Journal Article"&gt;17&lt;/ref-type&gt;&lt;contributors&gt;&lt;authors&gt;&lt;author&gt;Akehurst, RL; Abadie, E; Renaudin, N; Sarkozy, F;&lt;/author&gt;&lt;/authors&gt;&lt;/contributors&gt;&lt;titles&gt;&lt;title&gt;Variation in Health Technology Assessment and Reimbursement Processes in Europe&lt;/title&gt;&lt;secondary-title&gt;Value in Health&lt;/secondary-title&gt;&lt;/titles&gt;&lt;periodical&gt;&lt;full-title&gt;Value in Health&lt;/full-title&gt;&lt;/periodical&gt;&lt;pages&gt;67-76&lt;/pages&gt;&lt;volume&gt;20&lt;/volume&gt;&lt;dates&gt;&lt;year&gt;2017&lt;/year&gt;&lt;/dates&gt;&lt;urls&gt;&lt;/urls&gt;&lt;/record&gt;&lt;/Cite&gt;&lt;Cite&gt;&lt;Author&gt;Clement&lt;/Author&gt;&lt;Year&gt;2009&lt;/Year&gt;&lt;RecNum&gt;11&lt;/RecNum&gt;&lt;record&gt;&lt;rec-number&gt;11&lt;/rec-number&gt;&lt;foreign-keys&gt;&lt;key app="EN" db-id="5rwap9w0xt9zppefx0k5f554daxwppexp2xx" timestamp="1536316322"&gt;11&lt;/key&gt;&lt;/foreign-keys&gt;&lt;ref-type name="Journal Article"&gt;17&lt;/ref-type&gt;&lt;contributors&gt;&lt;authors&gt;&lt;author&gt;Clement, FM; Harris, A; Li, JJ; Yong, K; Lee, KM; Manns, BJ&lt;/author&gt;&lt;/authors&gt;&lt;/contributors&gt;&lt;titles&gt;&lt;title&gt;Using Effectiveness and Cost-effectiveness to Make Drug Coverage Decisions: A Comparison of Britain, Australia, and Canada&lt;/title&gt;&lt;secondary-title&gt;The Journal of the American Medical Association&lt;/secondary-title&gt;&lt;/titles&gt;&lt;periodical&gt;&lt;full-title&gt;The Journal of the American Medical Association&lt;/full-title&gt;&lt;/periodical&gt;&lt;pages&gt;1437-1443&lt;/pages&gt;&lt;volume&gt;302&lt;/volume&gt;&lt;number&gt;13&lt;/number&gt;&lt;dates&gt;&lt;year&gt;2009&lt;/year&gt;&lt;/dates&gt;&lt;urls&gt;&lt;/urls&gt;&lt;/record&gt;&lt;/Cite&gt;&lt;/EndNote&gt;</w:instrText>
      </w:r>
      <w:r w:rsidR="009542A2" w:rsidRPr="00BF72D2">
        <w:rPr>
          <w:rFonts w:cstheme="minorHAnsi"/>
          <w:color w:val="000000" w:themeColor="text1"/>
        </w:rPr>
        <w:fldChar w:fldCharType="separate"/>
      </w:r>
      <w:r w:rsidR="009542A2" w:rsidRPr="00BF72D2">
        <w:rPr>
          <w:rFonts w:cstheme="minorHAnsi"/>
          <w:noProof/>
          <w:color w:val="000000" w:themeColor="text1"/>
        </w:rPr>
        <w:t>[12, 13]</w:t>
      </w:r>
      <w:r w:rsidR="009542A2" w:rsidRPr="00BF72D2">
        <w:rPr>
          <w:rFonts w:cstheme="minorHAnsi"/>
          <w:color w:val="000000" w:themeColor="text1"/>
        </w:rPr>
        <w:fldChar w:fldCharType="end"/>
      </w:r>
      <w:r w:rsidR="009542A2" w:rsidRPr="00BF72D2">
        <w:rPr>
          <w:rFonts w:cstheme="minorHAnsi"/>
          <w:color w:val="000000" w:themeColor="text1"/>
        </w:rPr>
        <w:t xml:space="preserve">. However, this system may provide companies with an incentive to withhold evidence to exploit existing clinical uncertainty in order to gain access to the NHS and set prices high, despite unproven long-term cost-effectiveness. </w:t>
      </w:r>
    </w:p>
    <w:p w14:paraId="05B51549" w14:textId="1621F182" w:rsidR="005F5611" w:rsidRDefault="005F5611" w:rsidP="005F5611">
      <w:pPr>
        <w:spacing w:line="480" w:lineRule="auto"/>
        <w:rPr>
          <w:rFonts w:cstheme="minorHAnsi"/>
          <w:color w:val="000000" w:themeColor="text1"/>
        </w:rPr>
      </w:pPr>
      <w:r w:rsidRPr="00BF72D2">
        <w:rPr>
          <w:rFonts w:cstheme="minorHAnsi"/>
          <w:color w:val="000000" w:themeColor="text1"/>
        </w:rPr>
        <w:t xml:space="preserve">Unless the technical engagement step can identify when evidence is too immature for decision-making, and advise against routine commissioning at an early stage, rather than following a negative preliminary recommendation and further committee discussion, it is unlikely that this process will significantly reduce the number of required committee meetings. </w:t>
      </w:r>
      <w:r w:rsidR="00AC4521" w:rsidRPr="00BF72D2">
        <w:rPr>
          <w:rFonts w:cstheme="minorHAnsi"/>
          <w:color w:val="000000" w:themeColor="text1"/>
        </w:rPr>
        <w:t xml:space="preserve">Furthermore, the extent of integration of CDF eligibility assessment with new NICE consultation processes is currently unclear, and indeed may not be possible without wider restructuring of the appraisal processes. </w:t>
      </w:r>
      <w:r w:rsidRPr="00BF72D2">
        <w:rPr>
          <w:rFonts w:cstheme="minorHAnsi"/>
          <w:color w:val="000000" w:themeColor="text1"/>
        </w:rPr>
        <w:t xml:space="preserve">Thus, new opportunities for further technical engagement and consultation prior to appraisal committee discussion are not likely to substantially reduce the time </w:t>
      </w:r>
      <w:r w:rsidR="0000142B" w:rsidRPr="00BF72D2">
        <w:rPr>
          <w:rFonts w:cstheme="minorHAnsi"/>
          <w:color w:val="000000" w:themeColor="text1"/>
        </w:rPr>
        <w:t xml:space="preserve">to </w:t>
      </w:r>
      <w:r w:rsidRPr="00BF72D2">
        <w:rPr>
          <w:rFonts w:cstheme="minorHAnsi"/>
          <w:color w:val="000000" w:themeColor="text1"/>
        </w:rPr>
        <w:t>a final decision</w:t>
      </w:r>
      <w:r w:rsidR="00A90E0C" w:rsidRPr="00BF72D2">
        <w:rPr>
          <w:rFonts w:cstheme="minorHAnsi"/>
          <w:color w:val="000000" w:themeColor="text1"/>
        </w:rPr>
        <w:t xml:space="preserve"> for cancer drugs</w:t>
      </w:r>
      <w:r w:rsidRPr="00BF72D2">
        <w:rPr>
          <w:rFonts w:cstheme="minorHAnsi"/>
          <w:color w:val="000000" w:themeColor="text1"/>
        </w:rPr>
        <w:t xml:space="preserve">. </w:t>
      </w:r>
    </w:p>
    <w:p w14:paraId="773F7936" w14:textId="2764D7F3" w:rsidR="00800F22" w:rsidRPr="00BF72D2" w:rsidRDefault="00D3364A" w:rsidP="00800F22">
      <w:pPr>
        <w:spacing w:line="480" w:lineRule="auto"/>
        <w:rPr>
          <w:rFonts w:cstheme="minorHAnsi"/>
          <w:color w:val="000000" w:themeColor="text1"/>
        </w:rPr>
      </w:pPr>
      <w:r>
        <w:rPr>
          <w:rFonts w:cstheme="minorHAnsi"/>
          <w:color w:val="000000" w:themeColor="text1"/>
        </w:rPr>
        <w:lastRenderedPageBreak/>
        <w:t xml:space="preserve">A number of factors </w:t>
      </w:r>
      <w:r w:rsidR="00990C74">
        <w:rPr>
          <w:rFonts w:cstheme="minorHAnsi"/>
          <w:color w:val="000000" w:themeColor="text1"/>
        </w:rPr>
        <w:t xml:space="preserve">linked to the use of secondary data sources </w:t>
      </w:r>
      <w:r>
        <w:rPr>
          <w:rFonts w:cstheme="minorHAnsi"/>
          <w:color w:val="000000" w:themeColor="text1"/>
        </w:rPr>
        <w:t xml:space="preserve">may have limited the accuracy of </w:t>
      </w:r>
      <w:r w:rsidR="00990C74">
        <w:rPr>
          <w:rFonts w:cstheme="minorHAnsi"/>
          <w:color w:val="000000" w:themeColor="text1"/>
        </w:rPr>
        <w:t>some analyses featured</w:t>
      </w:r>
      <w:r>
        <w:rPr>
          <w:rFonts w:cstheme="minorHAnsi"/>
          <w:color w:val="000000" w:themeColor="text1"/>
        </w:rPr>
        <w:t xml:space="preserve"> in this study. </w:t>
      </w:r>
      <w:r w:rsidR="00800F22" w:rsidRPr="00BF72D2">
        <w:rPr>
          <w:rFonts w:cstheme="minorHAnsi"/>
          <w:color w:val="000000" w:themeColor="text1"/>
        </w:rPr>
        <w:t xml:space="preserve">A key limitation </w:t>
      </w:r>
      <w:r>
        <w:rPr>
          <w:rFonts w:cstheme="minorHAnsi"/>
          <w:color w:val="000000" w:themeColor="text1"/>
        </w:rPr>
        <w:t>was</w:t>
      </w:r>
      <w:r w:rsidR="00800F22" w:rsidRPr="00BF72D2">
        <w:rPr>
          <w:rFonts w:cstheme="minorHAnsi"/>
          <w:color w:val="000000" w:themeColor="text1"/>
        </w:rPr>
        <w:t xml:space="preserve"> the exclusion of dominant ICERs from analyses. </w:t>
      </w:r>
      <w:r w:rsidR="00990C74">
        <w:rPr>
          <w:rFonts w:cstheme="minorHAnsi"/>
          <w:color w:val="000000" w:themeColor="text1"/>
        </w:rPr>
        <w:t>C</w:t>
      </w:r>
      <w:r w:rsidR="00800F22" w:rsidRPr="00BF72D2">
        <w:rPr>
          <w:rFonts w:cstheme="minorHAnsi"/>
          <w:color w:val="000000" w:themeColor="text1"/>
        </w:rPr>
        <w:t xml:space="preserve">ompanies </w:t>
      </w:r>
      <w:r w:rsidR="00990C74">
        <w:rPr>
          <w:rFonts w:cstheme="minorHAnsi"/>
          <w:color w:val="000000" w:themeColor="text1"/>
        </w:rPr>
        <w:t>often presented</w:t>
      </w:r>
      <w:r w:rsidR="00800F22" w:rsidRPr="00BF72D2">
        <w:rPr>
          <w:rFonts w:cstheme="minorHAnsi"/>
          <w:color w:val="000000" w:themeColor="text1"/>
        </w:rPr>
        <w:t xml:space="preserve"> a base-case in which their technology dominated its competitors, while the ERG</w:t>
      </w:r>
      <w:r w:rsidR="00990C74">
        <w:rPr>
          <w:rFonts w:cstheme="minorHAnsi"/>
          <w:color w:val="000000" w:themeColor="text1"/>
        </w:rPr>
        <w:t>’s preferred assumptions produced a</w:t>
      </w:r>
      <w:r w:rsidR="00800F22" w:rsidRPr="00BF72D2">
        <w:rPr>
          <w:rFonts w:cstheme="minorHAnsi"/>
          <w:color w:val="000000" w:themeColor="text1"/>
        </w:rPr>
        <w:t xml:space="preserve"> numerical ICER</w:t>
      </w:r>
      <w:r w:rsidR="00990C74">
        <w:rPr>
          <w:rFonts w:cstheme="minorHAnsi"/>
          <w:color w:val="000000" w:themeColor="text1"/>
        </w:rPr>
        <w:t xml:space="preserve">, which </w:t>
      </w:r>
      <w:r w:rsidR="002D65FB">
        <w:rPr>
          <w:rFonts w:cstheme="minorHAnsi"/>
          <w:color w:val="000000" w:themeColor="text1"/>
        </w:rPr>
        <w:t>may have led to the underestimation of ICER changes</w:t>
      </w:r>
      <w:r w:rsidR="00800F22" w:rsidRPr="00BF72D2">
        <w:rPr>
          <w:rFonts w:cstheme="minorHAnsi"/>
          <w:color w:val="000000" w:themeColor="text1"/>
        </w:rPr>
        <w:t xml:space="preserve">. </w:t>
      </w:r>
      <w:r>
        <w:rPr>
          <w:rFonts w:cstheme="minorHAnsi"/>
          <w:color w:val="000000" w:themeColor="text1"/>
        </w:rPr>
        <w:t>Imprecision</w:t>
      </w:r>
      <w:r w:rsidR="002D65FB">
        <w:rPr>
          <w:rFonts w:cstheme="minorHAnsi"/>
          <w:color w:val="000000" w:themeColor="text1"/>
        </w:rPr>
        <w:t xml:space="preserve"> in the cost-effectiveness estimates reported in NICE’s decision documents</w:t>
      </w:r>
      <w:r>
        <w:rPr>
          <w:rFonts w:cstheme="minorHAnsi"/>
          <w:color w:val="000000" w:themeColor="text1"/>
        </w:rPr>
        <w:t xml:space="preserve"> was common, with preferred ICERs </w:t>
      </w:r>
      <w:r w:rsidR="00B832D8">
        <w:rPr>
          <w:rFonts w:cstheme="minorHAnsi"/>
          <w:color w:val="000000" w:themeColor="text1"/>
        </w:rPr>
        <w:t xml:space="preserve">often </w:t>
      </w:r>
      <w:r>
        <w:rPr>
          <w:rFonts w:cstheme="minorHAnsi"/>
          <w:color w:val="000000" w:themeColor="text1"/>
        </w:rPr>
        <w:t xml:space="preserve">presented as a range, or described as </w:t>
      </w:r>
      <w:r w:rsidR="00990C74">
        <w:rPr>
          <w:rFonts w:cstheme="minorHAnsi"/>
          <w:color w:val="000000" w:themeColor="text1"/>
        </w:rPr>
        <w:t>‘</w:t>
      </w:r>
      <w:r>
        <w:rPr>
          <w:rFonts w:cstheme="minorHAnsi"/>
          <w:color w:val="000000" w:themeColor="text1"/>
        </w:rPr>
        <w:t>around</w:t>
      </w:r>
      <w:r w:rsidR="00990C74">
        <w:rPr>
          <w:rFonts w:cstheme="minorHAnsi"/>
          <w:color w:val="000000" w:themeColor="text1"/>
        </w:rPr>
        <w:t>’</w:t>
      </w:r>
      <w:r>
        <w:rPr>
          <w:rFonts w:cstheme="minorHAnsi"/>
          <w:color w:val="000000" w:themeColor="text1"/>
        </w:rPr>
        <w:t xml:space="preserve"> </w:t>
      </w:r>
      <w:r w:rsidR="00990C74">
        <w:rPr>
          <w:rFonts w:cstheme="minorHAnsi"/>
          <w:color w:val="000000" w:themeColor="text1"/>
        </w:rPr>
        <w:t xml:space="preserve">or ‘below’ </w:t>
      </w:r>
      <w:r>
        <w:rPr>
          <w:rFonts w:cstheme="minorHAnsi"/>
          <w:color w:val="000000" w:themeColor="text1"/>
        </w:rPr>
        <w:t>the WTP threshold.</w:t>
      </w:r>
      <w:r w:rsidRPr="00D3364A">
        <w:rPr>
          <w:rFonts w:cstheme="minorHAnsi"/>
          <w:color w:val="000000" w:themeColor="text1"/>
        </w:rPr>
        <w:t xml:space="preserve"> </w:t>
      </w:r>
      <w:r w:rsidRPr="00BF72D2">
        <w:rPr>
          <w:rFonts w:cstheme="minorHAnsi"/>
          <w:color w:val="000000" w:themeColor="text1"/>
        </w:rPr>
        <w:t>Inconsistent reporting across NICE and ERG documents may</w:t>
      </w:r>
      <w:r>
        <w:rPr>
          <w:rFonts w:cstheme="minorHAnsi"/>
          <w:color w:val="000000" w:themeColor="text1"/>
        </w:rPr>
        <w:t xml:space="preserve"> also</w:t>
      </w:r>
      <w:r w:rsidRPr="00BF72D2">
        <w:rPr>
          <w:rFonts w:cstheme="minorHAnsi"/>
          <w:color w:val="000000" w:themeColor="text1"/>
        </w:rPr>
        <w:t xml:space="preserve"> have led to inappropriately narrow conclusions around the reasons for decisions</w:t>
      </w:r>
      <w:r w:rsidR="00B832D8">
        <w:rPr>
          <w:rFonts w:cstheme="minorHAnsi"/>
          <w:color w:val="000000" w:themeColor="text1"/>
        </w:rPr>
        <w:t>; as full explanations were rarely presented in the ACD or FAD. This was particularly the case when</w:t>
      </w:r>
      <w:r w:rsidRPr="00BF72D2">
        <w:rPr>
          <w:rFonts w:cstheme="minorHAnsi"/>
          <w:color w:val="000000" w:themeColor="text1"/>
        </w:rPr>
        <w:t xml:space="preserve"> one factor </w:t>
      </w:r>
      <w:r w:rsidR="00B832D8">
        <w:rPr>
          <w:rFonts w:cstheme="minorHAnsi"/>
          <w:color w:val="000000" w:themeColor="text1"/>
        </w:rPr>
        <w:t>overshadowed the others, which consequently were not reported</w:t>
      </w:r>
      <w:r w:rsidRPr="00BF72D2">
        <w:rPr>
          <w:rFonts w:cstheme="minorHAnsi"/>
          <w:color w:val="000000" w:themeColor="text1"/>
        </w:rPr>
        <w:t>.</w:t>
      </w:r>
    </w:p>
    <w:p w14:paraId="48DADFFB" w14:textId="46F74A9B" w:rsidR="006404F4" w:rsidRPr="00BF72D2" w:rsidRDefault="00D57B51" w:rsidP="005F5611">
      <w:pPr>
        <w:spacing w:line="480" w:lineRule="auto"/>
        <w:rPr>
          <w:rFonts w:cstheme="minorHAnsi"/>
          <w:b/>
          <w:color w:val="000000" w:themeColor="text1"/>
        </w:rPr>
      </w:pPr>
      <w:r w:rsidRPr="00BF72D2">
        <w:rPr>
          <w:rFonts w:cstheme="minorHAnsi"/>
          <w:b/>
          <w:color w:val="000000" w:themeColor="text1"/>
        </w:rPr>
        <w:t xml:space="preserve">5. </w:t>
      </w:r>
      <w:r w:rsidR="006404F4" w:rsidRPr="00BF72D2">
        <w:rPr>
          <w:rFonts w:cstheme="minorHAnsi"/>
          <w:b/>
          <w:color w:val="000000" w:themeColor="text1"/>
        </w:rPr>
        <w:t>Conclusions</w:t>
      </w:r>
    </w:p>
    <w:p w14:paraId="268BEF3F" w14:textId="77777777" w:rsidR="00671CF8" w:rsidRPr="00BF72D2" w:rsidRDefault="005F5611" w:rsidP="00800BD1">
      <w:pPr>
        <w:spacing w:line="480" w:lineRule="auto"/>
        <w:rPr>
          <w:rFonts w:cstheme="minorHAnsi"/>
          <w:color w:val="000000" w:themeColor="text1"/>
        </w:rPr>
      </w:pPr>
      <w:r w:rsidRPr="00BF72D2">
        <w:rPr>
          <w:rFonts w:cstheme="minorHAnsi"/>
          <w:color w:val="000000" w:themeColor="text1"/>
        </w:rPr>
        <w:t xml:space="preserve">While it </w:t>
      </w:r>
      <w:r w:rsidR="006404F4" w:rsidRPr="00BF72D2">
        <w:rPr>
          <w:rFonts w:cstheme="minorHAnsi"/>
          <w:color w:val="000000" w:themeColor="text1"/>
        </w:rPr>
        <w:t>does not</w:t>
      </w:r>
      <w:r w:rsidRPr="00BF72D2">
        <w:rPr>
          <w:rFonts w:cstheme="minorHAnsi"/>
          <w:color w:val="000000" w:themeColor="text1"/>
        </w:rPr>
        <w:t xml:space="preserve"> appear to be the case that more committee meetings are becoming necessary for each topic, greater uncertainty and complexity around an increasing number of topics is placing an ever-greater burden upon NICE and its resources.  Challenging trends in the immaturity of the evidence base around many new technologies mean fundamental issues can take many months to resolve, often requiring further an</w:t>
      </w:r>
      <w:r w:rsidR="006404F4" w:rsidRPr="00BF72D2">
        <w:rPr>
          <w:rFonts w:cstheme="minorHAnsi"/>
          <w:color w:val="000000" w:themeColor="text1"/>
        </w:rPr>
        <w:t>alysis from the company, the ERG,</w:t>
      </w:r>
      <w:r w:rsidRPr="00BF72D2">
        <w:rPr>
          <w:rFonts w:cstheme="minorHAnsi"/>
          <w:color w:val="000000" w:themeColor="text1"/>
        </w:rPr>
        <w:t xml:space="preserve"> or in some instances</w:t>
      </w:r>
      <w:r w:rsidR="006404F4" w:rsidRPr="00BF72D2">
        <w:rPr>
          <w:rFonts w:cstheme="minorHAnsi"/>
          <w:color w:val="000000" w:themeColor="text1"/>
        </w:rPr>
        <w:t>,</w:t>
      </w:r>
      <w:r w:rsidRPr="00BF72D2">
        <w:rPr>
          <w:rFonts w:cstheme="minorHAnsi"/>
          <w:color w:val="000000" w:themeColor="text1"/>
        </w:rPr>
        <w:t xml:space="preserve"> the Decision Support Unit</w:t>
      </w:r>
      <w:r w:rsidR="009D7764" w:rsidRPr="00BF72D2">
        <w:rPr>
          <w:color w:val="000000" w:themeColor="text1"/>
        </w:rPr>
        <w:t xml:space="preserve"> </w:t>
      </w:r>
      <w:r w:rsidR="009D7764" w:rsidRPr="00BF72D2">
        <w:rPr>
          <w:rFonts w:cstheme="minorHAnsi"/>
          <w:color w:val="000000" w:themeColor="text1"/>
        </w:rPr>
        <w:fldChar w:fldCharType="begin"/>
      </w:r>
      <w:r w:rsidR="009D7764" w:rsidRPr="00BF72D2">
        <w:rPr>
          <w:rFonts w:cstheme="minorHAnsi"/>
          <w:color w:val="000000" w:themeColor="text1"/>
        </w:rPr>
        <w:instrText xml:space="preserve"> ADDIN EN.CITE &lt;EndNote&gt;&lt;Cite&gt;&lt;Author&gt;Kaltenthaler&lt;/Author&gt;&lt;Year&gt;2016&lt;/Year&gt;&lt;RecNum&gt;9&lt;/RecNum&gt;&lt;DisplayText&gt;[6]&lt;/DisplayText&gt;&lt;record&gt;&lt;rec-number&gt;9&lt;/rec-number&gt;&lt;foreign-keys&gt;&lt;key app="EN" db-id="5rwap9w0xt9zppefx0k5f554daxwppexp2xx" timestamp="1533718019"&gt;9&lt;/key&gt;&lt;/foreign-keys&gt;&lt;ref-type name="Journal Article"&gt;17&lt;/ref-type&gt;&lt;contributors&gt;&lt;authors&gt;&lt;author&gt;Kaltenthaler, E; Carroll, C; Hill-McManus, D; Scope, A; Holmes, M; Rice, S; Rose, M; Tappenden, P; Woolacott N;&lt;/author&gt;&lt;/authors&gt;&lt;/contributors&gt;&lt;titles&gt;&lt;title&gt;Issues Related to the Frequency of Exploratory Analyses by Evidence Review Groups in the NICE Single Technology Appraisal Process&lt;/title&gt;&lt;secondary-title&gt;PharmacoEconomics Open&lt;/secondary-title&gt;&lt;/titles&gt;&lt;periodical&gt;&lt;full-title&gt;PharmacoEconomics Open&lt;/full-title&gt;&lt;/periodical&gt;&lt;pages&gt;99-108&lt;/pages&gt;&lt;volume&gt;1&lt;/volume&gt;&lt;dates&gt;&lt;year&gt;2016&lt;/year&gt;&lt;/dates&gt;&lt;urls&gt;&lt;/urls&gt;&lt;/record&gt;&lt;/Cite&gt;&lt;/EndNote&gt;</w:instrText>
      </w:r>
      <w:r w:rsidR="009D7764" w:rsidRPr="00BF72D2">
        <w:rPr>
          <w:rFonts w:cstheme="minorHAnsi"/>
          <w:color w:val="000000" w:themeColor="text1"/>
        </w:rPr>
        <w:fldChar w:fldCharType="separate"/>
      </w:r>
      <w:r w:rsidR="009D7764" w:rsidRPr="00BF72D2">
        <w:rPr>
          <w:rFonts w:cstheme="minorHAnsi"/>
          <w:noProof/>
          <w:color w:val="000000" w:themeColor="text1"/>
        </w:rPr>
        <w:t>[6]</w:t>
      </w:r>
      <w:r w:rsidR="009D7764" w:rsidRPr="00BF72D2">
        <w:rPr>
          <w:rFonts w:cstheme="minorHAnsi"/>
          <w:color w:val="000000" w:themeColor="text1"/>
        </w:rPr>
        <w:fldChar w:fldCharType="end"/>
      </w:r>
      <w:r w:rsidRPr="00BF72D2">
        <w:rPr>
          <w:rFonts w:cstheme="minorHAnsi"/>
          <w:color w:val="000000" w:themeColor="text1"/>
        </w:rPr>
        <w:t>. Commercial negotiations between the company and NHS England also introduce further delays, particularly when there is a large anticipated budget impact. This defers a final decision, and ultimately the availability of a new technology to patients</w:t>
      </w:r>
      <w:r w:rsidR="006404F4" w:rsidRPr="00BF72D2">
        <w:rPr>
          <w:rFonts w:cstheme="minorHAnsi"/>
          <w:color w:val="000000" w:themeColor="text1"/>
        </w:rPr>
        <w:t>. T</w:t>
      </w:r>
      <w:r w:rsidRPr="00BF72D2">
        <w:rPr>
          <w:rFonts w:cstheme="minorHAnsi"/>
          <w:color w:val="000000" w:themeColor="text1"/>
        </w:rPr>
        <w:t xml:space="preserve">his is apparent in the increases in cancer drug appraisal duration seen here. </w:t>
      </w:r>
    </w:p>
    <w:p w14:paraId="2B69BBD2" w14:textId="6B51DA05" w:rsidR="00215C96" w:rsidRDefault="00E34F17" w:rsidP="00E34F17">
      <w:pPr>
        <w:spacing w:line="480" w:lineRule="auto"/>
        <w:rPr>
          <w:rFonts w:cstheme="minorHAnsi"/>
          <w:color w:val="000000" w:themeColor="text1"/>
        </w:rPr>
      </w:pPr>
      <w:r w:rsidRPr="00BF72D2">
        <w:rPr>
          <w:rFonts w:cstheme="minorHAnsi"/>
          <w:color w:val="000000" w:themeColor="text1"/>
        </w:rPr>
        <w:t xml:space="preserve">The recent changes introduced to the STA protocol and new powers of chairs to approve on price will help alleviate delays and inefficient use of committee time for repetitive cost and commercial discussion. Significant challenges to efficiency and rigour still remain, including uncertainty in value assessment and application of WTP thresholds, decision optimisation, commissioning decisions, and perverse incentives promoting obfuscation and pricing to thresholds. It is important that committees </w:t>
      </w:r>
      <w:r w:rsidRPr="00BF72D2">
        <w:rPr>
          <w:rFonts w:cstheme="minorHAnsi"/>
          <w:color w:val="000000" w:themeColor="text1"/>
        </w:rPr>
        <w:lastRenderedPageBreak/>
        <w:t>are adequately resourced to enable them to make appropriate, informed, and timely decisions, ensuring the NHS continues to maximise net population health through efficient allocation of funds, and ensure patient access to effective new technologies.</w:t>
      </w:r>
    </w:p>
    <w:p w14:paraId="3E25DD7D" w14:textId="4E393BA4" w:rsidR="00B832D8" w:rsidRPr="00B832D8" w:rsidRDefault="00B832D8" w:rsidP="00E34F17">
      <w:pPr>
        <w:spacing w:line="480" w:lineRule="auto"/>
        <w:rPr>
          <w:rFonts w:cstheme="minorHAnsi"/>
          <w:color w:val="000000" w:themeColor="text1"/>
        </w:rPr>
      </w:pPr>
      <w:r w:rsidRPr="009169E6">
        <w:rPr>
          <w:rFonts w:cstheme="minorHAnsi"/>
          <w:b/>
          <w:color w:val="000000" w:themeColor="text1"/>
        </w:rPr>
        <w:t>Data Availability Statement</w:t>
      </w:r>
      <w:r>
        <w:rPr>
          <w:rFonts w:cstheme="minorHAnsi"/>
          <w:b/>
          <w:color w:val="000000" w:themeColor="text1"/>
        </w:rPr>
        <w:br/>
      </w:r>
      <w:r w:rsidR="00813720">
        <w:rPr>
          <w:rFonts w:cstheme="minorHAnsi"/>
          <w:color w:val="000000" w:themeColor="text1"/>
        </w:rPr>
        <w:t xml:space="preserve">All data </w:t>
      </w:r>
      <w:r w:rsidR="00860479">
        <w:rPr>
          <w:rFonts w:cstheme="minorHAnsi"/>
          <w:color w:val="000000" w:themeColor="text1"/>
        </w:rPr>
        <w:t>included</w:t>
      </w:r>
      <w:r w:rsidR="00813720">
        <w:rPr>
          <w:rFonts w:cstheme="minorHAnsi"/>
          <w:color w:val="000000" w:themeColor="text1"/>
        </w:rPr>
        <w:t xml:space="preserve"> in this study is in the public domain and is available through the NICE website (https://www.nice.org.uk/guidance).</w:t>
      </w:r>
    </w:p>
    <w:p w14:paraId="52B13637" w14:textId="77D39B8D" w:rsidR="00B915DD" w:rsidRPr="00BF72D2" w:rsidRDefault="00B915DD" w:rsidP="00B915DD">
      <w:pPr>
        <w:spacing w:line="480" w:lineRule="auto"/>
        <w:rPr>
          <w:rFonts w:cstheme="minorHAnsi"/>
          <w:color w:val="000000" w:themeColor="text1"/>
        </w:rPr>
      </w:pPr>
      <w:r w:rsidRPr="009169E6">
        <w:rPr>
          <w:rFonts w:cstheme="minorHAnsi"/>
          <w:b/>
          <w:color w:val="000000" w:themeColor="text1"/>
        </w:rPr>
        <w:t>Author contributions</w:t>
      </w:r>
      <w:r w:rsidRPr="00BF72D2">
        <w:rPr>
          <w:rFonts w:cstheme="minorHAnsi"/>
          <w:color w:val="000000" w:themeColor="text1"/>
        </w:rPr>
        <w:t xml:space="preserve"> </w:t>
      </w:r>
      <w:r w:rsidR="00B832D8">
        <w:rPr>
          <w:rFonts w:cstheme="minorHAnsi"/>
          <w:color w:val="000000" w:themeColor="text1"/>
        </w:rPr>
        <w:br/>
      </w:r>
      <w:r w:rsidRPr="00BF72D2">
        <w:rPr>
          <w:rFonts w:cstheme="minorHAnsi"/>
          <w:color w:val="000000" w:themeColor="text1"/>
        </w:rPr>
        <w:t>Matthew Walton contributed to the study design, performed data extraction and analysis, and developed the first draft of the manuscript. Joanne O’Connor and Christopher Carroll contributed to the study design and performed data extraction. Robert Hodgson and Lindsay Claxton contributed to the study design and undertook data checking. All authors contributed to the development of the manuscript and agreed the final version.</w:t>
      </w:r>
    </w:p>
    <w:p w14:paraId="2F3DAF9C" w14:textId="5CCFB395" w:rsidR="00B915DD" w:rsidRDefault="00B915DD" w:rsidP="00B915DD">
      <w:pPr>
        <w:spacing w:line="480" w:lineRule="auto"/>
        <w:rPr>
          <w:rFonts w:cstheme="minorHAnsi"/>
          <w:color w:val="000000" w:themeColor="text1"/>
        </w:rPr>
      </w:pPr>
      <w:r w:rsidRPr="00BF72D2">
        <w:rPr>
          <w:rFonts w:cstheme="minorHAnsi"/>
          <w:b/>
          <w:color w:val="000000" w:themeColor="text1"/>
        </w:rPr>
        <w:t>Compliance with Ethical Standards</w:t>
      </w:r>
      <w:r w:rsidRPr="00BF72D2">
        <w:rPr>
          <w:rFonts w:cstheme="minorHAnsi"/>
          <w:b/>
          <w:color w:val="000000" w:themeColor="text1"/>
        </w:rPr>
        <w:br/>
      </w:r>
      <w:r w:rsidR="00B832D8">
        <w:rPr>
          <w:rFonts w:cstheme="minorHAnsi"/>
          <w:b/>
          <w:color w:val="000000" w:themeColor="text1"/>
        </w:rPr>
        <w:t xml:space="preserve">Conflicts of interest </w:t>
      </w:r>
      <w:r w:rsidR="00B832D8">
        <w:rPr>
          <w:rFonts w:cstheme="minorHAnsi"/>
          <w:b/>
          <w:color w:val="000000" w:themeColor="text1"/>
        </w:rPr>
        <w:br/>
      </w:r>
      <w:r w:rsidRPr="00BF72D2">
        <w:rPr>
          <w:rFonts w:cstheme="minorHAnsi"/>
          <w:color w:val="000000" w:themeColor="text1"/>
        </w:rPr>
        <w:t>Matthew Walton, Joanne O’Connor, Christopher Carroll, Robert Hodgson, and Lindsay Claxton have undertaken work for NICE and declare no</w:t>
      </w:r>
      <w:r w:rsidR="00D55BC2" w:rsidRPr="00BF72D2">
        <w:rPr>
          <w:rFonts w:cstheme="minorHAnsi"/>
          <w:color w:val="000000" w:themeColor="text1"/>
        </w:rPr>
        <w:t xml:space="preserve"> further</w:t>
      </w:r>
      <w:r w:rsidRPr="00BF72D2">
        <w:rPr>
          <w:rFonts w:cstheme="minorHAnsi"/>
          <w:color w:val="000000" w:themeColor="text1"/>
        </w:rPr>
        <w:t xml:space="preserve"> conflicts of interest.</w:t>
      </w:r>
    </w:p>
    <w:p w14:paraId="52644F51" w14:textId="109311A6" w:rsidR="00B832D8" w:rsidRPr="00B832D8" w:rsidRDefault="00B832D8" w:rsidP="00B915DD">
      <w:pPr>
        <w:spacing w:line="480" w:lineRule="auto"/>
        <w:rPr>
          <w:rFonts w:cstheme="minorHAnsi"/>
          <w:color w:val="000000" w:themeColor="text1"/>
        </w:rPr>
      </w:pPr>
      <w:r w:rsidRPr="009169E6">
        <w:rPr>
          <w:rFonts w:cstheme="minorHAnsi"/>
          <w:b/>
          <w:color w:val="000000" w:themeColor="text1"/>
        </w:rPr>
        <w:t>Funding</w:t>
      </w:r>
      <w:r w:rsidR="009169E6">
        <w:rPr>
          <w:rFonts w:cstheme="minorHAnsi"/>
          <w:b/>
          <w:color w:val="000000" w:themeColor="text1"/>
        </w:rPr>
        <w:br/>
      </w:r>
      <w:bookmarkStart w:id="20" w:name="_GoBack"/>
      <w:bookmarkEnd w:id="20"/>
      <w:r>
        <w:rPr>
          <w:rFonts w:cstheme="minorHAnsi"/>
          <w:color w:val="000000" w:themeColor="text1"/>
        </w:rPr>
        <w:t>This project received</w:t>
      </w:r>
      <w:r w:rsidR="00D9092B">
        <w:rPr>
          <w:rFonts w:cstheme="minorHAnsi"/>
          <w:color w:val="000000" w:themeColor="text1"/>
        </w:rPr>
        <w:t xml:space="preserve"> no external funding.</w:t>
      </w:r>
    </w:p>
    <w:p w14:paraId="6FBA3F4B" w14:textId="77777777" w:rsidR="00B915DD" w:rsidRPr="00BF72D2" w:rsidRDefault="00B915DD">
      <w:pPr>
        <w:rPr>
          <w:rFonts w:cstheme="minorHAnsi"/>
          <w:color w:val="000000" w:themeColor="text1"/>
        </w:rPr>
      </w:pPr>
      <w:r w:rsidRPr="00BF72D2">
        <w:rPr>
          <w:rFonts w:cstheme="minorHAnsi"/>
          <w:color w:val="000000" w:themeColor="text1"/>
        </w:rPr>
        <w:br w:type="page"/>
      </w:r>
    </w:p>
    <w:p w14:paraId="3E6CAED8" w14:textId="41210FF3" w:rsidR="00C73DBD" w:rsidRPr="00BF72D2" w:rsidRDefault="00EF7041" w:rsidP="00800BD1">
      <w:pPr>
        <w:spacing w:line="480" w:lineRule="auto"/>
        <w:rPr>
          <w:rFonts w:cstheme="minorHAnsi"/>
          <w:b/>
          <w:color w:val="000000" w:themeColor="text1"/>
        </w:rPr>
      </w:pPr>
      <w:r w:rsidRPr="00BF72D2">
        <w:rPr>
          <w:rFonts w:cstheme="minorHAnsi"/>
          <w:b/>
          <w:color w:val="000000" w:themeColor="text1"/>
        </w:rPr>
        <w:lastRenderedPageBreak/>
        <w:t>References</w:t>
      </w:r>
    </w:p>
    <w:p w14:paraId="5F95F069" w14:textId="77777777" w:rsidR="00320FDC" w:rsidRPr="00BF72D2" w:rsidRDefault="00320FDC" w:rsidP="00320FDC">
      <w:pPr>
        <w:spacing w:line="480" w:lineRule="auto"/>
        <w:rPr>
          <w:rFonts w:cstheme="minorHAnsi"/>
          <w:color w:val="000000" w:themeColor="text1"/>
        </w:rPr>
      </w:pPr>
      <w:r w:rsidRPr="00BF72D2">
        <w:rPr>
          <w:rFonts w:cstheme="minorHAnsi"/>
          <w:color w:val="000000" w:themeColor="text1"/>
        </w:rPr>
        <w:t>1. National Institute for Health and Care Excellence. Guide to the processes of technology appraisal. NICE. 2018.</w:t>
      </w:r>
    </w:p>
    <w:p w14:paraId="1634CEAE" w14:textId="6211DBAC" w:rsidR="00320FDC" w:rsidRPr="00BF72D2" w:rsidRDefault="00320FDC" w:rsidP="00320FDC">
      <w:pPr>
        <w:spacing w:line="480" w:lineRule="auto"/>
        <w:rPr>
          <w:rFonts w:cstheme="minorHAnsi"/>
          <w:color w:val="000000" w:themeColor="text1"/>
        </w:rPr>
      </w:pPr>
      <w:r w:rsidRPr="00BF72D2">
        <w:rPr>
          <w:rFonts w:cstheme="minorHAnsi"/>
          <w:color w:val="000000" w:themeColor="text1"/>
        </w:rPr>
        <w:t>2. National Institute for Health and Care Excellence. Proposals for increasing capacity within NICE's technology appraisal programme. NICE. 2017.</w:t>
      </w:r>
    </w:p>
    <w:p w14:paraId="02E99739" w14:textId="5D47716B" w:rsidR="00320FDC" w:rsidRPr="00BF72D2" w:rsidRDefault="00320FDC" w:rsidP="00320FDC">
      <w:pPr>
        <w:spacing w:line="480" w:lineRule="auto"/>
        <w:rPr>
          <w:rFonts w:cstheme="minorHAnsi"/>
          <w:color w:val="000000" w:themeColor="text1"/>
        </w:rPr>
      </w:pPr>
      <w:r w:rsidRPr="00BF72D2">
        <w:rPr>
          <w:rFonts w:cstheme="minorHAnsi"/>
          <w:color w:val="000000" w:themeColor="text1"/>
        </w:rPr>
        <w:t>3. Yan L, Zhang W. Precision medicine becomes reality - tumour type agnost</w:t>
      </w:r>
      <w:r w:rsidR="0011345A" w:rsidRPr="00BF72D2">
        <w:rPr>
          <w:rFonts w:cstheme="minorHAnsi"/>
          <w:color w:val="000000" w:themeColor="text1"/>
        </w:rPr>
        <w:t>ic-therapy. Cancer Commun</w:t>
      </w:r>
      <w:r w:rsidRPr="00BF72D2">
        <w:rPr>
          <w:rFonts w:cstheme="minorHAnsi"/>
          <w:color w:val="000000" w:themeColor="text1"/>
        </w:rPr>
        <w:t xml:space="preserve">. 2018;38(6). </w:t>
      </w:r>
    </w:p>
    <w:p w14:paraId="565B070D" w14:textId="32F3C465" w:rsidR="00320FDC" w:rsidRPr="00BF72D2" w:rsidRDefault="00320FDC" w:rsidP="00320FDC">
      <w:pPr>
        <w:spacing w:line="480" w:lineRule="auto"/>
        <w:rPr>
          <w:rFonts w:cstheme="minorHAnsi"/>
          <w:color w:val="000000" w:themeColor="text1"/>
        </w:rPr>
      </w:pPr>
      <w:r w:rsidRPr="00BF72D2">
        <w:rPr>
          <w:rFonts w:cstheme="minorHAnsi"/>
          <w:color w:val="000000" w:themeColor="text1"/>
        </w:rPr>
        <w:t>4. National Institute for Health and Care Excellence, NHS England. Consultation on changes to technology appraisals and highly specialised technologies</w:t>
      </w:r>
      <w:r w:rsidR="0011345A" w:rsidRPr="00BF72D2">
        <w:rPr>
          <w:rFonts w:cstheme="minorHAnsi"/>
          <w:color w:val="000000" w:themeColor="text1"/>
        </w:rPr>
        <w:t xml:space="preserve">. NHS England, </w:t>
      </w:r>
      <w:r w:rsidRPr="00BF72D2">
        <w:rPr>
          <w:rFonts w:cstheme="minorHAnsi"/>
          <w:color w:val="000000" w:themeColor="text1"/>
        </w:rPr>
        <w:t>2017.</w:t>
      </w:r>
    </w:p>
    <w:p w14:paraId="7D2A510B" w14:textId="2EE75B8C" w:rsidR="00320FDC" w:rsidRPr="00BF72D2" w:rsidRDefault="00320FDC" w:rsidP="00320FDC">
      <w:pPr>
        <w:spacing w:line="480" w:lineRule="auto"/>
        <w:rPr>
          <w:rFonts w:cstheme="minorHAnsi"/>
          <w:color w:val="000000" w:themeColor="text1"/>
        </w:rPr>
      </w:pPr>
      <w:r w:rsidRPr="00BF72D2">
        <w:rPr>
          <w:rFonts w:cstheme="minorHAnsi"/>
          <w:color w:val="000000" w:themeColor="text1"/>
        </w:rPr>
        <w:t>5. Carroll C, Houten R, Boland A, Kaltenthaler E, Dickson R. What Is the Evidence from Past National Institute of Health and Care Excellence Single-Technology Appraisals Regarding Company Submissions with Base-Case Incremental Cost-Effectiveness Ratios of Less Than £10,000/QAL</w:t>
      </w:r>
      <w:r w:rsidR="0011345A" w:rsidRPr="00BF72D2">
        <w:rPr>
          <w:rFonts w:cstheme="minorHAnsi"/>
          <w:color w:val="000000" w:themeColor="text1"/>
        </w:rPr>
        <w:t>Y? Value</w:t>
      </w:r>
      <w:r w:rsidRPr="00BF72D2">
        <w:rPr>
          <w:rFonts w:cstheme="minorHAnsi"/>
          <w:color w:val="000000" w:themeColor="text1"/>
        </w:rPr>
        <w:t xml:space="preserve"> Health. 2017;21:341-350. </w:t>
      </w:r>
    </w:p>
    <w:p w14:paraId="5B74033D" w14:textId="10FFEEE5" w:rsidR="00320FDC" w:rsidRPr="00BF72D2" w:rsidRDefault="00320FDC" w:rsidP="00320FDC">
      <w:pPr>
        <w:spacing w:line="480" w:lineRule="auto"/>
        <w:rPr>
          <w:rFonts w:cstheme="minorHAnsi"/>
          <w:color w:val="000000" w:themeColor="text1"/>
        </w:rPr>
      </w:pPr>
      <w:r w:rsidRPr="00BF72D2">
        <w:rPr>
          <w:rFonts w:cstheme="minorHAnsi"/>
          <w:color w:val="000000" w:themeColor="text1"/>
        </w:rPr>
        <w:t xml:space="preserve">6. Kaltenthaler E, Carroll C, Hill-McManus D, Scope A, Holmes M, Rice S, Rose M, Tappenden P, Woolacott N. Issues Related to the Frequency of Exploratory Analyses by Evidence Review Groups in the NICE Single Technology Appraisal Process. PharmacoEconomics Open. 2016;1:99-108. </w:t>
      </w:r>
    </w:p>
    <w:p w14:paraId="0CAD18E6" w14:textId="0F38174F" w:rsidR="00320FDC" w:rsidRPr="00BF72D2" w:rsidRDefault="00320FDC" w:rsidP="00320FDC">
      <w:pPr>
        <w:spacing w:line="480" w:lineRule="auto"/>
        <w:rPr>
          <w:rFonts w:cstheme="minorHAnsi"/>
          <w:color w:val="000000" w:themeColor="text1"/>
        </w:rPr>
      </w:pPr>
      <w:r w:rsidRPr="00BF72D2">
        <w:rPr>
          <w:rFonts w:cstheme="minorHAnsi"/>
          <w:color w:val="000000" w:themeColor="text1"/>
        </w:rPr>
        <w:t xml:space="preserve">7. Dillon A, Landells, LJ. NICE, the NHS, and Cancer Drugs. </w:t>
      </w:r>
      <w:r w:rsidR="00DD192E" w:rsidRPr="00BF72D2">
        <w:rPr>
          <w:rFonts w:cstheme="minorHAnsi"/>
          <w:color w:val="000000" w:themeColor="text1"/>
        </w:rPr>
        <w:t>JAMA.</w:t>
      </w:r>
      <w:r w:rsidRPr="00BF72D2">
        <w:rPr>
          <w:rFonts w:cstheme="minorHAnsi"/>
          <w:color w:val="000000" w:themeColor="text1"/>
        </w:rPr>
        <w:t xml:space="preserve"> 2018;319(8):767-8. </w:t>
      </w:r>
    </w:p>
    <w:p w14:paraId="67A0EBF2" w14:textId="1B06BE3B" w:rsidR="00320FDC" w:rsidRPr="00BF72D2" w:rsidRDefault="00320FDC" w:rsidP="00320FDC">
      <w:pPr>
        <w:spacing w:line="480" w:lineRule="auto"/>
        <w:rPr>
          <w:rFonts w:cstheme="minorHAnsi"/>
          <w:color w:val="000000" w:themeColor="text1"/>
        </w:rPr>
      </w:pPr>
      <w:r w:rsidRPr="00BF72D2">
        <w:rPr>
          <w:rFonts w:cstheme="minorHAnsi"/>
          <w:color w:val="000000" w:themeColor="text1"/>
        </w:rPr>
        <w:t>8. Cerri KH, Knapp M, Ferández JL. Decision making by NICE: examining the influences of evidence, proce</w:t>
      </w:r>
      <w:r w:rsidR="00DD192E" w:rsidRPr="00BF72D2">
        <w:rPr>
          <w:rFonts w:cstheme="minorHAnsi"/>
          <w:color w:val="000000" w:themeColor="text1"/>
        </w:rPr>
        <w:t>ss and context. Health Econ</w:t>
      </w:r>
      <w:r w:rsidRPr="00BF72D2">
        <w:rPr>
          <w:rFonts w:cstheme="minorHAnsi"/>
          <w:color w:val="000000" w:themeColor="text1"/>
        </w:rPr>
        <w:t xml:space="preserve"> Policy Law. 2014;9(2):119-41. </w:t>
      </w:r>
    </w:p>
    <w:p w14:paraId="23888C31" w14:textId="036635A9" w:rsidR="00320FDC" w:rsidRPr="00BF72D2" w:rsidRDefault="00320FDC" w:rsidP="00320FDC">
      <w:pPr>
        <w:spacing w:line="480" w:lineRule="auto"/>
        <w:rPr>
          <w:rFonts w:cstheme="minorHAnsi"/>
          <w:color w:val="000000" w:themeColor="text1"/>
        </w:rPr>
      </w:pPr>
      <w:r w:rsidRPr="00BF72D2">
        <w:rPr>
          <w:rFonts w:cstheme="minorHAnsi"/>
          <w:color w:val="000000" w:themeColor="text1"/>
        </w:rPr>
        <w:t xml:space="preserve">9. Dakin H, Devlin N, Feng Y, Rice N, O'Neill P, Parkin D. The Influence of Cost-Effectiveness and Other Factors on </w:t>
      </w:r>
      <w:r w:rsidR="00DD192E" w:rsidRPr="00BF72D2">
        <w:rPr>
          <w:rFonts w:cstheme="minorHAnsi"/>
          <w:color w:val="000000" w:themeColor="text1"/>
        </w:rPr>
        <w:t>NICE Decisions. Health Econ</w:t>
      </w:r>
      <w:r w:rsidRPr="00BF72D2">
        <w:rPr>
          <w:rFonts w:cstheme="minorHAnsi"/>
          <w:color w:val="000000" w:themeColor="text1"/>
        </w:rPr>
        <w:t xml:space="preserve">. 2015;24:1256-71. </w:t>
      </w:r>
    </w:p>
    <w:p w14:paraId="4876EF25" w14:textId="06D9992F" w:rsidR="00320FDC" w:rsidRPr="00BF72D2" w:rsidRDefault="00320FDC" w:rsidP="00320FDC">
      <w:pPr>
        <w:spacing w:line="480" w:lineRule="auto"/>
        <w:rPr>
          <w:rFonts w:cstheme="minorHAnsi"/>
          <w:color w:val="000000" w:themeColor="text1"/>
        </w:rPr>
      </w:pPr>
      <w:r w:rsidRPr="00BF72D2">
        <w:rPr>
          <w:rFonts w:cstheme="minorHAnsi"/>
          <w:color w:val="000000" w:themeColor="text1"/>
        </w:rPr>
        <w:t>10. National Audit Office. Investigation into the Cancer Drugs Fund: National Audit Office. 2015.</w:t>
      </w:r>
    </w:p>
    <w:p w14:paraId="15C132E3" w14:textId="090A21CC" w:rsidR="00320FDC" w:rsidRPr="00BF72D2" w:rsidRDefault="00320FDC" w:rsidP="00320FDC">
      <w:pPr>
        <w:spacing w:line="480" w:lineRule="auto"/>
        <w:rPr>
          <w:rFonts w:cstheme="minorHAnsi"/>
          <w:color w:val="000000" w:themeColor="text1"/>
        </w:rPr>
      </w:pPr>
      <w:r w:rsidRPr="00BF72D2">
        <w:rPr>
          <w:rFonts w:cstheme="minorHAnsi"/>
          <w:color w:val="000000" w:themeColor="text1"/>
        </w:rPr>
        <w:lastRenderedPageBreak/>
        <w:t>11. NHS England Cancer Drugs Fund Team. Appraisal and Funding of Cancer Drugs from July 2016 (including the new Cancer Drugs Fund) - A new deal for patients, taxpayers and industry. NHS England. 2016.</w:t>
      </w:r>
    </w:p>
    <w:p w14:paraId="2FC9FD24" w14:textId="2A1ABA99" w:rsidR="00320FDC" w:rsidRPr="00BF72D2" w:rsidRDefault="00320FDC" w:rsidP="00320FDC">
      <w:pPr>
        <w:spacing w:line="480" w:lineRule="auto"/>
        <w:rPr>
          <w:rFonts w:cstheme="minorHAnsi"/>
          <w:color w:val="000000" w:themeColor="text1"/>
        </w:rPr>
      </w:pPr>
      <w:r w:rsidRPr="00BF72D2">
        <w:rPr>
          <w:rFonts w:cstheme="minorHAnsi"/>
          <w:color w:val="000000" w:themeColor="text1"/>
        </w:rPr>
        <w:t>12. Akehurst RL, Abadie E, Renaudin N, Sarkozy F. Variation in Health Technology Assessment and Reimburse</w:t>
      </w:r>
      <w:r w:rsidR="00DD192E" w:rsidRPr="00BF72D2">
        <w:rPr>
          <w:rFonts w:cstheme="minorHAnsi"/>
          <w:color w:val="000000" w:themeColor="text1"/>
        </w:rPr>
        <w:t>ment Processes in Europe. Value</w:t>
      </w:r>
      <w:r w:rsidRPr="00BF72D2">
        <w:rPr>
          <w:rFonts w:cstheme="minorHAnsi"/>
          <w:color w:val="000000" w:themeColor="text1"/>
        </w:rPr>
        <w:t xml:space="preserve"> Health. 2017;20:67-76. </w:t>
      </w:r>
    </w:p>
    <w:p w14:paraId="73011D46" w14:textId="4F52BCDC" w:rsidR="00320FDC" w:rsidRPr="00BF72D2" w:rsidRDefault="00320FDC" w:rsidP="00320FDC">
      <w:pPr>
        <w:spacing w:line="480" w:lineRule="auto"/>
        <w:rPr>
          <w:rFonts w:cstheme="minorHAnsi"/>
          <w:color w:val="000000" w:themeColor="text1"/>
        </w:rPr>
      </w:pPr>
      <w:r w:rsidRPr="00BF72D2">
        <w:rPr>
          <w:rFonts w:cstheme="minorHAnsi"/>
          <w:color w:val="000000" w:themeColor="text1"/>
        </w:rPr>
        <w:t>13. Clement F</w:t>
      </w:r>
      <w:r w:rsidR="00EF7041" w:rsidRPr="00BF72D2">
        <w:rPr>
          <w:rFonts w:cstheme="minorHAnsi"/>
          <w:color w:val="000000" w:themeColor="text1"/>
        </w:rPr>
        <w:t xml:space="preserve">M, </w:t>
      </w:r>
      <w:r w:rsidRPr="00BF72D2">
        <w:rPr>
          <w:rFonts w:cstheme="minorHAnsi"/>
          <w:color w:val="000000" w:themeColor="text1"/>
        </w:rPr>
        <w:t>H</w:t>
      </w:r>
      <w:r w:rsidR="00EF7041" w:rsidRPr="00BF72D2">
        <w:rPr>
          <w:rFonts w:cstheme="minorHAnsi"/>
          <w:color w:val="000000" w:themeColor="text1"/>
        </w:rPr>
        <w:t>arris A, Li JJ, Yong K, Lee KM, Manns</w:t>
      </w:r>
      <w:r w:rsidRPr="00BF72D2">
        <w:rPr>
          <w:rFonts w:cstheme="minorHAnsi"/>
          <w:color w:val="000000" w:themeColor="text1"/>
        </w:rPr>
        <w:t xml:space="preserve"> BJ. Using Effectiveness and Cost-effectiveness to Make Drug Coverage Decisions: A Comparison of Britain, Australia, and Canada. </w:t>
      </w:r>
      <w:r w:rsidR="00DD192E" w:rsidRPr="00BF72D2">
        <w:rPr>
          <w:rFonts w:cstheme="minorHAnsi"/>
          <w:color w:val="000000" w:themeColor="text1"/>
        </w:rPr>
        <w:t xml:space="preserve">JAMA. </w:t>
      </w:r>
      <w:r w:rsidRPr="00BF72D2">
        <w:rPr>
          <w:rFonts w:cstheme="minorHAnsi"/>
          <w:color w:val="000000" w:themeColor="text1"/>
        </w:rPr>
        <w:t xml:space="preserve">2009;302(13):1437-43. </w:t>
      </w:r>
    </w:p>
    <w:p w14:paraId="2F54483A" w14:textId="3B8A52A6" w:rsidR="008C79C9" w:rsidRPr="00BF72D2" w:rsidRDefault="008C79C9" w:rsidP="00800BD1">
      <w:pPr>
        <w:spacing w:line="480" w:lineRule="auto"/>
        <w:rPr>
          <w:rFonts w:cstheme="minorHAnsi"/>
          <w:color w:val="000000" w:themeColor="text1"/>
        </w:rPr>
      </w:pPr>
    </w:p>
    <w:sectPr w:rsidR="008C79C9" w:rsidRPr="00BF72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491B9" w14:textId="77777777" w:rsidR="004B0CF0" w:rsidRDefault="004B0CF0" w:rsidP="004B0CF0">
      <w:pPr>
        <w:spacing w:after="0" w:line="240" w:lineRule="auto"/>
      </w:pPr>
      <w:r>
        <w:separator/>
      </w:r>
    </w:p>
  </w:endnote>
  <w:endnote w:type="continuationSeparator" w:id="0">
    <w:p w14:paraId="7C144441" w14:textId="77777777" w:rsidR="004B0CF0" w:rsidRDefault="004B0CF0" w:rsidP="004B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EF654" w14:textId="77777777" w:rsidR="004B0CF0" w:rsidRDefault="004B0CF0" w:rsidP="004B0CF0">
      <w:pPr>
        <w:spacing w:after="0" w:line="240" w:lineRule="auto"/>
      </w:pPr>
      <w:r>
        <w:separator/>
      </w:r>
    </w:p>
  </w:footnote>
  <w:footnote w:type="continuationSeparator" w:id="0">
    <w:p w14:paraId="5B2EA381" w14:textId="77777777" w:rsidR="004B0CF0" w:rsidRDefault="004B0CF0" w:rsidP="004B0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7713"/>
    <w:multiLevelType w:val="hybridMultilevel"/>
    <w:tmpl w:val="CF06CB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285767"/>
    <w:multiLevelType w:val="hybridMultilevel"/>
    <w:tmpl w:val="C37A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5D4602"/>
    <w:multiLevelType w:val="hybridMultilevel"/>
    <w:tmpl w:val="7ED2D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0C7F5E"/>
    <w:multiLevelType w:val="hybridMultilevel"/>
    <w:tmpl w:val="8512A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555A9"/>
    <w:multiLevelType w:val="hybridMultilevel"/>
    <w:tmpl w:val="C27A4746"/>
    <w:lvl w:ilvl="0" w:tplc="FB0A3C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D17E38"/>
    <w:multiLevelType w:val="hybridMultilevel"/>
    <w:tmpl w:val="58169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2C1D17"/>
    <w:multiLevelType w:val="hybridMultilevel"/>
    <w:tmpl w:val="FC807D54"/>
    <w:lvl w:ilvl="0" w:tplc="BA40AA20">
      <w:start w:val="1"/>
      <w:numFmt w:val="decimal"/>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ringerVancouverNumb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wap9w0xt9zppefx0k5f554daxwppexp2xx&quot;&gt;References&lt;record-ids&gt;&lt;item&gt;2&lt;/item&gt;&lt;item&gt;3&lt;/item&gt;&lt;item&gt;4&lt;/item&gt;&lt;item&gt;5&lt;/item&gt;&lt;item&gt;6&lt;/item&gt;&lt;item&gt;7&lt;/item&gt;&lt;item&gt;9&lt;/item&gt;&lt;item&gt;10&lt;/item&gt;&lt;item&gt;11&lt;/item&gt;&lt;item&gt;12&lt;/item&gt;&lt;item&gt;13&lt;/item&gt;&lt;item&gt;14&lt;/item&gt;&lt;item&gt;15&lt;/item&gt;&lt;/record-ids&gt;&lt;/item&gt;&lt;/Libraries&gt;"/>
  </w:docVars>
  <w:rsids>
    <w:rsidRoot w:val="008C79C9"/>
    <w:rsid w:val="0000142B"/>
    <w:rsid w:val="00012660"/>
    <w:rsid w:val="000131F5"/>
    <w:rsid w:val="000151C0"/>
    <w:rsid w:val="000163C5"/>
    <w:rsid w:val="000218BC"/>
    <w:rsid w:val="0002410F"/>
    <w:rsid w:val="00026822"/>
    <w:rsid w:val="000269CA"/>
    <w:rsid w:val="000419A8"/>
    <w:rsid w:val="000575F8"/>
    <w:rsid w:val="00071FC4"/>
    <w:rsid w:val="00083335"/>
    <w:rsid w:val="000851AE"/>
    <w:rsid w:val="00092315"/>
    <w:rsid w:val="000A2A5C"/>
    <w:rsid w:val="000A333B"/>
    <w:rsid w:val="000B2A66"/>
    <w:rsid w:val="000D2B01"/>
    <w:rsid w:val="00105E36"/>
    <w:rsid w:val="00110CAB"/>
    <w:rsid w:val="0011345A"/>
    <w:rsid w:val="00121488"/>
    <w:rsid w:val="00121E48"/>
    <w:rsid w:val="00134E5E"/>
    <w:rsid w:val="00143FAE"/>
    <w:rsid w:val="0015089F"/>
    <w:rsid w:val="0015104F"/>
    <w:rsid w:val="00166F55"/>
    <w:rsid w:val="0019161B"/>
    <w:rsid w:val="00194253"/>
    <w:rsid w:val="001955E4"/>
    <w:rsid w:val="001964BE"/>
    <w:rsid w:val="001A04F6"/>
    <w:rsid w:val="001B65C1"/>
    <w:rsid w:val="001C22B9"/>
    <w:rsid w:val="001E4842"/>
    <w:rsid w:val="001E5516"/>
    <w:rsid w:val="001F6E9C"/>
    <w:rsid w:val="00215C96"/>
    <w:rsid w:val="00232226"/>
    <w:rsid w:val="002333C3"/>
    <w:rsid w:val="002366BC"/>
    <w:rsid w:val="00251A33"/>
    <w:rsid w:val="00254847"/>
    <w:rsid w:val="002615F1"/>
    <w:rsid w:val="0027161C"/>
    <w:rsid w:val="00283E2E"/>
    <w:rsid w:val="00293904"/>
    <w:rsid w:val="002A7BD5"/>
    <w:rsid w:val="002B0DDD"/>
    <w:rsid w:val="002C00EC"/>
    <w:rsid w:val="002C018B"/>
    <w:rsid w:val="002C64DC"/>
    <w:rsid w:val="002C6E79"/>
    <w:rsid w:val="002D65FB"/>
    <w:rsid w:val="002D77FC"/>
    <w:rsid w:val="002D7842"/>
    <w:rsid w:val="002E6147"/>
    <w:rsid w:val="002F2B4D"/>
    <w:rsid w:val="002F798E"/>
    <w:rsid w:val="00300CCA"/>
    <w:rsid w:val="00303772"/>
    <w:rsid w:val="00320FDC"/>
    <w:rsid w:val="00330777"/>
    <w:rsid w:val="00333C35"/>
    <w:rsid w:val="003443F8"/>
    <w:rsid w:val="003516B7"/>
    <w:rsid w:val="00354DED"/>
    <w:rsid w:val="00360264"/>
    <w:rsid w:val="00391AF3"/>
    <w:rsid w:val="003A0C2C"/>
    <w:rsid w:val="003B6413"/>
    <w:rsid w:val="003C19D1"/>
    <w:rsid w:val="003C3713"/>
    <w:rsid w:val="003D01CA"/>
    <w:rsid w:val="003E3310"/>
    <w:rsid w:val="003F31FC"/>
    <w:rsid w:val="003F4708"/>
    <w:rsid w:val="003F4DC8"/>
    <w:rsid w:val="00404C59"/>
    <w:rsid w:val="004132B9"/>
    <w:rsid w:val="004263F3"/>
    <w:rsid w:val="00427A4C"/>
    <w:rsid w:val="00436244"/>
    <w:rsid w:val="004401ED"/>
    <w:rsid w:val="00445DC0"/>
    <w:rsid w:val="00452DCD"/>
    <w:rsid w:val="00463450"/>
    <w:rsid w:val="00470FF0"/>
    <w:rsid w:val="00483F02"/>
    <w:rsid w:val="00484114"/>
    <w:rsid w:val="00486CFD"/>
    <w:rsid w:val="004A6A9B"/>
    <w:rsid w:val="004B0CF0"/>
    <w:rsid w:val="004B3EAA"/>
    <w:rsid w:val="004C4F1D"/>
    <w:rsid w:val="004D1A7E"/>
    <w:rsid w:val="004D3B26"/>
    <w:rsid w:val="004D72B0"/>
    <w:rsid w:val="004E073B"/>
    <w:rsid w:val="00501D40"/>
    <w:rsid w:val="00501F67"/>
    <w:rsid w:val="005038D7"/>
    <w:rsid w:val="005046C1"/>
    <w:rsid w:val="00507206"/>
    <w:rsid w:val="00521A04"/>
    <w:rsid w:val="00532E06"/>
    <w:rsid w:val="0055272C"/>
    <w:rsid w:val="005575E0"/>
    <w:rsid w:val="005671AD"/>
    <w:rsid w:val="00571078"/>
    <w:rsid w:val="0057356E"/>
    <w:rsid w:val="0058794B"/>
    <w:rsid w:val="005A5DA6"/>
    <w:rsid w:val="005C225A"/>
    <w:rsid w:val="005F317F"/>
    <w:rsid w:val="005F5611"/>
    <w:rsid w:val="005F754C"/>
    <w:rsid w:val="00600205"/>
    <w:rsid w:val="0060387E"/>
    <w:rsid w:val="00612587"/>
    <w:rsid w:val="006239B8"/>
    <w:rsid w:val="00632763"/>
    <w:rsid w:val="006404F4"/>
    <w:rsid w:val="00652807"/>
    <w:rsid w:val="00656258"/>
    <w:rsid w:val="00657F94"/>
    <w:rsid w:val="006656CB"/>
    <w:rsid w:val="00671CF8"/>
    <w:rsid w:val="00675EC6"/>
    <w:rsid w:val="006763E8"/>
    <w:rsid w:val="00686214"/>
    <w:rsid w:val="006A0F70"/>
    <w:rsid w:val="006B56A2"/>
    <w:rsid w:val="006C4620"/>
    <w:rsid w:val="006C63F3"/>
    <w:rsid w:val="006D6B29"/>
    <w:rsid w:val="00726024"/>
    <w:rsid w:val="007322F5"/>
    <w:rsid w:val="00733878"/>
    <w:rsid w:val="0074157D"/>
    <w:rsid w:val="007421A3"/>
    <w:rsid w:val="00752C83"/>
    <w:rsid w:val="0076221F"/>
    <w:rsid w:val="00780198"/>
    <w:rsid w:val="00781C88"/>
    <w:rsid w:val="00781CFD"/>
    <w:rsid w:val="00782173"/>
    <w:rsid w:val="007847FB"/>
    <w:rsid w:val="007A3575"/>
    <w:rsid w:val="007A3616"/>
    <w:rsid w:val="007C081F"/>
    <w:rsid w:val="007C7064"/>
    <w:rsid w:val="007D4C62"/>
    <w:rsid w:val="007E472A"/>
    <w:rsid w:val="00800BD1"/>
    <w:rsid w:val="00800F22"/>
    <w:rsid w:val="00802DB7"/>
    <w:rsid w:val="00806541"/>
    <w:rsid w:val="00813720"/>
    <w:rsid w:val="00817A75"/>
    <w:rsid w:val="008248A8"/>
    <w:rsid w:val="0083004E"/>
    <w:rsid w:val="00832D0E"/>
    <w:rsid w:val="00835F33"/>
    <w:rsid w:val="00836969"/>
    <w:rsid w:val="00842CB3"/>
    <w:rsid w:val="00844D87"/>
    <w:rsid w:val="00853980"/>
    <w:rsid w:val="00860479"/>
    <w:rsid w:val="0089226E"/>
    <w:rsid w:val="008A0E04"/>
    <w:rsid w:val="008A247B"/>
    <w:rsid w:val="008B7251"/>
    <w:rsid w:val="008C56E0"/>
    <w:rsid w:val="008C79C9"/>
    <w:rsid w:val="008D194D"/>
    <w:rsid w:val="008F357D"/>
    <w:rsid w:val="008F49D9"/>
    <w:rsid w:val="009058E4"/>
    <w:rsid w:val="00911CCA"/>
    <w:rsid w:val="009169E6"/>
    <w:rsid w:val="00927336"/>
    <w:rsid w:val="00927744"/>
    <w:rsid w:val="0094280E"/>
    <w:rsid w:val="0095193F"/>
    <w:rsid w:val="009542A2"/>
    <w:rsid w:val="00954954"/>
    <w:rsid w:val="0095572C"/>
    <w:rsid w:val="009679D0"/>
    <w:rsid w:val="00990C74"/>
    <w:rsid w:val="009B2584"/>
    <w:rsid w:val="009B76A6"/>
    <w:rsid w:val="009C0339"/>
    <w:rsid w:val="009D317C"/>
    <w:rsid w:val="009D53ED"/>
    <w:rsid w:val="009D7764"/>
    <w:rsid w:val="009E7A42"/>
    <w:rsid w:val="009F5243"/>
    <w:rsid w:val="00A01877"/>
    <w:rsid w:val="00A02065"/>
    <w:rsid w:val="00A13B0C"/>
    <w:rsid w:val="00A2136F"/>
    <w:rsid w:val="00A307FF"/>
    <w:rsid w:val="00A33815"/>
    <w:rsid w:val="00A33BD3"/>
    <w:rsid w:val="00A36D60"/>
    <w:rsid w:val="00A41A5B"/>
    <w:rsid w:val="00A54165"/>
    <w:rsid w:val="00A54CD5"/>
    <w:rsid w:val="00A738FC"/>
    <w:rsid w:val="00A76DF4"/>
    <w:rsid w:val="00A77A97"/>
    <w:rsid w:val="00A87776"/>
    <w:rsid w:val="00A90775"/>
    <w:rsid w:val="00A90E0C"/>
    <w:rsid w:val="00A90F69"/>
    <w:rsid w:val="00A97706"/>
    <w:rsid w:val="00AA018B"/>
    <w:rsid w:val="00AC4521"/>
    <w:rsid w:val="00AD3F58"/>
    <w:rsid w:val="00AE7B1D"/>
    <w:rsid w:val="00B20563"/>
    <w:rsid w:val="00B2613A"/>
    <w:rsid w:val="00B26FCE"/>
    <w:rsid w:val="00B3243E"/>
    <w:rsid w:val="00B33561"/>
    <w:rsid w:val="00B7253E"/>
    <w:rsid w:val="00B832D8"/>
    <w:rsid w:val="00B872AB"/>
    <w:rsid w:val="00B91311"/>
    <w:rsid w:val="00B915DD"/>
    <w:rsid w:val="00B97FB2"/>
    <w:rsid w:val="00BC46A4"/>
    <w:rsid w:val="00BF72D2"/>
    <w:rsid w:val="00C01443"/>
    <w:rsid w:val="00C04CA2"/>
    <w:rsid w:val="00C16742"/>
    <w:rsid w:val="00C261AC"/>
    <w:rsid w:val="00C36786"/>
    <w:rsid w:val="00C46094"/>
    <w:rsid w:val="00C46EE4"/>
    <w:rsid w:val="00C54793"/>
    <w:rsid w:val="00C57A7E"/>
    <w:rsid w:val="00C63E4E"/>
    <w:rsid w:val="00C73DBD"/>
    <w:rsid w:val="00C751EB"/>
    <w:rsid w:val="00C8080C"/>
    <w:rsid w:val="00C87B47"/>
    <w:rsid w:val="00C9524C"/>
    <w:rsid w:val="00C95675"/>
    <w:rsid w:val="00CA3939"/>
    <w:rsid w:val="00CB2054"/>
    <w:rsid w:val="00CB4F5F"/>
    <w:rsid w:val="00CB54AB"/>
    <w:rsid w:val="00CC4EE3"/>
    <w:rsid w:val="00CC5833"/>
    <w:rsid w:val="00CD7556"/>
    <w:rsid w:val="00CF0812"/>
    <w:rsid w:val="00D04DC2"/>
    <w:rsid w:val="00D10B3E"/>
    <w:rsid w:val="00D14412"/>
    <w:rsid w:val="00D3364A"/>
    <w:rsid w:val="00D34FD9"/>
    <w:rsid w:val="00D4504F"/>
    <w:rsid w:val="00D501D2"/>
    <w:rsid w:val="00D55BC2"/>
    <w:rsid w:val="00D57B51"/>
    <w:rsid w:val="00D64525"/>
    <w:rsid w:val="00D65C93"/>
    <w:rsid w:val="00D75BA6"/>
    <w:rsid w:val="00D85AD7"/>
    <w:rsid w:val="00D9092B"/>
    <w:rsid w:val="00D94121"/>
    <w:rsid w:val="00D95C4C"/>
    <w:rsid w:val="00DB060D"/>
    <w:rsid w:val="00DB3D7E"/>
    <w:rsid w:val="00DB5A61"/>
    <w:rsid w:val="00DB7AD0"/>
    <w:rsid w:val="00DC2C40"/>
    <w:rsid w:val="00DD192E"/>
    <w:rsid w:val="00DD2AB5"/>
    <w:rsid w:val="00DD3B82"/>
    <w:rsid w:val="00DE707D"/>
    <w:rsid w:val="00DF0215"/>
    <w:rsid w:val="00DF0411"/>
    <w:rsid w:val="00DF480A"/>
    <w:rsid w:val="00E13AAC"/>
    <w:rsid w:val="00E16C5E"/>
    <w:rsid w:val="00E21131"/>
    <w:rsid w:val="00E34F17"/>
    <w:rsid w:val="00E37B0F"/>
    <w:rsid w:val="00E50872"/>
    <w:rsid w:val="00E61541"/>
    <w:rsid w:val="00E61BB6"/>
    <w:rsid w:val="00E8259E"/>
    <w:rsid w:val="00EA1EF8"/>
    <w:rsid w:val="00EB7500"/>
    <w:rsid w:val="00ED57F6"/>
    <w:rsid w:val="00EE77B8"/>
    <w:rsid w:val="00EF05AB"/>
    <w:rsid w:val="00EF7041"/>
    <w:rsid w:val="00F018FA"/>
    <w:rsid w:val="00F21E47"/>
    <w:rsid w:val="00F21E8C"/>
    <w:rsid w:val="00F26C91"/>
    <w:rsid w:val="00F409AB"/>
    <w:rsid w:val="00F40D0D"/>
    <w:rsid w:val="00F536BF"/>
    <w:rsid w:val="00F549C5"/>
    <w:rsid w:val="00F57C5C"/>
    <w:rsid w:val="00F67EC7"/>
    <w:rsid w:val="00F75360"/>
    <w:rsid w:val="00F7611B"/>
    <w:rsid w:val="00F77530"/>
    <w:rsid w:val="00F77C02"/>
    <w:rsid w:val="00F83468"/>
    <w:rsid w:val="00F87099"/>
    <w:rsid w:val="00F940B9"/>
    <w:rsid w:val="00FA0C1E"/>
    <w:rsid w:val="00FC1D54"/>
    <w:rsid w:val="00FC29DD"/>
    <w:rsid w:val="00FC4FF1"/>
    <w:rsid w:val="00FD149D"/>
    <w:rsid w:val="00FD4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79C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C79C9"/>
    <w:rPr>
      <w:sz w:val="16"/>
      <w:szCs w:val="16"/>
    </w:rPr>
  </w:style>
  <w:style w:type="paragraph" w:styleId="CommentText">
    <w:name w:val="annotation text"/>
    <w:basedOn w:val="Normal"/>
    <w:link w:val="CommentTextChar"/>
    <w:uiPriority w:val="99"/>
    <w:semiHidden/>
    <w:unhideWhenUsed/>
    <w:rsid w:val="008C79C9"/>
    <w:pPr>
      <w:spacing w:line="240" w:lineRule="auto"/>
    </w:pPr>
    <w:rPr>
      <w:sz w:val="20"/>
      <w:szCs w:val="20"/>
    </w:rPr>
  </w:style>
  <w:style w:type="character" w:customStyle="1" w:styleId="CommentTextChar">
    <w:name w:val="Comment Text Char"/>
    <w:basedOn w:val="DefaultParagraphFont"/>
    <w:link w:val="CommentText"/>
    <w:uiPriority w:val="99"/>
    <w:semiHidden/>
    <w:rsid w:val="008C79C9"/>
    <w:rPr>
      <w:sz w:val="20"/>
      <w:szCs w:val="20"/>
    </w:rPr>
  </w:style>
  <w:style w:type="paragraph" w:styleId="BalloonText">
    <w:name w:val="Balloon Text"/>
    <w:basedOn w:val="Normal"/>
    <w:link w:val="BalloonTextChar"/>
    <w:uiPriority w:val="99"/>
    <w:semiHidden/>
    <w:unhideWhenUsed/>
    <w:rsid w:val="008C7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9C9"/>
    <w:rPr>
      <w:rFonts w:ascii="Segoe UI" w:hAnsi="Segoe UI" w:cs="Segoe UI"/>
      <w:sz w:val="18"/>
      <w:szCs w:val="18"/>
    </w:rPr>
  </w:style>
  <w:style w:type="paragraph" w:styleId="ListParagraph">
    <w:name w:val="List Paragraph"/>
    <w:basedOn w:val="Normal"/>
    <w:uiPriority w:val="34"/>
    <w:qFormat/>
    <w:rsid w:val="008C79C9"/>
    <w:pPr>
      <w:ind w:left="720"/>
      <w:contextualSpacing/>
    </w:pPr>
  </w:style>
  <w:style w:type="paragraph" w:styleId="CommentSubject">
    <w:name w:val="annotation subject"/>
    <w:basedOn w:val="CommentText"/>
    <w:next w:val="CommentText"/>
    <w:link w:val="CommentSubjectChar"/>
    <w:uiPriority w:val="99"/>
    <w:semiHidden/>
    <w:unhideWhenUsed/>
    <w:rsid w:val="008C79C9"/>
    <w:rPr>
      <w:b/>
      <w:bCs/>
    </w:rPr>
  </w:style>
  <w:style w:type="character" w:customStyle="1" w:styleId="CommentSubjectChar">
    <w:name w:val="Comment Subject Char"/>
    <w:basedOn w:val="CommentTextChar"/>
    <w:link w:val="CommentSubject"/>
    <w:uiPriority w:val="99"/>
    <w:semiHidden/>
    <w:rsid w:val="008C79C9"/>
    <w:rPr>
      <w:b/>
      <w:bCs/>
      <w:sz w:val="20"/>
      <w:szCs w:val="20"/>
    </w:rPr>
  </w:style>
  <w:style w:type="paragraph" w:styleId="Caption">
    <w:name w:val="caption"/>
    <w:basedOn w:val="Normal"/>
    <w:next w:val="Normal"/>
    <w:uiPriority w:val="35"/>
    <w:unhideWhenUsed/>
    <w:qFormat/>
    <w:rsid w:val="00501D40"/>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65625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56258"/>
    <w:rPr>
      <w:rFonts w:ascii="Calibri" w:hAnsi="Calibri" w:cs="Calibri"/>
      <w:noProof/>
      <w:lang w:val="en-US"/>
    </w:rPr>
  </w:style>
  <w:style w:type="paragraph" w:customStyle="1" w:styleId="EndNoteBibliography">
    <w:name w:val="EndNote Bibliography"/>
    <w:basedOn w:val="Normal"/>
    <w:link w:val="EndNoteBibliographyChar"/>
    <w:rsid w:val="0065625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56258"/>
    <w:rPr>
      <w:rFonts w:ascii="Calibri" w:hAnsi="Calibri" w:cs="Calibri"/>
      <w:noProof/>
      <w:lang w:val="en-US"/>
    </w:rPr>
  </w:style>
  <w:style w:type="paragraph" w:styleId="Header">
    <w:name w:val="header"/>
    <w:basedOn w:val="Normal"/>
    <w:link w:val="HeaderChar"/>
    <w:uiPriority w:val="99"/>
    <w:unhideWhenUsed/>
    <w:rsid w:val="004B0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CF0"/>
  </w:style>
  <w:style w:type="paragraph" w:styleId="Footer">
    <w:name w:val="footer"/>
    <w:basedOn w:val="Normal"/>
    <w:link w:val="FooterChar"/>
    <w:uiPriority w:val="99"/>
    <w:unhideWhenUsed/>
    <w:rsid w:val="004B0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CF0"/>
  </w:style>
  <w:style w:type="character" w:styleId="Hyperlink">
    <w:name w:val="Hyperlink"/>
    <w:rsid w:val="006125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0509">
      <w:bodyDiv w:val="1"/>
      <w:marLeft w:val="0"/>
      <w:marRight w:val="0"/>
      <w:marTop w:val="0"/>
      <w:marBottom w:val="0"/>
      <w:divBdr>
        <w:top w:val="none" w:sz="0" w:space="0" w:color="auto"/>
        <w:left w:val="none" w:sz="0" w:space="0" w:color="auto"/>
        <w:bottom w:val="none" w:sz="0" w:space="0" w:color="auto"/>
        <w:right w:val="none" w:sz="0" w:space="0" w:color="auto"/>
      </w:divBdr>
    </w:div>
    <w:div w:id="500659901">
      <w:bodyDiv w:val="1"/>
      <w:marLeft w:val="0"/>
      <w:marRight w:val="0"/>
      <w:marTop w:val="0"/>
      <w:marBottom w:val="0"/>
      <w:divBdr>
        <w:top w:val="none" w:sz="0" w:space="0" w:color="auto"/>
        <w:left w:val="none" w:sz="0" w:space="0" w:color="auto"/>
        <w:bottom w:val="none" w:sz="0" w:space="0" w:color="auto"/>
        <w:right w:val="none" w:sz="0" w:space="0" w:color="auto"/>
      </w:divBdr>
    </w:div>
    <w:div w:id="19840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storage.its.york.ac.uk\crd\CRD\Health%20Economics\NICE%20TA%20process%20methods%20paper\Analysis\Summary%20analysis%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670106337516636E-2"/>
          <c:y val="1.870749211525671E-2"/>
          <c:w val="0.87963139527263678"/>
          <c:h val="0.80560835890064153"/>
        </c:manualLayout>
      </c:layout>
      <c:barChart>
        <c:barDir val="col"/>
        <c:grouping val="stacked"/>
        <c:varyColors val="0"/>
        <c:ser>
          <c:idx val="2"/>
          <c:order val="2"/>
          <c:tx>
            <c:strRef>
              <c:f>'[Summary analysis v2.xlsx]Sheet6'!$F$1</c:f>
              <c:strCache>
                <c:ptCount val="1"/>
                <c:pt idx="0">
                  <c:v>Cancer</c:v>
                </c:pt>
              </c:strCache>
            </c:strRef>
          </c:tx>
          <c:spPr>
            <a:solidFill>
              <a:schemeClr val="bg1">
                <a:lumMod val="65000"/>
              </a:schemeClr>
            </a:solidFill>
            <a:ln>
              <a:noFill/>
            </a:ln>
            <a:effectLst/>
          </c:spPr>
          <c:invertIfNegative val="0"/>
          <c:val>
            <c:numRef>
              <c:f>'[Summary analysis v2.xlsx]Sheet6'!$F$2:$F$6</c:f>
              <c:numCache>
                <c:formatCode>General</c:formatCode>
                <c:ptCount val="5"/>
                <c:pt idx="0">
                  <c:v>4</c:v>
                </c:pt>
                <c:pt idx="1">
                  <c:v>14</c:v>
                </c:pt>
                <c:pt idx="2">
                  <c:v>7</c:v>
                </c:pt>
                <c:pt idx="3">
                  <c:v>2</c:v>
                </c:pt>
                <c:pt idx="4">
                  <c:v>2</c:v>
                </c:pt>
              </c:numCache>
            </c:numRef>
          </c:val>
          <c:extLst>
            <c:ext xmlns:c16="http://schemas.microsoft.com/office/drawing/2014/chart" uri="{C3380CC4-5D6E-409C-BE32-E72D297353CC}">
              <c16:uniqueId val="{00000000-C05E-4F0D-AF09-01CA7C390526}"/>
            </c:ext>
          </c:extLst>
        </c:ser>
        <c:ser>
          <c:idx val="3"/>
          <c:order val="3"/>
          <c:tx>
            <c:strRef>
              <c:f>'[Summary analysis v2.xlsx]Sheet6'!$G$1</c:f>
              <c:strCache>
                <c:ptCount val="1"/>
                <c:pt idx="0">
                  <c:v>Advanced Cancer</c:v>
                </c:pt>
              </c:strCache>
            </c:strRef>
          </c:tx>
          <c:spPr>
            <a:solidFill>
              <a:schemeClr val="accent1">
                <a:lumMod val="60000"/>
                <a:lumOff val="40000"/>
              </a:schemeClr>
            </a:solidFill>
            <a:ln>
              <a:noFill/>
            </a:ln>
            <a:effectLst/>
          </c:spPr>
          <c:invertIfNegative val="0"/>
          <c:val>
            <c:numRef>
              <c:f>'[Summary analysis v2.xlsx]Sheet6'!$G$2:$G$6</c:f>
              <c:numCache>
                <c:formatCode>General</c:formatCode>
                <c:ptCount val="5"/>
                <c:pt idx="0">
                  <c:v>8</c:v>
                </c:pt>
                <c:pt idx="1">
                  <c:v>21</c:v>
                </c:pt>
                <c:pt idx="2">
                  <c:v>9</c:v>
                </c:pt>
                <c:pt idx="3">
                  <c:v>3</c:v>
                </c:pt>
                <c:pt idx="4">
                  <c:v>2</c:v>
                </c:pt>
              </c:numCache>
            </c:numRef>
          </c:val>
          <c:extLst>
            <c:ext xmlns:c16="http://schemas.microsoft.com/office/drawing/2014/chart" uri="{C3380CC4-5D6E-409C-BE32-E72D297353CC}">
              <c16:uniqueId val="{00000001-C05E-4F0D-AF09-01CA7C390526}"/>
            </c:ext>
          </c:extLst>
        </c:ser>
        <c:ser>
          <c:idx val="4"/>
          <c:order val="4"/>
          <c:tx>
            <c:strRef>
              <c:f>'[Summary analysis v2.xlsx]Sheet6'!$H$1</c:f>
              <c:strCache>
                <c:ptCount val="1"/>
                <c:pt idx="0">
                  <c:v>Other</c:v>
                </c:pt>
              </c:strCache>
            </c:strRef>
          </c:tx>
          <c:spPr>
            <a:solidFill>
              <a:schemeClr val="accent1">
                <a:lumMod val="50000"/>
              </a:schemeClr>
            </a:solidFill>
            <a:ln>
              <a:noFill/>
            </a:ln>
            <a:effectLst/>
          </c:spPr>
          <c:invertIfNegative val="0"/>
          <c:val>
            <c:numRef>
              <c:f>'[Summary analysis v2.xlsx]Sheet6'!$H$2:$H$6</c:f>
              <c:numCache>
                <c:formatCode>General</c:formatCode>
                <c:ptCount val="5"/>
                <c:pt idx="0">
                  <c:v>18</c:v>
                </c:pt>
                <c:pt idx="1">
                  <c:v>44</c:v>
                </c:pt>
                <c:pt idx="2">
                  <c:v>9</c:v>
                </c:pt>
                <c:pt idx="3">
                  <c:v>2</c:v>
                </c:pt>
                <c:pt idx="4">
                  <c:v>1</c:v>
                </c:pt>
              </c:numCache>
            </c:numRef>
          </c:val>
          <c:extLst>
            <c:ext xmlns:c16="http://schemas.microsoft.com/office/drawing/2014/chart" uri="{C3380CC4-5D6E-409C-BE32-E72D297353CC}">
              <c16:uniqueId val="{00000002-C05E-4F0D-AF09-01CA7C390526}"/>
            </c:ext>
          </c:extLst>
        </c:ser>
        <c:dLbls>
          <c:showLegendKey val="0"/>
          <c:showVal val="0"/>
          <c:showCatName val="0"/>
          <c:showSerName val="0"/>
          <c:showPercent val="0"/>
          <c:showBubbleSize val="0"/>
        </c:dLbls>
        <c:gapWidth val="150"/>
        <c:overlap val="100"/>
        <c:axId val="234431104"/>
        <c:axId val="234430712"/>
        <c:extLst>
          <c:ext xmlns:c15="http://schemas.microsoft.com/office/drawing/2012/chart" uri="{02D57815-91ED-43cb-92C2-25804820EDAC}">
            <c15:filteredBarSeries>
              <c15:ser>
                <c:idx val="0"/>
                <c:order val="0"/>
                <c:tx>
                  <c:strRef>
                    <c:extLst>
                      <c:ext uri="{02D57815-91ED-43cb-92C2-25804820EDAC}">
                        <c15:formulaRef>
                          <c15:sqref>'[Summary analysis v2.xlsx]Sheet6'!$D$1</c15:sqref>
                        </c15:formulaRef>
                      </c:ext>
                    </c:extLst>
                    <c:strCache>
                      <c:ptCount val="1"/>
                      <c:pt idx="0">
                        <c:v>No.</c:v>
                      </c:pt>
                    </c:strCache>
                  </c:strRef>
                </c:tx>
                <c:spPr>
                  <a:solidFill>
                    <a:schemeClr val="accent1"/>
                  </a:solidFill>
                  <a:ln>
                    <a:noFill/>
                  </a:ln>
                  <a:effectLst/>
                </c:spPr>
                <c:invertIfNegative val="0"/>
                <c:val>
                  <c:numRef>
                    <c:extLst>
                      <c:ext uri="{02D57815-91ED-43cb-92C2-25804820EDAC}">
                        <c15:formulaRef>
                          <c15:sqref>'[Summary analysis v2.xlsx]Sheet6'!$D$2:$D$6</c15:sqref>
                        </c15:formulaRef>
                      </c:ext>
                    </c:extLst>
                    <c:numCache>
                      <c:formatCode>General</c:formatCode>
                      <c:ptCount val="5"/>
                      <c:pt idx="0">
                        <c:v>1</c:v>
                      </c:pt>
                      <c:pt idx="1">
                        <c:v>2</c:v>
                      </c:pt>
                      <c:pt idx="2">
                        <c:v>3</c:v>
                      </c:pt>
                      <c:pt idx="3">
                        <c:v>4</c:v>
                      </c:pt>
                      <c:pt idx="4">
                        <c:v>5</c:v>
                      </c:pt>
                    </c:numCache>
                  </c:numRef>
                </c:val>
                <c:extLst>
                  <c:ext xmlns:c16="http://schemas.microsoft.com/office/drawing/2014/chart" uri="{C3380CC4-5D6E-409C-BE32-E72D297353CC}">
                    <c16:uniqueId val="{00000003-C05E-4F0D-AF09-01CA7C390526}"/>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'[Summary analysis v2.xlsx]Sheet6'!$E$1</c15:sqref>
                        </c15:formulaRef>
                      </c:ext>
                    </c:extLst>
                    <c:strCache>
                      <c:ptCount val="1"/>
                      <c:pt idx="0">
                        <c:v>Freq.</c:v>
                      </c:pt>
                    </c:strCache>
                  </c:strRef>
                </c:tx>
                <c:spPr>
                  <a:solidFill>
                    <a:schemeClr val="accent2"/>
                  </a:solidFill>
                  <a:ln>
                    <a:noFill/>
                  </a:ln>
                  <a:effectLst/>
                </c:spPr>
                <c:invertIfNegative val="0"/>
                <c:val>
                  <c:numRef>
                    <c:extLst xmlns:c15="http://schemas.microsoft.com/office/drawing/2012/chart">
                      <c:ext xmlns:c15="http://schemas.microsoft.com/office/drawing/2012/chart" uri="{02D57815-91ED-43cb-92C2-25804820EDAC}">
                        <c15:formulaRef>
                          <c15:sqref>'[Summary analysis v2.xlsx]Sheet6'!$E$2:$E$6</c15:sqref>
                        </c15:formulaRef>
                      </c:ext>
                    </c:extLst>
                    <c:numCache>
                      <c:formatCode>General</c:formatCode>
                      <c:ptCount val="5"/>
                      <c:pt idx="0">
                        <c:v>30</c:v>
                      </c:pt>
                      <c:pt idx="1">
                        <c:v>79</c:v>
                      </c:pt>
                      <c:pt idx="2">
                        <c:v>25</c:v>
                      </c:pt>
                      <c:pt idx="3">
                        <c:v>7</c:v>
                      </c:pt>
                      <c:pt idx="4">
                        <c:v>5</c:v>
                      </c:pt>
                    </c:numCache>
                  </c:numRef>
                </c:val>
                <c:extLst xmlns:c15="http://schemas.microsoft.com/office/drawing/2012/chart">
                  <c:ext xmlns:c16="http://schemas.microsoft.com/office/drawing/2014/chart" uri="{C3380CC4-5D6E-409C-BE32-E72D297353CC}">
                    <c16:uniqueId val="{00000004-C05E-4F0D-AF09-01CA7C390526}"/>
                  </c:ext>
                </c:extLst>
              </c15:ser>
            </c15:filteredBarSeries>
          </c:ext>
        </c:extLst>
      </c:barChart>
      <c:catAx>
        <c:axId val="234431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a:t>
                </a:r>
                <a:r>
                  <a:rPr lang="en-GB" baseline="0"/>
                  <a:t> Committee Meetings</a:t>
                </a:r>
                <a:endParaRPr lang="en-GB"/>
              </a:p>
            </c:rich>
          </c:tx>
          <c:layout>
            <c:manualLayout>
              <c:xMode val="edge"/>
              <c:yMode val="edge"/>
              <c:x val="0.37288646005863435"/>
              <c:y val="0.8815028156169243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430712"/>
        <c:crosses val="autoZero"/>
        <c:auto val="1"/>
        <c:lblAlgn val="ctr"/>
        <c:lblOffset val="100"/>
        <c:noMultiLvlLbl val="0"/>
      </c:catAx>
      <c:valAx>
        <c:axId val="234430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Frequency </a:t>
                </a:r>
              </a:p>
            </c:rich>
          </c:tx>
          <c:layout>
            <c:manualLayout>
              <c:xMode val="edge"/>
              <c:yMode val="edge"/>
              <c:x val="1.8636985814588201E-3"/>
              <c:y val="0.331347030356225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431104"/>
        <c:crosses val="autoZero"/>
        <c:crossBetween val="between"/>
      </c:valAx>
      <c:spPr>
        <a:noFill/>
        <a:ln>
          <a:noFill/>
        </a:ln>
        <a:effectLst/>
      </c:spPr>
    </c:plotArea>
    <c:legend>
      <c:legendPos val="b"/>
      <c:layout>
        <c:manualLayout>
          <c:xMode val="edge"/>
          <c:yMode val="edge"/>
          <c:x val="0.2906112676602331"/>
          <c:y val="0.93485850886482069"/>
          <c:w val="0.41877718041150369"/>
          <c:h val="6.504188903540651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54117478885488"/>
          <c:y val="3.9693284845206137E-2"/>
          <c:w val="0.57110430787679523"/>
          <c:h val="0.96030671515479382"/>
        </c:manualLayout>
      </c:layout>
      <c:pieChart>
        <c:varyColors val="1"/>
        <c:ser>
          <c:idx val="0"/>
          <c:order val="0"/>
          <c:dPt>
            <c:idx val="0"/>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01-BB76-4394-8CA4-C744DDEE6D61}"/>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BB76-4394-8CA4-C744DDEE6D61}"/>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BB76-4394-8CA4-C744DDEE6D61}"/>
              </c:ext>
            </c:extLst>
          </c:dPt>
          <c:dPt>
            <c:idx val="3"/>
            <c:bubble3D val="0"/>
            <c:spPr>
              <a:solidFill>
                <a:schemeClr val="tx2">
                  <a:lumMod val="75000"/>
                </a:schemeClr>
              </a:solidFill>
              <a:ln w="19050">
                <a:solidFill>
                  <a:schemeClr val="lt1"/>
                </a:solidFill>
              </a:ln>
              <a:effectLst/>
            </c:spPr>
            <c:extLst>
              <c:ext xmlns:c16="http://schemas.microsoft.com/office/drawing/2014/chart" uri="{C3380CC4-5D6E-409C-BE32-E72D297353CC}">
                <c16:uniqueId val="{00000007-BB76-4394-8CA4-C744DDEE6D61}"/>
              </c:ext>
            </c:extLst>
          </c:dPt>
          <c:dLbls>
            <c:dLbl>
              <c:idx val="0"/>
              <c:layout>
                <c:manualLayout>
                  <c:x val="-0.11986404978792674"/>
                  <c:y val="5.4187654484929515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BB76-4394-8CA4-C744DDEE6D61}"/>
                </c:ext>
              </c:extLst>
            </c:dLbl>
            <c:dLbl>
              <c:idx val="1"/>
              <c:layout>
                <c:manualLayout>
                  <c:x val="4.6304551505624174E-2"/>
                  <c:y val="-9.0072824837102342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BB76-4394-8CA4-C744DDEE6D61}"/>
                </c:ext>
              </c:extLst>
            </c:dLbl>
            <c:dLbl>
              <c:idx val="2"/>
              <c:layout>
                <c:manualLayout>
                  <c:x val="0.11669245975318893"/>
                  <c:y val="4.3536757981909986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BB76-4394-8CA4-C744DDEE6D61}"/>
                </c:ext>
              </c:extLst>
            </c:dLbl>
            <c:dLbl>
              <c:idx val="3"/>
              <c:layout>
                <c:manualLayout>
                  <c:x val="5.7457109906464396E-2"/>
                  <c:y val="0.12840168646991185"/>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BB76-4394-8CA4-C744DDEE6D6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Sheet1!$A$1:$A$4</c:f>
              <c:strCache>
                <c:ptCount val="4"/>
                <c:pt idx="0">
                  <c:v>Patient Access Scheme</c:v>
                </c:pt>
                <c:pt idx="1">
                  <c:v>Decision optimisation</c:v>
                </c:pt>
                <c:pt idx="2">
                  <c:v>CDF (since July 2016)</c:v>
                </c:pt>
                <c:pt idx="3">
                  <c:v>New evidence or analysis</c:v>
                </c:pt>
              </c:strCache>
            </c:strRef>
          </c:cat>
          <c:val>
            <c:numRef>
              <c:f>Sheet1!$B$1:$B$4</c:f>
              <c:numCache>
                <c:formatCode>General</c:formatCode>
                <c:ptCount val="4"/>
                <c:pt idx="0">
                  <c:v>37.700000000000003</c:v>
                </c:pt>
                <c:pt idx="1">
                  <c:v>32.799999999999997</c:v>
                </c:pt>
                <c:pt idx="2">
                  <c:v>18</c:v>
                </c:pt>
                <c:pt idx="3">
                  <c:v>11.5</c:v>
                </c:pt>
              </c:numCache>
            </c:numRef>
          </c:val>
          <c:extLst>
            <c:ext xmlns:c16="http://schemas.microsoft.com/office/drawing/2014/chart" uri="{C3380CC4-5D6E-409C-BE32-E72D297353CC}">
              <c16:uniqueId val="{00000008-BB76-4394-8CA4-C744DDEE6D61}"/>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0524364434503295"/>
          <c:y val="0.1842335585782709"/>
          <c:w val="0.27702978796163663"/>
          <c:h val="0.2865731281481727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3B2E6-7895-4908-9007-1941224D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7052</Words>
  <Characters>40203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2018-12-03T17:09:00Z</dcterms:created>
  <dcterms:modified xsi:type="dcterms:W3CDTF">2018-12-03T17:14:00Z</dcterms:modified>
</cp:coreProperties>
</file>