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1E96A" w14:textId="77777777" w:rsidR="005E303B" w:rsidRPr="005234EE" w:rsidRDefault="005E303B" w:rsidP="005E303B">
      <w:pPr>
        <w:rPr>
          <w:rFonts w:ascii="Calibri" w:hAnsi="Calibri" w:cs="Arial"/>
          <w:color w:val="222222"/>
          <w:shd w:val="clear" w:color="auto" w:fill="FFFFFF"/>
          <w:lang w:val="en-GB"/>
        </w:rPr>
      </w:pPr>
      <w:bookmarkStart w:id="0" w:name="_GoBack"/>
      <w:bookmarkEnd w:id="0"/>
    </w:p>
    <w:p w14:paraId="7C2F9A92" w14:textId="648A6A62" w:rsidR="007C2C0A" w:rsidRDefault="007C2C0A" w:rsidP="007C2C0A">
      <w:pPr>
        <w:ind w:left="-397" w:right="-397"/>
        <w:jc w:val="both"/>
        <w:rPr>
          <w:rFonts w:ascii="Calibri" w:hAnsi="Calibri"/>
          <w:b/>
          <w:color w:val="000000" w:themeColor="text1"/>
          <w:lang w:val="en-GB"/>
        </w:rPr>
      </w:pPr>
      <w:r w:rsidRPr="005234EE">
        <w:rPr>
          <w:rFonts w:ascii="Calibri" w:hAnsi="Calibri"/>
          <w:b/>
          <w:color w:val="000000" w:themeColor="text1"/>
          <w:lang w:val="en-GB"/>
        </w:rPr>
        <w:t xml:space="preserve">Public </w:t>
      </w:r>
      <w:r w:rsidR="009B53F7" w:rsidRPr="005234EE">
        <w:rPr>
          <w:rFonts w:ascii="Calibri" w:hAnsi="Calibri"/>
          <w:b/>
          <w:color w:val="000000" w:themeColor="text1"/>
          <w:lang w:val="en-GB"/>
        </w:rPr>
        <w:t xml:space="preserve">State </w:t>
      </w:r>
      <w:r w:rsidRPr="005234EE">
        <w:rPr>
          <w:rFonts w:ascii="Calibri" w:hAnsi="Calibri"/>
          <w:b/>
          <w:color w:val="000000" w:themeColor="text1"/>
          <w:lang w:val="en-GB"/>
        </w:rPr>
        <w:t>Ownership within Varieties of Capitalism: Regulatory Foundations for Welfare and Freedom</w:t>
      </w:r>
    </w:p>
    <w:p w14:paraId="2D202691" w14:textId="457450E8" w:rsidR="006805BF" w:rsidRDefault="006805BF" w:rsidP="007C2C0A">
      <w:pPr>
        <w:ind w:left="-397" w:right="-397"/>
        <w:jc w:val="both"/>
        <w:rPr>
          <w:rFonts w:ascii="Calibri" w:hAnsi="Calibri"/>
          <w:b/>
          <w:color w:val="000000" w:themeColor="text1"/>
          <w:lang w:val="en-GB"/>
        </w:rPr>
      </w:pPr>
    </w:p>
    <w:p w14:paraId="1A50B205" w14:textId="30220847" w:rsidR="006805BF" w:rsidRPr="005234EE" w:rsidRDefault="006805BF" w:rsidP="007C2C0A">
      <w:pPr>
        <w:ind w:left="-397" w:right="-397"/>
        <w:jc w:val="both"/>
        <w:rPr>
          <w:rFonts w:ascii="Calibri" w:hAnsi="Calibri"/>
          <w:b/>
          <w:color w:val="000000" w:themeColor="text1"/>
          <w:lang w:val="en-GB"/>
        </w:rPr>
      </w:pPr>
      <w:r>
        <w:rPr>
          <w:rFonts w:ascii="Calibri" w:hAnsi="Calibri"/>
          <w:b/>
          <w:color w:val="000000" w:themeColor="text1"/>
          <w:lang w:val="en-GB"/>
        </w:rPr>
        <w:t>Louise Haagh*</w:t>
      </w:r>
    </w:p>
    <w:p w14:paraId="4949DE1B" w14:textId="77777777" w:rsidR="004271BC" w:rsidRPr="005234EE" w:rsidRDefault="004271BC" w:rsidP="007103B9">
      <w:pPr>
        <w:ind w:left="-397" w:right="-397"/>
        <w:jc w:val="both"/>
        <w:rPr>
          <w:rFonts w:ascii="Calibri" w:hAnsi="Calibri"/>
          <w:b/>
          <w:color w:val="003300"/>
          <w:lang w:val="en-GB"/>
        </w:rPr>
      </w:pPr>
    </w:p>
    <w:p w14:paraId="31DA9072" w14:textId="48E68041" w:rsidR="003C1421" w:rsidRPr="005234EE" w:rsidRDefault="007103B9" w:rsidP="00F83C9B">
      <w:pPr>
        <w:ind w:left="-397" w:right="-397"/>
        <w:jc w:val="both"/>
        <w:outlineLvl w:val="0"/>
        <w:rPr>
          <w:rFonts w:ascii="Calibri" w:hAnsi="Calibri"/>
          <w:color w:val="003300"/>
          <w:lang w:val="en-GB"/>
        </w:rPr>
      </w:pPr>
      <w:r w:rsidRPr="005234EE">
        <w:rPr>
          <w:rFonts w:ascii="Calibri" w:hAnsi="Calibri"/>
          <w:color w:val="003300"/>
          <w:lang w:val="en-GB"/>
        </w:rPr>
        <w:t>Abstract</w:t>
      </w:r>
    </w:p>
    <w:p w14:paraId="28E428B4" w14:textId="77777777" w:rsidR="007103B9" w:rsidRPr="005234EE" w:rsidRDefault="007103B9" w:rsidP="007103B9">
      <w:pPr>
        <w:ind w:left="-397" w:right="-397"/>
        <w:jc w:val="both"/>
        <w:rPr>
          <w:rFonts w:ascii="Calibri" w:hAnsi="Calibri"/>
          <w:color w:val="003300"/>
          <w:lang w:val="en-GB"/>
        </w:rPr>
      </w:pPr>
    </w:p>
    <w:p w14:paraId="223634FE" w14:textId="3B35AC0A" w:rsidR="00F02F38" w:rsidRPr="005234EE" w:rsidRDefault="003C1421" w:rsidP="005E1ED6">
      <w:pPr>
        <w:ind w:left="-397" w:right="-397"/>
        <w:jc w:val="both"/>
        <w:rPr>
          <w:rFonts w:ascii="Calibri" w:hAnsi="Calibri"/>
          <w:color w:val="000000" w:themeColor="text1"/>
          <w:lang w:val="en-GB"/>
        </w:rPr>
      </w:pPr>
      <w:r w:rsidRPr="005234EE">
        <w:rPr>
          <w:rFonts w:ascii="Calibri" w:hAnsi="Calibri"/>
          <w:color w:val="003300"/>
          <w:lang w:val="en-GB"/>
        </w:rPr>
        <w:t>In this paper</w:t>
      </w:r>
      <w:r w:rsidR="00D86C5E" w:rsidRPr="005234EE">
        <w:rPr>
          <w:rFonts w:ascii="Calibri" w:hAnsi="Calibri"/>
          <w:color w:val="003300"/>
          <w:lang w:val="en-GB"/>
        </w:rPr>
        <w:t xml:space="preserve"> I </w:t>
      </w:r>
      <w:r w:rsidR="00D86C5E" w:rsidRPr="005234EE">
        <w:rPr>
          <w:rFonts w:ascii="Calibri" w:hAnsi="Calibri"/>
          <w:color w:val="000000" w:themeColor="text1"/>
          <w:lang w:val="en-GB"/>
        </w:rPr>
        <w:t xml:space="preserve">argue </w:t>
      </w:r>
      <w:r w:rsidRPr="005234EE">
        <w:rPr>
          <w:rFonts w:ascii="Calibri" w:hAnsi="Calibri"/>
          <w:color w:val="000000" w:themeColor="text1"/>
          <w:lang w:val="en-GB"/>
        </w:rPr>
        <w:t xml:space="preserve">public state ownership - </w:t>
      </w:r>
      <w:r w:rsidR="00D86C5E" w:rsidRPr="005234EE">
        <w:rPr>
          <w:rFonts w:ascii="Calibri" w:hAnsi="Calibri"/>
          <w:color w:val="000000" w:themeColor="text1"/>
          <w:lang w:val="en-GB"/>
        </w:rPr>
        <w:t xml:space="preserve">the extent the public </w:t>
      </w:r>
      <w:r w:rsidR="00BD566A" w:rsidRPr="005234EE">
        <w:rPr>
          <w:rFonts w:ascii="Calibri" w:hAnsi="Calibri"/>
          <w:color w:val="000000" w:themeColor="text1"/>
          <w:lang w:val="en-GB"/>
        </w:rPr>
        <w:t>‘</w:t>
      </w:r>
      <w:r w:rsidR="00D86C5E" w:rsidRPr="005234EE">
        <w:rPr>
          <w:rFonts w:ascii="Calibri" w:hAnsi="Calibri"/>
          <w:color w:val="000000" w:themeColor="text1"/>
          <w:lang w:val="en-GB"/>
        </w:rPr>
        <w:t>owns</w:t>
      </w:r>
      <w:r w:rsidR="00BD566A" w:rsidRPr="005234EE">
        <w:rPr>
          <w:rFonts w:ascii="Calibri" w:hAnsi="Calibri"/>
          <w:color w:val="000000" w:themeColor="text1"/>
          <w:lang w:val="en-GB"/>
        </w:rPr>
        <w:t>’ the state through mechanisms of inclusivity and exclusivity in governing</w:t>
      </w:r>
      <w:r w:rsidR="007E684D" w:rsidRPr="005234EE">
        <w:rPr>
          <w:rFonts w:ascii="Calibri" w:hAnsi="Calibri"/>
          <w:color w:val="000000" w:themeColor="text1"/>
          <w:lang w:val="en-GB"/>
        </w:rPr>
        <w:t xml:space="preserve"> </w:t>
      </w:r>
      <w:r w:rsidRPr="005234EE">
        <w:rPr>
          <w:rFonts w:ascii="Calibri" w:hAnsi="Calibri"/>
          <w:color w:val="000000" w:themeColor="text1"/>
          <w:lang w:val="en-GB"/>
        </w:rPr>
        <w:t>- can help explain divergent public policy</w:t>
      </w:r>
      <w:r w:rsidR="00634EED" w:rsidRPr="005234EE">
        <w:rPr>
          <w:rFonts w:ascii="Calibri" w:hAnsi="Calibri"/>
          <w:color w:val="000000" w:themeColor="text1"/>
          <w:lang w:val="en-GB"/>
        </w:rPr>
        <w:t xml:space="preserve"> and human development</w:t>
      </w:r>
      <w:r w:rsidRPr="005234EE">
        <w:rPr>
          <w:rFonts w:ascii="Calibri" w:hAnsi="Calibri"/>
          <w:color w:val="000000" w:themeColor="text1"/>
          <w:lang w:val="en-GB"/>
        </w:rPr>
        <w:t xml:space="preserve"> outcomes across varieties of capitalist state. A</w:t>
      </w:r>
      <w:r w:rsidR="005E1ED6" w:rsidRPr="005234EE">
        <w:rPr>
          <w:rFonts w:ascii="Calibri" w:hAnsi="Calibri"/>
          <w:color w:val="000000" w:themeColor="text1"/>
          <w:lang w:val="en-GB"/>
        </w:rPr>
        <w:t xml:space="preserve">n upshot </w:t>
      </w:r>
      <w:r w:rsidRPr="005234EE">
        <w:rPr>
          <w:rFonts w:ascii="Calibri" w:hAnsi="Calibri"/>
          <w:color w:val="000000" w:themeColor="text1"/>
          <w:lang w:val="en-GB"/>
        </w:rPr>
        <w:t>is to question the neutralist premise of th</w:t>
      </w:r>
      <w:r w:rsidR="00160242" w:rsidRPr="005234EE">
        <w:rPr>
          <w:rFonts w:ascii="Calibri" w:hAnsi="Calibri"/>
          <w:color w:val="000000" w:themeColor="text1"/>
          <w:lang w:val="en-GB"/>
        </w:rPr>
        <w:t xml:space="preserve">e varieties of capitalism </w:t>
      </w:r>
      <w:r w:rsidR="00FA7518" w:rsidRPr="005234EE">
        <w:rPr>
          <w:rFonts w:ascii="Calibri" w:hAnsi="Calibri"/>
          <w:color w:val="000000" w:themeColor="text1"/>
          <w:lang w:val="en-GB"/>
        </w:rPr>
        <w:t xml:space="preserve">(VOC) </w:t>
      </w:r>
      <w:r w:rsidRPr="005234EE">
        <w:rPr>
          <w:rFonts w:ascii="Calibri" w:hAnsi="Calibri"/>
          <w:color w:val="000000" w:themeColor="text1"/>
          <w:lang w:val="en-GB"/>
        </w:rPr>
        <w:t>literat</w:t>
      </w:r>
      <w:r w:rsidR="00FA7518" w:rsidRPr="005234EE">
        <w:rPr>
          <w:rFonts w:ascii="Calibri" w:hAnsi="Calibri"/>
          <w:color w:val="000000" w:themeColor="text1"/>
          <w:lang w:val="en-GB"/>
        </w:rPr>
        <w:t xml:space="preserve">ure </w:t>
      </w:r>
      <w:r w:rsidRPr="005234EE">
        <w:rPr>
          <w:rFonts w:ascii="Calibri" w:hAnsi="Calibri"/>
          <w:color w:val="000000" w:themeColor="text1"/>
          <w:lang w:val="en-GB"/>
        </w:rPr>
        <w:t>that different systems are equally effective.</w:t>
      </w:r>
      <w:r w:rsidR="005E1ED6" w:rsidRPr="005234EE">
        <w:rPr>
          <w:rFonts w:ascii="Calibri" w:hAnsi="Calibri"/>
          <w:color w:val="000000" w:themeColor="text1"/>
          <w:lang w:val="en-GB"/>
        </w:rPr>
        <w:t xml:space="preserve"> </w:t>
      </w:r>
      <w:r w:rsidRPr="005234EE">
        <w:rPr>
          <w:rFonts w:ascii="Calibri" w:hAnsi="Calibri"/>
          <w:color w:val="000000" w:themeColor="text1"/>
          <w:lang w:val="en-GB"/>
        </w:rPr>
        <w:t xml:space="preserve">I argue more attention ought to be paid to </w:t>
      </w:r>
      <w:r w:rsidR="00160242" w:rsidRPr="005234EE">
        <w:rPr>
          <w:rFonts w:ascii="Calibri" w:hAnsi="Calibri"/>
          <w:color w:val="000000" w:themeColor="text1"/>
          <w:lang w:val="en-GB"/>
        </w:rPr>
        <w:t>background factors that explain</w:t>
      </w:r>
      <w:r w:rsidRPr="005234EE">
        <w:rPr>
          <w:rFonts w:ascii="Calibri" w:hAnsi="Calibri"/>
          <w:color w:val="000000" w:themeColor="text1"/>
          <w:lang w:val="en-GB"/>
        </w:rPr>
        <w:t xml:space="preserve"> how public sector traditions that are more responsive to collective interests in human development-protective institutions </w:t>
      </w:r>
      <w:r w:rsidR="00FD2D54" w:rsidRPr="005234EE">
        <w:rPr>
          <w:rFonts w:ascii="Calibri" w:hAnsi="Calibri"/>
          <w:color w:val="000000" w:themeColor="text1"/>
          <w:lang w:val="en-GB"/>
        </w:rPr>
        <w:t>gener</w:t>
      </w:r>
      <w:r w:rsidR="006F1D68" w:rsidRPr="005234EE">
        <w:rPr>
          <w:rFonts w:ascii="Calibri" w:hAnsi="Calibri"/>
          <w:color w:val="000000" w:themeColor="text1"/>
          <w:lang w:val="en-GB"/>
        </w:rPr>
        <w:t>ate conditions for policy coher</w:t>
      </w:r>
      <w:r w:rsidR="00FD2D54" w:rsidRPr="005234EE">
        <w:rPr>
          <w:rFonts w:ascii="Calibri" w:hAnsi="Calibri"/>
          <w:color w:val="000000" w:themeColor="text1"/>
          <w:lang w:val="en-GB"/>
        </w:rPr>
        <w:t>e</w:t>
      </w:r>
      <w:r w:rsidR="006F1D68" w:rsidRPr="005234EE">
        <w:rPr>
          <w:rFonts w:ascii="Calibri" w:hAnsi="Calibri"/>
          <w:color w:val="000000" w:themeColor="text1"/>
          <w:lang w:val="en-GB"/>
        </w:rPr>
        <w:t>n</w:t>
      </w:r>
      <w:r w:rsidR="00FD2D54" w:rsidRPr="005234EE">
        <w:rPr>
          <w:rFonts w:ascii="Calibri" w:hAnsi="Calibri"/>
          <w:color w:val="000000" w:themeColor="text1"/>
          <w:lang w:val="en-GB"/>
        </w:rPr>
        <w:t>ce</w:t>
      </w:r>
      <w:r w:rsidRPr="005234EE">
        <w:rPr>
          <w:rFonts w:ascii="Calibri" w:hAnsi="Calibri"/>
          <w:color w:val="000000" w:themeColor="text1"/>
          <w:lang w:val="en-GB"/>
        </w:rPr>
        <w:t xml:space="preserve">. </w:t>
      </w:r>
      <w:r w:rsidR="00160242" w:rsidRPr="005234EE">
        <w:rPr>
          <w:rFonts w:ascii="Calibri" w:hAnsi="Calibri"/>
          <w:color w:val="000000" w:themeColor="text1"/>
          <w:lang w:val="en-GB"/>
        </w:rPr>
        <w:t>Specifically, I argue modalities of human development – or human economy – generate constraints on governing which entail that human development-sensitive institutions and poli</w:t>
      </w:r>
      <w:r w:rsidR="005E1ED6" w:rsidRPr="005234EE">
        <w:rPr>
          <w:rFonts w:ascii="Calibri" w:hAnsi="Calibri"/>
          <w:color w:val="000000" w:themeColor="text1"/>
          <w:lang w:val="en-GB"/>
        </w:rPr>
        <w:t xml:space="preserve">cies are more </w:t>
      </w:r>
      <w:r w:rsidR="00D86C5E" w:rsidRPr="005234EE">
        <w:rPr>
          <w:rFonts w:ascii="Calibri" w:hAnsi="Calibri"/>
          <w:color w:val="000000" w:themeColor="text1"/>
          <w:lang w:val="en-GB"/>
        </w:rPr>
        <w:t>effective</w:t>
      </w:r>
      <w:r w:rsidR="00160242" w:rsidRPr="005234EE">
        <w:rPr>
          <w:rFonts w:ascii="Calibri" w:hAnsi="Calibri"/>
          <w:color w:val="000000" w:themeColor="text1"/>
          <w:lang w:val="en-GB"/>
        </w:rPr>
        <w:t>. The VOC literature implicitly recognizes this by showing how skills organisation is central to systems’ divergent function. However</w:t>
      </w:r>
      <w:r w:rsidR="00365A8C" w:rsidRPr="005234EE">
        <w:rPr>
          <w:rFonts w:ascii="Calibri" w:hAnsi="Calibri"/>
          <w:color w:val="000000" w:themeColor="text1"/>
          <w:lang w:val="en-GB"/>
        </w:rPr>
        <w:t>,</w:t>
      </w:r>
      <w:r w:rsidR="00160242" w:rsidRPr="005234EE">
        <w:rPr>
          <w:rFonts w:ascii="Calibri" w:hAnsi="Calibri"/>
          <w:color w:val="000000" w:themeColor="text1"/>
          <w:lang w:val="en-GB"/>
        </w:rPr>
        <w:t xml:space="preserve"> the VOC has not explored the full implications for</w:t>
      </w:r>
      <w:r w:rsidR="00D86C5E" w:rsidRPr="005234EE">
        <w:rPr>
          <w:rFonts w:ascii="Calibri" w:hAnsi="Calibri"/>
          <w:color w:val="000000" w:themeColor="text1"/>
          <w:lang w:val="en-GB"/>
        </w:rPr>
        <w:t xml:space="preserve"> </w:t>
      </w:r>
      <w:r w:rsidR="00B802A0" w:rsidRPr="005234EE">
        <w:rPr>
          <w:rFonts w:ascii="Calibri" w:hAnsi="Calibri"/>
          <w:color w:val="000000" w:themeColor="text1"/>
          <w:lang w:val="en-GB"/>
        </w:rPr>
        <w:t xml:space="preserve">policy </w:t>
      </w:r>
      <w:r w:rsidR="00D86C5E" w:rsidRPr="005234EE">
        <w:rPr>
          <w:rFonts w:ascii="Calibri" w:hAnsi="Calibri"/>
          <w:color w:val="000000" w:themeColor="text1"/>
          <w:lang w:val="en-GB"/>
        </w:rPr>
        <w:t>coherence,</w:t>
      </w:r>
      <w:r w:rsidR="00160242" w:rsidRPr="005234EE">
        <w:rPr>
          <w:rFonts w:ascii="Calibri" w:hAnsi="Calibri"/>
          <w:color w:val="000000" w:themeColor="text1"/>
          <w:lang w:val="en-GB"/>
        </w:rPr>
        <w:t xml:space="preserve"> governance</w:t>
      </w:r>
      <w:r w:rsidR="00FD2D54" w:rsidRPr="005234EE">
        <w:rPr>
          <w:rFonts w:ascii="Calibri" w:hAnsi="Calibri"/>
          <w:color w:val="000000" w:themeColor="text1"/>
          <w:lang w:val="en-GB"/>
        </w:rPr>
        <w:t xml:space="preserve"> quality</w:t>
      </w:r>
      <w:r w:rsidR="00B802A0" w:rsidRPr="005234EE">
        <w:rPr>
          <w:rFonts w:ascii="Calibri" w:hAnsi="Calibri"/>
          <w:color w:val="000000" w:themeColor="text1"/>
          <w:lang w:val="en-GB"/>
        </w:rPr>
        <w:t>, and state capacity</w:t>
      </w:r>
      <w:r w:rsidR="00160242" w:rsidRPr="005234EE">
        <w:rPr>
          <w:rFonts w:ascii="Calibri" w:hAnsi="Calibri"/>
          <w:color w:val="000000" w:themeColor="text1"/>
          <w:lang w:val="en-GB"/>
        </w:rPr>
        <w:t xml:space="preserve">. </w:t>
      </w:r>
      <w:r w:rsidRPr="005234EE">
        <w:rPr>
          <w:rFonts w:ascii="Calibri" w:hAnsi="Calibri"/>
          <w:color w:val="000000" w:themeColor="text1"/>
          <w:lang w:val="en-GB"/>
        </w:rPr>
        <w:t>I illustrate this case with reference to Denmark and Britain, two countries that have both adopted broadly punitive welfare-to-work regimes since the late 1990s</w:t>
      </w:r>
      <w:r w:rsidR="00160242" w:rsidRPr="005234EE">
        <w:rPr>
          <w:rFonts w:ascii="Calibri" w:hAnsi="Calibri"/>
          <w:color w:val="000000" w:themeColor="text1"/>
          <w:lang w:val="en-GB"/>
        </w:rPr>
        <w:t>.</w:t>
      </w:r>
      <w:r w:rsidR="005326A8" w:rsidRPr="005234EE">
        <w:rPr>
          <w:rFonts w:ascii="Calibri" w:hAnsi="Calibri"/>
          <w:color w:val="000000" w:themeColor="text1"/>
          <w:lang w:val="en-GB"/>
        </w:rPr>
        <w:t xml:space="preserve"> </w:t>
      </w:r>
      <w:r w:rsidR="00160242" w:rsidRPr="005234EE">
        <w:rPr>
          <w:rFonts w:ascii="Calibri" w:hAnsi="Calibri"/>
          <w:color w:val="000000" w:themeColor="text1"/>
          <w:lang w:val="en-GB"/>
        </w:rPr>
        <w:t>I argue variation</w:t>
      </w:r>
      <w:r w:rsidRPr="005234EE">
        <w:rPr>
          <w:rFonts w:ascii="Calibri" w:hAnsi="Calibri"/>
          <w:color w:val="000000" w:themeColor="text1"/>
          <w:lang w:val="en-GB"/>
        </w:rPr>
        <w:t xml:space="preserve"> in public state ownership explain a more directly punitive orientation in Britain</w:t>
      </w:r>
      <w:r w:rsidR="009F1211" w:rsidRPr="005234EE">
        <w:rPr>
          <w:rFonts w:ascii="Calibri" w:hAnsi="Calibri"/>
          <w:color w:val="000000" w:themeColor="text1"/>
          <w:lang w:val="en-GB"/>
        </w:rPr>
        <w:t>,</w:t>
      </w:r>
      <w:r w:rsidRPr="005234EE">
        <w:rPr>
          <w:rFonts w:ascii="Calibri" w:hAnsi="Calibri"/>
          <w:color w:val="000000" w:themeColor="text1"/>
          <w:lang w:val="en-GB"/>
        </w:rPr>
        <w:t xml:space="preserve"> and a more contained and humanist, ‘educative’ design and implementation</w:t>
      </w:r>
      <w:r w:rsidR="009F1211" w:rsidRPr="005234EE">
        <w:rPr>
          <w:rFonts w:ascii="Calibri" w:hAnsi="Calibri"/>
          <w:color w:val="000000" w:themeColor="text1"/>
          <w:lang w:val="en-GB"/>
        </w:rPr>
        <w:t>,</w:t>
      </w:r>
      <w:r w:rsidRPr="005234EE">
        <w:rPr>
          <w:rFonts w:ascii="Calibri" w:hAnsi="Calibri"/>
          <w:color w:val="000000" w:themeColor="text1"/>
          <w:lang w:val="en-GB"/>
        </w:rPr>
        <w:t xml:space="preserve"> in Denmark.  </w:t>
      </w:r>
      <w:r w:rsidR="00A66802" w:rsidRPr="005234EE">
        <w:rPr>
          <w:rFonts w:ascii="Calibri" w:hAnsi="Calibri"/>
          <w:color w:val="000000" w:themeColor="text1"/>
          <w:lang w:val="en-GB"/>
        </w:rPr>
        <w:t xml:space="preserve">To identify </w:t>
      </w:r>
      <w:r w:rsidRPr="005234EE">
        <w:rPr>
          <w:rFonts w:ascii="Calibri" w:hAnsi="Calibri"/>
          <w:color w:val="000000" w:themeColor="text1"/>
          <w:lang w:val="en-GB"/>
        </w:rPr>
        <w:t>dr</w:t>
      </w:r>
      <w:r w:rsidR="00A66802" w:rsidRPr="005234EE">
        <w:rPr>
          <w:rFonts w:ascii="Calibri" w:hAnsi="Calibri"/>
          <w:color w:val="000000" w:themeColor="text1"/>
          <w:lang w:val="en-GB"/>
        </w:rPr>
        <w:t>ivers of variation,</w:t>
      </w:r>
      <w:r w:rsidRPr="005234EE">
        <w:rPr>
          <w:rFonts w:ascii="Calibri" w:hAnsi="Calibri"/>
          <w:color w:val="000000" w:themeColor="text1"/>
          <w:lang w:val="en-GB"/>
        </w:rPr>
        <w:t xml:space="preserve"> I examine </w:t>
      </w:r>
      <w:r w:rsidR="00D86C5E" w:rsidRPr="005234EE">
        <w:rPr>
          <w:rFonts w:ascii="Calibri" w:hAnsi="Calibri"/>
          <w:color w:val="000000" w:themeColor="text1"/>
          <w:lang w:val="en-GB"/>
        </w:rPr>
        <w:t xml:space="preserve">how, respectively, </w:t>
      </w:r>
      <w:r w:rsidRPr="005234EE">
        <w:rPr>
          <w:rFonts w:ascii="Calibri" w:hAnsi="Calibri"/>
          <w:color w:val="000000" w:themeColor="text1"/>
          <w:lang w:val="en-GB"/>
        </w:rPr>
        <w:t xml:space="preserve">unravelling and resilience in public state ownership </w:t>
      </w:r>
      <w:r w:rsidR="00A66802" w:rsidRPr="005234EE">
        <w:rPr>
          <w:rFonts w:ascii="Calibri" w:hAnsi="Calibri"/>
          <w:color w:val="000000" w:themeColor="text1"/>
          <w:lang w:val="en-GB"/>
        </w:rPr>
        <w:t xml:space="preserve">manifest in human development </w:t>
      </w:r>
      <w:r w:rsidR="00397498" w:rsidRPr="005234EE">
        <w:rPr>
          <w:rFonts w:ascii="Calibri" w:hAnsi="Calibri"/>
          <w:color w:val="000000" w:themeColor="text1"/>
          <w:lang w:val="en-GB"/>
        </w:rPr>
        <w:t>implications</w:t>
      </w:r>
      <w:r w:rsidR="00A66802" w:rsidRPr="005234EE">
        <w:rPr>
          <w:rFonts w:ascii="Calibri" w:hAnsi="Calibri"/>
          <w:color w:val="000000" w:themeColor="text1"/>
          <w:lang w:val="en-GB"/>
        </w:rPr>
        <w:t xml:space="preserve"> of welfare-to-work regimes.</w:t>
      </w:r>
    </w:p>
    <w:p w14:paraId="32E99DA3" w14:textId="77777777" w:rsidR="00F02F38" w:rsidRPr="005234EE" w:rsidRDefault="00F02F38" w:rsidP="005E1ED6">
      <w:pPr>
        <w:ind w:left="-397" w:right="-397"/>
        <w:jc w:val="both"/>
        <w:rPr>
          <w:rFonts w:ascii="Calibri" w:hAnsi="Calibri"/>
          <w:color w:val="000000" w:themeColor="text1"/>
          <w:lang w:val="en-GB"/>
        </w:rPr>
      </w:pPr>
    </w:p>
    <w:p w14:paraId="47515094" w14:textId="77777777" w:rsidR="00F02F38" w:rsidRPr="005234EE" w:rsidRDefault="00F02F38" w:rsidP="005E1ED6">
      <w:pPr>
        <w:ind w:left="-397" w:right="-397"/>
        <w:jc w:val="both"/>
        <w:rPr>
          <w:rFonts w:ascii="Calibri" w:hAnsi="Calibri"/>
          <w:color w:val="000000" w:themeColor="text1"/>
          <w:lang w:val="en-GB"/>
        </w:rPr>
      </w:pPr>
    </w:p>
    <w:p w14:paraId="53FA3936" w14:textId="0C0C1693" w:rsidR="00F31714" w:rsidRPr="005234EE" w:rsidRDefault="00F02F38" w:rsidP="005E1ED6">
      <w:pPr>
        <w:ind w:left="-397" w:right="-397"/>
        <w:jc w:val="both"/>
        <w:rPr>
          <w:rFonts w:ascii="Calibri" w:hAnsi="Calibri"/>
          <w:color w:val="000000" w:themeColor="text1"/>
          <w:lang w:val="en-GB"/>
        </w:rPr>
      </w:pPr>
      <w:r w:rsidRPr="005234EE">
        <w:rPr>
          <w:rFonts w:ascii="Calibri" w:hAnsi="Calibri"/>
          <w:color w:val="000000" w:themeColor="text1"/>
          <w:lang w:val="en-GB"/>
        </w:rPr>
        <w:t>Keywords: public ownership, public state ownership, varieties of capitalism, welfare state typology, welfare conditionality</w:t>
      </w:r>
      <w:r w:rsidR="00707728" w:rsidRPr="005234EE">
        <w:rPr>
          <w:rFonts w:ascii="Calibri" w:hAnsi="Calibri"/>
          <w:color w:val="000000" w:themeColor="text1"/>
          <w:lang w:val="en-GB"/>
        </w:rPr>
        <w:t>, human development</w:t>
      </w:r>
      <w:r w:rsidR="00B00034" w:rsidRPr="005234EE">
        <w:rPr>
          <w:rFonts w:ascii="Calibri" w:hAnsi="Calibri"/>
          <w:color w:val="000000" w:themeColor="text1"/>
          <w:lang w:val="en-GB"/>
        </w:rPr>
        <w:t xml:space="preserve"> governance</w:t>
      </w:r>
      <w:r w:rsidRPr="005234EE">
        <w:rPr>
          <w:rFonts w:ascii="Calibri" w:hAnsi="Calibri"/>
          <w:color w:val="000000" w:themeColor="text1"/>
          <w:lang w:val="en-GB"/>
        </w:rPr>
        <w:t xml:space="preserve">. </w:t>
      </w:r>
      <w:r w:rsidR="006F1D68" w:rsidRPr="005234EE">
        <w:rPr>
          <w:rFonts w:ascii="Calibri" w:hAnsi="Calibri"/>
          <w:color w:val="000000" w:themeColor="text1"/>
          <w:lang w:val="en-GB"/>
        </w:rPr>
        <w:t xml:space="preserve"> </w:t>
      </w:r>
    </w:p>
    <w:p w14:paraId="4171B2D2" w14:textId="77777777" w:rsidR="00F31714" w:rsidRPr="005234EE" w:rsidRDefault="00F31714" w:rsidP="000A722E">
      <w:pPr>
        <w:ind w:right="-397"/>
        <w:jc w:val="both"/>
        <w:rPr>
          <w:rFonts w:ascii="Calibri" w:hAnsi="Calibri"/>
          <w:color w:val="000000" w:themeColor="text1"/>
          <w:lang w:val="en-GB"/>
        </w:rPr>
      </w:pPr>
    </w:p>
    <w:p w14:paraId="41E5F2D6" w14:textId="77777777" w:rsidR="00F31714" w:rsidRPr="005234EE" w:rsidRDefault="00F31714" w:rsidP="00F31714">
      <w:pPr>
        <w:ind w:left="-397" w:right="-397"/>
        <w:jc w:val="both"/>
        <w:rPr>
          <w:rFonts w:ascii="Calibri" w:hAnsi="Calibri"/>
          <w:color w:val="000000" w:themeColor="text1"/>
          <w:lang w:val="en-GB"/>
        </w:rPr>
      </w:pPr>
    </w:p>
    <w:p w14:paraId="2DA1DFB3" w14:textId="1C6A7238" w:rsidR="00F45879" w:rsidRPr="005234EE" w:rsidRDefault="00EB3AEB" w:rsidP="00F83C9B">
      <w:pPr>
        <w:ind w:left="-397" w:right="-397"/>
        <w:jc w:val="both"/>
        <w:outlineLvl w:val="0"/>
        <w:rPr>
          <w:rFonts w:ascii="Calibri" w:hAnsi="Calibri"/>
          <w:color w:val="000000" w:themeColor="text1"/>
          <w:lang w:val="en-GB"/>
        </w:rPr>
      </w:pPr>
      <w:r w:rsidRPr="005234EE">
        <w:rPr>
          <w:rFonts w:ascii="Calibri" w:hAnsi="Calibri"/>
          <w:color w:val="000000" w:themeColor="text1"/>
          <w:lang w:val="en-GB"/>
        </w:rPr>
        <w:t>Introduction</w:t>
      </w:r>
    </w:p>
    <w:p w14:paraId="360F9558" w14:textId="77777777" w:rsidR="00160242" w:rsidRPr="005234EE" w:rsidRDefault="00160242" w:rsidP="00160242">
      <w:pPr>
        <w:ind w:right="-397"/>
        <w:jc w:val="both"/>
        <w:rPr>
          <w:rFonts w:ascii="Calibri" w:hAnsi="Calibri"/>
          <w:color w:val="000000" w:themeColor="text1"/>
          <w:lang w:val="en-GB"/>
        </w:rPr>
      </w:pPr>
    </w:p>
    <w:p w14:paraId="1CDCECF7" w14:textId="41A3146F" w:rsidR="006805BF" w:rsidRDefault="00B26918" w:rsidP="006805BF">
      <w:pPr>
        <w:ind w:left="-397" w:right="-397"/>
        <w:jc w:val="both"/>
        <w:rPr>
          <w:rFonts w:ascii="Calibri" w:hAnsi="Calibri"/>
          <w:b/>
          <w:color w:val="000000" w:themeColor="text1"/>
          <w:lang w:val="en-GB"/>
        </w:rPr>
      </w:pPr>
      <w:r w:rsidRPr="005234EE">
        <w:rPr>
          <w:rFonts w:ascii="Calibri" w:hAnsi="Calibri"/>
          <w:color w:val="000000" w:themeColor="text1"/>
          <w:lang w:val="en-GB"/>
        </w:rPr>
        <w:t>In this paper, I identify public state ownership as central to explain</w:t>
      </w:r>
      <w:r w:rsidR="00F02F38" w:rsidRPr="005234EE">
        <w:rPr>
          <w:rFonts w:ascii="Calibri" w:hAnsi="Calibri"/>
          <w:color w:val="000000" w:themeColor="text1"/>
          <w:lang w:val="en-GB"/>
        </w:rPr>
        <w:t>ing</w:t>
      </w:r>
      <w:r w:rsidRPr="005234EE">
        <w:rPr>
          <w:rFonts w:ascii="Calibri" w:hAnsi="Calibri"/>
          <w:color w:val="000000" w:themeColor="text1"/>
          <w:lang w:val="en-GB"/>
        </w:rPr>
        <w:t xml:space="preserve"> variation in governance effectiveness and quality in the area of human development. Public state ownership (PSO) refers to traditions and manifestations of inclusivity or exclusivity in public governance of the development process</w:t>
      </w:r>
      <w:r w:rsidRPr="005234EE">
        <w:rPr>
          <w:rFonts w:ascii="Calibri" w:hAnsi="Calibri"/>
          <w:b/>
          <w:color w:val="000000" w:themeColor="text1"/>
          <w:lang w:val="en-GB"/>
        </w:rPr>
        <w:t>.</w:t>
      </w:r>
      <w:r w:rsidRPr="005234EE">
        <w:rPr>
          <w:rFonts w:ascii="Calibri" w:hAnsi="Calibri"/>
          <w:color w:val="000000" w:themeColor="text1"/>
          <w:lang w:val="en-GB"/>
        </w:rPr>
        <w:t xml:space="preserve"> It is hypothesized that such patterns produce and consolidate over time more or less human-centred governance</w:t>
      </w:r>
      <w:r w:rsidR="00FB304B" w:rsidRPr="005234EE">
        <w:rPr>
          <w:rFonts w:ascii="Calibri" w:hAnsi="Calibri"/>
          <w:color w:val="000000" w:themeColor="text1"/>
          <w:lang w:val="en-GB"/>
        </w:rPr>
        <w:t>,</w:t>
      </w:r>
      <w:r w:rsidRPr="005234EE">
        <w:rPr>
          <w:rFonts w:ascii="Calibri" w:hAnsi="Calibri"/>
          <w:color w:val="000000" w:themeColor="text1"/>
          <w:lang w:val="en-GB"/>
        </w:rPr>
        <w:t xml:space="preserve"> with impacts in human development and coherence in governance. On this basis, I offer a new way to distinguish between varieties of capitalism (VOC)</w:t>
      </w:r>
      <w:r w:rsidR="00FB304B" w:rsidRPr="005234EE">
        <w:rPr>
          <w:rFonts w:ascii="Calibri" w:hAnsi="Calibri"/>
          <w:color w:val="000000" w:themeColor="text1"/>
          <w:lang w:val="en-GB"/>
        </w:rPr>
        <w:t>,</w:t>
      </w:r>
      <w:r w:rsidRPr="005234EE">
        <w:rPr>
          <w:rFonts w:ascii="Calibri" w:hAnsi="Calibri"/>
          <w:color w:val="000000" w:themeColor="text1"/>
          <w:lang w:val="en-GB"/>
        </w:rPr>
        <w:t xml:space="preserve"> which explores how human development promoting institutions (encompassing skill formation and social protection) are central to system effectiveness, and effectiveness of individual policies. I base this argument on a claim that modalities of human development (human economy) exert recurrent constraints on economic and social life. In consequence, more effective systemic protection of human development shapes both governance capacity and quality</w:t>
      </w:r>
      <w:r w:rsidRPr="005234EE">
        <w:rPr>
          <w:rFonts w:ascii="Calibri" w:hAnsi="Calibri"/>
          <w:b/>
          <w:color w:val="000000" w:themeColor="text1"/>
          <w:lang w:val="en-GB"/>
        </w:rPr>
        <w:t>.</w:t>
      </w:r>
    </w:p>
    <w:p w14:paraId="2853CBDB" w14:textId="31C048C2" w:rsidR="006805BF" w:rsidRDefault="006805BF" w:rsidP="006805BF">
      <w:pPr>
        <w:ind w:left="-397" w:right="-397"/>
        <w:jc w:val="both"/>
        <w:rPr>
          <w:rFonts w:ascii="Calibri" w:hAnsi="Calibri"/>
          <w:b/>
          <w:color w:val="000000" w:themeColor="text1"/>
          <w:lang w:val="en-GB"/>
        </w:rPr>
      </w:pPr>
    </w:p>
    <w:p w14:paraId="38B3F6CB" w14:textId="25A569EB" w:rsidR="006805BF" w:rsidRPr="006805BF" w:rsidRDefault="006805BF" w:rsidP="006805BF">
      <w:pPr>
        <w:ind w:left="-397" w:right="-397"/>
        <w:jc w:val="both"/>
        <w:rPr>
          <w:rFonts w:ascii="Calibri" w:hAnsi="Calibri"/>
          <w:b/>
          <w:color w:val="000000" w:themeColor="text1"/>
          <w:lang w:val="en-GB"/>
        </w:rPr>
      </w:pPr>
      <w:r>
        <w:rPr>
          <w:rFonts w:ascii="Calibri" w:hAnsi="Calibri"/>
          <w:b/>
          <w:color w:val="000000" w:themeColor="text1"/>
          <w:lang w:val="en-GB"/>
        </w:rPr>
        <w:t xml:space="preserve">* I would like to thank the editors and three anonymous referees for their incisive comments on earlier drafts. Remaining errors or omissions are mine. </w:t>
      </w:r>
    </w:p>
    <w:p w14:paraId="54478134" w14:textId="77777777" w:rsidR="00B26918" w:rsidRPr="005234EE" w:rsidRDefault="00B26918" w:rsidP="00B26918">
      <w:pPr>
        <w:ind w:left="-397" w:right="-397"/>
        <w:jc w:val="both"/>
        <w:rPr>
          <w:rFonts w:ascii="Calibri" w:hAnsi="Calibri"/>
          <w:color w:val="000000" w:themeColor="text1"/>
          <w:lang w:val="en-GB"/>
        </w:rPr>
      </w:pPr>
    </w:p>
    <w:p w14:paraId="563498E2" w14:textId="5D7EA112" w:rsidR="00B26918" w:rsidRPr="005234EE" w:rsidRDefault="00B26918" w:rsidP="00B26918">
      <w:pPr>
        <w:ind w:left="-397" w:right="-397"/>
        <w:jc w:val="both"/>
        <w:rPr>
          <w:rFonts w:ascii="Calibri" w:hAnsi="Calibri"/>
          <w:color w:val="000000" w:themeColor="text1"/>
          <w:lang w:val="en-GB"/>
        </w:rPr>
      </w:pPr>
      <w:r w:rsidRPr="005234EE">
        <w:rPr>
          <w:rFonts w:ascii="Calibri" w:hAnsi="Calibri"/>
          <w:color w:val="000000" w:themeColor="text1"/>
          <w:lang w:val="en-GB"/>
        </w:rPr>
        <w:t xml:space="preserve">To </w:t>
      </w:r>
      <w:r w:rsidR="00F02F38" w:rsidRPr="005234EE">
        <w:rPr>
          <w:rFonts w:ascii="Calibri" w:hAnsi="Calibri"/>
          <w:color w:val="000000" w:themeColor="text1"/>
          <w:lang w:val="en-GB"/>
        </w:rPr>
        <w:t>develop</w:t>
      </w:r>
      <w:r w:rsidRPr="005234EE">
        <w:rPr>
          <w:rFonts w:ascii="Calibri" w:hAnsi="Calibri"/>
          <w:color w:val="000000" w:themeColor="text1"/>
          <w:lang w:val="en-GB"/>
        </w:rPr>
        <w:t xml:space="preserve"> this argument, I examine how governance capacity and governance quality relate in the case of the contemporary design and implementation of benefit sanctions in Denmark and Britain. Greater capa</w:t>
      </w:r>
      <w:r w:rsidR="00FB304B" w:rsidRPr="005234EE">
        <w:rPr>
          <w:rFonts w:ascii="Calibri" w:hAnsi="Calibri"/>
          <w:color w:val="000000" w:themeColor="text1"/>
          <w:lang w:val="en-GB"/>
        </w:rPr>
        <w:t>city and quality of governing are</w:t>
      </w:r>
      <w:r w:rsidR="00B00034" w:rsidRPr="005234EE">
        <w:rPr>
          <w:rFonts w:ascii="Calibri" w:hAnsi="Calibri"/>
          <w:color w:val="000000" w:themeColor="text1"/>
          <w:lang w:val="en-GB"/>
        </w:rPr>
        <w:t xml:space="preserve"> </w:t>
      </w:r>
      <w:r w:rsidRPr="005234EE">
        <w:rPr>
          <w:rFonts w:ascii="Calibri" w:hAnsi="Calibri"/>
          <w:color w:val="000000" w:themeColor="text1"/>
          <w:lang w:val="en-GB"/>
        </w:rPr>
        <w:t>argued to be behind a more educative approach to sanctions in Denmark, as against a more punitive orientation in Britain.  To evidence how received levels of public state ownership intercede, I examine how historically more or less effective and coherent governing of human economy affect greater resilience versus unravelling of public sector capacity today</w:t>
      </w:r>
      <w:r w:rsidR="000E1471" w:rsidRPr="005234EE">
        <w:rPr>
          <w:rFonts w:ascii="Calibri" w:hAnsi="Calibri"/>
          <w:color w:val="000000" w:themeColor="text1"/>
          <w:lang w:val="en-GB"/>
        </w:rPr>
        <w:t>.</w:t>
      </w:r>
    </w:p>
    <w:p w14:paraId="3AD9ECA5" w14:textId="77777777" w:rsidR="00B26918" w:rsidRPr="005234EE" w:rsidRDefault="00B26918" w:rsidP="00B26918">
      <w:pPr>
        <w:ind w:left="-397" w:right="-397"/>
        <w:jc w:val="both"/>
        <w:rPr>
          <w:rFonts w:ascii="Calibri" w:hAnsi="Calibri"/>
          <w:color w:val="000000" w:themeColor="text1"/>
          <w:lang w:val="en-GB"/>
        </w:rPr>
      </w:pPr>
    </w:p>
    <w:p w14:paraId="555847E9" w14:textId="44F20296" w:rsidR="00B26918" w:rsidRPr="005234EE" w:rsidRDefault="00B26918" w:rsidP="00B26918">
      <w:pPr>
        <w:ind w:left="-397" w:right="-397"/>
        <w:jc w:val="both"/>
        <w:rPr>
          <w:rFonts w:ascii="Calibri" w:hAnsi="Calibri"/>
          <w:color w:val="000000" w:themeColor="text1"/>
          <w:lang w:val="en-GB"/>
        </w:rPr>
      </w:pPr>
      <w:r w:rsidRPr="005234EE">
        <w:rPr>
          <w:rFonts w:ascii="Calibri" w:hAnsi="Calibri"/>
          <w:color w:val="000000" w:themeColor="text1"/>
          <w:lang w:val="en-GB"/>
        </w:rPr>
        <w:t>It is standard to compare the Nordic (N), mid-European, and Anglo-liberal (AL) states in studies of varieties of welfare and capital</w:t>
      </w:r>
      <w:r w:rsidR="009116FE" w:rsidRPr="005234EE">
        <w:rPr>
          <w:rFonts w:ascii="Calibri" w:hAnsi="Calibri"/>
          <w:color w:val="000000" w:themeColor="text1"/>
          <w:lang w:val="en-GB"/>
        </w:rPr>
        <w:t>ist state (Esping-Andersen, 1990;</w:t>
      </w:r>
      <w:r w:rsidRPr="005234EE">
        <w:rPr>
          <w:rFonts w:ascii="Calibri" w:hAnsi="Calibri"/>
          <w:color w:val="000000" w:themeColor="text1"/>
          <w:lang w:val="en-GB"/>
        </w:rPr>
        <w:t xml:space="preserve"> Korpi and Palme</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1998</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Hall and Soskice</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2001</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Thelen</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2004</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2014). AL and N states are often situated at the opposite end of a spectrum of economic regulation. However, these two sets of states have also been portrayed as similar in state commitment to basic institutions of liberal equality (Esping-Andersen</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1990</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w:t>
      </w:r>
      <w:r w:rsidR="009116FE" w:rsidRPr="005234EE">
        <w:rPr>
          <w:rFonts w:ascii="Calibri" w:hAnsi="Calibri"/>
          <w:color w:val="000000" w:themeColor="text1"/>
          <w:lang w:val="en-GB"/>
        </w:rPr>
        <w:t>p.</w:t>
      </w:r>
      <w:r w:rsidRPr="005234EE">
        <w:rPr>
          <w:rFonts w:ascii="Calibri" w:hAnsi="Calibri"/>
          <w:color w:val="000000" w:themeColor="text1"/>
          <w:lang w:val="en-GB"/>
        </w:rPr>
        <w:t>298</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Korpi and Palme, 1998, </w:t>
      </w:r>
      <w:r w:rsidR="009116FE" w:rsidRPr="005234EE">
        <w:rPr>
          <w:rFonts w:ascii="Calibri" w:hAnsi="Calibri"/>
          <w:color w:val="000000" w:themeColor="text1"/>
          <w:lang w:val="en-GB"/>
        </w:rPr>
        <w:t>pp.</w:t>
      </w:r>
      <w:r w:rsidRPr="005234EE">
        <w:rPr>
          <w:rFonts w:ascii="Calibri" w:hAnsi="Calibri"/>
          <w:color w:val="000000" w:themeColor="text1"/>
          <w:lang w:val="en-GB"/>
        </w:rPr>
        <w:t>668-670). This makes comparison between A</w:t>
      </w:r>
      <w:r w:rsidR="00F02F38" w:rsidRPr="005234EE">
        <w:rPr>
          <w:rFonts w:ascii="Calibri" w:hAnsi="Calibri"/>
          <w:color w:val="000000" w:themeColor="text1"/>
          <w:lang w:val="en-GB"/>
        </w:rPr>
        <w:t>L</w:t>
      </w:r>
      <w:r w:rsidRPr="005234EE">
        <w:rPr>
          <w:rFonts w:ascii="Calibri" w:hAnsi="Calibri"/>
          <w:color w:val="000000" w:themeColor="text1"/>
          <w:lang w:val="en-GB"/>
        </w:rPr>
        <w:t xml:space="preserve"> and N states particularly worthwhile in an effort to gauge political sources and features of long-run variation in governance. Moreover, although Denmark and Britain are classed as </w:t>
      </w:r>
      <w:r w:rsidR="00F02F38" w:rsidRPr="005234EE">
        <w:rPr>
          <w:rFonts w:ascii="Calibri" w:hAnsi="Calibri"/>
          <w:color w:val="000000" w:themeColor="text1"/>
          <w:lang w:val="en-GB"/>
        </w:rPr>
        <w:t xml:space="preserve">exemplifying </w:t>
      </w:r>
      <w:r w:rsidRPr="005234EE">
        <w:rPr>
          <w:rFonts w:ascii="Calibri" w:hAnsi="Calibri"/>
          <w:color w:val="000000" w:themeColor="text1"/>
          <w:lang w:val="en-GB"/>
        </w:rPr>
        <w:t>different typ</w:t>
      </w:r>
      <w:r w:rsidR="00F02F38" w:rsidRPr="005234EE">
        <w:rPr>
          <w:rFonts w:ascii="Calibri" w:hAnsi="Calibri"/>
          <w:color w:val="000000" w:themeColor="text1"/>
          <w:lang w:val="en-GB"/>
        </w:rPr>
        <w:t>es</w:t>
      </w:r>
      <w:r w:rsidRPr="005234EE">
        <w:rPr>
          <w:rFonts w:ascii="Calibri" w:hAnsi="Calibri"/>
          <w:color w:val="000000" w:themeColor="text1"/>
          <w:lang w:val="en-GB"/>
        </w:rPr>
        <w:t>, similarit</w:t>
      </w:r>
      <w:r w:rsidR="00F02F38" w:rsidRPr="005234EE">
        <w:rPr>
          <w:rFonts w:ascii="Calibri" w:hAnsi="Calibri"/>
          <w:color w:val="000000" w:themeColor="text1"/>
          <w:lang w:val="en-GB"/>
        </w:rPr>
        <w:t>ies</w:t>
      </w:r>
      <w:r w:rsidRPr="005234EE">
        <w:rPr>
          <w:rFonts w:ascii="Calibri" w:hAnsi="Calibri"/>
          <w:color w:val="000000" w:themeColor="text1"/>
          <w:lang w:val="en-GB"/>
        </w:rPr>
        <w:t xml:space="preserve"> in terms of features of liberal trade and farm policy (Esping-Andersen</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1990, </w:t>
      </w:r>
      <w:r w:rsidR="009116FE" w:rsidRPr="005234EE">
        <w:rPr>
          <w:rFonts w:ascii="Calibri" w:hAnsi="Calibri"/>
          <w:color w:val="000000" w:themeColor="text1"/>
          <w:lang w:val="en-GB"/>
        </w:rPr>
        <w:t>p.</w:t>
      </w:r>
      <w:r w:rsidRPr="005234EE">
        <w:rPr>
          <w:rFonts w:ascii="Calibri" w:hAnsi="Calibri"/>
          <w:color w:val="000000" w:themeColor="text1"/>
          <w:lang w:val="en-GB"/>
        </w:rPr>
        <w:t>167)</w:t>
      </w:r>
      <w:r w:rsidR="00F02F38" w:rsidRPr="005234EE">
        <w:rPr>
          <w:rFonts w:ascii="Calibri" w:hAnsi="Calibri"/>
          <w:color w:val="000000" w:themeColor="text1"/>
          <w:lang w:val="en-GB"/>
        </w:rPr>
        <w:t>,</w:t>
      </w:r>
      <w:r w:rsidRPr="005234EE">
        <w:rPr>
          <w:rFonts w:ascii="Calibri" w:hAnsi="Calibri"/>
          <w:color w:val="000000" w:themeColor="text1"/>
          <w:lang w:val="en-GB"/>
        </w:rPr>
        <w:t xml:space="preserve"> labour flexibility (Kongshøj-Madsen</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2003</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Thelen</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2014)</w:t>
      </w:r>
      <w:r w:rsidR="00F02F38" w:rsidRPr="005234EE">
        <w:rPr>
          <w:rFonts w:ascii="Calibri" w:hAnsi="Calibri"/>
          <w:color w:val="000000" w:themeColor="text1"/>
          <w:lang w:val="en-GB"/>
        </w:rPr>
        <w:t>,</w:t>
      </w:r>
      <w:r w:rsidRPr="005234EE">
        <w:rPr>
          <w:rFonts w:ascii="Calibri" w:hAnsi="Calibri"/>
          <w:color w:val="000000" w:themeColor="text1"/>
          <w:lang w:val="en-GB"/>
        </w:rPr>
        <w:t xml:space="preserve"> and areas of strict equality within the welfare system (Korpi and Palme, 1998)</w:t>
      </w:r>
      <w:r w:rsidR="007B61C3">
        <w:rPr>
          <w:rFonts w:ascii="Calibri" w:hAnsi="Calibri"/>
          <w:color w:val="000000" w:themeColor="text1"/>
          <w:lang w:val="en-GB"/>
        </w:rPr>
        <w:t>,</w:t>
      </w:r>
      <w:r w:rsidRPr="005234EE">
        <w:rPr>
          <w:rFonts w:ascii="Calibri" w:hAnsi="Calibri"/>
          <w:color w:val="000000" w:themeColor="text1"/>
          <w:lang w:val="en-GB"/>
        </w:rPr>
        <w:t xml:space="preserve"> </w:t>
      </w:r>
      <w:r w:rsidR="00F02F38" w:rsidRPr="005234EE">
        <w:rPr>
          <w:rFonts w:ascii="Calibri" w:hAnsi="Calibri"/>
          <w:color w:val="000000" w:themeColor="text1"/>
          <w:lang w:val="en-GB"/>
        </w:rPr>
        <w:t>are</w:t>
      </w:r>
      <w:r w:rsidRPr="005234EE">
        <w:rPr>
          <w:rFonts w:ascii="Calibri" w:hAnsi="Calibri"/>
          <w:color w:val="000000" w:themeColor="text1"/>
          <w:lang w:val="en-GB"/>
        </w:rPr>
        <w:t xml:space="preserve"> often </w:t>
      </w:r>
      <w:r w:rsidR="00F02F38" w:rsidRPr="005234EE">
        <w:rPr>
          <w:rFonts w:ascii="Calibri" w:hAnsi="Calibri"/>
          <w:color w:val="000000" w:themeColor="text1"/>
          <w:lang w:val="en-GB"/>
        </w:rPr>
        <w:t>pointed out</w:t>
      </w:r>
      <w:r w:rsidRPr="005234EE">
        <w:rPr>
          <w:rFonts w:ascii="Calibri" w:hAnsi="Calibri"/>
          <w:color w:val="000000" w:themeColor="text1"/>
          <w:lang w:val="en-GB"/>
        </w:rPr>
        <w:t xml:space="preserve">. Today, Denmark and Britain are characterised as having similar levels of intensity </w:t>
      </w:r>
      <w:r w:rsidR="00F02F38" w:rsidRPr="005234EE">
        <w:rPr>
          <w:rFonts w:ascii="Calibri" w:hAnsi="Calibri"/>
          <w:color w:val="000000" w:themeColor="text1"/>
          <w:lang w:val="en-GB"/>
        </w:rPr>
        <w:t xml:space="preserve">of </w:t>
      </w:r>
      <w:r w:rsidRPr="005234EE">
        <w:rPr>
          <w:rFonts w:ascii="Calibri" w:hAnsi="Calibri"/>
          <w:color w:val="000000" w:themeColor="text1"/>
          <w:lang w:val="en-GB"/>
        </w:rPr>
        <w:t>behaviour conditionalities in benefit systems (</w:t>
      </w:r>
      <w:commentRangeStart w:id="1"/>
      <w:r w:rsidRPr="005234EE">
        <w:rPr>
          <w:rFonts w:ascii="Calibri" w:hAnsi="Calibri"/>
          <w:color w:val="000000" w:themeColor="text1"/>
          <w:lang w:val="en-GB"/>
        </w:rPr>
        <w:t>OECD</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2012</w:t>
      </w:r>
      <w:commentRangeEnd w:id="1"/>
      <w:r w:rsidR="00F83C9B" w:rsidRPr="005234EE">
        <w:rPr>
          <w:rStyle w:val="CommentReference"/>
          <w:rFonts w:ascii="Calibri" w:hAnsi="Calibri" w:cstheme="minorBidi"/>
          <w:sz w:val="24"/>
          <w:szCs w:val="24"/>
        </w:rPr>
        <w:commentReference w:id="1"/>
      </w:r>
      <w:r w:rsidRPr="005234EE">
        <w:rPr>
          <w:rFonts w:ascii="Calibri" w:hAnsi="Calibri"/>
          <w:color w:val="000000" w:themeColor="text1"/>
          <w:lang w:val="en-GB"/>
        </w:rPr>
        <w:t xml:space="preserve">). Yet, I show </w:t>
      </w:r>
      <w:r w:rsidR="00F02F38" w:rsidRPr="005234EE">
        <w:rPr>
          <w:rFonts w:ascii="Calibri" w:hAnsi="Calibri"/>
          <w:color w:val="000000" w:themeColor="text1"/>
          <w:lang w:val="en-GB"/>
        </w:rPr>
        <w:t xml:space="preserve">that </w:t>
      </w:r>
      <w:r w:rsidRPr="005234EE">
        <w:rPr>
          <w:rFonts w:ascii="Calibri" w:hAnsi="Calibri"/>
          <w:color w:val="000000" w:themeColor="text1"/>
          <w:lang w:val="en-GB"/>
        </w:rPr>
        <w:t xml:space="preserve">Denmark and Britain govern a similar level of sanctions very differently, with different human development outcomes. At the centre of this variation are </w:t>
      </w:r>
      <w:r w:rsidRPr="005234EE">
        <w:rPr>
          <w:rFonts w:ascii="Calibri" w:hAnsi="Calibri"/>
          <w:i/>
          <w:color w:val="000000" w:themeColor="text1"/>
          <w:lang w:val="en-GB"/>
        </w:rPr>
        <w:t>distinct traditions and levels of public state ownership</w:t>
      </w:r>
      <w:r w:rsidRPr="005234EE">
        <w:rPr>
          <w:rFonts w:ascii="Calibri" w:hAnsi="Calibri"/>
          <w:color w:val="000000" w:themeColor="text1"/>
          <w:lang w:val="en-GB"/>
        </w:rPr>
        <w:t>.</w:t>
      </w:r>
      <w:r w:rsidR="000E1471" w:rsidRPr="005234EE">
        <w:rPr>
          <w:rFonts w:ascii="Calibri" w:hAnsi="Calibri"/>
          <w:color w:val="000000" w:themeColor="text1"/>
          <w:lang w:val="en-GB"/>
        </w:rPr>
        <w:t xml:space="preserve"> </w:t>
      </w:r>
      <w:r w:rsidRPr="005234EE">
        <w:rPr>
          <w:rFonts w:ascii="Calibri" w:hAnsi="Calibri"/>
          <w:color w:val="000000" w:themeColor="text1"/>
          <w:lang w:val="en-GB"/>
        </w:rPr>
        <w:t>Political conditions rather than cultural similarity explain this difference. Although Nordic populations are broadly homogenous, there are minorities within countries such as Sweden and Finland, and Finland is linguistically and culturally different</w:t>
      </w:r>
      <w:r w:rsidR="00F02F38" w:rsidRPr="005234EE">
        <w:rPr>
          <w:rFonts w:ascii="Calibri" w:hAnsi="Calibri"/>
          <w:color w:val="000000" w:themeColor="text1"/>
          <w:lang w:val="en-GB"/>
        </w:rPr>
        <w:t xml:space="preserve"> to other Sc</w:t>
      </w:r>
      <w:r w:rsidR="00B00034" w:rsidRPr="005234EE">
        <w:rPr>
          <w:rFonts w:ascii="Calibri" w:hAnsi="Calibri"/>
          <w:color w:val="000000" w:themeColor="text1"/>
          <w:lang w:val="en-GB"/>
        </w:rPr>
        <w:t>a</w:t>
      </w:r>
      <w:r w:rsidR="00F02F38" w:rsidRPr="005234EE">
        <w:rPr>
          <w:rFonts w:ascii="Calibri" w:hAnsi="Calibri"/>
          <w:color w:val="000000" w:themeColor="text1"/>
          <w:lang w:val="en-GB"/>
        </w:rPr>
        <w:t>ndinavian nations</w:t>
      </w:r>
      <w:r w:rsidRPr="005234EE">
        <w:rPr>
          <w:rFonts w:ascii="Calibri" w:hAnsi="Calibri"/>
          <w:color w:val="000000" w:themeColor="text1"/>
          <w:lang w:val="en-GB"/>
        </w:rPr>
        <w:t>. A high level of conflict prior to and during the formation of modern Nordic states of varying population size, suggest ethnic and cultural homogeneity and (in Denmark and Norway small population size) are at best contributory factors to traditions of inclusivity in public governance.  Instead, I argue that a humanist orientation and inclusivity in governing in N states, versus a punitive orientation and exclusivity in AL states, can be traced to variation in the degree to which the public sector became encompassing of society during state formation.</w:t>
      </w:r>
    </w:p>
    <w:p w14:paraId="36CBAAE8" w14:textId="77777777" w:rsidR="00B26918" w:rsidRPr="005234EE" w:rsidRDefault="00B26918" w:rsidP="00B26918">
      <w:pPr>
        <w:ind w:left="-397" w:right="-397"/>
        <w:jc w:val="both"/>
        <w:rPr>
          <w:rFonts w:ascii="Calibri" w:hAnsi="Calibri"/>
          <w:color w:val="000000" w:themeColor="text1"/>
          <w:lang w:val="en-GB"/>
        </w:rPr>
      </w:pPr>
    </w:p>
    <w:p w14:paraId="6580A689" w14:textId="01E851E5" w:rsidR="000E1471" w:rsidRPr="005234EE" w:rsidRDefault="00B26918" w:rsidP="000E1471">
      <w:pPr>
        <w:ind w:left="-397" w:right="-397"/>
        <w:jc w:val="both"/>
        <w:rPr>
          <w:rFonts w:ascii="Calibri" w:hAnsi="Calibri"/>
          <w:color w:val="000000" w:themeColor="text1"/>
          <w:lang w:val="en-GB"/>
        </w:rPr>
      </w:pPr>
      <w:r w:rsidRPr="005234EE">
        <w:rPr>
          <w:rFonts w:ascii="Calibri" w:hAnsi="Calibri"/>
          <w:color w:val="000000" w:themeColor="text1"/>
          <w:lang w:val="en-GB"/>
        </w:rPr>
        <w:t>Below I first sketch how the concept of public state ownership is distinct and features in my argument. Second, I discuss how the analytical framework proposed differs from the VOC, in particular by departing from neutrality in evaluation of the form and sources of governance and policy effectiveness. Third, I consider evolutionary features of public state ownership, by contrasting the formation of public sector traditions in the two case studies. Fourth, I put the emergence of sanctions regimes in the context of marketization programmes since the 1990s, and examine how variation in their form and impact is shaped by features of public state ownership. Last, I further assess impacts of unravelling or resilience on state capacity itself, using the example of administration o</w:t>
      </w:r>
      <w:r w:rsidR="000E1471" w:rsidRPr="005234EE">
        <w:rPr>
          <w:rFonts w:ascii="Calibri" w:hAnsi="Calibri"/>
          <w:color w:val="000000" w:themeColor="text1"/>
          <w:lang w:val="en-GB"/>
        </w:rPr>
        <w:t>f, and resistance to, sanctions.</w:t>
      </w:r>
    </w:p>
    <w:p w14:paraId="3373F0C4" w14:textId="77777777" w:rsidR="000E1471" w:rsidRPr="005234EE" w:rsidRDefault="000E1471" w:rsidP="000E1471">
      <w:pPr>
        <w:ind w:left="-397" w:right="-397"/>
        <w:jc w:val="both"/>
        <w:rPr>
          <w:rFonts w:ascii="Calibri" w:hAnsi="Calibri"/>
          <w:color w:val="000000" w:themeColor="text1"/>
          <w:lang w:val="en-GB"/>
        </w:rPr>
      </w:pPr>
    </w:p>
    <w:p w14:paraId="75C41118" w14:textId="77777777" w:rsidR="000E1471" w:rsidRPr="005234EE" w:rsidRDefault="000E1471" w:rsidP="000E1471">
      <w:pPr>
        <w:ind w:left="-397" w:right="-397"/>
        <w:jc w:val="both"/>
        <w:rPr>
          <w:rFonts w:ascii="Calibri" w:hAnsi="Calibri"/>
          <w:color w:val="000000" w:themeColor="text1"/>
          <w:lang w:val="en-GB"/>
        </w:rPr>
      </w:pPr>
    </w:p>
    <w:p w14:paraId="5083E42B" w14:textId="7DD0B62F" w:rsidR="00FE02C2" w:rsidRPr="005234EE" w:rsidRDefault="000E1471" w:rsidP="00F83C9B">
      <w:pPr>
        <w:ind w:left="-397" w:right="-397"/>
        <w:jc w:val="both"/>
        <w:outlineLvl w:val="0"/>
        <w:rPr>
          <w:rFonts w:ascii="Calibri" w:hAnsi="Calibri"/>
          <w:color w:val="000000" w:themeColor="text1"/>
          <w:lang w:val="en-GB"/>
        </w:rPr>
      </w:pPr>
      <w:r w:rsidRPr="005234EE">
        <w:rPr>
          <w:rFonts w:ascii="Calibri" w:hAnsi="Calibri"/>
          <w:color w:val="000000" w:themeColor="text1"/>
          <w:lang w:val="en-GB"/>
        </w:rPr>
        <w:t xml:space="preserve">1. </w:t>
      </w:r>
      <w:r w:rsidR="004D3AE3" w:rsidRPr="005234EE">
        <w:rPr>
          <w:rFonts w:ascii="Calibri" w:hAnsi="Calibri"/>
          <w:color w:val="000000" w:themeColor="text1"/>
          <w:lang w:val="en-GB"/>
        </w:rPr>
        <w:t>Public State Ownership and Humanist Governance</w:t>
      </w:r>
    </w:p>
    <w:p w14:paraId="6ED86AD5" w14:textId="77777777" w:rsidR="000E1471" w:rsidRPr="005234EE" w:rsidRDefault="000E1471" w:rsidP="000E1471">
      <w:pPr>
        <w:ind w:left="-397" w:right="-397"/>
        <w:jc w:val="both"/>
        <w:rPr>
          <w:rFonts w:ascii="Calibri" w:hAnsi="Calibri"/>
          <w:color w:val="000000" w:themeColor="text1"/>
          <w:lang w:val="en-GB"/>
        </w:rPr>
      </w:pPr>
    </w:p>
    <w:p w14:paraId="53E728CF" w14:textId="2FF7865E" w:rsidR="005765EC" w:rsidRPr="005234EE" w:rsidRDefault="00FE02C2" w:rsidP="005765EC">
      <w:pPr>
        <w:ind w:left="-397" w:right="-397"/>
        <w:jc w:val="both"/>
        <w:rPr>
          <w:rFonts w:ascii="Calibri" w:hAnsi="Calibri"/>
          <w:color w:val="000000" w:themeColor="text1"/>
          <w:lang w:val="en-GB"/>
        </w:rPr>
      </w:pPr>
      <w:r w:rsidRPr="005234EE">
        <w:rPr>
          <w:rFonts w:ascii="Calibri" w:hAnsi="Calibri"/>
          <w:color w:val="000000" w:themeColor="text1"/>
          <w:lang w:val="en-GB"/>
        </w:rPr>
        <w:lastRenderedPageBreak/>
        <w:t xml:space="preserve">In the extant literature, public ownership </w:t>
      </w:r>
      <w:r w:rsidR="00D52D94" w:rsidRPr="005234EE">
        <w:rPr>
          <w:rFonts w:ascii="Calibri" w:hAnsi="Calibri"/>
          <w:color w:val="000000" w:themeColor="text1"/>
          <w:lang w:val="en-GB"/>
        </w:rPr>
        <w:t xml:space="preserve">(PO) </w:t>
      </w:r>
      <w:r w:rsidRPr="005234EE">
        <w:rPr>
          <w:rFonts w:ascii="Calibri" w:hAnsi="Calibri"/>
          <w:color w:val="000000" w:themeColor="text1"/>
          <w:lang w:val="en-GB"/>
        </w:rPr>
        <w:t>is defined as the state or citizens collectively owning monetary or physical assets (</w:t>
      </w:r>
      <w:commentRangeStart w:id="2"/>
      <w:r w:rsidRPr="005234EE">
        <w:rPr>
          <w:rFonts w:ascii="Calibri" w:hAnsi="Calibri"/>
          <w:color w:val="000000" w:themeColor="text1"/>
          <w:lang w:val="en-GB"/>
        </w:rPr>
        <w:t>Meade</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1964</w:t>
      </w:r>
      <w:commentRangeEnd w:id="2"/>
      <w:r w:rsidR="0034756B" w:rsidRPr="005234EE">
        <w:rPr>
          <w:rStyle w:val="CommentReference"/>
          <w:rFonts w:ascii="Calibri" w:hAnsi="Calibri" w:cstheme="minorBidi"/>
          <w:sz w:val="24"/>
          <w:szCs w:val="24"/>
        </w:rPr>
        <w:commentReference w:id="2"/>
      </w:r>
      <w:r w:rsidR="009116FE" w:rsidRPr="005234EE">
        <w:rPr>
          <w:rFonts w:ascii="Calibri" w:hAnsi="Calibri"/>
          <w:color w:val="000000" w:themeColor="text1"/>
          <w:lang w:val="en-GB"/>
        </w:rPr>
        <w:t>;</w:t>
      </w:r>
      <w:r w:rsidRPr="005234EE">
        <w:rPr>
          <w:rFonts w:ascii="Calibri" w:hAnsi="Calibri"/>
          <w:color w:val="000000" w:themeColor="text1"/>
          <w:lang w:val="en-GB"/>
        </w:rPr>
        <w:t xml:space="preserve"> </w:t>
      </w:r>
      <w:r w:rsidR="000B6A12" w:rsidRPr="005234EE">
        <w:rPr>
          <w:rFonts w:ascii="Calibri" w:hAnsi="Calibri"/>
          <w:color w:val="000000" w:themeColor="text1"/>
          <w:lang w:val="en-GB"/>
        </w:rPr>
        <w:t>Holtham</w:t>
      </w:r>
      <w:r w:rsidR="009116FE" w:rsidRPr="005234EE">
        <w:rPr>
          <w:rFonts w:ascii="Calibri" w:hAnsi="Calibri"/>
          <w:color w:val="000000" w:themeColor="text1"/>
          <w:lang w:val="en-GB"/>
        </w:rPr>
        <w:t>,</w:t>
      </w:r>
      <w:r w:rsidR="000B6A12" w:rsidRPr="005234EE">
        <w:rPr>
          <w:rFonts w:ascii="Calibri" w:hAnsi="Calibri"/>
          <w:color w:val="000000" w:themeColor="text1"/>
          <w:lang w:val="en-GB"/>
        </w:rPr>
        <w:t xml:space="preserve"> 1999</w:t>
      </w:r>
      <w:r w:rsidR="009116FE" w:rsidRPr="005234EE">
        <w:rPr>
          <w:rFonts w:ascii="Calibri" w:hAnsi="Calibri"/>
          <w:color w:val="000000" w:themeColor="text1"/>
          <w:lang w:val="en-GB"/>
        </w:rPr>
        <w:t>;</w:t>
      </w:r>
      <w:r w:rsidR="000B6A12" w:rsidRPr="005234EE">
        <w:rPr>
          <w:rFonts w:ascii="Calibri" w:hAnsi="Calibri"/>
          <w:color w:val="000000" w:themeColor="text1"/>
          <w:lang w:val="en-GB"/>
        </w:rPr>
        <w:t xml:space="preserve"> </w:t>
      </w:r>
      <w:r w:rsidRPr="005234EE">
        <w:rPr>
          <w:rFonts w:ascii="Calibri" w:hAnsi="Calibri"/>
          <w:color w:val="000000" w:themeColor="text1"/>
          <w:lang w:val="en-GB"/>
        </w:rPr>
        <w:t>Cumbers</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w:t>
      </w:r>
      <w:commentRangeStart w:id="3"/>
      <w:r w:rsidRPr="005234EE">
        <w:rPr>
          <w:rFonts w:ascii="Calibri" w:hAnsi="Calibri"/>
          <w:color w:val="000000" w:themeColor="text1"/>
          <w:lang w:val="en-GB"/>
        </w:rPr>
        <w:t>2012</w:t>
      </w:r>
      <w:commentRangeEnd w:id="3"/>
      <w:r w:rsidR="0034756B" w:rsidRPr="005234EE">
        <w:rPr>
          <w:rStyle w:val="CommentReference"/>
          <w:rFonts w:ascii="Calibri" w:hAnsi="Calibri" w:cstheme="minorBidi"/>
          <w:sz w:val="24"/>
          <w:szCs w:val="24"/>
        </w:rPr>
        <w:commentReference w:id="3"/>
      </w:r>
      <w:r w:rsidR="009116FE" w:rsidRPr="005234EE">
        <w:rPr>
          <w:rFonts w:ascii="Calibri" w:hAnsi="Calibri"/>
          <w:color w:val="000000" w:themeColor="text1"/>
          <w:lang w:val="en-GB"/>
        </w:rPr>
        <w:t>;</w:t>
      </w:r>
      <w:r w:rsidRPr="005234EE">
        <w:rPr>
          <w:rFonts w:ascii="Calibri" w:hAnsi="Calibri"/>
          <w:color w:val="000000" w:themeColor="text1"/>
          <w:lang w:val="en-GB"/>
        </w:rPr>
        <w:t xml:space="preserve"> Cummine</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2016, </w:t>
      </w:r>
      <w:r w:rsidR="009116FE" w:rsidRPr="005234EE">
        <w:rPr>
          <w:rFonts w:ascii="Calibri" w:hAnsi="Calibri"/>
          <w:color w:val="000000" w:themeColor="text1"/>
          <w:lang w:val="en-GB"/>
        </w:rPr>
        <w:t>pp.</w:t>
      </w:r>
      <w:r w:rsidRPr="005234EE">
        <w:rPr>
          <w:rFonts w:ascii="Calibri" w:hAnsi="Calibri"/>
          <w:color w:val="000000" w:themeColor="text1"/>
          <w:lang w:val="en-GB"/>
        </w:rPr>
        <w:t xml:space="preserve">5-16, </w:t>
      </w:r>
      <w:r w:rsidR="009116FE" w:rsidRPr="005234EE">
        <w:rPr>
          <w:rFonts w:ascii="Calibri" w:hAnsi="Calibri"/>
          <w:color w:val="000000" w:themeColor="text1"/>
          <w:lang w:val="en-GB"/>
        </w:rPr>
        <w:t>pp.</w:t>
      </w:r>
      <w:r w:rsidRPr="005234EE">
        <w:rPr>
          <w:rFonts w:ascii="Calibri" w:hAnsi="Calibri"/>
          <w:color w:val="000000" w:themeColor="text1"/>
          <w:lang w:val="en-GB"/>
        </w:rPr>
        <w:t>73-83). An underlying assumption is such ownership ought to translate into public power or/and greater citizen control of important decisions (Cumber</w:t>
      </w:r>
      <w:r w:rsidR="0034756B" w:rsidRPr="005234EE">
        <w:rPr>
          <w:rFonts w:ascii="Calibri" w:hAnsi="Calibri"/>
          <w:color w:val="000000" w:themeColor="text1"/>
          <w:lang w:val="en-GB"/>
        </w:rPr>
        <w:t>s</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w:t>
      </w:r>
      <w:commentRangeStart w:id="4"/>
      <w:r w:rsidRPr="005234EE">
        <w:rPr>
          <w:rFonts w:ascii="Calibri" w:hAnsi="Calibri"/>
          <w:color w:val="000000" w:themeColor="text1"/>
          <w:lang w:val="en-GB"/>
        </w:rPr>
        <w:t>2012</w:t>
      </w:r>
      <w:commentRangeEnd w:id="4"/>
      <w:r w:rsidR="0034756B" w:rsidRPr="005234EE">
        <w:rPr>
          <w:rStyle w:val="CommentReference"/>
          <w:rFonts w:ascii="Calibri" w:hAnsi="Calibri" w:cstheme="minorBidi"/>
          <w:sz w:val="24"/>
          <w:szCs w:val="24"/>
        </w:rPr>
        <w:commentReference w:id="4"/>
      </w:r>
      <w:r w:rsidRPr="005234EE">
        <w:rPr>
          <w:rFonts w:ascii="Calibri" w:hAnsi="Calibri"/>
          <w:color w:val="000000" w:themeColor="text1"/>
          <w:lang w:val="en-GB"/>
        </w:rPr>
        <w:t>; Clark and Monk</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2010</w:t>
      </w:r>
      <w:r w:rsidR="005765EC" w:rsidRPr="005234EE">
        <w:rPr>
          <w:rFonts w:ascii="Calibri" w:hAnsi="Calibri"/>
          <w:color w:val="000000" w:themeColor="text1"/>
          <w:lang w:val="en-GB"/>
        </w:rPr>
        <w:t>; Corneo</w:t>
      </w:r>
      <w:r w:rsidR="009116FE" w:rsidRPr="005234EE">
        <w:rPr>
          <w:rFonts w:ascii="Calibri" w:hAnsi="Calibri"/>
          <w:color w:val="000000" w:themeColor="text1"/>
          <w:lang w:val="en-GB"/>
        </w:rPr>
        <w:t>,</w:t>
      </w:r>
      <w:r w:rsidR="005765EC" w:rsidRPr="005234EE">
        <w:rPr>
          <w:rFonts w:ascii="Calibri" w:hAnsi="Calibri"/>
          <w:color w:val="000000" w:themeColor="text1"/>
          <w:lang w:val="en-GB"/>
        </w:rPr>
        <w:t xml:space="preserve"> 2014</w:t>
      </w:r>
      <w:r w:rsidR="009116FE" w:rsidRPr="005234EE">
        <w:rPr>
          <w:rFonts w:ascii="Calibri" w:hAnsi="Calibri"/>
          <w:color w:val="000000" w:themeColor="text1"/>
          <w:lang w:val="en-GB"/>
        </w:rPr>
        <w:t>;</w:t>
      </w:r>
      <w:r w:rsidR="000B6A12" w:rsidRPr="005234EE">
        <w:rPr>
          <w:rFonts w:ascii="Calibri" w:hAnsi="Calibri"/>
          <w:color w:val="000000" w:themeColor="text1"/>
          <w:lang w:val="en-GB"/>
        </w:rPr>
        <w:t xml:space="preserve"> Holtham</w:t>
      </w:r>
      <w:r w:rsidR="009116FE" w:rsidRPr="005234EE">
        <w:rPr>
          <w:rFonts w:ascii="Calibri" w:hAnsi="Calibri"/>
          <w:color w:val="000000" w:themeColor="text1"/>
          <w:lang w:val="en-GB"/>
        </w:rPr>
        <w:t>,</w:t>
      </w:r>
      <w:r w:rsidR="000B6A12" w:rsidRPr="005234EE">
        <w:rPr>
          <w:rFonts w:ascii="Calibri" w:hAnsi="Calibri"/>
          <w:color w:val="000000" w:themeColor="text1"/>
          <w:lang w:val="en-GB"/>
        </w:rPr>
        <w:t xml:space="preserve"> 1999, </w:t>
      </w:r>
      <w:r w:rsidR="009116FE" w:rsidRPr="005234EE">
        <w:rPr>
          <w:rFonts w:ascii="Calibri" w:hAnsi="Calibri"/>
          <w:color w:val="000000" w:themeColor="text1"/>
          <w:lang w:val="en-GB"/>
        </w:rPr>
        <w:t>p.</w:t>
      </w:r>
      <w:r w:rsidR="000B6A12" w:rsidRPr="005234EE">
        <w:rPr>
          <w:rFonts w:ascii="Calibri" w:hAnsi="Calibri"/>
          <w:color w:val="000000" w:themeColor="text1"/>
          <w:lang w:val="en-GB"/>
        </w:rPr>
        <w:t>62</w:t>
      </w:r>
      <w:r w:rsidR="00014070" w:rsidRPr="005234EE">
        <w:rPr>
          <w:rFonts w:ascii="Calibri" w:hAnsi="Calibri"/>
          <w:color w:val="000000" w:themeColor="text1"/>
          <w:lang w:val="en-GB"/>
        </w:rPr>
        <w:t>; see also the other articles in this volume</w:t>
      </w:r>
      <w:r w:rsidRPr="005234EE">
        <w:rPr>
          <w:rFonts w:ascii="Calibri" w:hAnsi="Calibri"/>
          <w:color w:val="000000" w:themeColor="text1"/>
          <w:lang w:val="en-GB"/>
        </w:rPr>
        <w:t>).</w:t>
      </w:r>
      <w:r w:rsidRPr="005234EE">
        <w:rPr>
          <w:rStyle w:val="FootnoteReference"/>
          <w:rFonts w:ascii="Calibri" w:hAnsi="Calibri"/>
          <w:color w:val="000000" w:themeColor="text1"/>
          <w:lang w:val="en-GB"/>
        </w:rPr>
        <w:t xml:space="preserve"> </w:t>
      </w:r>
      <w:r w:rsidR="00D52D94" w:rsidRPr="005234EE">
        <w:rPr>
          <w:rFonts w:ascii="Calibri" w:hAnsi="Calibri"/>
          <w:color w:val="000000" w:themeColor="text1"/>
          <w:lang w:val="en-GB"/>
        </w:rPr>
        <w:t xml:space="preserve">I accept the </w:t>
      </w:r>
      <w:r w:rsidR="005765EC" w:rsidRPr="005234EE">
        <w:rPr>
          <w:rFonts w:ascii="Calibri" w:hAnsi="Calibri"/>
          <w:color w:val="000000" w:themeColor="text1"/>
          <w:lang w:val="en-GB"/>
        </w:rPr>
        <w:t>premise that public</w:t>
      </w:r>
      <w:r w:rsidRPr="005234EE">
        <w:rPr>
          <w:rFonts w:ascii="Calibri" w:hAnsi="Calibri"/>
          <w:color w:val="000000" w:themeColor="text1"/>
          <w:lang w:val="en-GB"/>
        </w:rPr>
        <w:t xml:space="preserve"> </w:t>
      </w:r>
      <w:r w:rsidR="00D52D94" w:rsidRPr="005234EE">
        <w:rPr>
          <w:rFonts w:ascii="Calibri" w:hAnsi="Calibri"/>
          <w:color w:val="000000" w:themeColor="text1"/>
          <w:lang w:val="en-GB"/>
        </w:rPr>
        <w:t xml:space="preserve">asset </w:t>
      </w:r>
      <w:r w:rsidRPr="005234EE">
        <w:rPr>
          <w:rFonts w:ascii="Calibri" w:hAnsi="Calibri"/>
          <w:color w:val="000000" w:themeColor="text1"/>
          <w:lang w:val="en-GB"/>
        </w:rPr>
        <w:t>ownership enables citizens’</w:t>
      </w:r>
      <w:r w:rsidR="00B51686" w:rsidRPr="005234EE">
        <w:rPr>
          <w:rFonts w:ascii="Calibri" w:hAnsi="Calibri"/>
          <w:color w:val="000000" w:themeColor="text1"/>
          <w:lang w:val="en-GB"/>
        </w:rPr>
        <w:t xml:space="preserve"> say in a degree and form that depend</w:t>
      </w:r>
      <w:r w:rsidRPr="005234EE">
        <w:rPr>
          <w:rFonts w:ascii="Calibri" w:hAnsi="Calibri"/>
          <w:color w:val="000000" w:themeColor="text1"/>
          <w:lang w:val="en-GB"/>
        </w:rPr>
        <w:t xml:space="preserve"> on democratic</w:t>
      </w:r>
      <w:r w:rsidR="00A9432E" w:rsidRPr="005234EE">
        <w:rPr>
          <w:rFonts w:ascii="Calibri" w:hAnsi="Calibri"/>
          <w:color w:val="000000" w:themeColor="text1"/>
          <w:lang w:val="en-GB"/>
        </w:rPr>
        <w:t xml:space="preserve"> </w:t>
      </w:r>
      <w:r w:rsidRPr="005234EE">
        <w:rPr>
          <w:rFonts w:ascii="Calibri" w:hAnsi="Calibri"/>
          <w:color w:val="000000" w:themeColor="text1"/>
          <w:lang w:val="en-GB"/>
        </w:rPr>
        <w:t>forms of governing</w:t>
      </w:r>
      <w:r w:rsidR="00D52D94" w:rsidRPr="005234EE">
        <w:rPr>
          <w:rFonts w:ascii="Calibri" w:hAnsi="Calibri"/>
          <w:color w:val="000000" w:themeColor="text1"/>
          <w:lang w:val="en-GB"/>
        </w:rPr>
        <w:t xml:space="preserve"> (as in Norway, Cummine</w:t>
      </w:r>
      <w:r w:rsidR="009116FE" w:rsidRPr="005234EE">
        <w:rPr>
          <w:rFonts w:ascii="Calibri" w:hAnsi="Calibri"/>
          <w:color w:val="000000" w:themeColor="text1"/>
          <w:lang w:val="en-GB"/>
        </w:rPr>
        <w:t>,</w:t>
      </w:r>
      <w:r w:rsidR="00D52D94" w:rsidRPr="005234EE">
        <w:rPr>
          <w:rFonts w:ascii="Calibri" w:hAnsi="Calibri"/>
          <w:color w:val="000000" w:themeColor="text1"/>
          <w:lang w:val="en-GB"/>
        </w:rPr>
        <w:t xml:space="preserve"> 2016, </w:t>
      </w:r>
      <w:r w:rsidR="009116FE" w:rsidRPr="005234EE">
        <w:rPr>
          <w:rFonts w:ascii="Calibri" w:hAnsi="Calibri"/>
          <w:color w:val="000000" w:themeColor="text1"/>
          <w:lang w:val="en-GB"/>
        </w:rPr>
        <w:t>p.</w:t>
      </w:r>
      <w:r w:rsidR="00D52D94" w:rsidRPr="005234EE">
        <w:rPr>
          <w:rFonts w:ascii="Calibri" w:hAnsi="Calibri"/>
          <w:color w:val="000000" w:themeColor="text1"/>
          <w:lang w:val="en-GB"/>
        </w:rPr>
        <w:t>206</w:t>
      </w:r>
      <w:r w:rsidR="0076784A" w:rsidRPr="005234EE">
        <w:rPr>
          <w:rFonts w:ascii="Calibri" w:hAnsi="Calibri"/>
          <w:color w:val="000000" w:themeColor="text1"/>
          <w:lang w:val="en-GB"/>
        </w:rPr>
        <w:t xml:space="preserve">; but </w:t>
      </w:r>
      <w:r w:rsidR="00B51686" w:rsidRPr="005234EE">
        <w:rPr>
          <w:rFonts w:ascii="Calibri" w:hAnsi="Calibri"/>
          <w:color w:val="000000" w:themeColor="text1"/>
          <w:lang w:val="en-GB"/>
        </w:rPr>
        <w:t>less so</w:t>
      </w:r>
      <w:r w:rsidR="0076784A" w:rsidRPr="005234EE">
        <w:rPr>
          <w:rFonts w:ascii="Calibri" w:hAnsi="Calibri"/>
          <w:color w:val="000000" w:themeColor="text1"/>
          <w:lang w:val="en-GB"/>
        </w:rPr>
        <w:t xml:space="preserve"> Britain, Cumb</w:t>
      </w:r>
      <w:r w:rsidR="005765EC" w:rsidRPr="005234EE">
        <w:rPr>
          <w:rFonts w:ascii="Calibri" w:hAnsi="Calibri"/>
          <w:color w:val="000000" w:themeColor="text1"/>
          <w:lang w:val="en-GB"/>
        </w:rPr>
        <w:t>ers</w:t>
      </w:r>
      <w:r w:rsidR="009116FE" w:rsidRPr="005234EE">
        <w:rPr>
          <w:rFonts w:ascii="Calibri" w:hAnsi="Calibri"/>
          <w:color w:val="000000" w:themeColor="text1"/>
          <w:lang w:val="en-GB"/>
        </w:rPr>
        <w:t>,</w:t>
      </w:r>
      <w:r w:rsidR="005765EC" w:rsidRPr="005234EE">
        <w:rPr>
          <w:rFonts w:ascii="Calibri" w:hAnsi="Calibri"/>
          <w:color w:val="000000" w:themeColor="text1"/>
          <w:lang w:val="en-GB"/>
        </w:rPr>
        <w:t xml:space="preserve"> </w:t>
      </w:r>
      <w:commentRangeStart w:id="5"/>
      <w:r w:rsidR="005765EC" w:rsidRPr="005234EE">
        <w:rPr>
          <w:rFonts w:ascii="Calibri" w:hAnsi="Calibri"/>
          <w:color w:val="000000" w:themeColor="text1"/>
          <w:lang w:val="en-GB"/>
        </w:rPr>
        <w:t>2012</w:t>
      </w:r>
      <w:commentRangeEnd w:id="5"/>
      <w:r w:rsidR="0034756B" w:rsidRPr="005234EE">
        <w:rPr>
          <w:rStyle w:val="CommentReference"/>
          <w:rFonts w:ascii="Calibri" w:hAnsi="Calibri" w:cstheme="minorBidi"/>
          <w:sz w:val="24"/>
          <w:szCs w:val="24"/>
        </w:rPr>
        <w:commentReference w:id="5"/>
      </w:r>
      <w:r w:rsidR="009116FE" w:rsidRPr="005234EE">
        <w:rPr>
          <w:rFonts w:ascii="Calibri" w:hAnsi="Calibri"/>
          <w:color w:val="000000" w:themeColor="text1"/>
          <w:lang w:val="en-GB"/>
        </w:rPr>
        <w:t>;</w:t>
      </w:r>
      <w:r w:rsidR="005765EC" w:rsidRPr="005234EE">
        <w:rPr>
          <w:rFonts w:ascii="Calibri" w:hAnsi="Calibri"/>
          <w:color w:val="000000" w:themeColor="text1"/>
          <w:lang w:val="en-GB"/>
        </w:rPr>
        <w:t xml:space="preserve"> 2</w:t>
      </w:r>
      <w:r w:rsidR="0076784A" w:rsidRPr="005234EE">
        <w:rPr>
          <w:rFonts w:ascii="Calibri" w:hAnsi="Calibri"/>
          <w:color w:val="000000" w:themeColor="text1"/>
          <w:lang w:val="en-GB"/>
        </w:rPr>
        <w:t xml:space="preserve">014, </w:t>
      </w:r>
      <w:r w:rsidR="009116FE" w:rsidRPr="005234EE">
        <w:rPr>
          <w:rFonts w:ascii="Calibri" w:hAnsi="Calibri"/>
          <w:color w:val="000000" w:themeColor="text1"/>
          <w:lang w:val="en-GB"/>
        </w:rPr>
        <w:t>pp.</w:t>
      </w:r>
      <w:r w:rsidR="0076784A" w:rsidRPr="005234EE">
        <w:rPr>
          <w:rFonts w:ascii="Calibri" w:hAnsi="Calibri"/>
          <w:color w:val="000000" w:themeColor="text1"/>
          <w:lang w:val="en-GB"/>
        </w:rPr>
        <w:t>11-15</w:t>
      </w:r>
      <w:r w:rsidR="009116FE" w:rsidRPr="005234EE">
        <w:rPr>
          <w:rFonts w:ascii="Calibri" w:hAnsi="Calibri"/>
          <w:color w:val="000000" w:themeColor="text1"/>
          <w:lang w:val="en-GB"/>
        </w:rPr>
        <w:t>;</w:t>
      </w:r>
      <w:r w:rsidR="000B6A12" w:rsidRPr="005234EE">
        <w:rPr>
          <w:rFonts w:ascii="Calibri" w:hAnsi="Calibri"/>
          <w:color w:val="000000" w:themeColor="text1"/>
          <w:lang w:val="en-GB"/>
        </w:rPr>
        <w:t xml:space="preserve"> </w:t>
      </w:r>
      <w:r w:rsidR="00014070" w:rsidRPr="005234EE">
        <w:rPr>
          <w:rFonts w:ascii="Calibri" w:hAnsi="Calibri"/>
          <w:color w:val="000000" w:themeColor="text1"/>
          <w:lang w:val="en-GB"/>
        </w:rPr>
        <w:t>this volume</w:t>
      </w:r>
      <w:r w:rsidR="009116FE" w:rsidRPr="005234EE">
        <w:rPr>
          <w:rFonts w:ascii="Calibri" w:hAnsi="Calibri"/>
          <w:color w:val="000000" w:themeColor="text1"/>
          <w:lang w:val="en-GB"/>
        </w:rPr>
        <w:t>;</w:t>
      </w:r>
      <w:r w:rsidR="00014070" w:rsidRPr="005234EE">
        <w:rPr>
          <w:rFonts w:ascii="Calibri" w:hAnsi="Calibri"/>
          <w:color w:val="000000" w:themeColor="text1"/>
          <w:lang w:val="en-GB"/>
        </w:rPr>
        <w:t xml:space="preserve"> </w:t>
      </w:r>
      <w:r w:rsidR="000B6A12" w:rsidRPr="005234EE">
        <w:rPr>
          <w:rFonts w:ascii="Calibri" w:hAnsi="Calibri"/>
          <w:color w:val="000000" w:themeColor="text1"/>
          <w:lang w:val="en-GB"/>
        </w:rPr>
        <w:t>Holtham</w:t>
      </w:r>
      <w:r w:rsidR="009116FE" w:rsidRPr="005234EE">
        <w:rPr>
          <w:rFonts w:ascii="Calibri" w:hAnsi="Calibri"/>
          <w:color w:val="000000" w:themeColor="text1"/>
          <w:lang w:val="en-GB"/>
        </w:rPr>
        <w:t>,</w:t>
      </w:r>
      <w:r w:rsidR="000B6A12" w:rsidRPr="005234EE">
        <w:rPr>
          <w:rFonts w:ascii="Calibri" w:hAnsi="Calibri"/>
          <w:color w:val="000000" w:themeColor="text1"/>
          <w:lang w:val="en-GB"/>
        </w:rPr>
        <w:t xml:space="preserve"> 1999, </w:t>
      </w:r>
      <w:r w:rsidR="009116FE" w:rsidRPr="005234EE">
        <w:rPr>
          <w:rFonts w:ascii="Calibri" w:hAnsi="Calibri"/>
          <w:color w:val="000000" w:themeColor="text1"/>
          <w:lang w:val="en-GB"/>
        </w:rPr>
        <w:t>pp.</w:t>
      </w:r>
      <w:r w:rsidR="000B6A12" w:rsidRPr="005234EE">
        <w:rPr>
          <w:rFonts w:ascii="Calibri" w:hAnsi="Calibri"/>
          <w:color w:val="000000" w:themeColor="text1"/>
          <w:lang w:val="en-GB"/>
        </w:rPr>
        <w:t>62-</w:t>
      </w:r>
      <w:r w:rsidR="009116FE" w:rsidRPr="005234EE">
        <w:rPr>
          <w:rFonts w:ascii="Calibri" w:hAnsi="Calibri"/>
          <w:color w:val="000000" w:themeColor="text1"/>
          <w:lang w:val="en-GB"/>
        </w:rPr>
        <w:t>6</w:t>
      </w:r>
      <w:r w:rsidR="000B6A12" w:rsidRPr="005234EE">
        <w:rPr>
          <w:rFonts w:ascii="Calibri" w:hAnsi="Calibri"/>
          <w:color w:val="000000" w:themeColor="text1"/>
          <w:lang w:val="en-GB"/>
        </w:rPr>
        <w:t>4</w:t>
      </w:r>
      <w:r w:rsidR="00D52D94" w:rsidRPr="005234EE">
        <w:rPr>
          <w:rFonts w:ascii="Calibri" w:hAnsi="Calibri"/>
          <w:color w:val="000000" w:themeColor="text1"/>
          <w:lang w:val="en-GB"/>
        </w:rPr>
        <w:t>). However,</w:t>
      </w:r>
      <w:r w:rsidRPr="005234EE">
        <w:rPr>
          <w:rFonts w:ascii="Calibri" w:hAnsi="Calibri"/>
          <w:color w:val="000000" w:themeColor="text1"/>
          <w:lang w:val="en-GB"/>
        </w:rPr>
        <w:t xml:space="preserve"> </w:t>
      </w:r>
      <w:r w:rsidR="005765EC" w:rsidRPr="005234EE">
        <w:rPr>
          <w:rFonts w:ascii="Calibri" w:hAnsi="Calibri"/>
          <w:color w:val="000000" w:themeColor="text1"/>
          <w:lang w:val="en-GB"/>
        </w:rPr>
        <w:t xml:space="preserve">in this paper </w:t>
      </w:r>
      <w:r w:rsidRPr="005234EE">
        <w:rPr>
          <w:rFonts w:ascii="Calibri" w:hAnsi="Calibri"/>
          <w:color w:val="000000" w:themeColor="text1"/>
          <w:lang w:val="en-GB"/>
        </w:rPr>
        <w:t xml:space="preserve">I stay away from </w:t>
      </w:r>
      <w:r w:rsidR="00A9432E" w:rsidRPr="005234EE">
        <w:rPr>
          <w:rFonts w:ascii="Calibri" w:hAnsi="Calibri"/>
          <w:color w:val="000000" w:themeColor="text1"/>
          <w:lang w:val="en-GB"/>
        </w:rPr>
        <w:t xml:space="preserve">particular areas of </w:t>
      </w:r>
      <w:r w:rsidRPr="005234EE">
        <w:rPr>
          <w:rFonts w:ascii="Calibri" w:hAnsi="Calibri"/>
          <w:color w:val="000000" w:themeColor="text1"/>
          <w:lang w:val="en-GB"/>
        </w:rPr>
        <w:t>asse</w:t>
      </w:r>
      <w:r w:rsidR="00D52D94" w:rsidRPr="005234EE">
        <w:rPr>
          <w:rFonts w:ascii="Calibri" w:hAnsi="Calibri"/>
          <w:color w:val="000000" w:themeColor="text1"/>
          <w:lang w:val="en-GB"/>
        </w:rPr>
        <w:t>t-owning</w:t>
      </w:r>
      <w:r w:rsidR="00F21BC5">
        <w:rPr>
          <w:rFonts w:ascii="Calibri" w:hAnsi="Calibri"/>
          <w:color w:val="000000" w:themeColor="text1"/>
          <w:lang w:val="en-GB"/>
        </w:rPr>
        <w:t>,</w:t>
      </w:r>
      <w:r w:rsidRPr="005234EE">
        <w:rPr>
          <w:rFonts w:ascii="Calibri" w:hAnsi="Calibri"/>
          <w:color w:val="000000" w:themeColor="text1"/>
          <w:lang w:val="en-GB"/>
        </w:rPr>
        <w:t xml:space="preserve"> to examine</w:t>
      </w:r>
      <w:r w:rsidR="00A9432E" w:rsidRPr="005234EE">
        <w:rPr>
          <w:rFonts w:ascii="Calibri" w:hAnsi="Calibri"/>
          <w:color w:val="000000" w:themeColor="text1"/>
          <w:lang w:val="en-GB"/>
        </w:rPr>
        <w:t xml:space="preserve"> </w:t>
      </w:r>
      <w:r w:rsidR="00D52D94" w:rsidRPr="005234EE">
        <w:rPr>
          <w:rFonts w:ascii="Calibri" w:hAnsi="Calibri"/>
          <w:color w:val="000000" w:themeColor="text1"/>
          <w:lang w:val="en-GB"/>
        </w:rPr>
        <w:t xml:space="preserve">instead </w:t>
      </w:r>
      <w:r w:rsidR="00891F82" w:rsidRPr="005234EE">
        <w:rPr>
          <w:rFonts w:ascii="Calibri" w:hAnsi="Calibri"/>
          <w:color w:val="000000" w:themeColor="text1"/>
          <w:lang w:val="en-GB"/>
        </w:rPr>
        <w:t xml:space="preserve">how the extent </w:t>
      </w:r>
      <w:r w:rsidR="00014070" w:rsidRPr="005234EE">
        <w:rPr>
          <w:rFonts w:ascii="Calibri" w:hAnsi="Calibri"/>
          <w:color w:val="000000" w:themeColor="text1"/>
          <w:lang w:val="en-GB"/>
        </w:rPr>
        <w:t xml:space="preserve">to which </w:t>
      </w:r>
      <w:r w:rsidR="00891F82" w:rsidRPr="005234EE">
        <w:rPr>
          <w:rFonts w:ascii="Calibri" w:hAnsi="Calibri"/>
          <w:color w:val="000000" w:themeColor="text1"/>
          <w:lang w:val="en-GB"/>
        </w:rPr>
        <w:t>society</w:t>
      </w:r>
      <w:r w:rsidR="00A9432E" w:rsidRPr="005234EE">
        <w:rPr>
          <w:rFonts w:ascii="Calibri" w:hAnsi="Calibri"/>
          <w:color w:val="000000" w:themeColor="text1"/>
          <w:lang w:val="en-GB"/>
        </w:rPr>
        <w:t xml:space="preserve"> is included in state governing shapes </w:t>
      </w:r>
      <w:r w:rsidR="00D52D94" w:rsidRPr="005234EE">
        <w:rPr>
          <w:rFonts w:ascii="Calibri" w:hAnsi="Calibri"/>
          <w:color w:val="000000" w:themeColor="text1"/>
          <w:lang w:val="en-GB"/>
        </w:rPr>
        <w:t>conditions for human development more broadly conceived</w:t>
      </w:r>
      <w:r w:rsidR="00A9432E" w:rsidRPr="005234EE">
        <w:rPr>
          <w:rFonts w:ascii="Calibri" w:hAnsi="Calibri"/>
          <w:color w:val="000000" w:themeColor="text1"/>
          <w:lang w:val="en-GB"/>
        </w:rPr>
        <w:t>.</w:t>
      </w:r>
      <w:r w:rsidR="005765EC" w:rsidRPr="005234EE">
        <w:rPr>
          <w:rFonts w:ascii="Calibri" w:hAnsi="Calibri"/>
          <w:color w:val="000000" w:themeColor="text1"/>
          <w:lang w:val="en-GB"/>
        </w:rPr>
        <w:t xml:space="preserve"> I argue state capacity to deliver coherent public responses to human economy is a key factor in human develop</w:t>
      </w:r>
      <w:r w:rsidR="000E1471" w:rsidRPr="005234EE">
        <w:rPr>
          <w:rFonts w:ascii="Calibri" w:hAnsi="Calibri"/>
          <w:color w:val="000000" w:themeColor="text1"/>
          <w:lang w:val="en-GB"/>
        </w:rPr>
        <w:t>ment</w:t>
      </w:r>
      <w:r w:rsidR="00F21BC5">
        <w:rPr>
          <w:rFonts w:ascii="Calibri" w:hAnsi="Calibri"/>
          <w:color w:val="000000" w:themeColor="text1"/>
          <w:lang w:val="en-GB"/>
        </w:rPr>
        <w:t>,</w:t>
      </w:r>
      <w:r w:rsidR="000E1471" w:rsidRPr="005234EE">
        <w:rPr>
          <w:rFonts w:ascii="Calibri" w:hAnsi="Calibri"/>
          <w:color w:val="000000" w:themeColor="text1"/>
          <w:lang w:val="en-GB"/>
        </w:rPr>
        <w:t xml:space="preserve"> and humanist governance</w:t>
      </w:r>
      <w:r w:rsidR="005765EC" w:rsidRPr="005234EE">
        <w:rPr>
          <w:rFonts w:ascii="Calibri" w:hAnsi="Calibri"/>
          <w:color w:val="000000" w:themeColor="text1"/>
          <w:lang w:val="en-GB"/>
        </w:rPr>
        <w:t xml:space="preserve">. Moreover, this capacity is shaped by historical conditions for broad inclusivity in governing. </w:t>
      </w:r>
    </w:p>
    <w:p w14:paraId="426C06B2" w14:textId="77777777" w:rsidR="004D3AE3" w:rsidRPr="005234EE" w:rsidRDefault="004D3AE3" w:rsidP="004D3AE3">
      <w:pPr>
        <w:ind w:right="-397"/>
        <w:jc w:val="both"/>
        <w:rPr>
          <w:rFonts w:ascii="Calibri" w:hAnsi="Calibri"/>
          <w:color w:val="000000" w:themeColor="text1"/>
          <w:lang w:val="en-GB"/>
        </w:rPr>
      </w:pPr>
    </w:p>
    <w:p w14:paraId="03C0B411" w14:textId="2507C498" w:rsidR="004D3AE3" w:rsidRPr="005234EE" w:rsidRDefault="00023867" w:rsidP="00780C7A">
      <w:pPr>
        <w:ind w:left="-397" w:right="-397"/>
        <w:jc w:val="both"/>
        <w:rPr>
          <w:rFonts w:ascii="Calibri" w:hAnsi="Calibri"/>
          <w:color w:val="000000" w:themeColor="text1"/>
          <w:lang w:val="en-GB"/>
        </w:rPr>
      </w:pPr>
      <w:r w:rsidRPr="005234EE">
        <w:rPr>
          <w:rFonts w:ascii="Calibri" w:hAnsi="Calibri"/>
          <w:color w:val="000000" w:themeColor="text1"/>
          <w:lang w:val="en-GB"/>
        </w:rPr>
        <w:t xml:space="preserve">Distinguishing PO and PSO </w:t>
      </w:r>
      <w:r w:rsidR="005765EC" w:rsidRPr="005234EE">
        <w:rPr>
          <w:rFonts w:ascii="Calibri" w:hAnsi="Calibri"/>
          <w:color w:val="000000" w:themeColor="text1"/>
          <w:lang w:val="en-GB"/>
        </w:rPr>
        <w:t xml:space="preserve">is analytically useful in a number of ways. It </w:t>
      </w:r>
      <w:r w:rsidR="005448F6" w:rsidRPr="005234EE">
        <w:rPr>
          <w:rFonts w:ascii="Calibri" w:hAnsi="Calibri"/>
          <w:color w:val="000000" w:themeColor="text1"/>
          <w:lang w:val="en-GB"/>
        </w:rPr>
        <w:t>ma</w:t>
      </w:r>
      <w:r w:rsidR="005765EC" w:rsidRPr="005234EE">
        <w:rPr>
          <w:rFonts w:ascii="Calibri" w:hAnsi="Calibri"/>
          <w:color w:val="000000" w:themeColor="text1"/>
          <w:lang w:val="en-GB"/>
        </w:rPr>
        <w:t>y assist</w:t>
      </w:r>
      <w:r w:rsidR="005448F6" w:rsidRPr="005234EE">
        <w:rPr>
          <w:rFonts w:ascii="Calibri" w:hAnsi="Calibri"/>
          <w:color w:val="000000" w:themeColor="text1"/>
          <w:lang w:val="en-GB"/>
        </w:rPr>
        <w:t xml:space="preserve"> us </w:t>
      </w:r>
      <w:r w:rsidR="005765EC" w:rsidRPr="005234EE">
        <w:rPr>
          <w:rFonts w:ascii="Calibri" w:hAnsi="Calibri"/>
          <w:color w:val="000000" w:themeColor="text1"/>
          <w:lang w:val="en-GB"/>
        </w:rPr>
        <w:t xml:space="preserve">in </w:t>
      </w:r>
      <w:r w:rsidR="00280963" w:rsidRPr="005234EE">
        <w:rPr>
          <w:rFonts w:ascii="Calibri" w:hAnsi="Calibri"/>
          <w:color w:val="000000" w:themeColor="text1"/>
          <w:lang w:val="en-GB"/>
        </w:rPr>
        <w:t>acco</w:t>
      </w:r>
      <w:r w:rsidR="005765EC" w:rsidRPr="005234EE">
        <w:rPr>
          <w:rFonts w:ascii="Calibri" w:hAnsi="Calibri"/>
          <w:color w:val="000000" w:themeColor="text1"/>
          <w:lang w:val="en-GB"/>
        </w:rPr>
        <w:t xml:space="preserve">unting for why PO in a case like Britain </w:t>
      </w:r>
      <w:r w:rsidR="00280963" w:rsidRPr="005234EE">
        <w:rPr>
          <w:rFonts w:ascii="Calibri" w:hAnsi="Calibri"/>
          <w:color w:val="000000" w:themeColor="text1"/>
          <w:lang w:val="en-GB"/>
        </w:rPr>
        <w:t>did not translate into democratic governance</w:t>
      </w:r>
      <w:r w:rsidR="005765EC" w:rsidRPr="005234EE">
        <w:rPr>
          <w:rFonts w:ascii="Calibri" w:hAnsi="Calibri"/>
          <w:color w:val="000000" w:themeColor="text1"/>
          <w:lang w:val="en-GB"/>
        </w:rPr>
        <w:t xml:space="preserve">, whereas in Nordic cases it did (Cumbers, 2014, </w:t>
      </w:r>
      <w:r w:rsidR="009116FE" w:rsidRPr="005234EE">
        <w:rPr>
          <w:rFonts w:ascii="Calibri" w:hAnsi="Calibri"/>
          <w:color w:val="000000" w:themeColor="text1"/>
          <w:lang w:val="en-GB"/>
        </w:rPr>
        <w:t>p.</w:t>
      </w:r>
      <w:r w:rsidR="005765EC" w:rsidRPr="005234EE">
        <w:rPr>
          <w:rFonts w:ascii="Calibri" w:hAnsi="Calibri"/>
          <w:color w:val="000000" w:themeColor="text1"/>
          <w:lang w:val="en-GB"/>
        </w:rPr>
        <w:t>19</w:t>
      </w:r>
      <w:r w:rsidR="009116FE" w:rsidRPr="005234EE">
        <w:rPr>
          <w:rFonts w:ascii="Calibri" w:hAnsi="Calibri"/>
          <w:color w:val="000000" w:themeColor="text1"/>
          <w:lang w:val="en-GB"/>
        </w:rPr>
        <w:t>;</w:t>
      </w:r>
      <w:r w:rsidR="00014070" w:rsidRPr="005234EE">
        <w:rPr>
          <w:rFonts w:ascii="Calibri" w:hAnsi="Calibri"/>
          <w:color w:val="000000" w:themeColor="text1"/>
          <w:lang w:val="en-GB"/>
        </w:rPr>
        <w:t xml:space="preserve"> this volume</w:t>
      </w:r>
      <w:r w:rsidR="005765EC" w:rsidRPr="005234EE">
        <w:rPr>
          <w:rFonts w:ascii="Calibri" w:hAnsi="Calibri"/>
          <w:color w:val="000000" w:themeColor="text1"/>
          <w:lang w:val="en-GB"/>
        </w:rPr>
        <w:t>)</w:t>
      </w:r>
      <w:r w:rsidR="00280963" w:rsidRPr="005234EE">
        <w:rPr>
          <w:rFonts w:ascii="Calibri" w:hAnsi="Calibri"/>
          <w:b/>
          <w:color w:val="000000" w:themeColor="text1"/>
          <w:lang w:val="en-GB"/>
        </w:rPr>
        <w:t>.</w:t>
      </w:r>
      <w:r w:rsidR="00434DDB" w:rsidRPr="005234EE">
        <w:rPr>
          <w:rFonts w:ascii="Calibri" w:hAnsi="Calibri"/>
          <w:color w:val="000000" w:themeColor="text1"/>
          <w:lang w:val="en-GB"/>
        </w:rPr>
        <w:t xml:space="preserve"> Taking PSO as a background may also help </w:t>
      </w:r>
      <w:r w:rsidR="007E5497" w:rsidRPr="005234EE">
        <w:rPr>
          <w:rFonts w:ascii="Calibri" w:hAnsi="Calibri"/>
          <w:color w:val="000000" w:themeColor="text1"/>
          <w:lang w:val="en-GB"/>
        </w:rPr>
        <w:t xml:space="preserve">explain </w:t>
      </w:r>
      <w:r w:rsidR="00434DDB" w:rsidRPr="005234EE">
        <w:rPr>
          <w:rFonts w:ascii="Calibri" w:hAnsi="Calibri"/>
          <w:color w:val="000000" w:themeColor="text1"/>
          <w:lang w:val="en-GB"/>
        </w:rPr>
        <w:t>the approach to PO in Anglo-liberal countries</w:t>
      </w:r>
      <w:r w:rsidR="00780C7A" w:rsidRPr="005234EE">
        <w:rPr>
          <w:rFonts w:ascii="Calibri" w:hAnsi="Calibri"/>
          <w:color w:val="000000" w:themeColor="text1"/>
          <w:lang w:val="en-GB"/>
        </w:rPr>
        <w:t>. A</w:t>
      </w:r>
      <w:r w:rsidR="0013261E" w:rsidRPr="005234EE">
        <w:rPr>
          <w:rFonts w:ascii="Calibri" w:hAnsi="Calibri"/>
          <w:color w:val="000000" w:themeColor="text1"/>
          <w:lang w:val="en-GB"/>
        </w:rPr>
        <w:t xml:space="preserve">s Jackson (2012, </w:t>
      </w:r>
      <w:r w:rsidR="009116FE" w:rsidRPr="005234EE">
        <w:rPr>
          <w:rFonts w:ascii="Calibri" w:hAnsi="Calibri"/>
          <w:color w:val="000000" w:themeColor="text1"/>
          <w:lang w:val="en-GB"/>
        </w:rPr>
        <w:t>p.</w:t>
      </w:r>
      <w:r w:rsidR="0013261E" w:rsidRPr="005234EE">
        <w:rPr>
          <w:rFonts w:ascii="Calibri" w:hAnsi="Calibri"/>
          <w:color w:val="000000" w:themeColor="text1"/>
          <w:lang w:val="en-GB"/>
        </w:rPr>
        <w:t xml:space="preserve">39) explores, </w:t>
      </w:r>
      <w:r w:rsidR="00434DDB" w:rsidRPr="005234EE">
        <w:rPr>
          <w:rFonts w:ascii="Calibri" w:hAnsi="Calibri"/>
          <w:color w:val="000000" w:themeColor="text1"/>
          <w:lang w:val="en-GB"/>
        </w:rPr>
        <w:t>in Britain historically</w:t>
      </w:r>
      <w:r w:rsidR="00FA7518" w:rsidRPr="005234EE">
        <w:rPr>
          <w:rFonts w:ascii="Calibri" w:hAnsi="Calibri"/>
          <w:color w:val="000000" w:themeColor="text1"/>
          <w:lang w:val="en-GB"/>
        </w:rPr>
        <w:t>,</w:t>
      </w:r>
      <w:r w:rsidR="00434DDB" w:rsidRPr="005234EE">
        <w:rPr>
          <w:rFonts w:ascii="Calibri" w:hAnsi="Calibri"/>
          <w:color w:val="000000" w:themeColor="text1"/>
          <w:lang w:val="en-GB"/>
        </w:rPr>
        <w:t xml:space="preserve"> </w:t>
      </w:r>
      <w:r w:rsidR="0013261E" w:rsidRPr="005234EE">
        <w:rPr>
          <w:rFonts w:ascii="Calibri" w:hAnsi="Calibri"/>
          <w:color w:val="000000" w:themeColor="text1"/>
          <w:lang w:val="en-GB"/>
        </w:rPr>
        <w:t>public owners</w:t>
      </w:r>
      <w:r w:rsidR="008A17FB" w:rsidRPr="005234EE">
        <w:rPr>
          <w:rFonts w:ascii="Calibri" w:hAnsi="Calibri"/>
          <w:color w:val="000000" w:themeColor="text1"/>
          <w:lang w:val="en-GB"/>
        </w:rPr>
        <w:t>hip reform proposals came to be</w:t>
      </w:r>
      <w:r w:rsidR="0013261E" w:rsidRPr="005234EE">
        <w:rPr>
          <w:rFonts w:ascii="Calibri" w:hAnsi="Calibri"/>
          <w:color w:val="000000" w:themeColor="text1"/>
          <w:lang w:val="en-GB"/>
        </w:rPr>
        <w:t xml:space="preserve"> defined against state intervention.</w:t>
      </w:r>
      <w:r w:rsidR="00780C7A" w:rsidRPr="005234EE">
        <w:rPr>
          <w:rFonts w:ascii="Calibri" w:hAnsi="Calibri"/>
          <w:color w:val="000000" w:themeColor="text1"/>
          <w:lang w:val="en-GB"/>
        </w:rPr>
        <w:t xml:space="preserve"> </w:t>
      </w:r>
    </w:p>
    <w:p w14:paraId="6A0B341B" w14:textId="77777777" w:rsidR="00A565B4" w:rsidRPr="005234EE" w:rsidRDefault="00A565B4" w:rsidP="005765EC">
      <w:pPr>
        <w:ind w:right="-397"/>
        <w:jc w:val="both"/>
        <w:rPr>
          <w:rFonts w:ascii="Calibri" w:hAnsi="Calibri"/>
          <w:color w:val="000000" w:themeColor="text1"/>
          <w:lang w:val="en-GB"/>
        </w:rPr>
      </w:pPr>
    </w:p>
    <w:p w14:paraId="2E61F73A" w14:textId="48836508" w:rsidR="005765EC" w:rsidRPr="005234EE" w:rsidRDefault="005765EC" w:rsidP="005765EC">
      <w:pPr>
        <w:ind w:left="-397" w:right="-397"/>
        <w:jc w:val="both"/>
        <w:rPr>
          <w:rFonts w:ascii="Calibri" w:hAnsi="Calibri"/>
          <w:color w:val="000000" w:themeColor="text1"/>
          <w:lang w:val="en-GB"/>
        </w:rPr>
      </w:pPr>
      <w:r w:rsidRPr="005234EE">
        <w:rPr>
          <w:rFonts w:ascii="Calibri" w:hAnsi="Calibri"/>
          <w:color w:val="000000" w:themeColor="text1"/>
          <w:lang w:val="en-GB"/>
        </w:rPr>
        <w:t>By relevant contrast, emergent Nordic states fostered conditions for extensive land reforms and</w:t>
      </w:r>
      <w:r w:rsidR="00B51686" w:rsidRPr="005234EE">
        <w:rPr>
          <w:rFonts w:ascii="Calibri" w:hAnsi="Calibri"/>
          <w:color w:val="000000" w:themeColor="text1"/>
          <w:lang w:val="en-GB"/>
        </w:rPr>
        <w:t>,</w:t>
      </w:r>
      <w:r w:rsidRPr="005234EE">
        <w:rPr>
          <w:rFonts w:ascii="Calibri" w:hAnsi="Calibri"/>
          <w:color w:val="000000" w:themeColor="text1"/>
          <w:lang w:val="en-GB"/>
        </w:rPr>
        <w:t xml:space="preserve"> in Denmark</w:t>
      </w:r>
      <w:r w:rsidR="00B51686" w:rsidRPr="005234EE">
        <w:rPr>
          <w:rFonts w:ascii="Calibri" w:hAnsi="Calibri"/>
          <w:color w:val="000000" w:themeColor="text1"/>
          <w:lang w:val="en-GB"/>
        </w:rPr>
        <w:t>,</w:t>
      </w:r>
      <w:r w:rsidRPr="005234EE">
        <w:rPr>
          <w:rFonts w:ascii="Calibri" w:hAnsi="Calibri"/>
          <w:color w:val="000000" w:themeColor="text1"/>
          <w:lang w:val="en-GB"/>
        </w:rPr>
        <w:t xml:space="preserve"> a nation-wide cooperative movement (Henriksen</w:t>
      </w:r>
      <w:r w:rsidR="009116FE" w:rsidRPr="005234EE">
        <w:rPr>
          <w:rFonts w:ascii="Calibri" w:hAnsi="Calibri"/>
          <w:color w:val="000000" w:themeColor="text1"/>
          <w:lang w:val="en-GB"/>
        </w:rPr>
        <w:t xml:space="preserve">, </w:t>
      </w:r>
      <w:r w:rsidRPr="005234EE">
        <w:rPr>
          <w:rFonts w:ascii="Calibri" w:hAnsi="Calibri"/>
          <w:color w:val="000000" w:themeColor="text1"/>
          <w:lang w:val="en-GB"/>
        </w:rPr>
        <w:t xml:space="preserve">2006, </w:t>
      </w:r>
      <w:r w:rsidR="009116FE" w:rsidRPr="005234EE">
        <w:rPr>
          <w:rFonts w:ascii="Calibri" w:hAnsi="Calibri"/>
          <w:color w:val="000000" w:themeColor="text1"/>
          <w:lang w:val="en-GB"/>
        </w:rPr>
        <w:t>p.</w:t>
      </w:r>
      <w:r w:rsidRPr="005234EE">
        <w:rPr>
          <w:rFonts w:ascii="Calibri" w:hAnsi="Calibri"/>
          <w:color w:val="000000" w:themeColor="text1"/>
          <w:lang w:val="en-GB"/>
        </w:rPr>
        <w:t xml:space="preserve">17). In the early twentieth century, state efforts to retain public ownership of a range of natural resources </w:t>
      </w:r>
      <w:r w:rsidR="000B6A12" w:rsidRPr="005234EE">
        <w:rPr>
          <w:rFonts w:ascii="Calibri" w:hAnsi="Calibri"/>
          <w:color w:val="000000" w:themeColor="text1"/>
          <w:lang w:val="en-GB"/>
        </w:rPr>
        <w:t>(to stem Foreign Direct Investm</w:t>
      </w:r>
      <w:r w:rsidRPr="005234EE">
        <w:rPr>
          <w:rFonts w:ascii="Calibri" w:hAnsi="Calibri"/>
          <w:color w:val="000000" w:themeColor="text1"/>
          <w:lang w:val="en-GB"/>
        </w:rPr>
        <w:t>ent) were bound up with a political desire to conserve and share resources within present and across future generations (</w:t>
      </w:r>
      <w:commentRangeStart w:id="6"/>
      <w:r w:rsidRPr="005234EE">
        <w:rPr>
          <w:rFonts w:ascii="Calibri" w:hAnsi="Calibri"/>
          <w:color w:val="000000" w:themeColor="text1"/>
          <w:lang w:val="en-GB"/>
        </w:rPr>
        <w:t>Sanders et al</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2016</w:t>
      </w:r>
      <w:commentRangeEnd w:id="6"/>
      <w:r w:rsidR="00C10CD1" w:rsidRPr="005234EE">
        <w:rPr>
          <w:rStyle w:val="CommentReference"/>
          <w:rFonts w:ascii="Calibri" w:hAnsi="Calibri" w:cstheme="minorBidi"/>
          <w:sz w:val="24"/>
          <w:szCs w:val="24"/>
        </w:rPr>
        <w:commentReference w:id="6"/>
      </w:r>
      <w:r w:rsidRPr="005234EE">
        <w:rPr>
          <w:rFonts w:ascii="Calibri" w:hAnsi="Calibri"/>
          <w:color w:val="000000" w:themeColor="text1"/>
          <w:lang w:val="en-GB"/>
        </w:rPr>
        <w:t xml:space="preserve">). </w:t>
      </w:r>
      <w:r w:rsidR="00B51686" w:rsidRPr="005234EE">
        <w:rPr>
          <w:rFonts w:ascii="Calibri" w:hAnsi="Calibri"/>
          <w:color w:val="000000" w:themeColor="text1"/>
          <w:lang w:val="en-GB"/>
        </w:rPr>
        <w:t>In Nordic states</w:t>
      </w:r>
      <w:r w:rsidRPr="005234EE">
        <w:rPr>
          <w:rFonts w:ascii="Calibri" w:hAnsi="Calibri"/>
          <w:color w:val="000000" w:themeColor="text1"/>
          <w:lang w:val="en-GB"/>
        </w:rPr>
        <w:t>, bo</w:t>
      </w:r>
      <w:r w:rsidR="00F21BC5">
        <w:rPr>
          <w:rFonts w:ascii="Calibri" w:hAnsi="Calibri"/>
          <w:color w:val="000000" w:themeColor="text1"/>
          <w:lang w:val="en-GB"/>
        </w:rPr>
        <w:t>th PO and PSO were encompassing,</w:t>
      </w:r>
      <w:r w:rsidRPr="005234EE">
        <w:rPr>
          <w:rFonts w:ascii="Calibri" w:hAnsi="Calibri"/>
          <w:color w:val="000000" w:themeColor="text1"/>
          <w:lang w:val="en-GB"/>
        </w:rPr>
        <w:t xml:space="preserve">and became mutually reinforcing </w:t>
      </w:r>
      <w:r w:rsidR="00891F82" w:rsidRPr="005234EE">
        <w:rPr>
          <w:rFonts w:ascii="Calibri" w:hAnsi="Calibri"/>
          <w:color w:val="000000" w:themeColor="text1"/>
          <w:lang w:val="en-GB"/>
        </w:rPr>
        <w:t>(</w:t>
      </w:r>
      <w:r w:rsidR="00014070" w:rsidRPr="005234EE">
        <w:rPr>
          <w:rFonts w:ascii="Calibri" w:hAnsi="Calibri"/>
          <w:color w:val="000000" w:themeColor="text1"/>
          <w:lang w:val="en-GB"/>
        </w:rPr>
        <w:t>see s</w:t>
      </w:r>
      <w:r w:rsidR="00891F82" w:rsidRPr="005234EE">
        <w:rPr>
          <w:rFonts w:ascii="Calibri" w:hAnsi="Calibri"/>
          <w:color w:val="000000" w:themeColor="text1"/>
          <w:lang w:val="en-GB"/>
        </w:rPr>
        <w:t>ection 2</w:t>
      </w:r>
      <w:r w:rsidRPr="005234EE">
        <w:rPr>
          <w:rFonts w:ascii="Calibri" w:hAnsi="Calibri"/>
          <w:color w:val="000000" w:themeColor="text1"/>
          <w:lang w:val="en-GB"/>
        </w:rPr>
        <w:t xml:space="preserve"> below).</w:t>
      </w:r>
    </w:p>
    <w:p w14:paraId="33F3E341" w14:textId="77777777" w:rsidR="005765EC" w:rsidRPr="005234EE" w:rsidRDefault="005765EC" w:rsidP="005765EC">
      <w:pPr>
        <w:ind w:right="-397"/>
        <w:jc w:val="both"/>
        <w:rPr>
          <w:rFonts w:ascii="Calibri" w:hAnsi="Calibri"/>
          <w:color w:val="000000" w:themeColor="text1"/>
          <w:lang w:val="en-GB"/>
        </w:rPr>
      </w:pPr>
    </w:p>
    <w:p w14:paraId="33C8924B" w14:textId="18B42C3B" w:rsidR="004D3AE3" w:rsidRPr="005234EE" w:rsidRDefault="00A565B4" w:rsidP="004F4EF4">
      <w:pPr>
        <w:ind w:left="-397" w:right="-397"/>
        <w:jc w:val="both"/>
        <w:rPr>
          <w:rFonts w:ascii="Calibri" w:hAnsi="Calibri"/>
          <w:color w:val="000000" w:themeColor="text1"/>
          <w:lang w:val="en-GB"/>
        </w:rPr>
      </w:pPr>
      <w:r w:rsidRPr="005234EE">
        <w:rPr>
          <w:rFonts w:ascii="Calibri" w:hAnsi="Calibri"/>
          <w:color w:val="000000" w:themeColor="text1"/>
          <w:lang w:val="en-GB"/>
        </w:rPr>
        <w:t xml:space="preserve">In all, basic historical differences in </w:t>
      </w:r>
      <w:r w:rsidR="00BE60B9" w:rsidRPr="005234EE">
        <w:rPr>
          <w:rFonts w:ascii="Calibri" w:hAnsi="Calibri"/>
          <w:color w:val="000000" w:themeColor="text1"/>
          <w:lang w:val="en-GB"/>
        </w:rPr>
        <w:t>the</w:t>
      </w:r>
      <w:r w:rsidRPr="005234EE">
        <w:rPr>
          <w:rFonts w:ascii="Calibri" w:hAnsi="Calibri"/>
          <w:color w:val="000000" w:themeColor="text1"/>
          <w:lang w:val="en-GB"/>
        </w:rPr>
        <w:t xml:space="preserve"> development</w:t>
      </w:r>
      <w:r w:rsidR="00BE60B9" w:rsidRPr="005234EE">
        <w:rPr>
          <w:rFonts w:ascii="Calibri" w:hAnsi="Calibri"/>
          <w:color w:val="000000" w:themeColor="text1"/>
          <w:lang w:val="en-GB"/>
        </w:rPr>
        <w:t xml:space="preserve"> of the state</w:t>
      </w:r>
      <w:r w:rsidRPr="005234EE">
        <w:rPr>
          <w:rFonts w:ascii="Calibri" w:hAnsi="Calibri"/>
          <w:color w:val="000000" w:themeColor="text1"/>
          <w:lang w:val="en-GB"/>
        </w:rPr>
        <w:t xml:space="preserve"> in Britain and Denmark s</w:t>
      </w:r>
      <w:r w:rsidR="001B532D" w:rsidRPr="005234EE">
        <w:rPr>
          <w:rFonts w:ascii="Calibri" w:hAnsi="Calibri"/>
          <w:color w:val="000000" w:themeColor="text1"/>
          <w:lang w:val="en-GB"/>
        </w:rPr>
        <w:t>uggest</w:t>
      </w:r>
      <w:r w:rsidRPr="005234EE">
        <w:rPr>
          <w:rFonts w:ascii="Calibri" w:hAnsi="Calibri"/>
          <w:color w:val="000000" w:themeColor="text1"/>
          <w:lang w:val="en-GB"/>
        </w:rPr>
        <w:t xml:space="preserve"> the systemic level of inclusivity in governing matters for inclusivity in the context of particular areas of PO</w:t>
      </w:r>
      <w:r w:rsidR="000E1471" w:rsidRPr="005234EE">
        <w:rPr>
          <w:rFonts w:ascii="Calibri" w:hAnsi="Calibri"/>
          <w:color w:val="000000" w:themeColor="text1"/>
          <w:lang w:val="en-GB"/>
        </w:rPr>
        <w:t>, or specific</w:t>
      </w:r>
      <w:r w:rsidRPr="005234EE">
        <w:rPr>
          <w:rFonts w:ascii="Calibri" w:hAnsi="Calibri"/>
          <w:color w:val="000000" w:themeColor="text1"/>
          <w:lang w:val="en-GB"/>
        </w:rPr>
        <w:t xml:space="preserve"> areas of policy.</w:t>
      </w:r>
      <w:r w:rsidR="009E7E37" w:rsidRPr="005234EE">
        <w:rPr>
          <w:rFonts w:ascii="Calibri" w:hAnsi="Calibri"/>
          <w:color w:val="000000" w:themeColor="text1"/>
          <w:lang w:val="en-GB"/>
        </w:rPr>
        <w:t xml:space="preserve"> </w:t>
      </w:r>
      <w:r w:rsidR="00B51686" w:rsidRPr="005234EE">
        <w:rPr>
          <w:rFonts w:ascii="Calibri" w:hAnsi="Calibri"/>
          <w:color w:val="000000" w:themeColor="text1"/>
          <w:lang w:val="en-GB"/>
        </w:rPr>
        <w:t>In this context,</w:t>
      </w:r>
      <w:r w:rsidR="00642684" w:rsidRPr="005234EE">
        <w:rPr>
          <w:rFonts w:ascii="Calibri" w:hAnsi="Calibri"/>
          <w:color w:val="000000" w:themeColor="text1"/>
          <w:lang w:val="en-GB"/>
        </w:rPr>
        <w:t xml:space="preserve"> </w:t>
      </w:r>
      <w:r w:rsidR="00891F82" w:rsidRPr="005234EE">
        <w:rPr>
          <w:rFonts w:ascii="Calibri" w:hAnsi="Calibri"/>
          <w:color w:val="000000" w:themeColor="text1"/>
          <w:lang w:val="en-GB"/>
        </w:rPr>
        <w:t xml:space="preserve">a </w:t>
      </w:r>
      <w:r w:rsidR="00642684" w:rsidRPr="005234EE">
        <w:rPr>
          <w:rFonts w:ascii="Calibri" w:hAnsi="Calibri"/>
          <w:color w:val="000000" w:themeColor="text1"/>
          <w:lang w:val="en-GB"/>
        </w:rPr>
        <w:t xml:space="preserve">constructive contribution of long-run comparative analysis </w:t>
      </w:r>
      <w:r w:rsidR="00B51686" w:rsidRPr="005234EE">
        <w:rPr>
          <w:rFonts w:ascii="Calibri" w:hAnsi="Calibri"/>
          <w:color w:val="000000" w:themeColor="text1"/>
          <w:lang w:val="en-GB"/>
        </w:rPr>
        <w:t>is to help draw out</w:t>
      </w:r>
      <w:r w:rsidR="00642684" w:rsidRPr="005234EE">
        <w:rPr>
          <w:rFonts w:ascii="Calibri" w:hAnsi="Calibri"/>
          <w:color w:val="000000" w:themeColor="text1"/>
          <w:lang w:val="en-GB"/>
        </w:rPr>
        <w:t xml:space="preserve"> </w:t>
      </w:r>
      <w:r w:rsidR="00A7742F" w:rsidRPr="005234EE">
        <w:rPr>
          <w:rFonts w:ascii="Calibri" w:hAnsi="Calibri"/>
          <w:color w:val="000000" w:themeColor="text1"/>
          <w:lang w:val="en-GB"/>
        </w:rPr>
        <w:t>deeper</w:t>
      </w:r>
      <w:r w:rsidR="00642684" w:rsidRPr="005234EE">
        <w:rPr>
          <w:rFonts w:ascii="Calibri" w:hAnsi="Calibri"/>
          <w:color w:val="000000" w:themeColor="text1"/>
          <w:lang w:val="en-GB"/>
        </w:rPr>
        <w:t xml:space="preserve"> factors that govern the recurrent impact in governance capacity and quality of </w:t>
      </w:r>
      <w:r w:rsidR="001B532D" w:rsidRPr="005234EE">
        <w:rPr>
          <w:rFonts w:ascii="Calibri" w:hAnsi="Calibri"/>
          <w:color w:val="000000" w:themeColor="text1"/>
          <w:lang w:val="en-GB"/>
        </w:rPr>
        <w:t xml:space="preserve">broad inclusivity in governing. </w:t>
      </w:r>
      <w:r w:rsidR="004D3AE3" w:rsidRPr="005234EE">
        <w:rPr>
          <w:rFonts w:ascii="Calibri" w:hAnsi="Calibri"/>
          <w:color w:val="000000" w:themeColor="text1"/>
          <w:lang w:val="en-GB"/>
        </w:rPr>
        <w:t>My key contention is that a</w:t>
      </w:r>
      <w:r w:rsidR="00891F82" w:rsidRPr="005234EE">
        <w:rPr>
          <w:rFonts w:ascii="Calibri" w:hAnsi="Calibri"/>
          <w:color w:val="000000" w:themeColor="text1"/>
          <w:lang w:val="en-GB"/>
        </w:rPr>
        <w:t xml:space="preserve"> basic</w:t>
      </w:r>
      <w:r w:rsidR="004D3AE3" w:rsidRPr="005234EE">
        <w:rPr>
          <w:rFonts w:ascii="Calibri" w:hAnsi="Calibri"/>
          <w:color w:val="000000" w:themeColor="text1"/>
          <w:lang w:val="en-GB"/>
        </w:rPr>
        <w:t xml:space="preserve"> reason why individual areas of state policy become more effective for human development in conditions of public state ownership</w:t>
      </w:r>
      <w:r w:rsidR="000E1471" w:rsidRPr="005234EE">
        <w:rPr>
          <w:rFonts w:ascii="Calibri" w:hAnsi="Calibri"/>
          <w:color w:val="000000" w:themeColor="text1"/>
          <w:lang w:val="en-GB"/>
        </w:rPr>
        <w:t>,</w:t>
      </w:r>
      <w:r w:rsidR="004D3AE3" w:rsidRPr="005234EE">
        <w:rPr>
          <w:rFonts w:ascii="Calibri" w:hAnsi="Calibri"/>
          <w:color w:val="000000" w:themeColor="text1"/>
          <w:lang w:val="en-GB"/>
        </w:rPr>
        <w:t xml:space="preserve"> is a democratic imperative arising from underlying factors in human economy.</w:t>
      </w:r>
    </w:p>
    <w:p w14:paraId="30A11DA4" w14:textId="77777777" w:rsidR="006B21E7" w:rsidRPr="005234EE" w:rsidRDefault="006B21E7" w:rsidP="004D3AE3">
      <w:pPr>
        <w:ind w:left="-397" w:right="-397"/>
        <w:jc w:val="both"/>
        <w:rPr>
          <w:rFonts w:ascii="Calibri" w:hAnsi="Calibri"/>
          <w:color w:val="000000" w:themeColor="text1"/>
          <w:lang w:val="en-GB"/>
        </w:rPr>
      </w:pPr>
    </w:p>
    <w:p w14:paraId="6097A7B3" w14:textId="73C7B7E6" w:rsidR="004D3AE3" w:rsidRPr="005234EE" w:rsidRDefault="004D3AE3" w:rsidP="00FA7518">
      <w:pPr>
        <w:ind w:left="-397" w:right="-397"/>
        <w:jc w:val="both"/>
        <w:rPr>
          <w:rFonts w:ascii="Calibri" w:hAnsi="Calibri"/>
          <w:color w:val="000000" w:themeColor="text1"/>
          <w:lang w:val="en-GB"/>
        </w:rPr>
      </w:pPr>
      <w:r w:rsidRPr="005234EE">
        <w:rPr>
          <w:rFonts w:ascii="Calibri" w:hAnsi="Calibri"/>
          <w:color w:val="000000" w:themeColor="text1"/>
          <w:lang w:val="en-GB"/>
        </w:rPr>
        <w:t>Where</w:t>
      </w:r>
      <w:r w:rsidR="00A7742F" w:rsidRPr="005234EE">
        <w:rPr>
          <w:rFonts w:ascii="Calibri" w:hAnsi="Calibri"/>
          <w:color w:val="000000" w:themeColor="text1"/>
          <w:lang w:val="en-GB"/>
        </w:rPr>
        <w:t xml:space="preserve"> the </w:t>
      </w:r>
      <w:r w:rsidR="00041244" w:rsidRPr="005234EE">
        <w:rPr>
          <w:rFonts w:ascii="Calibri" w:hAnsi="Calibri"/>
          <w:color w:val="000000" w:themeColor="text1"/>
          <w:lang w:val="en-GB"/>
        </w:rPr>
        <w:t xml:space="preserve">comparative capitalism literature </w:t>
      </w:r>
      <w:r w:rsidRPr="005234EE">
        <w:rPr>
          <w:rFonts w:ascii="Calibri" w:hAnsi="Calibri"/>
          <w:color w:val="000000" w:themeColor="text1"/>
          <w:lang w:val="en-GB"/>
        </w:rPr>
        <w:t>situates skills organisation institutions as central</w:t>
      </w:r>
      <w:r w:rsidR="005765EC" w:rsidRPr="005234EE">
        <w:rPr>
          <w:rFonts w:ascii="Calibri" w:hAnsi="Calibri"/>
          <w:color w:val="000000" w:themeColor="text1"/>
          <w:lang w:val="en-GB"/>
        </w:rPr>
        <w:t xml:space="preserve"> to </w:t>
      </w:r>
      <w:r w:rsidRPr="005234EE">
        <w:rPr>
          <w:rFonts w:ascii="Calibri" w:hAnsi="Calibri"/>
          <w:color w:val="000000" w:themeColor="text1"/>
          <w:lang w:val="en-GB"/>
        </w:rPr>
        <w:t>variation</w:t>
      </w:r>
      <w:r w:rsidR="00891F82" w:rsidRPr="005234EE">
        <w:rPr>
          <w:rFonts w:ascii="Calibri" w:hAnsi="Calibri"/>
          <w:color w:val="000000" w:themeColor="text1"/>
          <w:lang w:val="en-GB"/>
        </w:rPr>
        <w:t>, I identify human economy as</w:t>
      </w:r>
      <w:r w:rsidR="00EB3AEB" w:rsidRPr="005234EE">
        <w:rPr>
          <w:rFonts w:ascii="Calibri" w:hAnsi="Calibri"/>
          <w:color w:val="000000" w:themeColor="text1"/>
          <w:lang w:val="en-GB"/>
        </w:rPr>
        <w:t xml:space="preserve"> </w:t>
      </w:r>
      <w:r w:rsidRPr="005234EE">
        <w:rPr>
          <w:rFonts w:ascii="Calibri" w:hAnsi="Calibri"/>
          <w:color w:val="000000" w:themeColor="text1"/>
          <w:lang w:val="en-GB"/>
        </w:rPr>
        <w:t xml:space="preserve">a deeper </w:t>
      </w:r>
      <w:r w:rsidR="00A7742F" w:rsidRPr="005234EE">
        <w:rPr>
          <w:rFonts w:ascii="Calibri" w:hAnsi="Calibri"/>
          <w:color w:val="000000" w:themeColor="text1"/>
          <w:lang w:val="en-GB"/>
        </w:rPr>
        <w:t>condition</w:t>
      </w:r>
      <w:r w:rsidRPr="005234EE">
        <w:rPr>
          <w:rFonts w:ascii="Calibri" w:hAnsi="Calibri"/>
          <w:color w:val="000000" w:themeColor="text1"/>
          <w:lang w:val="en-GB"/>
        </w:rPr>
        <w:t xml:space="preserve"> beh</w:t>
      </w:r>
      <w:r w:rsidR="00FA7518" w:rsidRPr="005234EE">
        <w:rPr>
          <w:rFonts w:ascii="Calibri" w:hAnsi="Calibri"/>
          <w:color w:val="000000" w:themeColor="text1"/>
          <w:lang w:val="en-GB"/>
        </w:rPr>
        <w:t xml:space="preserve">ind systems’ varying shape, </w:t>
      </w:r>
      <w:r w:rsidRPr="005234EE">
        <w:rPr>
          <w:rFonts w:ascii="Calibri" w:hAnsi="Calibri"/>
          <w:color w:val="000000" w:themeColor="text1"/>
          <w:lang w:val="en-GB"/>
        </w:rPr>
        <w:t xml:space="preserve">function, and </w:t>
      </w:r>
      <w:r w:rsidR="005765EC" w:rsidRPr="005234EE">
        <w:rPr>
          <w:rFonts w:ascii="Calibri" w:hAnsi="Calibri"/>
          <w:color w:val="000000" w:themeColor="text1"/>
          <w:lang w:val="en-GB"/>
        </w:rPr>
        <w:t>evolutionary logic</w:t>
      </w:r>
      <w:r w:rsidRPr="005234EE">
        <w:rPr>
          <w:rFonts w:ascii="Calibri" w:hAnsi="Calibri"/>
          <w:color w:val="000000" w:themeColor="text1"/>
          <w:lang w:val="en-GB"/>
        </w:rPr>
        <w:t>. Human economy can be defined in terms of core modalities of human development, to include developmental features of human cognition, learning</w:t>
      </w:r>
      <w:r w:rsidR="00F21BC5">
        <w:rPr>
          <w:rFonts w:ascii="Calibri" w:hAnsi="Calibri"/>
          <w:color w:val="000000" w:themeColor="text1"/>
          <w:lang w:val="en-GB"/>
        </w:rPr>
        <w:t>,</w:t>
      </w:r>
      <w:r w:rsidRPr="005234EE">
        <w:rPr>
          <w:rFonts w:ascii="Calibri" w:hAnsi="Calibri"/>
          <w:color w:val="000000" w:themeColor="text1"/>
          <w:lang w:val="en-GB"/>
        </w:rPr>
        <w:t xml:space="preserve"> and social dependence</w:t>
      </w:r>
      <w:r w:rsidRPr="005234EE">
        <w:rPr>
          <w:rFonts w:ascii="Calibri" w:hAnsi="Calibri"/>
          <w:b/>
          <w:color w:val="000000" w:themeColor="text1"/>
          <w:lang w:val="en-GB"/>
        </w:rPr>
        <w:t>.</w:t>
      </w:r>
      <w:r w:rsidRPr="005234EE">
        <w:rPr>
          <w:rFonts w:ascii="Calibri" w:hAnsi="Calibri"/>
          <w:color w:val="000000" w:themeColor="text1"/>
          <w:lang w:val="en-GB"/>
        </w:rPr>
        <w:t xml:space="preserve"> </w:t>
      </w:r>
      <w:r w:rsidR="005765EC" w:rsidRPr="005234EE">
        <w:rPr>
          <w:rFonts w:ascii="Calibri" w:hAnsi="Calibri"/>
          <w:color w:val="000000" w:themeColor="text1"/>
          <w:lang w:val="en-GB"/>
        </w:rPr>
        <w:t>I assume t</w:t>
      </w:r>
      <w:r w:rsidRPr="005234EE">
        <w:rPr>
          <w:rFonts w:ascii="Calibri" w:hAnsi="Calibri"/>
          <w:color w:val="000000" w:themeColor="text1"/>
          <w:lang w:val="en-GB"/>
        </w:rPr>
        <w:t>hese fixed features of human economy act as a stable constant in the</w:t>
      </w:r>
      <w:r w:rsidR="00FA7518" w:rsidRPr="005234EE">
        <w:rPr>
          <w:rFonts w:ascii="Calibri" w:hAnsi="Calibri"/>
          <w:color w:val="000000" w:themeColor="text1"/>
          <w:lang w:val="en-GB"/>
        </w:rPr>
        <w:t xml:space="preserve"> sense that</w:t>
      </w:r>
      <w:r w:rsidR="000E1471" w:rsidRPr="005234EE">
        <w:rPr>
          <w:rFonts w:ascii="Calibri" w:hAnsi="Calibri"/>
          <w:color w:val="000000" w:themeColor="text1"/>
          <w:lang w:val="en-GB"/>
        </w:rPr>
        <w:t>,</w:t>
      </w:r>
      <w:r w:rsidR="00FA7518" w:rsidRPr="005234EE">
        <w:rPr>
          <w:rFonts w:ascii="Calibri" w:hAnsi="Calibri"/>
          <w:color w:val="000000" w:themeColor="text1"/>
          <w:lang w:val="en-GB"/>
        </w:rPr>
        <w:t xml:space="preserve"> in response</w:t>
      </w:r>
      <w:r w:rsidR="000E1471" w:rsidRPr="005234EE">
        <w:rPr>
          <w:rFonts w:ascii="Calibri" w:hAnsi="Calibri"/>
          <w:color w:val="000000" w:themeColor="text1"/>
          <w:lang w:val="en-GB"/>
        </w:rPr>
        <w:t>,</w:t>
      </w:r>
      <w:r w:rsidR="00FA7518" w:rsidRPr="005234EE">
        <w:rPr>
          <w:rFonts w:ascii="Calibri" w:hAnsi="Calibri"/>
          <w:color w:val="000000" w:themeColor="text1"/>
          <w:lang w:val="en-GB"/>
        </w:rPr>
        <w:t xml:space="preserve"> </w:t>
      </w:r>
      <w:r w:rsidRPr="005234EE">
        <w:rPr>
          <w:rFonts w:ascii="Calibri" w:hAnsi="Calibri"/>
          <w:color w:val="000000" w:themeColor="text1"/>
          <w:lang w:val="en-GB"/>
        </w:rPr>
        <w:t>all econom</w:t>
      </w:r>
      <w:r w:rsidR="00891F82" w:rsidRPr="005234EE">
        <w:rPr>
          <w:rFonts w:ascii="Calibri" w:hAnsi="Calibri"/>
          <w:color w:val="000000" w:themeColor="text1"/>
          <w:lang w:val="en-GB"/>
        </w:rPr>
        <w:t>ies rely on informal or formal</w:t>
      </w:r>
      <w:r w:rsidRPr="005234EE">
        <w:rPr>
          <w:rFonts w:ascii="Calibri" w:hAnsi="Calibri"/>
          <w:color w:val="000000" w:themeColor="text1"/>
          <w:lang w:val="en-GB"/>
        </w:rPr>
        <w:t xml:space="preserve"> systems of education, occupation, </w:t>
      </w:r>
      <w:r w:rsidR="00FA7518" w:rsidRPr="005234EE">
        <w:rPr>
          <w:rFonts w:ascii="Calibri" w:hAnsi="Calibri"/>
          <w:color w:val="000000" w:themeColor="text1"/>
          <w:lang w:val="en-GB"/>
        </w:rPr>
        <w:t>care</w:t>
      </w:r>
      <w:r w:rsidR="00041244" w:rsidRPr="005234EE">
        <w:rPr>
          <w:rFonts w:ascii="Calibri" w:hAnsi="Calibri"/>
          <w:color w:val="000000" w:themeColor="text1"/>
          <w:lang w:val="en-GB"/>
        </w:rPr>
        <w:t>,</w:t>
      </w:r>
      <w:r w:rsidR="00FA7518" w:rsidRPr="005234EE">
        <w:rPr>
          <w:rFonts w:ascii="Calibri" w:hAnsi="Calibri"/>
          <w:color w:val="000000" w:themeColor="text1"/>
          <w:lang w:val="en-GB"/>
        </w:rPr>
        <w:t xml:space="preserve"> and economic security</w:t>
      </w:r>
      <w:r w:rsidR="00FA7518" w:rsidRPr="005234EE">
        <w:rPr>
          <w:rFonts w:ascii="Calibri" w:hAnsi="Calibri"/>
          <w:b/>
          <w:color w:val="000000" w:themeColor="text1"/>
          <w:lang w:val="en-GB"/>
        </w:rPr>
        <w:t>.</w:t>
      </w:r>
      <w:r w:rsidR="00FA7518" w:rsidRPr="005234EE">
        <w:rPr>
          <w:rFonts w:ascii="Calibri" w:hAnsi="Calibri"/>
          <w:color w:val="000000" w:themeColor="text1"/>
          <w:lang w:val="en-GB"/>
        </w:rPr>
        <w:t xml:space="preserve"> </w:t>
      </w:r>
    </w:p>
    <w:p w14:paraId="350978B0" w14:textId="77777777" w:rsidR="004D3AE3" w:rsidRPr="005234EE" w:rsidRDefault="004D3AE3" w:rsidP="004D3AE3">
      <w:pPr>
        <w:ind w:right="-397"/>
        <w:jc w:val="both"/>
        <w:rPr>
          <w:rFonts w:ascii="Calibri" w:hAnsi="Calibri"/>
          <w:color w:val="000000" w:themeColor="text1"/>
          <w:lang w:val="en-GB"/>
        </w:rPr>
      </w:pPr>
    </w:p>
    <w:p w14:paraId="49698E4A" w14:textId="05BAF117" w:rsidR="004D3AE3" w:rsidRPr="005234EE" w:rsidRDefault="00891F82" w:rsidP="00AD4156">
      <w:pPr>
        <w:ind w:left="-397" w:right="-397"/>
        <w:jc w:val="both"/>
        <w:rPr>
          <w:rFonts w:ascii="Calibri" w:hAnsi="Calibri"/>
          <w:b/>
          <w:color w:val="000000" w:themeColor="text1"/>
          <w:lang w:val="en-GB"/>
        </w:rPr>
      </w:pPr>
      <w:r w:rsidRPr="005234EE">
        <w:rPr>
          <w:rFonts w:ascii="Calibri" w:hAnsi="Calibri"/>
          <w:color w:val="000000" w:themeColor="text1"/>
          <w:lang w:val="en-GB"/>
        </w:rPr>
        <w:t xml:space="preserve">In this context, </w:t>
      </w:r>
      <w:r w:rsidR="004D3AE3" w:rsidRPr="005234EE">
        <w:rPr>
          <w:rFonts w:ascii="Calibri" w:hAnsi="Calibri"/>
          <w:color w:val="000000" w:themeColor="text1"/>
          <w:lang w:val="en-GB"/>
        </w:rPr>
        <w:t>a likely corollary of public state ownership is a form of democratic responsiveness, being the degree to which the public sector is sensitive to public (join</w:t>
      </w:r>
      <w:r w:rsidR="00EB3AEB" w:rsidRPr="005234EE">
        <w:rPr>
          <w:rFonts w:ascii="Calibri" w:hAnsi="Calibri"/>
          <w:color w:val="000000" w:themeColor="text1"/>
          <w:lang w:val="en-GB"/>
        </w:rPr>
        <w:t xml:space="preserve">tly individual and collective) </w:t>
      </w:r>
      <w:r w:rsidR="004D3AE3" w:rsidRPr="005234EE">
        <w:rPr>
          <w:rFonts w:ascii="Calibri" w:hAnsi="Calibri"/>
          <w:color w:val="000000" w:themeColor="text1"/>
          <w:lang w:val="en-GB"/>
        </w:rPr>
        <w:t>interests in human development protection.</w:t>
      </w:r>
      <w:r w:rsidR="00AD4156" w:rsidRPr="005234EE">
        <w:rPr>
          <w:rFonts w:ascii="Calibri" w:hAnsi="Calibri"/>
          <w:color w:val="000000" w:themeColor="text1"/>
          <w:lang w:val="en-GB"/>
        </w:rPr>
        <w:t xml:space="preserve"> </w:t>
      </w:r>
      <w:r w:rsidR="004D3AE3" w:rsidRPr="005234EE">
        <w:rPr>
          <w:rFonts w:ascii="Calibri" w:hAnsi="Calibri"/>
          <w:color w:val="000000" w:themeColor="text1"/>
          <w:lang w:val="en-GB"/>
        </w:rPr>
        <w:t>In turn, d</w:t>
      </w:r>
      <w:r w:rsidRPr="005234EE">
        <w:rPr>
          <w:rFonts w:ascii="Calibri" w:hAnsi="Calibri"/>
          <w:color w:val="000000" w:themeColor="text1"/>
          <w:lang w:val="en-GB"/>
        </w:rPr>
        <w:t xml:space="preserve">emocratic responsiveness is </w:t>
      </w:r>
      <w:r w:rsidR="004D3AE3" w:rsidRPr="005234EE">
        <w:rPr>
          <w:rFonts w:ascii="Calibri" w:hAnsi="Calibri"/>
          <w:color w:val="000000" w:themeColor="text1"/>
          <w:lang w:val="en-GB"/>
        </w:rPr>
        <w:t>typ</w:t>
      </w:r>
      <w:r w:rsidRPr="005234EE">
        <w:rPr>
          <w:rFonts w:ascii="Calibri" w:hAnsi="Calibri"/>
          <w:color w:val="000000" w:themeColor="text1"/>
          <w:lang w:val="en-GB"/>
        </w:rPr>
        <w:t>ically</w:t>
      </w:r>
      <w:r w:rsidR="004D3AE3" w:rsidRPr="005234EE">
        <w:rPr>
          <w:rFonts w:ascii="Calibri" w:hAnsi="Calibri"/>
          <w:color w:val="000000" w:themeColor="text1"/>
          <w:lang w:val="en-GB"/>
        </w:rPr>
        <w:t xml:space="preserve"> exerted through forms of democratic and humanist governance.</w:t>
      </w:r>
      <w:r w:rsidR="00AD4156" w:rsidRPr="005234EE">
        <w:rPr>
          <w:rFonts w:ascii="Calibri" w:hAnsi="Calibri"/>
          <w:color w:val="000000" w:themeColor="text1"/>
          <w:lang w:val="en-GB"/>
        </w:rPr>
        <w:t xml:space="preserve"> </w:t>
      </w:r>
      <w:r w:rsidR="004D3AE3" w:rsidRPr="005234EE">
        <w:rPr>
          <w:rFonts w:ascii="Calibri" w:hAnsi="Calibri"/>
          <w:color w:val="000000" w:themeColor="text1"/>
          <w:lang w:val="en-GB"/>
        </w:rPr>
        <w:t xml:space="preserve">Democratic governance refers to the level of scrutiny of public rules within the state itself, including more or less independent institutions acting </w:t>
      </w:r>
      <w:r w:rsidR="004D3AE3" w:rsidRPr="005234EE">
        <w:rPr>
          <w:rFonts w:ascii="Calibri" w:hAnsi="Calibri"/>
          <w:color w:val="000000" w:themeColor="text1"/>
          <w:lang w:val="en-GB"/>
        </w:rPr>
        <w:lastRenderedPageBreak/>
        <w:t>on its behalf, such as local public administration, union or employer organisations</w:t>
      </w:r>
      <w:r w:rsidR="000E1471" w:rsidRPr="005234EE">
        <w:rPr>
          <w:rFonts w:ascii="Calibri" w:hAnsi="Calibri"/>
          <w:color w:val="000000" w:themeColor="text1"/>
          <w:lang w:val="en-GB"/>
        </w:rPr>
        <w:t>,</w:t>
      </w:r>
      <w:r w:rsidR="004D3AE3" w:rsidRPr="005234EE">
        <w:rPr>
          <w:rFonts w:ascii="Calibri" w:hAnsi="Calibri"/>
          <w:color w:val="000000" w:themeColor="text1"/>
          <w:lang w:val="en-GB"/>
        </w:rPr>
        <w:t xml:space="preserve"> or/and research bo</w:t>
      </w:r>
      <w:r w:rsidRPr="005234EE">
        <w:rPr>
          <w:rFonts w:ascii="Calibri" w:hAnsi="Calibri"/>
          <w:color w:val="000000" w:themeColor="text1"/>
          <w:lang w:val="en-GB"/>
        </w:rPr>
        <w:t>dies, or -</w:t>
      </w:r>
      <w:r w:rsidR="00865FBE" w:rsidRPr="005234EE">
        <w:rPr>
          <w:rFonts w:ascii="Calibri" w:hAnsi="Calibri"/>
          <w:color w:val="000000" w:themeColor="text1"/>
          <w:lang w:val="en-GB"/>
        </w:rPr>
        <w:t xml:space="preserve"> </w:t>
      </w:r>
      <w:r w:rsidRPr="005234EE">
        <w:rPr>
          <w:rFonts w:ascii="Calibri" w:hAnsi="Calibri"/>
          <w:color w:val="000000" w:themeColor="text1"/>
          <w:lang w:val="en-GB"/>
        </w:rPr>
        <w:t>ultimately - courts.</w:t>
      </w:r>
      <w:r w:rsidR="00865FBE" w:rsidRPr="005234EE">
        <w:rPr>
          <w:rFonts w:ascii="Calibri" w:hAnsi="Calibri"/>
          <w:b/>
          <w:color w:val="000000" w:themeColor="text1"/>
          <w:lang w:val="en-GB"/>
        </w:rPr>
        <w:t xml:space="preserve"> </w:t>
      </w:r>
      <w:r w:rsidR="004D3AE3" w:rsidRPr="005234EE">
        <w:rPr>
          <w:rFonts w:ascii="Calibri" w:hAnsi="Calibri"/>
          <w:color w:val="000000" w:themeColor="text1"/>
          <w:lang w:val="en-GB"/>
        </w:rPr>
        <w:t>Humanist governance refers to a form of governing particular institutions, or designing particular policies, that expresses regard for individuals’ interests in human development p</w:t>
      </w:r>
      <w:r w:rsidR="00684AD3" w:rsidRPr="005234EE">
        <w:rPr>
          <w:rFonts w:ascii="Calibri" w:hAnsi="Calibri"/>
          <w:color w:val="000000" w:themeColor="text1"/>
          <w:lang w:val="en-GB"/>
        </w:rPr>
        <w:t xml:space="preserve">rotection, and control of </w:t>
      </w:r>
      <w:r w:rsidR="004D3AE3" w:rsidRPr="005234EE">
        <w:rPr>
          <w:rFonts w:ascii="Calibri" w:hAnsi="Calibri"/>
          <w:color w:val="000000" w:themeColor="text1"/>
          <w:lang w:val="en-GB"/>
        </w:rPr>
        <w:t>development</w:t>
      </w:r>
      <w:r w:rsidR="00684AD3" w:rsidRPr="005234EE">
        <w:rPr>
          <w:rFonts w:ascii="Calibri" w:hAnsi="Calibri"/>
          <w:color w:val="000000" w:themeColor="text1"/>
          <w:lang w:val="en-GB"/>
        </w:rPr>
        <w:t>al</w:t>
      </w:r>
      <w:r w:rsidR="004D3AE3" w:rsidRPr="005234EE">
        <w:rPr>
          <w:rFonts w:ascii="Calibri" w:hAnsi="Calibri"/>
          <w:color w:val="000000" w:themeColor="text1"/>
          <w:lang w:val="en-GB"/>
        </w:rPr>
        <w:t xml:space="preserve"> processes</w:t>
      </w:r>
      <w:r w:rsidR="000E1471" w:rsidRPr="005234EE">
        <w:rPr>
          <w:rFonts w:ascii="Calibri" w:hAnsi="Calibri"/>
          <w:color w:val="000000" w:themeColor="text1"/>
          <w:lang w:val="en-GB"/>
        </w:rPr>
        <w:t>,</w:t>
      </w:r>
      <w:r w:rsidR="004D3AE3" w:rsidRPr="005234EE">
        <w:rPr>
          <w:rFonts w:ascii="Calibri" w:hAnsi="Calibri"/>
          <w:color w:val="000000" w:themeColor="text1"/>
          <w:lang w:val="en-GB"/>
        </w:rPr>
        <w:t xml:space="preserve"> and their social relations.</w:t>
      </w:r>
      <w:r w:rsidR="00AD4156" w:rsidRPr="005234EE">
        <w:rPr>
          <w:rFonts w:ascii="Calibri" w:hAnsi="Calibri"/>
          <w:b/>
          <w:color w:val="000000" w:themeColor="text1"/>
          <w:lang w:val="en-GB"/>
        </w:rPr>
        <w:t xml:space="preserve"> </w:t>
      </w:r>
      <w:r w:rsidR="006B21E7" w:rsidRPr="005234EE">
        <w:rPr>
          <w:rFonts w:ascii="Calibri" w:hAnsi="Calibri"/>
          <w:color w:val="000000" w:themeColor="text1"/>
          <w:lang w:val="en-GB"/>
        </w:rPr>
        <w:t>So, in governing schools, humanist governance</w:t>
      </w:r>
      <w:r w:rsidR="004D3AE3" w:rsidRPr="005234EE">
        <w:rPr>
          <w:rFonts w:ascii="Calibri" w:hAnsi="Calibri"/>
          <w:color w:val="000000" w:themeColor="text1"/>
          <w:lang w:val="en-GB"/>
        </w:rPr>
        <w:t xml:space="preserve"> may imply sensitivity to long-term potential in developmental trajectories, and regard for developmental equality in this sense through promotion of fellowship-based learning, and abatement of early ability-testing</w:t>
      </w:r>
      <w:r w:rsidR="00F74F72" w:rsidRPr="005234EE">
        <w:rPr>
          <w:rFonts w:ascii="Calibri" w:hAnsi="Calibri"/>
          <w:color w:val="000000" w:themeColor="text1"/>
          <w:lang w:val="en-GB"/>
        </w:rPr>
        <w:t xml:space="preserve"> (Haagh</w:t>
      </w:r>
      <w:r w:rsidR="009116FE" w:rsidRPr="005234EE">
        <w:rPr>
          <w:rFonts w:ascii="Calibri" w:hAnsi="Calibri"/>
          <w:color w:val="000000" w:themeColor="text1"/>
          <w:lang w:val="en-GB"/>
        </w:rPr>
        <w:t>,</w:t>
      </w:r>
      <w:r w:rsidR="00B51686" w:rsidRPr="005234EE">
        <w:rPr>
          <w:rFonts w:ascii="Calibri" w:hAnsi="Calibri"/>
          <w:color w:val="000000" w:themeColor="text1"/>
          <w:lang w:val="en-GB"/>
        </w:rPr>
        <w:t xml:space="preserve"> 2012</w:t>
      </w:r>
      <w:r w:rsidR="009116FE" w:rsidRPr="005234EE">
        <w:rPr>
          <w:rFonts w:ascii="Calibri" w:hAnsi="Calibri"/>
          <w:color w:val="000000" w:themeColor="text1"/>
          <w:lang w:val="en-GB"/>
        </w:rPr>
        <w:t>;</w:t>
      </w:r>
      <w:r w:rsidR="00B51686" w:rsidRPr="005234EE">
        <w:rPr>
          <w:rFonts w:ascii="Calibri" w:hAnsi="Calibri"/>
          <w:color w:val="000000" w:themeColor="text1"/>
          <w:lang w:val="en-GB"/>
        </w:rPr>
        <w:t xml:space="preserve"> 2015</w:t>
      </w:r>
      <w:r w:rsidR="00F74F72" w:rsidRPr="005234EE">
        <w:rPr>
          <w:rFonts w:ascii="Calibri" w:hAnsi="Calibri"/>
          <w:color w:val="000000" w:themeColor="text1"/>
          <w:lang w:val="en-GB"/>
        </w:rPr>
        <w:t>)</w:t>
      </w:r>
      <w:r w:rsidR="004D3AE3" w:rsidRPr="005234EE">
        <w:rPr>
          <w:rFonts w:ascii="Calibri" w:hAnsi="Calibri"/>
          <w:color w:val="000000" w:themeColor="text1"/>
          <w:lang w:val="en-GB"/>
        </w:rPr>
        <w:t xml:space="preserve">. In governing welfare-to-work, humanist governance may </w:t>
      </w:r>
      <w:r w:rsidRPr="005234EE">
        <w:rPr>
          <w:rFonts w:ascii="Calibri" w:hAnsi="Calibri"/>
          <w:color w:val="000000" w:themeColor="text1"/>
          <w:lang w:val="en-GB"/>
        </w:rPr>
        <w:t>entail regard for stability in multiple forms of</w:t>
      </w:r>
      <w:r w:rsidR="004D3AE3" w:rsidRPr="005234EE">
        <w:rPr>
          <w:rFonts w:ascii="Calibri" w:hAnsi="Calibri"/>
          <w:color w:val="000000" w:themeColor="text1"/>
          <w:lang w:val="en-GB"/>
        </w:rPr>
        <w:t xml:space="preserve"> economic</w:t>
      </w:r>
      <w:r w:rsidR="00AD4156" w:rsidRPr="005234EE">
        <w:rPr>
          <w:rFonts w:ascii="Calibri" w:hAnsi="Calibri"/>
          <w:color w:val="000000" w:themeColor="text1"/>
          <w:lang w:val="en-GB"/>
        </w:rPr>
        <w:t xml:space="preserve"> security, </w:t>
      </w:r>
      <w:r w:rsidR="004D3AE3" w:rsidRPr="005234EE">
        <w:rPr>
          <w:rFonts w:ascii="Calibri" w:hAnsi="Calibri"/>
          <w:color w:val="000000" w:themeColor="text1"/>
          <w:lang w:val="en-GB"/>
        </w:rPr>
        <w:t xml:space="preserve">or/and </w:t>
      </w:r>
      <w:r w:rsidR="00AD4156" w:rsidRPr="005234EE">
        <w:rPr>
          <w:rFonts w:ascii="Calibri" w:hAnsi="Calibri"/>
          <w:color w:val="000000" w:themeColor="text1"/>
          <w:lang w:val="en-GB"/>
        </w:rPr>
        <w:t xml:space="preserve">pursuing </w:t>
      </w:r>
      <w:r w:rsidR="004D3AE3" w:rsidRPr="005234EE">
        <w:rPr>
          <w:rFonts w:ascii="Calibri" w:hAnsi="Calibri"/>
          <w:color w:val="000000" w:themeColor="text1"/>
          <w:lang w:val="en-GB"/>
        </w:rPr>
        <w:t xml:space="preserve">social inclusion through </w:t>
      </w:r>
      <w:r w:rsidRPr="005234EE">
        <w:rPr>
          <w:rFonts w:ascii="Calibri" w:hAnsi="Calibri"/>
          <w:color w:val="000000" w:themeColor="text1"/>
          <w:lang w:val="en-GB"/>
        </w:rPr>
        <w:t xml:space="preserve">maintaining </w:t>
      </w:r>
      <w:r w:rsidR="00AD4156" w:rsidRPr="005234EE">
        <w:rPr>
          <w:rFonts w:ascii="Calibri" w:hAnsi="Calibri"/>
          <w:color w:val="000000" w:themeColor="text1"/>
          <w:lang w:val="en-GB"/>
        </w:rPr>
        <w:t xml:space="preserve">access to </w:t>
      </w:r>
      <w:r w:rsidR="004D3AE3" w:rsidRPr="005234EE">
        <w:rPr>
          <w:rFonts w:ascii="Calibri" w:hAnsi="Calibri"/>
          <w:color w:val="000000" w:themeColor="text1"/>
          <w:lang w:val="en-GB"/>
        </w:rPr>
        <w:t>education</w:t>
      </w:r>
      <w:r w:rsidRPr="005234EE">
        <w:rPr>
          <w:rFonts w:ascii="Calibri" w:hAnsi="Calibri"/>
          <w:color w:val="000000" w:themeColor="text1"/>
          <w:lang w:val="en-GB"/>
        </w:rPr>
        <w:t xml:space="preserve"> and occupation</w:t>
      </w:r>
      <w:r w:rsidR="000E1471" w:rsidRPr="005234EE">
        <w:rPr>
          <w:rFonts w:ascii="Calibri" w:hAnsi="Calibri"/>
          <w:color w:val="000000" w:themeColor="text1"/>
          <w:lang w:val="en-GB"/>
        </w:rPr>
        <w:t>.</w:t>
      </w:r>
      <w:r w:rsidR="00041244" w:rsidRPr="005234EE">
        <w:rPr>
          <w:rFonts w:ascii="Calibri" w:hAnsi="Calibri"/>
          <w:color w:val="000000" w:themeColor="text1"/>
          <w:lang w:val="en-GB"/>
        </w:rPr>
        <w:t xml:space="preserve"> </w:t>
      </w:r>
      <w:r w:rsidR="004D3AE3" w:rsidRPr="005234EE">
        <w:rPr>
          <w:rFonts w:ascii="Calibri" w:hAnsi="Calibri"/>
          <w:color w:val="000000" w:themeColor="text1"/>
          <w:lang w:val="en-GB"/>
        </w:rPr>
        <w:t>In sum, the key argument I make here is that democratic responsiveness is a likely outcome of public state ownership, which is constructed over time, and</w:t>
      </w:r>
      <w:r w:rsidR="00FA7518" w:rsidRPr="005234EE">
        <w:rPr>
          <w:rFonts w:ascii="Calibri" w:hAnsi="Calibri"/>
          <w:color w:val="000000" w:themeColor="text1"/>
          <w:lang w:val="en-GB"/>
        </w:rPr>
        <w:t>,</w:t>
      </w:r>
      <w:r w:rsidR="004D3AE3" w:rsidRPr="005234EE">
        <w:rPr>
          <w:rFonts w:ascii="Calibri" w:hAnsi="Calibri"/>
          <w:color w:val="000000" w:themeColor="text1"/>
          <w:lang w:val="en-GB"/>
        </w:rPr>
        <w:t xml:space="preserve"> in turn</w:t>
      </w:r>
      <w:r w:rsidR="00FA7518" w:rsidRPr="005234EE">
        <w:rPr>
          <w:rFonts w:ascii="Calibri" w:hAnsi="Calibri"/>
          <w:color w:val="000000" w:themeColor="text1"/>
          <w:lang w:val="en-GB"/>
        </w:rPr>
        <w:t>,</w:t>
      </w:r>
      <w:r w:rsidR="004D3AE3" w:rsidRPr="005234EE">
        <w:rPr>
          <w:rFonts w:ascii="Calibri" w:hAnsi="Calibri"/>
          <w:color w:val="000000" w:themeColor="text1"/>
          <w:lang w:val="en-GB"/>
        </w:rPr>
        <w:t xml:space="preserve"> responsiveness strongly affects both the likely level of democratic governance</w:t>
      </w:r>
      <w:r w:rsidR="00FA7518" w:rsidRPr="005234EE">
        <w:rPr>
          <w:rFonts w:ascii="Calibri" w:hAnsi="Calibri"/>
          <w:color w:val="000000" w:themeColor="text1"/>
          <w:lang w:val="en-GB"/>
        </w:rPr>
        <w:t>,</w:t>
      </w:r>
      <w:r w:rsidR="004D3AE3" w:rsidRPr="005234EE">
        <w:rPr>
          <w:rFonts w:ascii="Calibri" w:hAnsi="Calibri"/>
          <w:color w:val="000000" w:themeColor="text1"/>
          <w:lang w:val="en-GB"/>
        </w:rPr>
        <w:t xml:space="preserve"> and humanist governance. In short, democratic responsiveness and democratic governance generate governance capacity</w:t>
      </w:r>
      <w:r w:rsidRPr="005234EE">
        <w:rPr>
          <w:rFonts w:ascii="Calibri" w:hAnsi="Calibri"/>
          <w:color w:val="000000" w:themeColor="text1"/>
          <w:lang w:val="en-GB"/>
        </w:rPr>
        <w:t xml:space="preserve">, </w:t>
      </w:r>
      <w:r w:rsidR="00F526BB" w:rsidRPr="005234EE">
        <w:rPr>
          <w:rFonts w:ascii="Calibri" w:hAnsi="Calibri"/>
          <w:color w:val="000000" w:themeColor="text1"/>
          <w:lang w:val="en-GB"/>
        </w:rPr>
        <w:t>including capacity fo</w:t>
      </w:r>
      <w:r w:rsidRPr="005234EE">
        <w:rPr>
          <w:rFonts w:ascii="Calibri" w:hAnsi="Calibri"/>
          <w:color w:val="000000" w:themeColor="text1"/>
          <w:lang w:val="en-GB"/>
        </w:rPr>
        <w:t>r policy coherence</w:t>
      </w:r>
      <w:r w:rsidR="004D3AE3" w:rsidRPr="005234EE">
        <w:rPr>
          <w:rFonts w:ascii="Calibri" w:hAnsi="Calibri"/>
          <w:color w:val="000000" w:themeColor="text1"/>
          <w:lang w:val="en-GB"/>
        </w:rPr>
        <w:t xml:space="preserve">. This capacity affects governance quality, as expressed in the </w:t>
      </w:r>
      <w:r w:rsidRPr="005234EE">
        <w:rPr>
          <w:rFonts w:ascii="Calibri" w:hAnsi="Calibri"/>
          <w:color w:val="000000" w:themeColor="text1"/>
          <w:lang w:val="en-GB"/>
        </w:rPr>
        <w:t>level of humanist governance, and in distinct human development outcomes, both of which show</w:t>
      </w:r>
      <w:r w:rsidR="004D3AE3" w:rsidRPr="005234EE">
        <w:rPr>
          <w:rFonts w:ascii="Calibri" w:hAnsi="Calibri"/>
          <w:color w:val="000000" w:themeColor="text1"/>
          <w:lang w:val="en-GB"/>
        </w:rPr>
        <w:t xml:space="preserve"> up in welfare-to-work policies, whi</w:t>
      </w:r>
      <w:r w:rsidRPr="005234EE">
        <w:rPr>
          <w:rFonts w:ascii="Calibri" w:hAnsi="Calibri"/>
          <w:color w:val="000000" w:themeColor="text1"/>
          <w:lang w:val="en-GB"/>
        </w:rPr>
        <w:t>ch is the case I examine here.</w:t>
      </w:r>
      <w:r w:rsidR="004D3AE3" w:rsidRPr="005234EE">
        <w:rPr>
          <w:rFonts w:ascii="Calibri" w:hAnsi="Calibri"/>
          <w:color w:val="000000" w:themeColor="text1"/>
          <w:lang w:val="en-GB"/>
        </w:rPr>
        <w:t xml:space="preserve"> </w:t>
      </w:r>
    </w:p>
    <w:p w14:paraId="7184945B" w14:textId="77777777" w:rsidR="004D3AE3" w:rsidRPr="005234EE" w:rsidRDefault="004D3AE3" w:rsidP="004D3AE3">
      <w:pPr>
        <w:ind w:right="-397"/>
        <w:jc w:val="both"/>
        <w:rPr>
          <w:rFonts w:ascii="Calibri" w:hAnsi="Calibri"/>
          <w:color w:val="000000" w:themeColor="text1"/>
          <w:lang w:val="en-GB"/>
        </w:rPr>
      </w:pPr>
    </w:p>
    <w:p w14:paraId="063C6158" w14:textId="77777777" w:rsidR="004D3AE3" w:rsidRPr="005234EE" w:rsidRDefault="004D3AE3" w:rsidP="004D3AE3">
      <w:pPr>
        <w:ind w:right="-397"/>
        <w:jc w:val="both"/>
        <w:rPr>
          <w:rFonts w:ascii="Calibri" w:hAnsi="Calibri"/>
          <w:color w:val="000000" w:themeColor="text1"/>
          <w:lang w:val="en-GB"/>
        </w:rPr>
      </w:pPr>
    </w:p>
    <w:p w14:paraId="556F313A" w14:textId="61C5C1A1" w:rsidR="0050121B" w:rsidRPr="005234EE" w:rsidRDefault="008A2CAA" w:rsidP="00F83C9B">
      <w:pPr>
        <w:ind w:left="-397" w:right="-397"/>
        <w:jc w:val="both"/>
        <w:outlineLvl w:val="0"/>
        <w:rPr>
          <w:rFonts w:ascii="Calibri" w:hAnsi="Calibri"/>
          <w:color w:val="000000" w:themeColor="text1"/>
          <w:lang w:val="en-GB"/>
        </w:rPr>
      </w:pPr>
      <w:r w:rsidRPr="005234EE">
        <w:rPr>
          <w:rFonts w:ascii="Calibri" w:hAnsi="Calibri"/>
          <w:color w:val="000000" w:themeColor="text1"/>
          <w:lang w:val="en-GB"/>
        </w:rPr>
        <w:t>1.1</w:t>
      </w:r>
      <w:r w:rsidR="000E1471" w:rsidRPr="005234EE">
        <w:rPr>
          <w:rFonts w:ascii="Calibri" w:hAnsi="Calibri"/>
          <w:color w:val="000000" w:themeColor="text1"/>
          <w:lang w:val="en-GB"/>
        </w:rPr>
        <w:t xml:space="preserve"> </w:t>
      </w:r>
      <w:r w:rsidR="00152BE2" w:rsidRPr="005234EE">
        <w:rPr>
          <w:rFonts w:ascii="Calibri" w:hAnsi="Calibri"/>
          <w:color w:val="000000" w:themeColor="text1"/>
          <w:lang w:val="en-GB"/>
        </w:rPr>
        <w:t>Varieties of Capitalism and Publ</w:t>
      </w:r>
      <w:r w:rsidR="00307119" w:rsidRPr="005234EE">
        <w:rPr>
          <w:rFonts w:ascii="Calibri" w:hAnsi="Calibri"/>
          <w:color w:val="000000" w:themeColor="text1"/>
          <w:lang w:val="en-GB"/>
        </w:rPr>
        <w:t xml:space="preserve">ic State Ownership </w:t>
      </w:r>
    </w:p>
    <w:p w14:paraId="25C06A1E" w14:textId="77777777" w:rsidR="00C53678" w:rsidRPr="005234EE" w:rsidRDefault="00C53678" w:rsidP="00712E99">
      <w:pPr>
        <w:ind w:left="-397" w:right="-397"/>
        <w:jc w:val="both"/>
        <w:rPr>
          <w:rFonts w:ascii="Calibri" w:hAnsi="Calibri"/>
          <w:color w:val="000000" w:themeColor="text1"/>
          <w:lang w:val="en-GB"/>
        </w:rPr>
      </w:pPr>
    </w:p>
    <w:p w14:paraId="61B3D7E3" w14:textId="7C7DB883" w:rsidR="00712E99" w:rsidRPr="005234EE" w:rsidRDefault="00C53678" w:rsidP="00F74F72">
      <w:pPr>
        <w:ind w:left="-397" w:right="-397"/>
        <w:jc w:val="both"/>
        <w:rPr>
          <w:rFonts w:ascii="Calibri" w:hAnsi="Calibri"/>
          <w:color w:val="000000" w:themeColor="text1"/>
          <w:lang w:val="en-GB"/>
        </w:rPr>
      </w:pPr>
      <w:r w:rsidRPr="005234EE">
        <w:rPr>
          <w:rFonts w:ascii="Calibri" w:hAnsi="Calibri"/>
          <w:color w:val="000000" w:themeColor="text1"/>
          <w:lang w:val="en-GB"/>
        </w:rPr>
        <w:t>Emphasis on public state ownership as a system-defining condition</w:t>
      </w:r>
      <w:r w:rsidR="001C1409" w:rsidRPr="005234EE">
        <w:rPr>
          <w:rFonts w:ascii="Calibri" w:hAnsi="Calibri"/>
          <w:color w:val="000000" w:themeColor="text1"/>
          <w:lang w:val="en-GB"/>
        </w:rPr>
        <w:t xml:space="preserve"> entails </w:t>
      </w:r>
      <w:r w:rsidRPr="005234EE">
        <w:rPr>
          <w:rFonts w:ascii="Calibri" w:hAnsi="Calibri"/>
          <w:color w:val="000000" w:themeColor="text1"/>
          <w:lang w:val="en-GB"/>
        </w:rPr>
        <w:t xml:space="preserve">I </w:t>
      </w:r>
      <w:r w:rsidR="00B51686" w:rsidRPr="005234EE">
        <w:rPr>
          <w:rFonts w:ascii="Calibri" w:hAnsi="Calibri"/>
          <w:color w:val="000000" w:themeColor="text1"/>
          <w:lang w:val="en-GB"/>
        </w:rPr>
        <w:t xml:space="preserve">set out a new </w:t>
      </w:r>
      <w:r w:rsidR="00F74F72" w:rsidRPr="005234EE">
        <w:rPr>
          <w:rFonts w:ascii="Calibri" w:hAnsi="Calibri"/>
          <w:color w:val="000000" w:themeColor="text1"/>
          <w:lang w:val="en-GB"/>
        </w:rPr>
        <w:t xml:space="preserve">framework for comparing how and why systems diverge and change. </w:t>
      </w:r>
      <w:r w:rsidR="001C1409" w:rsidRPr="005234EE">
        <w:rPr>
          <w:rFonts w:ascii="Calibri" w:hAnsi="Calibri"/>
          <w:color w:val="000000" w:themeColor="text1"/>
          <w:lang w:val="en-GB"/>
        </w:rPr>
        <w:t>Specifically</w:t>
      </w:r>
      <w:r w:rsidR="00AD4156" w:rsidRPr="005234EE">
        <w:rPr>
          <w:rFonts w:ascii="Calibri" w:hAnsi="Calibri"/>
          <w:color w:val="000000" w:themeColor="text1"/>
          <w:lang w:val="en-GB"/>
        </w:rPr>
        <w:t>,</w:t>
      </w:r>
      <w:r w:rsidR="001C1409" w:rsidRPr="005234EE">
        <w:rPr>
          <w:rFonts w:ascii="Calibri" w:hAnsi="Calibri"/>
          <w:color w:val="000000" w:themeColor="text1"/>
          <w:lang w:val="en-GB"/>
        </w:rPr>
        <w:t xml:space="preserve"> I</w:t>
      </w:r>
      <w:r w:rsidRPr="005234EE">
        <w:rPr>
          <w:rFonts w:ascii="Calibri" w:hAnsi="Calibri"/>
          <w:color w:val="000000" w:themeColor="text1"/>
          <w:lang w:val="en-GB"/>
        </w:rPr>
        <w:t xml:space="preserve"> </w:t>
      </w:r>
      <w:r w:rsidR="001C1409" w:rsidRPr="005234EE">
        <w:rPr>
          <w:rFonts w:ascii="Calibri" w:hAnsi="Calibri"/>
          <w:color w:val="000000" w:themeColor="text1"/>
          <w:lang w:val="en-GB"/>
        </w:rPr>
        <w:t xml:space="preserve">deviate </w:t>
      </w:r>
      <w:r w:rsidRPr="005234EE">
        <w:rPr>
          <w:rFonts w:ascii="Calibri" w:hAnsi="Calibri"/>
          <w:color w:val="000000" w:themeColor="text1"/>
          <w:lang w:val="en-GB"/>
        </w:rPr>
        <w:t>from the actor-process account</w:t>
      </w:r>
      <w:r w:rsidR="001C1409" w:rsidRPr="005234EE">
        <w:rPr>
          <w:rFonts w:ascii="Calibri" w:hAnsi="Calibri"/>
          <w:color w:val="000000" w:themeColor="text1"/>
          <w:lang w:val="en-GB"/>
        </w:rPr>
        <w:t xml:space="preserve"> central to the Welfare State (WS) and VOC literatures</w:t>
      </w:r>
      <w:r w:rsidRPr="005234EE">
        <w:rPr>
          <w:rFonts w:ascii="Calibri" w:hAnsi="Calibri"/>
          <w:color w:val="000000" w:themeColor="text1"/>
          <w:lang w:val="en-GB"/>
        </w:rPr>
        <w:t xml:space="preserve">, and from a commitment in the VOC to neutrality regarding what are more effective systems for human ends. </w:t>
      </w:r>
      <w:r w:rsidR="001C1409" w:rsidRPr="005234EE">
        <w:rPr>
          <w:rFonts w:ascii="Calibri" w:hAnsi="Calibri"/>
          <w:color w:val="000000" w:themeColor="text1"/>
          <w:lang w:val="en-GB"/>
        </w:rPr>
        <w:t>I claim different approaches to governing the human economy produce very different human development outcomes. Hence, it is logical to place both the human economy</w:t>
      </w:r>
      <w:r w:rsidR="00F21BC5">
        <w:rPr>
          <w:rFonts w:ascii="Calibri" w:hAnsi="Calibri"/>
          <w:color w:val="000000" w:themeColor="text1"/>
          <w:lang w:val="en-GB"/>
        </w:rPr>
        <w:t>,</w:t>
      </w:r>
      <w:r w:rsidR="001C1409" w:rsidRPr="005234EE">
        <w:rPr>
          <w:rFonts w:ascii="Calibri" w:hAnsi="Calibri"/>
          <w:color w:val="000000" w:themeColor="text1"/>
          <w:lang w:val="en-GB"/>
        </w:rPr>
        <w:t xml:space="preserve"> and variations in the institutions and mechanisms of its governance</w:t>
      </w:r>
      <w:r w:rsidR="00F21BC5">
        <w:rPr>
          <w:rFonts w:ascii="Calibri" w:hAnsi="Calibri"/>
          <w:color w:val="000000" w:themeColor="text1"/>
          <w:lang w:val="en-GB"/>
        </w:rPr>
        <w:t>,</w:t>
      </w:r>
      <w:r w:rsidR="001C1409" w:rsidRPr="005234EE">
        <w:rPr>
          <w:rFonts w:ascii="Calibri" w:hAnsi="Calibri"/>
          <w:color w:val="000000" w:themeColor="text1"/>
          <w:lang w:val="en-GB"/>
        </w:rPr>
        <w:t xml:space="preserve"> at the centre of the analysis of capitalist system varieties, including how those varieties emerge, evolve, and adapt over time.</w:t>
      </w:r>
      <w:r w:rsidR="00A4416A" w:rsidRPr="005234EE">
        <w:rPr>
          <w:rFonts w:ascii="Calibri" w:hAnsi="Calibri"/>
          <w:color w:val="000000" w:themeColor="text1"/>
          <w:lang w:val="en-GB"/>
        </w:rPr>
        <w:t xml:space="preserve"> </w:t>
      </w:r>
      <w:r w:rsidRPr="005234EE">
        <w:rPr>
          <w:rFonts w:ascii="Calibri" w:hAnsi="Calibri"/>
          <w:color w:val="000000" w:themeColor="text1"/>
          <w:lang w:val="en-GB"/>
        </w:rPr>
        <w:t>Below I first look at how I draw on the WS and VOC</w:t>
      </w:r>
      <w:r w:rsidR="00F21BC5">
        <w:rPr>
          <w:rFonts w:ascii="Calibri" w:hAnsi="Calibri"/>
          <w:color w:val="000000" w:themeColor="text1"/>
          <w:lang w:val="en-GB"/>
        </w:rPr>
        <w:t>,</w:t>
      </w:r>
      <w:r w:rsidRPr="005234EE">
        <w:rPr>
          <w:rFonts w:ascii="Calibri" w:hAnsi="Calibri"/>
          <w:color w:val="000000" w:themeColor="text1"/>
          <w:lang w:val="en-GB"/>
        </w:rPr>
        <w:t xml:space="preserve"> and then how I differ.</w:t>
      </w:r>
    </w:p>
    <w:p w14:paraId="4B6E1B3F" w14:textId="77777777" w:rsidR="00A4416A" w:rsidRPr="005234EE" w:rsidRDefault="00A4416A" w:rsidP="00A4416A">
      <w:pPr>
        <w:ind w:left="-397" w:right="-397"/>
        <w:jc w:val="both"/>
        <w:rPr>
          <w:rFonts w:ascii="Calibri" w:hAnsi="Calibri"/>
          <w:color w:val="000000" w:themeColor="text1"/>
          <w:lang w:val="en-GB"/>
        </w:rPr>
      </w:pPr>
    </w:p>
    <w:p w14:paraId="5A181C6C" w14:textId="207216CF" w:rsidR="009652D0" w:rsidRPr="005234EE" w:rsidRDefault="00A4416A" w:rsidP="004D3AE3">
      <w:pPr>
        <w:ind w:left="-397" w:right="-397"/>
        <w:jc w:val="both"/>
        <w:rPr>
          <w:rStyle w:val="FootnoteReference"/>
          <w:rFonts w:ascii="Calibri" w:hAnsi="Calibri"/>
          <w:color w:val="000000" w:themeColor="text1"/>
          <w:vertAlign w:val="baseline"/>
          <w:lang w:val="en-GB"/>
        </w:rPr>
      </w:pPr>
      <w:r w:rsidRPr="005234EE">
        <w:rPr>
          <w:rFonts w:ascii="Calibri" w:hAnsi="Calibri"/>
          <w:color w:val="000000" w:themeColor="text1"/>
          <w:lang w:val="en-GB"/>
        </w:rPr>
        <w:t>The welfare state literature, led by Esping-Anderse</w:t>
      </w:r>
      <w:r w:rsidR="0034756B" w:rsidRPr="005234EE">
        <w:rPr>
          <w:rFonts w:ascii="Calibri" w:hAnsi="Calibri"/>
          <w:color w:val="000000" w:themeColor="text1"/>
          <w:lang w:val="en-GB"/>
        </w:rPr>
        <w:t>n (</w:t>
      </w:r>
      <w:r w:rsidRPr="005234EE">
        <w:rPr>
          <w:rFonts w:ascii="Calibri" w:hAnsi="Calibri"/>
          <w:color w:val="000000" w:themeColor="text1"/>
          <w:lang w:val="en-GB"/>
        </w:rPr>
        <w:t>1990)</w:t>
      </w:r>
      <w:r w:rsidR="0034756B" w:rsidRPr="005234EE">
        <w:rPr>
          <w:rFonts w:ascii="Calibri" w:hAnsi="Calibri"/>
          <w:color w:val="000000" w:themeColor="text1"/>
          <w:lang w:val="en-GB"/>
        </w:rPr>
        <w:t>,</w:t>
      </w:r>
      <w:r w:rsidRPr="005234EE">
        <w:rPr>
          <w:rFonts w:ascii="Calibri" w:hAnsi="Calibri"/>
          <w:color w:val="000000" w:themeColor="text1"/>
          <w:lang w:val="en-GB"/>
        </w:rPr>
        <w:t xml:space="preserve"> entailed a </w:t>
      </w:r>
      <w:r w:rsidR="00865FBE" w:rsidRPr="005234EE">
        <w:rPr>
          <w:rFonts w:ascii="Calibri" w:hAnsi="Calibri"/>
          <w:color w:val="000000" w:themeColor="text1"/>
          <w:lang w:val="en-GB"/>
        </w:rPr>
        <w:t>‘</w:t>
      </w:r>
      <w:r w:rsidRPr="005234EE">
        <w:rPr>
          <w:rFonts w:ascii="Calibri" w:hAnsi="Calibri"/>
          <w:color w:val="000000" w:themeColor="text1"/>
          <w:lang w:val="en-GB"/>
        </w:rPr>
        <w:t>macro-configurational’ approach, a recognition of how within countries different institutions interact (</w:t>
      </w:r>
      <w:commentRangeStart w:id="7"/>
      <w:r w:rsidRPr="005234EE">
        <w:rPr>
          <w:rFonts w:ascii="Calibri" w:hAnsi="Calibri"/>
          <w:color w:val="000000" w:themeColor="text1"/>
          <w:lang w:val="en-GB"/>
        </w:rPr>
        <w:t>Gingrich</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2015</w:t>
      </w:r>
      <w:commentRangeEnd w:id="7"/>
      <w:r w:rsidR="00290A59" w:rsidRPr="005234EE">
        <w:rPr>
          <w:rStyle w:val="CommentReference"/>
          <w:rFonts w:ascii="Calibri" w:hAnsi="Calibri" w:cstheme="minorBidi"/>
          <w:sz w:val="24"/>
          <w:szCs w:val="24"/>
        </w:rPr>
        <w:commentReference w:id="7"/>
      </w:r>
      <w:r w:rsidRPr="005234EE">
        <w:rPr>
          <w:rFonts w:ascii="Calibri" w:hAnsi="Calibri"/>
          <w:color w:val="000000" w:themeColor="text1"/>
          <w:lang w:val="en-GB"/>
        </w:rPr>
        <w:t xml:space="preserve">, </w:t>
      </w:r>
      <w:r w:rsidR="009116FE" w:rsidRPr="005234EE">
        <w:rPr>
          <w:rFonts w:ascii="Calibri" w:hAnsi="Calibri"/>
          <w:color w:val="000000" w:themeColor="text1"/>
          <w:lang w:val="en-GB"/>
        </w:rPr>
        <w:t>p.</w:t>
      </w:r>
      <w:r w:rsidRPr="005234EE">
        <w:rPr>
          <w:rFonts w:ascii="Calibri" w:hAnsi="Calibri"/>
          <w:color w:val="000000" w:themeColor="text1"/>
          <w:lang w:val="en-GB"/>
        </w:rPr>
        <w:t>68; Mahoney</w:t>
      </w:r>
      <w:r w:rsidR="00290A59" w:rsidRPr="005234EE">
        <w:rPr>
          <w:rFonts w:ascii="Calibri" w:hAnsi="Calibri"/>
          <w:color w:val="000000" w:themeColor="text1"/>
          <w:lang w:val="en-GB"/>
        </w:rPr>
        <w:t xml:space="preserve"> and Thelen</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2015, </w:t>
      </w:r>
      <w:r w:rsidR="009116FE" w:rsidRPr="005234EE">
        <w:rPr>
          <w:rFonts w:ascii="Calibri" w:hAnsi="Calibri"/>
          <w:color w:val="000000" w:themeColor="text1"/>
          <w:lang w:val="en-GB"/>
        </w:rPr>
        <w:t>p.</w:t>
      </w:r>
      <w:r w:rsidRPr="005234EE">
        <w:rPr>
          <w:rFonts w:ascii="Calibri" w:hAnsi="Calibri"/>
          <w:color w:val="000000" w:themeColor="text1"/>
          <w:lang w:val="en-GB"/>
        </w:rPr>
        <w:t xml:space="preserve">12). </w:t>
      </w:r>
      <w:r w:rsidR="003852DF" w:rsidRPr="005234EE">
        <w:rPr>
          <w:rFonts w:ascii="Calibri" w:hAnsi="Calibri"/>
          <w:color w:val="000000" w:themeColor="text1"/>
          <w:lang w:val="en-GB"/>
        </w:rPr>
        <w:t xml:space="preserve">Moreover, </w:t>
      </w:r>
      <w:r w:rsidRPr="005234EE">
        <w:rPr>
          <w:rFonts w:ascii="Calibri" w:hAnsi="Calibri"/>
          <w:color w:val="000000" w:themeColor="text1"/>
          <w:lang w:val="en-GB"/>
        </w:rPr>
        <w:t>E</w:t>
      </w:r>
      <w:r w:rsidR="003852DF" w:rsidRPr="005234EE">
        <w:rPr>
          <w:rFonts w:ascii="Calibri" w:hAnsi="Calibri"/>
          <w:color w:val="000000" w:themeColor="text1"/>
          <w:lang w:val="en-GB"/>
        </w:rPr>
        <w:t xml:space="preserve">sping-Andersen </w:t>
      </w:r>
      <w:r w:rsidR="009116FE" w:rsidRPr="005234EE">
        <w:rPr>
          <w:rFonts w:ascii="Calibri" w:hAnsi="Calibri"/>
          <w:color w:val="000000" w:themeColor="text1"/>
          <w:lang w:val="en-GB"/>
        </w:rPr>
        <w:t xml:space="preserve">(1990) </w:t>
      </w:r>
      <w:r w:rsidR="003852DF" w:rsidRPr="005234EE">
        <w:rPr>
          <w:rFonts w:ascii="Calibri" w:hAnsi="Calibri"/>
          <w:color w:val="000000" w:themeColor="text1"/>
          <w:lang w:val="en-GB"/>
        </w:rPr>
        <w:t xml:space="preserve">recognized </w:t>
      </w:r>
      <w:r w:rsidRPr="005234EE">
        <w:rPr>
          <w:rFonts w:ascii="Calibri" w:hAnsi="Calibri"/>
          <w:color w:val="000000" w:themeColor="text1"/>
          <w:lang w:val="en-GB"/>
        </w:rPr>
        <w:t>how systems of public governing entail a certain overall com</w:t>
      </w:r>
      <w:r w:rsidR="00B51686" w:rsidRPr="005234EE">
        <w:rPr>
          <w:rFonts w:ascii="Calibri" w:hAnsi="Calibri"/>
          <w:color w:val="000000" w:themeColor="text1"/>
          <w:lang w:val="en-GB"/>
        </w:rPr>
        <w:t>mitment to human development. Specifically, he</w:t>
      </w:r>
      <w:r w:rsidRPr="005234EE">
        <w:rPr>
          <w:rFonts w:ascii="Calibri" w:hAnsi="Calibri"/>
          <w:color w:val="000000" w:themeColor="text1"/>
          <w:lang w:val="en-GB"/>
        </w:rPr>
        <w:t xml:space="preserve"> identified a single dimension around which systems could be compared, being how far public social protection ‘de-commodified’ citizens’ access to securit</w:t>
      </w:r>
      <w:r w:rsidR="00B51686" w:rsidRPr="005234EE">
        <w:rPr>
          <w:rFonts w:ascii="Calibri" w:hAnsi="Calibri"/>
          <w:color w:val="000000" w:themeColor="text1"/>
          <w:lang w:val="en-GB"/>
        </w:rPr>
        <w:t>y</w:t>
      </w:r>
      <w:r w:rsidR="009116FE" w:rsidRPr="005234EE">
        <w:rPr>
          <w:rFonts w:ascii="Calibri" w:hAnsi="Calibri"/>
          <w:color w:val="000000" w:themeColor="text1"/>
          <w:lang w:val="en-GB"/>
        </w:rPr>
        <w:t xml:space="preserve"> (p.23)</w:t>
      </w:r>
      <w:r w:rsidR="00B51686" w:rsidRPr="005234EE">
        <w:rPr>
          <w:rFonts w:ascii="Calibri" w:hAnsi="Calibri"/>
          <w:color w:val="000000" w:themeColor="text1"/>
          <w:lang w:val="en-GB"/>
        </w:rPr>
        <w:t>. Relatedly, the VOC has convincingly</w:t>
      </w:r>
      <w:r w:rsidRPr="005234EE">
        <w:rPr>
          <w:rFonts w:ascii="Calibri" w:hAnsi="Calibri"/>
          <w:color w:val="000000" w:themeColor="text1"/>
          <w:lang w:val="en-GB"/>
        </w:rPr>
        <w:t xml:space="preserve"> shown how the formal organisation of skills (training, industrial relations systems) </w:t>
      </w:r>
      <w:r w:rsidRPr="005234EE">
        <w:rPr>
          <w:rFonts w:ascii="Calibri" w:hAnsi="Calibri"/>
          <w:i/>
          <w:color w:val="000000" w:themeColor="text1"/>
          <w:lang w:val="en-GB"/>
        </w:rPr>
        <w:t xml:space="preserve">explain </w:t>
      </w:r>
      <w:r w:rsidRPr="005234EE">
        <w:rPr>
          <w:rFonts w:ascii="Calibri" w:hAnsi="Calibri"/>
          <w:color w:val="000000" w:themeColor="text1"/>
          <w:lang w:val="en-GB"/>
        </w:rPr>
        <w:t>consistent systemic outcomes that are quite stable over time (Finegold and Soskice</w:t>
      </w:r>
      <w:r w:rsidR="00F74F72" w:rsidRPr="005234EE">
        <w:rPr>
          <w:rFonts w:ascii="Calibri" w:hAnsi="Calibri"/>
          <w:color w:val="000000" w:themeColor="text1"/>
          <w:lang w:val="en-GB"/>
        </w:rPr>
        <w:t>, 1988; Hall a</w:t>
      </w:r>
      <w:r w:rsidR="00FA7518" w:rsidRPr="005234EE">
        <w:rPr>
          <w:rFonts w:ascii="Calibri" w:hAnsi="Calibri"/>
          <w:color w:val="000000" w:themeColor="text1"/>
          <w:lang w:val="en-GB"/>
        </w:rPr>
        <w:t>nd Soskice</w:t>
      </w:r>
      <w:r w:rsidR="009116FE" w:rsidRPr="005234EE">
        <w:rPr>
          <w:rFonts w:ascii="Calibri" w:hAnsi="Calibri"/>
          <w:color w:val="000000" w:themeColor="text1"/>
          <w:lang w:val="en-GB"/>
        </w:rPr>
        <w:t>,</w:t>
      </w:r>
      <w:r w:rsidR="00FA7518" w:rsidRPr="005234EE">
        <w:rPr>
          <w:rFonts w:ascii="Calibri" w:hAnsi="Calibri"/>
          <w:color w:val="000000" w:themeColor="text1"/>
          <w:lang w:val="en-GB"/>
        </w:rPr>
        <w:t xml:space="preserve"> </w:t>
      </w:r>
      <w:r w:rsidR="003852DF" w:rsidRPr="005234EE">
        <w:rPr>
          <w:rFonts w:ascii="Calibri" w:hAnsi="Calibri"/>
          <w:color w:val="000000" w:themeColor="text1"/>
          <w:lang w:val="en-GB"/>
        </w:rPr>
        <w:t>2001</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Thelen</w:t>
      </w:r>
      <w:r w:rsidR="009116FE" w:rsidRPr="005234EE">
        <w:rPr>
          <w:rFonts w:ascii="Calibri" w:hAnsi="Calibri"/>
          <w:color w:val="000000" w:themeColor="text1"/>
          <w:lang w:val="en-GB"/>
        </w:rPr>
        <w:t>,</w:t>
      </w:r>
      <w:r w:rsidRPr="005234EE">
        <w:rPr>
          <w:rFonts w:ascii="Calibri" w:hAnsi="Calibri"/>
          <w:color w:val="000000" w:themeColor="text1"/>
          <w:lang w:val="en-GB"/>
        </w:rPr>
        <w:t xml:space="preserve"> 2004).</w:t>
      </w:r>
      <w:r w:rsidR="00D86C5E" w:rsidRPr="005234EE">
        <w:rPr>
          <w:rFonts w:ascii="Calibri" w:hAnsi="Calibri"/>
          <w:color w:val="000000" w:themeColor="text1"/>
          <w:lang w:val="en-GB"/>
        </w:rPr>
        <w:t xml:space="preserve"> Literature on how institutions change and systems </w:t>
      </w:r>
      <w:r w:rsidR="00865FBE" w:rsidRPr="005234EE">
        <w:rPr>
          <w:rFonts w:ascii="Calibri" w:hAnsi="Calibri"/>
          <w:color w:val="000000" w:themeColor="text1"/>
          <w:lang w:val="en-GB"/>
        </w:rPr>
        <w:t>‘</w:t>
      </w:r>
      <w:r w:rsidR="00D86C5E" w:rsidRPr="005234EE">
        <w:rPr>
          <w:rFonts w:ascii="Calibri" w:hAnsi="Calibri"/>
          <w:color w:val="000000" w:themeColor="text1"/>
          <w:lang w:val="en-GB"/>
        </w:rPr>
        <w:t>evolve’ through discrete changes also inform</w:t>
      </w:r>
      <w:r w:rsidR="00865FBE" w:rsidRPr="005234EE">
        <w:rPr>
          <w:rFonts w:ascii="Calibri" w:hAnsi="Calibri"/>
          <w:color w:val="000000" w:themeColor="text1"/>
          <w:lang w:val="en-GB"/>
        </w:rPr>
        <w:t>s</w:t>
      </w:r>
      <w:r w:rsidR="00D86C5E" w:rsidRPr="005234EE">
        <w:rPr>
          <w:rFonts w:ascii="Calibri" w:hAnsi="Calibri"/>
          <w:color w:val="000000" w:themeColor="text1"/>
          <w:lang w:val="en-GB"/>
        </w:rPr>
        <w:t xml:space="preserve"> my approach. </w:t>
      </w:r>
    </w:p>
    <w:p w14:paraId="6A074196" w14:textId="77777777" w:rsidR="004D3AE3" w:rsidRPr="005234EE" w:rsidRDefault="004D3AE3" w:rsidP="004D3AE3">
      <w:pPr>
        <w:ind w:left="-397" w:right="-397"/>
        <w:jc w:val="both"/>
        <w:rPr>
          <w:rFonts w:ascii="Calibri" w:hAnsi="Calibri"/>
          <w:color w:val="000000" w:themeColor="text1"/>
          <w:lang w:val="en-GB"/>
        </w:rPr>
      </w:pPr>
    </w:p>
    <w:p w14:paraId="53396ED5" w14:textId="7E1C71D9" w:rsidR="009116FE" w:rsidRPr="005234EE" w:rsidRDefault="005E1ED6" w:rsidP="00EB3AEB">
      <w:pPr>
        <w:ind w:left="-397" w:right="-397"/>
        <w:jc w:val="both"/>
        <w:rPr>
          <w:rFonts w:ascii="Calibri" w:hAnsi="Calibri"/>
          <w:color w:val="000000" w:themeColor="text1"/>
          <w:vertAlign w:val="superscript"/>
          <w:lang w:val="en-GB"/>
        </w:rPr>
      </w:pPr>
      <w:r w:rsidRPr="005234EE">
        <w:rPr>
          <w:rFonts w:ascii="Calibri" w:hAnsi="Calibri"/>
          <w:color w:val="000000" w:themeColor="text1"/>
          <w:lang w:val="en-GB"/>
        </w:rPr>
        <w:t xml:space="preserve">My main difference with the </w:t>
      </w:r>
      <w:r w:rsidR="00D86C5E" w:rsidRPr="005234EE">
        <w:rPr>
          <w:rFonts w:ascii="Calibri" w:hAnsi="Calibri"/>
          <w:color w:val="000000" w:themeColor="text1"/>
          <w:lang w:val="en-GB"/>
        </w:rPr>
        <w:t xml:space="preserve">WD and VOC </w:t>
      </w:r>
      <w:r w:rsidRPr="005234EE">
        <w:rPr>
          <w:rFonts w:ascii="Calibri" w:hAnsi="Calibri"/>
          <w:color w:val="000000" w:themeColor="text1"/>
          <w:lang w:val="en-GB"/>
        </w:rPr>
        <w:t xml:space="preserve">relates to how I explain variation, and how I evaluate </w:t>
      </w:r>
      <w:r w:rsidR="008A2CAA" w:rsidRPr="005234EE">
        <w:rPr>
          <w:rFonts w:ascii="Calibri" w:hAnsi="Calibri"/>
          <w:color w:val="000000" w:themeColor="text1"/>
          <w:lang w:val="en-GB"/>
        </w:rPr>
        <w:t xml:space="preserve">its </w:t>
      </w:r>
      <w:r w:rsidRPr="005234EE">
        <w:rPr>
          <w:rFonts w:ascii="Calibri" w:hAnsi="Calibri"/>
          <w:color w:val="000000" w:themeColor="text1"/>
          <w:lang w:val="en-GB"/>
        </w:rPr>
        <w:t>effects.</w:t>
      </w:r>
      <w:r w:rsidR="004D3AE3" w:rsidRPr="005234EE">
        <w:rPr>
          <w:rFonts w:ascii="Calibri" w:hAnsi="Calibri"/>
          <w:color w:val="000000" w:themeColor="text1"/>
          <w:lang w:val="en-GB"/>
        </w:rPr>
        <w:t xml:space="preserve"> </w:t>
      </w:r>
      <w:r w:rsidR="00152BE2" w:rsidRPr="005234EE">
        <w:rPr>
          <w:rFonts w:ascii="Calibri" w:hAnsi="Calibri"/>
          <w:color w:val="000000" w:themeColor="text1"/>
          <w:lang w:val="en-GB"/>
        </w:rPr>
        <w:t xml:space="preserve">First, </w:t>
      </w:r>
      <w:r w:rsidR="00C53678" w:rsidRPr="005234EE">
        <w:rPr>
          <w:rFonts w:ascii="Calibri" w:hAnsi="Calibri"/>
          <w:color w:val="000000" w:themeColor="text1"/>
          <w:lang w:val="en-GB"/>
        </w:rPr>
        <w:t>I mo</w:t>
      </w:r>
      <w:r w:rsidR="00316787" w:rsidRPr="005234EE">
        <w:rPr>
          <w:rFonts w:ascii="Calibri" w:hAnsi="Calibri"/>
          <w:color w:val="000000" w:themeColor="text1"/>
          <w:lang w:val="en-GB"/>
        </w:rPr>
        <w:t>ve beyond the WS and VOC’s</w:t>
      </w:r>
      <w:r w:rsidR="00C53678" w:rsidRPr="005234EE">
        <w:rPr>
          <w:rFonts w:ascii="Calibri" w:hAnsi="Calibri"/>
          <w:color w:val="000000" w:themeColor="text1"/>
          <w:lang w:val="en-GB"/>
        </w:rPr>
        <w:t xml:space="preserve"> emphasis on </w:t>
      </w:r>
      <w:r w:rsidR="00316787" w:rsidRPr="005234EE">
        <w:rPr>
          <w:rFonts w:ascii="Calibri" w:hAnsi="Calibri"/>
          <w:color w:val="000000" w:themeColor="text1"/>
          <w:lang w:val="en-GB"/>
        </w:rPr>
        <w:t xml:space="preserve">specific </w:t>
      </w:r>
      <w:r w:rsidR="00C53678" w:rsidRPr="005234EE">
        <w:rPr>
          <w:rFonts w:ascii="Calibri" w:hAnsi="Calibri"/>
          <w:color w:val="000000" w:themeColor="text1"/>
          <w:lang w:val="en-GB"/>
        </w:rPr>
        <w:t xml:space="preserve">sectors </w:t>
      </w:r>
      <w:r w:rsidR="005309FE" w:rsidRPr="005234EE">
        <w:rPr>
          <w:rFonts w:ascii="Calibri" w:hAnsi="Calibri"/>
          <w:color w:val="000000" w:themeColor="text1"/>
          <w:lang w:val="en-GB"/>
        </w:rPr>
        <w:t xml:space="preserve">(of social protection or training) </w:t>
      </w:r>
      <w:r w:rsidR="00C53678" w:rsidRPr="005234EE">
        <w:rPr>
          <w:rFonts w:ascii="Calibri" w:hAnsi="Calibri"/>
          <w:color w:val="000000" w:themeColor="text1"/>
          <w:lang w:val="en-GB"/>
        </w:rPr>
        <w:t>to public governance as a whole</w:t>
      </w:r>
      <w:r w:rsidR="00FA7518" w:rsidRPr="005234EE">
        <w:rPr>
          <w:rFonts w:ascii="Calibri" w:hAnsi="Calibri"/>
          <w:color w:val="000000" w:themeColor="text1"/>
          <w:lang w:val="en-GB"/>
        </w:rPr>
        <w:t>, emphasizing the role of the state</w:t>
      </w:r>
      <w:r w:rsidR="00152BE2" w:rsidRPr="005234EE">
        <w:rPr>
          <w:rFonts w:ascii="Calibri" w:hAnsi="Calibri"/>
          <w:color w:val="000000" w:themeColor="text1"/>
          <w:lang w:val="en-GB"/>
        </w:rPr>
        <w:t>.</w:t>
      </w:r>
      <w:r w:rsidR="009116FE" w:rsidRPr="005234EE">
        <w:rPr>
          <w:rStyle w:val="EndnoteReference"/>
          <w:rFonts w:ascii="Calibri" w:hAnsi="Calibri"/>
          <w:color w:val="000000" w:themeColor="text1"/>
          <w:lang w:val="en-GB"/>
        </w:rPr>
        <w:endnoteReference w:id="1"/>
      </w:r>
      <w:r w:rsidR="009116FE" w:rsidRPr="005234EE">
        <w:rPr>
          <w:rFonts w:ascii="Calibri" w:hAnsi="Calibri"/>
          <w:color w:val="000000" w:themeColor="text1"/>
          <w:lang w:val="en-GB"/>
        </w:rPr>
        <w:t xml:space="preserve">  Second, building on how I think the VOC has shown the problem of human activity is a constant in variation among states, I look beyond systems of industrial training to bear that out.</w:t>
      </w:r>
      <w:r w:rsidR="009116FE" w:rsidRPr="005234EE">
        <w:rPr>
          <w:rStyle w:val="EndnoteReference"/>
          <w:rFonts w:ascii="Calibri" w:hAnsi="Calibri"/>
          <w:color w:val="000000" w:themeColor="text1"/>
          <w:lang w:val="en-GB"/>
        </w:rPr>
        <w:endnoteReference w:id="2"/>
      </w:r>
      <w:r w:rsidR="009116FE" w:rsidRPr="005234EE">
        <w:rPr>
          <w:rFonts w:ascii="Calibri" w:hAnsi="Calibri"/>
          <w:color w:val="000000" w:themeColor="text1"/>
          <w:lang w:val="en-GB"/>
        </w:rPr>
        <w:t xml:space="preserve">  So, when Esping-Anderson refers to de-commodification, or the VOC to training, as reference for comparison, arguably neither literature </w:t>
      </w:r>
      <w:r w:rsidR="009116FE" w:rsidRPr="005234EE">
        <w:rPr>
          <w:rFonts w:ascii="Calibri" w:hAnsi="Calibri"/>
          <w:color w:val="000000" w:themeColor="text1"/>
          <w:lang w:val="en-GB"/>
        </w:rPr>
        <w:lastRenderedPageBreak/>
        <w:t xml:space="preserve">gives sufficiently </w:t>
      </w:r>
      <w:r w:rsidR="009116FE" w:rsidRPr="005234EE">
        <w:rPr>
          <w:rFonts w:ascii="Calibri" w:hAnsi="Calibri"/>
          <w:i/>
          <w:color w:val="000000" w:themeColor="text1"/>
          <w:lang w:val="en-GB"/>
        </w:rPr>
        <w:t>general</w:t>
      </w:r>
      <w:r w:rsidR="009116FE" w:rsidRPr="005234EE">
        <w:rPr>
          <w:rFonts w:ascii="Calibri" w:hAnsi="Calibri"/>
          <w:color w:val="000000" w:themeColor="text1"/>
          <w:lang w:val="en-GB"/>
        </w:rPr>
        <w:t xml:space="preserve"> reasons as to why said outcomes may be valuable for citizens</w:t>
      </w:r>
      <w:r w:rsidR="00F21BC5">
        <w:rPr>
          <w:rFonts w:ascii="Calibri" w:hAnsi="Calibri"/>
          <w:color w:val="000000" w:themeColor="text1"/>
          <w:lang w:val="en-GB"/>
        </w:rPr>
        <w:t>,</w:t>
      </w:r>
      <w:r w:rsidR="009116FE" w:rsidRPr="005234EE">
        <w:rPr>
          <w:rFonts w:ascii="Calibri" w:hAnsi="Calibri"/>
          <w:color w:val="000000" w:themeColor="text1"/>
          <w:lang w:val="en-GB"/>
        </w:rPr>
        <w:t xml:space="preserve"> or for those who seek to rule by inclusion for more general ends. </w:t>
      </w:r>
    </w:p>
    <w:p w14:paraId="5D5DC6D5" w14:textId="77777777" w:rsidR="009116FE" w:rsidRPr="005234EE" w:rsidRDefault="009116FE" w:rsidP="004D3AE3">
      <w:pPr>
        <w:ind w:right="-397"/>
        <w:jc w:val="both"/>
        <w:rPr>
          <w:rFonts w:ascii="Calibri" w:hAnsi="Calibri"/>
          <w:color w:val="000000" w:themeColor="text1"/>
          <w:lang w:val="en-GB"/>
        </w:rPr>
      </w:pPr>
    </w:p>
    <w:p w14:paraId="71A1B0F8" w14:textId="49AC1962" w:rsidR="009116FE" w:rsidRPr="005234EE" w:rsidRDefault="009116FE" w:rsidP="00D86C5E">
      <w:pPr>
        <w:ind w:left="-397" w:right="-397"/>
        <w:jc w:val="both"/>
        <w:rPr>
          <w:rFonts w:ascii="Calibri" w:hAnsi="Calibri"/>
          <w:color w:val="000000" w:themeColor="text1"/>
          <w:lang w:val="en-GB"/>
        </w:rPr>
      </w:pPr>
      <w:r w:rsidRPr="005234EE">
        <w:rPr>
          <w:rFonts w:ascii="Calibri" w:hAnsi="Calibri"/>
          <w:color w:val="000000" w:themeColor="text1"/>
          <w:lang w:val="en-GB"/>
        </w:rPr>
        <w:t>I argue that the reason citizens’ security and education are politically central, and their form shape systems’ performance in promoting human development, is that economic security and education represent deep needs arising from human economy.</w:t>
      </w:r>
    </w:p>
    <w:p w14:paraId="630F00E5" w14:textId="77777777" w:rsidR="009116FE" w:rsidRPr="005234EE" w:rsidRDefault="009116FE" w:rsidP="00152BE2">
      <w:pPr>
        <w:ind w:left="-397" w:right="-397"/>
        <w:jc w:val="both"/>
        <w:rPr>
          <w:rFonts w:ascii="Calibri" w:hAnsi="Calibri"/>
          <w:color w:val="000000" w:themeColor="text1"/>
          <w:lang w:val="en-GB"/>
        </w:rPr>
      </w:pPr>
    </w:p>
    <w:p w14:paraId="51A2331F" w14:textId="0C6B13CD" w:rsidR="009116FE" w:rsidRPr="005234EE" w:rsidRDefault="009116FE" w:rsidP="00B51686">
      <w:pPr>
        <w:ind w:left="-397" w:right="-397"/>
        <w:jc w:val="both"/>
        <w:rPr>
          <w:rFonts w:ascii="Calibri" w:hAnsi="Calibri"/>
          <w:color w:val="000000" w:themeColor="text1"/>
          <w:lang w:val="en-GB"/>
        </w:rPr>
      </w:pPr>
      <w:r w:rsidRPr="005234EE">
        <w:rPr>
          <w:rFonts w:ascii="Calibri" w:hAnsi="Calibri"/>
          <w:color w:val="000000" w:themeColor="text1"/>
          <w:lang w:val="en-GB"/>
        </w:rPr>
        <w:t>Third, as an implication of this, I question the VOC’s continuing emphasis on particular social actors or events (social-industrial accords) as system-shaping factors. I want to qualify the role such events and actors play by reference to the importance of levels of PSO acting in the background. In the case of the VOC, discrete focus on industrial relations systems leads to the hypothesis that the form</w:t>
      </w:r>
      <w:r w:rsidR="00F21BC5">
        <w:rPr>
          <w:rFonts w:ascii="Calibri" w:hAnsi="Calibri"/>
          <w:color w:val="000000" w:themeColor="text1"/>
          <w:lang w:val="en-GB"/>
        </w:rPr>
        <w:t xml:space="preserve"> of business organisation shape</w:t>
      </w:r>
      <w:r w:rsidRPr="005234EE">
        <w:rPr>
          <w:rFonts w:ascii="Calibri" w:hAnsi="Calibri"/>
          <w:color w:val="000000" w:themeColor="text1"/>
          <w:lang w:val="en-GB"/>
        </w:rPr>
        <w:t xml:space="preserve"> systems as a whole (Hall and Soskice, 2001</w:t>
      </w:r>
      <w:r w:rsidR="00B6647A" w:rsidRPr="005234EE">
        <w:rPr>
          <w:rFonts w:ascii="Calibri" w:hAnsi="Calibri"/>
          <w:color w:val="000000" w:themeColor="text1"/>
          <w:lang w:val="en-GB"/>
        </w:rPr>
        <w:t>;</w:t>
      </w:r>
      <w:r w:rsidRPr="005234EE">
        <w:rPr>
          <w:rFonts w:ascii="Calibri" w:hAnsi="Calibri"/>
          <w:color w:val="000000" w:themeColor="text1"/>
          <w:lang w:val="en-GB"/>
        </w:rPr>
        <w:t xml:space="preserve"> Thelen, 2014, </w:t>
      </w:r>
      <w:r w:rsidR="00B6647A" w:rsidRPr="005234EE">
        <w:rPr>
          <w:rFonts w:ascii="Calibri" w:hAnsi="Calibri"/>
          <w:color w:val="000000" w:themeColor="text1"/>
          <w:lang w:val="en-GB"/>
        </w:rPr>
        <w:t>pp.</w:t>
      </w:r>
      <w:r w:rsidRPr="005234EE">
        <w:rPr>
          <w:rFonts w:ascii="Calibri" w:hAnsi="Calibri"/>
          <w:color w:val="000000" w:themeColor="text1"/>
          <w:lang w:val="en-GB"/>
        </w:rPr>
        <w:t>2-3; Thelen</w:t>
      </w:r>
      <w:r w:rsidR="00B6647A" w:rsidRPr="005234EE">
        <w:rPr>
          <w:rFonts w:ascii="Calibri" w:hAnsi="Calibri"/>
          <w:color w:val="000000" w:themeColor="text1"/>
          <w:lang w:val="en-GB"/>
        </w:rPr>
        <w:t>,</w:t>
      </w:r>
      <w:r w:rsidRPr="005234EE">
        <w:rPr>
          <w:rFonts w:ascii="Calibri" w:hAnsi="Calibri"/>
          <w:color w:val="000000" w:themeColor="text1"/>
          <w:lang w:val="en-GB"/>
        </w:rPr>
        <w:t xml:space="preserve"> 2004,</w:t>
      </w:r>
      <w:r w:rsidR="00B6647A" w:rsidRPr="005234EE">
        <w:rPr>
          <w:rFonts w:ascii="Calibri" w:hAnsi="Calibri"/>
          <w:color w:val="000000" w:themeColor="text1"/>
          <w:lang w:val="en-GB"/>
        </w:rPr>
        <w:t xml:space="preserve"> pp.</w:t>
      </w:r>
      <w:r w:rsidRPr="005234EE">
        <w:rPr>
          <w:rFonts w:ascii="Calibri" w:hAnsi="Calibri"/>
          <w:color w:val="000000" w:themeColor="text1"/>
          <w:lang w:val="en-GB"/>
        </w:rPr>
        <w:t>3-6; Mahoney</w:t>
      </w:r>
      <w:r w:rsidR="008912B2" w:rsidRPr="005234EE">
        <w:rPr>
          <w:rFonts w:ascii="Calibri" w:hAnsi="Calibri"/>
          <w:color w:val="000000" w:themeColor="text1"/>
          <w:lang w:val="en-GB"/>
        </w:rPr>
        <w:t xml:space="preserve"> and Thelen</w:t>
      </w:r>
      <w:r w:rsidR="00B6647A" w:rsidRPr="005234EE">
        <w:rPr>
          <w:rFonts w:ascii="Calibri" w:hAnsi="Calibri"/>
          <w:color w:val="000000" w:themeColor="text1"/>
          <w:lang w:val="en-GB"/>
        </w:rPr>
        <w:t>,</w:t>
      </w:r>
      <w:r w:rsidRPr="005234EE">
        <w:rPr>
          <w:rFonts w:ascii="Calibri" w:hAnsi="Calibri"/>
          <w:color w:val="000000" w:themeColor="text1"/>
          <w:lang w:val="en-GB"/>
        </w:rPr>
        <w:t xml:space="preserve"> 2015, </w:t>
      </w:r>
      <w:r w:rsidR="00B6647A" w:rsidRPr="005234EE">
        <w:rPr>
          <w:rFonts w:ascii="Calibri" w:hAnsi="Calibri"/>
          <w:color w:val="000000" w:themeColor="text1"/>
          <w:lang w:val="en-GB"/>
        </w:rPr>
        <w:t>p.</w:t>
      </w:r>
      <w:r w:rsidRPr="005234EE">
        <w:rPr>
          <w:rFonts w:ascii="Calibri" w:hAnsi="Calibri"/>
          <w:color w:val="000000" w:themeColor="text1"/>
          <w:lang w:val="en-GB"/>
        </w:rPr>
        <w:t>14). The Comparative Capitalism literature positions coalition-forming among industrial sector actors as key to systems’ character (Gingrich</w:t>
      </w:r>
      <w:r w:rsidR="00B6647A" w:rsidRPr="005234EE">
        <w:rPr>
          <w:rFonts w:ascii="Calibri" w:hAnsi="Calibri"/>
          <w:color w:val="000000" w:themeColor="text1"/>
          <w:lang w:val="en-GB"/>
        </w:rPr>
        <w:t>,</w:t>
      </w:r>
      <w:r w:rsidRPr="005234EE">
        <w:rPr>
          <w:rFonts w:ascii="Calibri" w:hAnsi="Calibri"/>
          <w:color w:val="000000" w:themeColor="text1"/>
          <w:lang w:val="en-GB"/>
        </w:rPr>
        <w:t xml:space="preserve"> 2015, </w:t>
      </w:r>
      <w:r w:rsidR="00B6647A" w:rsidRPr="005234EE">
        <w:rPr>
          <w:rFonts w:ascii="Calibri" w:hAnsi="Calibri"/>
          <w:color w:val="000000" w:themeColor="text1"/>
          <w:lang w:val="en-GB"/>
        </w:rPr>
        <w:t>p.</w:t>
      </w:r>
      <w:r w:rsidRPr="005234EE">
        <w:rPr>
          <w:rFonts w:ascii="Calibri" w:hAnsi="Calibri"/>
          <w:color w:val="000000" w:themeColor="text1"/>
          <w:lang w:val="en-GB"/>
        </w:rPr>
        <w:t>75; Thelen</w:t>
      </w:r>
      <w:r w:rsidR="00B6647A" w:rsidRPr="005234EE">
        <w:rPr>
          <w:rFonts w:ascii="Calibri" w:hAnsi="Calibri"/>
          <w:color w:val="000000" w:themeColor="text1"/>
          <w:lang w:val="en-GB"/>
        </w:rPr>
        <w:t>,</w:t>
      </w:r>
      <w:r w:rsidRPr="005234EE">
        <w:rPr>
          <w:rFonts w:ascii="Calibri" w:hAnsi="Calibri"/>
          <w:color w:val="000000" w:themeColor="text1"/>
          <w:lang w:val="en-GB"/>
        </w:rPr>
        <w:t xml:space="preserve"> 2004,</w:t>
      </w:r>
      <w:r w:rsidR="00B6647A" w:rsidRPr="005234EE">
        <w:rPr>
          <w:rFonts w:ascii="Calibri" w:hAnsi="Calibri"/>
          <w:color w:val="000000" w:themeColor="text1"/>
          <w:lang w:val="en-GB"/>
        </w:rPr>
        <w:t xml:space="preserve"> p.</w:t>
      </w:r>
      <w:r w:rsidRPr="005234EE">
        <w:rPr>
          <w:rFonts w:ascii="Calibri" w:hAnsi="Calibri"/>
          <w:color w:val="000000" w:themeColor="text1"/>
          <w:lang w:val="en-GB"/>
        </w:rPr>
        <w:t>3).</w:t>
      </w:r>
    </w:p>
    <w:p w14:paraId="5690159C" w14:textId="77777777" w:rsidR="009116FE" w:rsidRPr="005234EE" w:rsidRDefault="009116FE" w:rsidP="00152BE2">
      <w:pPr>
        <w:ind w:left="-397" w:right="-397"/>
        <w:jc w:val="both"/>
        <w:rPr>
          <w:rFonts w:ascii="Calibri" w:hAnsi="Calibri"/>
          <w:color w:val="000000" w:themeColor="text1"/>
          <w:lang w:val="en-GB"/>
        </w:rPr>
      </w:pPr>
    </w:p>
    <w:p w14:paraId="7099EA58" w14:textId="1A97E982" w:rsidR="009116FE" w:rsidRPr="005234EE" w:rsidRDefault="009116FE" w:rsidP="00152BE2">
      <w:pPr>
        <w:ind w:left="-397" w:right="-397"/>
        <w:jc w:val="both"/>
        <w:rPr>
          <w:rFonts w:ascii="Calibri" w:hAnsi="Calibri"/>
          <w:color w:val="000000" w:themeColor="text1"/>
          <w:lang w:val="en-GB"/>
        </w:rPr>
      </w:pPr>
      <w:r w:rsidRPr="005234EE">
        <w:rPr>
          <w:rFonts w:ascii="Calibri" w:hAnsi="Calibri"/>
          <w:color w:val="000000" w:themeColor="text1"/>
          <w:lang w:val="en-GB"/>
        </w:rPr>
        <w:t xml:space="preserve">There are also inconsistencies in Esping-Andersen’s explanatory framework. Although his focus on ‘de-commodification’ implies state commitment to uphold a certain kind of protection through public systems, he </w:t>
      </w:r>
      <w:r w:rsidRPr="005234EE">
        <w:rPr>
          <w:rFonts w:ascii="Calibri" w:hAnsi="Calibri"/>
          <w:i/>
          <w:color w:val="000000" w:themeColor="text1"/>
          <w:lang w:val="en-GB"/>
        </w:rPr>
        <w:t xml:space="preserve">explained </w:t>
      </w:r>
      <w:r w:rsidRPr="005234EE">
        <w:rPr>
          <w:rFonts w:ascii="Calibri" w:hAnsi="Calibri"/>
          <w:color w:val="000000" w:themeColor="text1"/>
          <w:lang w:val="en-GB"/>
        </w:rPr>
        <w:t>these systems in terms of class struggle (adopting</w:t>
      </w:r>
      <w:r w:rsidR="00B6647A" w:rsidRPr="005234EE">
        <w:rPr>
          <w:rFonts w:ascii="Calibri" w:hAnsi="Calibri"/>
          <w:color w:val="000000" w:themeColor="text1"/>
          <w:lang w:val="en-GB"/>
        </w:rPr>
        <w:t xml:space="preserve"> a ‘class-coalitional approach’; Esping-Andersen,</w:t>
      </w:r>
      <w:r w:rsidRPr="005234EE">
        <w:rPr>
          <w:rFonts w:ascii="Calibri" w:hAnsi="Calibri"/>
          <w:color w:val="000000" w:themeColor="text1"/>
          <w:lang w:val="en-GB"/>
        </w:rPr>
        <w:t xml:space="preserve"> 1990, </w:t>
      </w:r>
      <w:r w:rsidR="00B6647A" w:rsidRPr="005234EE">
        <w:rPr>
          <w:rFonts w:ascii="Calibri" w:hAnsi="Calibri"/>
          <w:color w:val="000000" w:themeColor="text1"/>
          <w:lang w:val="en-GB"/>
        </w:rPr>
        <w:t>p.</w:t>
      </w:r>
      <w:r w:rsidRPr="005234EE">
        <w:rPr>
          <w:rFonts w:ascii="Calibri" w:hAnsi="Calibri"/>
          <w:color w:val="000000" w:themeColor="text1"/>
          <w:lang w:val="en-GB"/>
        </w:rPr>
        <w:t xml:space="preserve">18). In affirming the value of this approach, VOC scholars maintain macro-configurations of institutions are “the product of particular historical moments and distributive struggles” (Gingrich, 2015, </w:t>
      </w:r>
      <w:r w:rsidR="00B6647A" w:rsidRPr="005234EE">
        <w:rPr>
          <w:rFonts w:ascii="Calibri" w:hAnsi="Calibri"/>
          <w:color w:val="000000" w:themeColor="text1"/>
          <w:lang w:val="en-GB"/>
        </w:rPr>
        <w:t>p.</w:t>
      </w:r>
      <w:r w:rsidRPr="005234EE">
        <w:rPr>
          <w:rFonts w:ascii="Calibri" w:hAnsi="Calibri"/>
          <w:color w:val="000000" w:themeColor="text1"/>
          <w:lang w:val="en-GB"/>
        </w:rPr>
        <w:t xml:space="preserve">69). Yet, a focus on industrial accord is at best a very partial account of how public state ownership – and a more humanist form of state – came about in Scandinavia, as I will explain. </w:t>
      </w:r>
    </w:p>
    <w:p w14:paraId="5BC028A7" w14:textId="77777777" w:rsidR="009116FE" w:rsidRPr="005234EE" w:rsidRDefault="009116FE" w:rsidP="00152BE2">
      <w:pPr>
        <w:ind w:right="-397"/>
        <w:jc w:val="both"/>
        <w:rPr>
          <w:rFonts w:ascii="Calibri" w:hAnsi="Calibri"/>
          <w:color w:val="000000" w:themeColor="text1"/>
          <w:lang w:val="en-GB"/>
        </w:rPr>
      </w:pPr>
    </w:p>
    <w:p w14:paraId="0F88CCDC" w14:textId="30C77ECA" w:rsidR="009116FE" w:rsidRPr="005234EE" w:rsidRDefault="009116FE" w:rsidP="00EB3AEB">
      <w:pPr>
        <w:ind w:left="-397" w:right="-397"/>
        <w:jc w:val="both"/>
        <w:rPr>
          <w:rFonts w:ascii="Calibri" w:hAnsi="Calibri"/>
          <w:color w:val="000000" w:themeColor="text1"/>
          <w:lang w:val="en-GB"/>
        </w:rPr>
      </w:pPr>
      <w:r w:rsidRPr="005234EE">
        <w:rPr>
          <w:rFonts w:ascii="Calibri" w:hAnsi="Calibri"/>
          <w:color w:val="000000" w:themeColor="text1"/>
          <w:lang w:val="en-GB"/>
        </w:rPr>
        <w:t>Fourth, and last, I consequently take issue with the neutrality premise in the VOC and the institutional evolution literature. In several places</w:t>
      </w:r>
      <w:r w:rsidR="00F21BC5">
        <w:rPr>
          <w:rFonts w:ascii="Calibri" w:hAnsi="Calibri"/>
          <w:color w:val="000000" w:themeColor="text1"/>
          <w:lang w:val="en-GB"/>
        </w:rPr>
        <w:t>,</w:t>
      </w:r>
      <w:r w:rsidRPr="005234EE">
        <w:rPr>
          <w:rFonts w:ascii="Calibri" w:hAnsi="Calibri"/>
          <w:color w:val="000000" w:themeColor="text1"/>
          <w:lang w:val="en-GB"/>
        </w:rPr>
        <w:t xml:space="preserve"> the VOC has indicated a commitment to content neutrality in depicting mechanisms of change.  Steinmo (2010, </w:t>
      </w:r>
      <w:r w:rsidR="00B6647A" w:rsidRPr="005234EE">
        <w:rPr>
          <w:rFonts w:ascii="Calibri" w:hAnsi="Calibri"/>
          <w:color w:val="000000" w:themeColor="text1"/>
          <w:lang w:val="en-GB"/>
        </w:rPr>
        <w:t xml:space="preserve">p. </w:t>
      </w:r>
      <w:r w:rsidRPr="005234EE">
        <w:rPr>
          <w:rFonts w:ascii="Calibri" w:hAnsi="Calibri"/>
          <w:color w:val="000000" w:themeColor="text1"/>
          <w:lang w:val="en-GB"/>
        </w:rPr>
        <w:t>20)</w:t>
      </w:r>
      <w:r w:rsidR="00B6647A" w:rsidRPr="005234EE">
        <w:rPr>
          <w:rFonts w:ascii="Calibri" w:hAnsi="Calibri"/>
          <w:color w:val="000000" w:themeColor="text1"/>
          <w:lang w:val="en-GB"/>
        </w:rPr>
        <w:t xml:space="preserve"> insists</w:t>
      </w:r>
      <w:r w:rsidRPr="005234EE">
        <w:rPr>
          <w:rFonts w:ascii="Calibri" w:hAnsi="Calibri"/>
          <w:color w:val="000000" w:themeColor="text1"/>
          <w:lang w:val="en-GB"/>
        </w:rPr>
        <w:t>, “…that each of the systems explored…have had within them different competitive advantages and disadvantages.” Similarly, Thelen (2014,</w:t>
      </w:r>
      <w:r w:rsidR="00B6647A" w:rsidRPr="005234EE">
        <w:rPr>
          <w:rFonts w:ascii="Calibri" w:hAnsi="Calibri"/>
          <w:color w:val="000000" w:themeColor="text1"/>
          <w:lang w:val="en-GB"/>
        </w:rPr>
        <w:t xml:space="preserve"> p.</w:t>
      </w:r>
      <w:r w:rsidRPr="005234EE">
        <w:rPr>
          <w:rFonts w:ascii="Calibri" w:hAnsi="Calibri"/>
          <w:color w:val="000000" w:themeColor="text1"/>
          <w:lang w:val="en-GB"/>
        </w:rPr>
        <w:t xml:space="preserve">3) sums up this commitment to a value neutral view of systems among VoC scholars, in how “…the core argument holds that these two models [the US and Germany] represent different ways to organize capitalism. Each type operates on a wholly different logic and each does different things well, but both are durable even in the face of new strains”. Neutrality is unsatisfactory in the sense that it is set against counterfactual reasoning, in the form of asking questions such as what </w:t>
      </w:r>
      <w:r w:rsidRPr="005234EE">
        <w:rPr>
          <w:rFonts w:ascii="Calibri" w:hAnsi="Calibri"/>
          <w:i/>
          <w:color w:val="000000" w:themeColor="text1"/>
          <w:lang w:val="en-GB"/>
        </w:rPr>
        <w:t>could</w:t>
      </w:r>
      <w:r w:rsidRPr="005234EE">
        <w:rPr>
          <w:rFonts w:ascii="Calibri" w:hAnsi="Calibri"/>
          <w:color w:val="000000" w:themeColor="text1"/>
          <w:lang w:val="en-GB"/>
        </w:rPr>
        <w:t xml:space="preserve"> have happened, and why it did not, in favour of recording events. Arguably, the VOC has accounted for variation in the level of performance, but not fully owned it</w:t>
      </w:r>
      <w:r w:rsidR="00F21BC5">
        <w:rPr>
          <w:rFonts w:ascii="Calibri" w:hAnsi="Calibri"/>
          <w:color w:val="000000" w:themeColor="text1"/>
          <w:lang w:val="en-GB"/>
        </w:rPr>
        <w:t xml:space="preserve"> (Haagh 2019a)</w:t>
      </w:r>
      <w:r w:rsidRPr="005234EE">
        <w:rPr>
          <w:rFonts w:ascii="Calibri" w:hAnsi="Calibri"/>
          <w:color w:val="000000" w:themeColor="text1"/>
          <w:lang w:val="en-GB"/>
        </w:rPr>
        <w:t xml:space="preserve">.  Hall and Soskice </w:t>
      </w:r>
      <w:r w:rsidR="00B6647A" w:rsidRPr="005234EE">
        <w:rPr>
          <w:rFonts w:ascii="Calibri" w:hAnsi="Calibri"/>
          <w:color w:val="000000" w:themeColor="text1"/>
          <w:lang w:val="en-GB"/>
        </w:rPr>
        <w:t xml:space="preserve">(2001) </w:t>
      </w:r>
      <w:r w:rsidRPr="005234EE">
        <w:rPr>
          <w:rFonts w:ascii="Calibri" w:hAnsi="Calibri"/>
          <w:color w:val="000000" w:themeColor="text1"/>
          <w:lang w:val="en-GB"/>
        </w:rPr>
        <w:t>give a range of examples of coordinated economies functioning in ways that consolidate and upgrade skills</w:t>
      </w:r>
      <w:r w:rsidR="00B6647A" w:rsidRPr="005234EE">
        <w:rPr>
          <w:rFonts w:ascii="Calibri" w:hAnsi="Calibri"/>
          <w:color w:val="000000" w:themeColor="text1"/>
          <w:lang w:val="en-GB"/>
        </w:rPr>
        <w:t xml:space="preserve"> (pp.22-27)</w:t>
      </w:r>
      <w:r w:rsidRPr="005234EE">
        <w:rPr>
          <w:rFonts w:ascii="Calibri" w:hAnsi="Calibri"/>
          <w:color w:val="000000" w:themeColor="text1"/>
          <w:lang w:val="en-GB"/>
        </w:rPr>
        <w:t>, yet they underline how liberal market economies also have functional complementarities (e.g. general skills and low social protection suit flexible labour</w:t>
      </w:r>
      <w:r w:rsidR="00B6647A" w:rsidRPr="005234EE">
        <w:rPr>
          <w:rFonts w:ascii="Calibri" w:hAnsi="Calibri"/>
          <w:color w:val="000000" w:themeColor="text1"/>
          <w:lang w:val="en-GB"/>
        </w:rPr>
        <w:t>;</w:t>
      </w:r>
      <w:r w:rsidRPr="005234EE">
        <w:rPr>
          <w:rFonts w:ascii="Calibri" w:hAnsi="Calibri"/>
          <w:color w:val="000000" w:themeColor="text1"/>
          <w:lang w:val="en-GB"/>
        </w:rPr>
        <w:t xml:space="preserve"> </w:t>
      </w:r>
      <w:r w:rsidR="00B6647A" w:rsidRPr="005234EE">
        <w:rPr>
          <w:rFonts w:ascii="Calibri" w:hAnsi="Calibri"/>
          <w:color w:val="000000" w:themeColor="text1"/>
          <w:lang w:val="en-GB"/>
        </w:rPr>
        <w:t>pp.</w:t>
      </w:r>
      <w:r w:rsidRPr="005234EE">
        <w:rPr>
          <w:rFonts w:ascii="Calibri" w:hAnsi="Calibri"/>
          <w:color w:val="000000" w:themeColor="text1"/>
          <w:lang w:val="en-GB"/>
        </w:rPr>
        <w:t xml:space="preserve">32-22, </w:t>
      </w:r>
      <w:r w:rsidR="00B6647A" w:rsidRPr="005234EE">
        <w:rPr>
          <w:rFonts w:ascii="Calibri" w:hAnsi="Calibri"/>
          <w:color w:val="000000" w:themeColor="text1"/>
          <w:lang w:val="en-GB"/>
        </w:rPr>
        <w:t>pp.</w:t>
      </w:r>
      <w:r w:rsidRPr="005234EE">
        <w:rPr>
          <w:rFonts w:ascii="Calibri" w:hAnsi="Calibri"/>
          <w:color w:val="000000" w:themeColor="text1"/>
          <w:lang w:val="en-GB"/>
        </w:rPr>
        <w:t>50-51).  They do not draw out how policy coherence entails</w:t>
      </w:r>
      <w:r w:rsidRPr="005234EE">
        <w:rPr>
          <w:rFonts w:ascii="Calibri" w:hAnsi="Calibri"/>
          <w:i/>
          <w:color w:val="000000" w:themeColor="text1"/>
          <w:lang w:val="en-GB"/>
        </w:rPr>
        <w:t xml:space="preserve"> overall </w:t>
      </w:r>
      <w:r w:rsidRPr="005234EE">
        <w:rPr>
          <w:rFonts w:ascii="Calibri" w:hAnsi="Calibri"/>
          <w:color w:val="000000" w:themeColor="text1"/>
          <w:lang w:val="en-GB"/>
        </w:rPr>
        <w:t xml:space="preserve">higher levels of skills formation (as shown in </w:t>
      </w:r>
      <w:commentRangeStart w:id="8"/>
      <w:r w:rsidRPr="005234EE">
        <w:rPr>
          <w:rFonts w:ascii="Calibri" w:hAnsi="Calibri"/>
          <w:color w:val="000000" w:themeColor="text1"/>
          <w:lang w:val="en-GB"/>
        </w:rPr>
        <w:t>Pagano</w:t>
      </w:r>
      <w:r w:rsidR="00B6647A" w:rsidRPr="005234EE">
        <w:rPr>
          <w:rFonts w:ascii="Calibri" w:hAnsi="Calibri"/>
          <w:color w:val="000000" w:themeColor="text1"/>
          <w:lang w:val="en-GB"/>
        </w:rPr>
        <w:t>,</w:t>
      </w:r>
      <w:r w:rsidRPr="005234EE">
        <w:rPr>
          <w:rFonts w:ascii="Calibri" w:hAnsi="Calibri"/>
          <w:color w:val="000000" w:themeColor="text1"/>
          <w:lang w:val="en-GB"/>
        </w:rPr>
        <w:t xml:space="preserve"> 1991</w:t>
      </w:r>
      <w:commentRangeEnd w:id="8"/>
      <w:r w:rsidR="008912B2" w:rsidRPr="005234EE">
        <w:rPr>
          <w:rStyle w:val="CommentReference"/>
          <w:rFonts w:ascii="Calibri" w:hAnsi="Calibri" w:cstheme="minorBidi"/>
          <w:sz w:val="24"/>
          <w:szCs w:val="24"/>
        </w:rPr>
        <w:commentReference w:id="8"/>
      </w:r>
      <w:r w:rsidR="003447BF">
        <w:rPr>
          <w:rFonts w:ascii="Calibri" w:hAnsi="Calibri"/>
          <w:color w:val="000000" w:themeColor="text1"/>
          <w:lang w:val="en-GB"/>
        </w:rPr>
        <w:t>; Haagh 1999</w:t>
      </w:r>
      <w:r w:rsidRPr="005234EE">
        <w:rPr>
          <w:rFonts w:ascii="Calibri" w:hAnsi="Calibri"/>
          <w:color w:val="000000" w:themeColor="text1"/>
          <w:lang w:val="en-GB"/>
        </w:rPr>
        <w:t>), nor how individual and social control of development processes (Haagh</w:t>
      </w:r>
      <w:r w:rsidR="00B6647A" w:rsidRPr="005234EE">
        <w:rPr>
          <w:rFonts w:ascii="Calibri" w:hAnsi="Calibri"/>
          <w:color w:val="000000" w:themeColor="text1"/>
          <w:lang w:val="en-GB"/>
        </w:rPr>
        <w:t>,</w:t>
      </w:r>
      <w:r w:rsidRPr="005234EE">
        <w:rPr>
          <w:rFonts w:ascii="Calibri" w:hAnsi="Calibri"/>
          <w:color w:val="000000" w:themeColor="text1"/>
          <w:lang w:val="en-GB"/>
        </w:rPr>
        <w:t xml:space="preserve"> 2012</w:t>
      </w:r>
      <w:r w:rsidR="00B6647A" w:rsidRPr="005234EE">
        <w:rPr>
          <w:rFonts w:ascii="Calibri" w:hAnsi="Calibri"/>
          <w:color w:val="000000" w:themeColor="text1"/>
          <w:lang w:val="en-GB"/>
        </w:rPr>
        <w:t>;</w:t>
      </w:r>
      <w:r w:rsidRPr="005234EE">
        <w:rPr>
          <w:rFonts w:ascii="Calibri" w:hAnsi="Calibri"/>
          <w:color w:val="000000" w:themeColor="text1"/>
          <w:lang w:val="en-GB"/>
        </w:rPr>
        <w:t xml:space="preserve"> 2015</w:t>
      </w:r>
      <w:r w:rsidR="00F21BC5">
        <w:rPr>
          <w:rFonts w:ascii="Calibri" w:hAnsi="Calibri"/>
          <w:color w:val="000000" w:themeColor="text1"/>
          <w:lang w:val="en-GB"/>
        </w:rPr>
        <w:t>;2019b</w:t>
      </w:r>
      <w:r w:rsidRPr="005234EE">
        <w:rPr>
          <w:rFonts w:ascii="Calibri" w:hAnsi="Calibri"/>
          <w:color w:val="000000" w:themeColor="text1"/>
          <w:lang w:val="en-GB"/>
        </w:rPr>
        <w:t xml:space="preserve">), and, consequently, resilient governance capacity, results. </w:t>
      </w:r>
    </w:p>
    <w:p w14:paraId="0E27E081" w14:textId="77777777" w:rsidR="009116FE" w:rsidRPr="005234EE" w:rsidRDefault="009116FE" w:rsidP="00A553AB">
      <w:pPr>
        <w:ind w:left="-397" w:right="-397"/>
        <w:jc w:val="both"/>
        <w:rPr>
          <w:rFonts w:ascii="Calibri" w:hAnsi="Calibri"/>
          <w:color w:val="000000" w:themeColor="text1"/>
          <w:lang w:val="en-GB"/>
        </w:rPr>
      </w:pPr>
    </w:p>
    <w:p w14:paraId="666FAF9F" w14:textId="77777777" w:rsidR="009116FE" w:rsidRPr="005234EE" w:rsidRDefault="009116FE" w:rsidP="00A553AB">
      <w:pPr>
        <w:ind w:left="-397" w:right="-397"/>
        <w:jc w:val="both"/>
        <w:rPr>
          <w:rFonts w:ascii="Calibri" w:hAnsi="Calibri"/>
          <w:color w:val="000000" w:themeColor="text1"/>
          <w:lang w:val="en-GB"/>
        </w:rPr>
      </w:pPr>
    </w:p>
    <w:p w14:paraId="2ADC5A67" w14:textId="2518A52D" w:rsidR="009116FE" w:rsidRPr="005234EE" w:rsidRDefault="009116FE" w:rsidP="00F83C9B">
      <w:pPr>
        <w:ind w:left="-397" w:right="-397"/>
        <w:jc w:val="both"/>
        <w:outlineLvl w:val="0"/>
        <w:rPr>
          <w:rFonts w:ascii="Calibri" w:hAnsi="Calibri"/>
          <w:color w:val="000000" w:themeColor="text1"/>
          <w:lang w:val="en-GB"/>
        </w:rPr>
      </w:pPr>
      <w:r w:rsidRPr="005234EE">
        <w:rPr>
          <w:rFonts w:ascii="Calibri" w:hAnsi="Calibri"/>
          <w:color w:val="000000" w:themeColor="text1"/>
          <w:lang w:val="en-GB"/>
        </w:rPr>
        <w:t xml:space="preserve">1.2 Conditions </w:t>
      </w:r>
      <w:r w:rsidR="001035EE" w:rsidRPr="005234EE">
        <w:rPr>
          <w:rFonts w:ascii="Calibri" w:hAnsi="Calibri"/>
          <w:color w:val="000000" w:themeColor="text1"/>
          <w:lang w:val="en-GB"/>
        </w:rPr>
        <w:t xml:space="preserve">for </w:t>
      </w:r>
      <w:r w:rsidRPr="005234EE">
        <w:rPr>
          <w:rFonts w:ascii="Calibri" w:hAnsi="Calibri"/>
          <w:color w:val="000000" w:themeColor="text1"/>
          <w:lang w:val="en-GB"/>
        </w:rPr>
        <w:t>and Indicators of Public State Ownership</w:t>
      </w:r>
    </w:p>
    <w:p w14:paraId="6236676A" w14:textId="77777777" w:rsidR="009116FE" w:rsidRPr="005234EE" w:rsidRDefault="009116FE" w:rsidP="007956E7">
      <w:pPr>
        <w:ind w:left="-397" w:right="-397"/>
        <w:jc w:val="both"/>
        <w:rPr>
          <w:rFonts w:ascii="Calibri" w:hAnsi="Calibri"/>
          <w:color w:val="000000" w:themeColor="text1"/>
          <w:lang w:val="en-GB"/>
        </w:rPr>
      </w:pPr>
    </w:p>
    <w:p w14:paraId="22C497EE" w14:textId="7057E153" w:rsidR="009116FE" w:rsidRPr="005234EE" w:rsidRDefault="009116FE" w:rsidP="00326318">
      <w:pPr>
        <w:ind w:left="-397" w:right="-397"/>
        <w:jc w:val="both"/>
        <w:rPr>
          <w:rFonts w:ascii="Calibri" w:hAnsi="Calibri"/>
          <w:color w:val="000000" w:themeColor="text1"/>
          <w:lang w:val="en-GB"/>
        </w:rPr>
      </w:pPr>
      <w:r w:rsidRPr="005234EE">
        <w:rPr>
          <w:rFonts w:ascii="Calibri" w:hAnsi="Calibri"/>
          <w:color w:val="000000" w:themeColor="text1"/>
          <w:lang w:val="en-GB"/>
        </w:rPr>
        <w:lastRenderedPageBreak/>
        <w:t>I claim public state ownership as inclusivity in governing is historically informed by a combination of public regulatory power and resource distribution. I do not imply thereby that historical trends are predetermined: Keynesianism and the postwar ‘developmental regime’ (Pempel</w:t>
      </w:r>
      <w:r w:rsidR="001035EE" w:rsidRPr="005234EE">
        <w:rPr>
          <w:rFonts w:ascii="Calibri" w:hAnsi="Calibri"/>
          <w:color w:val="000000" w:themeColor="text1"/>
          <w:lang w:val="en-GB"/>
        </w:rPr>
        <w:t>,</w:t>
      </w:r>
      <w:r w:rsidRPr="005234EE">
        <w:rPr>
          <w:rFonts w:ascii="Calibri" w:hAnsi="Calibri"/>
          <w:color w:val="000000" w:themeColor="text1"/>
          <w:lang w:val="en-GB"/>
        </w:rPr>
        <w:t xml:space="preserve"> 1999) in Britain and the US</w:t>
      </w:r>
      <w:r w:rsidR="00F21BC5">
        <w:rPr>
          <w:rFonts w:ascii="Calibri" w:hAnsi="Calibri"/>
          <w:color w:val="000000" w:themeColor="text1"/>
          <w:lang w:val="en-GB"/>
        </w:rPr>
        <w:t>,</w:t>
      </w:r>
      <w:r w:rsidRPr="005234EE">
        <w:rPr>
          <w:rFonts w:ascii="Calibri" w:hAnsi="Calibri"/>
          <w:color w:val="000000" w:themeColor="text1"/>
          <w:lang w:val="en-GB"/>
        </w:rPr>
        <w:t xml:space="preserve"> signalled a partial departure from state rule through the market. Yet, whilst sources of PSO may not endure in their original form, I find that inherited levels of inclusivity or exclusivity in governing generate constraints on change. Greater political effort is entailed in generating, rather than simply maintaining, a high level of PSO, creating a bias in favour of reversal in conditions of low PSO.</w:t>
      </w:r>
    </w:p>
    <w:p w14:paraId="162691FF" w14:textId="77777777" w:rsidR="009116FE" w:rsidRPr="005234EE" w:rsidRDefault="009116FE" w:rsidP="007956E7">
      <w:pPr>
        <w:ind w:left="-397" w:right="-397"/>
        <w:jc w:val="both"/>
        <w:rPr>
          <w:rFonts w:ascii="Calibri" w:hAnsi="Calibri"/>
          <w:color w:val="000000" w:themeColor="text1"/>
          <w:lang w:val="en-GB"/>
        </w:rPr>
      </w:pPr>
    </w:p>
    <w:p w14:paraId="7353F1D8" w14:textId="6D32AC0C" w:rsidR="009116FE" w:rsidRPr="005234EE" w:rsidRDefault="009116FE" w:rsidP="005F168D">
      <w:pPr>
        <w:ind w:left="-397" w:right="-397"/>
        <w:jc w:val="both"/>
        <w:rPr>
          <w:rFonts w:ascii="Calibri" w:hAnsi="Calibri"/>
          <w:color w:val="000000" w:themeColor="text1"/>
          <w:lang w:val="en-GB"/>
        </w:rPr>
      </w:pPr>
      <w:r w:rsidRPr="005234EE">
        <w:rPr>
          <w:rFonts w:ascii="Calibri" w:hAnsi="Calibri"/>
          <w:color w:val="000000" w:themeColor="text1"/>
          <w:lang w:val="en-GB"/>
        </w:rPr>
        <w:t>Indicators for ascertaining the presence of public state ownership include the role of different institutions in governing ex ante or post-hoc. So, low levels of public state ownership tend to be linked with a greater degree of market mediation and (hence) a more prominent role of post-hoc public inquiries and courts, acting to identify or rectify policy problems only after gross violations of rights are found in individual cases</w:t>
      </w:r>
      <w:r w:rsidR="00F21BC5">
        <w:rPr>
          <w:rFonts w:ascii="Calibri" w:hAnsi="Calibri"/>
          <w:color w:val="000000" w:themeColor="text1"/>
          <w:lang w:val="en-GB"/>
        </w:rPr>
        <w:t xml:space="preserve"> (Haagh 2019b)</w:t>
      </w:r>
      <w:r w:rsidRPr="005234EE">
        <w:rPr>
          <w:rFonts w:ascii="Calibri" w:hAnsi="Calibri"/>
          <w:color w:val="000000" w:themeColor="text1"/>
          <w:lang w:val="en-GB"/>
        </w:rPr>
        <w:t>. A high level of public state ownership tends to be linked with governing and revising rights-obligations structures through everyday institutions, and ongoing and publicly accessible oversight (section 5).</w:t>
      </w:r>
    </w:p>
    <w:p w14:paraId="7671D4BD" w14:textId="77777777" w:rsidR="009116FE" w:rsidRPr="005234EE" w:rsidRDefault="009116FE" w:rsidP="007956E7">
      <w:pPr>
        <w:ind w:left="-397" w:right="-397"/>
        <w:jc w:val="both"/>
        <w:rPr>
          <w:rFonts w:ascii="Calibri" w:hAnsi="Calibri"/>
          <w:color w:val="000000" w:themeColor="text1"/>
          <w:lang w:val="en-GB"/>
        </w:rPr>
      </w:pPr>
    </w:p>
    <w:p w14:paraId="07FB5ECF" w14:textId="4BFF2917" w:rsidR="009116FE" w:rsidRPr="005234EE" w:rsidRDefault="009116FE" w:rsidP="004D3AE3">
      <w:pPr>
        <w:ind w:left="-397" w:right="-397"/>
        <w:jc w:val="both"/>
        <w:rPr>
          <w:rFonts w:ascii="Calibri" w:hAnsi="Calibri"/>
          <w:color w:val="000000" w:themeColor="text1"/>
          <w:lang w:val="en-GB"/>
        </w:rPr>
      </w:pPr>
      <w:r w:rsidRPr="005234EE">
        <w:rPr>
          <w:rFonts w:ascii="Calibri" w:hAnsi="Calibri"/>
          <w:color w:val="000000" w:themeColor="text1"/>
          <w:lang w:val="en-GB"/>
        </w:rPr>
        <w:t>Relevant indicators of impact of public state ownership include the overall opportunity for equality of inclusion in developmental institutions like education and employment, and the control of time and social relations that individuals enjoy. Combined public support of longer job search, access to occupation-relevant education and training, and protection of feasible work-and-care schedules</w:t>
      </w:r>
      <w:r w:rsidR="00F21BC5">
        <w:rPr>
          <w:rFonts w:ascii="Calibri" w:hAnsi="Calibri"/>
          <w:color w:val="000000" w:themeColor="text1"/>
          <w:lang w:val="en-GB"/>
        </w:rPr>
        <w:t>,</w:t>
      </w:r>
      <w:r w:rsidRPr="005234EE">
        <w:rPr>
          <w:rFonts w:ascii="Calibri" w:hAnsi="Calibri"/>
          <w:color w:val="000000" w:themeColor="text1"/>
          <w:lang w:val="en-GB"/>
        </w:rPr>
        <w:t xml:space="preserve"> contribute to enhancing individuals’ overall control of time, and autonomy within social relations. Before I examine how these differences manifest in contemporary policy, I briefly trace how distinct levels of public state ownership explain differences in sanctions systems in Denmark and Britain today. </w:t>
      </w:r>
    </w:p>
    <w:p w14:paraId="5170E053" w14:textId="77777777" w:rsidR="009116FE" w:rsidRPr="005234EE" w:rsidRDefault="009116FE" w:rsidP="00F830B7">
      <w:pPr>
        <w:ind w:left="-397" w:right="-397"/>
        <w:jc w:val="both"/>
        <w:rPr>
          <w:rFonts w:ascii="Calibri" w:hAnsi="Calibri"/>
          <w:color w:val="000000" w:themeColor="text1"/>
          <w:lang w:val="en-GB"/>
        </w:rPr>
      </w:pPr>
    </w:p>
    <w:p w14:paraId="725AA1AC" w14:textId="77777777" w:rsidR="009116FE" w:rsidRPr="005234EE" w:rsidRDefault="009116FE" w:rsidP="00F830B7">
      <w:pPr>
        <w:ind w:left="-397" w:right="-397"/>
        <w:jc w:val="both"/>
        <w:rPr>
          <w:rFonts w:ascii="Calibri" w:hAnsi="Calibri"/>
          <w:color w:val="000000" w:themeColor="text1"/>
          <w:lang w:val="en-GB"/>
        </w:rPr>
      </w:pPr>
    </w:p>
    <w:p w14:paraId="19F9354E" w14:textId="77777777" w:rsidR="009116FE" w:rsidRPr="005234EE" w:rsidRDefault="009116FE" w:rsidP="00F830B7">
      <w:pPr>
        <w:ind w:left="-397" w:right="-397"/>
        <w:jc w:val="both"/>
        <w:rPr>
          <w:rFonts w:ascii="Calibri" w:hAnsi="Calibri"/>
          <w:color w:val="000000" w:themeColor="text1"/>
          <w:lang w:val="en-GB"/>
        </w:rPr>
      </w:pPr>
    </w:p>
    <w:p w14:paraId="087EA185" w14:textId="77777777" w:rsidR="009116FE" w:rsidRPr="005234EE" w:rsidRDefault="009116FE" w:rsidP="00F83C9B">
      <w:pPr>
        <w:ind w:left="-397" w:right="-397"/>
        <w:jc w:val="both"/>
        <w:outlineLvl w:val="0"/>
        <w:rPr>
          <w:rFonts w:ascii="Calibri" w:hAnsi="Calibri"/>
          <w:color w:val="000000" w:themeColor="text1"/>
          <w:lang w:val="en-GB"/>
        </w:rPr>
      </w:pPr>
      <w:r w:rsidRPr="005234EE">
        <w:rPr>
          <w:rFonts w:ascii="Calibri" w:hAnsi="Calibri"/>
          <w:color w:val="000000" w:themeColor="text1"/>
          <w:lang w:val="en-GB"/>
        </w:rPr>
        <w:t>Figure 1 Public State Ownership</w:t>
      </w:r>
    </w:p>
    <w:p w14:paraId="7D0716EC" w14:textId="77777777" w:rsidR="009116FE" w:rsidRPr="005234EE" w:rsidRDefault="009116FE" w:rsidP="00F830B7">
      <w:pPr>
        <w:ind w:left="-397" w:right="-397"/>
        <w:jc w:val="both"/>
        <w:rPr>
          <w:rFonts w:ascii="Calibri" w:hAnsi="Calibri"/>
          <w:color w:val="000000" w:themeColor="text1"/>
          <w:lang w:val="en-GB"/>
        </w:rPr>
      </w:pPr>
    </w:p>
    <w:tbl>
      <w:tblPr>
        <w:tblStyle w:val="TableGrid"/>
        <w:tblW w:w="9294" w:type="dxa"/>
        <w:tblInd w:w="-397" w:type="dxa"/>
        <w:tblLook w:val="04A0" w:firstRow="1" w:lastRow="0" w:firstColumn="1" w:lastColumn="0" w:noHBand="0" w:noVBand="1"/>
      </w:tblPr>
      <w:tblGrid>
        <w:gridCol w:w="1781"/>
        <w:gridCol w:w="851"/>
        <w:gridCol w:w="3260"/>
        <w:gridCol w:w="3402"/>
      </w:tblGrid>
      <w:tr w:rsidR="009116FE" w:rsidRPr="005234EE" w14:paraId="357EAF0A" w14:textId="77777777" w:rsidTr="00F830B7">
        <w:trPr>
          <w:trHeight w:val="136"/>
        </w:trPr>
        <w:tc>
          <w:tcPr>
            <w:tcW w:w="2632" w:type="dxa"/>
            <w:gridSpan w:val="2"/>
            <w:vMerge w:val="restart"/>
          </w:tcPr>
          <w:p w14:paraId="14075100" w14:textId="77777777" w:rsidR="009116FE" w:rsidRPr="005234EE" w:rsidRDefault="009116FE" w:rsidP="00F73C66">
            <w:pPr>
              <w:ind w:right="-397"/>
              <w:jc w:val="both"/>
              <w:rPr>
                <w:rFonts w:ascii="Calibri" w:hAnsi="Calibri"/>
                <w:color w:val="000000" w:themeColor="text1"/>
                <w:lang w:val="en-GB"/>
              </w:rPr>
            </w:pPr>
          </w:p>
        </w:tc>
        <w:tc>
          <w:tcPr>
            <w:tcW w:w="6662" w:type="dxa"/>
            <w:gridSpan w:val="2"/>
          </w:tcPr>
          <w:p w14:paraId="77BB2AD0"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w:t>
            </w:r>
          </w:p>
          <w:p w14:paraId="62666825"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Capacity for Human Economy Governance </w:t>
            </w:r>
          </w:p>
          <w:p w14:paraId="0DB63394"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in core institutions (education, labour market institutions, </w:t>
            </w:r>
          </w:p>
          <w:p w14:paraId="21E569F8"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systems of economic security)</w:t>
            </w:r>
          </w:p>
          <w:p w14:paraId="791F0138"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w:t>
            </w:r>
          </w:p>
        </w:tc>
      </w:tr>
      <w:tr w:rsidR="009116FE" w:rsidRPr="005234EE" w14:paraId="3F2C48D8" w14:textId="77777777" w:rsidTr="00F830B7">
        <w:trPr>
          <w:trHeight w:val="136"/>
        </w:trPr>
        <w:tc>
          <w:tcPr>
            <w:tcW w:w="2632" w:type="dxa"/>
            <w:gridSpan w:val="2"/>
            <w:vMerge/>
          </w:tcPr>
          <w:p w14:paraId="580DE979" w14:textId="77777777" w:rsidR="009116FE" w:rsidRPr="005234EE" w:rsidRDefault="009116FE" w:rsidP="00F73C66">
            <w:pPr>
              <w:ind w:right="-397"/>
              <w:jc w:val="both"/>
              <w:rPr>
                <w:rFonts w:ascii="Calibri" w:hAnsi="Calibri"/>
                <w:color w:val="000000" w:themeColor="text1"/>
                <w:lang w:val="en-GB"/>
              </w:rPr>
            </w:pPr>
          </w:p>
        </w:tc>
        <w:tc>
          <w:tcPr>
            <w:tcW w:w="3260" w:type="dxa"/>
          </w:tcPr>
          <w:p w14:paraId="28C2B4CE"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Human development</w:t>
            </w:r>
          </w:p>
          <w:p w14:paraId="509F0140"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Centred (humanist)</w:t>
            </w:r>
          </w:p>
        </w:tc>
        <w:tc>
          <w:tcPr>
            <w:tcW w:w="3402" w:type="dxa"/>
          </w:tcPr>
          <w:p w14:paraId="7EFFD9D9"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Market centred</w:t>
            </w:r>
          </w:p>
          <w:p w14:paraId="385565B9"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(human development neutral)</w:t>
            </w:r>
          </w:p>
        </w:tc>
      </w:tr>
      <w:tr w:rsidR="009116FE" w:rsidRPr="005234EE" w14:paraId="57499E50" w14:textId="77777777" w:rsidTr="00F830B7">
        <w:trPr>
          <w:trHeight w:val="1151"/>
        </w:trPr>
        <w:tc>
          <w:tcPr>
            <w:tcW w:w="1781" w:type="dxa"/>
            <w:vMerge w:val="restart"/>
          </w:tcPr>
          <w:p w14:paraId="20F349C2" w14:textId="77777777" w:rsidR="009116FE" w:rsidRPr="005234EE" w:rsidRDefault="009116FE" w:rsidP="00F73C66">
            <w:pPr>
              <w:ind w:right="-397"/>
              <w:jc w:val="both"/>
              <w:rPr>
                <w:rFonts w:ascii="Calibri" w:hAnsi="Calibri"/>
                <w:color w:val="000000" w:themeColor="text1"/>
                <w:lang w:val="en-GB"/>
              </w:rPr>
            </w:pPr>
          </w:p>
          <w:p w14:paraId="30614F4D" w14:textId="77777777" w:rsidR="009116FE" w:rsidRPr="005234EE" w:rsidRDefault="009116FE" w:rsidP="00F73C66">
            <w:pPr>
              <w:ind w:right="-397"/>
              <w:jc w:val="both"/>
              <w:rPr>
                <w:rFonts w:ascii="Calibri" w:hAnsi="Calibri"/>
                <w:color w:val="000000" w:themeColor="text1"/>
                <w:lang w:val="en-GB"/>
              </w:rPr>
            </w:pPr>
          </w:p>
          <w:p w14:paraId="202BFCD0" w14:textId="77777777" w:rsidR="009116FE" w:rsidRPr="005234EE" w:rsidRDefault="009116FE" w:rsidP="00F73C66">
            <w:pPr>
              <w:ind w:right="-397"/>
              <w:jc w:val="both"/>
              <w:rPr>
                <w:rFonts w:ascii="Calibri" w:hAnsi="Calibri"/>
                <w:color w:val="000000" w:themeColor="text1"/>
                <w:lang w:val="en-GB"/>
              </w:rPr>
            </w:pPr>
          </w:p>
          <w:p w14:paraId="528E881C"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State Embeddedness </w:t>
            </w:r>
          </w:p>
          <w:p w14:paraId="41087E20"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in Society</w:t>
            </w:r>
          </w:p>
        </w:tc>
        <w:tc>
          <w:tcPr>
            <w:tcW w:w="851" w:type="dxa"/>
          </w:tcPr>
          <w:p w14:paraId="7DDB774D" w14:textId="77777777" w:rsidR="009116FE" w:rsidRPr="005234EE" w:rsidRDefault="009116FE" w:rsidP="00F73C66">
            <w:pPr>
              <w:ind w:right="-397"/>
              <w:jc w:val="both"/>
              <w:rPr>
                <w:rFonts w:ascii="Calibri" w:hAnsi="Calibri"/>
                <w:color w:val="000000" w:themeColor="text1"/>
                <w:lang w:val="en-GB"/>
              </w:rPr>
            </w:pPr>
          </w:p>
          <w:p w14:paraId="677CB177"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Low</w:t>
            </w:r>
          </w:p>
        </w:tc>
        <w:tc>
          <w:tcPr>
            <w:tcW w:w="6662" w:type="dxa"/>
            <w:gridSpan w:val="2"/>
            <w:vMerge w:val="restart"/>
          </w:tcPr>
          <w:p w14:paraId="35B12308" w14:textId="77777777" w:rsidR="009116FE" w:rsidRPr="005234EE" w:rsidRDefault="009116FE" w:rsidP="00F73C66">
            <w:pPr>
              <w:ind w:right="-397"/>
              <w:jc w:val="both"/>
              <w:rPr>
                <w:rFonts w:ascii="Calibri" w:hAnsi="Calibri"/>
                <w:color w:val="000000" w:themeColor="text1"/>
                <w:lang w:val="en-GB"/>
              </w:rPr>
            </w:pPr>
          </w:p>
          <w:p w14:paraId="6799CCF6" w14:textId="77777777" w:rsidR="009116FE" w:rsidRPr="005234EE" w:rsidRDefault="009116FE" w:rsidP="00F73C66">
            <w:pPr>
              <w:ind w:left="-397" w:right="-397"/>
              <w:jc w:val="both"/>
              <w:rPr>
                <w:rFonts w:ascii="Calibri" w:hAnsi="Calibri"/>
                <w:color w:val="000000" w:themeColor="text1"/>
                <w:lang w:val="en-GB"/>
              </w:rPr>
            </w:pPr>
            <w:r w:rsidRPr="005234EE">
              <w:rPr>
                <w:rFonts w:ascii="Calibri" w:hAnsi="Calibri"/>
                <w:color w:val="000000" w:themeColor="text1"/>
                <w:lang w:val="en-GB"/>
              </w:rPr>
              <w:t>U                                                                                    UK</w:t>
            </w:r>
          </w:p>
          <w:p w14:paraId="1258D828" w14:textId="77777777" w:rsidR="009116FE" w:rsidRPr="005234EE" w:rsidRDefault="009116FE" w:rsidP="00F73C66">
            <w:pPr>
              <w:ind w:left="-397" w:right="-397"/>
              <w:jc w:val="both"/>
              <w:rPr>
                <w:rFonts w:ascii="Calibri" w:hAnsi="Calibri"/>
                <w:color w:val="000000" w:themeColor="text1"/>
                <w:lang w:val="en-GB"/>
              </w:rPr>
            </w:pPr>
            <w:r w:rsidRPr="005234EE">
              <w:rPr>
                <w:rFonts w:ascii="Calibri" w:hAnsi="Calibri"/>
                <w:color w:val="000000" w:themeColor="text1"/>
                <w:lang w:val="en-GB"/>
              </w:rPr>
              <w:t xml:space="preserve">                                                                                        ↑</w:t>
            </w:r>
          </w:p>
          <w:p w14:paraId="75692163" w14:textId="77777777" w:rsidR="009116FE" w:rsidRPr="005234EE" w:rsidRDefault="009116FE" w:rsidP="00F73C66">
            <w:pPr>
              <w:ind w:right="-397"/>
              <w:jc w:val="both"/>
              <w:rPr>
                <w:rFonts w:ascii="Calibri" w:hAnsi="Calibri"/>
                <w:color w:val="000000" w:themeColor="text1"/>
                <w:lang w:val="en-GB"/>
              </w:rPr>
            </w:pPr>
          </w:p>
          <w:p w14:paraId="5D32CF45" w14:textId="77777777" w:rsidR="009116FE" w:rsidRPr="005234EE" w:rsidRDefault="009116FE" w:rsidP="00F73C66">
            <w:pPr>
              <w:ind w:right="-397"/>
              <w:jc w:val="both"/>
              <w:rPr>
                <w:rFonts w:ascii="Calibri" w:hAnsi="Calibri"/>
                <w:color w:val="000000" w:themeColor="text1"/>
                <w:lang w:val="en-GB"/>
              </w:rPr>
            </w:pPr>
          </w:p>
          <w:p w14:paraId="01467119" w14:textId="77777777" w:rsidR="009116FE" w:rsidRPr="005234EE" w:rsidRDefault="009116FE" w:rsidP="00F73C66">
            <w:pPr>
              <w:ind w:right="-397"/>
              <w:jc w:val="both"/>
              <w:rPr>
                <w:rFonts w:ascii="Calibri" w:hAnsi="Calibri"/>
                <w:color w:val="000000" w:themeColor="text1"/>
                <w:lang w:val="en-GB"/>
              </w:rPr>
            </w:pPr>
          </w:p>
          <w:p w14:paraId="066D7632"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DK  →</w:t>
            </w:r>
          </w:p>
          <w:p w14:paraId="305C12CA" w14:textId="77777777" w:rsidR="009116FE" w:rsidRPr="005234EE" w:rsidRDefault="009116FE" w:rsidP="00F73C66">
            <w:pPr>
              <w:ind w:right="-397"/>
              <w:jc w:val="both"/>
              <w:rPr>
                <w:rFonts w:ascii="Calibri" w:hAnsi="Calibri"/>
                <w:color w:val="000000" w:themeColor="text1"/>
                <w:lang w:val="en-GB"/>
              </w:rPr>
            </w:pPr>
          </w:p>
        </w:tc>
      </w:tr>
      <w:tr w:rsidR="009116FE" w:rsidRPr="005234EE" w14:paraId="7856EF4B" w14:textId="77777777" w:rsidTr="00F830B7">
        <w:trPr>
          <w:trHeight w:val="794"/>
        </w:trPr>
        <w:tc>
          <w:tcPr>
            <w:tcW w:w="1781" w:type="dxa"/>
            <w:vMerge/>
          </w:tcPr>
          <w:p w14:paraId="3E4B5631" w14:textId="77777777" w:rsidR="009116FE" w:rsidRPr="005234EE" w:rsidRDefault="009116FE" w:rsidP="00F73C66">
            <w:pPr>
              <w:ind w:right="-397"/>
              <w:jc w:val="both"/>
              <w:rPr>
                <w:rFonts w:ascii="Calibri" w:hAnsi="Calibri"/>
                <w:color w:val="000000" w:themeColor="text1"/>
                <w:lang w:val="en-GB"/>
              </w:rPr>
            </w:pPr>
          </w:p>
        </w:tc>
        <w:tc>
          <w:tcPr>
            <w:tcW w:w="851" w:type="dxa"/>
          </w:tcPr>
          <w:p w14:paraId="6B365FFA" w14:textId="77777777" w:rsidR="009116FE" w:rsidRPr="005234EE" w:rsidRDefault="009116FE" w:rsidP="00F73C66">
            <w:pPr>
              <w:ind w:right="-397"/>
              <w:jc w:val="both"/>
              <w:rPr>
                <w:rFonts w:ascii="Calibri" w:hAnsi="Calibri"/>
                <w:color w:val="000000" w:themeColor="text1"/>
                <w:lang w:val="en-GB"/>
              </w:rPr>
            </w:pPr>
          </w:p>
          <w:p w14:paraId="200CF348"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High</w:t>
            </w:r>
          </w:p>
        </w:tc>
        <w:tc>
          <w:tcPr>
            <w:tcW w:w="6662" w:type="dxa"/>
            <w:gridSpan w:val="2"/>
            <w:vMerge/>
          </w:tcPr>
          <w:p w14:paraId="2BDDD591" w14:textId="77777777" w:rsidR="009116FE" w:rsidRPr="005234EE" w:rsidRDefault="009116FE" w:rsidP="00F73C66">
            <w:pPr>
              <w:ind w:right="-397"/>
              <w:jc w:val="both"/>
              <w:rPr>
                <w:rFonts w:ascii="Calibri" w:hAnsi="Calibri"/>
                <w:color w:val="000000" w:themeColor="text1"/>
                <w:lang w:val="en-GB"/>
              </w:rPr>
            </w:pPr>
          </w:p>
        </w:tc>
      </w:tr>
    </w:tbl>
    <w:p w14:paraId="3A27055C" w14:textId="77777777" w:rsidR="009116FE" w:rsidRPr="005234EE" w:rsidRDefault="009116FE">
      <w:pPr>
        <w:spacing w:after="200" w:line="276" w:lineRule="auto"/>
        <w:rPr>
          <w:rFonts w:ascii="Calibri" w:hAnsi="Calibri"/>
          <w:b/>
          <w:color w:val="000000" w:themeColor="text1"/>
          <w:lang w:val="en-GB"/>
        </w:rPr>
      </w:pPr>
    </w:p>
    <w:p w14:paraId="060570AB" w14:textId="77777777" w:rsidR="009116FE" w:rsidRPr="005234EE" w:rsidRDefault="009116FE" w:rsidP="002450DA">
      <w:pPr>
        <w:spacing w:after="200"/>
        <w:ind w:left="-397" w:right="-397"/>
        <w:jc w:val="both"/>
        <w:rPr>
          <w:rFonts w:ascii="Calibri" w:hAnsi="Calibri"/>
          <w:color w:val="000000" w:themeColor="text1"/>
          <w:lang w:val="en-GB"/>
        </w:rPr>
      </w:pPr>
    </w:p>
    <w:p w14:paraId="1006CF2E" w14:textId="7F8766AF" w:rsidR="009116FE" w:rsidRPr="005234EE" w:rsidRDefault="009116FE" w:rsidP="00F83C9B">
      <w:pPr>
        <w:spacing w:after="200"/>
        <w:ind w:left="-397" w:right="-397"/>
        <w:jc w:val="both"/>
        <w:outlineLvl w:val="0"/>
        <w:rPr>
          <w:rFonts w:ascii="Calibri" w:hAnsi="Calibri"/>
          <w:color w:val="000000" w:themeColor="text1"/>
          <w:lang w:val="en-GB"/>
        </w:rPr>
      </w:pPr>
      <w:r w:rsidRPr="005234EE">
        <w:rPr>
          <w:rFonts w:ascii="Calibri" w:hAnsi="Calibri"/>
          <w:color w:val="000000" w:themeColor="text1"/>
          <w:lang w:val="en-GB"/>
        </w:rPr>
        <w:lastRenderedPageBreak/>
        <w:t xml:space="preserve">2. Public Ownership and Long-Run Institutional Change </w:t>
      </w:r>
    </w:p>
    <w:p w14:paraId="7E7EB495" w14:textId="08036C1C" w:rsidR="009116FE" w:rsidRPr="005234EE" w:rsidRDefault="009116FE" w:rsidP="000E1471">
      <w:pPr>
        <w:spacing w:after="200"/>
        <w:ind w:left="-397" w:right="-397"/>
        <w:jc w:val="both"/>
        <w:rPr>
          <w:rFonts w:ascii="Calibri" w:hAnsi="Calibri"/>
          <w:color w:val="000000" w:themeColor="text1"/>
          <w:lang w:val="en-GB"/>
        </w:rPr>
      </w:pPr>
      <w:r w:rsidRPr="005234EE">
        <w:rPr>
          <w:rFonts w:ascii="Calibri" w:hAnsi="Calibri"/>
          <w:color w:val="000000" w:themeColor="text1"/>
          <w:lang w:val="en-GB"/>
        </w:rPr>
        <w:t>In this section I identify how the inclusivity of distributive reforms and of state development policy historically shape the level of public state ownership and governance capacity. In Nordic states, these conditions coincided, producing conditions for embedding PSO over time, as already noted. Although state regulation is not the primary analytical factor in VOC analysis, we can find evidence of the state’s pivotal role in early institutional development from VOC accounts. For example, Thelen’s reference to the role of social insurance in enabling the training system (</w:t>
      </w:r>
      <w:r w:rsidR="001035EE" w:rsidRPr="005234EE">
        <w:rPr>
          <w:rFonts w:ascii="Calibri" w:hAnsi="Calibri"/>
          <w:color w:val="000000" w:themeColor="text1"/>
          <w:lang w:val="en-GB"/>
        </w:rPr>
        <w:t xml:space="preserve">Thelen, </w:t>
      </w:r>
      <w:r w:rsidRPr="005234EE">
        <w:rPr>
          <w:rFonts w:ascii="Calibri" w:hAnsi="Calibri"/>
          <w:color w:val="000000" w:themeColor="text1"/>
          <w:lang w:val="en-GB"/>
        </w:rPr>
        <w:t xml:space="preserve">2004, </w:t>
      </w:r>
      <w:r w:rsidR="001035EE" w:rsidRPr="005234EE">
        <w:rPr>
          <w:rFonts w:ascii="Calibri" w:hAnsi="Calibri"/>
          <w:color w:val="000000" w:themeColor="text1"/>
          <w:lang w:val="en-GB"/>
        </w:rPr>
        <w:t>pp.</w:t>
      </w:r>
      <w:r w:rsidRPr="005234EE">
        <w:rPr>
          <w:rFonts w:ascii="Calibri" w:hAnsi="Calibri"/>
          <w:color w:val="000000" w:themeColor="text1"/>
          <w:lang w:val="en-GB"/>
        </w:rPr>
        <w:t xml:space="preserve">3-6, </w:t>
      </w:r>
      <w:r w:rsidR="001035EE" w:rsidRPr="005234EE">
        <w:rPr>
          <w:rFonts w:ascii="Calibri" w:hAnsi="Calibri"/>
          <w:color w:val="000000" w:themeColor="text1"/>
          <w:lang w:val="en-GB"/>
        </w:rPr>
        <w:t>p.</w:t>
      </w:r>
      <w:r w:rsidRPr="005234EE">
        <w:rPr>
          <w:rFonts w:ascii="Calibri" w:hAnsi="Calibri"/>
          <w:color w:val="000000" w:themeColor="text1"/>
          <w:lang w:val="en-GB"/>
        </w:rPr>
        <w:t>51), suggests business was converting systems that the state had created.</w:t>
      </w:r>
      <w:r w:rsidRPr="005234EE">
        <w:rPr>
          <w:rStyle w:val="EndnoteReference"/>
          <w:rFonts w:ascii="Calibri" w:hAnsi="Calibri"/>
          <w:color w:val="000000" w:themeColor="text1"/>
          <w:lang w:val="en-GB"/>
        </w:rPr>
        <w:t>.</w:t>
      </w:r>
      <w:r w:rsidRPr="005234EE">
        <w:rPr>
          <w:rFonts w:ascii="Calibri" w:hAnsi="Calibri"/>
          <w:color w:val="000000" w:themeColor="text1"/>
          <w:lang w:val="en-GB"/>
        </w:rPr>
        <w:t xml:space="preserve"> By contrast, in Britain, a 1563 codified system of apprenticeship withered through deliberate state omission long before British employer associations entered the scene to defend a training system that became no more than a cheap supply of child labour (Thelen</w:t>
      </w:r>
      <w:r w:rsidR="001035EE" w:rsidRPr="005234EE">
        <w:rPr>
          <w:rFonts w:ascii="Calibri" w:hAnsi="Calibri"/>
          <w:color w:val="000000" w:themeColor="text1"/>
          <w:lang w:val="en-GB"/>
        </w:rPr>
        <w:t>,</w:t>
      </w:r>
      <w:r w:rsidRPr="005234EE">
        <w:rPr>
          <w:rFonts w:ascii="Calibri" w:hAnsi="Calibri"/>
          <w:color w:val="000000" w:themeColor="text1"/>
          <w:lang w:val="en-GB"/>
        </w:rPr>
        <w:t xml:space="preserve"> 2004, </w:t>
      </w:r>
      <w:r w:rsidR="001035EE" w:rsidRPr="005234EE">
        <w:rPr>
          <w:rFonts w:ascii="Calibri" w:hAnsi="Calibri"/>
          <w:color w:val="000000" w:themeColor="text1"/>
          <w:lang w:val="en-GB"/>
        </w:rPr>
        <w:t>pp.</w:t>
      </w:r>
      <w:r w:rsidRPr="005234EE">
        <w:rPr>
          <w:rFonts w:ascii="Calibri" w:hAnsi="Calibri"/>
          <w:color w:val="000000" w:themeColor="text1"/>
          <w:lang w:val="en-GB"/>
        </w:rPr>
        <w:t>93-4</w:t>
      </w:r>
      <w:r w:rsidR="001035EE" w:rsidRPr="005234EE">
        <w:rPr>
          <w:rFonts w:ascii="Calibri" w:hAnsi="Calibri"/>
          <w:color w:val="000000" w:themeColor="text1"/>
          <w:lang w:val="en-GB"/>
        </w:rPr>
        <w:t>, p.</w:t>
      </w:r>
      <w:r w:rsidRPr="005234EE">
        <w:rPr>
          <w:rFonts w:ascii="Calibri" w:hAnsi="Calibri"/>
          <w:color w:val="000000" w:themeColor="text1"/>
          <w:lang w:val="en-GB"/>
        </w:rPr>
        <w:t>111).</w:t>
      </w:r>
      <w:r w:rsidRPr="005234EE">
        <w:rPr>
          <w:rStyle w:val="EndnoteReference"/>
          <w:rFonts w:ascii="Calibri" w:hAnsi="Calibri"/>
          <w:color w:val="000000" w:themeColor="text1"/>
          <w:lang w:val="en-GB"/>
        </w:rPr>
        <w:t>.</w:t>
      </w:r>
      <w:r w:rsidRPr="005234EE">
        <w:rPr>
          <w:rFonts w:ascii="Calibri" w:hAnsi="Calibri"/>
          <w:color w:val="000000" w:themeColor="text1"/>
          <w:lang w:val="en-GB"/>
        </w:rPr>
        <w:t xml:space="preserve"> Along similar lines, Archer (2007, </w:t>
      </w:r>
      <w:r w:rsidR="001035EE" w:rsidRPr="005234EE">
        <w:rPr>
          <w:rFonts w:ascii="Calibri" w:hAnsi="Calibri"/>
          <w:color w:val="000000" w:themeColor="text1"/>
          <w:lang w:val="en-GB"/>
        </w:rPr>
        <w:t>pp.</w:t>
      </w:r>
      <w:r w:rsidRPr="005234EE">
        <w:rPr>
          <w:rFonts w:ascii="Calibri" w:hAnsi="Calibri"/>
          <w:color w:val="000000" w:themeColor="text1"/>
          <w:lang w:val="en-GB"/>
        </w:rPr>
        <w:t>96-</w:t>
      </w:r>
      <w:r w:rsidR="001035EE" w:rsidRPr="005234EE">
        <w:rPr>
          <w:rFonts w:ascii="Calibri" w:hAnsi="Calibri"/>
          <w:color w:val="000000" w:themeColor="text1"/>
          <w:lang w:val="en-GB"/>
        </w:rPr>
        <w:t>9</w:t>
      </w:r>
      <w:r w:rsidRPr="005234EE">
        <w:rPr>
          <w:rFonts w:ascii="Calibri" w:hAnsi="Calibri"/>
          <w:color w:val="000000" w:themeColor="text1"/>
          <w:lang w:val="en-GB"/>
        </w:rPr>
        <w:t xml:space="preserve">7, </w:t>
      </w:r>
      <w:r w:rsidR="001035EE" w:rsidRPr="005234EE">
        <w:rPr>
          <w:rFonts w:ascii="Calibri" w:hAnsi="Calibri"/>
          <w:color w:val="000000" w:themeColor="text1"/>
          <w:lang w:val="en-GB"/>
        </w:rPr>
        <w:t>p.</w:t>
      </w:r>
      <w:r w:rsidRPr="005234EE">
        <w:rPr>
          <w:rFonts w:ascii="Calibri" w:hAnsi="Calibri"/>
          <w:color w:val="000000" w:themeColor="text1"/>
          <w:lang w:val="en-GB"/>
        </w:rPr>
        <w:t>111) singles out state (court) repression as the key factor in explaining the emergence of a defensive labour movement in the US at about the same time as a fragmented skills-system emerged (on this in the UK</w:t>
      </w:r>
      <w:r w:rsidR="00363AE0" w:rsidRPr="005234EE">
        <w:rPr>
          <w:rFonts w:ascii="Calibri" w:hAnsi="Calibri"/>
          <w:color w:val="000000" w:themeColor="text1"/>
          <w:lang w:val="en-GB"/>
        </w:rPr>
        <w:t>,</w:t>
      </w:r>
      <w:r w:rsidRPr="005234EE">
        <w:rPr>
          <w:rFonts w:ascii="Calibri" w:hAnsi="Calibri"/>
          <w:color w:val="000000" w:themeColor="text1"/>
          <w:lang w:val="en-GB"/>
        </w:rPr>
        <w:t xml:space="preserve"> Thelen</w:t>
      </w:r>
      <w:r w:rsidR="001035EE" w:rsidRPr="005234EE">
        <w:rPr>
          <w:rFonts w:ascii="Calibri" w:hAnsi="Calibri"/>
          <w:color w:val="000000" w:themeColor="text1"/>
          <w:lang w:val="en-GB"/>
        </w:rPr>
        <w:t>,</w:t>
      </w:r>
      <w:r w:rsidRPr="005234EE">
        <w:rPr>
          <w:rFonts w:ascii="Calibri" w:hAnsi="Calibri"/>
          <w:color w:val="000000" w:themeColor="text1"/>
          <w:lang w:val="en-GB"/>
        </w:rPr>
        <w:t xml:space="preserve"> 2004, </w:t>
      </w:r>
      <w:r w:rsidR="001035EE" w:rsidRPr="005234EE">
        <w:rPr>
          <w:rFonts w:ascii="Calibri" w:hAnsi="Calibri"/>
          <w:color w:val="000000" w:themeColor="text1"/>
          <w:lang w:val="en-GB"/>
        </w:rPr>
        <w:t>p.</w:t>
      </w:r>
      <w:r w:rsidRPr="005234EE">
        <w:rPr>
          <w:rFonts w:ascii="Calibri" w:hAnsi="Calibri"/>
          <w:color w:val="000000" w:themeColor="text1"/>
          <w:lang w:val="en-GB"/>
        </w:rPr>
        <w:t>177).</w:t>
      </w:r>
      <w:r w:rsidRPr="005234EE">
        <w:rPr>
          <w:rStyle w:val="EndnoteReference"/>
          <w:rFonts w:ascii="Calibri" w:hAnsi="Calibri"/>
          <w:color w:val="000000" w:themeColor="text1"/>
          <w:lang w:val="en-GB"/>
        </w:rPr>
        <w:t xml:space="preserve"> </w:t>
      </w:r>
    </w:p>
    <w:p w14:paraId="62B2B301" w14:textId="6B47DF71" w:rsidR="009116FE" w:rsidRPr="005234EE" w:rsidRDefault="009116FE" w:rsidP="00AA3C46">
      <w:pPr>
        <w:ind w:left="-397" w:right="-397"/>
        <w:jc w:val="both"/>
        <w:rPr>
          <w:rFonts w:ascii="Calibri" w:hAnsi="Calibri"/>
          <w:color w:val="000000" w:themeColor="text1"/>
          <w:lang w:val="en-GB"/>
        </w:rPr>
      </w:pPr>
      <w:r w:rsidRPr="005234EE">
        <w:rPr>
          <w:rFonts w:ascii="Calibri" w:hAnsi="Calibri"/>
          <w:color w:val="000000" w:themeColor="text1"/>
          <w:lang w:val="en-GB"/>
        </w:rPr>
        <w:t>In contrast, within the Nordic region, constant feuding meant state formation was subject to the kind of systemic vulnerability Tilly (1985</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1990) has linked with the emergence of tax effective centralised authority in continental Europe. On the other hand, the persistence in legal and normative terms of a strong egalitarian tradition in governance across Nordic territories meant kings had strong reasons to legitimise state power in egalitarian terms. As evidence for the latter, Sandberg (1979,</w:t>
      </w:r>
      <w:r w:rsidR="00AD6F07" w:rsidRPr="005234EE">
        <w:rPr>
          <w:rFonts w:ascii="Calibri" w:hAnsi="Calibri"/>
          <w:color w:val="000000" w:themeColor="text1"/>
          <w:lang w:val="en-GB"/>
        </w:rPr>
        <w:t xml:space="preserve"> pp.</w:t>
      </w:r>
      <w:r w:rsidRPr="005234EE">
        <w:rPr>
          <w:rFonts w:ascii="Calibri" w:hAnsi="Calibri"/>
          <w:color w:val="000000" w:themeColor="text1"/>
          <w:lang w:val="en-GB"/>
        </w:rPr>
        <w:t>225-226) has detailed the incisive role of pervasive literacy in Nordic institutional development.  A ‘humanistic concern’ for the peasants’ lot (Jensen</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1936, </w:t>
      </w:r>
      <w:r w:rsidR="00AD6F07" w:rsidRPr="005234EE">
        <w:rPr>
          <w:rFonts w:ascii="Calibri" w:hAnsi="Calibri"/>
          <w:color w:val="000000" w:themeColor="text1"/>
          <w:lang w:val="en-GB"/>
        </w:rPr>
        <w:t>p.</w:t>
      </w:r>
      <w:r w:rsidRPr="005234EE">
        <w:rPr>
          <w:rFonts w:ascii="Calibri" w:hAnsi="Calibri"/>
          <w:color w:val="000000" w:themeColor="text1"/>
          <w:lang w:val="en-GB"/>
        </w:rPr>
        <w:t xml:space="preserve">5) during Absolutist rule has been linked with a moral authority and egalitarian form of statecraft stretching back to a prior communal form and governing of rights. According to Jonassen (1983, </w:t>
      </w:r>
      <w:r w:rsidR="00AD6F07" w:rsidRPr="005234EE">
        <w:rPr>
          <w:rFonts w:ascii="Calibri" w:hAnsi="Calibri"/>
          <w:color w:val="000000" w:themeColor="text1"/>
          <w:lang w:val="en-GB"/>
        </w:rPr>
        <w:t>pp.</w:t>
      </w:r>
      <w:r w:rsidRPr="005234EE">
        <w:rPr>
          <w:rFonts w:ascii="Calibri" w:hAnsi="Calibri"/>
          <w:color w:val="000000" w:themeColor="text1"/>
          <w:lang w:val="en-GB"/>
        </w:rPr>
        <w:t>34-37), extensive development of codified law in an effort to regulate violence during the Viking Age, became over time a stable condition of economic law and civic peace. In subsequent centuries, Nordic Kings’ recurrent conscription of the peasants, deepened a link between royal authority and the cause of peasants’ rights. Kings used legal authority to override the nobility’s claims on peasant labour (Jensen</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1936, </w:t>
      </w:r>
      <w:r w:rsidR="00AD6F07" w:rsidRPr="005234EE">
        <w:rPr>
          <w:rFonts w:ascii="Calibri" w:hAnsi="Calibri"/>
          <w:color w:val="000000" w:themeColor="text1"/>
          <w:lang w:val="en-GB"/>
        </w:rPr>
        <w:t>p.</w:t>
      </w:r>
      <w:r w:rsidRPr="005234EE">
        <w:rPr>
          <w:rFonts w:ascii="Calibri" w:hAnsi="Calibri"/>
          <w:color w:val="000000" w:themeColor="text1"/>
          <w:lang w:val="en-GB"/>
        </w:rPr>
        <w:t>129; Sandberg</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1979, </w:t>
      </w:r>
      <w:r w:rsidR="00AD6F07" w:rsidRPr="005234EE">
        <w:rPr>
          <w:rFonts w:ascii="Calibri" w:hAnsi="Calibri"/>
          <w:color w:val="000000" w:themeColor="text1"/>
          <w:lang w:val="en-GB"/>
        </w:rPr>
        <w:t>p.</w:t>
      </w:r>
      <w:r w:rsidRPr="005234EE">
        <w:rPr>
          <w:rFonts w:ascii="Calibri" w:hAnsi="Calibri"/>
          <w:color w:val="000000" w:themeColor="text1"/>
          <w:lang w:val="en-GB"/>
        </w:rPr>
        <w:t>240).</w:t>
      </w:r>
      <w:r w:rsidRPr="005234EE">
        <w:rPr>
          <w:rStyle w:val="EndnoteReference"/>
          <w:rFonts w:ascii="Calibri" w:hAnsi="Calibri"/>
          <w:color w:val="000000" w:themeColor="text1"/>
          <w:lang w:val="en-GB"/>
        </w:rPr>
        <w:endnoteReference w:id="3"/>
      </w:r>
      <w:r w:rsidRPr="005234EE">
        <w:rPr>
          <w:rFonts w:ascii="Calibri" w:hAnsi="Calibri"/>
          <w:color w:val="000000" w:themeColor="text1"/>
          <w:lang w:val="en-GB"/>
        </w:rPr>
        <w:t xml:space="preserve"> A Danish Law of 1683 made it a legal requirement that rural servants should be paid contractual wages (Hvid, 2016, </w:t>
      </w:r>
      <w:r w:rsidR="00AD6F07" w:rsidRPr="005234EE">
        <w:rPr>
          <w:rFonts w:ascii="Calibri" w:hAnsi="Calibri"/>
          <w:color w:val="000000" w:themeColor="text1"/>
          <w:lang w:val="en-GB"/>
        </w:rPr>
        <w:t>p.</w:t>
      </w:r>
      <w:r w:rsidRPr="005234EE">
        <w:rPr>
          <w:rFonts w:ascii="Calibri" w:hAnsi="Calibri"/>
          <w:color w:val="000000" w:themeColor="text1"/>
          <w:lang w:val="en-GB"/>
        </w:rPr>
        <w:t>557).</w:t>
      </w:r>
      <w:r w:rsidRPr="005234EE">
        <w:rPr>
          <w:rStyle w:val="EndnoteReference"/>
          <w:rFonts w:ascii="Calibri" w:hAnsi="Calibri"/>
          <w:color w:val="000000" w:themeColor="text1"/>
          <w:lang w:val="en-GB"/>
        </w:rPr>
        <w:endnoteReference w:id="4"/>
      </w:r>
      <w:r w:rsidRPr="005234EE">
        <w:rPr>
          <w:rFonts w:ascii="Calibri" w:hAnsi="Calibri"/>
          <w:color w:val="000000" w:themeColor="text1"/>
          <w:lang w:val="en-GB"/>
        </w:rPr>
        <w:t xml:space="preserve"> A new royal credit bank supported peasants attaining ownership, especially between 1780 and 1810 (Kananen</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AD6F07" w:rsidRPr="005234EE">
        <w:rPr>
          <w:rFonts w:ascii="Calibri" w:hAnsi="Calibri"/>
          <w:color w:val="000000" w:themeColor="text1"/>
          <w:lang w:val="en-GB"/>
        </w:rPr>
        <w:t>pp.</w:t>
      </w:r>
      <w:r w:rsidRPr="005234EE">
        <w:rPr>
          <w:rFonts w:ascii="Calibri" w:hAnsi="Calibri"/>
          <w:color w:val="000000" w:themeColor="text1"/>
          <w:lang w:val="en-GB"/>
        </w:rPr>
        <w:t>46-</w:t>
      </w:r>
      <w:r w:rsidR="00AD6F07" w:rsidRPr="005234EE">
        <w:rPr>
          <w:rFonts w:ascii="Calibri" w:hAnsi="Calibri"/>
          <w:color w:val="000000" w:themeColor="text1"/>
          <w:lang w:val="en-GB"/>
        </w:rPr>
        <w:t>4</w:t>
      </w:r>
      <w:r w:rsidRPr="005234EE">
        <w:rPr>
          <w:rFonts w:ascii="Calibri" w:hAnsi="Calibri"/>
          <w:color w:val="000000" w:themeColor="text1"/>
          <w:lang w:val="en-GB"/>
        </w:rPr>
        <w:t>7). By 1860, ownership by large estates was down to 10 per cent of all land, from 65 per cent in 1720 (</w:t>
      </w:r>
      <w:r w:rsidR="008912B2" w:rsidRPr="005234EE">
        <w:rPr>
          <w:rFonts w:ascii="Calibri" w:hAnsi="Calibri"/>
          <w:color w:val="000000" w:themeColor="text1"/>
          <w:lang w:val="en-GB"/>
        </w:rPr>
        <w:t>Kananen, 2014</w:t>
      </w:r>
      <w:r w:rsidRPr="005234EE">
        <w:rPr>
          <w:rFonts w:ascii="Calibri" w:hAnsi="Calibri"/>
          <w:color w:val="000000" w:themeColor="text1"/>
          <w:lang w:val="en-GB"/>
        </w:rPr>
        <w:t xml:space="preserve">, </w:t>
      </w:r>
      <w:r w:rsidR="00AD6F07" w:rsidRPr="005234EE">
        <w:rPr>
          <w:rFonts w:ascii="Calibri" w:hAnsi="Calibri"/>
          <w:color w:val="000000" w:themeColor="text1"/>
          <w:lang w:val="en-GB"/>
        </w:rPr>
        <w:t>pp.</w:t>
      </w:r>
      <w:r w:rsidRPr="005234EE">
        <w:rPr>
          <w:rFonts w:ascii="Calibri" w:hAnsi="Calibri"/>
          <w:color w:val="000000" w:themeColor="text1"/>
          <w:lang w:val="en-GB"/>
        </w:rPr>
        <w:t>48-49). By the end of the century, over 80 percent of rural production was in the hands of cooperatives governed among owner-farmers, with tenancy farming reduced to less than 8 percent (Henriksen</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2006, </w:t>
      </w:r>
      <w:r w:rsidR="00AD6F07" w:rsidRPr="005234EE">
        <w:rPr>
          <w:rFonts w:ascii="Calibri" w:hAnsi="Calibri"/>
          <w:color w:val="000000" w:themeColor="text1"/>
          <w:lang w:val="en-GB"/>
        </w:rPr>
        <w:t>p.</w:t>
      </w:r>
      <w:r w:rsidRPr="005234EE">
        <w:rPr>
          <w:rFonts w:ascii="Calibri" w:hAnsi="Calibri"/>
          <w:color w:val="000000" w:themeColor="text1"/>
          <w:lang w:val="en-GB"/>
        </w:rPr>
        <w:t>17).</w:t>
      </w:r>
    </w:p>
    <w:p w14:paraId="7C8A1D61" w14:textId="77777777" w:rsidR="009116FE" w:rsidRPr="005234EE" w:rsidRDefault="009116FE" w:rsidP="002450DA">
      <w:pPr>
        <w:ind w:left="-397" w:right="-397"/>
        <w:jc w:val="both"/>
        <w:rPr>
          <w:rFonts w:ascii="Calibri" w:hAnsi="Calibri"/>
          <w:color w:val="000000" w:themeColor="text1"/>
          <w:lang w:val="en-GB"/>
        </w:rPr>
      </w:pPr>
    </w:p>
    <w:p w14:paraId="59960148" w14:textId="696EBF88" w:rsidR="009116FE" w:rsidRPr="005234EE" w:rsidRDefault="00F21BC5" w:rsidP="002450DA">
      <w:pPr>
        <w:ind w:left="-397" w:right="-397"/>
        <w:jc w:val="both"/>
        <w:rPr>
          <w:rFonts w:ascii="Calibri" w:hAnsi="Calibri"/>
          <w:color w:val="000000" w:themeColor="text1"/>
          <w:lang w:val="en-GB"/>
        </w:rPr>
      </w:pPr>
      <w:r>
        <w:rPr>
          <w:rFonts w:ascii="Calibri" w:hAnsi="Calibri"/>
          <w:color w:val="000000" w:themeColor="text1"/>
          <w:lang w:val="en-GB"/>
        </w:rPr>
        <w:t>Meanwhile</w:t>
      </w:r>
      <w:r w:rsidR="009116FE" w:rsidRPr="005234EE">
        <w:rPr>
          <w:rFonts w:ascii="Calibri" w:hAnsi="Calibri"/>
          <w:color w:val="000000" w:themeColor="text1"/>
          <w:lang w:val="en-GB"/>
        </w:rPr>
        <w:t>, in Britain, a massive concentration of ownership and hierarchical social structure, whereby land owners rented to tenant farmers</w:t>
      </w:r>
      <w:r>
        <w:rPr>
          <w:rFonts w:ascii="Calibri" w:hAnsi="Calibri"/>
          <w:color w:val="000000" w:themeColor="text1"/>
          <w:lang w:val="en-GB"/>
        </w:rPr>
        <w:t>,</w:t>
      </w:r>
      <w:r w:rsidR="009116FE" w:rsidRPr="005234EE">
        <w:rPr>
          <w:rFonts w:ascii="Calibri" w:hAnsi="Calibri"/>
          <w:color w:val="000000" w:themeColor="text1"/>
          <w:lang w:val="en-GB"/>
        </w:rPr>
        <w:t xml:space="preserve"> who employed casual labourers (Kananen</w:t>
      </w:r>
      <w:r w:rsidR="00AD6F07" w:rsidRPr="005234EE">
        <w:rPr>
          <w:rFonts w:ascii="Calibri" w:hAnsi="Calibri"/>
          <w:color w:val="000000" w:themeColor="text1"/>
          <w:lang w:val="en-GB"/>
        </w:rPr>
        <w:t>,</w:t>
      </w:r>
      <w:r w:rsidR="009116FE" w:rsidRPr="005234EE">
        <w:rPr>
          <w:rFonts w:ascii="Calibri" w:hAnsi="Calibri"/>
          <w:color w:val="000000" w:themeColor="text1"/>
          <w:lang w:val="en-GB"/>
        </w:rPr>
        <w:t xml:space="preserve"> 2014, </w:t>
      </w:r>
      <w:r w:rsidR="00AD6F07" w:rsidRPr="005234EE">
        <w:rPr>
          <w:rFonts w:ascii="Calibri" w:hAnsi="Calibri"/>
          <w:color w:val="000000" w:themeColor="text1"/>
          <w:lang w:val="en-GB"/>
        </w:rPr>
        <w:t>pp.</w:t>
      </w:r>
      <w:r w:rsidR="009116FE" w:rsidRPr="005234EE">
        <w:rPr>
          <w:rFonts w:ascii="Calibri" w:hAnsi="Calibri"/>
          <w:color w:val="000000" w:themeColor="text1"/>
          <w:lang w:val="en-GB"/>
        </w:rPr>
        <w:t>69-70), emerged from the way agricultural modernisation occurred (</w:t>
      </w:r>
      <w:r w:rsidR="00834B46" w:rsidRPr="005234EE">
        <w:rPr>
          <w:rFonts w:ascii="Calibri" w:hAnsi="Calibri"/>
          <w:color w:val="000000" w:themeColor="text1"/>
          <w:lang w:val="en-GB"/>
        </w:rPr>
        <w:t>Kananen, 2014</w:t>
      </w:r>
      <w:r w:rsidR="00AD6F07" w:rsidRPr="005234EE">
        <w:rPr>
          <w:rFonts w:ascii="Calibri" w:hAnsi="Calibri"/>
          <w:color w:val="000000" w:themeColor="text1"/>
          <w:lang w:val="en-GB"/>
        </w:rPr>
        <w:t>,</w:t>
      </w:r>
      <w:r w:rsidR="009116FE" w:rsidRPr="005234EE">
        <w:rPr>
          <w:rFonts w:ascii="Calibri" w:hAnsi="Calibri"/>
          <w:color w:val="000000" w:themeColor="text1"/>
          <w:lang w:val="en-GB"/>
        </w:rPr>
        <w:t xml:space="preserve"> </w:t>
      </w:r>
      <w:r w:rsidR="00AD6F07" w:rsidRPr="005234EE">
        <w:rPr>
          <w:rFonts w:ascii="Calibri" w:hAnsi="Calibri"/>
          <w:color w:val="000000" w:themeColor="text1"/>
          <w:lang w:val="en-GB"/>
        </w:rPr>
        <w:t>p.</w:t>
      </w:r>
      <w:r w:rsidR="009116FE" w:rsidRPr="005234EE">
        <w:rPr>
          <w:rFonts w:ascii="Calibri" w:hAnsi="Calibri"/>
          <w:color w:val="000000" w:themeColor="text1"/>
          <w:lang w:val="en-GB"/>
        </w:rPr>
        <w:t xml:space="preserve">2). The incentives for far-reaching asset redistribution and human development policies that existed in Nordic states were absent. As Fairlie (2009, </w:t>
      </w:r>
      <w:r w:rsidR="00AD6F07" w:rsidRPr="005234EE">
        <w:rPr>
          <w:rFonts w:ascii="Calibri" w:hAnsi="Calibri"/>
          <w:color w:val="000000" w:themeColor="text1"/>
          <w:lang w:val="en-GB"/>
        </w:rPr>
        <w:t>pp.</w:t>
      </w:r>
      <w:r w:rsidR="009116FE" w:rsidRPr="005234EE">
        <w:rPr>
          <w:rFonts w:ascii="Calibri" w:hAnsi="Calibri"/>
          <w:color w:val="000000" w:themeColor="text1"/>
          <w:lang w:val="en-GB"/>
        </w:rPr>
        <w:t>5-6) recounts, in Britain, the period from the 1300s till the enclosures was marked by cycles of peasant revolts and ever fiercer state repression. In a legally weak structure, the coincidence of state and feudal authority simply blended through acts of social control. Whereas in Nordic states unelected kings led the redistribution of property of the 18</w:t>
      </w:r>
      <w:r w:rsidR="009116FE" w:rsidRPr="005234EE">
        <w:rPr>
          <w:rFonts w:ascii="Calibri" w:hAnsi="Calibri"/>
          <w:color w:val="000000" w:themeColor="text1"/>
          <w:vertAlign w:val="superscript"/>
          <w:lang w:val="en-GB"/>
        </w:rPr>
        <w:t>th</w:t>
      </w:r>
      <w:r w:rsidR="009116FE" w:rsidRPr="005234EE">
        <w:rPr>
          <w:rFonts w:ascii="Calibri" w:hAnsi="Calibri"/>
          <w:color w:val="000000" w:themeColor="text1"/>
          <w:lang w:val="en-GB"/>
        </w:rPr>
        <w:t xml:space="preserve"> century, in Britain</w:t>
      </w:r>
      <w:r>
        <w:rPr>
          <w:rFonts w:ascii="Calibri" w:hAnsi="Calibri"/>
          <w:color w:val="000000" w:themeColor="text1"/>
          <w:lang w:val="en-GB"/>
        </w:rPr>
        <w:t>,</w:t>
      </w:r>
      <w:r w:rsidR="009116FE" w:rsidRPr="005234EE">
        <w:rPr>
          <w:rFonts w:ascii="Calibri" w:hAnsi="Calibri"/>
          <w:color w:val="000000" w:themeColor="text1"/>
          <w:lang w:val="en-GB"/>
        </w:rPr>
        <w:t xml:space="preserve"> the restricted democratic public represented in parliament was able to exercise its mandate without counterweight by any other public authority. </w:t>
      </w:r>
      <w:r w:rsidR="009116FE" w:rsidRPr="005234EE">
        <w:rPr>
          <w:rStyle w:val="EndnoteReference"/>
          <w:rFonts w:ascii="Calibri" w:hAnsi="Calibri"/>
          <w:color w:val="000000" w:themeColor="text1"/>
          <w:lang w:val="en-GB"/>
        </w:rPr>
        <w:endnoteReference w:id="5"/>
      </w:r>
      <w:r w:rsidR="009116FE" w:rsidRPr="005234EE">
        <w:rPr>
          <w:rFonts w:ascii="Calibri" w:hAnsi="Calibri"/>
          <w:color w:val="000000" w:themeColor="text1"/>
          <w:lang w:val="en-GB"/>
        </w:rPr>
        <w:t xml:space="preserve"> Registry of ownership was not published till 1872, apparently showing 0.6 per cent of the population owned 98.5 per cent of the agricultural land </w:t>
      </w:r>
      <w:r w:rsidR="009116FE" w:rsidRPr="005234EE">
        <w:rPr>
          <w:rFonts w:ascii="Calibri" w:hAnsi="Calibri"/>
          <w:color w:val="000000" w:themeColor="text1"/>
          <w:lang w:val="en-GB"/>
        </w:rPr>
        <w:lastRenderedPageBreak/>
        <w:t xml:space="preserve">(Fairley, 2009, </w:t>
      </w:r>
      <w:r w:rsidR="00AD6F07" w:rsidRPr="005234EE">
        <w:rPr>
          <w:rFonts w:ascii="Calibri" w:hAnsi="Calibri"/>
          <w:color w:val="000000" w:themeColor="text1"/>
          <w:lang w:val="en-GB"/>
        </w:rPr>
        <w:t>p.</w:t>
      </w:r>
      <w:r w:rsidR="009116FE" w:rsidRPr="005234EE">
        <w:rPr>
          <w:rFonts w:ascii="Calibri" w:hAnsi="Calibri"/>
          <w:color w:val="000000" w:themeColor="text1"/>
          <w:lang w:val="en-GB"/>
        </w:rPr>
        <w:t>9). Relative weakness of economic rights made franchise inclusion the primary focus of social groups’ clamour for inclusion (Brown</w:t>
      </w:r>
      <w:r w:rsidR="00AD6F07" w:rsidRPr="005234EE">
        <w:rPr>
          <w:rFonts w:ascii="Calibri" w:hAnsi="Calibri"/>
          <w:color w:val="000000" w:themeColor="text1"/>
          <w:lang w:val="en-GB"/>
        </w:rPr>
        <w:t>,</w:t>
      </w:r>
      <w:r w:rsidR="009116FE" w:rsidRPr="005234EE">
        <w:rPr>
          <w:rFonts w:ascii="Calibri" w:hAnsi="Calibri"/>
          <w:color w:val="000000" w:themeColor="text1"/>
          <w:lang w:val="en-GB"/>
        </w:rPr>
        <w:t xml:space="preserve"> 1999</w:t>
      </w:r>
      <w:r w:rsidR="00AD6F07" w:rsidRPr="005234EE">
        <w:rPr>
          <w:rFonts w:ascii="Calibri" w:hAnsi="Calibri"/>
          <w:color w:val="000000" w:themeColor="text1"/>
          <w:lang w:val="en-GB"/>
        </w:rPr>
        <w:t>;</w:t>
      </w:r>
      <w:r w:rsidR="009116FE" w:rsidRPr="005234EE">
        <w:rPr>
          <w:rFonts w:ascii="Calibri" w:hAnsi="Calibri"/>
          <w:color w:val="000000" w:themeColor="text1"/>
          <w:lang w:val="en-GB"/>
        </w:rPr>
        <w:t xml:space="preserve"> Archer</w:t>
      </w:r>
      <w:r w:rsidR="00AD6F07" w:rsidRPr="005234EE">
        <w:rPr>
          <w:rFonts w:ascii="Calibri" w:hAnsi="Calibri"/>
          <w:color w:val="000000" w:themeColor="text1"/>
          <w:lang w:val="en-GB"/>
        </w:rPr>
        <w:t>,</w:t>
      </w:r>
      <w:r w:rsidR="009116FE" w:rsidRPr="005234EE">
        <w:rPr>
          <w:rFonts w:ascii="Calibri" w:hAnsi="Calibri"/>
          <w:color w:val="000000" w:themeColor="text1"/>
          <w:lang w:val="en-GB"/>
        </w:rPr>
        <w:t xml:space="preserve"> 2007). </w:t>
      </w:r>
    </w:p>
    <w:p w14:paraId="6ABC087C" w14:textId="77777777" w:rsidR="009116FE" w:rsidRPr="005234EE" w:rsidRDefault="009116FE" w:rsidP="002450DA">
      <w:pPr>
        <w:ind w:left="-397" w:right="-397"/>
        <w:jc w:val="both"/>
        <w:rPr>
          <w:rFonts w:ascii="Calibri" w:hAnsi="Calibri"/>
          <w:color w:val="000000" w:themeColor="text1"/>
          <w:lang w:val="en-GB"/>
        </w:rPr>
      </w:pPr>
    </w:p>
    <w:p w14:paraId="4A9E7B60" w14:textId="52162BCF" w:rsidR="009116FE" w:rsidRPr="005234EE" w:rsidRDefault="009116FE" w:rsidP="002450DA">
      <w:pPr>
        <w:ind w:left="-397" w:right="-397"/>
        <w:jc w:val="both"/>
        <w:rPr>
          <w:rFonts w:ascii="Calibri" w:hAnsi="Calibri"/>
          <w:color w:val="000000" w:themeColor="text1"/>
          <w:lang w:val="en-GB"/>
        </w:rPr>
      </w:pPr>
      <w:r w:rsidRPr="005234EE">
        <w:rPr>
          <w:rFonts w:ascii="Calibri" w:hAnsi="Calibri"/>
          <w:color w:val="000000" w:themeColor="text1"/>
          <w:lang w:val="en-GB"/>
        </w:rPr>
        <w:t>Whereas, then, in Britain, the approach to social reform remained largely compensatory, Nordic states saw literacy as part and parcel of their own institutional development and fostered it, and other social reforms, systematically (Nothin</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1926).</w:t>
      </w:r>
      <w:r w:rsidRPr="005234EE">
        <w:rPr>
          <w:rStyle w:val="EndnoteReference"/>
          <w:rFonts w:ascii="Calibri" w:hAnsi="Calibri"/>
          <w:color w:val="000000" w:themeColor="text1"/>
          <w:lang w:val="en-GB"/>
        </w:rPr>
        <w:endnoteReference w:id="6"/>
      </w:r>
      <w:r w:rsidRPr="005234EE">
        <w:rPr>
          <w:rFonts w:ascii="Calibri" w:hAnsi="Calibri"/>
          <w:color w:val="000000" w:themeColor="text1"/>
          <w:lang w:val="en-GB"/>
        </w:rPr>
        <w:t xml:space="preserve"> Systems of life-long education became ubiquitous among peasants and in urban areas during the period of Absolutist rule (Foght</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1914, </w:t>
      </w:r>
      <w:r w:rsidR="00AD6F07" w:rsidRPr="005234EE">
        <w:rPr>
          <w:rFonts w:ascii="Calibri" w:hAnsi="Calibri"/>
          <w:color w:val="000000" w:themeColor="text1"/>
          <w:lang w:val="en-GB"/>
        </w:rPr>
        <w:t>pp.</w:t>
      </w:r>
      <w:r w:rsidRPr="005234EE">
        <w:rPr>
          <w:rFonts w:ascii="Calibri" w:hAnsi="Calibri"/>
          <w:color w:val="000000" w:themeColor="text1"/>
          <w:lang w:val="en-GB"/>
        </w:rPr>
        <w:t>9-27</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Sandberg</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1979, </w:t>
      </w:r>
      <w:r w:rsidR="00AD6F07" w:rsidRPr="005234EE">
        <w:rPr>
          <w:rFonts w:ascii="Calibri" w:hAnsi="Calibri"/>
          <w:color w:val="000000" w:themeColor="text1"/>
          <w:lang w:val="en-GB"/>
        </w:rPr>
        <w:t>p.</w:t>
      </w:r>
      <w:r w:rsidRPr="005234EE">
        <w:rPr>
          <w:rFonts w:ascii="Calibri" w:hAnsi="Calibri"/>
          <w:color w:val="000000" w:themeColor="text1"/>
          <w:lang w:val="en-GB"/>
        </w:rPr>
        <w:t>230). Denmark was the first state in Europe to make public education compulsory, in 1814 (Kananen</w:t>
      </w:r>
      <w:r w:rsidR="00AD6F07" w:rsidRPr="005234EE">
        <w:rPr>
          <w:rFonts w:ascii="Calibri" w:hAnsi="Calibri"/>
          <w:color w:val="000000" w:themeColor="text1"/>
          <w:lang w:val="en-GB"/>
        </w:rPr>
        <w:t>, 2014,</w:t>
      </w:r>
      <w:r w:rsidRPr="005234EE">
        <w:rPr>
          <w:rFonts w:ascii="Calibri" w:hAnsi="Calibri"/>
          <w:color w:val="000000" w:themeColor="text1"/>
          <w:lang w:val="en-GB"/>
        </w:rPr>
        <w:t xml:space="preserve"> </w:t>
      </w:r>
      <w:r w:rsidR="00AD6F07" w:rsidRPr="005234EE">
        <w:rPr>
          <w:rFonts w:ascii="Calibri" w:hAnsi="Calibri"/>
          <w:color w:val="000000" w:themeColor="text1"/>
          <w:lang w:val="en-GB"/>
        </w:rPr>
        <w:t>p.</w:t>
      </w:r>
      <w:r w:rsidRPr="005234EE">
        <w:rPr>
          <w:rFonts w:ascii="Calibri" w:hAnsi="Calibri"/>
          <w:color w:val="000000" w:themeColor="text1"/>
          <w:lang w:val="en-GB"/>
        </w:rPr>
        <w:t xml:space="preserve">51) (compared with 1842 in Sweden), more than half a century before similar legislation in Britain. </w:t>
      </w:r>
    </w:p>
    <w:p w14:paraId="3CEFF528" w14:textId="77777777" w:rsidR="009116FE" w:rsidRPr="005234EE" w:rsidRDefault="009116FE" w:rsidP="002450DA">
      <w:pPr>
        <w:ind w:right="-397"/>
        <w:jc w:val="both"/>
        <w:rPr>
          <w:rFonts w:ascii="Calibri" w:hAnsi="Calibri"/>
          <w:color w:val="000000" w:themeColor="text1"/>
          <w:lang w:val="en-GB"/>
        </w:rPr>
      </w:pPr>
    </w:p>
    <w:p w14:paraId="6E1EA3D0" w14:textId="753E8E34" w:rsidR="009116FE" w:rsidRPr="005234EE" w:rsidRDefault="009116FE" w:rsidP="00B4606D">
      <w:pPr>
        <w:ind w:left="-397" w:right="-397"/>
        <w:jc w:val="both"/>
        <w:rPr>
          <w:rFonts w:ascii="Calibri" w:hAnsi="Calibri"/>
          <w:color w:val="000000" w:themeColor="text1"/>
          <w:lang w:val="en-GB"/>
        </w:rPr>
      </w:pPr>
      <w:r w:rsidRPr="005234EE">
        <w:rPr>
          <w:rFonts w:ascii="Calibri" w:hAnsi="Calibri"/>
          <w:color w:val="000000" w:themeColor="text1"/>
          <w:lang w:val="en-GB"/>
        </w:rPr>
        <w:t>In sum, in light of the way property in physical and human resources has been core to formation of a humanist form of public law in Nordic states, the stress in the VOC literature on the systemic role of social accords seems exaggerated.</w:t>
      </w:r>
      <w:r w:rsidRPr="005234EE">
        <w:rPr>
          <w:rStyle w:val="EndnoteReference"/>
          <w:rFonts w:ascii="Calibri" w:hAnsi="Calibri"/>
          <w:color w:val="000000" w:themeColor="text1"/>
          <w:lang w:val="en-GB"/>
        </w:rPr>
        <w:endnoteReference w:id="7"/>
      </w:r>
      <w:r w:rsidRPr="005234EE">
        <w:rPr>
          <w:rFonts w:ascii="Calibri" w:hAnsi="Calibri"/>
          <w:color w:val="000000" w:themeColor="text1"/>
          <w:lang w:val="en-GB"/>
        </w:rPr>
        <w:t xml:space="preserve">  This is also true of the recent period. Thelen (2014,</w:t>
      </w:r>
      <w:r w:rsidR="00AD6F07" w:rsidRPr="005234EE">
        <w:rPr>
          <w:rFonts w:ascii="Calibri" w:hAnsi="Calibri"/>
          <w:color w:val="000000" w:themeColor="text1"/>
          <w:lang w:val="en-GB"/>
        </w:rPr>
        <w:t xml:space="preserve"> p.</w:t>
      </w:r>
      <w:r w:rsidRPr="005234EE">
        <w:rPr>
          <w:rFonts w:ascii="Calibri" w:hAnsi="Calibri"/>
          <w:color w:val="000000" w:themeColor="text1"/>
          <w:lang w:val="en-GB"/>
        </w:rPr>
        <w:t>7) is right that labour union agreements helped shape Nordic egalitarian policies of the 1990s in response to liberalisation. Yet, the 1990s as a whole began a period that involved a regression in areas of humanist policy, as indicated in the emergence of the sanctions regime. Unions lost</w:t>
      </w:r>
      <w:r w:rsidR="00AD6F07" w:rsidRPr="005234EE">
        <w:rPr>
          <w:rFonts w:ascii="Calibri" w:hAnsi="Calibri"/>
          <w:color w:val="000000" w:themeColor="text1"/>
          <w:lang w:val="en-GB"/>
        </w:rPr>
        <w:t xml:space="preserve"> </w:t>
      </w:r>
      <w:r w:rsidRPr="005234EE">
        <w:rPr>
          <w:rFonts w:ascii="Calibri" w:hAnsi="Calibri"/>
          <w:color w:val="000000" w:themeColor="text1"/>
          <w:lang w:val="en-GB"/>
        </w:rPr>
        <w:t xml:space="preserve">fewer members than in other countries, yet they were weakened in several other ways, including through laws separating union and mutual society unemployment insurance (UI) membership and management. In this context, </w:t>
      </w:r>
      <w:r w:rsidRPr="005234EE">
        <w:rPr>
          <w:rFonts w:ascii="Calibri" w:hAnsi="Calibri"/>
          <w:i/>
          <w:color w:val="000000" w:themeColor="text1"/>
          <w:lang w:val="en-GB"/>
        </w:rPr>
        <w:t xml:space="preserve">prior </w:t>
      </w:r>
      <w:r w:rsidRPr="005234EE">
        <w:rPr>
          <w:rFonts w:ascii="Calibri" w:hAnsi="Calibri"/>
          <w:color w:val="000000" w:themeColor="text1"/>
          <w:lang w:val="en-GB"/>
        </w:rPr>
        <w:t>consolidation of a humanist public sector tradition explains the more developmental and contained form of</w:t>
      </w:r>
      <w:r w:rsidR="00F21BC5">
        <w:rPr>
          <w:rFonts w:ascii="Calibri" w:hAnsi="Calibri"/>
          <w:color w:val="000000" w:themeColor="text1"/>
          <w:lang w:val="en-GB"/>
        </w:rPr>
        <w:t xml:space="preserve"> the sanctions regime (Section 4.1</w:t>
      </w:r>
      <w:r w:rsidRPr="005234EE">
        <w:rPr>
          <w:rFonts w:ascii="Calibri" w:hAnsi="Calibri"/>
          <w:color w:val="000000" w:themeColor="text1"/>
          <w:lang w:val="en-GB"/>
        </w:rPr>
        <w:t xml:space="preserve"> below), and the ability of unions to turn to education and care policies (Haagh</w:t>
      </w:r>
      <w:r w:rsidR="00AD6F07" w:rsidRPr="005234EE">
        <w:rPr>
          <w:rFonts w:ascii="Calibri" w:hAnsi="Calibri"/>
          <w:color w:val="000000" w:themeColor="text1"/>
          <w:lang w:val="en-GB"/>
        </w:rPr>
        <w:t>,</w:t>
      </w:r>
      <w:r w:rsidR="00F21BC5">
        <w:rPr>
          <w:rFonts w:ascii="Calibri" w:hAnsi="Calibri"/>
          <w:color w:val="000000" w:themeColor="text1"/>
          <w:lang w:val="en-GB"/>
        </w:rPr>
        <w:t xml:space="preserve"> 2018</w:t>
      </w:r>
      <w:r w:rsidRPr="005234EE">
        <w:rPr>
          <w:rFonts w:ascii="Calibri" w:hAnsi="Calibri"/>
          <w:color w:val="000000" w:themeColor="text1"/>
          <w:lang w:val="en-GB"/>
        </w:rPr>
        <w:t xml:space="preserve">).  The state subsidy of adult education courses in the 1950s that Thelen (2014, </w:t>
      </w:r>
      <w:r w:rsidR="00AD6F07" w:rsidRPr="005234EE">
        <w:rPr>
          <w:rFonts w:ascii="Calibri" w:hAnsi="Calibri"/>
          <w:color w:val="000000" w:themeColor="text1"/>
          <w:lang w:val="en-GB"/>
        </w:rPr>
        <w:t>p.</w:t>
      </w:r>
      <w:r w:rsidRPr="005234EE">
        <w:rPr>
          <w:rFonts w:ascii="Calibri" w:hAnsi="Calibri"/>
          <w:color w:val="000000" w:themeColor="text1"/>
          <w:lang w:val="en-GB"/>
        </w:rPr>
        <w:t xml:space="preserve">105) highlights, was an element in a wider effort to integrate elements of society through education, and delivery and sharing of public services. </w:t>
      </w:r>
    </w:p>
    <w:p w14:paraId="39F9EB01" w14:textId="77777777" w:rsidR="009116FE" w:rsidRPr="005234EE" w:rsidRDefault="009116FE" w:rsidP="00B4606D">
      <w:pPr>
        <w:ind w:left="-397" w:right="-397"/>
        <w:jc w:val="both"/>
        <w:rPr>
          <w:rFonts w:ascii="Calibri" w:hAnsi="Calibri"/>
          <w:color w:val="000000" w:themeColor="text1"/>
          <w:lang w:val="en-GB"/>
        </w:rPr>
      </w:pPr>
    </w:p>
    <w:p w14:paraId="1314908E" w14:textId="77BD3699" w:rsidR="009116FE" w:rsidRPr="005234EE" w:rsidRDefault="009116FE" w:rsidP="00B4606D">
      <w:pPr>
        <w:ind w:left="-397" w:right="-397"/>
        <w:jc w:val="both"/>
        <w:rPr>
          <w:rFonts w:ascii="Calibri" w:hAnsi="Calibri"/>
          <w:color w:val="000000" w:themeColor="text1"/>
          <w:lang w:val="en-GB"/>
        </w:rPr>
      </w:pPr>
      <w:r w:rsidRPr="005234EE">
        <w:rPr>
          <w:rFonts w:ascii="Calibri" w:hAnsi="Calibri"/>
          <w:color w:val="000000" w:themeColor="text1"/>
          <w:lang w:val="en-GB"/>
        </w:rPr>
        <w:t>A case in point is the generation of conditions for the later opportunities for women within the services economy that Thelen mentions (2014, 68). In the decades following the Second World War, both Swedish (Steinmo</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2010, </w:t>
      </w:r>
      <w:r w:rsidR="00AD6F07" w:rsidRPr="005234EE">
        <w:rPr>
          <w:rFonts w:ascii="Calibri" w:hAnsi="Calibri"/>
          <w:color w:val="000000" w:themeColor="text1"/>
          <w:lang w:val="en-GB"/>
        </w:rPr>
        <w:t>pp.</w:t>
      </w:r>
      <w:r w:rsidRPr="005234EE">
        <w:rPr>
          <w:rFonts w:ascii="Calibri" w:hAnsi="Calibri"/>
          <w:color w:val="000000" w:themeColor="text1"/>
          <w:lang w:val="en-GB"/>
        </w:rPr>
        <w:t>55-58</w:t>
      </w:r>
      <w:r w:rsidR="00AD6F07" w:rsidRPr="005234EE">
        <w:rPr>
          <w:rFonts w:ascii="Calibri" w:hAnsi="Calibri"/>
          <w:color w:val="000000" w:themeColor="text1"/>
          <w:lang w:val="en-GB"/>
        </w:rPr>
        <w:t>) and Danish (</w:t>
      </w:r>
      <w:r w:rsidRPr="005234EE">
        <w:rPr>
          <w:rFonts w:ascii="Calibri" w:hAnsi="Calibri"/>
          <w:color w:val="000000" w:themeColor="text1"/>
          <w:lang w:val="en-GB"/>
        </w:rPr>
        <w:t>Friðriksdóttir</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2015</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Haagh</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2015</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2011a) governments took the lead in planning women’s occupational participation, by granting free education, low-cost child-care, and expanding public employment (so-called ‘state feminism’, Wetterberg and Melby, 2009, </w:t>
      </w:r>
      <w:r w:rsidR="00AD6F07" w:rsidRPr="005234EE">
        <w:rPr>
          <w:rFonts w:ascii="Calibri" w:hAnsi="Calibri"/>
          <w:color w:val="000000" w:themeColor="text1"/>
          <w:lang w:val="en-GB"/>
        </w:rPr>
        <w:t>p.</w:t>
      </w:r>
      <w:r w:rsidRPr="005234EE">
        <w:rPr>
          <w:rFonts w:ascii="Calibri" w:hAnsi="Calibri"/>
          <w:color w:val="000000" w:themeColor="text1"/>
          <w:lang w:val="en-GB"/>
        </w:rPr>
        <w:t>5)</w:t>
      </w:r>
      <w:r w:rsidR="00AD6F07" w:rsidRPr="005234EE">
        <w:rPr>
          <w:rFonts w:ascii="Calibri" w:hAnsi="Calibri"/>
          <w:color w:val="000000" w:themeColor="text1"/>
          <w:lang w:val="en-GB"/>
        </w:rPr>
        <w:t>.</w:t>
      </w:r>
      <w:r w:rsidR="00AD6F07" w:rsidRPr="005234EE">
        <w:rPr>
          <w:rFonts w:ascii="Calibri" w:hAnsi="Calibri"/>
          <w:b/>
          <w:color w:val="000000" w:themeColor="text1"/>
          <w:lang w:val="en-GB"/>
        </w:rPr>
        <w:t xml:space="preserve"> </w:t>
      </w:r>
      <w:r w:rsidRPr="005234EE">
        <w:rPr>
          <w:rFonts w:ascii="Calibri" w:hAnsi="Calibri"/>
          <w:color w:val="000000" w:themeColor="text1"/>
          <w:lang w:val="en-GB"/>
        </w:rPr>
        <w:t>The upshot was a higher level of developmental equality defined as equal developmental opportunities and sharing of time between men and women (Haagh</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2011a</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2015). A more comprehensive pursuit of parity in participation across gender expanded the provision of, and inclusion in, services (Haagh</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2012, </w:t>
      </w:r>
      <w:r w:rsidR="00AD6F07" w:rsidRPr="005234EE">
        <w:rPr>
          <w:rFonts w:ascii="Calibri" w:hAnsi="Calibri"/>
          <w:color w:val="000000" w:themeColor="text1"/>
          <w:lang w:val="en-GB"/>
        </w:rPr>
        <w:t>p.</w:t>
      </w:r>
      <w:r w:rsidRPr="005234EE">
        <w:rPr>
          <w:rFonts w:ascii="Calibri" w:hAnsi="Calibri"/>
          <w:color w:val="000000" w:themeColor="text1"/>
          <w:lang w:val="en-GB"/>
        </w:rPr>
        <w:t>26). By contrast, up to the early 2010s, in Britain, a market-based approach to women’s economic inclusion was paralleled with greater protection of women’s status as home-based carers in benefit systems.</w:t>
      </w:r>
    </w:p>
    <w:p w14:paraId="16FA40F3" w14:textId="77777777" w:rsidR="009116FE" w:rsidRPr="005234EE" w:rsidRDefault="009116FE" w:rsidP="00B4606D">
      <w:pPr>
        <w:ind w:right="-397"/>
        <w:jc w:val="both"/>
        <w:rPr>
          <w:rFonts w:ascii="Calibri" w:hAnsi="Calibri"/>
          <w:color w:val="000000" w:themeColor="text1"/>
          <w:lang w:val="en-GB"/>
        </w:rPr>
      </w:pPr>
    </w:p>
    <w:p w14:paraId="199A67F2" w14:textId="5A45DEB7" w:rsidR="009116FE" w:rsidRPr="005234EE" w:rsidRDefault="009116FE" w:rsidP="00B4606D">
      <w:pPr>
        <w:ind w:left="-397" w:right="-397"/>
        <w:jc w:val="both"/>
        <w:rPr>
          <w:rFonts w:ascii="Calibri" w:hAnsi="Calibri"/>
          <w:color w:val="000000" w:themeColor="text1"/>
          <w:lang w:val="en-GB"/>
        </w:rPr>
      </w:pPr>
      <w:r w:rsidRPr="005234EE">
        <w:rPr>
          <w:rFonts w:ascii="Calibri" w:hAnsi="Calibri"/>
          <w:color w:val="000000" w:themeColor="text1"/>
          <w:lang w:val="en-GB"/>
        </w:rPr>
        <w:t>In all, whereas Hacker et al</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(2015, </w:t>
      </w:r>
      <w:r w:rsidR="00AD6F07" w:rsidRPr="005234EE">
        <w:rPr>
          <w:rFonts w:ascii="Calibri" w:hAnsi="Calibri"/>
          <w:color w:val="000000" w:themeColor="text1"/>
          <w:lang w:val="en-GB"/>
        </w:rPr>
        <w:t>pp.</w:t>
      </w:r>
      <w:r w:rsidRPr="005234EE">
        <w:rPr>
          <w:rFonts w:ascii="Calibri" w:hAnsi="Calibri"/>
          <w:color w:val="000000" w:themeColor="text1"/>
          <w:lang w:val="en-GB"/>
        </w:rPr>
        <w:t>196-</w:t>
      </w:r>
      <w:r w:rsidR="00AD6F07" w:rsidRPr="005234EE">
        <w:rPr>
          <w:rFonts w:ascii="Calibri" w:hAnsi="Calibri"/>
          <w:color w:val="000000" w:themeColor="text1"/>
          <w:lang w:val="en-GB"/>
        </w:rPr>
        <w:t>19</w:t>
      </w:r>
      <w:r w:rsidRPr="005234EE">
        <w:rPr>
          <w:rFonts w:ascii="Calibri" w:hAnsi="Calibri"/>
          <w:color w:val="000000" w:themeColor="text1"/>
          <w:lang w:val="en-GB"/>
        </w:rPr>
        <w:t>7) offer a broadly technical account of ways actors’ interests in institutional arrangements are system-preserving, I identify reasons and ways build-up of PSO</w:t>
      </w:r>
      <w:r w:rsidRPr="005234EE">
        <w:rPr>
          <w:rFonts w:ascii="Calibri" w:hAnsi="Calibri"/>
          <w:b/>
          <w:color w:val="000000" w:themeColor="text1"/>
          <w:lang w:val="en-GB"/>
        </w:rPr>
        <w:t xml:space="preserve"> </w:t>
      </w:r>
      <w:r w:rsidRPr="005234EE">
        <w:rPr>
          <w:rFonts w:ascii="Calibri" w:hAnsi="Calibri"/>
          <w:color w:val="000000" w:themeColor="text1"/>
          <w:lang w:val="en-GB"/>
        </w:rPr>
        <w:t>generates different evolutionary logics and human development outcomes. A key reason more comprehensive and education-based female inclusion buttressed governance capacity in Nordic states, is that recognition of care and incorporation of women, represent democratic responses to human economy.</w:t>
      </w:r>
    </w:p>
    <w:p w14:paraId="53927532" w14:textId="77777777" w:rsidR="009116FE" w:rsidRPr="005234EE" w:rsidRDefault="009116FE" w:rsidP="00B4606D">
      <w:pPr>
        <w:ind w:left="-397" w:right="-397"/>
        <w:jc w:val="both"/>
        <w:rPr>
          <w:rFonts w:ascii="Calibri" w:hAnsi="Calibri"/>
          <w:color w:val="000000" w:themeColor="text1"/>
          <w:lang w:val="en-GB"/>
        </w:rPr>
      </w:pPr>
    </w:p>
    <w:p w14:paraId="4BFF2CDF" w14:textId="28CD7992" w:rsidR="009116FE" w:rsidRPr="005234EE" w:rsidRDefault="009116FE" w:rsidP="00B23F05">
      <w:pPr>
        <w:ind w:left="-397" w:right="-397"/>
        <w:jc w:val="both"/>
        <w:rPr>
          <w:rFonts w:ascii="Calibri" w:hAnsi="Calibri"/>
          <w:color w:val="000000" w:themeColor="text1"/>
          <w:lang w:val="en-GB"/>
        </w:rPr>
      </w:pPr>
      <w:r w:rsidRPr="005234EE">
        <w:rPr>
          <w:rFonts w:ascii="Calibri" w:hAnsi="Calibri"/>
          <w:color w:val="000000" w:themeColor="text1"/>
          <w:lang w:val="en-GB"/>
        </w:rPr>
        <w:t>Against this background, it is arguably not the case that in response to liberalisation since the 1990s different systems have become (equally) ‘re-embedded’ (Streeck</w:t>
      </w:r>
      <w:r w:rsidR="001D6A83" w:rsidRPr="005234EE">
        <w:rPr>
          <w:rFonts w:ascii="Calibri" w:hAnsi="Calibri"/>
          <w:color w:val="000000" w:themeColor="text1"/>
          <w:lang w:val="en-GB"/>
        </w:rPr>
        <w:t xml:space="preserve"> and Thelen</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2005, </w:t>
      </w:r>
      <w:r w:rsidR="00AD6F07" w:rsidRPr="005234EE">
        <w:rPr>
          <w:rFonts w:ascii="Calibri" w:hAnsi="Calibri"/>
          <w:color w:val="000000" w:themeColor="text1"/>
          <w:lang w:val="en-GB"/>
        </w:rPr>
        <w:t>pp.</w:t>
      </w:r>
      <w:r w:rsidRPr="005234EE">
        <w:rPr>
          <w:rFonts w:ascii="Calibri" w:hAnsi="Calibri"/>
          <w:color w:val="000000" w:themeColor="text1"/>
          <w:lang w:val="en-GB"/>
        </w:rPr>
        <w:t xml:space="preserve">19-20).  Instead, breakup or resilience of PSO is a relevant factor in the kind of processes through which </w:t>
      </w:r>
      <w:r w:rsidRPr="005234EE">
        <w:rPr>
          <w:rFonts w:ascii="Calibri" w:hAnsi="Calibri"/>
          <w:color w:val="000000" w:themeColor="text1"/>
          <w:lang w:val="en-GB"/>
        </w:rPr>
        <w:lastRenderedPageBreak/>
        <w:t>systems (their form of governing) can degenerate or – alternatively - sustain and evolve governance capacities in the face of strain.</w:t>
      </w:r>
      <w:r w:rsidRPr="005234EE">
        <w:rPr>
          <w:rStyle w:val="EndnoteReference"/>
          <w:rFonts w:ascii="Calibri" w:hAnsi="Calibri"/>
          <w:color w:val="000000" w:themeColor="text1"/>
          <w:lang w:val="en-GB"/>
        </w:rPr>
        <w:endnoteReference w:id="8"/>
      </w:r>
      <w:r w:rsidRPr="005234EE">
        <w:rPr>
          <w:rFonts w:ascii="Calibri" w:hAnsi="Calibri"/>
          <w:color w:val="000000" w:themeColor="text1"/>
          <w:lang w:val="en-GB"/>
        </w:rPr>
        <w:t xml:space="preserve"> In other words, I offer an explanation for when and why ‘displacement’ and especially ‘exhaustion’ of the function of institutions (processes discussed in Streeck</w:t>
      </w:r>
      <w:r w:rsidR="00DA12FB" w:rsidRPr="005234EE">
        <w:rPr>
          <w:rFonts w:ascii="Calibri" w:hAnsi="Calibri"/>
          <w:color w:val="000000" w:themeColor="text1"/>
          <w:lang w:val="en-GB"/>
        </w:rPr>
        <w:t xml:space="preserve"> and Thelen</w:t>
      </w:r>
      <w:r w:rsidR="00AD6F07" w:rsidRPr="005234EE">
        <w:rPr>
          <w:rFonts w:ascii="Calibri" w:hAnsi="Calibri"/>
          <w:color w:val="000000" w:themeColor="text1"/>
          <w:lang w:val="en-GB"/>
        </w:rPr>
        <w:t>,</w:t>
      </w:r>
      <w:r w:rsidRPr="005234EE">
        <w:rPr>
          <w:rFonts w:ascii="Calibri" w:hAnsi="Calibri"/>
          <w:color w:val="000000" w:themeColor="text1"/>
          <w:lang w:val="en-GB"/>
        </w:rPr>
        <w:t xml:space="preserve"> 2005, </w:t>
      </w:r>
      <w:r w:rsidR="00AD6F07" w:rsidRPr="005234EE">
        <w:rPr>
          <w:rFonts w:ascii="Calibri" w:hAnsi="Calibri"/>
          <w:color w:val="000000" w:themeColor="text1"/>
          <w:lang w:val="en-GB"/>
        </w:rPr>
        <w:t>p.</w:t>
      </w:r>
      <w:r w:rsidRPr="005234EE">
        <w:rPr>
          <w:rFonts w:ascii="Calibri" w:hAnsi="Calibri"/>
          <w:color w:val="000000" w:themeColor="text1"/>
          <w:lang w:val="en-GB"/>
        </w:rPr>
        <w:t xml:space="preserve">19) occur. I argue that when mechanisms of inclusivity are corroding, and governing capacity and coherence unravel, as manifest in the UK after the 1980s, institutions’ functions are progressively exhausted as capacities for delivering protection of human development are weakened. A consequence I explore below is that the governing of human economy is informalised and rendered beyond public reach. In comparison, the sanctions system in Denmark is geared to maintain inclusion, albeit in a new, more punitive paternalist </w:t>
      </w:r>
      <w:r w:rsidR="00F21BC5">
        <w:rPr>
          <w:rFonts w:ascii="Calibri" w:hAnsi="Calibri"/>
          <w:color w:val="000000" w:themeColor="text1"/>
          <w:lang w:val="en-GB"/>
        </w:rPr>
        <w:t>form. I discuss this below</w:t>
      </w:r>
      <w:r w:rsidRPr="005234EE">
        <w:rPr>
          <w:rFonts w:ascii="Calibri" w:hAnsi="Calibri"/>
          <w:color w:val="000000" w:themeColor="text1"/>
          <w:lang w:val="en-GB"/>
        </w:rPr>
        <w:t xml:space="preserve">. </w:t>
      </w:r>
    </w:p>
    <w:p w14:paraId="17694559" w14:textId="77777777" w:rsidR="009116FE" w:rsidRPr="005234EE" w:rsidRDefault="009116FE" w:rsidP="002450DA">
      <w:pPr>
        <w:spacing w:after="200" w:line="276" w:lineRule="auto"/>
        <w:rPr>
          <w:rFonts w:ascii="Calibri" w:hAnsi="Calibri"/>
          <w:color w:val="000000" w:themeColor="text1"/>
          <w:lang w:val="en-GB"/>
        </w:rPr>
      </w:pPr>
    </w:p>
    <w:p w14:paraId="3C96351C" w14:textId="77777777" w:rsidR="009116FE" w:rsidRPr="005234EE" w:rsidRDefault="009116FE" w:rsidP="00F83C9B">
      <w:pPr>
        <w:ind w:left="-397" w:right="-397"/>
        <w:jc w:val="both"/>
        <w:outlineLvl w:val="0"/>
        <w:rPr>
          <w:rFonts w:ascii="Calibri" w:hAnsi="Calibri"/>
          <w:color w:val="000000" w:themeColor="text1"/>
          <w:lang w:val="en-GB"/>
        </w:rPr>
      </w:pPr>
      <w:r w:rsidRPr="005234EE">
        <w:rPr>
          <w:rFonts w:ascii="Calibri" w:hAnsi="Calibri"/>
          <w:color w:val="000000" w:themeColor="text1"/>
          <w:lang w:val="en-GB"/>
        </w:rPr>
        <w:t>3. Governing Liberalisation: Unravelling and Resilience in the United Kingdom and Denmark</w:t>
      </w:r>
    </w:p>
    <w:p w14:paraId="69803B7A" w14:textId="77777777" w:rsidR="009116FE" w:rsidRPr="005234EE" w:rsidRDefault="009116FE" w:rsidP="002450DA">
      <w:pPr>
        <w:ind w:left="-397" w:right="-397"/>
        <w:jc w:val="both"/>
        <w:rPr>
          <w:rFonts w:ascii="Calibri" w:hAnsi="Calibri"/>
          <w:color w:val="000000" w:themeColor="text1"/>
          <w:lang w:val="en-GB"/>
        </w:rPr>
      </w:pPr>
    </w:p>
    <w:p w14:paraId="77769C05" w14:textId="75291FA3" w:rsidR="009116FE" w:rsidRPr="005234EE" w:rsidRDefault="009116FE" w:rsidP="006A123B">
      <w:pPr>
        <w:pStyle w:val="FootnoteText"/>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 xml:space="preserve">Engaging Thelen’s (2009, </w:t>
      </w:r>
      <w:r w:rsidR="00B57122" w:rsidRPr="005234EE">
        <w:rPr>
          <w:rFonts w:ascii="Calibri" w:hAnsi="Calibri" w:cs="Times New Roman"/>
          <w:color w:val="000000" w:themeColor="text1"/>
          <w:lang w:val="en-GB"/>
        </w:rPr>
        <w:t>p.</w:t>
      </w:r>
      <w:r w:rsidRPr="005234EE">
        <w:rPr>
          <w:rFonts w:ascii="Calibri" w:hAnsi="Calibri" w:cs="Times New Roman"/>
          <w:color w:val="000000" w:themeColor="text1"/>
          <w:lang w:val="en-GB"/>
        </w:rPr>
        <w:t>475) argument that abrupt change involves survival (and return) or breakdown (and replacement) I maintain that abrupt change, and risk of long-term unravelling of capacity,  are  more likely where systems lack coherence in terms of responsiveness to human economy. The welfare state literature has shown that Nordic states are capable of a high level of coordination between areas of policy (Korpi and Palme</w:t>
      </w:r>
      <w:r w:rsidR="00B57122"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1998</w:t>
      </w:r>
      <w:r w:rsidR="00B57122"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w:t>
      </w:r>
      <w:commentRangeStart w:id="9"/>
      <w:r w:rsidRPr="005234EE">
        <w:rPr>
          <w:rFonts w:ascii="Calibri" w:hAnsi="Calibri" w:cs="Times New Roman"/>
          <w:color w:val="000000" w:themeColor="text1"/>
          <w:lang w:val="en-GB"/>
        </w:rPr>
        <w:t>Rothstein</w:t>
      </w:r>
      <w:r w:rsidR="00B57122" w:rsidRPr="005234EE">
        <w:rPr>
          <w:rFonts w:ascii="Calibri" w:hAnsi="Calibri" w:cs="Times New Roman"/>
          <w:color w:val="000000" w:themeColor="text1"/>
          <w:lang w:val="en-GB"/>
        </w:rPr>
        <w:t>,</w:t>
      </w:r>
      <w:r w:rsidR="003447BF">
        <w:rPr>
          <w:rFonts w:ascii="Calibri" w:hAnsi="Calibri" w:cs="Times New Roman"/>
          <w:color w:val="000000" w:themeColor="text1"/>
          <w:lang w:val="en-GB"/>
        </w:rPr>
        <w:t xml:space="preserve"> 199</w:t>
      </w:r>
      <w:r w:rsidRPr="005234EE">
        <w:rPr>
          <w:rFonts w:ascii="Calibri" w:hAnsi="Calibri" w:cs="Times New Roman"/>
          <w:color w:val="000000" w:themeColor="text1"/>
          <w:lang w:val="en-GB"/>
        </w:rPr>
        <w:t>8</w:t>
      </w:r>
      <w:commentRangeEnd w:id="9"/>
      <w:r w:rsidR="00DA12FB" w:rsidRPr="005234EE">
        <w:rPr>
          <w:rStyle w:val="CommentReference"/>
          <w:rFonts w:ascii="Calibri" w:hAnsi="Calibri"/>
          <w:sz w:val="24"/>
          <w:szCs w:val="24"/>
        </w:rPr>
        <w:commentReference w:id="9"/>
      </w:r>
      <w:r w:rsidR="00B57122"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w:t>
      </w:r>
      <w:commentRangeStart w:id="10"/>
      <w:r w:rsidRPr="005234EE">
        <w:rPr>
          <w:rFonts w:ascii="Calibri" w:hAnsi="Calibri" w:cs="Times New Roman"/>
          <w:color w:val="000000" w:themeColor="text1"/>
          <w:lang w:val="en-GB"/>
        </w:rPr>
        <w:t>Ringen</w:t>
      </w:r>
      <w:r w:rsidR="00B57122"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2009</w:t>
      </w:r>
      <w:commentRangeEnd w:id="10"/>
      <w:r w:rsidR="00DA12FB" w:rsidRPr="005234EE">
        <w:rPr>
          <w:rStyle w:val="CommentReference"/>
          <w:rFonts w:ascii="Calibri" w:hAnsi="Calibri"/>
          <w:sz w:val="24"/>
          <w:szCs w:val="24"/>
        </w:rPr>
        <w:commentReference w:id="10"/>
      </w:r>
      <w:r w:rsidR="00B57122"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w:t>
      </w:r>
      <w:r w:rsidR="00B57122" w:rsidRPr="005234EE">
        <w:rPr>
          <w:rFonts w:ascii="Calibri" w:hAnsi="Calibri" w:cs="Times New Roman"/>
          <w:color w:val="000000" w:themeColor="text1"/>
          <w:lang w:val="en-GB"/>
        </w:rPr>
        <w:t>p.</w:t>
      </w:r>
      <w:r w:rsidRPr="005234EE">
        <w:rPr>
          <w:rFonts w:ascii="Calibri" w:hAnsi="Calibri" w:cs="Times New Roman"/>
          <w:color w:val="000000" w:themeColor="text1"/>
          <w:lang w:val="en-GB"/>
        </w:rPr>
        <w:t>73; Kongshøj-Madsen</w:t>
      </w:r>
      <w:r w:rsidR="00B57122"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2003). I explain these kinds of effects in terms of responsiveness to human economy, and as involving processes of deepening of democratic development of governing.  Whereas in past work I have examined the effect of public regulation in enabling overall control over time</w:t>
      </w:r>
      <w:r w:rsidR="00B57122" w:rsidRPr="005234EE">
        <w:rPr>
          <w:rFonts w:ascii="Calibri" w:hAnsi="Calibri" w:cs="Times New Roman"/>
          <w:color w:val="000000" w:themeColor="text1"/>
          <w:lang w:val="en-GB"/>
        </w:rPr>
        <w:t xml:space="preserve"> (Haagh, 2011a; 2012; 2015, p.65-7)</w:t>
      </w:r>
      <w:r w:rsidRPr="005234EE">
        <w:rPr>
          <w:rFonts w:ascii="Calibri" w:hAnsi="Calibri" w:cs="Times New Roman"/>
          <w:color w:val="000000" w:themeColor="text1"/>
          <w:lang w:val="en-GB"/>
        </w:rPr>
        <w:t xml:space="preserve">, here I want to look at long-run impacts of coherence in governance on the state itself in the context of ‘back-stop’ services that cannot be cut away, yet have been put under strain by recent reforms. In this context, ways the phenomenon </w:t>
      </w:r>
      <w:r w:rsidRPr="005234EE">
        <w:rPr>
          <w:rFonts w:ascii="Calibri" w:hAnsi="Calibri"/>
          <w:color w:val="000000" w:themeColor="text1"/>
          <w:lang w:val="en-GB"/>
        </w:rPr>
        <w:t>of coherence can be approached include assessing (i) how the public and private sector interact in provision, (ii) how certain human development outcomes are a result of policies in different sectors, and (iii) how systemic changes shape policies, including how the outcome of previous policies changes the capacity and orientation of governing institutions and actors.</w:t>
      </w:r>
    </w:p>
    <w:p w14:paraId="1C4C70D1" w14:textId="77777777" w:rsidR="009116FE" w:rsidRPr="005234EE" w:rsidRDefault="009116FE" w:rsidP="008E6E81">
      <w:pPr>
        <w:ind w:right="-397"/>
        <w:jc w:val="both"/>
        <w:rPr>
          <w:rFonts w:ascii="Calibri" w:hAnsi="Calibri"/>
          <w:color w:val="000000" w:themeColor="text1"/>
          <w:lang w:val="en-GB"/>
        </w:rPr>
      </w:pPr>
    </w:p>
    <w:p w14:paraId="3B90C549" w14:textId="77777777" w:rsidR="009116FE" w:rsidRPr="005234EE" w:rsidRDefault="009116FE" w:rsidP="008E6E81">
      <w:pPr>
        <w:pStyle w:val="ListParagraph"/>
        <w:ind w:left="-397" w:right="-397"/>
        <w:jc w:val="both"/>
        <w:rPr>
          <w:rFonts w:ascii="Calibri" w:hAnsi="Calibri" w:cs="Times New Roman"/>
          <w:color w:val="000000" w:themeColor="text1"/>
          <w:lang w:val="en-GB"/>
        </w:rPr>
      </w:pPr>
    </w:p>
    <w:p w14:paraId="3BED66AC" w14:textId="57F28591" w:rsidR="009116FE" w:rsidRPr="005234EE" w:rsidRDefault="009116FE" w:rsidP="008E6E81">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3.1 Deregulation, Marketization and Unravelling of Governance Capacity</w:t>
      </w:r>
    </w:p>
    <w:p w14:paraId="1D88B691" w14:textId="77777777" w:rsidR="009116FE" w:rsidRPr="005234EE" w:rsidRDefault="009116FE" w:rsidP="008E6E81">
      <w:pPr>
        <w:pStyle w:val="ListParagraph"/>
        <w:ind w:left="-397" w:right="-397"/>
        <w:jc w:val="both"/>
        <w:rPr>
          <w:rFonts w:ascii="Calibri" w:hAnsi="Calibri" w:cs="Times New Roman"/>
          <w:color w:val="000000" w:themeColor="text1"/>
          <w:lang w:val="en-GB"/>
        </w:rPr>
      </w:pPr>
    </w:p>
    <w:p w14:paraId="20D0A99A" w14:textId="60B24586" w:rsidR="009116FE" w:rsidRPr="005234EE" w:rsidRDefault="009116FE" w:rsidP="00511EFA">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The political polarisation that preceded radical state-led marketisation in countries like Chile and Britain in the 1970s and 1980s indicates that such programmes are more likely where the state is relatively dis-embedded from society.  In the British case, Thatcher could not pursue privatisation of health or schooling, or dismantle income support in a democratic context of high public support of core public welfare services (Pierson</w:t>
      </w:r>
      <w:r w:rsidR="00A4301B"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1994; Hay and Farrall, 2014). On the other hand, labour market institutions were relatively less embedded within in social policy. This created the basis for incremental transformation of economic institutions through reform of labour laws, and privatisation of other areas of state asset ownership, followed by changes to the design of housing, labour market and income security policy, and finally governance changes within the public sector. By contrast, in Denmark a diversified structure of public state ownership of the economy in terms of regulatory scope and services coverage, and embedding of labour market institutions within social policy, presented</w:t>
      </w:r>
      <w:r w:rsidR="00A4301B" w:rsidRPr="005234EE">
        <w:rPr>
          <w:rFonts w:ascii="Calibri" w:hAnsi="Calibri" w:cs="Times New Roman"/>
          <w:color w:val="000000" w:themeColor="text1"/>
          <w:lang w:val="en-GB"/>
        </w:rPr>
        <w:t xml:space="preserve"> </w:t>
      </w:r>
      <w:r w:rsidRPr="005234EE">
        <w:rPr>
          <w:rFonts w:ascii="Calibri" w:hAnsi="Calibri" w:cs="Times New Roman"/>
          <w:color w:val="000000" w:themeColor="text1"/>
          <w:lang w:val="en-GB"/>
        </w:rPr>
        <w:t>constraints on change</w:t>
      </w:r>
      <w:r w:rsidR="00A4301B" w:rsidRPr="005234EE">
        <w:rPr>
          <w:rFonts w:ascii="Calibri" w:hAnsi="Calibri" w:cs="Times New Roman"/>
          <w:color w:val="000000" w:themeColor="text1"/>
          <w:lang w:val="en-GB"/>
        </w:rPr>
        <w:t>.</w:t>
      </w:r>
      <w:r w:rsidRPr="005234EE" w:rsidDel="00511EFA">
        <w:rPr>
          <w:rFonts w:ascii="Calibri" w:hAnsi="Calibri" w:cs="Times New Roman"/>
          <w:color w:val="000000" w:themeColor="text1"/>
          <w:lang w:val="en-GB"/>
        </w:rPr>
        <w:t xml:space="preserve"> </w:t>
      </w:r>
    </w:p>
    <w:p w14:paraId="00073305" w14:textId="77777777" w:rsidR="009116FE" w:rsidRPr="005234EE" w:rsidRDefault="009116FE" w:rsidP="00D551D7">
      <w:pPr>
        <w:pStyle w:val="ListParagraph"/>
        <w:ind w:left="-397" w:right="-397"/>
        <w:jc w:val="both"/>
        <w:rPr>
          <w:rFonts w:ascii="Calibri" w:hAnsi="Calibri" w:cs="Times New Roman"/>
          <w:color w:val="000000" w:themeColor="text1"/>
          <w:lang w:val="en-GB"/>
        </w:rPr>
      </w:pPr>
    </w:p>
    <w:p w14:paraId="35E437CE" w14:textId="45691DC9" w:rsidR="009116FE" w:rsidRPr="005234EE" w:rsidRDefault="009116FE" w:rsidP="00E26C29">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 xml:space="preserve">Looking at the unravelling over time of public governance in Britain, we can identify five stages, as follows: First, a deregulation of developmental protections; second, a loss of state control and rising </w:t>
      </w:r>
      <w:r w:rsidRPr="005234EE">
        <w:rPr>
          <w:rFonts w:ascii="Calibri" w:hAnsi="Calibri" w:cs="Times New Roman"/>
          <w:color w:val="000000" w:themeColor="text1"/>
          <w:lang w:val="en-GB"/>
        </w:rPr>
        <w:lastRenderedPageBreak/>
        <w:t xml:space="preserve">inequality; third, an entrenchment of precarity, including via and within the public sector; fourth, greater commercialisation of governance and intensification of state control; and fifth, a rise in the informalisation of governance and social exclusion. Below I give mainly indicative examples of the first three stages, in order to hone in on the last two overlapping sequences through more focussed analysis of public administration of income support and benefit sanctions. </w:t>
      </w:r>
    </w:p>
    <w:p w14:paraId="0F3DACDC" w14:textId="77777777" w:rsidR="009116FE" w:rsidRPr="005234EE" w:rsidRDefault="009116FE" w:rsidP="008E6E81">
      <w:pPr>
        <w:ind w:right="-397"/>
        <w:jc w:val="both"/>
        <w:rPr>
          <w:rFonts w:ascii="Calibri" w:hAnsi="Calibri"/>
          <w:color w:val="000000" w:themeColor="text1"/>
          <w:lang w:val="en-GB"/>
        </w:rPr>
      </w:pPr>
    </w:p>
    <w:p w14:paraId="4C1D314A" w14:textId="5C9E74A7" w:rsidR="009116FE" w:rsidRPr="005234EE" w:rsidRDefault="009116FE" w:rsidP="008E6E81">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Policies to nationally equalise access to training (Finegold and Soskice</w:t>
      </w:r>
      <w:r w:rsidR="00A4301B"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1988), and enable purchase of council housing introduced under Margaret Thatcher, may be viewed as attempts to promote social inclusion and broadening access to private property (Hay and Farrall, 2014).  However, removal of rent control, flattening of income security (Clasen</w:t>
      </w:r>
      <w:r w:rsidR="00A4301B"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2001), roll-back of employment rights, and of development policy, and privatisation, contributed to unravelling of regulatory capacity (Crouch</w:t>
      </w:r>
      <w:r w:rsidR="00A4301B"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2011, </w:t>
      </w:r>
      <w:r w:rsidR="00A4301B" w:rsidRPr="005234EE">
        <w:rPr>
          <w:rFonts w:ascii="Calibri" w:hAnsi="Calibri" w:cs="Times New Roman"/>
          <w:color w:val="000000" w:themeColor="text1"/>
          <w:lang w:val="en-GB"/>
        </w:rPr>
        <w:t>pp.</w:t>
      </w:r>
      <w:r w:rsidRPr="005234EE">
        <w:rPr>
          <w:rFonts w:ascii="Calibri" w:hAnsi="Calibri" w:cs="Times New Roman"/>
          <w:color w:val="000000" w:themeColor="text1"/>
          <w:lang w:val="en-GB"/>
        </w:rPr>
        <w:t xml:space="preserve">78-84). In housing, private landlords could benefit from public commitment to protected housing in a now deregulated housing market with soaring prices (Murie, 2014, </w:t>
      </w:r>
      <w:r w:rsidR="00A4301B" w:rsidRPr="005234EE">
        <w:rPr>
          <w:rFonts w:ascii="Calibri" w:hAnsi="Calibri" w:cs="Times New Roman"/>
          <w:color w:val="000000" w:themeColor="text1"/>
          <w:lang w:val="en-GB"/>
        </w:rPr>
        <w:t>pp.</w:t>
      </w:r>
      <w:r w:rsidRPr="005234EE">
        <w:rPr>
          <w:rFonts w:ascii="Calibri" w:hAnsi="Calibri" w:cs="Times New Roman"/>
          <w:color w:val="000000" w:themeColor="text1"/>
          <w:lang w:val="en-GB"/>
        </w:rPr>
        <w:t>153-</w:t>
      </w:r>
      <w:r w:rsidR="00A4301B" w:rsidRPr="005234EE">
        <w:rPr>
          <w:rFonts w:ascii="Calibri" w:hAnsi="Calibri" w:cs="Times New Roman"/>
          <w:color w:val="000000" w:themeColor="text1"/>
          <w:lang w:val="en-GB"/>
        </w:rPr>
        <w:t>15</w:t>
      </w:r>
      <w:r w:rsidRPr="005234EE">
        <w:rPr>
          <w:rFonts w:ascii="Calibri" w:hAnsi="Calibri" w:cs="Times New Roman"/>
          <w:color w:val="000000" w:themeColor="text1"/>
          <w:lang w:val="en-GB"/>
        </w:rPr>
        <w:t>6).</w:t>
      </w:r>
      <w:r w:rsidRPr="005234EE">
        <w:rPr>
          <w:rStyle w:val="EndnoteReference"/>
          <w:rFonts w:ascii="Calibri" w:hAnsi="Calibri" w:cs="Times New Roman"/>
          <w:color w:val="000000" w:themeColor="text1"/>
          <w:lang w:val="en-GB"/>
        </w:rPr>
        <w:endnoteReference w:id="9"/>
      </w:r>
      <w:r w:rsidRPr="005234EE">
        <w:rPr>
          <w:rFonts w:ascii="Calibri" w:hAnsi="Calibri" w:cs="Times New Roman"/>
          <w:color w:val="000000" w:themeColor="text1"/>
          <w:lang w:val="en-GB"/>
        </w:rPr>
        <w:t xml:space="preserve"> Whereas in Denmark regulation of employment and housing rental costs has helped contain the level and sustain the effectiveness of public spending, in Britain the relation of spend between income security and housing benefit became heavily skewed.</w:t>
      </w:r>
      <w:r w:rsidRPr="005234EE">
        <w:rPr>
          <w:rStyle w:val="EndnoteReference"/>
          <w:rFonts w:ascii="Calibri" w:hAnsi="Calibri" w:cs="Times New Roman"/>
          <w:color w:val="000000" w:themeColor="text1"/>
          <w:lang w:val="en-GB"/>
        </w:rPr>
        <w:t xml:space="preserve"> </w:t>
      </w:r>
      <w:r w:rsidRPr="005234EE">
        <w:rPr>
          <w:rStyle w:val="EndnoteReference"/>
          <w:rFonts w:ascii="Calibri" w:hAnsi="Calibri" w:cs="Times New Roman"/>
          <w:color w:val="000000" w:themeColor="text1"/>
          <w:lang w:val="en-GB"/>
        </w:rPr>
        <w:endnoteReference w:id="10"/>
      </w:r>
      <w:r w:rsidRPr="005234EE">
        <w:rPr>
          <w:rStyle w:val="EndnoteReference"/>
          <w:rFonts w:ascii="Calibri" w:hAnsi="Calibri" w:cs="Times New Roman"/>
          <w:color w:val="000000" w:themeColor="text1"/>
          <w:lang w:val="en-GB"/>
        </w:rPr>
        <w:t xml:space="preserve"> </w:t>
      </w:r>
      <w:r w:rsidRPr="005234EE">
        <w:rPr>
          <w:rFonts w:ascii="Calibri" w:hAnsi="Calibri" w:cs="Times New Roman"/>
          <w:color w:val="000000" w:themeColor="text1"/>
          <w:lang w:val="en-GB"/>
        </w:rPr>
        <w:t>In the labour market, a gradual erosion of real wages left the public sector with no alternative but to subsidize wages costs across the board through in-work subsidies.</w:t>
      </w:r>
      <w:r w:rsidRPr="005234EE">
        <w:rPr>
          <w:rStyle w:val="EndnoteReference"/>
          <w:rFonts w:ascii="Calibri" w:hAnsi="Calibri" w:cs="Times New Roman"/>
          <w:color w:val="000000" w:themeColor="text1"/>
          <w:lang w:val="en-GB"/>
        </w:rPr>
        <w:endnoteReference w:id="11"/>
      </w:r>
      <w:r w:rsidRPr="005234EE">
        <w:rPr>
          <w:rFonts w:ascii="Calibri" w:hAnsi="Calibri" w:cs="Times New Roman"/>
          <w:color w:val="000000" w:themeColor="text1"/>
          <w:lang w:val="en-GB"/>
        </w:rPr>
        <w:t xml:space="preserve"> </w:t>
      </w:r>
    </w:p>
    <w:p w14:paraId="16F8B4A9" w14:textId="77777777" w:rsidR="009116FE" w:rsidRPr="005234EE" w:rsidRDefault="009116FE" w:rsidP="008E6E81">
      <w:pPr>
        <w:pStyle w:val="ListParagraph"/>
        <w:ind w:left="-397" w:right="-397"/>
        <w:jc w:val="both"/>
        <w:rPr>
          <w:rFonts w:ascii="Calibri" w:hAnsi="Calibri" w:cs="Times New Roman"/>
          <w:color w:val="000000" w:themeColor="text1"/>
          <w:lang w:val="en-GB"/>
        </w:rPr>
      </w:pPr>
    </w:p>
    <w:p w14:paraId="489A64A1" w14:textId="77777777" w:rsidR="009116FE" w:rsidRPr="005234EE" w:rsidRDefault="009116FE" w:rsidP="008E6E81">
      <w:pPr>
        <w:pStyle w:val="ListParagraph"/>
        <w:ind w:left="-397" w:right="-397"/>
        <w:jc w:val="both"/>
        <w:rPr>
          <w:rFonts w:ascii="Calibri" w:hAnsi="Calibri" w:cs="Times New Roman"/>
          <w:color w:val="000000" w:themeColor="text1"/>
          <w:lang w:val="en-GB"/>
        </w:rPr>
      </w:pPr>
    </w:p>
    <w:p w14:paraId="5E376387" w14:textId="41548F14" w:rsidR="009116FE" w:rsidRPr="005234EE" w:rsidRDefault="009116FE" w:rsidP="00F83C9B">
      <w:pPr>
        <w:pStyle w:val="ListParagraph"/>
        <w:ind w:left="-397" w:right="-397"/>
        <w:jc w:val="both"/>
        <w:outlineLvl w:val="0"/>
        <w:rPr>
          <w:rFonts w:ascii="Calibri" w:hAnsi="Calibri" w:cs="Times New Roman"/>
          <w:color w:val="000000" w:themeColor="text1"/>
          <w:lang w:val="en-GB"/>
        </w:rPr>
      </w:pPr>
      <w:r w:rsidRPr="005234EE">
        <w:rPr>
          <w:rFonts w:ascii="Calibri" w:hAnsi="Calibri" w:cs="Times New Roman"/>
          <w:color w:val="000000" w:themeColor="text1"/>
          <w:lang w:val="en-GB"/>
        </w:rPr>
        <w:t xml:space="preserve">3.2 Inequality and Regulatory Control </w:t>
      </w:r>
    </w:p>
    <w:p w14:paraId="0DF20B5C" w14:textId="77777777" w:rsidR="009116FE" w:rsidRPr="005234EE" w:rsidRDefault="009116FE" w:rsidP="008E6E81">
      <w:pPr>
        <w:pStyle w:val="ListParagraph"/>
        <w:ind w:left="-397" w:right="-397"/>
        <w:jc w:val="both"/>
        <w:rPr>
          <w:rFonts w:ascii="Calibri" w:hAnsi="Calibri" w:cs="Times New Roman"/>
          <w:color w:val="000000" w:themeColor="text1"/>
          <w:lang w:val="en-GB"/>
        </w:rPr>
      </w:pPr>
    </w:p>
    <w:p w14:paraId="19AA8FAE" w14:textId="6DCCE41B" w:rsidR="009116FE" w:rsidRPr="005234EE" w:rsidRDefault="009116FE" w:rsidP="008E6E81">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In a second stage of unravelling, the state seeks to attain parity with private provision through raising spending, but growing inequality of resourcing undermines its effectiveness. In Nordic states, direct subsidy of privately governed schools to a level of between 85 and 100 % of their costs have been employed to ensure the level of fees is contained (Haagh</w:t>
      </w:r>
      <w:r w:rsidR="00A4301B"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2015, </w:t>
      </w:r>
      <w:r w:rsidR="00A4301B" w:rsidRPr="005234EE">
        <w:rPr>
          <w:rFonts w:ascii="Calibri" w:hAnsi="Calibri" w:cs="Times New Roman"/>
          <w:color w:val="000000" w:themeColor="text1"/>
          <w:lang w:val="en-GB"/>
        </w:rPr>
        <w:t>pp.</w:t>
      </w:r>
      <w:r w:rsidRPr="005234EE">
        <w:rPr>
          <w:rFonts w:ascii="Calibri" w:hAnsi="Calibri" w:cs="Times New Roman"/>
          <w:color w:val="000000" w:themeColor="text1"/>
          <w:lang w:val="en-GB"/>
        </w:rPr>
        <w:t>66-68). States have used regulatory powers to minimise processes of commercialisation and competition, for instance by containing or banning ability testing and teaching, and delaying exams (Steinmo</w:t>
      </w:r>
      <w:r w:rsidR="00A4301B"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2010, </w:t>
      </w:r>
      <w:r w:rsidR="00A4301B" w:rsidRPr="005234EE">
        <w:rPr>
          <w:rFonts w:ascii="Calibri" w:hAnsi="Calibri" w:cs="Times New Roman"/>
          <w:color w:val="000000" w:themeColor="text1"/>
          <w:lang w:val="en-GB"/>
        </w:rPr>
        <w:t>pp.</w:t>
      </w:r>
      <w:r w:rsidRPr="005234EE">
        <w:rPr>
          <w:rFonts w:ascii="Calibri" w:hAnsi="Calibri" w:cs="Times New Roman"/>
          <w:color w:val="000000" w:themeColor="text1"/>
          <w:lang w:val="en-GB"/>
        </w:rPr>
        <w:t>71-73). The result has been to generate public support for funding of diverse occupational choice. As an example, in the 1990s over 40 per cent of school leavers in Denmark entered the tripartite apprenticeship system (</w:t>
      </w:r>
      <w:commentRangeStart w:id="11"/>
      <w:r w:rsidRPr="005234EE">
        <w:rPr>
          <w:rFonts w:ascii="Calibri" w:hAnsi="Calibri" w:cs="Times New Roman"/>
          <w:color w:val="000000" w:themeColor="text1"/>
          <w:lang w:val="en-GB"/>
        </w:rPr>
        <w:t>Anker</w:t>
      </w:r>
      <w:r w:rsidR="00A4301B"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1998</w:t>
      </w:r>
      <w:commentRangeEnd w:id="11"/>
      <w:r w:rsidR="00A2234E" w:rsidRPr="005234EE">
        <w:rPr>
          <w:rStyle w:val="CommentReference"/>
          <w:rFonts w:ascii="Calibri" w:hAnsi="Calibri"/>
          <w:sz w:val="24"/>
          <w:szCs w:val="24"/>
        </w:rPr>
        <w:commentReference w:id="11"/>
      </w:r>
      <w:r w:rsidRPr="005234EE">
        <w:rPr>
          <w:rFonts w:ascii="Calibri" w:hAnsi="Calibri" w:cs="Times New Roman"/>
          <w:color w:val="000000" w:themeColor="text1"/>
          <w:lang w:val="en-GB"/>
        </w:rPr>
        <w:t>). Whilst this number has since fallen in favour of academic subjects, a government target of 30 per cent of youth in apprenticeship by 2030 (Hansen</w:t>
      </w:r>
      <w:r w:rsidR="00A4301B"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2017) demonstrates a continuing intent to promote a diversified menu of occupational opportunities.</w:t>
      </w:r>
    </w:p>
    <w:p w14:paraId="3F56D616" w14:textId="77777777" w:rsidR="009116FE" w:rsidRPr="005234EE" w:rsidRDefault="009116FE" w:rsidP="008E6E81">
      <w:pPr>
        <w:ind w:right="-397"/>
        <w:jc w:val="both"/>
        <w:rPr>
          <w:rFonts w:ascii="Calibri" w:hAnsi="Calibri"/>
          <w:color w:val="000000" w:themeColor="text1"/>
          <w:lang w:val="en-GB"/>
        </w:rPr>
      </w:pPr>
    </w:p>
    <w:p w14:paraId="015FD599" w14:textId="1F11C78C"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In comparison, in Britain a systemic disconnect between education, training, and development policy is remarkable for its persistence. According to Thelen’s detailed account</w:t>
      </w:r>
      <w:r w:rsidR="00A2234E" w:rsidRPr="005234EE">
        <w:rPr>
          <w:rFonts w:ascii="Calibri" w:hAnsi="Calibri"/>
          <w:color w:val="000000" w:themeColor="text1"/>
          <w:lang w:val="en-GB"/>
        </w:rPr>
        <w:t xml:space="preserve"> (2004)</w:t>
      </w:r>
      <w:r w:rsidRPr="005234EE">
        <w:rPr>
          <w:rFonts w:ascii="Calibri" w:hAnsi="Calibri"/>
          <w:color w:val="000000" w:themeColor="text1"/>
          <w:lang w:val="en-GB"/>
        </w:rPr>
        <w:t>, cited earlier, at the turn of the 19</w:t>
      </w:r>
      <w:r w:rsidRPr="005234EE">
        <w:rPr>
          <w:rFonts w:ascii="Calibri" w:hAnsi="Calibri"/>
          <w:color w:val="000000" w:themeColor="text1"/>
          <w:vertAlign w:val="superscript"/>
          <w:lang w:val="en-GB"/>
        </w:rPr>
        <w:t>th</w:t>
      </w:r>
      <w:r w:rsidRPr="005234EE">
        <w:rPr>
          <w:rFonts w:ascii="Calibri" w:hAnsi="Calibri"/>
          <w:color w:val="000000" w:themeColor="text1"/>
          <w:lang w:val="en-GB"/>
        </w:rPr>
        <w:t xml:space="preserve"> century, a state of “Proletarianization” of apprentices (</w:t>
      </w:r>
      <w:r w:rsidR="00A4301B" w:rsidRPr="005234EE">
        <w:rPr>
          <w:rFonts w:ascii="Calibri" w:hAnsi="Calibri"/>
          <w:color w:val="000000" w:themeColor="text1"/>
          <w:lang w:val="en-GB"/>
        </w:rPr>
        <w:t>p.</w:t>
      </w:r>
      <w:r w:rsidRPr="005234EE">
        <w:rPr>
          <w:rFonts w:ascii="Calibri" w:hAnsi="Calibri"/>
          <w:color w:val="000000" w:themeColor="text1"/>
          <w:lang w:val="en-GB"/>
        </w:rPr>
        <w:t>112) was already well-established. As Finegold and Soskice (1988) document, this tendency did not change during the postwar Golden Age of state intervention. A first real attempt at coordinated state policy, under Thatcher, reportedly failed on account of the (now entrenched) short-term perspective of British firms (</w:t>
      </w:r>
      <w:r w:rsidR="00A2234E" w:rsidRPr="005234EE">
        <w:rPr>
          <w:rFonts w:ascii="Calibri" w:hAnsi="Calibri"/>
          <w:color w:val="000000" w:themeColor="text1"/>
          <w:lang w:val="en-GB"/>
        </w:rPr>
        <w:t>Finegold and Soskice</w:t>
      </w:r>
      <w:r w:rsidRPr="005234EE">
        <w:rPr>
          <w:rFonts w:ascii="Calibri" w:hAnsi="Calibri"/>
          <w:color w:val="000000" w:themeColor="text1"/>
          <w:lang w:val="en-GB"/>
        </w:rPr>
        <w:t xml:space="preserve">, </w:t>
      </w:r>
      <w:r w:rsidR="00A2234E" w:rsidRPr="005234EE">
        <w:rPr>
          <w:rFonts w:ascii="Calibri" w:hAnsi="Calibri"/>
          <w:color w:val="000000" w:themeColor="text1"/>
          <w:lang w:val="en-GB"/>
        </w:rPr>
        <w:t xml:space="preserve">1998, </w:t>
      </w:r>
      <w:r w:rsidR="00A4301B" w:rsidRPr="005234EE">
        <w:rPr>
          <w:rFonts w:ascii="Calibri" w:hAnsi="Calibri"/>
          <w:color w:val="000000" w:themeColor="text1"/>
          <w:lang w:val="en-GB"/>
        </w:rPr>
        <w:t>pp.</w:t>
      </w:r>
      <w:r w:rsidRPr="005234EE">
        <w:rPr>
          <w:rFonts w:ascii="Calibri" w:hAnsi="Calibri"/>
          <w:color w:val="000000" w:themeColor="text1"/>
          <w:lang w:val="en-GB"/>
        </w:rPr>
        <w:t xml:space="preserve">29-36).  </w:t>
      </w:r>
    </w:p>
    <w:p w14:paraId="54920C9F" w14:textId="77777777" w:rsidR="009116FE" w:rsidRPr="005234EE" w:rsidRDefault="009116FE" w:rsidP="008E6E81">
      <w:pPr>
        <w:ind w:right="-397"/>
        <w:jc w:val="both"/>
        <w:rPr>
          <w:rFonts w:ascii="Calibri" w:hAnsi="Calibri"/>
          <w:color w:val="000000" w:themeColor="text1"/>
          <w:lang w:val="en-GB"/>
        </w:rPr>
      </w:pPr>
    </w:p>
    <w:p w14:paraId="01FB18E4" w14:textId="4B3F6887"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In education more broadly conceived, non-intervention manifests historically in the way regulatory independence of private schools has been preserved by a system of indirect subsidy through tax deductions enabled by private schools’ foundation as charitable trusts (Sutton Trust</w:t>
      </w:r>
      <w:r w:rsidR="00A4301B" w:rsidRPr="005234EE">
        <w:rPr>
          <w:rFonts w:ascii="Calibri" w:hAnsi="Calibri"/>
          <w:color w:val="000000" w:themeColor="text1"/>
          <w:lang w:val="en-GB"/>
        </w:rPr>
        <w:t>,</w:t>
      </w:r>
      <w:r w:rsidRPr="005234EE">
        <w:rPr>
          <w:rFonts w:ascii="Calibri" w:hAnsi="Calibri"/>
          <w:color w:val="000000" w:themeColor="text1"/>
          <w:lang w:val="en-GB"/>
        </w:rPr>
        <w:t xml:space="preserve"> </w:t>
      </w:r>
      <w:commentRangeStart w:id="12"/>
      <w:r w:rsidRPr="005234EE">
        <w:rPr>
          <w:rFonts w:ascii="Calibri" w:hAnsi="Calibri"/>
          <w:color w:val="000000" w:themeColor="text1"/>
          <w:lang w:val="en-GB"/>
        </w:rPr>
        <w:t>2007</w:t>
      </w:r>
      <w:commentRangeEnd w:id="12"/>
      <w:r w:rsidR="00125087" w:rsidRPr="005234EE">
        <w:rPr>
          <w:rStyle w:val="CommentReference"/>
          <w:rFonts w:ascii="Calibri" w:hAnsi="Calibri" w:cstheme="minorBidi"/>
          <w:sz w:val="24"/>
          <w:szCs w:val="24"/>
        </w:rPr>
        <w:commentReference w:id="12"/>
      </w:r>
      <w:r w:rsidR="00A4301B" w:rsidRPr="005234EE">
        <w:rPr>
          <w:rFonts w:ascii="Calibri" w:hAnsi="Calibri"/>
          <w:color w:val="000000" w:themeColor="text1"/>
          <w:lang w:val="en-GB"/>
        </w:rPr>
        <w:t>;</w:t>
      </w:r>
      <w:r w:rsidRPr="005234EE">
        <w:rPr>
          <w:rFonts w:ascii="Calibri" w:hAnsi="Calibri"/>
          <w:color w:val="000000" w:themeColor="text1"/>
          <w:lang w:val="en-GB"/>
        </w:rPr>
        <w:t xml:space="preserve"> 2009). Whereas in the 1990s and 2000s, public investment remained stable in Denmark (at a higher level), under Labour, Britain saw one of the fastest increases in public investment into state schooling among </w:t>
      </w:r>
      <w:r w:rsidRPr="005234EE">
        <w:rPr>
          <w:rFonts w:ascii="Calibri" w:hAnsi="Calibri"/>
          <w:color w:val="000000" w:themeColor="text1"/>
          <w:lang w:val="en-GB"/>
        </w:rPr>
        <w:lastRenderedPageBreak/>
        <w:t>OECD states (at 146 per cent, OECD</w:t>
      </w:r>
      <w:r w:rsidR="00A4301B" w:rsidRPr="005234EE">
        <w:rPr>
          <w:rFonts w:ascii="Calibri" w:hAnsi="Calibri"/>
          <w:color w:val="000000" w:themeColor="text1"/>
          <w:lang w:val="en-GB"/>
        </w:rPr>
        <w:t>,</w:t>
      </w:r>
      <w:r w:rsidRPr="005234EE">
        <w:rPr>
          <w:rFonts w:ascii="Calibri" w:hAnsi="Calibri"/>
          <w:color w:val="000000" w:themeColor="text1"/>
          <w:lang w:val="en-GB"/>
        </w:rPr>
        <w:t xml:space="preserve"> 2008</w:t>
      </w:r>
      <w:r w:rsidR="00A4301B" w:rsidRPr="005234EE">
        <w:rPr>
          <w:rFonts w:ascii="Calibri" w:hAnsi="Calibri"/>
          <w:color w:val="000000" w:themeColor="text1"/>
          <w:lang w:val="en-GB"/>
        </w:rPr>
        <w:t>;</w:t>
      </w:r>
      <w:r w:rsidRPr="005234EE">
        <w:rPr>
          <w:rFonts w:ascii="Calibri" w:hAnsi="Calibri"/>
          <w:color w:val="000000" w:themeColor="text1"/>
          <w:lang w:val="en-GB"/>
        </w:rPr>
        <w:t xml:space="preserve"> Haagh</w:t>
      </w:r>
      <w:r w:rsidR="00A4301B" w:rsidRPr="005234EE">
        <w:rPr>
          <w:rFonts w:ascii="Calibri" w:hAnsi="Calibri"/>
          <w:color w:val="000000" w:themeColor="text1"/>
          <w:lang w:val="en-GB"/>
        </w:rPr>
        <w:t>,</w:t>
      </w:r>
      <w:r w:rsidRPr="005234EE">
        <w:rPr>
          <w:rFonts w:ascii="Calibri" w:hAnsi="Calibri"/>
          <w:color w:val="000000" w:themeColor="text1"/>
          <w:lang w:val="en-GB"/>
        </w:rPr>
        <w:t xml:space="preserve"> 2015, </w:t>
      </w:r>
      <w:r w:rsidR="00A4301B" w:rsidRPr="005234EE">
        <w:rPr>
          <w:rFonts w:ascii="Calibri" w:hAnsi="Calibri"/>
          <w:color w:val="000000" w:themeColor="text1"/>
          <w:lang w:val="en-GB"/>
        </w:rPr>
        <w:t>pp.</w:t>
      </w:r>
      <w:r w:rsidRPr="005234EE">
        <w:rPr>
          <w:rFonts w:ascii="Calibri" w:hAnsi="Calibri"/>
          <w:color w:val="000000" w:themeColor="text1"/>
          <w:lang w:val="en-GB"/>
        </w:rPr>
        <w:t>66-68). However, key indicators of inequality in and through education worsened.</w:t>
      </w:r>
      <w:r w:rsidRPr="005234EE">
        <w:rPr>
          <w:rStyle w:val="EndnoteReference"/>
          <w:rFonts w:ascii="Calibri" w:hAnsi="Calibri"/>
          <w:color w:val="000000" w:themeColor="text1"/>
          <w:lang w:val="en-GB"/>
        </w:rPr>
        <w:endnoteReference w:id="12"/>
      </w:r>
      <w:r w:rsidRPr="005234EE">
        <w:rPr>
          <w:rFonts w:ascii="Calibri" w:hAnsi="Calibri"/>
          <w:color w:val="000000" w:themeColor="text1"/>
          <w:lang w:val="en-GB"/>
        </w:rPr>
        <w:t xml:space="preserve"> At a certain point the state exhausted its ability to spend its way into competition with the fee-paying sector (Haagh, 2012, </w:t>
      </w:r>
      <w:r w:rsidR="00A4301B" w:rsidRPr="005234EE">
        <w:rPr>
          <w:rFonts w:ascii="Calibri" w:hAnsi="Calibri"/>
          <w:color w:val="000000" w:themeColor="text1"/>
          <w:lang w:val="en-GB"/>
        </w:rPr>
        <w:t>p.</w:t>
      </w:r>
      <w:r w:rsidRPr="005234EE">
        <w:rPr>
          <w:rFonts w:ascii="Calibri" w:hAnsi="Calibri"/>
          <w:color w:val="000000" w:themeColor="text1"/>
          <w:lang w:val="en-GB"/>
        </w:rPr>
        <w:t xml:space="preserve">584). </w:t>
      </w:r>
    </w:p>
    <w:p w14:paraId="18F69BB4" w14:textId="77777777" w:rsidR="009116FE" w:rsidRPr="005234EE" w:rsidRDefault="009116FE" w:rsidP="008E6E81">
      <w:pPr>
        <w:ind w:right="-397"/>
        <w:jc w:val="both"/>
        <w:rPr>
          <w:rFonts w:ascii="Calibri" w:hAnsi="Calibri"/>
          <w:color w:val="000000" w:themeColor="text1"/>
          <w:lang w:val="en-GB"/>
        </w:rPr>
      </w:pPr>
    </w:p>
    <w:p w14:paraId="47BFF6B3" w14:textId="77777777" w:rsidR="009116FE" w:rsidRPr="005234EE" w:rsidRDefault="009116FE" w:rsidP="008E6E81">
      <w:pPr>
        <w:pStyle w:val="ListParagraph"/>
        <w:ind w:left="-397" w:right="-397"/>
        <w:jc w:val="both"/>
        <w:rPr>
          <w:rFonts w:ascii="Calibri" w:hAnsi="Calibri" w:cs="Times New Roman"/>
          <w:color w:val="000000" w:themeColor="text1"/>
          <w:lang w:val="en-GB"/>
        </w:rPr>
      </w:pPr>
    </w:p>
    <w:p w14:paraId="2A680540" w14:textId="6401D82B" w:rsidR="009116FE" w:rsidRPr="005234EE" w:rsidRDefault="009116FE" w:rsidP="00F83C9B">
      <w:pPr>
        <w:pStyle w:val="ListParagraph"/>
        <w:ind w:left="-397" w:right="-397"/>
        <w:jc w:val="both"/>
        <w:outlineLvl w:val="0"/>
        <w:rPr>
          <w:rFonts w:ascii="Calibri" w:hAnsi="Calibri" w:cs="Times New Roman"/>
          <w:color w:val="000000" w:themeColor="text1"/>
          <w:lang w:val="en-GB"/>
        </w:rPr>
      </w:pPr>
      <w:r w:rsidRPr="005234EE">
        <w:rPr>
          <w:rFonts w:ascii="Calibri" w:hAnsi="Calibri" w:cs="Times New Roman"/>
          <w:color w:val="000000" w:themeColor="text1"/>
          <w:lang w:val="en-GB"/>
        </w:rPr>
        <w:t xml:space="preserve">3.3 Entrenchment of Precarity within the State </w:t>
      </w:r>
    </w:p>
    <w:p w14:paraId="739E2204" w14:textId="77777777" w:rsidR="009116FE" w:rsidRPr="005234EE" w:rsidRDefault="009116FE" w:rsidP="008E6E81">
      <w:pPr>
        <w:pStyle w:val="ListParagraph"/>
        <w:ind w:left="-397" w:right="-397"/>
        <w:jc w:val="both"/>
        <w:rPr>
          <w:rFonts w:ascii="Calibri" w:hAnsi="Calibri" w:cs="Times New Roman"/>
          <w:color w:val="000000" w:themeColor="text1"/>
          <w:lang w:val="en-GB"/>
        </w:rPr>
      </w:pPr>
    </w:p>
    <w:p w14:paraId="148BF562" w14:textId="6DBDA131" w:rsidR="009116FE" w:rsidRPr="005234EE" w:rsidRDefault="009116FE" w:rsidP="000F0FCB">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Inability to effect change and contain inequality by spending or regulatory means sets the scene for a third stage of unravelling which I link with ways the state intensifies commercialisation processes in the governance of its own services. In education, this stage is exemplified by introduction of internal markets and a new ratings system, ostensibly to raise standards. An effect, however, of this effort to individualise responsibility, and prove performance, is to weaken and stratify institutional sources of freedom and governance. Among the ways state schools responded to incentives was greater emphasis on teaching in ability groups or classes and from the earliest age setting, and so in effect delimiting, achievement targets (Sutton Trust</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2014a). Under this approach, a student who enters secondary school with an E in a given subject can be made to interact with other Es, whatever the reason for the E, and may be  taught early on to aspire for D or C. Ultimately, the implication is to make public education a vehicle of reproducing stratification between and within generations (Haagh</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2011a</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2012</w:t>
      </w:r>
      <w:r w:rsidR="00F21BC5">
        <w:rPr>
          <w:rFonts w:ascii="Calibri" w:hAnsi="Calibri" w:cs="Times New Roman"/>
          <w:color w:val="000000" w:themeColor="text1"/>
          <w:lang w:val="en-GB"/>
        </w:rPr>
        <w:t>b</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2015).  </w:t>
      </w:r>
    </w:p>
    <w:p w14:paraId="585162E1" w14:textId="77777777" w:rsidR="009116FE" w:rsidRPr="005234EE" w:rsidRDefault="009116FE" w:rsidP="008E6E81">
      <w:pPr>
        <w:ind w:right="-397"/>
        <w:jc w:val="both"/>
        <w:rPr>
          <w:rFonts w:ascii="Calibri" w:hAnsi="Calibri"/>
          <w:color w:val="000000" w:themeColor="text1"/>
          <w:lang w:val="en-GB"/>
        </w:rPr>
      </w:pPr>
    </w:p>
    <w:p w14:paraId="454B2702" w14:textId="4654B721" w:rsidR="009116FE" w:rsidRPr="005234EE" w:rsidRDefault="009116FE" w:rsidP="008E6E81">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Fragmentation of employment systems, both public and private, offers another window into the third stage of unravelling that I link with corrosion within the public sector itself. To exemplify, although an intention of the deregulation of labour law in the 1980s in Britain was to enable flexibility for small business, over time large companies, public and private, became the dominant users.</w:t>
      </w:r>
      <w:r w:rsidRPr="005234EE">
        <w:rPr>
          <w:rStyle w:val="EndnoteReference"/>
          <w:rFonts w:ascii="Calibri" w:hAnsi="Calibri" w:cs="Times New Roman"/>
          <w:color w:val="000000" w:themeColor="text1"/>
          <w:lang w:val="en-GB"/>
        </w:rPr>
        <w:endnoteReference w:id="13"/>
      </w:r>
      <w:r w:rsidRPr="005234EE">
        <w:rPr>
          <w:rFonts w:ascii="Calibri" w:hAnsi="Calibri" w:cs="Times New Roman"/>
          <w:color w:val="000000" w:themeColor="text1"/>
          <w:lang w:val="en-GB"/>
        </w:rPr>
        <w:t xml:space="preserve"> In the British National Health Service, unravelling of governance is illustrated in the way an unfolding tiering of different occupation economies adds up to a broadly incoherent pattern. On the one hand, the health service is unable to train and recruit nurses, on the other hand, it faces excessive costs in making up the short-fall by hiring agency nurses. A parallel trend of rapid growth in the use of zero-hours contracts is propelled by the need to meet short-term and (by unit) fragmented financial targets, but undercuts skills and staff morale (Williams</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2014</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w:t>
      </w:r>
      <w:r w:rsidR="00C8612E" w:rsidRPr="005234EE">
        <w:rPr>
          <w:rFonts w:ascii="Calibri" w:hAnsi="Calibri" w:cs="Times New Roman"/>
          <w:color w:val="000000" w:themeColor="text1"/>
          <w:lang w:val="en-GB"/>
        </w:rPr>
        <w:t>The Guardian</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2015). According to a leading commercial healthcare sector lawyer, zero-hour economies create a system in which it becomes in employers’ interests for staff to not perform well.</w:t>
      </w:r>
      <w:r w:rsidRPr="005234EE">
        <w:rPr>
          <w:rStyle w:val="EndnoteReference"/>
          <w:rFonts w:ascii="Calibri" w:hAnsi="Calibri" w:cs="Times New Roman"/>
          <w:color w:val="000000" w:themeColor="text1"/>
          <w:lang w:val="en-GB"/>
        </w:rPr>
        <w:endnoteReference w:id="14"/>
      </w:r>
    </w:p>
    <w:p w14:paraId="7976C1D2" w14:textId="77777777" w:rsidR="009116FE" w:rsidRPr="005234EE" w:rsidRDefault="009116FE" w:rsidP="00E24AB1">
      <w:pPr>
        <w:pStyle w:val="ListParagraph"/>
        <w:ind w:left="-397" w:right="-397"/>
        <w:jc w:val="both"/>
        <w:rPr>
          <w:rFonts w:ascii="Calibri" w:hAnsi="Calibri" w:cs="Times New Roman"/>
          <w:color w:val="000000" w:themeColor="text1"/>
          <w:lang w:val="en-GB"/>
        </w:rPr>
      </w:pPr>
    </w:p>
    <w:p w14:paraId="4E385E0F" w14:textId="7F8395AE" w:rsidR="009116FE" w:rsidRPr="005234EE" w:rsidRDefault="009116FE" w:rsidP="00E24AB1">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In conclusion to this section, a weakening of public governance following extensive deregulatory reforms in Britain has been a source of ineffectiveness of individual areas of policy.  Ultimately, reliance on courts to resolve legal omissions in government policy is an indication of weak democratic responsiveness to human economy, represented in failure to prevent and solve disputes through everyday governing of work processes.</w:t>
      </w:r>
      <w:r w:rsidRPr="005234EE">
        <w:rPr>
          <w:rStyle w:val="EndnoteReference"/>
          <w:rFonts w:ascii="Calibri" w:hAnsi="Calibri" w:cs="Times New Roman"/>
          <w:color w:val="000000" w:themeColor="text1"/>
          <w:lang w:val="en-GB"/>
        </w:rPr>
        <w:t xml:space="preserve"> </w:t>
      </w:r>
      <w:r w:rsidRPr="005234EE">
        <w:rPr>
          <w:rStyle w:val="EndnoteReference"/>
          <w:rFonts w:ascii="Calibri" w:hAnsi="Calibri" w:cs="Times New Roman"/>
          <w:color w:val="000000" w:themeColor="text1"/>
          <w:lang w:val="en-GB"/>
        </w:rPr>
        <w:endnoteReference w:id="15"/>
      </w:r>
      <w:r w:rsidRPr="005234EE">
        <w:rPr>
          <w:rFonts w:ascii="Calibri" w:hAnsi="Calibri" w:cs="Times New Roman"/>
          <w:color w:val="000000" w:themeColor="text1"/>
          <w:lang w:val="en-GB"/>
        </w:rPr>
        <w:t xml:space="preserve"> Having to action rights weakens the force of rights, and discriminates against the most vulnerable (Haagh</w:t>
      </w:r>
      <w:r w:rsidR="00B35437" w:rsidRPr="005234EE">
        <w:rPr>
          <w:rFonts w:ascii="Calibri" w:hAnsi="Calibri" w:cs="Times New Roman"/>
          <w:color w:val="000000" w:themeColor="text1"/>
          <w:lang w:val="en-GB"/>
        </w:rPr>
        <w:t>,</w:t>
      </w:r>
      <w:r w:rsidR="00F21BC5">
        <w:rPr>
          <w:rFonts w:ascii="Calibri" w:hAnsi="Calibri" w:cs="Times New Roman"/>
          <w:color w:val="000000" w:themeColor="text1"/>
          <w:lang w:val="en-GB"/>
        </w:rPr>
        <w:t xml:space="preserve"> 2019a</w:t>
      </w:r>
      <w:r w:rsidRPr="005234EE">
        <w:rPr>
          <w:rFonts w:ascii="Calibri" w:hAnsi="Calibri" w:cs="Times New Roman"/>
          <w:color w:val="000000" w:themeColor="text1"/>
          <w:lang w:val="en-GB"/>
        </w:rPr>
        <w:t xml:space="preserve">). A fourth stage of unravelling can be linked with ways that loss of capacity reinforces punitive designs and effects of governance, as I examine next. </w:t>
      </w:r>
    </w:p>
    <w:p w14:paraId="7D5558B0" w14:textId="77777777" w:rsidR="009116FE" w:rsidRPr="005234EE" w:rsidRDefault="009116FE" w:rsidP="00E24AB1">
      <w:pPr>
        <w:ind w:right="-397"/>
        <w:jc w:val="both"/>
        <w:rPr>
          <w:rFonts w:ascii="Calibri" w:hAnsi="Calibri"/>
          <w:color w:val="000000" w:themeColor="text1"/>
          <w:lang w:val="en-GB"/>
        </w:rPr>
      </w:pPr>
    </w:p>
    <w:p w14:paraId="79681D04" w14:textId="77777777" w:rsidR="009116FE" w:rsidRPr="005234EE" w:rsidRDefault="009116FE" w:rsidP="008E6E81">
      <w:pPr>
        <w:pStyle w:val="ListParagraph"/>
        <w:ind w:left="-397" w:right="-397"/>
        <w:jc w:val="both"/>
        <w:rPr>
          <w:rFonts w:ascii="Calibri" w:hAnsi="Calibri" w:cs="Times New Roman"/>
          <w:color w:val="000000" w:themeColor="text1"/>
          <w:lang w:val="en-GB"/>
        </w:rPr>
      </w:pPr>
    </w:p>
    <w:p w14:paraId="2A2E0BE1" w14:textId="3A709CE6" w:rsidR="009116FE" w:rsidRPr="005234EE" w:rsidRDefault="009116FE" w:rsidP="00F83C9B">
      <w:pPr>
        <w:pStyle w:val="ListParagraph"/>
        <w:ind w:left="-397" w:right="-397"/>
        <w:jc w:val="both"/>
        <w:outlineLvl w:val="0"/>
        <w:rPr>
          <w:rFonts w:ascii="Calibri" w:hAnsi="Calibri" w:cs="Times New Roman"/>
          <w:color w:val="000000" w:themeColor="text1"/>
          <w:lang w:val="en-GB"/>
        </w:rPr>
      </w:pPr>
      <w:r w:rsidRPr="005234EE">
        <w:rPr>
          <w:rFonts w:ascii="Calibri" w:hAnsi="Calibri" w:cs="Times New Roman"/>
          <w:color w:val="000000" w:themeColor="text1"/>
          <w:lang w:val="en-GB"/>
        </w:rPr>
        <w:t>4. Punitive Governance and Institutional Stock: Benefit Sanctions and Corrosion of Rights in Denmark and Britain</w:t>
      </w:r>
    </w:p>
    <w:p w14:paraId="438A8018" w14:textId="77777777" w:rsidR="009116FE" w:rsidRPr="005234EE" w:rsidRDefault="009116FE" w:rsidP="008E6E81">
      <w:pPr>
        <w:pStyle w:val="ListParagraph"/>
        <w:ind w:left="-397" w:right="-397"/>
        <w:jc w:val="both"/>
        <w:rPr>
          <w:rFonts w:ascii="Calibri" w:hAnsi="Calibri" w:cs="Times New Roman"/>
          <w:color w:val="000000" w:themeColor="text1"/>
          <w:lang w:val="en-GB"/>
        </w:rPr>
      </w:pPr>
    </w:p>
    <w:p w14:paraId="3360EBE4" w14:textId="6FAB005E" w:rsidR="009116FE" w:rsidRPr="005234EE" w:rsidRDefault="009116FE" w:rsidP="008E6E81">
      <w:pPr>
        <w:pStyle w:val="ListParagraph"/>
        <w:ind w:left="-397" w:right="-397"/>
        <w:jc w:val="both"/>
        <w:rPr>
          <w:rFonts w:ascii="Calibri" w:hAnsi="Calibri" w:cs="Times New Roman"/>
          <w:b/>
          <w:color w:val="000000" w:themeColor="text1"/>
          <w:lang w:val="en-GB"/>
        </w:rPr>
      </w:pPr>
      <w:r w:rsidRPr="005234EE">
        <w:rPr>
          <w:rFonts w:ascii="Calibri" w:hAnsi="Calibri" w:cs="Times New Roman"/>
          <w:color w:val="000000" w:themeColor="text1"/>
          <w:lang w:val="en-GB"/>
        </w:rPr>
        <w:lastRenderedPageBreak/>
        <w:t>The rise of punitive governance is best examined in the context of services designed to protect the most vulnerable groups and social states against market risk. Exposure to similar global economic pressures and policy trends has led Britain and Denmark to adopt similar policies, however with different effect. Specifically, since the late 1990s, Denmark and Britain have both moved toward a greater reliance on benefit sanctions, and both have been argued to operate an intense sanctions regime (OECD</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2012). </w:t>
      </w:r>
    </w:p>
    <w:p w14:paraId="28465522" w14:textId="77777777" w:rsidR="009116FE" w:rsidRPr="005234EE" w:rsidRDefault="009116FE" w:rsidP="008E6E81">
      <w:pPr>
        <w:ind w:left="-397" w:right="-397"/>
        <w:jc w:val="both"/>
        <w:rPr>
          <w:rFonts w:ascii="Calibri" w:hAnsi="Calibri"/>
          <w:color w:val="000000" w:themeColor="text1"/>
          <w:lang w:val="en-GB"/>
        </w:rPr>
      </w:pPr>
    </w:p>
    <w:p w14:paraId="2D3CC1E2" w14:textId="39A527F0"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After a slow incline since the 1980s, between 2001 and 2013, in Britain benefit sanctions and disqualifications grew by 246 % (Adler</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2016, </w:t>
      </w:r>
      <w:r w:rsidR="00B35437" w:rsidRPr="005234EE">
        <w:rPr>
          <w:rFonts w:ascii="Calibri" w:hAnsi="Calibri"/>
          <w:color w:val="000000" w:themeColor="text1"/>
          <w:lang w:val="en-GB"/>
        </w:rPr>
        <w:t>p.</w:t>
      </w:r>
      <w:r w:rsidRPr="005234EE">
        <w:rPr>
          <w:rFonts w:ascii="Calibri" w:hAnsi="Calibri"/>
          <w:color w:val="000000" w:themeColor="text1"/>
          <w:lang w:val="en-GB"/>
        </w:rPr>
        <w:t xml:space="preserve">209). According to the National Audit Office (Department of Work and Pensions, 2016, </w:t>
      </w:r>
      <w:r w:rsidR="00B35437" w:rsidRPr="005234EE">
        <w:rPr>
          <w:rFonts w:ascii="Calibri" w:hAnsi="Calibri"/>
          <w:color w:val="000000" w:themeColor="text1"/>
          <w:lang w:val="en-GB"/>
        </w:rPr>
        <w:t>p.</w:t>
      </w:r>
      <w:r w:rsidRPr="005234EE">
        <w:rPr>
          <w:rFonts w:ascii="Calibri" w:hAnsi="Calibri"/>
          <w:color w:val="000000" w:themeColor="text1"/>
          <w:lang w:val="en-GB"/>
        </w:rPr>
        <w:t>1) 24 % of Job-Seekers’ Allowance claimants between 1</w:t>
      </w:r>
      <w:r w:rsidRPr="005234EE">
        <w:rPr>
          <w:rFonts w:ascii="Calibri" w:hAnsi="Calibri"/>
          <w:color w:val="000000" w:themeColor="text1"/>
          <w:vertAlign w:val="superscript"/>
          <w:lang w:val="en-GB"/>
        </w:rPr>
        <w:t>st</w:t>
      </w:r>
      <w:r w:rsidRPr="005234EE">
        <w:rPr>
          <w:rFonts w:ascii="Calibri" w:hAnsi="Calibri"/>
          <w:color w:val="000000" w:themeColor="text1"/>
          <w:lang w:val="en-GB"/>
        </w:rPr>
        <w:t xml:space="preserve"> January 2010 and June 2016 had been sanctioned.</w:t>
      </w:r>
    </w:p>
    <w:p w14:paraId="0EE6CE5A" w14:textId="77777777" w:rsidR="009116FE" w:rsidRPr="005234EE" w:rsidRDefault="009116FE" w:rsidP="008E6E81">
      <w:pPr>
        <w:ind w:left="-397" w:right="-397"/>
        <w:jc w:val="both"/>
        <w:rPr>
          <w:rFonts w:ascii="Calibri" w:hAnsi="Calibri"/>
          <w:color w:val="000000" w:themeColor="text1"/>
          <w:lang w:val="en-GB"/>
        </w:rPr>
      </w:pPr>
    </w:p>
    <w:p w14:paraId="2F23A194" w14:textId="71E9FB66" w:rsidR="009116FE" w:rsidRPr="005234EE" w:rsidRDefault="009116FE" w:rsidP="000E1471">
      <w:pPr>
        <w:ind w:left="-397" w:right="-397"/>
        <w:jc w:val="both"/>
        <w:rPr>
          <w:rFonts w:ascii="Calibri" w:hAnsi="Calibri"/>
          <w:color w:val="000000" w:themeColor="text1"/>
          <w:lang w:val="en-GB"/>
        </w:rPr>
      </w:pPr>
      <w:r w:rsidRPr="005234EE">
        <w:rPr>
          <w:rFonts w:ascii="Calibri" w:hAnsi="Calibri"/>
          <w:color w:val="000000" w:themeColor="text1"/>
          <w:lang w:val="en-GB"/>
        </w:rPr>
        <w:t>Denmark also saw a conservative turn in social policy (Torfing</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2004; </w:t>
      </w:r>
      <w:r w:rsidR="004C77FD">
        <w:rPr>
          <w:rFonts w:ascii="Calibri" w:hAnsi="Calibri"/>
          <w:color w:val="000000" w:themeColor="text1"/>
          <w:lang w:val="en-GB"/>
        </w:rPr>
        <w:t xml:space="preserve">Goul </w:t>
      </w:r>
      <w:commentRangeStart w:id="13"/>
      <w:r w:rsidRPr="005234EE">
        <w:rPr>
          <w:rFonts w:ascii="Calibri" w:hAnsi="Calibri"/>
          <w:color w:val="000000" w:themeColor="text1"/>
          <w:lang w:val="en-GB"/>
        </w:rPr>
        <w:t>Andersen</w:t>
      </w:r>
      <w:r w:rsidR="00B35437" w:rsidRPr="005234EE">
        <w:rPr>
          <w:rFonts w:ascii="Calibri" w:hAnsi="Calibri"/>
          <w:color w:val="000000" w:themeColor="text1"/>
          <w:lang w:val="en-GB"/>
        </w:rPr>
        <w:t xml:space="preserve"> et al.,</w:t>
      </w:r>
      <w:r w:rsidRPr="005234EE">
        <w:rPr>
          <w:rFonts w:ascii="Calibri" w:hAnsi="Calibri"/>
          <w:color w:val="000000" w:themeColor="text1"/>
          <w:lang w:val="en-GB"/>
        </w:rPr>
        <w:t xml:space="preserve"> 2003</w:t>
      </w:r>
      <w:commentRangeEnd w:id="13"/>
      <w:r w:rsidR="00F83C9B" w:rsidRPr="005234EE">
        <w:rPr>
          <w:rStyle w:val="CommentReference"/>
          <w:rFonts w:ascii="Calibri" w:hAnsi="Calibri" w:cstheme="minorBidi"/>
          <w:sz w:val="24"/>
          <w:szCs w:val="24"/>
        </w:rPr>
        <w:commentReference w:id="13"/>
      </w:r>
      <w:r w:rsidR="00B35437" w:rsidRPr="005234EE">
        <w:rPr>
          <w:rFonts w:ascii="Calibri" w:hAnsi="Calibri"/>
          <w:color w:val="000000" w:themeColor="text1"/>
          <w:lang w:val="en-GB"/>
        </w:rPr>
        <w:t>;</w:t>
      </w:r>
      <w:r w:rsidRPr="005234EE">
        <w:rPr>
          <w:rFonts w:ascii="Calibri" w:hAnsi="Calibri"/>
          <w:color w:val="000000" w:themeColor="text1"/>
          <w:lang w:val="en-GB"/>
        </w:rPr>
        <w:t xml:space="preserve"> Haagh</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2001</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Caswell</w:t>
      </w:r>
      <w:r w:rsidR="00B35437" w:rsidRPr="005234EE">
        <w:rPr>
          <w:rFonts w:ascii="Calibri" w:hAnsi="Calibri"/>
          <w:color w:val="000000" w:themeColor="text1"/>
          <w:lang w:val="en-GB"/>
        </w:rPr>
        <w:t xml:space="preserve"> et al.,</w:t>
      </w:r>
      <w:r w:rsidRPr="005234EE">
        <w:rPr>
          <w:rFonts w:ascii="Calibri" w:hAnsi="Calibri"/>
          <w:color w:val="000000" w:themeColor="text1"/>
          <w:lang w:val="en-GB"/>
        </w:rPr>
        <w:t xml:space="preserve"> 2010), with a marked increase in sanctions (Caswell et al</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2011, </w:t>
      </w:r>
      <w:r w:rsidR="00B35437" w:rsidRPr="005234EE">
        <w:rPr>
          <w:rFonts w:ascii="Calibri" w:hAnsi="Calibri"/>
          <w:color w:val="000000" w:themeColor="text1"/>
          <w:lang w:val="en-GB"/>
        </w:rPr>
        <w:t>pp.</w:t>
      </w:r>
      <w:r w:rsidRPr="005234EE">
        <w:rPr>
          <w:rFonts w:ascii="Calibri" w:hAnsi="Calibri"/>
          <w:color w:val="000000" w:themeColor="text1"/>
          <w:lang w:val="en-GB"/>
        </w:rPr>
        <w:t>13-14) in the same period. According to the office of employment in Copenhagen municipality (Københavns Kommune</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2010), from a total of 6,757 sanctions administered per quarter (1</w:t>
      </w:r>
      <w:r w:rsidRPr="005234EE">
        <w:rPr>
          <w:rFonts w:ascii="Calibri" w:hAnsi="Calibri"/>
          <w:color w:val="000000" w:themeColor="text1"/>
          <w:vertAlign w:val="superscript"/>
          <w:lang w:val="en-GB"/>
        </w:rPr>
        <w:t>st</w:t>
      </w:r>
      <w:r w:rsidRPr="005234EE">
        <w:rPr>
          <w:rFonts w:ascii="Calibri" w:hAnsi="Calibri"/>
          <w:color w:val="000000" w:themeColor="text1"/>
          <w:lang w:val="en-GB"/>
        </w:rPr>
        <w:t xml:space="preserve"> quarter) in 2007, the number grew steadily, to 31,705 in 2010, a near five-fold increase. In 2010, the total number of sanctions in Denmark was 137,794, which – at a similar level to the UK at this time - represented 23,6 % of all unemployed. </w:t>
      </w:r>
    </w:p>
    <w:p w14:paraId="35B24D3B" w14:textId="77777777" w:rsidR="009116FE" w:rsidRPr="005234EE" w:rsidRDefault="009116FE" w:rsidP="000E1471">
      <w:pPr>
        <w:ind w:left="-397" w:right="-397"/>
        <w:jc w:val="both"/>
        <w:rPr>
          <w:rFonts w:ascii="Calibri" w:hAnsi="Calibri"/>
          <w:color w:val="000000" w:themeColor="text1"/>
          <w:lang w:val="en-GB"/>
        </w:rPr>
      </w:pPr>
    </w:p>
    <w:p w14:paraId="23731A77" w14:textId="14C174A9"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Their apparent similarity on many measures makes the sanctions regimes in Britain and Denmark a good case for comparison. Below I examine how the ways both regimes are punitive, and ways they change, may be linked to governance capacity within the state.</w:t>
      </w:r>
    </w:p>
    <w:p w14:paraId="11CB15FC" w14:textId="77777777" w:rsidR="009116FE" w:rsidRPr="005234EE" w:rsidRDefault="009116FE" w:rsidP="008E6E81">
      <w:pPr>
        <w:ind w:left="-397" w:right="-397"/>
        <w:jc w:val="both"/>
        <w:rPr>
          <w:rFonts w:ascii="Calibri" w:hAnsi="Calibri"/>
          <w:color w:val="000000" w:themeColor="text1"/>
          <w:lang w:val="en-GB"/>
        </w:rPr>
      </w:pPr>
    </w:p>
    <w:p w14:paraId="3717145A" w14:textId="41B93E2C"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Among relevant factors, indicators of variation of governance capacity I examine are: the role of (i) multi-layered security, (ii) public investment in training and skills, (iii) relative prominence of commercial and developmental logics in public institutions’ design, and (iv) embedding and exercise of public information and law within processes of social resistance and institutional change. These factors interact, and last I discuss their influence in relation to effects of, and changes to, sanctions. </w:t>
      </w:r>
    </w:p>
    <w:p w14:paraId="0B749631" w14:textId="77777777" w:rsidR="009116FE" w:rsidRPr="005234EE" w:rsidRDefault="009116FE" w:rsidP="008E6E81">
      <w:pPr>
        <w:ind w:right="-397"/>
        <w:jc w:val="both"/>
        <w:rPr>
          <w:rFonts w:ascii="Calibri" w:hAnsi="Calibri"/>
          <w:color w:val="000000" w:themeColor="text1"/>
          <w:lang w:val="en-GB"/>
        </w:rPr>
      </w:pPr>
    </w:p>
    <w:p w14:paraId="12B292F2" w14:textId="76122ABF"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In Figure 2, I posit a relationship between governance capacity and governance quality.  Capacity is defined in terms of democratic responsiveness to human economy. In Figure 2, quality is measured in terms of features of employment mediation and sanctions regimes of the UK and Denmark. In Denmark</w:t>
      </w:r>
      <w:r w:rsidR="00F21BC5">
        <w:rPr>
          <w:rFonts w:ascii="Calibri" w:hAnsi="Calibri"/>
          <w:color w:val="000000" w:themeColor="text1"/>
          <w:lang w:val="en-GB"/>
        </w:rPr>
        <w:t>,</w:t>
      </w:r>
      <w:r w:rsidRPr="005234EE">
        <w:rPr>
          <w:rFonts w:ascii="Calibri" w:hAnsi="Calibri"/>
          <w:color w:val="000000" w:themeColor="text1"/>
          <w:lang w:val="en-GB"/>
        </w:rPr>
        <w:t xml:space="preserve"> high capacity pushes the sanctions regime towards a more humane form, although sanctions create a tension within governance. In the UK, an eroding capacity of the state is pushing the sanctions regime towards a more markedly punitive and exclusionary form, in both design and effect. In this context, a unique trait of the Nordic economies’ form of coherent function is thus how welfare and occupational governance mutually lock-in a system of redistribution of developmental security. </w:t>
      </w:r>
    </w:p>
    <w:p w14:paraId="67BC09C8" w14:textId="77777777" w:rsidR="009116FE" w:rsidRPr="005234EE" w:rsidRDefault="009116FE" w:rsidP="008E6E81">
      <w:pPr>
        <w:ind w:left="-397" w:right="-397"/>
        <w:jc w:val="both"/>
        <w:rPr>
          <w:rFonts w:ascii="Calibri" w:hAnsi="Calibri"/>
          <w:color w:val="000000" w:themeColor="text1"/>
          <w:lang w:val="en-GB"/>
        </w:rPr>
      </w:pPr>
    </w:p>
    <w:p w14:paraId="33D01C84" w14:textId="77777777" w:rsidR="009116FE" w:rsidRPr="005234EE" w:rsidRDefault="009116FE" w:rsidP="008E6E81">
      <w:pPr>
        <w:ind w:left="-397" w:right="-397"/>
        <w:jc w:val="both"/>
        <w:rPr>
          <w:rFonts w:ascii="Calibri" w:hAnsi="Calibri"/>
          <w:color w:val="000000" w:themeColor="text1"/>
          <w:lang w:val="en-GB"/>
        </w:rPr>
      </w:pPr>
    </w:p>
    <w:p w14:paraId="51E2CC25" w14:textId="77777777" w:rsidR="009116FE" w:rsidRPr="005234EE" w:rsidRDefault="009116FE" w:rsidP="00F83C9B">
      <w:pPr>
        <w:ind w:left="-397" w:right="-397"/>
        <w:jc w:val="both"/>
        <w:outlineLvl w:val="0"/>
        <w:rPr>
          <w:rFonts w:ascii="Calibri" w:hAnsi="Calibri"/>
          <w:color w:val="000000" w:themeColor="text1"/>
          <w:lang w:val="en-GB"/>
        </w:rPr>
      </w:pPr>
      <w:r w:rsidRPr="005234EE">
        <w:rPr>
          <w:rFonts w:ascii="Calibri" w:hAnsi="Calibri"/>
          <w:color w:val="000000" w:themeColor="text1"/>
          <w:lang w:val="en-GB"/>
        </w:rPr>
        <w:t>Figure 2  Governance capacity and punitive logics</w:t>
      </w:r>
    </w:p>
    <w:p w14:paraId="04BE7944" w14:textId="77777777" w:rsidR="009116FE" w:rsidRPr="005234EE" w:rsidRDefault="009116FE" w:rsidP="008E6E81">
      <w:pPr>
        <w:ind w:left="-397" w:right="-397"/>
        <w:jc w:val="both"/>
        <w:rPr>
          <w:rFonts w:ascii="Calibri" w:hAnsi="Calibri"/>
          <w:color w:val="000000" w:themeColor="text1"/>
          <w:lang w:val="en-GB"/>
        </w:rPr>
      </w:pPr>
    </w:p>
    <w:tbl>
      <w:tblPr>
        <w:tblStyle w:val="TableGrid"/>
        <w:tblW w:w="9294" w:type="dxa"/>
        <w:tblInd w:w="-397" w:type="dxa"/>
        <w:tblLook w:val="04A0" w:firstRow="1" w:lastRow="0" w:firstColumn="1" w:lastColumn="0" w:noHBand="0" w:noVBand="1"/>
      </w:tblPr>
      <w:tblGrid>
        <w:gridCol w:w="1498"/>
        <w:gridCol w:w="1417"/>
        <w:gridCol w:w="2977"/>
        <w:gridCol w:w="3402"/>
      </w:tblGrid>
      <w:tr w:rsidR="009116FE" w:rsidRPr="005234EE" w14:paraId="6DA5CE12" w14:textId="77777777" w:rsidTr="00F73C66">
        <w:trPr>
          <w:trHeight w:val="136"/>
        </w:trPr>
        <w:tc>
          <w:tcPr>
            <w:tcW w:w="2915" w:type="dxa"/>
            <w:gridSpan w:val="2"/>
            <w:vMerge w:val="restart"/>
          </w:tcPr>
          <w:p w14:paraId="1A3EE6AB" w14:textId="77777777" w:rsidR="009116FE" w:rsidRPr="005234EE" w:rsidRDefault="009116FE" w:rsidP="00F73C66">
            <w:pPr>
              <w:ind w:right="-397"/>
              <w:jc w:val="both"/>
              <w:rPr>
                <w:rFonts w:ascii="Calibri" w:hAnsi="Calibri"/>
                <w:color w:val="000000" w:themeColor="text1"/>
                <w:lang w:val="en-GB"/>
              </w:rPr>
            </w:pPr>
          </w:p>
        </w:tc>
        <w:tc>
          <w:tcPr>
            <w:tcW w:w="6379" w:type="dxa"/>
            <w:gridSpan w:val="2"/>
          </w:tcPr>
          <w:p w14:paraId="7A23F41A"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Quality of Governance</w:t>
            </w:r>
          </w:p>
          <w:p w14:paraId="50587C4F"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Treatment</w:t>
            </w:r>
          </w:p>
        </w:tc>
      </w:tr>
      <w:tr w:rsidR="009116FE" w:rsidRPr="005234EE" w14:paraId="536909A5" w14:textId="77777777" w:rsidTr="00F73C66">
        <w:trPr>
          <w:trHeight w:val="136"/>
        </w:trPr>
        <w:tc>
          <w:tcPr>
            <w:tcW w:w="2915" w:type="dxa"/>
            <w:gridSpan w:val="2"/>
            <w:vMerge/>
          </w:tcPr>
          <w:p w14:paraId="0CDF6D8C" w14:textId="77777777" w:rsidR="009116FE" w:rsidRPr="005234EE" w:rsidRDefault="009116FE" w:rsidP="00F73C66">
            <w:pPr>
              <w:ind w:right="-397"/>
              <w:jc w:val="both"/>
              <w:rPr>
                <w:rFonts w:ascii="Calibri" w:hAnsi="Calibri"/>
                <w:color w:val="000000" w:themeColor="text1"/>
                <w:lang w:val="en-GB"/>
              </w:rPr>
            </w:pPr>
          </w:p>
        </w:tc>
        <w:tc>
          <w:tcPr>
            <w:tcW w:w="2977" w:type="dxa"/>
          </w:tcPr>
          <w:p w14:paraId="727A41A3"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Social paternalist</w:t>
            </w:r>
          </w:p>
          <w:p w14:paraId="573509BE" w14:textId="77777777" w:rsidR="009116FE" w:rsidRPr="005234EE" w:rsidRDefault="009116FE" w:rsidP="00F73C66">
            <w:pPr>
              <w:ind w:right="-397"/>
              <w:jc w:val="both"/>
              <w:rPr>
                <w:rFonts w:ascii="Calibri" w:hAnsi="Calibri"/>
                <w:color w:val="000000" w:themeColor="text1"/>
                <w:lang w:val="en-GB"/>
              </w:rPr>
            </w:pPr>
          </w:p>
        </w:tc>
        <w:tc>
          <w:tcPr>
            <w:tcW w:w="3402" w:type="dxa"/>
          </w:tcPr>
          <w:p w14:paraId="28C39DDC"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Market punitive</w:t>
            </w:r>
          </w:p>
          <w:p w14:paraId="738BC09C" w14:textId="77777777" w:rsidR="009116FE" w:rsidRPr="005234EE" w:rsidRDefault="009116FE" w:rsidP="00F73C66">
            <w:pPr>
              <w:ind w:right="-397"/>
              <w:jc w:val="both"/>
              <w:rPr>
                <w:rFonts w:ascii="Calibri" w:hAnsi="Calibri"/>
                <w:color w:val="000000" w:themeColor="text1"/>
                <w:lang w:val="en-GB"/>
              </w:rPr>
            </w:pPr>
          </w:p>
        </w:tc>
      </w:tr>
      <w:tr w:rsidR="009116FE" w:rsidRPr="005234EE" w14:paraId="766C8E52" w14:textId="77777777" w:rsidTr="00F73C66">
        <w:trPr>
          <w:trHeight w:val="1151"/>
        </w:trPr>
        <w:tc>
          <w:tcPr>
            <w:tcW w:w="1498" w:type="dxa"/>
            <w:vMerge w:val="restart"/>
          </w:tcPr>
          <w:p w14:paraId="7FA3EB36" w14:textId="77777777" w:rsidR="009116FE" w:rsidRPr="005234EE" w:rsidRDefault="009116FE" w:rsidP="00F73C66">
            <w:pPr>
              <w:ind w:right="-397"/>
              <w:jc w:val="both"/>
              <w:rPr>
                <w:rFonts w:ascii="Calibri" w:hAnsi="Calibri"/>
                <w:color w:val="000000" w:themeColor="text1"/>
                <w:lang w:val="en-GB"/>
              </w:rPr>
            </w:pPr>
          </w:p>
          <w:p w14:paraId="4E836283" w14:textId="77777777" w:rsidR="009116FE" w:rsidRPr="005234EE" w:rsidRDefault="009116FE" w:rsidP="00F73C66">
            <w:pPr>
              <w:ind w:right="-397"/>
              <w:jc w:val="both"/>
              <w:rPr>
                <w:rFonts w:ascii="Calibri" w:hAnsi="Calibri"/>
                <w:color w:val="000000" w:themeColor="text1"/>
                <w:lang w:val="en-GB"/>
              </w:rPr>
            </w:pPr>
          </w:p>
          <w:p w14:paraId="21672B03" w14:textId="77777777" w:rsidR="009116FE" w:rsidRPr="005234EE" w:rsidRDefault="009116FE" w:rsidP="00F73C66">
            <w:pPr>
              <w:ind w:right="-397"/>
              <w:jc w:val="both"/>
              <w:rPr>
                <w:rFonts w:ascii="Calibri" w:hAnsi="Calibri"/>
                <w:color w:val="000000" w:themeColor="text1"/>
                <w:lang w:val="en-GB"/>
              </w:rPr>
            </w:pPr>
          </w:p>
          <w:p w14:paraId="0DE9C964"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Capacity for </w:t>
            </w:r>
          </w:p>
          <w:p w14:paraId="5CDFB6C0"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Governance</w:t>
            </w:r>
          </w:p>
        </w:tc>
        <w:tc>
          <w:tcPr>
            <w:tcW w:w="1417" w:type="dxa"/>
          </w:tcPr>
          <w:p w14:paraId="0D72D126" w14:textId="77777777" w:rsidR="009116FE" w:rsidRPr="005234EE" w:rsidRDefault="009116FE" w:rsidP="00F73C66">
            <w:pPr>
              <w:ind w:right="-397"/>
              <w:jc w:val="both"/>
              <w:rPr>
                <w:rFonts w:ascii="Calibri" w:hAnsi="Calibri"/>
                <w:color w:val="000000" w:themeColor="text1"/>
                <w:lang w:val="en-GB"/>
              </w:rPr>
            </w:pPr>
          </w:p>
          <w:p w14:paraId="08CE59C7"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Low</w:t>
            </w:r>
          </w:p>
        </w:tc>
        <w:tc>
          <w:tcPr>
            <w:tcW w:w="6379" w:type="dxa"/>
            <w:gridSpan w:val="2"/>
            <w:vMerge w:val="restart"/>
          </w:tcPr>
          <w:p w14:paraId="6F56D8E5" w14:textId="77777777" w:rsidR="009116FE" w:rsidRPr="005234EE" w:rsidRDefault="009116FE" w:rsidP="00F73C66">
            <w:pPr>
              <w:ind w:right="-397"/>
              <w:jc w:val="both"/>
              <w:rPr>
                <w:rFonts w:ascii="Calibri" w:hAnsi="Calibri"/>
                <w:color w:val="000000" w:themeColor="text1"/>
                <w:lang w:val="en-GB"/>
              </w:rPr>
            </w:pPr>
          </w:p>
          <w:p w14:paraId="71CBAC78" w14:textId="77777777" w:rsidR="009116FE" w:rsidRPr="005234EE" w:rsidRDefault="009116FE" w:rsidP="00F73C66">
            <w:pPr>
              <w:ind w:left="-397" w:right="-397"/>
              <w:jc w:val="both"/>
              <w:rPr>
                <w:rFonts w:ascii="Calibri" w:hAnsi="Calibri"/>
                <w:color w:val="000000" w:themeColor="text1"/>
                <w:lang w:val="en-GB"/>
              </w:rPr>
            </w:pPr>
            <w:r w:rsidRPr="005234EE">
              <w:rPr>
                <w:rFonts w:ascii="Calibri" w:hAnsi="Calibri"/>
                <w:color w:val="000000" w:themeColor="text1"/>
                <w:lang w:val="en-GB"/>
              </w:rPr>
              <w:t>UK                                                                                     UK</w:t>
            </w:r>
          </w:p>
          <w:p w14:paraId="2DA46B5C" w14:textId="77777777" w:rsidR="009116FE" w:rsidRPr="005234EE" w:rsidRDefault="009116FE" w:rsidP="00F73C66">
            <w:pPr>
              <w:ind w:left="-397" w:right="-397"/>
              <w:jc w:val="both"/>
              <w:rPr>
                <w:rFonts w:ascii="Calibri" w:hAnsi="Calibri"/>
                <w:color w:val="000000" w:themeColor="text1"/>
                <w:lang w:val="en-GB"/>
              </w:rPr>
            </w:pPr>
            <w:r w:rsidRPr="005234EE">
              <w:rPr>
                <w:rFonts w:ascii="Calibri" w:hAnsi="Calibri"/>
                <w:color w:val="000000" w:themeColor="text1"/>
                <w:lang w:val="en-GB"/>
              </w:rPr>
              <w:t xml:space="preserve">                                                                                            ↑</w:t>
            </w:r>
          </w:p>
          <w:p w14:paraId="17B77454" w14:textId="77777777" w:rsidR="009116FE" w:rsidRPr="005234EE" w:rsidRDefault="009116FE" w:rsidP="00F73C66">
            <w:pPr>
              <w:ind w:right="-397"/>
              <w:jc w:val="both"/>
              <w:rPr>
                <w:rFonts w:ascii="Calibri" w:hAnsi="Calibri"/>
                <w:color w:val="000000" w:themeColor="text1"/>
                <w:lang w:val="en-GB"/>
              </w:rPr>
            </w:pPr>
          </w:p>
          <w:p w14:paraId="73F66E10" w14:textId="77777777" w:rsidR="009116FE" w:rsidRPr="005234EE" w:rsidRDefault="009116FE" w:rsidP="00F73C66">
            <w:pPr>
              <w:ind w:right="-397"/>
              <w:jc w:val="both"/>
              <w:rPr>
                <w:rFonts w:ascii="Calibri" w:hAnsi="Calibri"/>
                <w:color w:val="000000" w:themeColor="text1"/>
                <w:lang w:val="en-GB"/>
              </w:rPr>
            </w:pPr>
          </w:p>
          <w:p w14:paraId="4FE95AD1" w14:textId="77777777" w:rsidR="009116FE" w:rsidRPr="005234EE" w:rsidRDefault="009116FE" w:rsidP="00F73C66">
            <w:pPr>
              <w:ind w:right="-397"/>
              <w:jc w:val="both"/>
              <w:rPr>
                <w:rFonts w:ascii="Calibri" w:hAnsi="Calibri"/>
                <w:color w:val="000000" w:themeColor="text1"/>
                <w:lang w:val="en-GB"/>
              </w:rPr>
            </w:pPr>
          </w:p>
          <w:p w14:paraId="464DD945"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 xml:space="preserve">                     DK  →</w:t>
            </w:r>
          </w:p>
          <w:p w14:paraId="339501A3" w14:textId="77777777" w:rsidR="009116FE" w:rsidRPr="005234EE" w:rsidRDefault="009116FE" w:rsidP="00F73C66">
            <w:pPr>
              <w:ind w:right="-397"/>
              <w:jc w:val="both"/>
              <w:rPr>
                <w:rFonts w:ascii="Calibri" w:hAnsi="Calibri"/>
                <w:color w:val="000000" w:themeColor="text1"/>
                <w:lang w:val="en-GB"/>
              </w:rPr>
            </w:pPr>
          </w:p>
        </w:tc>
      </w:tr>
      <w:tr w:rsidR="009116FE" w:rsidRPr="005234EE" w14:paraId="54165319" w14:textId="77777777" w:rsidTr="00F73C66">
        <w:trPr>
          <w:trHeight w:val="794"/>
        </w:trPr>
        <w:tc>
          <w:tcPr>
            <w:tcW w:w="1498" w:type="dxa"/>
            <w:vMerge/>
          </w:tcPr>
          <w:p w14:paraId="3D9CE443" w14:textId="77777777" w:rsidR="009116FE" w:rsidRPr="005234EE" w:rsidRDefault="009116FE" w:rsidP="00F73C66">
            <w:pPr>
              <w:ind w:right="-397"/>
              <w:jc w:val="both"/>
              <w:rPr>
                <w:rFonts w:ascii="Calibri" w:hAnsi="Calibri"/>
                <w:color w:val="000000" w:themeColor="text1"/>
                <w:lang w:val="en-GB"/>
              </w:rPr>
            </w:pPr>
          </w:p>
        </w:tc>
        <w:tc>
          <w:tcPr>
            <w:tcW w:w="1417" w:type="dxa"/>
          </w:tcPr>
          <w:p w14:paraId="46EDBD93" w14:textId="77777777" w:rsidR="009116FE" w:rsidRPr="005234EE" w:rsidRDefault="009116FE" w:rsidP="00F73C66">
            <w:pPr>
              <w:ind w:right="-397"/>
              <w:jc w:val="both"/>
              <w:rPr>
                <w:rFonts w:ascii="Calibri" w:hAnsi="Calibri"/>
                <w:color w:val="000000" w:themeColor="text1"/>
                <w:lang w:val="en-GB"/>
              </w:rPr>
            </w:pPr>
          </w:p>
          <w:p w14:paraId="298E8513" w14:textId="77777777" w:rsidR="009116FE" w:rsidRPr="005234EE" w:rsidRDefault="009116FE" w:rsidP="00F73C66">
            <w:pPr>
              <w:ind w:right="-397"/>
              <w:jc w:val="both"/>
              <w:rPr>
                <w:rFonts w:ascii="Calibri" w:hAnsi="Calibri"/>
                <w:color w:val="000000" w:themeColor="text1"/>
                <w:lang w:val="en-GB"/>
              </w:rPr>
            </w:pPr>
            <w:r w:rsidRPr="005234EE">
              <w:rPr>
                <w:rFonts w:ascii="Calibri" w:hAnsi="Calibri"/>
                <w:color w:val="000000" w:themeColor="text1"/>
                <w:lang w:val="en-GB"/>
              </w:rPr>
              <w:t>High</w:t>
            </w:r>
          </w:p>
        </w:tc>
        <w:tc>
          <w:tcPr>
            <w:tcW w:w="6379" w:type="dxa"/>
            <w:gridSpan w:val="2"/>
            <w:vMerge/>
          </w:tcPr>
          <w:p w14:paraId="5B93E71E" w14:textId="77777777" w:rsidR="009116FE" w:rsidRPr="005234EE" w:rsidRDefault="009116FE" w:rsidP="00F73C66">
            <w:pPr>
              <w:ind w:right="-397"/>
              <w:jc w:val="both"/>
              <w:rPr>
                <w:rFonts w:ascii="Calibri" w:hAnsi="Calibri"/>
                <w:color w:val="000000" w:themeColor="text1"/>
                <w:lang w:val="en-GB"/>
              </w:rPr>
            </w:pPr>
          </w:p>
        </w:tc>
      </w:tr>
    </w:tbl>
    <w:p w14:paraId="777EC0D1" w14:textId="77777777" w:rsidR="009116FE" w:rsidRPr="005234EE" w:rsidRDefault="009116FE" w:rsidP="008E6E81">
      <w:pPr>
        <w:ind w:right="-397"/>
        <w:jc w:val="both"/>
        <w:rPr>
          <w:rFonts w:ascii="Calibri" w:hAnsi="Calibri"/>
          <w:b/>
          <w:color w:val="000000" w:themeColor="text1"/>
          <w:lang w:val="en-GB"/>
        </w:rPr>
      </w:pPr>
    </w:p>
    <w:p w14:paraId="54B810DA" w14:textId="77777777" w:rsidR="009116FE" w:rsidRPr="005234EE" w:rsidRDefault="009116FE" w:rsidP="008E6E81">
      <w:pPr>
        <w:ind w:left="-397" w:right="-397"/>
        <w:jc w:val="both"/>
        <w:rPr>
          <w:rFonts w:ascii="Calibri" w:hAnsi="Calibri"/>
          <w:color w:val="000000" w:themeColor="text1"/>
          <w:lang w:val="en-GB"/>
        </w:rPr>
      </w:pPr>
    </w:p>
    <w:p w14:paraId="346B7002" w14:textId="77777777" w:rsidR="009116FE" w:rsidRPr="005234EE" w:rsidRDefault="009116FE" w:rsidP="008E6E81">
      <w:pPr>
        <w:ind w:left="-397" w:right="-397"/>
        <w:jc w:val="both"/>
        <w:rPr>
          <w:rFonts w:ascii="Calibri" w:hAnsi="Calibri"/>
          <w:color w:val="000000" w:themeColor="text1"/>
          <w:lang w:val="en-GB"/>
        </w:rPr>
      </w:pPr>
    </w:p>
    <w:p w14:paraId="18B4DD63" w14:textId="724E75ED"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 4.1 Multi-Dimensional Economic Security</w:t>
      </w:r>
    </w:p>
    <w:p w14:paraId="6D9DDE94" w14:textId="77777777" w:rsidR="009116FE" w:rsidRPr="005234EE" w:rsidRDefault="009116FE" w:rsidP="008E6E81">
      <w:pPr>
        <w:ind w:left="-397" w:right="-397"/>
        <w:jc w:val="both"/>
        <w:rPr>
          <w:rFonts w:ascii="Calibri" w:hAnsi="Calibri"/>
          <w:color w:val="000000" w:themeColor="text1"/>
          <w:lang w:val="en-GB"/>
        </w:rPr>
      </w:pPr>
    </w:p>
    <w:p w14:paraId="5C70B5C5" w14:textId="050337E7" w:rsidR="009116FE" w:rsidRPr="005234EE" w:rsidRDefault="009116FE" w:rsidP="008E6E81">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Historically, systems of income security in Britain and Nordic states had in common that they differentiated between a basic non-contributory and a more generous contributory tier</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In the 1980s, however, the two regimes went in different directions. Whilst in Nordic states an already more developed dual regime was retained, in the UK security was progressively flattened (</w:t>
      </w:r>
      <w:commentRangeStart w:id="14"/>
      <w:r w:rsidRPr="005234EE">
        <w:rPr>
          <w:rFonts w:ascii="Calibri" w:hAnsi="Calibri" w:cs="Times New Roman"/>
          <w:color w:val="000000" w:themeColor="text1"/>
          <w:lang w:val="en-GB"/>
        </w:rPr>
        <w:t>Haagh</w:t>
      </w:r>
      <w:r w:rsidR="00B35437" w:rsidRPr="005234EE">
        <w:rPr>
          <w:rFonts w:ascii="Calibri" w:hAnsi="Calibri" w:cs="Times New Roman"/>
          <w:color w:val="000000" w:themeColor="text1"/>
          <w:lang w:val="en-GB"/>
        </w:rPr>
        <w:t>,</w:t>
      </w:r>
      <w:r w:rsidR="00A26087">
        <w:rPr>
          <w:rFonts w:ascii="Calibri" w:hAnsi="Calibri" w:cs="Times New Roman"/>
          <w:color w:val="000000" w:themeColor="text1"/>
          <w:lang w:val="en-GB"/>
        </w:rPr>
        <w:t xml:space="preserve"> 2012</w:t>
      </w:r>
      <w:commentRangeEnd w:id="14"/>
      <w:r w:rsidR="00A26087">
        <w:rPr>
          <w:rFonts w:ascii="Calibri" w:hAnsi="Calibri" w:cs="Times New Roman"/>
          <w:color w:val="000000" w:themeColor="text1"/>
          <w:lang w:val="en-GB"/>
        </w:rPr>
        <w:t>a</w:t>
      </w:r>
      <w:r w:rsidR="00A626AA" w:rsidRPr="005234EE">
        <w:rPr>
          <w:rStyle w:val="CommentReference"/>
          <w:rFonts w:ascii="Calibri" w:hAnsi="Calibri"/>
          <w:sz w:val="24"/>
          <w:szCs w:val="24"/>
        </w:rPr>
        <w:commentReference w:id="14"/>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Clasen</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2001</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Clasen and Clegg</w:t>
      </w:r>
      <w:r w:rsidR="00B35437" w:rsidRPr="005234EE">
        <w:rPr>
          <w:rFonts w:ascii="Calibri" w:hAnsi="Calibri" w:cs="Times New Roman"/>
          <w:color w:val="000000" w:themeColor="text1"/>
          <w:lang w:val="en-GB"/>
        </w:rPr>
        <w:t>,</w:t>
      </w:r>
      <w:r w:rsidRPr="005234EE">
        <w:rPr>
          <w:rFonts w:ascii="Calibri" w:hAnsi="Calibri" w:cs="Times New Roman"/>
          <w:color w:val="000000" w:themeColor="text1"/>
          <w:lang w:val="en-GB"/>
        </w:rPr>
        <w:t xml:space="preserve"> 2006, </w:t>
      </w:r>
      <w:r w:rsidR="00B35437" w:rsidRPr="005234EE">
        <w:rPr>
          <w:rFonts w:ascii="Calibri" w:hAnsi="Calibri" w:cs="Times New Roman"/>
          <w:color w:val="000000" w:themeColor="text1"/>
          <w:lang w:val="en-GB"/>
        </w:rPr>
        <w:t>pp.</w:t>
      </w:r>
      <w:r w:rsidRPr="005234EE">
        <w:rPr>
          <w:rFonts w:ascii="Calibri" w:hAnsi="Calibri" w:cs="Times New Roman"/>
          <w:color w:val="000000" w:themeColor="text1"/>
          <w:lang w:val="en-GB"/>
        </w:rPr>
        <w:t>540-</w:t>
      </w:r>
      <w:r w:rsidR="00B35437" w:rsidRPr="005234EE">
        <w:rPr>
          <w:rFonts w:ascii="Calibri" w:hAnsi="Calibri" w:cs="Times New Roman"/>
          <w:color w:val="000000" w:themeColor="text1"/>
          <w:lang w:val="en-GB"/>
        </w:rPr>
        <w:t>54</w:t>
      </w:r>
      <w:r w:rsidRPr="005234EE">
        <w:rPr>
          <w:rFonts w:ascii="Calibri" w:hAnsi="Calibri" w:cs="Times New Roman"/>
          <w:color w:val="000000" w:themeColor="text1"/>
          <w:lang w:val="en-GB"/>
        </w:rPr>
        <w:t>1).  A distinctive feature of the Danish unemployment insurance (UI) tier is the way labour-based mutual societies (MSs) have traditionally governed it, as distinct from non-contributory social assistance which is governed by state municipalities.  During the 1990s and 2000s, workfare and the sanctions regime entailed greater state control over the UI institutions, along with liberalisation of governance. For example, the automatic link between union and UI membership was repealed. On the other hand, the way the state has continued to subsidize about one-third of costs and UI governance retains independence indicate ways in which a human development approach was retained.</w:t>
      </w:r>
    </w:p>
    <w:p w14:paraId="6AFA36E2" w14:textId="77777777" w:rsidR="009116FE" w:rsidRPr="005234EE" w:rsidRDefault="009116FE" w:rsidP="008E6E81">
      <w:pPr>
        <w:ind w:left="-397" w:right="-397"/>
        <w:jc w:val="both"/>
        <w:rPr>
          <w:rFonts w:ascii="Calibri" w:hAnsi="Calibri"/>
          <w:color w:val="000000" w:themeColor="text1"/>
          <w:lang w:val="en-GB"/>
        </w:rPr>
      </w:pPr>
    </w:p>
    <w:p w14:paraId="1C1860A8" w14:textId="0B30276C"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A number of examples can be given of ways in which self-governing Danish UI institutions support individual control. Other than Finland, the Danish is the only system in which joining is voluntary. Within Europe, it applies the lowest sanction on voluntary quits, and also operates the most flexible contributions requirements (Bjørn </w:t>
      </w:r>
      <w:r w:rsidR="00EB5704" w:rsidRPr="005234EE">
        <w:rPr>
          <w:rFonts w:ascii="Calibri" w:hAnsi="Calibri"/>
          <w:color w:val="000000" w:themeColor="text1"/>
          <w:lang w:val="en-GB"/>
        </w:rPr>
        <w:t xml:space="preserve">and </w:t>
      </w:r>
      <w:r w:rsidRPr="005234EE">
        <w:rPr>
          <w:rFonts w:ascii="Calibri" w:hAnsi="Calibri"/>
          <w:color w:val="000000" w:themeColor="text1"/>
          <w:lang w:val="en-GB"/>
        </w:rPr>
        <w:t>Høj</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B35437" w:rsidRPr="005234EE">
        <w:rPr>
          <w:rFonts w:ascii="Calibri" w:hAnsi="Calibri"/>
          <w:color w:val="000000" w:themeColor="text1"/>
          <w:lang w:val="en-GB"/>
        </w:rPr>
        <w:t>p.</w:t>
      </w:r>
      <w:r w:rsidRPr="005234EE">
        <w:rPr>
          <w:rFonts w:ascii="Calibri" w:hAnsi="Calibri"/>
          <w:color w:val="000000" w:themeColor="text1"/>
          <w:lang w:val="en-GB"/>
        </w:rPr>
        <w:t xml:space="preserve">14). Along with Norway, Denmark is the only country in which family income cannot reduce the amount a person is entitled to – UI cover </w:t>
      </w:r>
      <w:r w:rsidR="00DA4000">
        <w:rPr>
          <w:rFonts w:ascii="Calibri" w:hAnsi="Calibri"/>
          <w:color w:val="000000" w:themeColor="text1"/>
          <w:lang w:val="en-GB"/>
        </w:rPr>
        <w:t>is an individual entitlement</w:t>
      </w:r>
      <w:r w:rsidRPr="005234EE">
        <w:rPr>
          <w:rFonts w:ascii="Calibri" w:hAnsi="Calibri"/>
          <w:color w:val="000000" w:themeColor="text1"/>
          <w:lang w:val="en-GB"/>
        </w:rPr>
        <w:t xml:space="preserve">. Among seven countries studied, the UK system contains the longest waiting period, and Denmark the shortest (Bjørn </w:t>
      </w:r>
      <w:r w:rsidR="00EB5704" w:rsidRPr="005234EE">
        <w:rPr>
          <w:rFonts w:ascii="Calibri" w:hAnsi="Calibri"/>
          <w:color w:val="000000" w:themeColor="text1"/>
          <w:lang w:val="en-GB"/>
        </w:rPr>
        <w:t xml:space="preserve">and </w:t>
      </w:r>
      <w:r w:rsidRPr="005234EE">
        <w:rPr>
          <w:rFonts w:ascii="Calibri" w:hAnsi="Calibri"/>
          <w:color w:val="000000" w:themeColor="text1"/>
          <w:lang w:val="en-GB"/>
        </w:rPr>
        <w:t>Høj</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B35437" w:rsidRPr="005234EE">
        <w:rPr>
          <w:rFonts w:ascii="Calibri" w:hAnsi="Calibri"/>
          <w:color w:val="000000" w:themeColor="text1"/>
          <w:lang w:val="en-GB"/>
        </w:rPr>
        <w:t>p.</w:t>
      </w:r>
      <w:r w:rsidRPr="005234EE">
        <w:rPr>
          <w:rFonts w:ascii="Calibri" w:hAnsi="Calibri"/>
          <w:color w:val="000000" w:themeColor="text1"/>
          <w:lang w:val="en-GB"/>
        </w:rPr>
        <w:t xml:space="preserve">15). </w:t>
      </w:r>
    </w:p>
    <w:p w14:paraId="6E40DDE0" w14:textId="77777777" w:rsidR="009116FE" w:rsidRPr="005234EE" w:rsidRDefault="009116FE" w:rsidP="008E6E81">
      <w:pPr>
        <w:ind w:left="-397" w:right="-397"/>
        <w:jc w:val="both"/>
        <w:rPr>
          <w:rFonts w:ascii="Calibri" w:hAnsi="Calibri"/>
          <w:color w:val="000000" w:themeColor="text1"/>
          <w:lang w:val="en-GB"/>
        </w:rPr>
      </w:pPr>
    </w:p>
    <w:p w14:paraId="498CDA34" w14:textId="1961FE84"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The constraint on liberalization within Nordic systems is exemplified in the limited form of the most radical change, namely Sweden’s cuts in the 1990s to wage-linked income support, from 90 to 80 % of the previous wage. In comparison, in the UK today, UI cover bears no real resemblance to a persons’ previous wage, and is administered by the same state authorities that govern basic income support (Clasen and Clegg, 2006; Bjørn </w:t>
      </w:r>
      <w:r w:rsidR="00EB5704" w:rsidRPr="005234EE">
        <w:rPr>
          <w:rFonts w:ascii="Calibri" w:hAnsi="Calibri"/>
          <w:color w:val="000000" w:themeColor="text1"/>
          <w:lang w:val="en-GB"/>
        </w:rPr>
        <w:t xml:space="preserve">and </w:t>
      </w:r>
      <w:r w:rsidRPr="005234EE">
        <w:rPr>
          <w:rFonts w:ascii="Calibri" w:hAnsi="Calibri"/>
          <w:color w:val="000000" w:themeColor="text1"/>
          <w:lang w:val="en-GB"/>
        </w:rPr>
        <w:t>Høj</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B35437" w:rsidRPr="005234EE">
        <w:rPr>
          <w:rFonts w:ascii="Calibri" w:hAnsi="Calibri"/>
          <w:color w:val="000000" w:themeColor="text1"/>
          <w:lang w:val="en-GB"/>
        </w:rPr>
        <w:t>p.</w:t>
      </w:r>
      <w:r w:rsidRPr="005234EE">
        <w:rPr>
          <w:rFonts w:ascii="Calibri" w:hAnsi="Calibri"/>
          <w:color w:val="000000" w:themeColor="text1"/>
          <w:lang w:val="en-GB"/>
        </w:rPr>
        <w:t xml:space="preserve">16, </w:t>
      </w:r>
      <w:r w:rsidR="00B35437" w:rsidRPr="005234EE">
        <w:rPr>
          <w:rFonts w:ascii="Calibri" w:hAnsi="Calibri"/>
          <w:color w:val="000000" w:themeColor="text1"/>
          <w:lang w:val="en-GB"/>
        </w:rPr>
        <w:t>p.</w:t>
      </w:r>
      <w:r w:rsidRPr="005234EE">
        <w:rPr>
          <w:rFonts w:ascii="Calibri" w:hAnsi="Calibri"/>
          <w:color w:val="000000" w:themeColor="text1"/>
          <w:lang w:val="en-GB"/>
        </w:rPr>
        <w:t xml:space="preserve">22).  Maximum length is six weeks– the lowest in the OECD. By contrast, Nordic states have the longest and highest rate of cover, at two years, starting at 90 % of the previous wage in Denmark, Finland, and Norway (Bjørn </w:t>
      </w:r>
      <w:r w:rsidR="00EB5704" w:rsidRPr="005234EE">
        <w:rPr>
          <w:rFonts w:ascii="Calibri" w:hAnsi="Calibri"/>
          <w:color w:val="000000" w:themeColor="text1"/>
          <w:lang w:val="en-GB"/>
        </w:rPr>
        <w:t xml:space="preserve">and </w:t>
      </w:r>
      <w:r w:rsidRPr="005234EE">
        <w:rPr>
          <w:rFonts w:ascii="Calibri" w:hAnsi="Calibri"/>
          <w:color w:val="000000" w:themeColor="text1"/>
          <w:lang w:val="en-GB"/>
        </w:rPr>
        <w:t>Høj</w:t>
      </w:r>
      <w:r w:rsidR="00B35437"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B35437" w:rsidRPr="005234EE">
        <w:rPr>
          <w:rFonts w:ascii="Calibri" w:hAnsi="Calibri"/>
          <w:color w:val="000000" w:themeColor="text1"/>
          <w:lang w:val="en-GB"/>
        </w:rPr>
        <w:t>p.</w:t>
      </w:r>
      <w:r w:rsidRPr="005234EE">
        <w:rPr>
          <w:rFonts w:ascii="Calibri" w:hAnsi="Calibri"/>
          <w:color w:val="000000" w:themeColor="text1"/>
          <w:lang w:val="en-GB"/>
        </w:rPr>
        <w:t xml:space="preserve">16, </w:t>
      </w:r>
      <w:r w:rsidR="00B35437" w:rsidRPr="005234EE">
        <w:rPr>
          <w:rFonts w:ascii="Calibri" w:hAnsi="Calibri"/>
          <w:color w:val="000000" w:themeColor="text1"/>
          <w:lang w:val="en-GB"/>
        </w:rPr>
        <w:t>p.</w:t>
      </w:r>
      <w:r w:rsidRPr="005234EE">
        <w:rPr>
          <w:rFonts w:ascii="Calibri" w:hAnsi="Calibri"/>
          <w:color w:val="000000" w:themeColor="text1"/>
          <w:lang w:val="en-GB"/>
        </w:rPr>
        <w:t xml:space="preserve">20). </w:t>
      </w:r>
    </w:p>
    <w:p w14:paraId="3B9BD23C" w14:textId="77777777" w:rsidR="009116FE" w:rsidRPr="005234EE" w:rsidRDefault="009116FE" w:rsidP="008E6E81">
      <w:pPr>
        <w:ind w:right="-397"/>
        <w:jc w:val="both"/>
        <w:rPr>
          <w:rFonts w:ascii="Calibri" w:hAnsi="Calibri"/>
          <w:color w:val="000000" w:themeColor="text1"/>
          <w:lang w:val="en-GB"/>
        </w:rPr>
      </w:pPr>
    </w:p>
    <w:p w14:paraId="63DD1D5D" w14:textId="03838DFC"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The upshot is that the labour market is considerably more secure for middle earners in Nordic states: the maximum rate to which the 90 per cent cover could go in Denmark in 2013 was 17,336 kr, compared with flat rate for UI contributors over 25 years in Britain of 2,756 kr per month, e.g. 15.9 </w:t>
      </w:r>
      <w:r w:rsidRPr="005234EE">
        <w:rPr>
          <w:rFonts w:ascii="Calibri" w:hAnsi="Calibri"/>
          <w:color w:val="000000" w:themeColor="text1"/>
          <w:lang w:val="en-GB"/>
        </w:rPr>
        <w:lastRenderedPageBreak/>
        <w:t>per cent of the Danish rate. In effect a middle earner in Britain cannot afford to become unemployed without having significant personal savings.</w:t>
      </w:r>
      <w:r w:rsidRPr="005234EE">
        <w:rPr>
          <w:rStyle w:val="EndnoteReference"/>
          <w:rFonts w:ascii="Calibri" w:hAnsi="Calibri"/>
          <w:color w:val="000000" w:themeColor="text1"/>
          <w:lang w:val="en-GB"/>
        </w:rPr>
        <w:endnoteReference w:id="16"/>
      </w:r>
    </w:p>
    <w:p w14:paraId="34BC6342" w14:textId="77777777" w:rsidR="009116FE" w:rsidRPr="005234EE" w:rsidRDefault="009116FE" w:rsidP="008E6E81">
      <w:pPr>
        <w:ind w:left="-397" w:right="-397"/>
        <w:jc w:val="both"/>
        <w:rPr>
          <w:rFonts w:ascii="Calibri" w:hAnsi="Calibri"/>
          <w:color w:val="000000" w:themeColor="text1"/>
          <w:lang w:val="en-GB"/>
        </w:rPr>
      </w:pPr>
    </w:p>
    <w:p w14:paraId="3A38B916" w14:textId="10382D04"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There are a number of indications that the two-tiered system of income security has cushioned the effects of sanctions in Denmark. Despite an increase in state regulation, both in setting out and policing the use of sanctions, sanctions are given less frequently and contain less errors compared with sanctions in municipalities. For instance, in 2011-1, in all 3.8 % of unemployed men, and 2.3 % of women, on UI benefits were sanctioned, compared with an average of sanctions of all unemployed in municipalities of 28.8 % (</w:t>
      </w:r>
      <w:commentRangeStart w:id="15"/>
      <w:r w:rsidRPr="005234EE">
        <w:rPr>
          <w:rFonts w:ascii="Calibri" w:hAnsi="Calibri"/>
          <w:color w:val="000000" w:themeColor="text1"/>
          <w:lang w:val="en-GB"/>
        </w:rPr>
        <w:t>K</w:t>
      </w:r>
      <w:r w:rsidR="00A26087">
        <w:rPr>
          <w:rFonts w:ascii="Calibri" w:hAnsi="Calibri"/>
          <w:color w:val="000000" w:themeColor="text1"/>
          <w:lang w:val="en-GB"/>
        </w:rPr>
        <w:t>lo</w:t>
      </w:r>
      <w:r w:rsidRPr="005234EE">
        <w:rPr>
          <w:rFonts w:ascii="Calibri" w:hAnsi="Calibri"/>
          <w:color w:val="000000" w:themeColor="text1"/>
          <w:lang w:val="en-GB"/>
        </w:rPr>
        <w:t>s, 2014</w:t>
      </w:r>
      <w:commentRangeEnd w:id="15"/>
      <w:r w:rsidR="00EB5704" w:rsidRPr="005234EE">
        <w:rPr>
          <w:rStyle w:val="CommentReference"/>
          <w:rFonts w:ascii="Calibri" w:hAnsi="Calibri" w:cstheme="minorBidi"/>
          <w:sz w:val="24"/>
          <w:szCs w:val="24"/>
        </w:rPr>
        <w:commentReference w:id="15"/>
      </w:r>
      <w:r w:rsidRPr="005234EE">
        <w:rPr>
          <w:rFonts w:ascii="Calibri" w:hAnsi="Calibri"/>
          <w:color w:val="000000" w:themeColor="text1"/>
          <w:lang w:val="en-GB"/>
        </w:rPr>
        <w:t xml:space="preserve">, </w:t>
      </w:r>
      <w:r w:rsidR="003161C8" w:rsidRPr="005234EE">
        <w:rPr>
          <w:rFonts w:ascii="Calibri" w:hAnsi="Calibri"/>
          <w:color w:val="000000" w:themeColor="text1"/>
          <w:lang w:val="en-GB"/>
        </w:rPr>
        <w:t>p.</w:t>
      </w:r>
      <w:r w:rsidRPr="005234EE">
        <w:rPr>
          <w:rFonts w:ascii="Calibri" w:hAnsi="Calibri"/>
          <w:color w:val="000000" w:themeColor="text1"/>
          <w:lang w:val="en-GB"/>
        </w:rPr>
        <w:t>6). Even inequalities within sanctioning point to a more skills-driven form of employment transition. For instance, only 0.8, 0.5, and 0.6 per cent of academic, technicians’ and leaders’ mutual society members are sanctioned.</w:t>
      </w:r>
      <w:r w:rsidRPr="005234EE">
        <w:rPr>
          <w:rStyle w:val="EndnoteReference"/>
          <w:rFonts w:ascii="Calibri" w:hAnsi="Calibri"/>
          <w:color w:val="000000" w:themeColor="text1"/>
          <w:lang w:val="en-GB"/>
        </w:rPr>
        <w:endnoteReference w:id="17"/>
      </w:r>
      <w:r w:rsidRPr="005234EE">
        <w:rPr>
          <w:rFonts w:ascii="Calibri" w:hAnsi="Calibri"/>
          <w:color w:val="000000" w:themeColor="text1"/>
          <w:lang w:val="en-GB"/>
        </w:rPr>
        <w:t xml:space="preserve">  </w:t>
      </w:r>
    </w:p>
    <w:p w14:paraId="2D21603A" w14:textId="77777777" w:rsidR="009116FE" w:rsidRPr="005234EE" w:rsidRDefault="009116FE" w:rsidP="008E6E81">
      <w:pPr>
        <w:ind w:right="-397"/>
        <w:jc w:val="both"/>
        <w:rPr>
          <w:rFonts w:ascii="Calibri" w:hAnsi="Calibri"/>
          <w:color w:val="000000" w:themeColor="text1"/>
          <w:lang w:val="en-GB"/>
        </w:rPr>
      </w:pPr>
    </w:p>
    <w:p w14:paraId="747565BD" w14:textId="77777777"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However, an obvious question is, to what extent is a two-level regime, of voluntary insurance and basic assistance, of which the first pays a higher level of cover, a source of undermining security and freedom for those at the bottom? </w:t>
      </w:r>
    </w:p>
    <w:p w14:paraId="56CCE73D" w14:textId="77777777" w:rsidR="009116FE" w:rsidRPr="005234EE" w:rsidRDefault="009116FE" w:rsidP="008E6E81">
      <w:pPr>
        <w:ind w:left="-397" w:right="-397"/>
        <w:jc w:val="both"/>
        <w:rPr>
          <w:rFonts w:ascii="Calibri" w:hAnsi="Calibri"/>
          <w:color w:val="000000" w:themeColor="text1"/>
          <w:lang w:val="en-GB"/>
        </w:rPr>
      </w:pPr>
    </w:p>
    <w:p w14:paraId="0DCFF870" w14:textId="0CC08E3D" w:rsidR="009116FE" w:rsidRPr="005234EE" w:rsidRDefault="009116FE" w:rsidP="001A191B">
      <w:pPr>
        <w:ind w:left="-397" w:right="-397"/>
        <w:jc w:val="both"/>
        <w:rPr>
          <w:rFonts w:ascii="Calibri" w:hAnsi="Calibri"/>
          <w:color w:val="000000" w:themeColor="text1"/>
          <w:lang w:val="en-GB"/>
        </w:rPr>
      </w:pPr>
      <w:r w:rsidRPr="005234EE">
        <w:rPr>
          <w:rFonts w:ascii="Calibri" w:hAnsi="Calibri"/>
          <w:color w:val="000000" w:themeColor="text1"/>
          <w:lang w:val="en-GB"/>
        </w:rPr>
        <w:t>In response, it is relevant to stress, first, how high social mobility, fully publicly funded education, regulation of wage levels, and wide sharing of social services, entail that opportunity to join the UI system is high.</w:t>
      </w:r>
      <w:r w:rsidRPr="005234EE">
        <w:rPr>
          <w:rStyle w:val="EndnoteReference"/>
          <w:rFonts w:ascii="Calibri" w:hAnsi="Calibri"/>
          <w:color w:val="000000" w:themeColor="text1"/>
          <w:lang w:val="en-GB"/>
        </w:rPr>
        <w:endnoteReference w:id="18"/>
      </w:r>
      <w:r w:rsidRPr="005234EE">
        <w:rPr>
          <w:rFonts w:ascii="Calibri" w:hAnsi="Calibri"/>
          <w:color w:val="000000" w:themeColor="text1"/>
          <w:lang w:val="en-GB"/>
        </w:rPr>
        <w:t xml:space="preserve"> Second, the way in which the contributory and assistance regimes are independently administered, yet connected through public subsidy and shared services, has had the effect of converging public research and debate about entitlements across social groups (see section 5).  Figure 3(i-viii) shows that before the economic crisis in 2008, and the onset of changes to sanctions regimes, Denmark and Britain spent about the same on benefit administration and placements. However, Denmark had the highest and Britain among the lowest levels of public spending on training. </w:t>
      </w:r>
    </w:p>
    <w:p w14:paraId="7E7A9C07" w14:textId="77777777" w:rsidR="009116FE" w:rsidRPr="005234EE" w:rsidRDefault="009116FE" w:rsidP="001A191B">
      <w:pPr>
        <w:ind w:left="-397" w:right="-397"/>
        <w:jc w:val="both"/>
        <w:rPr>
          <w:rFonts w:ascii="Calibri" w:hAnsi="Calibri"/>
          <w:color w:val="000000" w:themeColor="text1"/>
          <w:lang w:val="en-GB"/>
        </w:rPr>
      </w:pPr>
    </w:p>
    <w:p w14:paraId="40C0B35A" w14:textId="3810D3E9" w:rsidR="009116FE" w:rsidRPr="005234EE" w:rsidRDefault="009116FE" w:rsidP="001A191B">
      <w:pPr>
        <w:ind w:left="-397" w:right="-397"/>
        <w:jc w:val="both"/>
        <w:rPr>
          <w:rFonts w:ascii="Calibri" w:hAnsi="Calibri"/>
          <w:color w:val="000000" w:themeColor="text1"/>
          <w:lang w:val="en-GB"/>
        </w:rPr>
      </w:pPr>
      <w:r w:rsidRPr="005234EE">
        <w:rPr>
          <w:rFonts w:ascii="Calibri" w:hAnsi="Calibri"/>
          <w:color w:val="000000" w:themeColor="text1"/>
          <w:lang w:val="en-GB"/>
        </w:rPr>
        <w:t>In fact, the figures suggest that the lowest level of income support is far more generous in Denmark than in any of seven most similar European countries examined. For a single person over 25 it was about 7,800 kr per month in 2013 after tax (Bjørn and Høj</w:t>
      </w:r>
      <w:r w:rsidR="003161C8"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3161C8" w:rsidRPr="005234EE">
        <w:rPr>
          <w:rFonts w:ascii="Calibri" w:hAnsi="Calibri"/>
          <w:color w:val="000000" w:themeColor="text1"/>
          <w:lang w:val="en-GB"/>
        </w:rPr>
        <w:t>pp.</w:t>
      </w:r>
      <w:r w:rsidRPr="005234EE">
        <w:rPr>
          <w:rFonts w:ascii="Calibri" w:hAnsi="Calibri"/>
          <w:color w:val="000000" w:themeColor="text1"/>
          <w:lang w:val="en-GB"/>
        </w:rPr>
        <w:t>23-24), compared with about 2,756 kr in Britain, not counting housing support in either case.</w:t>
      </w:r>
    </w:p>
    <w:p w14:paraId="3BAD5272" w14:textId="77777777" w:rsidR="009116FE" w:rsidRPr="005234EE" w:rsidRDefault="009116FE" w:rsidP="00D45570">
      <w:pPr>
        <w:ind w:right="-397"/>
        <w:jc w:val="both"/>
        <w:rPr>
          <w:rFonts w:ascii="Calibri" w:hAnsi="Calibri"/>
          <w:color w:val="000000" w:themeColor="text1"/>
          <w:lang w:val="en-GB"/>
        </w:rPr>
      </w:pPr>
    </w:p>
    <w:p w14:paraId="0340B596" w14:textId="2EE5A90F" w:rsidR="009116FE" w:rsidRPr="005234EE" w:rsidRDefault="009116FE" w:rsidP="00D45570">
      <w:pPr>
        <w:ind w:left="-397" w:right="-397"/>
        <w:jc w:val="both"/>
        <w:rPr>
          <w:rFonts w:ascii="Calibri" w:hAnsi="Calibri"/>
          <w:color w:val="000000" w:themeColor="text1"/>
          <w:lang w:val="en-GB"/>
        </w:rPr>
      </w:pPr>
      <w:r w:rsidRPr="005234EE">
        <w:rPr>
          <w:rFonts w:ascii="Calibri" w:hAnsi="Calibri"/>
          <w:color w:val="000000" w:themeColor="text1"/>
          <w:lang w:val="en-GB"/>
        </w:rPr>
        <w:t>Still, the impacts and threats of sanctions on the most vulnerable are both greater in ways that makes it hard to justify sanctions (below, section 5). In the case of Denmark, individuals in the public assistance (as compared with the UI) system face - as noted above -  on average a higher rate and (as I discuss below), a seemingly more arbitrary risk, of sanctions. Given that individuals in the public system have no lower tier of security, and they also typically face more precarious labour markets, sanctioning within this group lacks justification on both general humanist and developmental equality grounds.</w:t>
      </w:r>
    </w:p>
    <w:p w14:paraId="6482EA9F" w14:textId="77777777" w:rsidR="009116FE" w:rsidRPr="005234EE" w:rsidRDefault="009116FE" w:rsidP="00D45570">
      <w:pPr>
        <w:ind w:right="-397"/>
        <w:jc w:val="both"/>
        <w:rPr>
          <w:rFonts w:ascii="Calibri" w:hAnsi="Calibri"/>
          <w:color w:val="000000" w:themeColor="text1"/>
          <w:lang w:val="en-GB"/>
        </w:rPr>
      </w:pPr>
    </w:p>
    <w:p w14:paraId="0D6FB946" w14:textId="7576541B"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An argument I want to make here, however, is that notwithstanding the case for reform, we can identify ways that public state ownership, and the cooperative stock it has generated, in Denmark, has shaped the context and effect of the public sanctions regime. The existence, by comparison, in Britain, of a single tier of security in theory equalises the status of different groups in the market, but masks the reality of a stratified private economy, and a less responsive rights regime in terms of human economy. </w:t>
      </w:r>
    </w:p>
    <w:p w14:paraId="12235EF1" w14:textId="77777777" w:rsidR="009116FE" w:rsidRPr="005234EE" w:rsidRDefault="009116FE" w:rsidP="008E6E81">
      <w:pPr>
        <w:ind w:left="-397" w:right="-397"/>
        <w:jc w:val="both"/>
        <w:rPr>
          <w:rFonts w:ascii="Calibri" w:hAnsi="Calibri"/>
          <w:color w:val="000000" w:themeColor="text1"/>
          <w:lang w:val="en-GB"/>
        </w:rPr>
      </w:pPr>
    </w:p>
    <w:p w14:paraId="71FDF2FA" w14:textId="6DAFF6EF"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To illustrate further, five features can be argued to comprise a more punitive regime of benefit sanctions: (i) absence of other tiers of security (as discussed); (ii) threat level – in the form of potential </w:t>
      </w:r>
      <w:r w:rsidRPr="005234EE">
        <w:rPr>
          <w:rFonts w:ascii="Calibri" w:hAnsi="Calibri"/>
          <w:color w:val="000000" w:themeColor="text1"/>
          <w:lang w:val="en-GB"/>
        </w:rPr>
        <w:lastRenderedPageBreak/>
        <w:t>length, likelihood and severity of sanctions; (iii) use of  market mediation of benefit status and hard-to-access information; (iv) presence or absence of real employment opportunities, their nature and quality; and (v) external effects, considering impacts on dependents and hence social personhood, defined as ability to provide for oneself and others. These five features combined are a manifest indication of how governance capacity and quality relate as shaped by public state ownership as defined at the outset.</w:t>
      </w:r>
    </w:p>
    <w:p w14:paraId="365F6033" w14:textId="77777777" w:rsidR="009116FE" w:rsidRPr="005234EE" w:rsidRDefault="009116FE" w:rsidP="008E6E81">
      <w:pPr>
        <w:ind w:left="-397" w:right="-397"/>
        <w:jc w:val="both"/>
        <w:rPr>
          <w:rFonts w:ascii="Calibri" w:hAnsi="Calibri"/>
          <w:color w:val="000000" w:themeColor="text1"/>
          <w:lang w:val="en-GB"/>
        </w:rPr>
      </w:pPr>
    </w:p>
    <w:p w14:paraId="03FA5647" w14:textId="31FEC904"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In the UK, the threat level linked with sanctions is high.</w:t>
      </w:r>
      <w:r w:rsidRPr="005234EE">
        <w:rPr>
          <w:rStyle w:val="EndnoteReference"/>
          <w:rFonts w:ascii="Calibri" w:hAnsi="Calibri"/>
          <w:color w:val="000000" w:themeColor="text1"/>
          <w:lang w:val="en-GB"/>
        </w:rPr>
        <w:endnoteReference w:id="19"/>
      </w:r>
      <w:r w:rsidRPr="005234EE">
        <w:rPr>
          <w:rFonts w:ascii="Calibri" w:hAnsi="Calibri"/>
          <w:color w:val="000000" w:themeColor="text1"/>
          <w:lang w:val="en-GB"/>
        </w:rPr>
        <w:t xml:space="preserve"> Modelled on the United States’ regime of zero tolerance in criminal justice, it relies on a model of ‘three-strikes and you are out’. As compared with Denmark (below)</w:t>
      </w:r>
      <w:r w:rsidR="00F21BC5">
        <w:rPr>
          <w:rFonts w:ascii="Calibri" w:hAnsi="Calibri"/>
          <w:color w:val="000000" w:themeColor="text1"/>
          <w:lang w:val="en-GB"/>
        </w:rPr>
        <w:t>,</w:t>
      </w:r>
      <w:r w:rsidRPr="005234EE">
        <w:rPr>
          <w:rFonts w:ascii="Calibri" w:hAnsi="Calibri"/>
          <w:color w:val="000000" w:themeColor="text1"/>
          <w:lang w:val="en-GB"/>
        </w:rPr>
        <w:t xml:space="preserve"> first-level sanctions are both blunt and severe. Government audit reports suggest first use of four-week sanctions is common (</w:t>
      </w:r>
      <w:r w:rsidR="00EB5704" w:rsidRPr="005234EE">
        <w:rPr>
          <w:rFonts w:ascii="Calibri" w:hAnsi="Calibri"/>
          <w:color w:val="000000" w:themeColor="text1"/>
          <w:lang w:val="en-GB"/>
        </w:rPr>
        <w:t>National Audit Office</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2016, </w:t>
      </w:r>
      <w:r w:rsidR="000B3A65" w:rsidRPr="005234EE">
        <w:rPr>
          <w:rFonts w:ascii="Calibri" w:hAnsi="Calibri"/>
          <w:color w:val="000000" w:themeColor="text1"/>
          <w:lang w:val="en-GB"/>
        </w:rPr>
        <w:t>pp.</w:t>
      </w:r>
      <w:r w:rsidRPr="005234EE">
        <w:rPr>
          <w:rFonts w:ascii="Calibri" w:hAnsi="Calibri"/>
          <w:color w:val="000000" w:themeColor="text1"/>
          <w:lang w:val="en-GB"/>
        </w:rPr>
        <w:t>6-7), and confirm sanctions can be fixed up to three years in length. In the UK, (i) and (ii) are compounded by (iii) as research shows vulnerable groups are unaware of hardship funds paid on discretion (Adler</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2016, </w:t>
      </w:r>
      <w:r w:rsidR="000B3A65" w:rsidRPr="005234EE">
        <w:rPr>
          <w:rFonts w:ascii="Calibri" w:hAnsi="Calibri"/>
          <w:color w:val="000000" w:themeColor="text1"/>
          <w:lang w:val="en-GB"/>
        </w:rPr>
        <w:t>p.</w:t>
      </w:r>
      <w:r w:rsidRPr="005234EE">
        <w:rPr>
          <w:rFonts w:ascii="Calibri" w:hAnsi="Calibri"/>
          <w:color w:val="000000" w:themeColor="text1"/>
          <w:lang w:val="en-GB"/>
        </w:rPr>
        <w:t>201). Processes of adjudication are post-hoc to administrative decision and often informal (</w:t>
      </w:r>
      <w:r w:rsidR="00EB5704" w:rsidRPr="005234EE">
        <w:rPr>
          <w:rFonts w:ascii="Calibri" w:hAnsi="Calibri"/>
          <w:color w:val="000000" w:themeColor="text1"/>
          <w:lang w:val="en-GB"/>
        </w:rPr>
        <w:t xml:space="preserve">Adler, 2016, </w:t>
      </w:r>
      <w:r w:rsidR="000B3A65" w:rsidRPr="005234EE">
        <w:rPr>
          <w:rFonts w:ascii="Calibri" w:hAnsi="Calibri"/>
          <w:color w:val="000000" w:themeColor="text1"/>
          <w:lang w:val="en-GB"/>
        </w:rPr>
        <w:t>p.</w:t>
      </w:r>
      <w:r w:rsidRPr="005234EE">
        <w:rPr>
          <w:rFonts w:ascii="Calibri" w:hAnsi="Calibri"/>
          <w:color w:val="000000" w:themeColor="text1"/>
          <w:lang w:val="en-GB"/>
        </w:rPr>
        <w:t>214).</w:t>
      </w:r>
      <w:r w:rsidRPr="005234EE">
        <w:rPr>
          <w:rStyle w:val="EndnoteReference"/>
          <w:rFonts w:ascii="Calibri" w:hAnsi="Calibri"/>
          <w:color w:val="000000" w:themeColor="text1"/>
          <w:lang w:val="en-GB"/>
        </w:rPr>
        <w:endnoteReference w:id="20"/>
      </w:r>
      <w:r w:rsidRPr="005234EE">
        <w:rPr>
          <w:rFonts w:ascii="Calibri" w:hAnsi="Calibri"/>
          <w:color w:val="000000" w:themeColor="text1"/>
          <w:lang w:val="en-GB"/>
        </w:rPr>
        <w:t xml:space="preserve"> </w:t>
      </w:r>
    </w:p>
    <w:p w14:paraId="35CC9BCA" w14:textId="77777777" w:rsidR="009116FE" w:rsidRPr="005234EE" w:rsidRDefault="009116FE" w:rsidP="008E6E81">
      <w:pPr>
        <w:ind w:left="-397" w:right="-397"/>
        <w:jc w:val="both"/>
        <w:rPr>
          <w:rFonts w:ascii="Calibri" w:hAnsi="Calibri"/>
          <w:color w:val="000000" w:themeColor="text1"/>
          <w:lang w:val="en-GB"/>
        </w:rPr>
      </w:pPr>
    </w:p>
    <w:p w14:paraId="537FCB1C" w14:textId="74A2018B"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A gradual rise in precarious forms of work in Britain since the 1990s, discussed previously, has impacted implementation of the sanctions regime (iv).</w:t>
      </w:r>
      <w:r w:rsidRPr="005234EE">
        <w:rPr>
          <w:rStyle w:val="EndnoteReference"/>
          <w:rFonts w:ascii="Calibri" w:hAnsi="Calibri"/>
          <w:color w:val="000000" w:themeColor="text1"/>
          <w:lang w:val="en-GB"/>
        </w:rPr>
        <w:endnoteReference w:id="21"/>
      </w:r>
      <w:r w:rsidRPr="005234EE">
        <w:rPr>
          <w:rFonts w:ascii="Calibri" w:hAnsi="Calibri"/>
          <w:color w:val="000000" w:themeColor="text1"/>
          <w:lang w:val="en-GB"/>
        </w:rPr>
        <w:t xml:space="preserve"> The combination of market mediation, new information systems and precarity in work weakens claimants. To illustrate, government moves to optimise market sensitivity of information systems since 2010 and unify and simplify the level of payments, have been directly linked to an intention to make it possible to tie benefits and sanctions to the employment system of flexible hours (Mctague</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2014</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The Guardian</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2014).</w:t>
      </w:r>
      <w:r w:rsidRPr="005234EE">
        <w:rPr>
          <w:rStyle w:val="EndnoteReference"/>
          <w:rFonts w:ascii="Calibri" w:hAnsi="Calibri"/>
          <w:color w:val="000000" w:themeColor="text1"/>
          <w:lang w:val="en-GB"/>
        </w:rPr>
        <w:endnoteReference w:id="22"/>
      </w:r>
      <w:r w:rsidRPr="005234EE">
        <w:rPr>
          <w:rFonts w:ascii="Calibri" w:hAnsi="Calibri"/>
          <w:color w:val="000000" w:themeColor="text1"/>
          <w:lang w:val="en-GB"/>
        </w:rPr>
        <w:t xml:space="preserve"> Reporting systems have been adapted so that constant changes to employment and income patterns can be detected and built into the sanctioning process. Two examples include, introducing real-time reporting of employee earnings (from once-a-year to every 4 months in 2014), and more lately the devising of systems to enable in-work conditionality (IWC). IWC can entail asking a person to change job she likes if the hours worked in one job fall below a certain number that qualify a person to a particular benefit status (</w:t>
      </w:r>
      <w:commentRangeStart w:id="16"/>
      <w:r w:rsidRPr="005234EE">
        <w:rPr>
          <w:rFonts w:ascii="Calibri" w:hAnsi="Calibri"/>
          <w:color w:val="000000" w:themeColor="text1"/>
          <w:lang w:val="en-GB"/>
        </w:rPr>
        <w:t>Haagh</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2017a</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w:t>
      </w:r>
      <w:r w:rsidR="000B3A65" w:rsidRPr="005234EE">
        <w:rPr>
          <w:rFonts w:ascii="Calibri" w:hAnsi="Calibri"/>
          <w:color w:val="000000" w:themeColor="text1"/>
          <w:lang w:val="en-GB"/>
        </w:rPr>
        <w:t>2017</w:t>
      </w:r>
      <w:r w:rsidRPr="005234EE">
        <w:rPr>
          <w:rFonts w:ascii="Calibri" w:hAnsi="Calibri"/>
          <w:color w:val="000000" w:themeColor="text1"/>
          <w:lang w:val="en-GB"/>
        </w:rPr>
        <w:t>b</w:t>
      </w:r>
      <w:commentRangeEnd w:id="16"/>
      <w:r w:rsidR="00D15622" w:rsidRPr="005234EE">
        <w:rPr>
          <w:rStyle w:val="CommentReference"/>
          <w:rFonts w:ascii="Calibri" w:hAnsi="Calibri" w:cstheme="minorBidi"/>
          <w:sz w:val="24"/>
          <w:szCs w:val="24"/>
        </w:rPr>
        <w:commentReference w:id="16"/>
      </w:r>
      <w:r w:rsidRPr="005234EE">
        <w:rPr>
          <w:rFonts w:ascii="Calibri" w:hAnsi="Calibri"/>
          <w:color w:val="000000" w:themeColor="text1"/>
          <w:lang w:val="en-GB"/>
        </w:rPr>
        <w:t xml:space="preserve">). An intention to simplify through market adaptation may in the end complicate labour market participation. Moreover, direct market mediation through the benefits system entails the administration both of employment mediation and sanctions have been made at once less humanist and more impersonal. </w:t>
      </w:r>
    </w:p>
    <w:p w14:paraId="58AE7C0F" w14:textId="77777777" w:rsidR="009116FE" w:rsidRPr="005234EE" w:rsidRDefault="009116FE" w:rsidP="008E6E81">
      <w:pPr>
        <w:ind w:left="-397" w:right="-397"/>
        <w:jc w:val="both"/>
        <w:rPr>
          <w:rFonts w:ascii="Calibri" w:hAnsi="Calibri"/>
          <w:color w:val="000000" w:themeColor="text1"/>
          <w:lang w:val="en-GB"/>
        </w:rPr>
      </w:pPr>
    </w:p>
    <w:p w14:paraId="28402E74" w14:textId="3BF45B2B" w:rsidR="009116FE" w:rsidRPr="005234EE" w:rsidRDefault="009116FE" w:rsidP="00234B29">
      <w:pPr>
        <w:ind w:left="-397" w:right="-397"/>
        <w:jc w:val="both"/>
        <w:rPr>
          <w:rFonts w:ascii="Calibri" w:hAnsi="Calibri"/>
          <w:color w:val="000000" w:themeColor="text1"/>
          <w:lang w:val="en-GB"/>
        </w:rPr>
      </w:pPr>
      <w:r w:rsidRPr="005234EE">
        <w:rPr>
          <w:rFonts w:ascii="Calibri" w:hAnsi="Calibri"/>
          <w:color w:val="000000" w:themeColor="text1"/>
          <w:lang w:val="en-GB"/>
        </w:rPr>
        <w:t>Sanctions regimes exemplify how human economy governance and justice are closely linked with state capacity for development governance. In the case of Britain, governing sanctions regimes through the market indicates weak democratic responsiveness in state policy to collective interests in human development protection. Market mediation is a source of human economy injustice</w:t>
      </w:r>
      <w:r w:rsidR="00F21BC5">
        <w:rPr>
          <w:rFonts w:ascii="Calibri" w:hAnsi="Calibri"/>
          <w:color w:val="000000" w:themeColor="text1"/>
          <w:lang w:val="en-GB"/>
        </w:rPr>
        <w:t>,</w:t>
      </w:r>
      <w:r w:rsidRPr="005234EE">
        <w:rPr>
          <w:rFonts w:ascii="Calibri" w:hAnsi="Calibri"/>
          <w:color w:val="000000" w:themeColor="text1"/>
          <w:lang w:val="en-GB"/>
        </w:rPr>
        <w:t xml:space="preserve"> where sanctions are applied in relation to work processes a person cannot reasonably control</w:t>
      </w:r>
      <w:r w:rsidR="00F21BC5">
        <w:rPr>
          <w:rFonts w:ascii="Calibri" w:hAnsi="Calibri"/>
          <w:color w:val="000000" w:themeColor="text1"/>
          <w:lang w:val="en-GB"/>
        </w:rPr>
        <w:t>,</w:t>
      </w:r>
      <w:r w:rsidRPr="005234EE">
        <w:rPr>
          <w:rFonts w:ascii="Calibri" w:hAnsi="Calibri"/>
          <w:color w:val="000000" w:themeColor="text1"/>
          <w:lang w:val="en-GB"/>
        </w:rPr>
        <w:t xml:space="preserve"> or combine with responsibilities that rely on steady forms of income and time - e.g. housing or parenting. Positively organising state control systems so as to reflect market processes more directly further erodes weak government capacity to shape the market. At stake is a form of exhaustion of state capacity to promote human development within everyday institutions.</w:t>
      </w:r>
    </w:p>
    <w:p w14:paraId="7348E7D4" w14:textId="77777777" w:rsidR="009116FE" w:rsidRPr="005234EE" w:rsidRDefault="009116FE" w:rsidP="00E805ED">
      <w:pPr>
        <w:ind w:left="-397" w:right="-397"/>
        <w:jc w:val="both"/>
        <w:rPr>
          <w:rFonts w:ascii="Calibri" w:hAnsi="Calibri"/>
          <w:color w:val="000000" w:themeColor="text1"/>
          <w:lang w:val="en-GB"/>
        </w:rPr>
      </w:pPr>
    </w:p>
    <w:p w14:paraId="1A984F97" w14:textId="5CC3112E" w:rsidR="009116FE" w:rsidRPr="005234EE" w:rsidRDefault="009116FE" w:rsidP="00234B29">
      <w:pPr>
        <w:ind w:left="-397" w:right="-397"/>
        <w:jc w:val="both"/>
        <w:rPr>
          <w:rFonts w:ascii="Calibri" w:hAnsi="Calibri"/>
          <w:color w:val="000000" w:themeColor="text1"/>
          <w:lang w:val="en-GB"/>
        </w:rPr>
      </w:pPr>
      <w:r w:rsidRPr="005234EE">
        <w:rPr>
          <w:rFonts w:ascii="Calibri" w:hAnsi="Calibri"/>
          <w:color w:val="000000" w:themeColor="text1"/>
          <w:lang w:val="en-GB"/>
        </w:rPr>
        <w:t xml:space="preserve">This stands in relevant contrast to the mode of application of sanctions in Denmark in a wider context of more coherent and formal systems of governing human economy. Bearing in mind that the punitive effects of the same sanction are more severe in public assistance, as by definition no up back-up is available, it is evident public assistance sanctions stand in conflict with humanist strands in Nordic public law. It is interesting to note, however, several ways in which this tension is recognized.  </w:t>
      </w:r>
      <w:r w:rsidRPr="005234EE">
        <w:rPr>
          <w:rFonts w:ascii="Calibri" w:hAnsi="Calibri"/>
          <w:color w:val="000000" w:themeColor="text1"/>
          <w:lang w:val="en-GB"/>
        </w:rPr>
        <w:lastRenderedPageBreak/>
        <w:t>Although – as noted – overall more public assistance than UI sanctions are given, more severe public assistance sanctions are comparably rare. In the UI system, 81 % of sanctions are ‘point’ sanctions, reducing benefits for up to one or two days in a month (Klos</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0B3A65" w:rsidRPr="005234EE">
        <w:rPr>
          <w:rFonts w:ascii="Calibri" w:hAnsi="Calibri"/>
          <w:color w:val="000000" w:themeColor="text1"/>
          <w:lang w:val="en-GB"/>
        </w:rPr>
        <w:t>p.</w:t>
      </w:r>
      <w:r w:rsidRPr="005234EE">
        <w:rPr>
          <w:rFonts w:ascii="Calibri" w:hAnsi="Calibri"/>
          <w:color w:val="000000" w:themeColor="text1"/>
          <w:lang w:val="en-GB"/>
        </w:rPr>
        <w:t>15). In the public assistance system, 96 % of all sanctions are point sanctions (Beskæftigelsesministeriet, 2016; Klos</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0B3A65" w:rsidRPr="005234EE">
        <w:rPr>
          <w:rFonts w:ascii="Calibri" w:hAnsi="Calibri"/>
          <w:color w:val="000000" w:themeColor="text1"/>
          <w:lang w:val="en-GB"/>
        </w:rPr>
        <w:t>p.</w:t>
      </w:r>
      <w:r w:rsidRPr="005234EE">
        <w:rPr>
          <w:rFonts w:ascii="Calibri" w:hAnsi="Calibri"/>
          <w:color w:val="000000" w:themeColor="text1"/>
          <w:lang w:val="en-GB"/>
        </w:rPr>
        <w:t xml:space="preserve">20). </w:t>
      </w:r>
    </w:p>
    <w:p w14:paraId="60322021" w14:textId="77777777" w:rsidR="009116FE" w:rsidRPr="005234EE" w:rsidRDefault="009116FE" w:rsidP="008E6E81">
      <w:pPr>
        <w:ind w:right="-397"/>
        <w:jc w:val="both"/>
        <w:rPr>
          <w:rFonts w:ascii="Calibri" w:hAnsi="Calibri"/>
          <w:color w:val="000000" w:themeColor="text1"/>
          <w:lang w:val="en-GB"/>
        </w:rPr>
      </w:pPr>
    </w:p>
    <w:p w14:paraId="7E078EBE" w14:textId="462D4048"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At the same time, a lot of evidence suggests that sanctions are intended (even if they can hardly be felt as being) educational in character. Research based on extensive qualitative interviews and observation suggest a strong investment of social worker time and an orientation to ‘educate’, or, directly translated, ‘upbringing’, operates in the application of sanctions. According to Caswell et al 2011, 41, an intention to retain particular young men within education or training is involved in a growing tendency to focus sanctions on this demographic (Caswell et al</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2011, </w:t>
      </w:r>
      <w:r w:rsidR="000B3A65" w:rsidRPr="005234EE">
        <w:rPr>
          <w:rFonts w:ascii="Calibri" w:hAnsi="Calibri"/>
          <w:color w:val="000000" w:themeColor="text1"/>
          <w:lang w:val="en-GB"/>
        </w:rPr>
        <w:t>p.</w:t>
      </w:r>
      <w:r w:rsidRPr="005234EE">
        <w:rPr>
          <w:rFonts w:ascii="Calibri" w:hAnsi="Calibri"/>
          <w:color w:val="000000" w:themeColor="text1"/>
          <w:lang w:val="en-GB"/>
        </w:rPr>
        <w:t>10). Caswell also report that sanctioned individuals stay in the system for a short time (</w:t>
      </w:r>
      <w:r w:rsidR="00EA1ED7" w:rsidRPr="005234EE">
        <w:rPr>
          <w:rFonts w:ascii="Calibri" w:hAnsi="Calibri"/>
          <w:color w:val="000000" w:themeColor="text1"/>
          <w:lang w:val="en-GB"/>
        </w:rPr>
        <w:t>Caswell et al., 2011, p.10</w:t>
      </w:r>
      <w:r w:rsidRPr="005234EE">
        <w:rPr>
          <w:rFonts w:ascii="Calibri" w:hAnsi="Calibri"/>
          <w:color w:val="000000" w:themeColor="text1"/>
          <w:lang w:val="en-GB"/>
        </w:rPr>
        <w:t xml:space="preserve">; and Beskæftigelsesministeriet, 2016, </w:t>
      </w:r>
      <w:r w:rsidR="000B3A65" w:rsidRPr="005234EE">
        <w:rPr>
          <w:rFonts w:ascii="Calibri" w:hAnsi="Calibri"/>
          <w:color w:val="000000" w:themeColor="text1"/>
          <w:lang w:val="en-GB"/>
        </w:rPr>
        <w:t>p.</w:t>
      </w:r>
      <w:r w:rsidRPr="005234EE">
        <w:rPr>
          <w:rFonts w:ascii="Calibri" w:hAnsi="Calibri"/>
          <w:color w:val="000000" w:themeColor="text1"/>
          <w:lang w:val="en-GB"/>
        </w:rPr>
        <w:t>8). Thus, although a similarly high rate of sanctions in the UK and Danish system are applied to younger persons, around 42 % in Denmark and 41 % in Britain (Joseph Rowntree</w:t>
      </w:r>
      <w:r w:rsidR="000114F4" w:rsidRPr="005234EE">
        <w:rPr>
          <w:rFonts w:ascii="Calibri" w:hAnsi="Calibri"/>
          <w:color w:val="000000" w:themeColor="text1"/>
          <w:lang w:val="en-GB"/>
        </w:rPr>
        <w:t xml:space="preserve"> Foundation</w:t>
      </w:r>
      <w:r w:rsidR="000B3A65"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0B3A65" w:rsidRPr="005234EE">
        <w:rPr>
          <w:rFonts w:ascii="Calibri" w:hAnsi="Calibri"/>
          <w:color w:val="000000" w:themeColor="text1"/>
          <w:lang w:val="en-GB"/>
        </w:rPr>
        <w:t>p.</w:t>
      </w:r>
      <w:r w:rsidRPr="005234EE">
        <w:rPr>
          <w:rFonts w:ascii="Calibri" w:hAnsi="Calibri"/>
          <w:color w:val="000000" w:themeColor="text1"/>
          <w:lang w:val="en-GB"/>
        </w:rPr>
        <w:t>5), both the reasons and implications are different. In particular, a high level of availability of funded education and state efforts to retain persons within education is an important (if not the only) background factor in sanctions in Denmark.</w:t>
      </w:r>
    </w:p>
    <w:p w14:paraId="02FBF96D" w14:textId="77777777" w:rsidR="009116FE" w:rsidRPr="005234EE" w:rsidRDefault="009116FE" w:rsidP="008E6E81">
      <w:pPr>
        <w:ind w:right="-397"/>
        <w:jc w:val="both"/>
        <w:rPr>
          <w:rFonts w:ascii="Calibri" w:hAnsi="Calibri"/>
          <w:color w:val="000000" w:themeColor="text1"/>
          <w:lang w:val="en-GB"/>
        </w:rPr>
      </w:pPr>
    </w:p>
    <w:p w14:paraId="751F468A" w14:textId="77777777" w:rsidR="009116FE" w:rsidRPr="005234EE" w:rsidRDefault="009116FE" w:rsidP="008E6E81">
      <w:pPr>
        <w:ind w:right="-397"/>
        <w:jc w:val="both"/>
        <w:rPr>
          <w:rFonts w:ascii="Calibri" w:hAnsi="Calibri"/>
          <w:color w:val="000000" w:themeColor="text1"/>
          <w:lang w:val="en-GB"/>
        </w:rPr>
      </w:pPr>
    </w:p>
    <w:p w14:paraId="179C7B61" w14:textId="5C2BD5DB"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4.2 Governance and Rights Traditions in Income Security</w:t>
      </w:r>
    </w:p>
    <w:p w14:paraId="3C41CA8F" w14:textId="77777777" w:rsidR="009116FE" w:rsidRPr="005234EE" w:rsidRDefault="009116FE" w:rsidP="008E6E81">
      <w:pPr>
        <w:ind w:right="-397"/>
        <w:jc w:val="both"/>
        <w:rPr>
          <w:rFonts w:ascii="Calibri" w:hAnsi="Calibri"/>
          <w:color w:val="000000" w:themeColor="text1"/>
          <w:lang w:val="en-GB"/>
        </w:rPr>
      </w:pPr>
    </w:p>
    <w:p w14:paraId="50DDB093" w14:textId="1321BE14" w:rsidR="009116FE" w:rsidRPr="005234EE" w:rsidRDefault="009116FE" w:rsidP="00891F82">
      <w:pPr>
        <w:ind w:left="-397" w:right="-397"/>
        <w:jc w:val="both"/>
        <w:rPr>
          <w:rFonts w:ascii="Calibri" w:hAnsi="Calibri"/>
          <w:color w:val="000000" w:themeColor="text1"/>
          <w:lang w:val="en-GB"/>
        </w:rPr>
      </w:pPr>
      <w:r w:rsidRPr="005234EE">
        <w:rPr>
          <w:rFonts w:ascii="Calibri" w:hAnsi="Calibri"/>
          <w:color w:val="000000" w:themeColor="text1"/>
          <w:lang w:val="en-GB"/>
        </w:rPr>
        <w:t>In this section I look at the way systemic features of governance affect the character and negative effect of sanctions. A general factor behind (the above discussed) negative impacts of sanctions is the attempt they represent to intervene in cognitive processes.</w:t>
      </w:r>
      <w:r w:rsidRPr="005234EE">
        <w:rPr>
          <w:rStyle w:val="EndnoteReference"/>
          <w:rFonts w:ascii="Calibri" w:hAnsi="Calibri"/>
          <w:color w:val="000000" w:themeColor="text1"/>
          <w:lang w:val="en-GB"/>
        </w:rPr>
        <w:endnoteReference w:id="23"/>
      </w:r>
      <w:r w:rsidRPr="005234EE">
        <w:rPr>
          <w:rFonts w:ascii="Calibri" w:hAnsi="Calibri"/>
          <w:color w:val="000000" w:themeColor="text1"/>
          <w:lang w:val="en-GB"/>
        </w:rPr>
        <w:t xml:space="preserve"> In turn, the inherent motivational constraints on sanctions having effect make discretionary factors and error in administration more likely, further undermining the legal basis for sanctions. To illustrate, in both Denmark and Britain, an extremely high rate of errors in investigations of sanctions are found. A Danish government report of 2012 identified an average level of error of 20% across municipalities, but great variation, with some having 2% and others 71% erroneous judgements (Arbejdsstyrelsen</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2012, cited in Klos</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1F4EB4" w:rsidRPr="005234EE">
        <w:rPr>
          <w:rFonts w:ascii="Calibri" w:hAnsi="Calibri"/>
          <w:color w:val="000000" w:themeColor="text1"/>
          <w:lang w:val="en-GB"/>
        </w:rPr>
        <w:t>p.</w:t>
      </w:r>
      <w:r w:rsidRPr="005234EE">
        <w:rPr>
          <w:rFonts w:ascii="Calibri" w:hAnsi="Calibri"/>
          <w:color w:val="000000" w:themeColor="text1"/>
          <w:lang w:val="en-GB"/>
        </w:rPr>
        <w:t>26).</w:t>
      </w:r>
      <w:r w:rsidRPr="005234EE">
        <w:rPr>
          <w:rStyle w:val="EndnoteReference"/>
          <w:rFonts w:ascii="Calibri" w:hAnsi="Calibri"/>
          <w:color w:val="000000" w:themeColor="text1"/>
          <w:lang w:val="en-GB"/>
        </w:rPr>
        <w:t xml:space="preserve"> </w:t>
      </w:r>
    </w:p>
    <w:p w14:paraId="63CBD86F" w14:textId="77777777" w:rsidR="009116FE" w:rsidRPr="005234EE" w:rsidRDefault="009116FE" w:rsidP="008E6E81">
      <w:pPr>
        <w:ind w:right="-397"/>
        <w:jc w:val="both"/>
        <w:rPr>
          <w:rFonts w:ascii="Calibri" w:hAnsi="Calibri"/>
          <w:color w:val="000000" w:themeColor="text1"/>
          <w:lang w:val="en-GB"/>
        </w:rPr>
      </w:pPr>
    </w:p>
    <w:p w14:paraId="1E3AFCC8" w14:textId="285A42EF"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In the UK, cases appealed to the courts are found to be faulty in 40 per cent of cases (Adler</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2016, </w:t>
      </w:r>
      <w:r w:rsidR="001F4EB4" w:rsidRPr="005234EE">
        <w:rPr>
          <w:rFonts w:ascii="Calibri" w:hAnsi="Calibri"/>
          <w:color w:val="000000" w:themeColor="text1"/>
          <w:lang w:val="en-GB"/>
        </w:rPr>
        <w:t>p.</w:t>
      </w:r>
      <w:r w:rsidRPr="005234EE">
        <w:rPr>
          <w:rFonts w:ascii="Calibri" w:hAnsi="Calibri"/>
          <w:color w:val="000000" w:themeColor="text1"/>
          <w:lang w:val="en-GB"/>
        </w:rPr>
        <w:t>209). However as other data shows welfare clients to be very inadequately informed, this number is typically assumed to be higher. According to the government auditor (</w:t>
      </w:r>
      <w:r w:rsidR="00EA1ED7" w:rsidRPr="005234EE">
        <w:rPr>
          <w:rFonts w:ascii="Calibri" w:hAnsi="Calibri"/>
          <w:color w:val="000000" w:themeColor="text1"/>
          <w:lang w:val="en-GB"/>
        </w:rPr>
        <w:t>National Audit Office</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2016, </w:t>
      </w:r>
      <w:r w:rsidR="001F4EB4" w:rsidRPr="005234EE">
        <w:rPr>
          <w:rFonts w:ascii="Calibri" w:hAnsi="Calibri"/>
          <w:color w:val="000000" w:themeColor="text1"/>
          <w:lang w:val="en-GB"/>
        </w:rPr>
        <w:t>p.</w:t>
      </w:r>
      <w:r w:rsidRPr="005234EE">
        <w:rPr>
          <w:rFonts w:ascii="Calibri" w:hAnsi="Calibri"/>
          <w:color w:val="000000" w:themeColor="text1"/>
          <w:lang w:val="en-GB"/>
        </w:rPr>
        <w:t>8), in August 2016 nearly half (42 %) of decisions about sanctions on the government’s newest unified scheme of payments (Universal Credit) took more than 28 days to decide, and backlogs are growing. 40 percent of referrals are abandoned due to errors in information</w:t>
      </w:r>
      <w:r w:rsidR="00F21BC5">
        <w:rPr>
          <w:rFonts w:ascii="Calibri" w:hAnsi="Calibri"/>
          <w:color w:val="000000" w:themeColor="text1"/>
          <w:lang w:val="en-GB"/>
        </w:rPr>
        <w:t>,</w:t>
      </w:r>
      <w:r w:rsidRPr="005234EE">
        <w:rPr>
          <w:rFonts w:ascii="Calibri" w:hAnsi="Calibri"/>
          <w:color w:val="000000" w:themeColor="text1"/>
          <w:lang w:val="en-GB"/>
        </w:rPr>
        <w:t xml:space="preserve"> leaving a high number of individuals in a state of legal uncertainty (</w:t>
      </w:r>
      <w:r w:rsidR="00EA1ED7" w:rsidRPr="005234EE">
        <w:rPr>
          <w:rFonts w:ascii="Calibri" w:hAnsi="Calibri"/>
          <w:color w:val="000000" w:themeColor="text1"/>
          <w:lang w:val="en-GB"/>
        </w:rPr>
        <w:t>National Audit Office, 2016, p.8</w:t>
      </w:r>
      <w:r w:rsidRPr="005234EE">
        <w:rPr>
          <w:rFonts w:ascii="Calibri" w:hAnsi="Calibri"/>
          <w:color w:val="000000" w:themeColor="text1"/>
          <w:lang w:val="en-GB"/>
        </w:rPr>
        <w:t xml:space="preserve">). </w:t>
      </w:r>
    </w:p>
    <w:p w14:paraId="49D51E1C" w14:textId="77777777" w:rsidR="009116FE" w:rsidRPr="005234EE" w:rsidRDefault="009116FE" w:rsidP="008E6E81">
      <w:pPr>
        <w:ind w:left="-397" w:right="-397"/>
        <w:jc w:val="both"/>
        <w:rPr>
          <w:rFonts w:ascii="Calibri" w:hAnsi="Calibri"/>
          <w:color w:val="000000" w:themeColor="text1"/>
          <w:lang w:val="en-GB"/>
        </w:rPr>
      </w:pPr>
    </w:p>
    <w:p w14:paraId="0B334A6D" w14:textId="29C69B26" w:rsidR="009116FE" w:rsidRPr="005234EE" w:rsidRDefault="009116FE" w:rsidP="00EB3AEB">
      <w:pPr>
        <w:ind w:left="-397" w:right="-397"/>
        <w:jc w:val="both"/>
        <w:rPr>
          <w:rFonts w:ascii="Calibri" w:hAnsi="Calibri"/>
          <w:color w:val="000000" w:themeColor="text1"/>
          <w:lang w:val="en-GB"/>
        </w:rPr>
      </w:pPr>
      <w:r w:rsidRPr="005234EE">
        <w:rPr>
          <w:rFonts w:ascii="Calibri" w:hAnsi="Calibri"/>
          <w:color w:val="000000" w:themeColor="text1"/>
          <w:lang w:val="en-GB"/>
        </w:rPr>
        <w:t>We can assume employment and negative motivational effects are greater in Britain given, as discussed, the close connection between sanctions and precarious work, and the way (above) severity of sanctions coerce individuals into accepting jobs. As further evidence of this, in Britain, sanctions are acknowledged to be designed with a general ‘deterrence’ effect in mind (</w:t>
      </w:r>
      <w:r w:rsidR="00EA1ED7" w:rsidRPr="005234EE">
        <w:rPr>
          <w:rFonts w:ascii="Calibri" w:hAnsi="Calibri"/>
          <w:color w:val="000000" w:themeColor="text1"/>
        </w:rPr>
        <w:t>National Audit Office</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2016, </w:t>
      </w:r>
      <w:r w:rsidR="001F4EB4" w:rsidRPr="005234EE">
        <w:rPr>
          <w:rFonts w:ascii="Calibri" w:hAnsi="Calibri"/>
          <w:color w:val="000000" w:themeColor="text1"/>
          <w:lang w:val="en-GB"/>
        </w:rPr>
        <w:t>p.</w:t>
      </w:r>
      <w:r w:rsidRPr="005234EE">
        <w:rPr>
          <w:rFonts w:ascii="Calibri" w:hAnsi="Calibri"/>
          <w:color w:val="000000" w:themeColor="text1"/>
          <w:lang w:val="en-GB"/>
        </w:rPr>
        <w:t>7). In this context, and considering the more precarious markets in labour, leasing out sanction judgements to private providers</w:t>
      </w:r>
      <w:r w:rsidR="00F21BC5">
        <w:rPr>
          <w:rFonts w:ascii="Calibri" w:hAnsi="Calibri"/>
          <w:color w:val="000000" w:themeColor="text1"/>
          <w:lang w:val="en-GB"/>
        </w:rPr>
        <w:t>,</w:t>
      </w:r>
      <w:r w:rsidRPr="005234EE">
        <w:rPr>
          <w:rFonts w:ascii="Calibri" w:hAnsi="Calibri"/>
          <w:color w:val="000000" w:themeColor="text1"/>
          <w:lang w:val="en-GB"/>
        </w:rPr>
        <w:t xml:space="preserve"> risks deepening the freedom-reducing dimensions of sanctions. This is both because contractors may have greater incentives to sanction, if this affects their perceived performance, and because if government ability to regulate is weaker, as reports suggest is the case, the likelihood of low accountability and error increases. Notably, a public audit (</w:t>
      </w:r>
      <w:r w:rsidR="00EA1ED7" w:rsidRPr="005234EE">
        <w:rPr>
          <w:rFonts w:ascii="Calibri" w:hAnsi="Calibri"/>
          <w:color w:val="000000" w:themeColor="text1"/>
        </w:rPr>
        <w:t>National Audit Office</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w:t>
      </w:r>
      <w:r w:rsidR="00EA1ED7" w:rsidRPr="005234EE">
        <w:rPr>
          <w:rFonts w:ascii="Calibri" w:hAnsi="Calibri"/>
          <w:color w:val="000000" w:themeColor="text1"/>
          <w:lang w:val="en-GB"/>
        </w:rPr>
        <w:lastRenderedPageBreak/>
        <w:t>2016</w:t>
      </w:r>
      <w:r w:rsidRPr="005234EE">
        <w:rPr>
          <w:rFonts w:ascii="Calibri" w:hAnsi="Calibri"/>
          <w:color w:val="000000" w:themeColor="text1"/>
          <w:lang w:val="en-GB"/>
        </w:rPr>
        <w:t xml:space="preserve">, </w:t>
      </w:r>
      <w:r w:rsidR="001F4EB4" w:rsidRPr="005234EE">
        <w:rPr>
          <w:rFonts w:ascii="Calibri" w:hAnsi="Calibri"/>
          <w:color w:val="000000" w:themeColor="text1"/>
          <w:lang w:val="en-GB"/>
        </w:rPr>
        <w:t>p.</w:t>
      </w:r>
      <w:r w:rsidRPr="005234EE">
        <w:rPr>
          <w:rFonts w:ascii="Calibri" w:hAnsi="Calibri"/>
          <w:color w:val="000000" w:themeColor="text1"/>
          <w:lang w:val="en-GB"/>
        </w:rPr>
        <w:t>5) found a 26 percent flaw-rate by providers, compared with an 11 % rate by job centres in 2015. Again, in this case, we find lower levels of PSO corrodes the basis for public justice in both humanist and governance effectual terms.</w:t>
      </w:r>
    </w:p>
    <w:p w14:paraId="49BAE621" w14:textId="77777777" w:rsidR="009116FE" w:rsidRPr="005234EE" w:rsidRDefault="009116FE" w:rsidP="008E6E81">
      <w:pPr>
        <w:ind w:left="-397" w:right="-397"/>
        <w:jc w:val="both"/>
        <w:rPr>
          <w:rFonts w:ascii="Calibri" w:hAnsi="Calibri"/>
          <w:color w:val="000000" w:themeColor="text1"/>
          <w:lang w:val="en-GB"/>
        </w:rPr>
      </w:pPr>
    </w:p>
    <w:p w14:paraId="221B521D" w14:textId="34F38927"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Government justification for linking sanction to unstable contracts is based on a classic market-rational argument, namely that on average zero-hour contracts provide 25 hours of work.</w:t>
      </w:r>
      <w:r w:rsidRPr="005234EE">
        <w:rPr>
          <w:rStyle w:val="EndnoteReference"/>
          <w:rFonts w:ascii="Calibri" w:hAnsi="Calibri"/>
          <w:color w:val="000000" w:themeColor="text1"/>
          <w:lang w:val="en-GB"/>
        </w:rPr>
        <w:endnoteReference w:id="24"/>
      </w:r>
      <w:r w:rsidRPr="005234EE">
        <w:rPr>
          <w:rFonts w:ascii="Calibri" w:hAnsi="Calibri"/>
          <w:color w:val="000000" w:themeColor="text1"/>
          <w:lang w:val="en-GB"/>
        </w:rPr>
        <w:t xml:space="preserve"> However, in practice, zero-hours contracts do not guarantee regular, or any, hours of work. Hence, their implication in sanctioning shows the extent to which the administration of sanctions has little or no real reference to the situation of the individual case, and governance in Britain is blunt. To the extent that affordable child-care is unavailable for low-wage earners (European Commission</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2013; The Family and Childcare Trust</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2014), and unstable hours makes it impossible to plan it, social sources of women’s vulnerability and the low status of their personhood have been systematically extended through the regime of benefits sanctions (</w:t>
      </w:r>
      <w:r w:rsidR="00746F96" w:rsidRPr="005234EE">
        <w:rPr>
          <w:rFonts w:ascii="Calibri" w:eastAsia="Times New Roman" w:hAnsi="Calibri"/>
          <w:color w:val="000000" w:themeColor="text1"/>
          <w:lang w:val="en-GB" w:eastAsia="en-GB"/>
        </w:rPr>
        <w:t>Work and Pensions Committee</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2017). </w:t>
      </w:r>
    </w:p>
    <w:p w14:paraId="0D29D903" w14:textId="77777777" w:rsidR="009116FE" w:rsidRPr="005234EE" w:rsidRDefault="009116FE" w:rsidP="008E6E81">
      <w:pPr>
        <w:ind w:right="-397"/>
        <w:jc w:val="both"/>
        <w:rPr>
          <w:rFonts w:ascii="Calibri" w:hAnsi="Calibri"/>
          <w:color w:val="000000" w:themeColor="text1"/>
          <w:lang w:val="en-GB"/>
        </w:rPr>
      </w:pPr>
    </w:p>
    <w:p w14:paraId="1976FD97" w14:textId="33B7E096"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The technological extension of market mediation has also been noted as potentially a source of corrosion of state-citizen relations – and of arbitrariness in decisions - in Denmark. Sanctions often come as a ’surprise’ (Caswell et al</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2011, </w:t>
      </w:r>
      <w:r w:rsidR="001F4EB4" w:rsidRPr="005234EE">
        <w:rPr>
          <w:rFonts w:ascii="Calibri" w:hAnsi="Calibri"/>
          <w:color w:val="000000" w:themeColor="text1"/>
          <w:lang w:val="en-GB"/>
        </w:rPr>
        <w:t>pp.</w:t>
      </w:r>
      <w:r w:rsidRPr="005234EE">
        <w:rPr>
          <w:rFonts w:ascii="Calibri" w:hAnsi="Calibri"/>
          <w:color w:val="000000" w:themeColor="text1"/>
          <w:lang w:val="en-GB"/>
        </w:rPr>
        <w:t>64-</w:t>
      </w:r>
      <w:r w:rsidR="001F4EB4" w:rsidRPr="005234EE">
        <w:rPr>
          <w:rFonts w:ascii="Calibri" w:hAnsi="Calibri"/>
          <w:color w:val="000000" w:themeColor="text1"/>
          <w:lang w:val="en-GB"/>
        </w:rPr>
        <w:t>6</w:t>
      </w:r>
      <w:r w:rsidRPr="005234EE">
        <w:rPr>
          <w:rFonts w:ascii="Calibri" w:hAnsi="Calibri"/>
          <w:color w:val="000000" w:themeColor="text1"/>
          <w:lang w:val="en-GB"/>
        </w:rPr>
        <w:t>5).</w:t>
      </w:r>
      <w:r w:rsidRPr="005234EE">
        <w:rPr>
          <w:rStyle w:val="EndnoteReference"/>
          <w:rFonts w:ascii="Calibri" w:hAnsi="Calibri"/>
          <w:color w:val="000000" w:themeColor="text1"/>
          <w:lang w:val="en-GB"/>
        </w:rPr>
        <w:t xml:space="preserve"> </w:t>
      </w:r>
      <w:r w:rsidRPr="005234EE">
        <w:rPr>
          <w:rFonts w:ascii="Calibri" w:hAnsi="Calibri"/>
          <w:color w:val="000000" w:themeColor="text1"/>
          <w:lang w:val="en-GB"/>
        </w:rPr>
        <w:t xml:space="preserve">On the other hand, in Denmark awareness of the phenomenon appears to be linked with the professional and public character of the administration of sanctions. One study reported that social workers viewed “[a]utomation and distance in the administration of sanctions… as a condition for being able to sanction according to a principle of equal treatment” (translated from Danish, </w:t>
      </w:r>
      <w:r w:rsidR="001F4EB4" w:rsidRPr="005234EE">
        <w:rPr>
          <w:rFonts w:ascii="Calibri" w:hAnsi="Calibri"/>
          <w:color w:val="000000" w:themeColor="text1"/>
          <w:lang w:val="en-GB"/>
        </w:rPr>
        <w:t>cited in</w:t>
      </w:r>
      <w:r w:rsidRPr="005234EE">
        <w:rPr>
          <w:rFonts w:ascii="Calibri" w:hAnsi="Calibri"/>
          <w:color w:val="000000" w:themeColor="text1"/>
          <w:lang w:val="en-GB"/>
        </w:rPr>
        <w:t xml:space="preserve"> Caswell</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2011, </w:t>
      </w:r>
      <w:r w:rsidR="001F4EB4" w:rsidRPr="005234EE">
        <w:rPr>
          <w:rFonts w:ascii="Calibri" w:hAnsi="Calibri"/>
          <w:color w:val="000000" w:themeColor="text1"/>
          <w:lang w:val="en-GB"/>
        </w:rPr>
        <w:t>p.</w:t>
      </w:r>
      <w:r w:rsidRPr="005234EE">
        <w:rPr>
          <w:rFonts w:ascii="Calibri" w:hAnsi="Calibri"/>
          <w:color w:val="000000" w:themeColor="text1"/>
          <w:lang w:val="en-GB"/>
        </w:rPr>
        <w:t>78), with the implication this led to inability to exercise judgement about circumstances of particular cases.</w:t>
      </w:r>
    </w:p>
    <w:p w14:paraId="04EB57DC" w14:textId="77777777" w:rsidR="009116FE" w:rsidRPr="005234EE" w:rsidRDefault="009116FE" w:rsidP="008E6E81">
      <w:pPr>
        <w:ind w:left="-397" w:right="-397"/>
        <w:jc w:val="both"/>
        <w:rPr>
          <w:rFonts w:ascii="Calibri" w:hAnsi="Calibri"/>
          <w:color w:val="000000" w:themeColor="text1"/>
          <w:lang w:val="en-GB"/>
        </w:rPr>
      </w:pPr>
    </w:p>
    <w:p w14:paraId="539649C5" w14:textId="4244D03D" w:rsidR="009116FE" w:rsidRPr="005234EE" w:rsidRDefault="009116FE" w:rsidP="00234B29">
      <w:pPr>
        <w:ind w:left="-397" w:right="-397"/>
        <w:jc w:val="both"/>
        <w:rPr>
          <w:rFonts w:ascii="Calibri" w:hAnsi="Calibri"/>
          <w:color w:val="000000" w:themeColor="text1"/>
          <w:lang w:val="en-GB"/>
        </w:rPr>
      </w:pPr>
      <w:r w:rsidRPr="005234EE">
        <w:rPr>
          <w:rFonts w:ascii="Calibri" w:hAnsi="Calibri"/>
          <w:color w:val="000000" w:themeColor="text1"/>
          <w:lang w:val="en-GB"/>
        </w:rPr>
        <w:t>It is not surprising that many studies find sanctions have negative effects on health, and a positive effect on crime (as summarised in Griggs and Evans</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2010). Nevertheless, there is evidence that adverse effects are better known, and broadly contained, in the Danish system. For instance, Caswell et al</w:t>
      </w:r>
      <w:r w:rsidR="001F4EB4" w:rsidRPr="005234EE">
        <w:rPr>
          <w:rFonts w:ascii="Calibri" w:hAnsi="Calibri"/>
          <w:color w:val="000000" w:themeColor="text1"/>
          <w:lang w:val="en-GB"/>
        </w:rPr>
        <w:t>.</w:t>
      </w:r>
      <w:r w:rsidRPr="005234EE">
        <w:rPr>
          <w:rFonts w:ascii="Calibri" w:hAnsi="Calibri"/>
          <w:color w:val="000000" w:themeColor="text1"/>
          <w:lang w:val="en-GB"/>
        </w:rPr>
        <w:t xml:space="preserve"> (</w:t>
      </w:r>
      <w:r w:rsidR="00F239DF" w:rsidRPr="005234EE">
        <w:rPr>
          <w:rFonts w:ascii="Calibri" w:hAnsi="Calibri"/>
          <w:color w:val="000000" w:themeColor="text1"/>
          <w:lang w:val="en-GB"/>
        </w:rPr>
        <w:t>2011</w:t>
      </w:r>
      <w:r w:rsidRPr="005234EE">
        <w:rPr>
          <w:rFonts w:ascii="Calibri" w:hAnsi="Calibri"/>
          <w:color w:val="000000" w:themeColor="text1"/>
          <w:lang w:val="en-GB"/>
        </w:rPr>
        <w:t xml:space="preserve">) suggest that those sanctioned are usually in </w:t>
      </w:r>
      <w:r w:rsidRPr="005234EE">
        <w:rPr>
          <w:rFonts w:ascii="Calibri" w:hAnsi="Calibri"/>
          <w:i/>
          <w:color w:val="000000" w:themeColor="text1"/>
          <w:lang w:val="en-GB"/>
        </w:rPr>
        <w:t xml:space="preserve">better </w:t>
      </w:r>
      <w:r w:rsidRPr="005234EE">
        <w:rPr>
          <w:rFonts w:ascii="Calibri" w:hAnsi="Calibri"/>
          <w:color w:val="000000" w:themeColor="text1"/>
          <w:lang w:val="en-GB"/>
        </w:rPr>
        <w:t>health</w:t>
      </w:r>
      <w:r w:rsidR="00F239DF" w:rsidRPr="005234EE">
        <w:rPr>
          <w:rFonts w:ascii="Calibri" w:hAnsi="Calibri"/>
          <w:color w:val="000000" w:themeColor="text1"/>
          <w:lang w:val="en-GB"/>
        </w:rPr>
        <w:t xml:space="preserve"> (p.10)</w:t>
      </w:r>
      <w:r w:rsidRPr="005234EE">
        <w:rPr>
          <w:rFonts w:ascii="Calibri" w:hAnsi="Calibri"/>
          <w:color w:val="000000" w:themeColor="text1"/>
          <w:lang w:val="en-GB"/>
        </w:rPr>
        <w:t>, and relate this with an apparent attempt by social workers to cushion the most vulnerable, and avoiding sanctioning them (</w:t>
      </w:r>
      <w:r w:rsidR="00F239DF" w:rsidRPr="005234EE">
        <w:rPr>
          <w:rFonts w:ascii="Calibri" w:hAnsi="Calibri"/>
          <w:color w:val="000000" w:themeColor="text1"/>
          <w:lang w:val="en-GB"/>
        </w:rPr>
        <w:t>p.</w:t>
      </w:r>
      <w:r w:rsidRPr="005234EE">
        <w:rPr>
          <w:rFonts w:ascii="Calibri" w:hAnsi="Calibri"/>
          <w:color w:val="000000" w:themeColor="text1"/>
          <w:lang w:val="en-GB"/>
        </w:rPr>
        <w:t>41). Notably, in Denmark, the laws g</w:t>
      </w:r>
      <w:r w:rsidR="00F21BC5">
        <w:rPr>
          <w:rFonts w:ascii="Calibri" w:hAnsi="Calibri"/>
          <w:color w:val="000000" w:themeColor="text1"/>
          <w:lang w:val="en-GB"/>
        </w:rPr>
        <w:t>overning social assistance rule</w:t>
      </w:r>
      <w:r w:rsidRPr="005234EE">
        <w:rPr>
          <w:rFonts w:ascii="Calibri" w:hAnsi="Calibri"/>
          <w:color w:val="000000" w:themeColor="text1"/>
          <w:lang w:val="en-GB"/>
        </w:rPr>
        <w:t xml:space="preserve"> public officials must be sensitive to conditions of vulnerability (Parg 13 of LBK nr, 190 of 24.02.2012, Lov om Aktiv Socialpolitik). In comparison, health effects of sanctions in Britain are not thoroughly investigated, but whilst broadly unknown are judged to be severe, in due partly to the potential length of sanctions (</w:t>
      </w:r>
      <w:r w:rsidR="006F107B" w:rsidRPr="005234EE">
        <w:rPr>
          <w:rFonts w:ascii="Calibri" w:hAnsi="Calibri"/>
          <w:color w:val="000000" w:themeColor="text1"/>
          <w:lang w:val="en-GB"/>
        </w:rPr>
        <w:t>National Audit Office</w:t>
      </w:r>
      <w:r w:rsidR="00201601" w:rsidRPr="005234EE">
        <w:rPr>
          <w:rFonts w:ascii="Calibri" w:hAnsi="Calibri"/>
          <w:color w:val="000000" w:themeColor="text1"/>
          <w:lang w:val="en-GB"/>
        </w:rPr>
        <w:t>,</w:t>
      </w:r>
      <w:r w:rsidRPr="005234EE">
        <w:rPr>
          <w:rFonts w:ascii="Calibri" w:hAnsi="Calibri"/>
          <w:color w:val="000000" w:themeColor="text1"/>
          <w:lang w:val="en-GB"/>
        </w:rPr>
        <w:t xml:space="preserve"> 2016, </w:t>
      </w:r>
      <w:r w:rsidR="00201601" w:rsidRPr="005234EE">
        <w:rPr>
          <w:rFonts w:ascii="Calibri" w:hAnsi="Calibri"/>
          <w:color w:val="000000" w:themeColor="text1"/>
          <w:lang w:val="en-GB"/>
        </w:rPr>
        <w:t>pp.</w:t>
      </w:r>
      <w:r w:rsidRPr="005234EE">
        <w:rPr>
          <w:rFonts w:ascii="Calibri" w:hAnsi="Calibri"/>
          <w:color w:val="000000" w:themeColor="text1"/>
          <w:lang w:val="en-GB"/>
        </w:rPr>
        <w:t>6-9). The National</w:t>
      </w:r>
      <w:r w:rsidR="00DA4000">
        <w:rPr>
          <w:rFonts w:ascii="Calibri" w:hAnsi="Calibri"/>
          <w:color w:val="000000" w:themeColor="text1"/>
          <w:lang w:val="en-GB"/>
        </w:rPr>
        <w:t xml:space="preserve"> Audit Office’s report of 2016 </w:t>
      </w:r>
      <w:r w:rsidRPr="005234EE">
        <w:rPr>
          <w:rFonts w:ascii="Calibri" w:hAnsi="Calibri"/>
          <w:color w:val="000000" w:themeColor="text1"/>
          <w:lang w:val="en-GB"/>
        </w:rPr>
        <w:t>into sanctions noted, “Sanctions can be fixed in length up to three years, ..[and can lead to] hardship, hunger and depression.” The Department of Work and Pensions (2015) has belatedly released figures showing a very high mortality rate in the year following disqualifying disability assessments, which have the effect of reclassifying individuals’ status in a way that generate admission to the regime of benefit sanctions.</w:t>
      </w:r>
    </w:p>
    <w:p w14:paraId="4F45BE0A" w14:textId="77777777" w:rsidR="009116FE" w:rsidRPr="005234EE" w:rsidRDefault="009116FE" w:rsidP="00891F82">
      <w:pPr>
        <w:ind w:right="-397"/>
        <w:jc w:val="both"/>
        <w:rPr>
          <w:rFonts w:ascii="Calibri" w:hAnsi="Calibri"/>
          <w:color w:val="000000" w:themeColor="text1"/>
          <w:lang w:val="en-GB"/>
        </w:rPr>
      </w:pPr>
    </w:p>
    <w:p w14:paraId="2CAF7AE1" w14:textId="77777777" w:rsidR="009116FE" w:rsidRPr="005234EE" w:rsidRDefault="009116FE" w:rsidP="00891F82">
      <w:pPr>
        <w:ind w:right="-397"/>
        <w:jc w:val="both"/>
        <w:rPr>
          <w:rFonts w:ascii="Calibri" w:hAnsi="Calibri"/>
          <w:color w:val="000000" w:themeColor="text1"/>
          <w:lang w:val="en-GB"/>
        </w:rPr>
      </w:pPr>
    </w:p>
    <w:p w14:paraId="419864B8" w14:textId="77777777"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5. Public Governance, Public Information and Change</w:t>
      </w:r>
    </w:p>
    <w:p w14:paraId="61C5EBA4" w14:textId="77777777" w:rsidR="009116FE" w:rsidRPr="005234EE" w:rsidRDefault="009116FE" w:rsidP="008E6E81">
      <w:pPr>
        <w:ind w:right="-397"/>
        <w:jc w:val="both"/>
        <w:rPr>
          <w:rFonts w:ascii="Calibri" w:hAnsi="Calibri"/>
          <w:color w:val="000000" w:themeColor="text1"/>
          <w:lang w:val="en-GB"/>
        </w:rPr>
      </w:pPr>
    </w:p>
    <w:p w14:paraId="00EDD689" w14:textId="25507475"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Last, I want to explore how understanding the social and governance impacts of sanctions gives us a window into the role that implementing the sanctions regime has had in institutional transformation and systemic change. </w:t>
      </w:r>
    </w:p>
    <w:p w14:paraId="3F4C0516" w14:textId="77777777" w:rsidR="009116FE" w:rsidRPr="005234EE" w:rsidRDefault="009116FE" w:rsidP="008E6E81">
      <w:pPr>
        <w:ind w:right="-397"/>
        <w:jc w:val="both"/>
        <w:rPr>
          <w:rFonts w:ascii="Calibri" w:hAnsi="Calibri"/>
          <w:color w:val="000000" w:themeColor="text1"/>
          <w:lang w:val="en-GB"/>
        </w:rPr>
      </w:pPr>
    </w:p>
    <w:p w14:paraId="626BE320" w14:textId="2CFE0005"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 xml:space="preserve">As I indicated at the outset a fifth stage of unravelling in British governance can be linked with an emergent process in which citizens lose contact with the state. A good indication of this is a </w:t>
      </w:r>
      <w:r w:rsidRPr="005234EE">
        <w:rPr>
          <w:rFonts w:ascii="Calibri" w:hAnsi="Calibri"/>
          <w:color w:val="000000" w:themeColor="text1"/>
          <w:lang w:val="en-GB"/>
        </w:rPr>
        <w:lastRenderedPageBreak/>
        <w:t>phenomenon known as non-wage non-dependence (translated from Danish, here 4N) that Danish research has attempted to trace. According to Caswell et al</w:t>
      </w:r>
      <w:r w:rsidR="00201601" w:rsidRPr="005234EE">
        <w:rPr>
          <w:rFonts w:ascii="Calibri" w:hAnsi="Calibri"/>
          <w:color w:val="000000" w:themeColor="text1"/>
          <w:lang w:val="en-GB"/>
        </w:rPr>
        <w:t>.</w:t>
      </w:r>
      <w:r w:rsidRPr="005234EE">
        <w:rPr>
          <w:rFonts w:ascii="Calibri" w:hAnsi="Calibri"/>
          <w:color w:val="000000" w:themeColor="text1"/>
          <w:lang w:val="en-GB"/>
        </w:rPr>
        <w:t xml:space="preserve"> (2011, </w:t>
      </w:r>
      <w:r w:rsidR="00201601" w:rsidRPr="005234EE">
        <w:rPr>
          <w:rFonts w:ascii="Calibri" w:hAnsi="Calibri"/>
          <w:color w:val="000000" w:themeColor="text1"/>
          <w:lang w:val="en-GB"/>
        </w:rPr>
        <w:t>pp.</w:t>
      </w:r>
      <w:r w:rsidRPr="005234EE">
        <w:rPr>
          <w:rFonts w:ascii="Calibri" w:hAnsi="Calibri"/>
          <w:color w:val="000000" w:themeColor="text1"/>
          <w:lang w:val="en-GB"/>
        </w:rPr>
        <w:t>49-50), in Denmark, the figures which indicate a marginal effect on employment rates of sanctioned groups are deceptive, because they hide the number of persons who went into informality or dependence, instead of employment.  4N linked with sanctions can be considered a form of state-induced informalisation of the economy, citizenship, and social relations.</w:t>
      </w:r>
    </w:p>
    <w:p w14:paraId="5FF52887" w14:textId="77777777" w:rsidR="009116FE" w:rsidRPr="005234EE" w:rsidRDefault="009116FE" w:rsidP="008E6E81">
      <w:pPr>
        <w:ind w:left="-397" w:right="-397"/>
        <w:jc w:val="both"/>
        <w:rPr>
          <w:rFonts w:ascii="Calibri" w:hAnsi="Calibri"/>
          <w:color w:val="000000" w:themeColor="text1"/>
          <w:lang w:val="en-GB"/>
        </w:rPr>
      </w:pPr>
    </w:p>
    <w:p w14:paraId="5B209E14" w14:textId="49C963B9"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t>Yet, despite being better known, the rates of suspected informalisation (Caswell</w:t>
      </w:r>
      <w:r w:rsidR="00201601" w:rsidRPr="005234EE">
        <w:rPr>
          <w:rFonts w:ascii="Calibri" w:hAnsi="Calibri"/>
          <w:color w:val="000000" w:themeColor="text1"/>
          <w:lang w:val="en-GB"/>
        </w:rPr>
        <w:t>,</w:t>
      </w:r>
      <w:r w:rsidRPr="005234EE">
        <w:rPr>
          <w:rFonts w:ascii="Calibri" w:hAnsi="Calibri"/>
          <w:color w:val="000000" w:themeColor="text1"/>
          <w:lang w:val="en-GB"/>
        </w:rPr>
        <w:t xml:space="preserve"> 2011, </w:t>
      </w:r>
      <w:r w:rsidR="00201601" w:rsidRPr="005234EE">
        <w:rPr>
          <w:rFonts w:ascii="Calibri" w:hAnsi="Calibri"/>
          <w:color w:val="000000" w:themeColor="text1"/>
          <w:lang w:val="en-GB"/>
        </w:rPr>
        <w:t>pp.</w:t>
      </w:r>
      <w:r w:rsidRPr="005234EE">
        <w:rPr>
          <w:rFonts w:ascii="Calibri" w:hAnsi="Calibri"/>
          <w:color w:val="000000" w:themeColor="text1"/>
          <w:lang w:val="en-GB"/>
        </w:rPr>
        <w:t>49-50) in Denmark are marginal. In comparison, estimates for Britain indicate informalisation may be affecting up to one million people, counting the halving of the number who claimed job seekers allowance and lone parent benefit between 2010 and 2016 (</w:t>
      </w:r>
      <w:r w:rsidR="00880A55" w:rsidRPr="005234EE">
        <w:rPr>
          <w:rFonts w:ascii="Calibri" w:hAnsi="Calibri"/>
          <w:color w:val="000000" w:themeColor="text1"/>
        </w:rPr>
        <w:t>Department of Work and Pensions</w:t>
      </w:r>
      <w:commentRangeStart w:id="17"/>
      <w:r w:rsidR="00201601" w:rsidRPr="005234EE">
        <w:rPr>
          <w:rFonts w:ascii="Calibri" w:hAnsi="Calibri"/>
          <w:color w:val="000000" w:themeColor="text1"/>
          <w:lang w:val="en-GB"/>
        </w:rPr>
        <w:t>,</w:t>
      </w:r>
      <w:r w:rsidRPr="005234EE">
        <w:rPr>
          <w:rFonts w:ascii="Calibri" w:hAnsi="Calibri"/>
          <w:color w:val="000000" w:themeColor="text1"/>
          <w:lang w:val="en-GB"/>
        </w:rPr>
        <w:t xml:space="preserve"> 2017, </w:t>
      </w:r>
      <w:r w:rsidR="00201601" w:rsidRPr="005234EE">
        <w:rPr>
          <w:rFonts w:ascii="Calibri" w:hAnsi="Calibri"/>
          <w:color w:val="000000" w:themeColor="text1"/>
          <w:lang w:val="en-GB"/>
        </w:rPr>
        <w:t>p.</w:t>
      </w:r>
      <w:r w:rsidRPr="005234EE">
        <w:rPr>
          <w:rFonts w:ascii="Calibri" w:hAnsi="Calibri"/>
          <w:color w:val="000000" w:themeColor="text1"/>
          <w:lang w:val="en-GB"/>
        </w:rPr>
        <w:t>4</w:t>
      </w:r>
      <w:commentRangeEnd w:id="17"/>
      <w:r w:rsidR="00CF2EB9" w:rsidRPr="005234EE">
        <w:rPr>
          <w:rStyle w:val="CommentReference"/>
          <w:rFonts w:ascii="Calibri" w:hAnsi="Calibri"/>
          <w:sz w:val="24"/>
          <w:szCs w:val="24"/>
        </w:rPr>
        <w:commentReference w:id="17"/>
      </w:r>
      <w:r w:rsidRPr="005234EE">
        <w:rPr>
          <w:rFonts w:ascii="Calibri" w:hAnsi="Calibri"/>
          <w:color w:val="000000" w:themeColor="text1"/>
          <w:lang w:val="en-GB"/>
        </w:rPr>
        <w:t>), whom several charities estimate are still eligible for some income support (Joseph Rowntree</w:t>
      </w:r>
      <w:r w:rsidR="000114F4" w:rsidRPr="005234EE">
        <w:rPr>
          <w:rFonts w:ascii="Calibri" w:hAnsi="Calibri"/>
          <w:color w:val="000000" w:themeColor="text1"/>
          <w:lang w:val="en-GB"/>
        </w:rPr>
        <w:t xml:space="preserve"> Foundation</w:t>
      </w:r>
      <w:r w:rsidR="00CE3069"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CE3069" w:rsidRPr="005234EE">
        <w:rPr>
          <w:rFonts w:ascii="Calibri" w:hAnsi="Calibri"/>
          <w:color w:val="000000" w:themeColor="text1"/>
          <w:lang w:val="en-GB"/>
        </w:rPr>
        <w:t>p.</w:t>
      </w:r>
      <w:r w:rsidRPr="005234EE">
        <w:rPr>
          <w:rFonts w:ascii="Calibri" w:hAnsi="Calibri"/>
          <w:color w:val="000000" w:themeColor="text1"/>
          <w:lang w:val="en-GB"/>
        </w:rPr>
        <w:t>9). The Money Charity (2016) similarly points to a sharp reduction of the number of unemployed individuals entitled to claiming public funds who do so, from 69% in 2000, falling to 60% in 2012, to 34% in November 2016.</w:t>
      </w:r>
      <w:r w:rsidRPr="005234EE">
        <w:rPr>
          <w:rStyle w:val="EndnoteReference"/>
          <w:rFonts w:ascii="Calibri" w:hAnsi="Calibri"/>
          <w:color w:val="000000" w:themeColor="text1"/>
          <w:lang w:val="en-GB"/>
        </w:rPr>
        <w:t xml:space="preserve"> </w:t>
      </w:r>
    </w:p>
    <w:p w14:paraId="0D5D59B5" w14:textId="77777777" w:rsidR="009116FE" w:rsidRPr="005234EE" w:rsidRDefault="009116FE" w:rsidP="008E6E81">
      <w:pPr>
        <w:ind w:left="-397" w:right="-397"/>
        <w:jc w:val="both"/>
        <w:rPr>
          <w:rFonts w:ascii="Calibri" w:hAnsi="Calibri"/>
          <w:color w:val="000000" w:themeColor="text1"/>
          <w:lang w:val="en-GB"/>
        </w:rPr>
      </w:pPr>
    </w:p>
    <w:p w14:paraId="6BD2F9C1" w14:textId="77944A32" w:rsidR="009116FE" w:rsidRPr="005234EE" w:rsidRDefault="009116FE" w:rsidP="004D370E">
      <w:pPr>
        <w:ind w:left="-397" w:right="-397"/>
        <w:jc w:val="both"/>
        <w:rPr>
          <w:rFonts w:ascii="Calibri" w:hAnsi="Calibri"/>
          <w:color w:val="000000" w:themeColor="text1"/>
          <w:lang w:val="en-GB"/>
        </w:rPr>
      </w:pPr>
      <w:r w:rsidRPr="005234EE">
        <w:rPr>
          <w:rFonts w:ascii="Calibri" w:hAnsi="Calibri"/>
          <w:color w:val="000000" w:themeColor="text1"/>
          <w:lang w:val="en-GB"/>
        </w:rPr>
        <w:t xml:space="preserve">As indicated in how data collection preceded land reform in Nordic states, and its absence made land acquisition possible, and unknown, in Britain (above), political will and ability to create public data is an incisive factor in developmental policy and institutional change. A very similar difference plays out in the effort to record the effect of public policy and monitor the sanctions regime today. Notably, after 2010, the </w:t>
      </w:r>
      <w:r w:rsidR="00F21BC5">
        <w:rPr>
          <w:rFonts w:ascii="Calibri" w:hAnsi="Calibri"/>
          <w:color w:val="000000" w:themeColor="text1"/>
          <w:lang w:val="en-GB"/>
        </w:rPr>
        <w:t xml:space="preserve">British Government </w:t>
      </w:r>
      <w:r w:rsidRPr="005234EE">
        <w:rPr>
          <w:rFonts w:ascii="Calibri" w:hAnsi="Calibri"/>
          <w:color w:val="000000" w:themeColor="text1"/>
          <w:lang w:val="en-GB"/>
        </w:rPr>
        <w:t>withdrew participation in OECD labour market statistics (hence the absence of Britain in Figure 4 (iv-viii) after 2010).</w:t>
      </w:r>
      <w:r w:rsidRPr="005234EE">
        <w:rPr>
          <w:rStyle w:val="EndnoteReference"/>
          <w:rFonts w:ascii="Calibri" w:hAnsi="Calibri"/>
          <w:color w:val="000000" w:themeColor="text1"/>
          <w:lang w:val="en-GB"/>
        </w:rPr>
        <w:endnoteReference w:id="25"/>
      </w:r>
      <w:r w:rsidRPr="005234EE">
        <w:rPr>
          <w:rStyle w:val="EndnoteReference"/>
          <w:rFonts w:ascii="Calibri" w:hAnsi="Calibri"/>
          <w:color w:val="000000" w:themeColor="text1"/>
          <w:lang w:val="en-GB"/>
        </w:rPr>
        <w:t xml:space="preserve"> </w:t>
      </w:r>
      <w:r w:rsidRPr="005234EE">
        <w:rPr>
          <w:rFonts w:ascii="Calibri" w:hAnsi="Calibri"/>
          <w:color w:val="000000" w:themeColor="text1"/>
          <w:lang w:val="en-GB"/>
        </w:rPr>
        <w:t xml:space="preserve"> </w:t>
      </w:r>
    </w:p>
    <w:p w14:paraId="63633758" w14:textId="77777777" w:rsidR="009116FE" w:rsidRPr="005234EE" w:rsidRDefault="009116FE" w:rsidP="004D370E">
      <w:pPr>
        <w:ind w:left="-397" w:right="-397"/>
        <w:jc w:val="both"/>
        <w:rPr>
          <w:rFonts w:ascii="Calibri" w:hAnsi="Calibri"/>
          <w:color w:val="000000" w:themeColor="text1"/>
          <w:lang w:val="en-GB"/>
        </w:rPr>
      </w:pPr>
    </w:p>
    <w:p w14:paraId="4C60C71C" w14:textId="1CDCFACA" w:rsidR="009116FE" w:rsidRPr="005234EE" w:rsidRDefault="00F21BC5" w:rsidP="004D370E">
      <w:pPr>
        <w:ind w:left="-397" w:right="-397"/>
        <w:jc w:val="both"/>
        <w:rPr>
          <w:rFonts w:ascii="Calibri" w:hAnsi="Calibri"/>
          <w:color w:val="000000" w:themeColor="text1"/>
          <w:lang w:val="en-GB"/>
        </w:rPr>
      </w:pPr>
      <w:r>
        <w:rPr>
          <w:rFonts w:ascii="Calibri" w:hAnsi="Calibri"/>
          <w:color w:val="000000" w:themeColor="text1"/>
          <w:lang w:val="en-GB"/>
        </w:rPr>
        <w:t>In the case of Denmark members of the public</w:t>
      </w:r>
      <w:r w:rsidR="009116FE" w:rsidRPr="005234EE">
        <w:rPr>
          <w:rFonts w:ascii="Calibri" w:hAnsi="Calibri"/>
          <w:color w:val="000000" w:themeColor="text1"/>
          <w:lang w:val="en-GB"/>
        </w:rPr>
        <w:t xml:space="preserve"> can log on and download the sanctions statistics, broken down by characteristics like, municipality, gender, age, and more. In Britain information is less detailed.  British researchers rely on government release of figures and reports that are focussed on projecting achievement of caseload reduction targets. According to some experts, monthly data obscure the real level of sanctions.</w:t>
      </w:r>
      <w:r w:rsidR="009116FE" w:rsidRPr="005234EE">
        <w:rPr>
          <w:rStyle w:val="EndnoteReference"/>
          <w:rFonts w:ascii="Calibri" w:hAnsi="Calibri"/>
          <w:color w:val="000000" w:themeColor="text1"/>
          <w:lang w:val="en-GB"/>
        </w:rPr>
        <w:endnoteReference w:id="26"/>
      </w:r>
      <w:r w:rsidR="009116FE" w:rsidRPr="005234EE">
        <w:rPr>
          <w:rFonts w:ascii="Calibri" w:hAnsi="Calibri"/>
          <w:color w:val="000000" w:themeColor="text1"/>
          <w:lang w:val="en-GB"/>
        </w:rPr>
        <w:t xml:space="preserve"> Webster (2016) notes the severity of sanctions is not knowable, because the application of the longest sanctions (between 13 weeks and 3 years) is not recorded properly.</w:t>
      </w:r>
      <w:r w:rsidR="009116FE" w:rsidRPr="005234EE">
        <w:rPr>
          <w:rStyle w:val="EndnoteReference"/>
          <w:rFonts w:ascii="Calibri" w:hAnsi="Calibri"/>
          <w:color w:val="000000" w:themeColor="text1"/>
          <w:lang w:val="en-GB"/>
        </w:rPr>
        <w:endnoteReference w:id="27"/>
      </w:r>
      <w:r w:rsidR="009116FE" w:rsidRPr="005234EE">
        <w:rPr>
          <w:rFonts w:ascii="Calibri" w:hAnsi="Calibri"/>
          <w:color w:val="000000" w:themeColor="text1"/>
          <w:lang w:val="en-GB"/>
        </w:rPr>
        <w:t xml:space="preserve"> According to an independent public  audit (</w:t>
      </w:r>
      <w:r w:rsidR="00EF5FFD" w:rsidRPr="005234EE">
        <w:rPr>
          <w:rFonts w:ascii="Calibri" w:hAnsi="Calibri"/>
          <w:color w:val="000000" w:themeColor="text1"/>
          <w:lang w:val="en-GB"/>
        </w:rPr>
        <w:t>National Audit Office</w:t>
      </w:r>
      <w:r w:rsidR="009116FE" w:rsidRPr="005234EE">
        <w:rPr>
          <w:rFonts w:ascii="Calibri" w:hAnsi="Calibri"/>
          <w:color w:val="000000" w:themeColor="text1"/>
          <w:lang w:val="en-GB"/>
        </w:rPr>
        <w:t xml:space="preserve">, 2016, </w:t>
      </w:r>
      <w:r w:rsidR="00CE3069" w:rsidRPr="005234EE">
        <w:rPr>
          <w:rFonts w:ascii="Calibri" w:hAnsi="Calibri"/>
          <w:color w:val="000000" w:themeColor="text1"/>
          <w:lang w:val="en-GB"/>
        </w:rPr>
        <w:t>p.</w:t>
      </w:r>
      <w:r w:rsidR="009116FE" w:rsidRPr="005234EE">
        <w:rPr>
          <w:rFonts w:ascii="Calibri" w:hAnsi="Calibri"/>
          <w:color w:val="000000" w:themeColor="text1"/>
          <w:lang w:val="en-GB"/>
        </w:rPr>
        <w:t>9), investigative capaci</w:t>
      </w:r>
      <w:r>
        <w:rPr>
          <w:rFonts w:ascii="Calibri" w:hAnsi="Calibri"/>
          <w:color w:val="000000" w:themeColor="text1"/>
          <w:lang w:val="en-GB"/>
        </w:rPr>
        <w:t>ty of government departments is</w:t>
      </w:r>
      <w:r w:rsidR="009116FE" w:rsidRPr="005234EE">
        <w:rPr>
          <w:rFonts w:ascii="Calibri" w:hAnsi="Calibri"/>
          <w:color w:val="000000" w:themeColor="text1"/>
          <w:lang w:val="en-GB"/>
        </w:rPr>
        <w:t xml:space="preserve"> weak: “The Department [for Work and Pensions] has not used its own data to evaluate the impact of sanctions in the UK… [and] not supported wider work to improve understanding of sanction outcomes..[and] has rejected calls for a wider review… The Department does not track the costs and benefits of sanctions…. evidence suggests the Department’s use of sanctions is linked as much to management priorities and local staff discretion as it is to claimants’ behaviour.” </w:t>
      </w:r>
    </w:p>
    <w:p w14:paraId="37C358BC" w14:textId="77777777" w:rsidR="009116FE" w:rsidRPr="005234EE" w:rsidRDefault="009116FE" w:rsidP="008E6E81">
      <w:pPr>
        <w:ind w:right="-397"/>
        <w:jc w:val="both"/>
        <w:rPr>
          <w:rFonts w:ascii="Calibri" w:hAnsi="Calibri"/>
          <w:color w:val="000000" w:themeColor="text1"/>
          <w:lang w:val="en-GB"/>
        </w:rPr>
      </w:pPr>
    </w:p>
    <w:p w14:paraId="5C2FFCC9" w14:textId="18633FCF" w:rsidR="009116FE" w:rsidRPr="005234EE" w:rsidRDefault="009116FE" w:rsidP="00E662C3">
      <w:pPr>
        <w:ind w:left="-397" w:right="-397"/>
        <w:jc w:val="both"/>
        <w:rPr>
          <w:rFonts w:ascii="Calibri" w:hAnsi="Calibri"/>
          <w:color w:val="000000" w:themeColor="text1"/>
          <w:lang w:val="en-GB"/>
        </w:rPr>
      </w:pPr>
      <w:r w:rsidRPr="005234EE">
        <w:rPr>
          <w:rFonts w:ascii="Calibri" w:hAnsi="Calibri"/>
          <w:color w:val="000000" w:themeColor="text1"/>
          <w:lang w:val="en-GB"/>
        </w:rPr>
        <w:t>In comparison, in Denmark, from an early stage, reports from the state inspectorate have tracked the performance of municipalities in implementing the system. One report noted that municipalities that had a high use of sanctions were less effective (Arbejdsmarkedstyrelsen</w:t>
      </w:r>
      <w:r w:rsidR="00F51DAA" w:rsidRPr="005234EE">
        <w:rPr>
          <w:rFonts w:ascii="Calibri" w:hAnsi="Calibri"/>
          <w:color w:val="000000" w:themeColor="text1"/>
          <w:lang w:val="en-GB"/>
        </w:rPr>
        <w:t>,</w:t>
      </w:r>
      <w:r w:rsidRPr="005234EE">
        <w:rPr>
          <w:rFonts w:ascii="Calibri" w:hAnsi="Calibri"/>
          <w:color w:val="000000" w:themeColor="text1"/>
          <w:lang w:val="en-GB"/>
        </w:rPr>
        <w:t xml:space="preserve"> 2008, </w:t>
      </w:r>
      <w:r w:rsidR="00F51DAA" w:rsidRPr="005234EE">
        <w:rPr>
          <w:rFonts w:ascii="Calibri" w:hAnsi="Calibri"/>
          <w:color w:val="000000" w:themeColor="text1"/>
          <w:lang w:val="en-GB"/>
        </w:rPr>
        <w:t>p.</w:t>
      </w:r>
      <w:r w:rsidRPr="005234EE">
        <w:rPr>
          <w:rFonts w:ascii="Calibri" w:hAnsi="Calibri"/>
          <w:color w:val="000000" w:themeColor="text1"/>
          <w:lang w:val="en-GB"/>
        </w:rPr>
        <w:t>24, cited in Caswell et al</w:t>
      </w:r>
      <w:r w:rsidR="00F51DAA" w:rsidRPr="005234EE">
        <w:rPr>
          <w:rFonts w:ascii="Calibri" w:hAnsi="Calibri"/>
          <w:color w:val="000000" w:themeColor="text1"/>
          <w:lang w:val="en-GB"/>
        </w:rPr>
        <w:t>.,</w:t>
      </w:r>
      <w:r w:rsidRPr="005234EE">
        <w:rPr>
          <w:rFonts w:ascii="Calibri" w:hAnsi="Calibri"/>
          <w:color w:val="000000" w:themeColor="text1"/>
          <w:lang w:val="en-GB"/>
        </w:rPr>
        <w:t xml:space="preserve"> 2011, </w:t>
      </w:r>
      <w:r w:rsidR="00F51DAA" w:rsidRPr="005234EE">
        <w:rPr>
          <w:rFonts w:ascii="Calibri" w:hAnsi="Calibri"/>
          <w:color w:val="000000" w:themeColor="text1"/>
          <w:lang w:val="en-GB"/>
        </w:rPr>
        <w:t>p.</w:t>
      </w:r>
      <w:r w:rsidRPr="005234EE">
        <w:rPr>
          <w:rFonts w:ascii="Calibri" w:hAnsi="Calibri"/>
          <w:color w:val="000000" w:themeColor="text1"/>
          <w:lang w:val="en-GB"/>
        </w:rPr>
        <w:t>8), and another suggested over-complication of the system might be at stake (Arbejdsmarkedstyrelsen</w:t>
      </w:r>
      <w:r w:rsidR="00F51DAA" w:rsidRPr="005234EE">
        <w:rPr>
          <w:rFonts w:ascii="Calibri" w:hAnsi="Calibri"/>
          <w:color w:val="000000" w:themeColor="text1"/>
          <w:lang w:val="en-GB"/>
        </w:rPr>
        <w:t>,</w:t>
      </w:r>
      <w:r w:rsidRPr="005234EE">
        <w:rPr>
          <w:rFonts w:ascii="Calibri" w:hAnsi="Calibri"/>
          <w:color w:val="000000" w:themeColor="text1"/>
          <w:lang w:val="en-GB"/>
        </w:rPr>
        <w:t xml:space="preserve"> 2007, cited in Caswell et al</w:t>
      </w:r>
      <w:r w:rsidR="00F51DAA" w:rsidRPr="005234EE">
        <w:rPr>
          <w:rFonts w:ascii="Calibri" w:hAnsi="Calibri"/>
          <w:color w:val="000000" w:themeColor="text1"/>
          <w:lang w:val="en-GB"/>
        </w:rPr>
        <w:t>.,</w:t>
      </w:r>
      <w:r w:rsidRPr="005234EE">
        <w:rPr>
          <w:rFonts w:ascii="Calibri" w:hAnsi="Calibri"/>
          <w:color w:val="000000" w:themeColor="text1"/>
          <w:lang w:val="en-GB"/>
        </w:rPr>
        <w:t xml:space="preserve"> 2011, </w:t>
      </w:r>
      <w:r w:rsidR="00F51DAA" w:rsidRPr="005234EE">
        <w:rPr>
          <w:rFonts w:ascii="Calibri" w:hAnsi="Calibri"/>
          <w:color w:val="000000" w:themeColor="text1"/>
          <w:lang w:val="en-GB"/>
        </w:rPr>
        <w:t>p.</w:t>
      </w:r>
      <w:r w:rsidRPr="005234EE">
        <w:rPr>
          <w:rFonts w:ascii="Calibri" w:hAnsi="Calibri"/>
          <w:color w:val="000000" w:themeColor="text1"/>
          <w:lang w:val="en-GB"/>
        </w:rPr>
        <w:t>8). Findings that municipalities diverged radically in their use of sanctions led fairly quickly to a new system of government monitoring, with results of individual cases available publicly (Arbejdsstyrelsen</w:t>
      </w:r>
      <w:r w:rsidR="00F51DAA" w:rsidRPr="005234EE">
        <w:rPr>
          <w:rFonts w:ascii="Calibri" w:hAnsi="Calibri"/>
          <w:color w:val="000000" w:themeColor="text1"/>
          <w:lang w:val="en-GB"/>
        </w:rPr>
        <w:t>,</w:t>
      </w:r>
      <w:r w:rsidRPr="005234EE">
        <w:rPr>
          <w:rFonts w:ascii="Calibri" w:hAnsi="Calibri"/>
          <w:color w:val="000000" w:themeColor="text1"/>
          <w:lang w:val="en-GB"/>
        </w:rPr>
        <w:t xml:space="preserve"> 2012, cited in Klos</w:t>
      </w:r>
      <w:r w:rsidR="00F51DAA" w:rsidRPr="005234EE">
        <w:rPr>
          <w:rFonts w:ascii="Calibri" w:hAnsi="Calibri"/>
          <w:color w:val="000000" w:themeColor="text1"/>
          <w:lang w:val="en-GB"/>
        </w:rPr>
        <w:t>,</w:t>
      </w:r>
      <w:r w:rsidRPr="005234EE">
        <w:rPr>
          <w:rFonts w:ascii="Calibri" w:hAnsi="Calibri"/>
          <w:color w:val="000000" w:themeColor="text1"/>
          <w:lang w:val="en-GB"/>
        </w:rPr>
        <w:t xml:space="preserve"> 2014, </w:t>
      </w:r>
      <w:r w:rsidR="00F51DAA" w:rsidRPr="005234EE">
        <w:rPr>
          <w:rFonts w:ascii="Calibri" w:hAnsi="Calibri"/>
          <w:color w:val="000000" w:themeColor="text1"/>
          <w:lang w:val="en-GB"/>
        </w:rPr>
        <w:t>p.</w:t>
      </w:r>
      <w:r w:rsidRPr="005234EE">
        <w:rPr>
          <w:rFonts w:ascii="Calibri" w:hAnsi="Calibri"/>
          <w:color w:val="000000" w:themeColor="text1"/>
          <w:lang w:val="en-GB"/>
        </w:rPr>
        <w:t xml:space="preserve">26). </w:t>
      </w:r>
    </w:p>
    <w:p w14:paraId="380198B7" w14:textId="77777777" w:rsidR="009116FE" w:rsidRPr="005234EE" w:rsidRDefault="009116FE" w:rsidP="008E6E81">
      <w:pPr>
        <w:ind w:left="-397" w:right="-397"/>
        <w:jc w:val="both"/>
        <w:rPr>
          <w:rFonts w:ascii="Calibri" w:hAnsi="Calibri"/>
          <w:color w:val="000000" w:themeColor="text1"/>
          <w:lang w:val="en-GB"/>
        </w:rPr>
      </w:pPr>
    </w:p>
    <w:p w14:paraId="304C7B53" w14:textId="597FC7A7" w:rsidR="009116FE" w:rsidRPr="005234EE" w:rsidRDefault="009116FE" w:rsidP="008E6E81">
      <w:pPr>
        <w:ind w:left="-397" w:right="-397"/>
        <w:jc w:val="both"/>
        <w:rPr>
          <w:rFonts w:ascii="Calibri" w:hAnsi="Calibri"/>
          <w:color w:val="000000" w:themeColor="text1"/>
          <w:lang w:val="en-GB"/>
        </w:rPr>
      </w:pPr>
      <w:r w:rsidRPr="005234EE">
        <w:rPr>
          <w:rFonts w:ascii="Calibri" w:hAnsi="Calibri"/>
          <w:color w:val="000000" w:themeColor="text1"/>
          <w:lang w:val="en-GB"/>
        </w:rPr>
        <w:lastRenderedPageBreak/>
        <w:t>Danish authorities have also taken a lead in investigating and publishing health outcomes of sanctions, detailing the numbers receiving medication and effects on individuals facing homelessness or addiction to drugs, leading to suggestions for revision of practice (Ankestyrelsen</w:t>
      </w:r>
      <w:r w:rsidR="00F51DAA" w:rsidRPr="005234EE">
        <w:rPr>
          <w:rFonts w:ascii="Calibri" w:hAnsi="Calibri"/>
          <w:color w:val="000000" w:themeColor="text1"/>
          <w:lang w:val="en-GB"/>
        </w:rPr>
        <w:t>,</w:t>
      </w:r>
      <w:r w:rsidRPr="005234EE">
        <w:rPr>
          <w:rFonts w:ascii="Calibri" w:hAnsi="Calibri"/>
          <w:color w:val="000000" w:themeColor="text1"/>
          <w:lang w:val="en-GB"/>
        </w:rPr>
        <w:t xml:space="preserve"> 201</w:t>
      </w:r>
      <w:r w:rsidR="0075417D">
        <w:rPr>
          <w:rFonts w:ascii="Calibri" w:hAnsi="Calibri"/>
          <w:color w:val="000000" w:themeColor="text1"/>
          <w:lang w:val="en-GB"/>
        </w:rPr>
        <w:t>7</w:t>
      </w:r>
      <w:r w:rsidR="00F21BC5">
        <w:rPr>
          <w:rFonts w:ascii="Calibri" w:hAnsi="Calibri"/>
          <w:color w:val="000000" w:themeColor="text1"/>
          <w:lang w:val="en-GB"/>
        </w:rPr>
        <w:t>)</w:t>
      </w:r>
      <w:r w:rsidRPr="005234EE">
        <w:rPr>
          <w:rFonts w:ascii="Calibri" w:hAnsi="Calibri"/>
          <w:color w:val="000000" w:themeColor="text1"/>
          <w:lang w:val="en-GB"/>
        </w:rPr>
        <w:t>. In 2014, government-led investigations resulted in a more marked fall in sanctions following a reform of the system. As a share of unemployed, the number peaks at 23.9% in 2011, and then begins gradually to fall, with a more marked fall in 2014, to 16.6 % of all benefit recipients (Beskæftigelsesministeriet</w:t>
      </w:r>
      <w:r w:rsidR="00F51DAA" w:rsidRPr="005234EE">
        <w:rPr>
          <w:rFonts w:ascii="Calibri" w:hAnsi="Calibri"/>
          <w:color w:val="000000" w:themeColor="text1"/>
          <w:lang w:val="en-GB"/>
        </w:rPr>
        <w:t>,</w:t>
      </w:r>
      <w:r w:rsidRPr="005234EE">
        <w:rPr>
          <w:rFonts w:ascii="Calibri" w:hAnsi="Calibri"/>
          <w:color w:val="000000" w:themeColor="text1"/>
          <w:lang w:val="en-GB"/>
        </w:rPr>
        <w:t xml:space="preserve"> </w:t>
      </w:r>
      <w:commentRangeStart w:id="18"/>
      <w:r w:rsidRPr="005234EE">
        <w:rPr>
          <w:rFonts w:ascii="Calibri" w:hAnsi="Calibri"/>
          <w:color w:val="000000" w:themeColor="text1"/>
          <w:lang w:val="en-GB"/>
        </w:rPr>
        <w:t>2016</w:t>
      </w:r>
      <w:commentRangeEnd w:id="18"/>
      <w:r w:rsidR="00066525" w:rsidRPr="005234EE">
        <w:rPr>
          <w:rStyle w:val="CommentReference"/>
          <w:rFonts w:ascii="Calibri" w:hAnsi="Calibri" w:cstheme="minorBidi"/>
          <w:sz w:val="24"/>
          <w:szCs w:val="24"/>
        </w:rPr>
        <w:commentReference w:id="18"/>
      </w:r>
      <w:r w:rsidRPr="005234EE">
        <w:rPr>
          <w:rFonts w:ascii="Calibri" w:hAnsi="Calibri"/>
          <w:color w:val="000000" w:themeColor="text1"/>
          <w:lang w:val="en-GB"/>
        </w:rPr>
        <w:t xml:space="preserve">, </w:t>
      </w:r>
      <w:r w:rsidR="00F51DAA" w:rsidRPr="005234EE">
        <w:rPr>
          <w:rFonts w:ascii="Calibri" w:hAnsi="Calibri"/>
          <w:color w:val="000000" w:themeColor="text1"/>
          <w:lang w:val="en-GB"/>
        </w:rPr>
        <w:t>p.</w:t>
      </w:r>
      <w:r w:rsidRPr="005234EE">
        <w:rPr>
          <w:rFonts w:ascii="Calibri" w:hAnsi="Calibri"/>
          <w:color w:val="000000" w:themeColor="text1"/>
          <w:lang w:val="en-GB"/>
        </w:rPr>
        <w:t>5). In the first three quarters of 2014, the total number of sanctions went down by one quarter, from just over 100,000 to about 73,500 (Nordjyske</w:t>
      </w:r>
      <w:r w:rsidR="00F51DAA" w:rsidRPr="005234EE">
        <w:rPr>
          <w:rFonts w:ascii="Calibri" w:hAnsi="Calibri"/>
          <w:color w:val="000000" w:themeColor="text1"/>
          <w:lang w:val="en-GB"/>
        </w:rPr>
        <w:t>,</w:t>
      </w:r>
      <w:r w:rsidRPr="005234EE">
        <w:rPr>
          <w:rFonts w:ascii="Calibri" w:hAnsi="Calibri"/>
          <w:color w:val="000000" w:themeColor="text1"/>
          <w:lang w:val="en-GB"/>
        </w:rPr>
        <w:t xml:space="preserve"> </w:t>
      </w:r>
      <w:commentRangeStart w:id="19"/>
      <w:r w:rsidRPr="005234EE">
        <w:rPr>
          <w:rFonts w:ascii="Calibri" w:hAnsi="Calibri"/>
          <w:color w:val="000000" w:themeColor="text1"/>
          <w:lang w:val="en-GB"/>
        </w:rPr>
        <w:t>2015</w:t>
      </w:r>
      <w:commentRangeEnd w:id="19"/>
      <w:r w:rsidR="00EF5FFD" w:rsidRPr="005234EE">
        <w:rPr>
          <w:rStyle w:val="CommentReference"/>
          <w:rFonts w:ascii="Calibri" w:hAnsi="Calibri" w:cstheme="minorBidi"/>
          <w:sz w:val="24"/>
          <w:szCs w:val="24"/>
        </w:rPr>
        <w:commentReference w:id="19"/>
      </w:r>
      <w:r w:rsidRPr="005234EE">
        <w:rPr>
          <w:rFonts w:ascii="Calibri" w:hAnsi="Calibri"/>
          <w:color w:val="000000" w:themeColor="text1"/>
          <w:lang w:val="en-GB"/>
        </w:rPr>
        <w:t>). Whereas over time, benefits sanctions have been reviewed and experiments to soften or remove them are ongoing in Denmark</w:t>
      </w:r>
      <w:r w:rsidR="00F21BC5">
        <w:rPr>
          <w:rFonts w:ascii="Calibri" w:hAnsi="Calibri"/>
          <w:color w:val="000000" w:themeColor="text1"/>
          <w:lang w:val="en-GB"/>
        </w:rPr>
        <w:t xml:space="preserve"> (Haagh 2018)</w:t>
      </w:r>
      <w:r w:rsidRPr="005234EE">
        <w:rPr>
          <w:rFonts w:ascii="Calibri" w:hAnsi="Calibri"/>
          <w:color w:val="000000" w:themeColor="text1"/>
          <w:lang w:val="en-GB"/>
        </w:rPr>
        <w:t>, in Britain a fairly centralised approach has gone along with an apparent steady increase in the ramifications of, and groups affected by, sanctions.</w:t>
      </w:r>
      <w:r w:rsidRPr="005234EE">
        <w:rPr>
          <w:rStyle w:val="EndnoteReference"/>
          <w:rFonts w:ascii="Calibri" w:hAnsi="Calibri"/>
          <w:color w:val="000000" w:themeColor="text1"/>
          <w:lang w:val="en-GB"/>
        </w:rPr>
        <w:endnoteReference w:id="28"/>
      </w:r>
    </w:p>
    <w:p w14:paraId="0123E6A3" w14:textId="77777777" w:rsidR="009116FE" w:rsidRPr="005234EE" w:rsidRDefault="009116FE" w:rsidP="008E6E81">
      <w:pPr>
        <w:ind w:right="-397"/>
        <w:jc w:val="both"/>
        <w:rPr>
          <w:rFonts w:ascii="Calibri" w:hAnsi="Calibri"/>
          <w:color w:val="000000" w:themeColor="text1"/>
          <w:lang w:val="en-GB"/>
        </w:rPr>
      </w:pPr>
    </w:p>
    <w:p w14:paraId="5953B9A1" w14:textId="30A1149B" w:rsidR="008E6E81" w:rsidRPr="005234EE" w:rsidRDefault="009116FE" w:rsidP="00B45C5A">
      <w:pPr>
        <w:ind w:left="-397" w:right="-397"/>
        <w:jc w:val="both"/>
        <w:rPr>
          <w:rFonts w:ascii="Calibri" w:hAnsi="Calibri"/>
          <w:color w:val="000000" w:themeColor="text1"/>
          <w:lang w:val="en-GB"/>
        </w:rPr>
      </w:pPr>
      <w:r w:rsidRPr="005234EE">
        <w:rPr>
          <w:rFonts w:ascii="Calibri" w:hAnsi="Calibri"/>
          <w:color w:val="000000" w:themeColor="text1"/>
          <w:lang w:val="en-GB"/>
        </w:rPr>
        <w:t>In sum, whilst the impact of public assistance sanctions are undoubtedly negative in both Denmark and Britain, the reasons and level of punitive impact differ in ways that show governance capacity and influence of a developmental logic act as a source of reversal in Denmark. In this case, a fall in the use of sanctions (noted above), following government self-scrutiny and public debate, has been accompanied by several municipalities unilaterally implementing experiments that lift sanctions. Social workers I interviewed in these experiments indicated that many social worker staff were initially hostile to this change, but most were won over, and a key reason cited was the way it became possible for staff to “sit down with the citizen as an equal”.</w:t>
      </w:r>
      <w:r w:rsidRPr="005234EE">
        <w:rPr>
          <w:rStyle w:val="EndnoteReference"/>
          <w:rFonts w:ascii="Calibri" w:hAnsi="Calibri"/>
          <w:color w:val="000000" w:themeColor="text1"/>
          <w:lang w:val="en-GB"/>
        </w:rPr>
        <w:endnoteReference w:id="29"/>
      </w:r>
      <w:r w:rsidRPr="005234EE">
        <w:rPr>
          <w:rFonts w:ascii="Calibri" w:hAnsi="Calibri"/>
          <w:color w:val="000000" w:themeColor="text1"/>
          <w:lang w:val="en-GB"/>
        </w:rPr>
        <w:t xml:space="preserve"> </w:t>
      </w:r>
      <w:r w:rsidR="008E6E81" w:rsidRPr="005234EE">
        <w:rPr>
          <w:rFonts w:ascii="Calibri" w:hAnsi="Calibri"/>
          <w:color w:val="000000" w:themeColor="text1"/>
          <w:lang w:val="en-GB"/>
        </w:rPr>
        <w:t>A new key centre political party in Denmark has endorsed a policy of lifting conditionalities</w:t>
      </w:r>
      <w:r w:rsidR="00234B29" w:rsidRPr="005234EE">
        <w:rPr>
          <w:rFonts w:ascii="Calibri" w:hAnsi="Calibri"/>
          <w:color w:val="000000" w:themeColor="text1"/>
          <w:lang w:val="en-GB"/>
        </w:rPr>
        <w:t>,</w:t>
      </w:r>
      <w:r w:rsidR="008E6E81" w:rsidRPr="005234EE">
        <w:rPr>
          <w:rFonts w:ascii="Calibri" w:hAnsi="Calibri"/>
          <w:color w:val="000000" w:themeColor="text1"/>
          <w:lang w:val="en-GB"/>
        </w:rPr>
        <w:t xml:space="preserve"> and made this the flagship topic of its annual convention in 2017. </w:t>
      </w:r>
    </w:p>
    <w:p w14:paraId="7C053B17" w14:textId="77777777" w:rsidR="00B45C5A" w:rsidRPr="005234EE" w:rsidRDefault="00B45C5A" w:rsidP="00B45C5A">
      <w:pPr>
        <w:ind w:left="-397" w:right="-397"/>
        <w:jc w:val="both"/>
        <w:rPr>
          <w:rFonts w:ascii="Calibri" w:hAnsi="Calibri"/>
          <w:color w:val="000000" w:themeColor="text1"/>
          <w:lang w:val="en-GB"/>
        </w:rPr>
      </w:pPr>
    </w:p>
    <w:p w14:paraId="37E46D69" w14:textId="75A37DD4" w:rsidR="00C8240B" w:rsidRPr="005234EE" w:rsidRDefault="00D0006A" w:rsidP="00B45C5A">
      <w:pPr>
        <w:ind w:left="-397" w:right="-397"/>
        <w:jc w:val="both"/>
        <w:rPr>
          <w:rFonts w:ascii="Calibri" w:hAnsi="Calibri"/>
          <w:color w:val="000000" w:themeColor="text1"/>
          <w:lang w:val="en-GB"/>
        </w:rPr>
      </w:pPr>
      <w:r w:rsidRPr="005234EE">
        <w:rPr>
          <w:rFonts w:ascii="Calibri" w:hAnsi="Calibri"/>
          <w:color w:val="000000" w:themeColor="text1"/>
          <w:lang w:val="en-GB"/>
        </w:rPr>
        <w:t>Condensing my findings</w:t>
      </w:r>
      <w:r w:rsidR="00C8240B" w:rsidRPr="005234EE">
        <w:rPr>
          <w:rFonts w:ascii="Calibri" w:hAnsi="Calibri"/>
          <w:color w:val="000000" w:themeColor="text1"/>
          <w:lang w:val="en-GB"/>
        </w:rPr>
        <w:t>, two distinct dynamics of resilience and unravelling of governance capacity</w:t>
      </w:r>
      <w:r w:rsidRPr="005234EE">
        <w:rPr>
          <w:rFonts w:ascii="Calibri" w:hAnsi="Calibri"/>
          <w:color w:val="000000" w:themeColor="text1"/>
          <w:lang w:val="en-GB"/>
        </w:rPr>
        <w:t xml:space="preserve">, can be observed in, respectively, </w:t>
      </w:r>
      <w:r w:rsidR="00C8240B" w:rsidRPr="005234EE">
        <w:rPr>
          <w:rFonts w:ascii="Calibri" w:hAnsi="Calibri"/>
          <w:color w:val="000000" w:themeColor="text1"/>
          <w:lang w:val="en-GB"/>
        </w:rPr>
        <w:t>Denm</w:t>
      </w:r>
      <w:r w:rsidRPr="005234EE">
        <w:rPr>
          <w:rFonts w:ascii="Calibri" w:hAnsi="Calibri"/>
          <w:color w:val="000000" w:themeColor="text1"/>
          <w:lang w:val="en-GB"/>
        </w:rPr>
        <w:t xml:space="preserve">ark and Britain, </w:t>
      </w:r>
      <w:r w:rsidR="00C8240B" w:rsidRPr="005234EE">
        <w:rPr>
          <w:rFonts w:ascii="Calibri" w:hAnsi="Calibri"/>
          <w:color w:val="000000" w:themeColor="text1"/>
          <w:lang w:val="en-GB"/>
        </w:rPr>
        <w:t xml:space="preserve">in the process of implementation of </w:t>
      </w:r>
      <w:r w:rsidR="00E662C3" w:rsidRPr="005234EE">
        <w:rPr>
          <w:rFonts w:ascii="Calibri" w:hAnsi="Calibri"/>
          <w:color w:val="000000" w:themeColor="text1"/>
          <w:lang w:val="en-GB"/>
        </w:rPr>
        <w:t xml:space="preserve">benefit </w:t>
      </w:r>
      <w:r w:rsidR="00C8240B" w:rsidRPr="005234EE">
        <w:rPr>
          <w:rFonts w:ascii="Calibri" w:hAnsi="Calibri"/>
          <w:color w:val="000000" w:themeColor="text1"/>
          <w:lang w:val="en-GB"/>
        </w:rPr>
        <w:t xml:space="preserve">sanctions. Involved in this difference are five factors I have discussed, being the role of public research, information access, state-driven public debate and scrutiny, </w:t>
      </w:r>
      <w:r w:rsidRPr="005234EE">
        <w:rPr>
          <w:rFonts w:ascii="Calibri" w:hAnsi="Calibri"/>
          <w:color w:val="000000" w:themeColor="text1"/>
          <w:lang w:val="en-GB"/>
        </w:rPr>
        <w:t xml:space="preserve">internal reform, </w:t>
      </w:r>
      <w:r w:rsidR="00C8240B" w:rsidRPr="005234EE">
        <w:rPr>
          <w:rFonts w:ascii="Calibri" w:hAnsi="Calibri"/>
          <w:color w:val="000000" w:themeColor="text1"/>
          <w:lang w:val="en-GB"/>
        </w:rPr>
        <w:t>and social resistance. In the case of Britain, critical studies by charities and post-hoc enquiries by public bodies have had relatively weak effect on change</w:t>
      </w:r>
      <w:r w:rsidR="00FD7D52">
        <w:rPr>
          <w:rFonts w:ascii="Calibri" w:hAnsi="Calibri"/>
          <w:color w:val="000000" w:themeColor="text1"/>
          <w:lang w:val="en-GB"/>
        </w:rPr>
        <w:t>,</w:t>
      </w:r>
      <w:r w:rsidR="00C8240B" w:rsidRPr="005234EE">
        <w:rPr>
          <w:rFonts w:ascii="Calibri" w:hAnsi="Calibri"/>
          <w:color w:val="000000" w:themeColor="text1"/>
          <w:lang w:val="en-GB"/>
        </w:rPr>
        <w:t xml:space="preserve"> in a context in which overall investment in public scrutiny and information </w:t>
      </w:r>
      <w:r w:rsidRPr="005234EE">
        <w:rPr>
          <w:rFonts w:ascii="Calibri" w:hAnsi="Calibri"/>
          <w:color w:val="000000" w:themeColor="text1"/>
          <w:lang w:val="en-GB"/>
        </w:rPr>
        <w:t>are weak. E</w:t>
      </w:r>
      <w:r w:rsidR="00C8240B" w:rsidRPr="005234EE">
        <w:rPr>
          <w:rFonts w:ascii="Calibri" w:hAnsi="Calibri"/>
          <w:color w:val="000000" w:themeColor="text1"/>
          <w:lang w:val="en-GB"/>
        </w:rPr>
        <w:t xml:space="preserve">xhaustion of capacity for governing rooted in public information and services has </w:t>
      </w:r>
      <w:r w:rsidRPr="005234EE">
        <w:rPr>
          <w:rFonts w:ascii="Calibri" w:hAnsi="Calibri"/>
          <w:color w:val="000000" w:themeColor="text1"/>
          <w:lang w:val="en-GB"/>
        </w:rPr>
        <w:t>occurred over time</w:t>
      </w:r>
      <w:r w:rsidR="00C8240B" w:rsidRPr="005234EE">
        <w:rPr>
          <w:rFonts w:ascii="Calibri" w:hAnsi="Calibri"/>
          <w:color w:val="000000" w:themeColor="text1"/>
          <w:lang w:val="en-GB"/>
        </w:rPr>
        <w:t>. In Denmark, public scrutiny and information at all levels of the pub</w:t>
      </w:r>
      <w:r w:rsidR="00891F82" w:rsidRPr="005234EE">
        <w:rPr>
          <w:rFonts w:ascii="Calibri" w:hAnsi="Calibri"/>
          <w:color w:val="000000" w:themeColor="text1"/>
          <w:lang w:val="en-GB"/>
        </w:rPr>
        <w:t>l</w:t>
      </w:r>
      <w:r w:rsidR="00C8240B" w:rsidRPr="005234EE">
        <w:rPr>
          <w:rFonts w:ascii="Calibri" w:hAnsi="Calibri"/>
          <w:color w:val="000000" w:themeColor="text1"/>
          <w:lang w:val="en-GB"/>
        </w:rPr>
        <w:t>ic sector has played a key part in reversals within, and resistance to,</w:t>
      </w:r>
      <w:r w:rsidRPr="005234EE">
        <w:rPr>
          <w:rFonts w:ascii="Calibri" w:hAnsi="Calibri"/>
          <w:color w:val="000000" w:themeColor="text1"/>
          <w:lang w:val="en-GB"/>
        </w:rPr>
        <w:t xml:space="preserve"> </w:t>
      </w:r>
      <w:r w:rsidR="00C8240B" w:rsidRPr="005234EE">
        <w:rPr>
          <w:rFonts w:ascii="Calibri" w:hAnsi="Calibri"/>
          <w:color w:val="000000" w:themeColor="text1"/>
          <w:lang w:val="en-GB"/>
        </w:rPr>
        <w:t>sanctions.</w:t>
      </w:r>
    </w:p>
    <w:p w14:paraId="51461582" w14:textId="77777777" w:rsidR="00C8240B" w:rsidRPr="005234EE" w:rsidRDefault="00C8240B" w:rsidP="00B45C5A">
      <w:pPr>
        <w:ind w:left="-397" w:right="-397"/>
        <w:jc w:val="both"/>
        <w:rPr>
          <w:rFonts w:ascii="Calibri" w:hAnsi="Calibri"/>
          <w:color w:val="000000" w:themeColor="text1"/>
          <w:lang w:val="en-GB"/>
        </w:rPr>
      </w:pPr>
    </w:p>
    <w:p w14:paraId="6FB8D258" w14:textId="77777777" w:rsidR="00B45C5A" w:rsidRPr="005234EE" w:rsidRDefault="00B45C5A" w:rsidP="00B45C5A">
      <w:pPr>
        <w:ind w:left="-397" w:right="-397"/>
        <w:jc w:val="both"/>
        <w:rPr>
          <w:rFonts w:ascii="Calibri" w:hAnsi="Calibri"/>
          <w:color w:val="000000" w:themeColor="text1"/>
          <w:lang w:val="en-GB"/>
        </w:rPr>
      </w:pPr>
    </w:p>
    <w:p w14:paraId="206A76E0" w14:textId="62BB89CC" w:rsidR="008E6E81" w:rsidRPr="005234EE" w:rsidRDefault="00E662C3" w:rsidP="008E6E81">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 xml:space="preserve">5. </w:t>
      </w:r>
      <w:r w:rsidR="008E6E81" w:rsidRPr="005234EE">
        <w:rPr>
          <w:rFonts w:ascii="Calibri" w:hAnsi="Calibri" w:cs="Times New Roman"/>
          <w:color w:val="000000" w:themeColor="text1"/>
          <w:lang w:val="en-GB"/>
        </w:rPr>
        <w:t>Conclusion</w:t>
      </w:r>
    </w:p>
    <w:p w14:paraId="05AFC2D8" w14:textId="77777777" w:rsidR="00815577" w:rsidRPr="005234EE" w:rsidRDefault="00815577" w:rsidP="00815577">
      <w:pPr>
        <w:ind w:right="-397"/>
        <w:jc w:val="both"/>
        <w:rPr>
          <w:rFonts w:ascii="Calibri" w:hAnsi="Calibri"/>
          <w:color w:val="000000" w:themeColor="text1"/>
          <w:lang w:val="en-GB"/>
        </w:rPr>
      </w:pPr>
    </w:p>
    <w:p w14:paraId="0941FF12" w14:textId="4FA23C7D" w:rsidR="000C262D" w:rsidRPr="005234EE" w:rsidRDefault="000C262D" w:rsidP="000C262D">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 xml:space="preserve">In this paper, I have looked at how long-run conditions of inclusivity in public governance shape governance capacity and human development outcomes in the context of designing and implementing </w:t>
      </w:r>
      <w:r w:rsidR="00E662C3" w:rsidRPr="005234EE">
        <w:rPr>
          <w:rFonts w:ascii="Calibri" w:hAnsi="Calibri" w:cs="Times New Roman"/>
          <w:color w:val="000000" w:themeColor="text1"/>
          <w:lang w:val="en-GB"/>
        </w:rPr>
        <w:t xml:space="preserve">benefit </w:t>
      </w:r>
      <w:r w:rsidRPr="005234EE">
        <w:rPr>
          <w:rFonts w:ascii="Calibri" w:hAnsi="Calibri" w:cs="Times New Roman"/>
          <w:color w:val="000000" w:themeColor="text1"/>
          <w:lang w:val="en-GB"/>
        </w:rPr>
        <w:t>sanctions regimes. Whereas the VOC literature has looked at variation as an economic phenomenon shaped by overt class conflicts, I have examined governance capacity and performance in terms of the humanist orientation of institutions and policies.  The upshot is a new framework for comparing systems’ human effects in terms of the development of democratic responsiveness to conditions of human economy.</w:t>
      </w:r>
    </w:p>
    <w:p w14:paraId="43E31E25" w14:textId="77777777" w:rsidR="000C262D" w:rsidRPr="005234EE" w:rsidRDefault="000C262D" w:rsidP="000C262D">
      <w:pPr>
        <w:pStyle w:val="ListParagraph"/>
        <w:ind w:left="-397" w:right="-397"/>
        <w:jc w:val="both"/>
        <w:rPr>
          <w:rFonts w:ascii="Calibri" w:hAnsi="Calibri" w:cs="Times New Roman"/>
          <w:color w:val="000000" w:themeColor="text1"/>
          <w:lang w:val="en-GB"/>
        </w:rPr>
      </w:pPr>
    </w:p>
    <w:p w14:paraId="084B3A2F" w14:textId="76915FFB" w:rsidR="000C262D" w:rsidRPr="00FD7D52" w:rsidRDefault="000C262D" w:rsidP="00FD7D52">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 xml:space="preserve">A key finding is that inclusivity in governing not only improves human development impacts of policy, but generates state capacity for governing effectively. Humanist policies are effective for governance. In systems where this capacity is weak, policy makers are pushed to pursue more punitive and ad hoc </w:t>
      </w:r>
      <w:r w:rsidRPr="005234EE">
        <w:rPr>
          <w:rFonts w:ascii="Calibri" w:hAnsi="Calibri" w:cs="Times New Roman"/>
          <w:color w:val="000000" w:themeColor="text1"/>
          <w:lang w:val="en-GB"/>
        </w:rPr>
        <w:lastRenderedPageBreak/>
        <w:t>policy designs.  British public policy became both less functional and humanist as an outcome of the way a narrow market-adaptive regulatory approach chosen</w:t>
      </w:r>
      <w:r w:rsidR="00FD7D52">
        <w:rPr>
          <w:rFonts w:ascii="Calibri" w:hAnsi="Calibri" w:cs="Times New Roman"/>
          <w:color w:val="000000" w:themeColor="text1"/>
          <w:lang w:val="en-GB"/>
        </w:rPr>
        <w:t>,</w:t>
      </w:r>
      <w:r w:rsidRPr="005234EE">
        <w:rPr>
          <w:rFonts w:ascii="Calibri" w:hAnsi="Calibri" w:cs="Times New Roman"/>
          <w:color w:val="000000" w:themeColor="text1"/>
          <w:lang w:val="en-GB"/>
        </w:rPr>
        <w:t xml:space="preserve"> acted to accelerate forms of governance fragmentation that already existed. </w:t>
      </w:r>
      <w:r w:rsidRPr="00FD7D52">
        <w:rPr>
          <w:rFonts w:ascii="Calibri" w:hAnsi="Calibri" w:cs="Times New Roman"/>
          <w:color w:val="000000" w:themeColor="text1"/>
          <w:lang w:val="en-GB"/>
        </w:rPr>
        <w:t>By contrast, in Nordic states, a form of human development constitution</w:t>
      </w:r>
      <w:r w:rsidR="00FD7D52">
        <w:rPr>
          <w:rFonts w:ascii="Calibri" w:hAnsi="Calibri" w:cs="Times New Roman"/>
          <w:color w:val="000000" w:themeColor="text1"/>
          <w:lang w:val="en-GB"/>
        </w:rPr>
        <w:t>,</w:t>
      </w:r>
      <w:r w:rsidRPr="00FD7D52">
        <w:rPr>
          <w:rFonts w:ascii="Calibri" w:hAnsi="Calibri" w:cs="Times New Roman"/>
          <w:color w:val="000000" w:themeColor="text1"/>
          <w:lang w:val="en-GB"/>
        </w:rPr>
        <w:t xml:space="preserve"> linked with investment in education</w:t>
      </w:r>
      <w:r w:rsidR="00FD7D52">
        <w:rPr>
          <w:rFonts w:ascii="Calibri" w:hAnsi="Calibri" w:cs="Times New Roman"/>
          <w:color w:val="000000" w:themeColor="text1"/>
          <w:lang w:val="en-GB"/>
        </w:rPr>
        <w:t>,</w:t>
      </w:r>
      <w:r w:rsidRPr="00FD7D52">
        <w:rPr>
          <w:rFonts w:ascii="Calibri" w:hAnsi="Calibri" w:cs="Times New Roman"/>
          <w:color w:val="000000" w:themeColor="text1"/>
          <w:lang w:val="en-GB"/>
        </w:rPr>
        <w:t xml:space="preserve"> and regulation to support developmental equality</w:t>
      </w:r>
      <w:r w:rsidR="00FD7D52">
        <w:rPr>
          <w:rFonts w:ascii="Calibri" w:hAnsi="Calibri" w:cs="Times New Roman"/>
          <w:color w:val="000000" w:themeColor="text1"/>
          <w:lang w:val="en-GB"/>
        </w:rPr>
        <w:t>,</w:t>
      </w:r>
      <w:r w:rsidRPr="00FD7D52">
        <w:rPr>
          <w:rFonts w:ascii="Calibri" w:hAnsi="Calibri" w:cs="Times New Roman"/>
          <w:color w:val="000000" w:themeColor="text1"/>
          <w:lang w:val="en-GB"/>
        </w:rPr>
        <w:t xml:space="preserve"> has been retained, which shows up in the role of education in sanctions. </w:t>
      </w:r>
    </w:p>
    <w:p w14:paraId="4903E1EF" w14:textId="77777777" w:rsidR="000C262D" w:rsidRPr="005234EE" w:rsidRDefault="000C262D" w:rsidP="000C262D">
      <w:pPr>
        <w:pStyle w:val="ListParagraph"/>
        <w:ind w:left="-397" w:right="-397"/>
        <w:jc w:val="both"/>
        <w:rPr>
          <w:rFonts w:ascii="Calibri" w:hAnsi="Calibri" w:cs="Times New Roman"/>
          <w:color w:val="000000" w:themeColor="text1"/>
          <w:lang w:val="en-GB"/>
        </w:rPr>
      </w:pPr>
    </w:p>
    <w:p w14:paraId="34FF64E4" w14:textId="513238C9" w:rsidR="000C262D" w:rsidRPr="005234EE" w:rsidRDefault="000C262D" w:rsidP="000C262D">
      <w:pPr>
        <w:pStyle w:val="ListParagraph"/>
        <w:ind w:left="-397" w:right="-397"/>
        <w:jc w:val="both"/>
        <w:rPr>
          <w:rFonts w:ascii="Calibri" w:hAnsi="Calibri" w:cs="Times New Roman"/>
          <w:color w:val="000000" w:themeColor="text1"/>
          <w:lang w:val="en-GB"/>
        </w:rPr>
      </w:pPr>
      <w:r w:rsidRPr="005234EE">
        <w:rPr>
          <w:rFonts w:ascii="Calibri" w:hAnsi="Calibri" w:cs="Times New Roman"/>
          <w:color w:val="000000" w:themeColor="text1"/>
          <w:lang w:val="en-GB"/>
        </w:rPr>
        <w:t>An upshot is</w:t>
      </w:r>
      <w:r w:rsidR="00E662C3" w:rsidRPr="005234EE">
        <w:rPr>
          <w:rFonts w:ascii="Calibri" w:hAnsi="Calibri" w:cs="Times New Roman"/>
          <w:color w:val="000000" w:themeColor="text1"/>
          <w:lang w:val="en-GB"/>
        </w:rPr>
        <w:t xml:space="preserve"> that</w:t>
      </w:r>
      <w:r w:rsidRPr="005234EE">
        <w:rPr>
          <w:rFonts w:ascii="Calibri" w:hAnsi="Calibri" w:cs="Times New Roman"/>
          <w:color w:val="000000" w:themeColor="text1"/>
          <w:lang w:val="en-GB"/>
        </w:rPr>
        <w:t xml:space="preserve"> governance is not simply performing differently in Nordic states. Higher levels of public state ownership ha</w:t>
      </w:r>
      <w:r w:rsidR="00E662C3" w:rsidRPr="005234EE">
        <w:rPr>
          <w:rFonts w:ascii="Calibri" w:hAnsi="Calibri" w:cs="Times New Roman"/>
          <w:color w:val="000000" w:themeColor="text1"/>
          <w:lang w:val="en-GB"/>
        </w:rPr>
        <w:t>ve</w:t>
      </w:r>
      <w:r w:rsidRPr="005234EE">
        <w:rPr>
          <w:rFonts w:ascii="Calibri" w:hAnsi="Calibri" w:cs="Times New Roman"/>
          <w:color w:val="000000" w:themeColor="text1"/>
          <w:lang w:val="en-GB"/>
        </w:rPr>
        <w:t xml:space="preserve"> had the double effect of making sources and forms of injustice in sanctioning come to light, and prevent</w:t>
      </w:r>
      <w:r w:rsidR="00FD7D52">
        <w:rPr>
          <w:rFonts w:ascii="Calibri" w:hAnsi="Calibri" w:cs="Times New Roman"/>
          <w:color w:val="000000" w:themeColor="text1"/>
          <w:lang w:val="en-GB"/>
        </w:rPr>
        <w:t>, and contain,</w:t>
      </w:r>
      <w:r w:rsidRPr="005234EE">
        <w:rPr>
          <w:rFonts w:ascii="Calibri" w:hAnsi="Calibri" w:cs="Times New Roman"/>
          <w:color w:val="000000" w:themeColor="text1"/>
          <w:lang w:val="en-GB"/>
        </w:rPr>
        <w:t xml:space="preserve"> them. In Britain, lower levels of public state ownership entail </w:t>
      </w:r>
      <w:r w:rsidR="00E662C3" w:rsidRPr="005234EE">
        <w:rPr>
          <w:rFonts w:ascii="Calibri" w:hAnsi="Calibri" w:cs="Times New Roman"/>
          <w:color w:val="000000" w:themeColor="text1"/>
          <w:lang w:val="en-GB"/>
        </w:rPr>
        <w:t xml:space="preserve">that </w:t>
      </w:r>
      <w:r w:rsidRPr="005234EE">
        <w:rPr>
          <w:rFonts w:ascii="Calibri" w:hAnsi="Calibri" w:cs="Times New Roman"/>
          <w:color w:val="000000" w:themeColor="text1"/>
          <w:lang w:val="en-GB"/>
        </w:rPr>
        <w:t>sources of injustice, linked with punitive and arbitrary administration of sanctions, are both comparably more likely, and less well-known. In all, a more diversified form of democratic check</w:t>
      </w:r>
      <w:r w:rsidR="00E662C3" w:rsidRPr="005234EE">
        <w:rPr>
          <w:rFonts w:ascii="Calibri" w:hAnsi="Calibri" w:cs="Times New Roman"/>
          <w:color w:val="000000" w:themeColor="text1"/>
          <w:lang w:val="en-GB"/>
        </w:rPr>
        <w:t>, rooted in public state ownership,</w:t>
      </w:r>
      <w:r w:rsidRPr="005234EE">
        <w:rPr>
          <w:rFonts w:ascii="Calibri" w:hAnsi="Calibri" w:cs="Times New Roman"/>
          <w:color w:val="000000" w:themeColor="text1"/>
          <w:lang w:val="en-GB"/>
        </w:rPr>
        <w:t xml:space="preserve"> has shown itself in Denmark to be a force in cushioning, and to some extent reversing, the conservative change in public policy represented by benefit sanctions.</w:t>
      </w:r>
    </w:p>
    <w:p w14:paraId="49910CA9" w14:textId="71DEBE93" w:rsidR="00D45570" w:rsidRPr="005234EE" w:rsidRDefault="00D45570" w:rsidP="000F0FCB">
      <w:pPr>
        <w:pStyle w:val="ListParagraph"/>
        <w:ind w:left="-397" w:right="-397"/>
        <w:jc w:val="both"/>
        <w:rPr>
          <w:rFonts w:ascii="Calibri" w:hAnsi="Calibri" w:cs="Times New Roman"/>
          <w:color w:val="000000" w:themeColor="text1"/>
          <w:lang w:val="en-GB"/>
        </w:rPr>
      </w:pPr>
    </w:p>
    <w:p w14:paraId="5C9F9718" w14:textId="2424A721" w:rsidR="004000C0" w:rsidRPr="005234EE" w:rsidRDefault="004000C0">
      <w:pPr>
        <w:spacing w:after="200" w:line="276" w:lineRule="auto"/>
        <w:rPr>
          <w:rFonts w:ascii="Calibri" w:hAnsi="Calibri"/>
          <w:color w:val="000000" w:themeColor="text1"/>
          <w:lang w:val="en-GB"/>
        </w:rPr>
      </w:pPr>
      <w:r w:rsidRPr="005234EE">
        <w:rPr>
          <w:rFonts w:ascii="Calibri" w:hAnsi="Calibri"/>
          <w:color w:val="000000" w:themeColor="text1"/>
          <w:lang w:val="en-GB"/>
        </w:rPr>
        <w:br w:type="page"/>
      </w:r>
    </w:p>
    <w:p w14:paraId="0C244ACB" w14:textId="77777777" w:rsidR="004000C0" w:rsidRPr="005234EE" w:rsidRDefault="004000C0" w:rsidP="008E6E81">
      <w:pPr>
        <w:ind w:left="-397" w:right="-397"/>
        <w:jc w:val="both"/>
        <w:rPr>
          <w:rFonts w:ascii="Calibri" w:hAnsi="Calibri"/>
          <w:color w:val="000000" w:themeColor="text1"/>
          <w:lang w:val="en-GB"/>
        </w:rPr>
      </w:pPr>
    </w:p>
    <w:p w14:paraId="71745C8A" w14:textId="77777777" w:rsidR="00D45570" w:rsidRPr="005234EE" w:rsidRDefault="00D45570" w:rsidP="008E6E81">
      <w:pPr>
        <w:ind w:left="-397" w:right="-397"/>
        <w:jc w:val="both"/>
        <w:rPr>
          <w:rFonts w:ascii="Calibri" w:hAnsi="Calibri"/>
          <w:color w:val="000000" w:themeColor="text1"/>
          <w:lang w:val="en-GB"/>
        </w:rPr>
      </w:pPr>
    </w:p>
    <w:p w14:paraId="180F1EC2" w14:textId="77777777" w:rsidR="00D45570" w:rsidRPr="005234EE" w:rsidRDefault="00D45570" w:rsidP="008E6E81">
      <w:pPr>
        <w:ind w:left="-397" w:right="-397"/>
        <w:jc w:val="both"/>
        <w:rPr>
          <w:rFonts w:ascii="Calibri" w:hAnsi="Calibri"/>
          <w:color w:val="000000" w:themeColor="text1"/>
          <w:lang w:val="en-GB"/>
        </w:rPr>
      </w:pPr>
    </w:p>
    <w:p w14:paraId="171BBF70" w14:textId="77777777" w:rsidR="00D45570" w:rsidRPr="005234EE" w:rsidRDefault="00D45570" w:rsidP="008E6E81">
      <w:pPr>
        <w:ind w:left="-397" w:right="-397"/>
        <w:jc w:val="both"/>
        <w:rPr>
          <w:rFonts w:ascii="Calibri" w:hAnsi="Calibri"/>
          <w:color w:val="000000" w:themeColor="text1"/>
          <w:lang w:val="en-GB"/>
        </w:rPr>
      </w:pPr>
    </w:p>
    <w:p w14:paraId="1E8BDFB1" w14:textId="77777777" w:rsidR="008E6E81" w:rsidRPr="005234EE" w:rsidRDefault="008E6E81" w:rsidP="008E6E81">
      <w:pPr>
        <w:ind w:left="-397" w:right="-397"/>
        <w:jc w:val="both"/>
        <w:rPr>
          <w:rFonts w:ascii="Calibri" w:hAnsi="Calibri"/>
          <w:color w:val="000000" w:themeColor="text1"/>
          <w:lang w:val="en-GB"/>
        </w:rPr>
      </w:pPr>
    </w:p>
    <w:p w14:paraId="77113F05" w14:textId="33D47492" w:rsidR="008E6E81" w:rsidRPr="005234EE" w:rsidRDefault="000B6A12" w:rsidP="00F83C9B">
      <w:pPr>
        <w:ind w:left="-397" w:right="-397"/>
        <w:jc w:val="both"/>
        <w:outlineLvl w:val="0"/>
        <w:rPr>
          <w:rFonts w:ascii="Calibri" w:hAnsi="Calibri"/>
          <w:color w:val="000000" w:themeColor="text1"/>
          <w:lang w:val="en-GB"/>
        </w:rPr>
      </w:pPr>
      <w:r w:rsidRPr="005234EE">
        <w:rPr>
          <w:rFonts w:ascii="Calibri" w:hAnsi="Calibri"/>
          <w:color w:val="000000" w:themeColor="text1"/>
          <w:lang w:val="en-GB"/>
        </w:rPr>
        <w:t>Figure 3</w:t>
      </w:r>
      <w:r w:rsidR="008E6E81" w:rsidRPr="005234EE">
        <w:rPr>
          <w:rFonts w:ascii="Calibri" w:hAnsi="Calibri"/>
          <w:color w:val="000000" w:themeColor="text1"/>
          <w:lang w:val="en-GB"/>
        </w:rPr>
        <w:t xml:space="preserve"> (i)</w:t>
      </w:r>
    </w:p>
    <w:p w14:paraId="6BABAC15" w14:textId="77777777" w:rsidR="008E6E81" w:rsidRPr="005234EE" w:rsidRDefault="008E6E81" w:rsidP="008E6E81">
      <w:pPr>
        <w:ind w:right="-397"/>
        <w:jc w:val="both"/>
        <w:rPr>
          <w:rFonts w:ascii="Calibri" w:hAnsi="Calibri"/>
          <w:color w:val="000000" w:themeColor="text1"/>
          <w:lang w:val="en-GB"/>
        </w:rPr>
      </w:pPr>
    </w:p>
    <w:p w14:paraId="33F598D7" w14:textId="77777777" w:rsidR="008E6E81" w:rsidRPr="005234EE" w:rsidRDefault="008E6E81" w:rsidP="008E6E81">
      <w:pPr>
        <w:rPr>
          <w:rFonts w:ascii="Calibri" w:hAnsi="Calibri"/>
          <w:color w:val="000000" w:themeColor="text1"/>
          <w:lang w:val="en-GB"/>
        </w:rPr>
      </w:pPr>
    </w:p>
    <w:p w14:paraId="6FF549A4" w14:textId="77777777" w:rsidR="008E6E81" w:rsidRPr="005234EE" w:rsidRDefault="008E6E81" w:rsidP="008E6E81">
      <w:pPr>
        <w:rPr>
          <w:rFonts w:ascii="Calibri" w:hAnsi="Calibri"/>
          <w:color w:val="000000" w:themeColor="text1"/>
          <w:lang w:val="en-GB"/>
        </w:rPr>
      </w:pPr>
    </w:p>
    <w:p w14:paraId="30171B1B" w14:textId="77777777" w:rsidR="008E6E81" w:rsidRPr="005234EE" w:rsidRDefault="008E6E81" w:rsidP="008E6E81">
      <w:pPr>
        <w:rPr>
          <w:rFonts w:ascii="Calibri" w:hAnsi="Calibri"/>
          <w:b/>
          <w:color w:val="000000" w:themeColor="text1"/>
          <w:u w:val="single"/>
          <w:lang w:val="en-GB"/>
        </w:rPr>
      </w:pPr>
    </w:p>
    <w:p w14:paraId="01779E79" w14:textId="77777777" w:rsidR="008E6E81" w:rsidRPr="005234EE" w:rsidRDefault="008E6E81" w:rsidP="008E6E81">
      <w:pPr>
        <w:rPr>
          <w:rFonts w:ascii="Calibri" w:hAnsi="Calibri"/>
          <w:color w:val="7030A0"/>
          <w:lang w:val="en-GB"/>
        </w:rPr>
      </w:pPr>
      <w:r w:rsidRPr="005234EE">
        <w:rPr>
          <w:rFonts w:ascii="Calibri" w:hAnsi="Calibri"/>
          <w:noProof/>
          <w:color w:val="7030A0"/>
          <w:lang w:val="en-GB" w:eastAsia="en-GB"/>
        </w:rPr>
        <w:drawing>
          <wp:inline distT="0" distB="0" distL="0" distR="0" wp14:anchorId="11ECFA56" wp14:editId="4B4C60C6">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14:paraId="65073C41" w14:textId="77777777" w:rsidR="008E6E81" w:rsidRPr="005234EE" w:rsidRDefault="008E6E81" w:rsidP="008E6E81">
      <w:pPr>
        <w:rPr>
          <w:rFonts w:ascii="Calibri" w:hAnsi="Calibri"/>
          <w:color w:val="7030A0"/>
          <w:lang w:val="en-GB"/>
        </w:rPr>
      </w:pPr>
    </w:p>
    <w:p w14:paraId="619F8193" w14:textId="77777777" w:rsidR="008E6E81" w:rsidRPr="005234EE" w:rsidRDefault="008E6E81" w:rsidP="008E6E81">
      <w:pPr>
        <w:rPr>
          <w:rFonts w:ascii="Calibri" w:hAnsi="Calibri"/>
          <w:color w:val="7030A0"/>
          <w:lang w:val="en-GB"/>
        </w:rPr>
      </w:pPr>
    </w:p>
    <w:p w14:paraId="3F3AC24A" w14:textId="77777777" w:rsidR="008E6E81" w:rsidRPr="005234EE" w:rsidRDefault="008E6E81" w:rsidP="008E6E81">
      <w:pPr>
        <w:rPr>
          <w:rFonts w:ascii="Calibri" w:hAnsi="Calibri"/>
          <w:color w:val="000000" w:themeColor="text1"/>
          <w:lang w:val="en-GB"/>
        </w:rPr>
      </w:pPr>
      <w:r w:rsidRPr="005234EE">
        <w:rPr>
          <w:rFonts w:ascii="Calibri" w:hAnsi="Calibri"/>
          <w:color w:val="000000" w:themeColor="text1"/>
          <w:lang w:val="en-GB"/>
        </w:rPr>
        <w:t>Figure 4 (ii)</w:t>
      </w:r>
    </w:p>
    <w:p w14:paraId="4C3C5B36" w14:textId="77777777" w:rsidR="008E6E81" w:rsidRPr="005234EE" w:rsidRDefault="008E6E81" w:rsidP="008E6E81">
      <w:pPr>
        <w:rPr>
          <w:rFonts w:ascii="Calibri" w:hAnsi="Calibri"/>
          <w:color w:val="7030A0"/>
          <w:lang w:val="en-GB"/>
        </w:rPr>
      </w:pPr>
      <w:r w:rsidRPr="005234EE">
        <w:rPr>
          <w:rFonts w:ascii="Calibri" w:hAnsi="Calibri"/>
          <w:noProof/>
          <w:color w:val="7030A0"/>
          <w:lang w:val="en-GB" w:eastAsia="en-GB"/>
        </w:rPr>
        <w:lastRenderedPageBreak/>
        <w:drawing>
          <wp:inline distT="0" distB="0" distL="0" distR="0" wp14:anchorId="4C297A39" wp14:editId="6E42C4EE">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14:paraId="428407A6" w14:textId="77777777" w:rsidR="008E6E81" w:rsidRPr="005234EE" w:rsidRDefault="008E6E81" w:rsidP="008E6E81">
      <w:pPr>
        <w:rPr>
          <w:rFonts w:ascii="Calibri" w:hAnsi="Calibri"/>
          <w:color w:val="7030A0"/>
          <w:lang w:val="en-GB"/>
        </w:rPr>
      </w:pPr>
    </w:p>
    <w:p w14:paraId="5E264DC2" w14:textId="77777777" w:rsidR="008E6E81" w:rsidRPr="005234EE" w:rsidRDefault="008E6E81" w:rsidP="008E6E81">
      <w:pPr>
        <w:rPr>
          <w:rFonts w:ascii="Calibri" w:hAnsi="Calibri"/>
          <w:color w:val="7030A0"/>
          <w:lang w:val="en-GB"/>
        </w:rPr>
      </w:pPr>
    </w:p>
    <w:p w14:paraId="7E81FF3D" w14:textId="77777777" w:rsidR="008E6E81" w:rsidRPr="005234EE" w:rsidRDefault="008E6E81" w:rsidP="008E6E81">
      <w:pPr>
        <w:rPr>
          <w:rFonts w:ascii="Calibri" w:hAnsi="Calibri"/>
          <w:color w:val="7030A0"/>
          <w:lang w:val="en-GB"/>
        </w:rPr>
      </w:pPr>
    </w:p>
    <w:p w14:paraId="5C29B959" w14:textId="77777777" w:rsidR="008E6E81" w:rsidRPr="005234EE" w:rsidRDefault="008E6E81" w:rsidP="00F83C9B">
      <w:pPr>
        <w:outlineLvl w:val="0"/>
        <w:rPr>
          <w:rFonts w:ascii="Calibri" w:hAnsi="Calibri"/>
          <w:color w:val="000000" w:themeColor="text1"/>
          <w:lang w:val="en-GB"/>
        </w:rPr>
      </w:pPr>
      <w:r w:rsidRPr="005234EE">
        <w:rPr>
          <w:rFonts w:ascii="Calibri" w:hAnsi="Calibri"/>
          <w:color w:val="000000" w:themeColor="text1"/>
          <w:lang w:val="en-GB"/>
        </w:rPr>
        <w:t>Figure 4 (iii)</w:t>
      </w:r>
    </w:p>
    <w:p w14:paraId="47B884A4" w14:textId="77777777" w:rsidR="008E6E81" w:rsidRPr="005234EE" w:rsidRDefault="008E6E81" w:rsidP="008E6E81">
      <w:pPr>
        <w:rPr>
          <w:rFonts w:ascii="Calibri" w:hAnsi="Calibri"/>
          <w:color w:val="7030A0"/>
          <w:lang w:val="en-GB"/>
        </w:rPr>
      </w:pPr>
    </w:p>
    <w:p w14:paraId="0CC56458" w14:textId="77777777" w:rsidR="008E6E81" w:rsidRPr="005234EE" w:rsidRDefault="008E6E81" w:rsidP="008E6E81">
      <w:pPr>
        <w:rPr>
          <w:rFonts w:ascii="Calibri" w:hAnsi="Calibri"/>
          <w:color w:val="7030A0"/>
          <w:lang w:val="en-GB"/>
        </w:rPr>
      </w:pPr>
    </w:p>
    <w:p w14:paraId="0BA73281" w14:textId="77777777" w:rsidR="008E6E81" w:rsidRPr="005234EE" w:rsidRDefault="008E6E81" w:rsidP="008E6E81">
      <w:pPr>
        <w:rPr>
          <w:rFonts w:ascii="Calibri" w:hAnsi="Calibri"/>
          <w:color w:val="7030A0"/>
          <w:lang w:val="en-GB"/>
        </w:rPr>
      </w:pPr>
    </w:p>
    <w:p w14:paraId="28492AA0" w14:textId="77777777" w:rsidR="008E6E81" w:rsidRPr="005234EE" w:rsidRDefault="008E6E81" w:rsidP="008E6E81">
      <w:pPr>
        <w:rPr>
          <w:rFonts w:ascii="Calibri" w:hAnsi="Calibri"/>
          <w:color w:val="7030A0"/>
          <w:lang w:val="en-GB"/>
        </w:rPr>
      </w:pPr>
      <w:r w:rsidRPr="005234EE">
        <w:rPr>
          <w:rFonts w:ascii="Calibri" w:hAnsi="Calibri"/>
          <w:noProof/>
          <w:color w:val="7030A0"/>
          <w:lang w:val="en-GB" w:eastAsia="en-GB"/>
        </w:rPr>
        <w:drawing>
          <wp:inline distT="0" distB="0" distL="0" distR="0" wp14:anchorId="1289D1B4" wp14:editId="4C3EA7F4">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14:paraId="19F4F29A" w14:textId="77777777" w:rsidR="008E6E81" w:rsidRPr="005234EE" w:rsidRDefault="008E6E81" w:rsidP="008E6E81">
      <w:pPr>
        <w:rPr>
          <w:rFonts w:ascii="Calibri" w:hAnsi="Calibri"/>
          <w:color w:val="000000" w:themeColor="text1"/>
          <w:lang w:val="en-GB"/>
        </w:rPr>
      </w:pPr>
    </w:p>
    <w:p w14:paraId="650BB371" w14:textId="77777777" w:rsidR="008E6E81" w:rsidRPr="005234EE" w:rsidRDefault="008E6E81" w:rsidP="00F83C9B">
      <w:pPr>
        <w:outlineLvl w:val="0"/>
        <w:rPr>
          <w:rFonts w:ascii="Calibri" w:hAnsi="Calibri"/>
          <w:color w:val="000000" w:themeColor="text1"/>
          <w:lang w:val="en-GB"/>
        </w:rPr>
      </w:pPr>
      <w:r w:rsidRPr="005234EE">
        <w:rPr>
          <w:rFonts w:ascii="Calibri" w:hAnsi="Calibri"/>
          <w:color w:val="000000" w:themeColor="text1"/>
          <w:lang w:val="en-GB"/>
        </w:rPr>
        <w:t>Figure 4 (iv)</w:t>
      </w:r>
    </w:p>
    <w:p w14:paraId="0CEFEA6B" w14:textId="77777777" w:rsidR="008E6E81" w:rsidRPr="005234EE" w:rsidRDefault="008E6E81" w:rsidP="008E6E81">
      <w:pPr>
        <w:rPr>
          <w:rFonts w:ascii="Calibri" w:hAnsi="Calibri"/>
          <w:color w:val="7030A0"/>
          <w:lang w:val="en-GB"/>
        </w:rPr>
      </w:pPr>
    </w:p>
    <w:p w14:paraId="6B00C1B7" w14:textId="77777777" w:rsidR="008E6E81" w:rsidRPr="005234EE" w:rsidRDefault="008E6E81" w:rsidP="008E6E81">
      <w:pPr>
        <w:rPr>
          <w:rFonts w:ascii="Calibri" w:hAnsi="Calibri"/>
          <w:color w:val="7030A0"/>
          <w:lang w:val="en-GB"/>
        </w:rPr>
      </w:pPr>
      <w:r w:rsidRPr="005234EE">
        <w:rPr>
          <w:rFonts w:ascii="Calibri" w:hAnsi="Calibri"/>
          <w:noProof/>
          <w:color w:val="7030A0"/>
          <w:lang w:val="en-GB" w:eastAsia="en-GB"/>
        </w:rPr>
        <w:lastRenderedPageBreak/>
        <w:drawing>
          <wp:inline distT="0" distB="0" distL="0" distR="0" wp14:anchorId="1ABE1302" wp14:editId="08EC05A0">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14:paraId="17148830" w14:textId="77777777" w:rsidR="008E6E81" w:rsidRPr="005234EE" w:rsidRDefault="008E6E81" w:rsidP="008E6E81">
      <w:pPr>
        <w:rPr>
          <w:rFonts w:ascii="Calibri" w:hAnsi="Calibri"/>
          <w:color w:val="7030A0"/>
          <w:lang w:val="en-GB"/>
        </w:rPr>
      </w:pPr>
    </w:p>
    <w:p w14:paraId="09B952E9" w14:textId="77777777" w:rsidR="008E6E81" w:rsidRPr="005234EE" w:rsidRDefault="008E6E81" w:rsidP="00F83C9B">
      <w:pPr>
        <w:outlineLvl w:val="0"/>
        <w:rPr>
          <w:rFonts w:ascii="Calibri" w:hAnsi="Calibri"/>
          <w:color w:val="000000" w:themeColor="text1"/>
          <w:lang w:val="en-GB"/>
        </w:rPr>
      </w:pPr>
      <w:r w:rsidRPr="005234EE">
        <w:rPr>
          <w:rFonts w:ascii="Calibri" w:hAnsi="Calibri"/>
          <w:color w:val="000000" w:themeColor="text1"/>
          <w:lang w:val="en-GB"/>
        </w:rPr>
        <w:t>Figure 4 (v)</w:t>
      </w:r>
    </w:p>
    <w:p w14:paraId="25AE7456" w14:textId="77777777" w:rsidR="008E6E81" w:rsidRPr="005234EE" w:rsidRDefault="008E6E81" w:rsidP="008E6E81">
      <w:pPr>
        <w:rPr>
          <w:rFonts w:ascii="Calibri" w:hAnsi="Calibri"/>
          <w:color w:val="7030A0"/>
          <w:lang w:val="en-GB"/>
        </w:rPr>
      </w:pPr>
    </w:p>
    <w:p w14:paraId="30B1C9DB" w14:textId="77777777" w:rsidR="008E6E81" w:rsidRPr="005234EE" w:rsidRDefault="008E6E81" w:rsidP="008E6E81">
      <w:pPr>
        <w:rPr>
          <w:rFonts w:ascii="Calibri" w:hAnsi="Calibri"/>
          <w:color w:val="7030A0"/>
          <w:lang w:val="en-GB"/>
        </w:rPr>
      </w:pPr>
    </w:p>
    <w:p w14:paraId="2F999C65" w14:textId="77777777" w:rsidR="008E6E81" w:rsidRPr="005234EE" w:rsidRDefault="008E6E81" w:rsidP="008E6E81">
      <w:pPr>
        <w:rPr>
          <w:rFonts w:ascii="Calibri" w:hAnsi="Calibri"/>
          <w:color w:val="7030A0"/>
          <w:lang w:val="en-GB"/>
        </w:rPr>
      </w:pPr>
      <w:r w:rsidRPr="005234EE">
        <w:rPr>
          <w:rFonts w:ascii="Calibri" w:hAnsi="Calibri"/>
          <w:noProof/>
          <w:color w:val="7030A0"/>
          <w:lang w:val="en-GB" w:eastAsia="en-GB"/>
        </w:rPr>
        <w:drawing>
          <wp:inline distT="0" distB="0" distL="0" distR="0" wp14:anchorId="61A0930E" wp14:editId="6836684F">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14:paraId="33118D42" w14:textId="77777777" w:rsidR="008E6E81" w:rsidRPr="005234EE" w:rsidRDefault="008E6E81" w:rsidP="00F83C9B">
      <w:pPr>
        <w:outlineLvl w:val="0"/>
        <w:rPr>
          <w:rFonts w:ascii="Calibri" w:hAnsi="Calibri"/>
          <w:color w:val="000000" w:themeColor="text1"/>
          <w:lang w:val="en-GB"/>
        </w:rPr>
      </w:pPr>
      <w:r w:rsidRPr="005234EE">
        <w:rPr>
          <w:rFonts w:ascii="Calibri" w:hAnsi="Calibri"/>
          <w:color w:val="000000" w:themeColor="text1"/>
          <w:lang w:val="en-GB"/>
        </w:rPr>
        <w:t>Figure 4 (vi)</w:t>
      </w:r>
    </w:p>
    <w:p w14:paraId="4364EA27" w14:textId="77777777" w:rsidR="008E6E81" w:rsidRPr="005234EE" w:rsidRDefault="008E6E81" w:rsidP="008E6E81">
      <w:pPr>
        <w:rPr>
          <w:rFonts w:ascii="Calibri" w:hAnsi="Calibri"/>
          <w:color w:val="7030A0"/>
          <w:lang w:val="en-GB"/>
        </w:rPr>
      </w:pPr>
    </w:p>
    <w:p w14:paraId="1177B775" w14:textId="77777777" w:rsidR="008E6E81" w:rsidRPr="005234EE" w:rsidRDefault="008E6E81" w:rsidP="008E6E81">
      <w:pPr>
        <w:rPr>
          <w:rFonts w:ascii="Calibri" w:hAnsi="Calibri"/>
          <w:color w:val="7030A0"/>
          <w:lang w:val="en-GB"/>
        </w:rPr>
      </w:pPr>
    </w:p>
    <w:p w14:paraId="38C5BC73" w14:textId="77777777" w:rsidR="008E6E81" w:rsidRPr="005234EE" w:rsidRDefault="008E6E81" w:rsidP="008E6E81">
      <w:pPr>
        <w:rPr>
          <w:rFonts w:ascii="Calibri" w:hAnsi="Calibri"/>
          <w:color w:val="7030A0"/>
          <w:lang w:val="en-GB"/>
        </w:rPr>
      </w:pPr>
    </w:p>
    <w:p w14:paraId="14DB636B" w14:textId="77777777" w:rsidR="008E6E81" w:rsidRPr="005234EE" w:rsidRDefault="008E6E81" w:rsidP="008E6E81">
      <w:pPr>
        <w:rPr>
          <w:rFonts w:ascii="Calibri" w:hAnsi="Calibri"/>
          <w:color w:val="7030A0"/>
          <w:lang w:val="en-GB"/>
        </w:rPr>
      </w:pPr>
      <w:r w:rsidRPr="005234EE">
        <w:rPr>
          <w:rFonts w:ascii="Calibri" w:hAnsi="Calibri"/>
          <w:noProof/>
          <w:color w:val="7030A0"/>
          <w:lang w:val="en-GB" w:eastAsia="en-GB"/>
        </w:rPr>
        <w:lastRenderedPageBreak/>
        <w:drawing>
          <wp:inline distT="0" distB="0" distL="0" distR="0" wp14:anchorId="0A4C91F1" wp14:editId="36878BF7">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14:paraId="3F81B8F8" w14:textId="77777777" w:rsidR="008E6E81" w:rsidRPr="005234EE" w:rsidRDefault="008E6E81" w:rsidP="008E6E81">
      <w:pPr>
        <w:rPr>
          <w:rFonts w:ascii="Calibri" w:hAnsi="Calibri"/>
          <w:color w:val="7030A0"/>
          <w:lang w:val="en-GB"/>
        </w:rPr>
      </w:pPr>
    </w:p>
    <w:p w14:paraId="6EA1C54D" w14:textId="77777777" w:rsidR="008E6E81" w:rsidRPr="005234EE" w:rsidRDefault="008E6E81" w:rsidP="008E6E81">
      <w:pPr>
        <w:rPr>
          <w:rFonts w:ascii="Calibri" w:hAnsi="Calibri"/>
          <w:color w:val="7030A0"/>
          <w:lang w:val="en-GB"/>
        </w:rPr>
      </w:pPr>
    </w:p>
    <w:p w14:paraId="4F1B188D" w14:textId="77777777" w:rsidR="008E6E81" w:rsidRPr="005234EE" w:rsidRDefault="008E6E81" w:rsidP="00F83C9B">
      <w:pPr>
        <w:outlineLvl w:val="0"/>
        <w:rPr>
          <w:rFonts w:ascii="Calibri" w:hAnsi="Calibri"/>
          <w:color w:val="000000" w:themeColor="text1"/>
          <w:lang w:val="en-GB"/>
        </w:rPr>
      </w:pPr>
      <w:r w:rsidRPr="005234EE">
        <w:rPr>
          <w:rFonts w:ascii="Calibri" w:hAnsi="Calibri"/>
          <w:color w:val="000000" w:themeColor="text1"/>
          <w:lang w:val="en-GB"/>
        </w:rPr>
        <w:t>Figure 4 (vii)</w:t>
      </w:r>
    </w:p>
    <w:p w14:paraId="5D89C38B" w14:textId="77777777" w:rsidR="008E6E81" w:rsidRPr="005234EE" w:rsidRDefault="008E6E81" w:rsidP="008E6E81">
      <w:pPr>
        <w:rPr>
          <w:rFonts w:ascii="Calibri" w:hAnsi="Calibri"/>
          <w:color w:val="7030A0"/>
          <w:lang w:val="en-GB"/>
        </w:rPr>
      </w:pPr>
    </w:p>
    <w:p w14:paraId="091FA209" w14:textId="77777777" w:rsidR="008E6E81" w:rsidRPr="005234EE" w:rsidRDefault="008E6E81" w:rsidP="008E6E81">
      <w:pPr>
        <w:rPr>
          <w:rFonts w:ascii="Calibri" w:hAnsi="Calibri"/>
          <w:color w:val="7030A0"/>
          <w:lang w:val="en-GB"/>
        </w:rPr>
      </w:pPr>
      <w:r w:rsidRPr="005234EE">
        <w:rPr>
          <w:rFonts w:ascii="Calibri" w:hAnsi="Calibri"/>
          <w:noProof/>
          <w:color w:val="7030A0"/>
          <w:lang w:val="en-GB" w:eastAsia="en-GB"/>
        </w:rPr>
        <w:drawing>
          <wp:inline distT="0" distB="0" distL="0" distR="0" wp14:anchorId="09114C2A" wp14:editId="77A39B08">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14:paraId="1D97F462" w14:textId="77777777" w:rsidR="008E6E81" w:rsidRPr="005234EE" w:rsidRDefault="008E6E81" w:rsidP="008E6E81">
      <w:pPr>
        <w:rPr>
          <w:rFonts w:ascii="Calibri" w:hAnsi="Calibri"/>
          <w:color w:val="7030A0"/>
          <w:lang w:val="en-GB"/>
        </w:rPr>
      </w:pPr>
    </w:p>
    <w:p w14:paraId="69872785" w14:textId="77777777" w:rsidR="008E6E81" w:rsidRPr="005234EE" w:rsidRDefault="008E6E81" w:rsidP="00F83C9B">
      <w:pPr>
        <w:outlineLvl w:val="0"/>
        <w:rPr>
          <w:rFonts w:ascii="Calibri" w:hAnsi="Calibri"/>
          <w:color w:val="000000" w:themeColor="text1"/>
          <w:lang w:val="en-GB"/>
        </w:rPr>
      </w:pPr>
      <w:r w:rsidRPr="005234EE">
        <w:rPr>
          <w:rFonts w:ascii="Calibri" w:hAnsi="Calibri"/>
          <w:color w:val="000000" w:themeColor="text1"/>
          <w:lang w:val="en-GB"/>
        </w:rPr>
        <w:t>Figure 4 (viii)</w:t>
      </w:r>
    </w:p>
    <w:p w14:paraId="010403F2" w14:textId="77777777" w:rsidR="008E6E81" w:rsidRPr="005234EE" w:rsidRDefault="008E6E81" w:rsidP="008E6E81">
      <w:pPr>
        <w:rPr>
          <w:rFonts w:ascii="Calibri" w:hAnsi="Calibri"/>
          <w:color w:val="7030A0"/>
          <w:lang w:val="en-GB"/>
        </w:rPr>
      </w:pPr>
    </w:p>
    <w:p w14:paraId="1217FA3D" w14:textId="77777777" w:rsidR="008E6E81" w:rsidRPr="005234EE" w:rsidRDefault="008E6E81" w:rsidP="008E6E81">
      <w:pPr>
        <w:rPr>
          <w:rFonts w:ascii="Calibri" w:hAnsi="Calibri"/>
          <w:color w:val="7030A0"/>
          <w:lang w:val="en-GB"/>
        </w:rPr>
      </w:pPr>
    </w:p>
    <w:p w14:paraId="3CE7A6CA" w14:textId="77777777" w:rsidR="008E6E81" w:rsidRPr="005234EE" w:rsidRDefault="008E6E81" w:rsidP="008E6E81">
      <w:pPr>
        <w:rPr>
          <w:rFonts w:ascii="Calibri" w:hAnsi="Calibri"/>
          <w:color w:val="7030A0"/>
          <w:lang w:val="en-GB"/>
        </w:rPr>
      </w:pPr>
      <w:r w:rsidRPr="005234EE">
        <w:rPr>
          <w:rFonts w:ascii="Calibri" w:hAnsi="Calibri"/>
          <w:noProof/>
          <w:color w:val="7030A0"/>
          <w:lang w:val="en-GB" w:eastAsia="en-GB"/>
        </w:rPr>
        <w:lastRenderedPageBreak/>
        <w:drawing>
          <wp:inline distT="0" distB="0" distL="0" distR="0" wp14:anchorId="5A7F6F73" wp14:editId="65E37E32">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14:paraId="1DF6744E" w14:textId="77777777" w:rsidR="008E6E81" w:rsidRPr="005234EE" w:rsidRDefault="008E6E81" w:rsidP="008E6E81">
      <w:pPr>
        <w:rPr>
          <w:rFonts w:ascii="Calibri" w:hAnsi="Calibri"/>
          <w:color w:val="7030A0"/>
          <w:lang w:val="en-GB"/>
        </w:rPr>
      </w:pPr>
    </w:p>
    <w:p w14:paraId="12D89920" w14:textId="77777777" w:rsidR="008E6E81" w:rsidRPr="005234EE" w:rsidRDefault="008E6E81" w:rsidP="008E6E81">
      <w:pPr>
        <w:rPr>
          <w:rFonts w:ascii="Calibri" w:hAnsi="Calibri"/>
          <w:color w:val="7030A0"/>
          <w:lang w:val="en-GB"/>
        </w:rPr>
      </w:pPr>
    </w:p>
    <w:p w14:paraId="1A770A5D" w14:textId="77777777" w:rsidR="008E6E81" w:rsidRPr="005234EE" w:rsidRDefault="008E6E81" w:rsidP="008E6E81">
      <w:pPr>
        <w:rPr>
          <w:rFonts w:ascii="Calibri" w:hAnsi="Calibri"/>
          <w:color w:val="7030A0"/>
          <w:lang w:val="en-GB"/>
        </w:rPr>
      </w:pPr>
    </w:p>
    <w:p w14:paraId="63D54BED" w14:textId="77777777" w:rsidR="008E6E81" w:rsidRPr="005234EE" w:rsidRDefault="008E6E81" w:rsidP="008E6E81">
      <w:pPr>
        <w:rPr>
          <w:rFonts w:ascii="Calibri" w:hAnsi="Calibri"/>
          <w:color w:val="7030A0"/>
          <w:lang w:val="en-GB"/>
        </w:rPr>
      </w:pPr>
    </w:p>
    <w:p w14:paraId="08CEC181" w14:textId="77777777" w:rsidR="008E6E81" w:rsidRPr="005234EE" w:rsidRDefault="008E6E81" w:rsidP="008E6E81">
      <w:pPr>
        <w:ind w:right="-397"/>
        <w:jc w:val="both"/>
        <w:rPr>
          <w:rFonts w:ascii="Calibri" w:hAnsi="Calibri"/>
          <w:lang w:val="en-GB"/>
        </w:rPr>
      </w:pPr>
    </w:p>
    <w:p w14:paraId="4734CFF4" w14:textId="6426988A" w:rsidR="008E6E81" w:rsidRPr="00766F73" w:rsidRDefault="00DB2A7F" w:rsidP="00F83C9B">
      <w:pPr>
        <w:ind w:left="-397" w:right="-397"/>
        <w:jc w:val="both"/>
        <w:outlineLvl w:val="0"/>
        <w:rPr>
          <w:rFonts w:ascii="Calibri" w:hAnsi="Calibri"/>
          <w:b/>
          <w:color w:val="000000" w:themeColor="text1"/>
          <w:lang w:val="da-DK"/>
        </w:rPr>
      </w:pPr>
      <w:r w:rsidRPr="00766F73">
        <w:rPr>
          <w:rFonts w:ascii="Calibri" w:hAnsi="Calibri"/>
          <w:b/>
          <w:color w:val="000000" w:themeColor="text1"/>
          <w:lang w:val="da-DK"/>
        </w:rPr>
        <w:t>References:</w:t>
      </w:r>
      <w:r w:rsidR="008E6E81" w:rsidRPr="00766F73">
        <w:rPr>
          <w:rFonts w:ascii="Calibri" w:hAnsi="Calibri"/>
          <w:b/>
          <w:color w:val="000000" w:themeColor="text1"/>
          <w:lang w:val="da-DK"/>
        </w:rPr>
        <w:t xml:space="preserve"> </w:t>
      </w:r>
    </w:p>
    <w:p w14:paraId="37B6CAEA" w14:textId="3724B089" w:rsidR="0075417D" w:rsidRPr="00766F73" w:rsidRDefault="0075417D" w:rsidP="00F83C9B">
      <w:pPr>
        <w:ind w:left="-397" w:right="-397"/>
        <w:jc w:val="both"/>
        <w:outlineLvl w:val="0"/>
        <w:rPr>
          <w:rFonts w:ascii="Calibri" w:hAnsi="Calibri"/>
          <w:b/>
          <w:color w:val="000000" w:themeColor="text1"/>
          <w:lang w:val="da-DK"/>
        </w:rPr>
      </w:pPr>
    </w:p>
    <w:p w14:paraId="15955548" w14:textId="2F212054" w:rsidR="0075417D" w:rsidRPr="00766F73" w:rsidRDefault="0075417D" w:rsidP="00F83C9B">
      <w:pPr>
        <w:ind w:left="-397" w:right="-397"/>
        <w:jc w:val="both"/>
        <w:outlineLvl w:val="0"/>
        <w:rPr>
          <w:rFonts w:ascii="Calibri" w:hAnsi="Calibri"/>
          <w:b/>
          <w:color w:val="000000" w:themeColor="text1"/>
          <w:lang w:val="da-DK"/>
        </w:rPr>
      </w:pPr>
      <w:r w:rsidRPr="00766F73">
        <w:rPr>
          <w:lang w:val="da-DK"/>
        </w:rPr>
        <w:t>Aarhus Kommune (2017) Lantidsledige tager Teten, Statusnotat, Aarhus: Aarhus Kommune</w:t>
      </w:r>
    </w:p>
    <w:p w14:paraId="2AC46A94" w14:textId="77777777" w:rsidR="008E6E81" w:rsidRPr="00766F73" w:rsidRDefault="008E6E81" w:rsidP="000B6A12">
      <w:pPr>
        <w:ind w:right="-397"/>
        <w:jc w:val="both"/>
        <w:rPr>
          <w:rFonts w:asciiTheme="minorHAnsi" w:hAnsiTheme="minorHAnsi" w:cstheme="minorHAnsi"/>
          <w:color w:val="000000" w:themeColor="text1"/>
          <w:lang w:val="da-DK"/>
        </w:rPr>
      </w:pPr>
    </w:p>
    <w:p w14:paraId="4C39736D" w14:textId="146A4190" w:rsidR="008E6E81" w:rsidRPr="0075417D" w:rsidRDefault="008E6E81" w:rsidP="000B6A12">
      <w:pPr>
        <w:ind w:left="-397" w:right="-397"/>
        <w:jc w:val="both"/>
        <w:rPr>
          <w:rFonts w:asciiTheme="minorHAnsi" w:hAnsiTheme="minorHAnsi" w:cstheme="minorHAnsi"/>
          <w:color w:val="000000" w:themeColor="text1"/>
          <w:lang w:val="en-GB"/>
        </w:rPr>
      </w:pPr>
      <w:r w:rsidRPr="003447BF">
        <w:rPr>
          <w:rFonts w:asciiTheme="minorHAnsi" w:hAnsiTheme="minorHAnsi" w:cstheme="minorHAnsi"/>
          <w:color w:val="000000" w:themeColor="text1"/>
          <w:lang w:val="en-GB"/>
        </w:rPr>
        <w:t xml:space="preserve">Adler, M. </w:t>
      </w:r>
      <w:r w:rsidR="00DB2A7F" w:rsidRPr="003447BF">
        <w:rPr>
          <w:rFonts w:asciiTheme="minorHAnsi" w:hAnsiTheme="minorHAnsi" w:cstheme="minorHAnsi"/>
          <w:color w:val="000000" w:themeColor="text1"/>
          <w:lang w:val="en-GB"/>
        </w:rPr>
        <w:t>(2016)</w:t>
      </w:r>
      <w:r w:rsidRPr="003447BF">
        <w:rPr>
          <w:rFonts w:asciiTheme="minorHAnsi" w:hAnsiTheme="minorHAnsi" w:cstheme="minorHAnsi"/>
          <w:color w:val="000000" w:themeColor="text1"/>
          <w:lang w:val="en-GB"/>
        </w:rPr>
        <w:t xml:space="preserve"> ‘</w:t>
      </w:r>
      <w:r w:rsidR="00DB2A7F" w:rsidRPr="003447BF">
        <w:rPr>
          <w:rFonts w:asciiTheme="minorHAnsi" w:hAnsiTheme="minorHAnsi" w:cstheme="minorHAnsi"/>
          <w:color w:val="000000" w:themeColor="text1"/>
          <w:lang w:val="en-GB"/>
        </w:rPr>
        <w:t xml:space="preserve">A </w:t>
      </w:r>
      <w:r w:rsidR="00DB2A7F" w:rsidRPr="0075417D">
        <w:rPr>
          <w:rFonts w:asciiTheme="minorHAnsi" w:hAnsiTheme="minorHAnsi" w:cstheme="minorHAnsi"/>
          <w:color w:val="000000" w:themeColor="text1"/>
          <w:lang w:val="en-GB"/>
        </w:rPr>
        <w:t>new Leviathan: Benefit sanctions in the twenty-first century’</w:t>
      </w:r>
      <w:r w:rsidRPr="0075417D">
        <w:rPr>
          <w:rFonts w:asciiTheme="minorHAnsi" w:hAnsiTheme="minorHAnsi" w:cstheme="minorHAnsi"/>
          <w:color w:val="000000" w:themeColor="text1"/>
          <w:lang w:val="en-GB"/>
        </w:rPr>
        <w:t xml:space="preserve">, </w:t>
      </w:r>
      <w:r w:rsidRPr="0075417D">
        <w:rPr>
          <w:rFonts w:asciiTheme="minorHAnsi" w:hAnsiTheme="minorHAnsi" w:cstheme="minorHAnsi"/>
          <w:i/>
          <w:color w:val="000000" w:themeColor="text1"/>
          <w:lang w:val="en-GB"/>
        </w:rPr>
        <w:t>Journal of Law and Society</w:t>
      </w:r>
      <w:r w:rsidR="00795D7E" w:rsidRPr="0075417D">
        <w:rPr>
          <w:rFonts w:asciiTheme="minorHAnsi" w:hAnsiTheme="minorHAnsi" w:cstheme="minorHAnsi"/>
          <w:color w:val="000000" w:themeColor="text1"/>
          <w:lang w:val="en-GB"/>
        </w:rPr>
        <w:t>, Vol. 43 No. 2, pp.</w:t>
      </w:r>
      <w:r w:rsidRPr="0075417D">
        <w:rPr>
          <w:rFonts w:asciiTheme="minorHAnsi" w:hAnsiTheme="minorHAnsi" w:cstheme="minorHAnsi"/>
          <w:color w:val="000000" w:themeColor="text1"/>
          <w:lang w:val="en-GB"/>
        </w:rPr>
        <w:t>195-227.</w:t>
      </w:r>
    </w:p>
    <w:p w14:paraId="4B61E7C9" w14:textId="169914D2" w:rsidR="003447BF" w:rsidRPr="0075417D" w:rsidRDefault="003447BF" w:rsidP="000B6A12">
      <w:pPr>
        <w:ind w:left="-397" w:right="-397"/>
        <w:jc w:val="both"/>
        <w:rPr>
          <w:rFonts w:asciiTheme="minorHAnsi" w:hAnsiTheme="minorHAnsi" w:cstheme="minorHAnsi"/>
          <w:color w:val="000000" w:themeColor="text1"/>
          <w:lang w:val="en-GB"/>
        </w:rPr>
      </w:pPr>
    </w:p>
    <w:p w14:paraId="3B2C66E1" w14:textId="66DB8B7F" w:rsidR="003447BF" w:rsidRPr="00766F73" w:rsidRDefault="003447BF" w:rsidP="003447BF">
      <w:pPr>
        <w:pStyle w:val="BISReference"/>
        <w:ind w:left="-397" w:right="-397" w:firstLine="0"/>
        <w:rPr>
          <w:rFonts w:asciiTheme="minorHAnsi" w:hAnsiTheme="minorHAnsi" w:cstheme="minorHAnsi"/>
          <w:color w:val="000000" w:themeColor="text1"/>
          <w:sz w:val="24"/>
          <w:szCs w:val="24"/>
          <w:lang w:val="da-DK" w:eastAsia="en-GB"/>
        </w:rPr>
      </w:pPr>
      <w:r w:rsidRPr="00766F73">
        <w:rPr>
          <w:rFonts w:asciiTheme="minorHAnsi" w:hAnsiTheme="minorHAnsi" w:cstheme="minorHAnsi"/>
          <w:color w:val="2A2A2A"/>
          <w:sz w:val="24"/>
          <w:szCs w:val="24"/>
          <w:shd w:val="clear" w:color="auto" w:fill="FFFFFF"/>
          <w:lang w:val="da-DK"/>
        </w:rPr>
        <w:t xml:space="preserve">Anker, N. 1998. </w:t>
      </w:r>
      <w:r w:rsidRPr="00766F73">
        <w:rPr>
          <w:rFonts w:asciiTheme="minorHAnsi" w:hAnsiTheme="minorHAnsi" w:cstheme="minorHAnsi"/>
          <w:i/>
          <w:color w:val="2A2A2A"/>
          <w:sz w:val="24"/>
          <w:szCs w:val="24"/>
          <w:shd w:val="clear" w:color="auto" w:fill="FFFFFF"/>
          <w:lang w:val="da-DK"/>
        </w:rPr>
        <w:t>Eleverne, Virksomhederne og de Nyudlærte</w:t>
      </w:r>
      <w:r w:rsidRPr="00766F73">
        <w:rPr>
          <w:rFonts w:asciiTheme="minorHAnsi" w:hAnsiTheme="minorHAnsi" w:cstheme="minorHAnsi"/>
          <w:color w:val="2A2A2A"/>
          <w:sz w:val="24"/>
          <w:szCs w:val="24"/>
          <w:shd w:val="clear" w:color="auto" w:fill="FFFFFF"/>
          <w:lang w:val="da-DK"/>
        </w:rPr>
        <w:t>, PhD serie 7.98, SocialForskningsinstitutet, Danmark.</w:t>
      </w:r>
    </w:p>
    <w:p w14:paraId="6CB1E2F6" w14:textId="77777777" w:rsidR="0075417D" w:rsidRPr="00766F73" w:rsidRDefault="0075417D" w:rsidP="000B6A12">
      <w:pPr>
        <w:ind w:left="-397" w:right="-397"/>
        <w:jc w:val="both"/>
        <w:rPr>
          <w:rFonts w:asciiTheme="minorHAnsi" w:hAnsiTheme="minorHAnsi" w:cstheme="minorHAnsi"/>
          <w:color w:val="000000" w:themeColor="text1"/>
          <w:lang w:val="da-DK"/>
        </w:rPr>
      </w:pPr>
    </w:p>
    <w:p w14:paraId="6CBB5CC7" w14:textId="4363F4C4" w:rsidR="0075417D" w:rsidRPr="0075417D" w:rsidRDefault="0075417D" w:rsidP="000B6A12">
      <w:pPr>
        <w:ind w:left="-397" w:right="-397"/>
        <w:jc w:val="both"/>
        <w:rPr>
          <w:rFonts w:asciiTheme="minorHAnsi" w:hAnsiTheme="minorHAnsi" w:cstheme="minorHAnsi"/>
        </w:rPr>
      </w:pPr>
      <w:r w:rsidRPr="00766F73">
        <w:rPr>
          <w:rFonts w:asciiTheme="minorHAnsi" w:hAnsiTheme="minorHAnsi" w:cstheme="minorHAnsi"/>
          <w:lang w:val="da-DK"/>
        </w:rPr>
        <w:t xml:space="preserve">Ankestyrelsen (2017) Ankestyrelsens praksisundersøgelse om Kommunernes Anvendelse af Sanktioner, Marts, Copenhagen. </w:t>
      </w:r>
      <w:r w:rsidRPr="0075417D">
        <w:rPr>
          <w:rFonts w:asciiTheme="minorHAnsi" w:hAnsiTheme="minorHAnsi" w:cstheme="minorHAnsi"/>
        </w:rPr>
        <w:t xml:space="preserve">14 https://www.cambridge.org/core/terms. https://doi.org/10.1017/S1474746418000301 Downloaded from https://www.cambridge.org/core. University of York, on 17 Dec 2018 at 17:13:58, subject to the Cambridge Core terms of use, available at The Developmental Social Contract and Basic Income in Denmark </w:t>
      </w:r>
    </w:p>
    <w:p w14:paraId="389FC0D6" w14:textId="77777777" w:rsidR="0075417D" w:rsidRPr="0075417D" w:rsidRDefault="0075417D" w:rsidP="000B6A12">
      <w:pPr>
        <w:ind w:left="-397" w:right="-397"/>
        <w:jc w:val="both"/>
        <w:rPr>
          <w:rFonts w:asciiTheme="minorHAnsi" w:hAnsiTheme="minorHAnsi" w:cstheme="minorHAnsi"/>
        </w:rPr>
      </w:pPr>
    </w:p>
    <w:p w14:paraId="609B3AEF" w14:textId="77777777" w:rsidR="0075417D" w:rsidRPr="00766F73" w:rsidRDefault="0075417D" w:rsidP="000B6A12">
      <w:pPr>
        <w:ind w:left="-397" w:right="-397"/>
        <w:jc w:val="both"/>
        <w:rPr>
          <w:rFonts w:asciiTheme="minorHAnsi" w:hAnsiTheme="minorHAnsi" w:cstheme="minorHAnsi"/>
          <w:lang w:val="da-DK"/>
        </w:rPr>
      </w:pPr>
      <w:r w:rsidRPr="00766F73">
        <w:rPr>
          <w:rFonts w:asciiTheme="minorHAnsi" w:hAnsiTheme="minorHAnsi" w:cstheme="minorHAnsi"/>
          <w:lang w:val="da-DK"/>
        </w:rPr>
        <w:t xml:space="preserve">Arbejdsmarkedsstyrelsen (2008) Evaluering af NY CHANCE TIL ALLE, Copenhagen, December 2008. </w:t>
      </w:r>
    </w:p>
    <w:p w14:paraId="5362FEAC" w14:textId="77777777" w:rsidR="0075417D" w:rsidRPr="00766F73" w:rsidRDefault="0075417D" w:rsidP="000B6A12">
      <w:pPr>
        <w:ind w:left="-397" w:right="-397"/>
        <w:jc w:val="both"/>
        <w:rPr>
          <w:rFonts w:asciiTheme="minorHAnsi" w:hAnsiTheme="minorHAnsi" w:cstheme="minorHAnsi"/>
          <w:lang w:val="da-DK"/>
        </w:rPr>
      </w:pPr>
    </w:p>
    <w:p w14:paraId="33B70060" w14:textId="4528CE9F" w:rsidR="0075417D" w:rsidRPr="00766F73" w:rsidRDefault="0075417D" w:rsidP="000B6A12">
      <w:pPr>
        <w:ind w:left="-397" w:right="-397"/>
        <w:jc w:val="both"/>
        <w:rPr>
          <w:rFonts w:asciiTheme="minorHAnsi" w:hAnsiTheme="minorHAnsi" w:cstheme="minorHAnsi"/>
          <w:lang w:val="da-DK"/>
        </w:rPr>
      </w:pPr>
      <w:r w:rsidRPr="00766F73">
        <w:rPr>
          <w:rFonts w:asciiTheme="minorHAnsi" w:hAnsiTheme="minorHAnsi" w:cstheme="minorHAnsi"/>
          <w:lang w:val="da-DK"/>
        </w:rPr>
        <w:t xml:space="preserve">Arbejdsmarkedsstyrelsen (2007) Afbureaukratisering pa Beskæftigelsesomr ˚ adet – Fase 2 Temaanalyse ˚ , Arbejdsmarkedsstyrelsen, Copenhagen. </w:t>
      </w:r>
    </w:p>
    <w:p w14:paraId="498B8181" w14:textId="2674A990" w:rsidR="0075417D" w:rsidRPr="00766F73" w:rsidRDefault="0075417D" w:rsidP="000B6A12">
      <w:pPr>
        <w:ind w:left="-397" w:right="-397"/>
        <w:jc w:val="both"/>
        <w:rPr>
          <w:rFonts w:asciiTheme="minorHAnsi" w:hAnsiTheme="minorHAnsi" w:cstheme="minorHAnsi"/>
          <w:lang w:val="da-DK"/>
        </w:rPr>
      </w:pPr>
    </w:p>
    <w:p w14:paraId="2D0F02BA" w14:textId="77777777" w:rsidR="0075417D" w:rsidRPr="0075417D" w:rsidRDefault="0075417D" w:rsidP="0075417D">
      <w:pPr>
        <w:pStyle w:val="BISReference"/>
        <w:ind w:left="-397" w:right="-397" w:firstLine="0"/>
        <w:rPr>
          <w:rFonts w:asciiTheme="minorHAnsi" w:hAnsiTheme="minorHAnsi" w:cstheme="minorHAnsi"/>
          <w:color w:val="000000" w:themeColor="text1"/>
          <w:sz w:val="24"/>
          <w:szCs w:val="24"/>
        </w:rPr>
      </w:pPr>
      <w:r w:rsidRPr="0075417D">
        <w:rPr>
          <w:rFonts w:asciiTheme="minorHAnsi" w:hAnsiTheme="minorHAnsi" w:cstheme="minorHAnsi"/>
          <w:color w:val="000000" w:themeColor="text1"/>
          <w:sz w:val="24"/>
          <w:szCs w:val="24"/>
        </w:rPr>
        <w:t xml:space="preserve">Archer, R. (2007) </w:t>
      </w:r>
      <w:r w:rsidRPr="0075417D">
        <w:rPr>
          <w:rFonts w:asciiTheme="minorHAnsi" w:hAnsiTheme="minorHAnsi" w:cstheme="minorHAnsi"/>
          <w:i/>
          <w:color w:val="000000" w:themeColor="text1"/>
          <w:sz w:val="24"/>
          <w:szCs w:val="24"/>
        </w:rPr>
        <w:t>Why There is No Labour Party in the United States</w:t>
      </w:r>
      <w:r w:rsidRPr="0075417D">
        <w:rPr>
          <w:rFonts w:asciiTheme="minorHAnsi" w:hAnsiTheme="minorHAnsi" w:cstheme="minorHAnsi"/>
          <w:color w:val="000000" w:themeColor="text1"/>
          <w:sz w:val="24"/>
          <w:szCs w:val="24"/>
        </w:rPr>
        <w:t>, Princeton University Press, Princeton.</w:t>
      </w:r>
    </w:p>
    <w:p w14:paraId="6499B6D4" w14:textId="77777777" w:rsidR="0075417D" w:rsidRPr="0075417D" w:rsidRDefault="0075417D" w:rsidP="000B6A12">
      <w:pPr>
        <w:ind w:left="-397" w:right="-397"/>
        <w:jc w:val="both"/>
        <w:rPr>
          <w:rFonts w:asciiTheme="minorHAnsi" w:hAnsiTheme="minorHAnsi" w:cstheme="minorHAnsi"/>
        </w:rPr>
      </w:pPr>
    </w:p>
    <w:p w14:paraId="4185D46D" w14:textId="77777777" w:rsidR="0075417D" w:rsidRPr="0075417D" w:rsidRDefault="0075417D" w:rsidP="000B6A12">
      <w:pPr>
        <w:ind w:left="-397" w:right="-397"/>
        <w:jc w:val="both"/>
        <w:rPr>
          <w:rFonts w:asciiTheme="minorHAnsi" w:hAnsiTheme="minorHAnsi" w:cstheme="minorHAnsi"/>
        </w:rPr>
      </w:pPr>
    </w:p>
    <w:p w14:paraId="5788FD6A" w14:textId="753FB853" w:rsidR="0075417D" w:rsidRPr="00766F73" w:rsidRDefault="0075417D" w:rsidP="000B6A12">
      <w:pPr>
        <w:ind w:left="-397" w:right="-397"/>
        <w:jc w:val="both"/>
        <w:rPr>
          <w:rFonts w:asciiTheme="minorHAnsi" w:hAnsiTheme="minorHAnsi" w:cstheme="minorHAnsi"/>
          <w:lang w:val="da-DK"/>
        </w:rPr>
      </w:pPr>
      <w:r w:rsidRPr="00766F73">
        <w:rPr>
          <w:rFonts w:asciiTheme="minorHAnsi" w:hAnsiTheme="minorHAnsi" w:cstheme="minorHAnsi"/>
          <w:lang w:val="da-DK"/>
        </w:rPr>
        <w:t xml:space="preserve">Beskæftigelsesministeriet (2016) Philip, N. og Sørensen, L. ‘Analyse Effekt af at få en Sanktion for Ledige I Kontanthjælpsystemet’, Copenhagen: November. </w:t>
      </w:r>
    </w:p>
    <w:p w14:paraId="19B7F48B" w14:textId="77777777" w:rsidR="0075417D" w:rsidRPr="00766F73" w:rsidRDefault="0075417D" w:rsidP="000B6A12">
      <w:pPr>
        <w:ind w:left="-397" w:right="-397"/>
        <w:jc w:val="both"/>
        <w:rPr>
          <w:rFonts w:asciiTheme="minorHAnsi" w:hAnsiTheme="minorHAnsi" w:cstheme="minorHAnsi"/>
          <w:lang w:val="da-DK"/>
        </w:rPr>
      </w:pPr>
    </w:p>
    <w:p w14:paraId="0698F34A" w14:textId="59868C0F" w:rsidR="0075417D" w:rsidRPr="007B61C3" w:rsidRDefault="0075417D" w:rsidP="000B6A12">
      <w:pPr>
        <w:ind w:left="-397" w:right="-397"/>
        <w:jc w:val="both"/>
        <w:rPr>
          <w:rFonts w:asciiTheme="minorHAnsi" w:hAnsiTheme="minorHAnsi" w:cstheme="minorHAnsi"/>
          <w:color w:val="000000" w:themeColor="text1"/>
          <w:lang w:val="da-DK"/>
        </w:rPr>
      </w:pPr>
      <w:r w:rsidRPr="007B61C3">
        <w:rPr>
          <w:rFonts w:asciiTheme="minorHAnsi" w:hAnsiTheme="minorHAnsi" w:cstheme="minorHAnsi"/>
          <w:lang w:val="da-DK"/>
        </w:rPr>
        <w:t>Beskæftigelsesudvalget, Bilag 250, 2. June, 2017, BEU Alm.del Bilag 250 Offentligt 2016/7</w:t>
      </w:r>
    </w:p>
    <w:p w14:paraId="327F5AE2" w14:textId="7DCC64CC" w:rsidR="008E6E81" w:rsidRPr="007B61C3" w:rsidRDefault="008E6E81" w:rsidP="000B6A12">
      <w:pPr>
        <w:pStyle w:val="BISReference"/>
        <w:ind w:left="0" w:right="-397" w:firstLine="0"/>
        <w:rPr>
          <w:rFonts w:asciiTheme="minorHAnsi" w:eastAsiaTheme="minorHAnsi" w:hAnsiTheme="minorHAnsi" w:cstheme="minorHAnsi"/>
          <w:color w:val="000000" w:themeColor="text1"/>
          <w:sz w:val="24"/>
          <w:szCs w:val="24"/>
          <w:lang w:val="da-DK" w:eastAsia="en-US"/>
        </w:rPr>
      </w:pPr>
    </w:p>
    <w:p w14:paraId="5ACE62BF" w14:textId="3E94EEEE" w:rsidR="008E6E81" w:rsidRPr="00766F73" w:rsidRDefault="008E6E81" w:rsidP="000B6A12">
      <w:pPr>
        <w:pStyle w:val="BISReference"/>
        <w:ind w:left="-397" w:right="-397" w:firstLine="0"/>
        <w:rPr>
          <w:rFonts w:asciiTheme="minorHAnsi" w:eastAsiaTheme="minorHAnsi" w:hAnsiTheme="minorHAnsi" w:cstheme="minorHAnsi"/>
          <w:color w:val="000000" w:themeColor="text1"/>
          <w:sz w:val="24"/>
          <w:szCs w:val="24"/>
          <w:lang w:val="da-DK" w:eastAsia="en-US"/>
        </w:rPr>
      </w:pPr>
      <w:r w:rsidRPr="00766F73">
        <w:rPr>
          <w:rFonts w:asciiTheme="minorHAnsi" w:eastAsiaTheme="minorHAnsi" w:hAnsiTheme="minorHAnsi" w:cstheme="minorHAnsi"/>
          <w:color w:val="000000" w:themeColor="text1"/>
          <w:sz w:val="24"/>
          <w:szCs w:val="24"/>
          <w:lang w:val="da-DK" w:eastAsia="en-US"/>
        </w:rPr>
        <w:t xml:space="preserve">Bjørn, N.H. and Høj, A.K. </w:t>
      </w:r>
      <w:r w:rsidR="00066525" w:rsidRPr="00766F73">
        <w:rPr>
          <w:rFonts w:asciiTheme="minorHAnsi" w:eastAsiaTheme="minorHAnsi" w:hAnsiTheme="minorHAnsi" w:cstheme="minorHAnsi"/>
          <w:color w:val="000000" w:themeColor="text1"/>
          <w:sz w:val="24"/>
          <w:szCs w:val="24"/>
          <w:lang w:val="da-DK" w:eastAsia="en-US"/>
        </w:rPr>
        <w:t>(2014)</w:t>
      </w:r>
      <w:r w:rsidRPr="00766F73">
        <w:rPr>
          <w:rFonts w:asciiTheme="minorHAnsi" w:eastAsiaTheme="minorHAnsi" w:hAnsiTheme="minorHAnsi" w:cstheme="minorHAnsi"/>
          <w:color w:val="000000" w:themeColor="text1"/>
          <w:sz w:val="24"/>
          <w:szCs w:val="24"/>
          <w:lang w:val="da-DK" w:eastAsia="en-US"/>
        </w:rPr>
        <w:t xml:space="preserve"> </w:t>
      </w:r>
      <w:r w:rsidRPr="0075417D">
        <w:rPr>
          <w:rFonts w:asciiTheme="minorHAnsi" w:eastAsiaTheme="minorHAnsi" w:hAnsiTheme="minorHAnsi" w:cstheme="minorHAnsi"/>
          <w:i/>
          <w:color w:val="000000" w:themeColor="text1"/>
          <w:sz w:val="24"/>
          <w:szCs w:val="24"/>
          <w:lang w:val="da-DK" w:eastAsia="en-US"/>
        </w:rPr>
        <w:t>Understøttelse ved ledighed i syv lande</w:t>
      </w:r>
      <w:r w:rsidRPr="0075417D">
        <w:rPr>
          <w:rFonts w:asciiTheme="minorHAnsi" w:eastAsiaTheme="minorHAnsi" w:hAnsiTheme="minorHAnsi" w:cstheme="minorHAnsi"/>
          <w:color w:val="000000" w:themeColor="text1"/>
          <w:sz w:val="24"/>
          <w:szCs w:val="24"/>
          <w:lang w:val="da-DK" w:eastAsia="en-US"/>
        </w:rPr>
        <w:t>, Det Økonomiske Råds Sekretariat, Arbejdspapi</w:t>
      </w:r>
      <w:r w:rsidRPr="00766F73">
        <w:rPr>
          <w:rFonts w:asciiTheme="minorHAnsi" w:eastAsiaTheme="minorHAnsi" w:hAnsiTheme="minorHAnsi" w:cstheme="minorHAnsi"/>
          <w:color w:val="000000" w:themeColor="text1"/>
          <w:sz w:val="24"/>
          <w:szCs w:val="24"/>
          <w:lang w:val="da-DK" w:eastAsia="en-US"/>
        </w:rPr>
        <w:t xml:space="preserve"> 2014:2.</w:t>
      </w:r>
    </w:p>
    <w:p w14:paraId="3AAF20A3" w14:textId="77777777" w:rsidR="008E6E81" w:rsidRPr="00766F73" w:rsidRDefault="008E6E81" w:rsidP="000B6A12">
      <w:pPr>
        <w:pStyle w:val="BISReference"/>
        <w:ind w:left="-397" w:right="-397" w:firstLine="0"/>
        <w:rPr>
          <w:rFonts w:asciiTheme="minorHAnsi" w:eastAsiaTheme="minorHAnsi" w:hAnsiTheme="minorHAnsi" w:cstheme="minorHAnsi"/>
          <w:color w:val="000000" w:themeColor="text1"/>
          <w:sz w:val="24"/>
          <w:szCs w:val="24"/>
          <w:lang w:val="da-DK" w:eastAsia="en-US"/>
        </w:rPr>
      </w:pPr>
    </w:p>
    <w:p w14:paraId="6B83F297" w14:textId="158C8A86" w:rsidR="008E6E81" w:rsidRPr="0075417D" w:rsidRDefault="008E6E81" w:rsidP="000B6A12">
      <w:pPr>
        <w:pStyle w:val="BISReference"/>
        <w:ind w:left="-397" w:right="-397" w:firstLine="0"/>
        <w:rPr>
          <w:rFonts w:asciiTheme="minorHAnsi" w:hAnsiTheme="minorHAnsi" w:cstheme="minorHAnsi"/>
          <w:color w:val="000000" w:themeColor="text1"/>
          <w:sz w:val="24"/>
          <w:szCs w:val="24"/>
        </w:rPr>
      </w:pPr>
      <w:r w:rsidRPr="0075417D">
        <w:rPr>
          <w:rFonts w:asciiTheme="minorHAnsi" w:eastAsiaTheme="minorHAnsi" w:hAnsiTheme="minorHAnsi" w:cstheme="minorHAnsi"/>
          <w:color w:val="000000" w:themeColor="text1"/>
          <w:sz w:val="24"/>
          <w:szCs w:val="24"/>
          <w:lang w:eastAsia="en-US"/>
        </w:rPr>
        <w:t xml:space="preserve">Bloksgaard, L. </w:t>
      </w:r>
      <w:r w:rsidR="00066525" w:rsidRPr="0075417D">
        <w:rPr>
          <w:rFonts w:asciiTheme="minorHAnsi" w:eastAsiaTheme="minorHAnsi" w:hAnsiTheme="minorHAnsi" w:cstheme="minorHAnsi"/>
          <w:color w:val="000000" w:themeColor="text1"/>
          <w:sz w:val="24"/>
          <w:szCs w:val="24"/>
          <w:lang w:eastAsia="en-US"/>
        </w:rPr>
        <w:t>(2015)</w:t>
      </w:r>
      <w:r w:rsidRPr="0075417D">
        <w:rPr>
          <w:rFonts w:asciiTheme="minorHAnsi" w:eastAsiaTheme="minorHAnsi" w:hAnsiTheme="minorHAnsi" w:cstheme="minorHAnsi"/>
          <w:color w:val="000000" w:themeColor="text1"/>
          <w:sz w:val="24"/>
          <w:szCs w:val="24"/>
          <w:lang w:eastAsia="en-US"/>
        </w:rPr>
        <w:t xml:space="preserve"> ‘Negotiating </w:t>
      </w:r>
      <w:r w:rsidR="00066525" w:rsidRPr="0075417D">
        <w:rPr>
          <w:rFonts w:asciiTheme="minorHAnsi" w:eastAsiaTheme="minorHAnsi" w:hAnsiTheme="minorHAnsi" w:cstheme="minorHAnsi"/>
          <w:color w:val="000000" w:themeColor="text1"/>
          <w:sz w:val="24"/>
          <w:szCs w:val="24"/>
          <w:lang w:eastAsia="en-US"/>
        </w:rPr>
        <w:t>l</w:t>
      </w:r>
      <w:r w:rsidRPr="0075417D">
        <w:rPr>
          <w:rFonts w:asciiTheme="minorHAnsi" w:eastAsiaTheme="minorHAnsi" w:hAnsiTheme="minorHAnsi" w:cstheme="minorHAnsi"/>
          <w:color w:val="000000" w:themeColor="text1"/>
          <w:sz w:val="24"/>
          <w:szCs w:val="24"/>
          <w:lang w:eastAsia="en-US"/>
        </w:rPr>
        <w:t xml:space="preserve">eave in the </w:t>
      </w:r>
      <w:r w:rsidR="00066525" w:rsidRPr="0075417D">
        <w:rPr>
          <w:rFonts w:asciiTheme="minorHAnsi" w:eastAsiaTheme="minorHAnsi" w:hAnsiTheme="minorHAnsi" w:cstheme="minorHAnsi"/>
          <w:color w:val="000000" w:themeColor="text1"/>
          <w:sz w:val="24"/>
          <w:szCs w:val="24"/>
          <w:lang w:eastAsia="en-US"/>
        </w:rPr>
        <w:t>w</w:t>
      </w:r>
      <w:r w:rsidRPr="0075417D">
        <w:rPr>
          <w:rFonts w:asciiTheme="minorHAnsi" w:eastAsiaTheme="minorHAnsi" w:hAnsiTheme="minorHAnsi" w:cstheme="minorHAnsi"/>
          <w:color w:val="000000" w:themeColor="text1"/>
          <w:sz w:val="24"/>
          <w:szCs w:val="24"/>
          <w:lang w:eastAsia="en-US"/>
        </w:rPr>
        <w:t>orkplace’</w:t>
      </w:r>
      <w:r w:rsidR="00066525" w:rsidRPr="0075417D">
        <w:rPr>
          <w:rFonts w:asciiTheme="minorHAnsi" w:eastAsiaTheme="minorHAnsi" w:hAnsiTheme="minorHAnsi" w:cstheme="minorHAnsi"/>
          <w:color w:val="000000" w:themeColor="text1"/>
          <w:sz w:val="24"/>
          <w:szCs w:val="24"/>
          <w:lang w:eastAsia="en-US"/>
        </w:rPr>
        <w:t>,</w:t>
      </w:r>
      <w:r w:rsidRPr="0075417D">
        <w:rPr>
          <w:rFonts w:asciiTheme="minorHAnsi" w:eastAsiaTheme="minorHAnsi" w:hAnsiTheme="minorHAnsi" w:cstheme="minorHAnsi"/>
          <w:color w:val="000000" w:themeColor="text1"/>
          <w:sz w:val="24"/>
          <w:szCs w:val="24"/>
          <w:lang w:eastAsia="en-US"/>
        </w:rPr>
        <w:t xml:space="preserve"> in </w:t>
      </w:r>
      <w:r w:rsidR="00066525" w:rsidRPr="0075417D">
        <w:rPr>
          <w:rFonts w:asciiTheme="minorHAnsi" w:hAnsiTheme="minorHAnsi" w:cstheme="minorHAnsi"/>
          <w:color w:val="000000" w:themeColor="text1"/>
          <w:sz w:val="24"/>
          <w:szCs w:val="24"/>
        </w:rPr>
        <w:t>Eydal, G.B. and Rostgaard, T.  (Eds.)</w:t>
      </w:r>
      <w:r w:rsidR="002B7F28" w:rsidRPr="0075417D">
        <w:rPr>
          <w:rFonts w:asciiTheme="minorHAnsi" w:hAnsiTheme="minorHAnsi" w:cstheme="minorHAnsi"/>
          <w:color w:val="000000" w:themeColor="text1"/>
          <w:sz w:val="24"/>
          <w:szCs w:val="24"/>
        </w:rPr>
        <w:t>,</w:t>
      </w:r>
      <w:r w:rsidR="00066525" w:rsidRPr="0075417D">
        <w:rPr>
          <w:rFonts w:asciiTheme="minorHAnsi" w:hAnsiTheme="minorHAnsi" w:cstheme="minorHAnsi"/>
          <w:color w:val="000000" w:themeColor="text1"/>
          <w:sz w:val="24"/>
          <w:szCs w:val="24"/>
        </w:rPr>
        <w:t xml:space="preserve"> </w:t>
      </w:r>
      <w:r w:rsidRPr="0075417D">
        <w:rPr>
          <w:rFonts w:asciiTheme="minorHAnsi" w:hAnsiTheme="minorHAnsi" w:cstheme="minorHAnsi"/>
          <w:i/>
          <w:color w:val="000000" w:themeColor="text1"/>
          <w:sz w:val="24"/>
          <w:szCs w:val="24"/>
        </w:rPr>
        <w:t>Fatherhood in the Nordic Welfare States</w:t>
      </w:r>
      <w:r w:rsidR="002B7F28" w:rsidRPr="0075417D">
        <w:rPr>
          <w:rFonts w:asciiTheme="minorHAnsi" w:hAnsiTheme="minorHAnsi" w:cstheme="minorHAnsi"/>
          <w:color w:val="000000" w:themeColor="text1"/>
          <w:sz w:val="24"/>
          <w:szCs w:val="24"/>
        </w:rPr>
        <w:t>, Policy Press, Bristol</w:t>
      </w:r>
      <w:r w:rsidR="00DA4000" w:rsidRPr="0075417D">
        <w:rPr>
          <w:rFonts w:asciiTheme="minorHAnsi" w:hAnsiTheme="minorHAnsi" w:cstheme="minorHAnsi"/>
          <w:color w:val="000000" w:themeColor="text1"/>
          <w:sz w:val="24"/>
          <w:szCs w:val="24"/>
        </w:rPr>
        <w:t>.</w:t>
      </w:r>
    </w:p>
    <w:p w14:paraId="3FFE81D8" w14:textId="77777777" w:rsidR="008E6E81" w:rsidRPr="0075417D" w:rsidRDefault="008E6E81" w:rsidP="000B6A12">
      <w:pPr>
        <w:pStyle w:val="BISReference"/>
        <w:ind w:left="-397" w:right="-397" w:firstLine="0"/>
        <w:rPr>
          <w:rFonts w:asciiTheme="minorHAnsi" w:hAnsiTheme="minorHAnsi" w:cstheme="minorHAnsi"/>
          <w:color w:val="000000" w:themeColor="text1"/>
          <w:sz w:val="24"/>
          <w:szCs w:val="24"/>
        </w:rPr>
      </w:pPr>
    </w:p>
    <w:p w14:paraId="10B5EE1A" w14:textId="3EFEF59E" w:rsidR="008E6E81" w:rsidRPr="0075417D" w:rsidRDefault="008E6E81" w:rsidP="00F83C9B">
      <w:pPr>
        <w:pStyle w:val="BISReference"/>
        <w:ind w:left="-397" w:right="-397" w:firstLine="0"/>
        <w:outlineLvl w:val="0"/>
        <w:rPr>
          <w:rFonts w:asciiTheme="minorHAnsi" w:hAnsiTheme="minorHAnsi" w:cstheme="minorHAnsi"/>
          <w:color w:val="000000" w:themeColor="text1"/>
          <w:sz w:val="24"/>
          <w:szCs w:val="24"/>
        </w:rPr>
      </w:pPr>
      <w:r w:rsidRPr="0075417D">
        <w:rPr>
          <w:rFonts w:asciiTheme="minorHAnsi" w:hAnsiTheme="minorHAnsi" w:cstheme="minorHAnsi"/>
          <w:color w:val="000000" w:themeColor="text1"/>
          <w:sz w:val="24"/>
          <w:szCs w:val="24"/>
        </w:rPr>
        <w:t>Boix, C.</w:t>
      </w:r>
      <w:r w:rsidR="00411CAB" w:rsidRPr="0075417D">
        <w:rPr>
          <w:rFonts w:asciiTheme="minorHAnsi" w:hAnsiTheme="minorHAnsi" w:cstheme="minorHAnsi"/>
          <w:color w:val="000000" w:themeColor="text1"/>
          <w:sz w:val="24"/>
          <w:szCs w:val="24"/>
        </w:rPr>
        <w:t xml:space="preserve"> (2003)</w:t>
      </w:r>
      <w:r w:rsidRPr="0075417D">
        <w:rPr>
          <w:rFonts w:asciiTheme="minorHAnsi" w:hAnsiTheme="minorHAnsi" w:cstheme="minorHAnsi"/>
          <w:color w:val="000000" w:themeColor="text1"/>
          <w:sz w:val="24"/>
          <w:szCs w:val="24"/>
        </w:rPr>
        <w:t xml:space="preserve"> </w:t>
      </w:r>
      <w:r w:rsidRPr="0075417D">
        <w:rPr>
          <w:rFonts w:asciiTheme="minorHAnsi" w:hAnsiTheme="minorHAnsi" w:cstheme="minorHAnsi"/>
          <w:i/>
          <w:color w:val="000000" w:themeColor="text1"/>
          <w:sz w:val="24"/>
          <w:szCs w:val="24"/>
        </w:rPr>
        <w:t>Democracy and Redistribution</w:t>
      </w:r>
      <w:r w:rsidRPr="0075417D">
        <w:rPr>
          <w:rFonts w:asciiTheme="minorHAnsi" w:hAnsiTheme="minorHAnsi" w:cstheme="minorHAnsi"/>
          <w:color w:val="000000" w:themeColor="text1"/>
          <w:sz w:val="24"/>
          <w:szCs w:val="24"/>
        </w:rPr>
        <w:t>,</w:t>
      </w:r>
      <w:r w:rsidR="00411CAB" w:rsidRPr="0075417D">
        <w:rPr>
          <w:rFonts w:asciiTheme="minorHAnsi" w:hAnsiTheme="minorHAnsi" w:cstheme="minorHAnsi"/>
          <w:color w:val="000000" w:themeColor="text1"/>
          <w:sz w:val="24"/>
          <w:szCs w:val="24"/>
        </w:rPr>
        <w:t xml:space="preserve"> </w:t>
      </w:r>
      <w:r w:rsidRPr="0075417D">
        <w:rPr>
          <w:rFonts w:asciiTheme="minorHAnsi" w:hAnsiTheme="minorHAnsi" w:cstheme="minorHAnsi"/>
          <w:color w:val="000000" w:themeColor="text1"/>
          <w:sz w:val="24"/>
          <w:szCs w:val="24"/>
        </w:rPr>
        <w:t>Cambridge University Press</w:t>
      </w:r>
      <w:r w:rsidR="00411CAB" w:rsidRPr="0075417D">
        <w:rPr>
          <w:rFonts w:asciiTheme="minorHAnsi" w:hAnsiTheme="minorHAnsi" w:cstheme="minorHAnsi"/>
          <w:color w:val="000000" w:themeColor="text1"/>
          <w:sz w:val="24"/>
          <w:szCs w:val="24"/>
        </w:rPr>
        <w:t>, Cambridge</w:t>
      </w:r>
      <w:r w:rsidRPr="0075417D">
        <w:rPr>
          <w:rFonts w:asciiTheme="minorHAnsi" w:hAnsiTheme="minorHAnsi" w:cstheme="minorHAnsi"/>
          <w:color w:val="000000" w:themeColor="text1"/>
          <w:sz w:val="24"/>
          <w:szCs w:val="24"/>
        </w:rPr>
        <w:t>.</w:t>
      </w:r>
    </w:p>
    <w:p w14:paraId="7DD5E693" w14:textId="77777777" w:rsidR="00B8351D" w:rsidRPr="0075417D" w:rsidRDefault="00B8351D" w:rsidP="000B6A12">
      <w:pPr>
        <w:pStyle w:val="BISReference"/>
        <w:ind w:left="-397" w:right="-397" w:firstLine="0"/>
        <w:rPr>
          <w:rFonts w:asciiTheme="minorHAnsi" w:hAnsiTheme="minorHAnsi" w:cstheme="minorHAnsi"/>
          <w:color w:val="000000" w:themeColor="text1"/>
          <w:sz w:val="24"/>
          <w:szCs w:val="24"/>
        </w:rPr>
      </w:pPr>
    </w:p>
    <w:p w14:paraId="11FB8845" w14:textId="19394283" w:rsidR="00B8351D" w:rsidRPr="00766F73" w:rsidRDefault="00B8351D" w:rsidP="00D65C37">
      <w:pPr>
        <w:pStyle w:val="BISReference"/>
        <w:ind w:left="-397" w:right="-397" w:firstLine="0"/>
        <w:jc w:val="left"/>
        <w:rPr>
          <w:rFonts w:asciiTheme="minorHAnsi" w:hAnsiTheme="minorHAnsi" w:cstheme="minorHAnsi"/>
          <w:color w:val="000000" w:themeColor="text1"/>
          <w:sz w:val="24"/>
          <w:szCs w:val="24"/>
          <w:lang w:val="da-DK"/>
        </w:rPr>
      </w:pPr>
      <w:r w:rsidRPr="00766F73">
        <w:rPr>
          <w:rFonts w:asciiTheme="minorHAnsi" w:hAnsiTheme="minorHAnsi" w:cstheme="minorHAnsi"/>
          <w:color w:val="000000" w:themeColor="text1"/>
          <w:sz w:val="24"/>
          <w:szCs w:val="24"/>
          <w:lang w:val="da-DK"/>
        </w:rPr>
        <w:t xml:space="preserve">Boligportal </w:t>
      </w:r>
      <w:r w:rsidR="00147071" w:rsidRPr="00766F73">
        <w:rPr>
          <w:rFonts w:asciiTheme="minorHAnsi" w:hAnsiTheme="minorHAnsi" w:cstheme="minorHAnsi"/>
          <w:color w:val="000000" w:themeColor="text1"/>
          <w:sz w:val="24"/>
          <w:szCs w:val="24"/>
          <w:lang w:val="da-DK"/>
        </w:rPr>
        <w:t>(</w:t>
      </w:r>
      <w:r w:rsidRPr="00766F73">
        <w:rPr>
          <w:rFonts w:asciiTheme="minorHAnsi" w:hAnsiTheme="minorHAnsi" w:cstheme="minorHAnsi"/>
          <w:color w:val="000000" w:themeColor="text1"/>
          <w:sz w:val="24"/>
          <w:szCs w:val="24"/>
          <w:lang w:val="da-DK"/>
        </w:rPr>
        <w:t>2016</w:t>
      </w:r>
      <w:r w:rsidR="00147071" w:rsidRPr="00766F73">
        <w:rPr>
          <w:rFonts w:asciiTheme="minorHAnsi" w:hAnsiTheme="minorHAnsi" w:cstheme="minorHAnsi"/>
          <w:color w:val="000000" w:themeColor="text1"/>
          <w:sz w:val="24"/>
          <w:szCs w:val="24"/>
          <w:lang w:val="da-DK"/>
        </w:rPr>
        <w:t>)</w:t>
      </w:r>
      <w:r w:rsidRPr="00766F73">
        <w:rPr>
          <w:rFonts w:asciiTheme="minorHAnsi" w:hAnsiTheme="minorHAnsi" w:cstheme="minorHAnsi"/>
          <w:color w:val="000000" w:themeColor="text1"/>
          <w:sz w:val="24"/>
          <w:szCs w:val="24"/>
          <w:lang w:val="da-DK"/>
        </w:rPr>
        <w:t xml:space="preserve"> </w:t>
      </w:r>
      <w:r w:rsidR="00147071" w:rsidRPr="0075417D">
        <w:rPr>
          <w:rFonts w:asciiTheme="minorHAnsi" w:hAnsiTheme="minorHAnsi" w:cstheme="minorHAnsi"/>
          <w:i/>
          <w:color w:val="000000" w:themeColor="text1"/>
          <w:sz w:val="24"/>
          <w:szCs w:val="24"/>
          <w:lang w:val="da-DK"/>
        </w:rPr>
        <w:t>Fastsættelse af Husleje</w:t>
      </w:r>
      <w:r w:rsidR="00D65C37" w:rsidRPr="0075417D">
        <w:rPr>
          <w:rFonts w:asciiTheme="minorHAnsi" w:hAnsiTheme="minorHAnsi" w:cstheme="minorHAnsi"/>
          <w:i/>
          <w:color w:val="000000" w:themeColor="text1"/>
          <w:sz w:val="24"/>
          <w:szCs w:val="24"/>
          <w:lang w:val="da-DK"/>
        </w:rPr>
        <w:t xml:space="preserve"> </w:t>
      </w:r>
      <w:r w:rsidR="00D65C37" w:rsidRPr="0075417D">
        <w:rPr>
          <w:rFonts w:asciiTheme="minorHAnsi" w:hAnsiTheme="minorHAnsi" w:cstheme="minorHAnsi"/>
          <w:color w:val="000000" w:themeColor="text1"/>
          <w:sz w:val="24"/>
          <w:szCs w:val="24"/>
          <w:lang w:val="da-DK"/>
        </w:rPr>
        <w:t>[online]</w:t>
      </w:r>
      <w:r w:rsidR="00147071" w:rsidRPr="00766F73">
        <w:rPr>
          <w:rFonts w:asciiTheme="minorHAnsi" w:hAnsiTheme="minorHAnsi" w:cstheme="minorHAnsi"/>
          <w:color w:val="000000" w:themeColor="text1"/>
          <w:sz w:val="24"/>
          <w:szCs w:val="24"/>
          <w:lang w:val="da-DK"/>
        </w:rPr>
        <w:t>. http://www.boligportal.dk/info/boligudlejning/husleje/ (Accessed [</w:t>
      </w:r>
      <w:r w:rsidR="00B70056" w:rsidRPr="00766F73">
        <w:rPr>
          <w:rFonts w:asciiTheme="minorHAnsi" w:hAnsiTheme="minorHAnsi" w:cstheme="minorHAnsi"/>
          <w:color w:val="000000" w:themeColor="text1"/>
          <w:sz w:val="24"/>
          <w:szCs w:val="24"/>
          <w:lang w:val="da-DK"/>
        </w:rPr>
        <w:t>15-03-2017]</w:t>
      </w:r>
      <w:r w:rsidR="00147071" w:rsidRPr="00766F73">
        <w:rPr>
          <w:rFonts w:asciiTheme="minorHAnsi" w:hAnsiTheme="minorHAnsi" w:cstheme="minorHAnsi"/>
          <w:color w:val="000000" w:themeColor="text1"/>
          <w:sz w:val="24"/>
          <w:szCs w:val="24"/>
          <w:lang w:val="da-DK"/>
        </w:rPr>
        <w:t>).</w:t>
      </w:r>
    </w:p>
    <w:p w14:paraId="2A82B1E8" w14:textId="77777777" w:rsidR="00B8351D" w:rsidRPr="00766F73" w:rsidRDefault="00B8351D" w:rsidP="000B6A12">
      <w:pPr>
        <w:pStyle w:val="BISReference"/>
        <w:ind w:left="-397" w:right="-397" w:firstLine="0"/>
        <w:rPr>
          <w:rFonts w:asciiTheme="minorHAnsi" w:hAnsiTheme="minorHAnsi" w:cstheme="minorHAnsi"/>
          <w:color w:val="000000" w:themeColor="text1"/>
          <w:sz w:val="24"/>
          <w:szCs w:val="24"/>
          <w:lang w:val="da-DK"/>
        </w:rPr>
      </w:pPr>
    </w:p>
    <w:p w14:paraId="4C9CE0B4" w14:textId="626508B1" w:rsidR="00B8351D" w:rsidRPr="00766F73" w:rsidRDefault="00B8351D" w:rsidP="000B6A12">
      <w:pPr>
        <w:pStyle w:val="BISReference"/>
        <w:ind w:left="-397" w:right="-397" w:firstLine="0"/>
        <w:rPr>
          <w:rFonts w:asciiTheme="minorHAnsi" w:hAnsiTheme="minorHAnsi" w:cstheme="minorHAnsi"/>
          <w:color w:val="000000" w:themeColor="text1"/>
          <w:sz w:val="24"/>
          <w:szCs w:val="24"/>
          <w:lang w:val="da-DK"/>
        </w:rPr>
      </w:pPr>
      <w:r w:rsidRPr="00766F73">
        <w:rPr>
          <w:rFonts w:asciiTheme="minorHAnsi" w:hAnsiTheme="minorHAnsi" w:cstheme="minorHAnsi"/>
          <w:color w:val="000000" w:themeColor="text1"/>
          <w:sz w:val="24"/>
          <w:szCs w:val="24"/>
          <w:lang w:val="da-DK"/>
        </w:rPr>
        <w:t>Boligreguleringsloven</w:t>
      </w:r>
      <w:r w:rsidR="00554A67" w:rsidRPr="00766F73">
        <w:rPr>
          <w:rFonts w:asciiTheme="minorHAnsi" w:hAnsiTheme="minorHAnsi" w:cstheme="minorHAnsi"/>
          <w:color w:val="000000" w:themeColor="text1"/>
          <w:sz w:val="24"/>
          <w:szCs w:val="24"/>
          <w:lang w:val="da-DK"/>
        </w:rPr>
        <w:t xml:space="preserve"> (</w:t>
      </w:r>
      <w:r w:rsidRPr="00766F73">
        <w:rPr>
          <w:rFonts w:asciiTheme="minorHAnsi" w:hAnsiTheme="minorHAnsi" w:cstheme="minorHAnsi"/>
          <w:color w:val="000000" w:themeColor="text1"/>
          <w:sz w:val="24"/>
          <w:szCs w:val="24"/>
          <w:lang w:val="da-DK"/>
        </w:rPr>
        <w:t>20</w:t>
      </w:r>
      <w:r w:rsidR="00554A67" w:rsidRPr="00766F73">
        <w:rPr>
          <w:rFonts w:asciiTheme="minorHAnsi" w:hAnsiTheme="minorHAnsi" w:cstheme="minorHAnsi"/>
          <w:color w:val="000000" w:themeColor="text1"/>
          <w:sz w:val="24"/>
          <w:szCs w:val="24"/>
          <w:lang w:val="da-DK"/>
        </w:rPr>
        <w:t xml:space="preserve">16) </w:t>
      </w:r>
      <w:commentRangeStart w:id="20"/>
      <w:r w:rsidRPr="00766F73">
        <w:rPr>
          <w:rFonts w:asciiTheme="minorHAnsi" w:hAnsiTheme="minorHAnsi" w:cstheme="minorHAnsi"/>
          <w:color w:val="000000" w:themeColor="text1"/>
          <w:sz w:val="24"/>
          <w:szCs w:val="24"/>
          <w:lang w:val="da-DK"/>
        </w:rPr>
        <w:t>§29b &amp; 29c;</w:t>
      </w:r>
      <w:r w:rsidRPr="00766F73">
        <w:rPr>
          <w:rFonts w:asciiTheme="minorHAnsi" w:hAnsiTheme="minorHAnsi" w:cstheme="minorHAnsi"/>
          <w:color w:val="000000" w:themeColor="text1"/>
          <w:sz w:val="24"/>
          <w:szCs w:val="24"/>
          <w:lang w:val="da-DK" w:eastAsia="en-GB"/>
        </w:rPr>
        <w:t xml:space="preserve"> Boligstøtteloven, Offentliggørelsesdato: 01-03-2016, </w:t>
      </w:r>
      <w:r w:rsidRPr="00766F73">
        <w:rPr>
          <w:rFonts w:asciiTheme="minorHAnsi" w:hAnsiTheme="minorHAnsi" w:cstheme="minorHAnsi"/>
          <w:bCs/>
          <w:color w:val="000000" w:themeColor="text1"/>
          <w:sz w:val="24"/>
          <w:szCs w:val="24"/>
          <w:shd w:val="clear" w:color="auto" w:fill="FFFFFF"/>
          <w:lang w:val="da-DK" w:eastAsia="en-GB"/>
        </w:rPr>
        <w:t>LBK nr 174 af 24/02/2016</w:t>
      </w:r>
      <w:commentRangeEnd w:id="20"/>
      <w:r w:rsidR="00554A67" w:rsidRPr="0075417D">
        <w:rPr>
          <w:rStyle w:val="CommentReference"/>
          <w:rFonts w:asciiTheme="minorHAnsi" w:eastAsiaTheme="minorHAnsi" w:hAnsiTheme="minorHAnsi" w:cstheme="minorHAnsi"/>
          <w:sz w:val="24"/>
          <w:szCs w:val="24"/>
          <w:lang w:val="en-US" w:eastAsia="en-US"/>
        </w:rPr>
        <w:commentReference w:id="20"/>
      </w:r>
    </w:p>
    <w:p w14:paraId="3965394D" w14:textId="77777777" w:rsidR="00B8351D" w:rsidRPr="00766F73" w:rsidRDefault="00B8351D" w:rsidP="000B6A12">
      <w:pPr>
        <w:pStyle w:val="BISReference"/>
        <w:ind w:left="-397" w:right="-397" w:firstLine="0"/>
        <w:rPr>
          <w:rFonts w:asciiTheme="minorHAnsi" w:hAnsiTheme="minorHAnsi" w:cstheme="minorHAnsi"/>
          <w:color w:val="000000" w:themeColor="text1"/>
          <w:sz w:val="24"/>
          <w:szCs w:val="24"/>
          <w:lang w:val="da-DK"/>
        </w:rPr>
      </w:pPr>
    </w:p>
    <w:p w14:paraId="2E7C21F4" w14:textId="67D6AED7" w:rsidR="008E6E81" w:rsidRPr="0075417D" w:rsidRDefault="008E6E81" w:rsidP="00F83C9B">
      <w:pPr>
        <w:pStyle w:val="BISReference"/>
        <w:ind w:left="-397" w:right="-397" w:firstLine="0"/>
        <w:outlineLvl w:val="0"/>
        <w:rPr>
          <w:rFonts w:asciiTheme="minorHAnsi" w:hAnsiTheme="minorHAnsi" w:cstheme="minorHAnsi"/>
          <w:color w:val="000000" w:themeColor="text1"/>
          <w:sz w:val="24"/>
          <w:szCs w:val="24"/>
        </w:rPr>
      </w:pPr>
      <w:r w:rsidRPr="0075417D">
        <w:rPr>
          <w:rFonts w:asciiTheme="minorHAnsi" w:hAnsiTheme="minorHAnsi" w:cstheme="minorHAnsi"/>
          <w:color w:val="000000" w:themeColor="text1"/>
          <w:sz w:val="24"/>
          <w:szCs w:val="24"/>
        </w:rPr>
        <w:t>Brown, M.K.</w:t>
      </w:r>
      <w:r w:rsidR="008D5679" w:rsidRPr="0075417D">
        <w:rPr>
          <w:rFonts w:asciiTheme="minorHAnsi" w:hAnsiTheme="minorHAnsi" w:cstheme="minorHAnsi"/>
          <w:color w:val="000000" w:themeColor="text1"/>
          <w:sz w:val="24"/>
          <w:szCs w:val="24"/>
        </w:rPr>
        <w:t xml:space="preserve"> (</w:t>
      </w:r>
      <w:r w:rsidRPr="0075417D">
        <w:rPr>
          <w:rFonts w:asciiTheme="minorHAnsi" w:hAnsiTheme="minorHAnsi" w:cstheme="minorHAnsi"/>
          <w:color w:val="000000" w:themeColor="text1"/>
          <w:sz w:val="24"/>
          <w:szCs w:val="24"/>
        </w:rPr>
        <w:t>1999</w:t>
      </w:r>
      <w:r w:rsidR="008D5679" w:rsidRPr="0075417D">
        <w:rPr>
          <w:rFonts w:asciiTheme="minorHAnsi" w:hAnsiTheme="minorHAnsi" w:cstheme="minorHAnsi"/>
          <w:color w:val="000000" w:themeColor="text1"/>
          <w:sz w:val="24"/>
          <w:szCs w:val="24"/>
        </w:rPr>
        <w:t>)</w:t>
      </w:r>
      <w:r w:rsidRPr="0075417D">
        <w:rPr>
          <w:rFonts w:asciiTheme="minorHAnsi" w:hAnsiTheme="minorHAnsi" w:cstheme="minorHAnsi"/>
          <w:color w:val="000000" w:themeColor="text1"/>
          <w:sz w:val="24"/>
          <w:szCs w:val="24"/>
        </w:rPr>
        <w:t xml:space="preserve"> </w:t>
      </w:r>
      <w:r w:rsidRPr="0075417D">
        <w:rPr>
          <w:rFonts w:asciiTheme="minorHAnsi" w:hAnsiTheme="minorHAnsi" w:cstheme="minorHAnsi"/>
          <w:i/>
          <w:color w:val="000000" w:themeColor="text1"/>
          <w:sz w:val="24"/>
          <w:szCs w:val="24"/>
        </w:rPr>
        <w:t>Race Money and the American Welfare State</w:t>
      </w:r>
      <w:r w:rsidRPr="0075417D">
        <w:rPr>
          <w:rFonts w:asciiTheme="minorHAnsi" w:hAnsiTheme="minorHAnsi" w:cstheme="minorHAnsi"/>
          <w:color w:val="000000" w:themeColor="text1"/>
          <w:sz w:val="24"/>
          <w:szCs w:val="24"/>
        </w:rPr>
        <w:t xml:space="preserve">, </w:t>
      </w:r>
      <w:r w:rsidR="008D5679" w:rsidRPr="0075417D">
        <w:rPr>
          <w:rFonts w:asciiTheme="minorHAnsi" w:hAnsiTheme="minorHAnsi" w:cstheme="minorHAnsi"/>
          <w:color w:val="000000" w:themeColor="text1"/>
          <w:sz w:val="24"/>
          <w:szCs w:val="24"/>
        </w:rPr>
        <w:t>Cornell University Press, Cornell.</w:t>
      </w:r>
    </w:p>
    <w:p w14:paraId="6B2F648E" w14:textId="77777777" w:rsidR="008E6E81" w:rsidRPr="0075417D" w:rsidRDefault="008E6E81" w:rsidP="000B6A12">
      <w:pPr>
        <w:pStyle w:val="BISReference"/>
        <w:ind w:left="-397" w:right="-397" w:firstLine="0"/>
        <w:rPr>
          <w:rFonts w:asciiTheme="minorHAnsi" w:hAnsiTheme="minorHAnsi" w:cstheme="minorHAnsi"/>
          <w:color w:val="000000" w:themeColor="text1"/>
          <w:sz w:val="24"/>
          <w:szCs w:val="24"/>
        </w:rPr>
      </w:pPr>
    </w:p>
    <w:p w14:paraId="14319067" w14:textId="58E1241E" w:rsidR="008E6E81" w:rsidRPr="0075417D" w:rsidRDefault="008E6E81" w:rsidP="000B6A12">
      <w:pPr>
        <w:pStyle w:val="BISReference"/>
        <w:ind w:left="-397" w:right="-397" w:firstLine="0"/>
        <w:rPr>
          <w:rFonts w:asciiTheme="minorHAnsi" w:hAnsiTheme="minorHAnsi" w:cstheme="minorHAnsi"/>
          <w:color w:val="000000" w:themeColor="text1"/>
          <w:sz w:val="24"/>
          <w:szCs w:val="24"/>
        </w:rPr>
      </w:pPr>
      <w:r w:rsidRPr="0075417D">
        <w:rPr>
          <w:rFonts w:asciiTheme="minorHAnsi" w:hAnsiTheme="minorHAnsi" w:cstheme="minorHAnsi"/>
          <w:color w:val="000000" w:themeColor="text1"/>
          <w:sz w:val="24"/>
          <w:szCs w:val="24"/>
        </w:rPr>
        <w:t xml:space="preserve">Campbell, O.D. </w:t>
      </w:r>
      <w:r w:rsidR="008D5679" w:rsidRPr="0075417D">
        <w:rPr>
          <w:rFonts w:asciiTheme="minorHAnsi" w:hAnsiTheme="minorHAnsi" w:cstheme="minorHAnsi"/>
          <w:color w:val="000000" w:themeColor="text1"/>
          <w:sz w:val="24"/>
          <w:szCs w:val="24"/>
        </w:rPr>
        <w:t>(1928)</w:t>
      </w:r>
      <w:r w:rsidRPr="0075417D">
        <w:rPr>
          <w:rFonts w:asciiTheme="minorHAnsi" w:hAnsiTheme="minorHAnsi" w:cstheme="minorHAnsi"/>
          <w:color w:val="000000" w:themeColor="text1"/>
          <w:sz w:val="24"/>
          <w:szCs w:val="24"/>
        </w:rPr>
        <w:t xml:space="preserve"> </w:t>
      </w:r>
      <w:r w:rsidRPr="0075417D">
        <w:rPr>
          <w:rFonts w:asciiTheme="minorHAnsi" w:hAnsiTheme="minorHAnsi" w:cstheme="minorHAnsi"/>
          <w:i/>
          <w:color w:val="000000" w:themeColor="text1"/>
          <w:sz w:val="24"/>
          <w:szCs w:val="24"/>
        </w:rPr>
        <w:t>The Danish Folk School</w:t>
      </w:r>
      <w:r w:rsidR="008D5679" w:rsidRPr="0075417D">
        <w:rPr>
          <w:rFonts w:asciiTheme="minorHAnsi" w:hAnsiTheme="minorHAnsi" w:cstheme="minorHAnsi"/>
          <w:i/>
          <w:color w:val="000000" w:themeColor="text1"/>
          <w:sz w:val="24"/>
          <w:szCs w:val="24"/>
        </w:rPr>
        <w:t>:</w:t>
      </w:r>
      <w:r w:rsidRPr="0075417D">
        <w:rPr>
          <w:rFonts w:asciiTheme="minorHAnsi" w:hAnsiTheme="minorHAnsi" w:cstheme="minorHAnsi"/>
          <w:i/>
          <w:color w:val="000000" w:themeColor="text1"/>
          <w:sz w:val="24"/>
          <w:szCs w:val="24"/>
        </w:rPr>
        <w:t xml:space="preserve"> Its Influence in the Life of Denmark and the North</w:t>
      </w:r>
      <w:r w:rsidRPr="0075417D">
        <w:rPr>
          <w:rFonts w:asciiTheme="minorHAnsi" w:hAnsiTheme="minorHAnsi" w:cstheme="minorHAnsi"/>
          <w:color w:val="000000" w:themeColor="text1"/>
          <w:sz w:val="24"/>
          <w:szCs w:val="24"/>
        </w:rPr>
        <w:t>, Macmillan</w:t>
      </w:r>
      <w:r w:rsidR="008D5679" w:rsidRPr="0075417D">
        <w:rPr>
          <w:rFonts w:asciiTheme="minorHAnsi" w:hAnsiTheme="minorHAnsi" w:cstheme="minorHAnsi"/>
          <w:color w:val="000000" w:themeColor="text1"/>
          <w:sz w:val="24"/>
          <w:szCs w:val="24"/>
        </w:rPr>
        <w:t>, New York.</w:t>
      </w:r>
    </w:p>
    <w:p w14:paraId="4C7D79C9" w14:textId="77777777" w:rsidR="008E6E81" w:rsidRPr="0075417D" w:rsidRDefault="008E6E81" w:rsidP="000B6A12">
      <w:pPr>
        <w:pStyle w:val="BISReference"/>
        <w:ind w:left="-397" w:right="-397" w:firstLine="0"/>
        <w:rPr>
          <w:rFonts w:asciiTheme="minorHAnsi" w:hAnsiTheme="minorHAnsi" w:cstheme="minorHAnsi"/>
          <w:color w:val="000000" w:themeColor="text1"/>
          <w:sz w:val="24"/>
          <w:szCs w:val="24"/>
        </w:rPr>
      </w:pPr>
    </w:p>
    <w:p w14:paraId="04B600F8" w14:textId="19B77C04" w:rsidR="008E6E81" w:rsidRPr="005234EE" w:rsidRDefault="008E6E81" w:rsidP="000B6A12">
      <w:pPr>
        <w:pStyle w:val="BISReference"/>
        <w:ind w:left="-397" w:right="-397" w:firstLine="0"/>
        <w:rPr>
          <w:rFonts w:ascii="Calibri" w:hAnsi="Calibri"/>
          <w:color w:val="000000" w:themeColor="text1"/>
          <w:sz w:val="24"/>
          <w:szCs w:val="24"/>
        </w:rPr>
      </w:pPr>
      <w:r w:rsidRPr="0075417D">
        <w:rPr>
          <w:rFonts w:asciiTheme="minorHAnsi" w:hAnsiTheme="minorHAnsi" w:cstheme="minorHAnsi"/>
          <w:color w:val="000000" w:themeColor="text1"/>
          <w:sz w:val="24"/>
          <w:szCs w:val="24"/>
        </w:rPr>
        <w:t xml:space="preserve">Capoccia, G. </w:t>
      </w:r>
      <w:r w:rsidR="008D5679" w:rsidRPr="0075417D">
        <w:rPr>
          <w:rFonts w:asciiTheme="minorHAnsi" w:hAnsiTheme="minorHAnsi" w:cstheme="minorHAnsi"/>
          <w:color w:val="000000" w:themeColor="text1"/>
          <w:sz w:val="24"/>
          <w:szCs w:val="24"/>
        </w:rPr>
        <w:t>(2015)</w:t>
      </w:r>
      <w:r w:rsidRPr="0075417D">
        <w:rPr>
          <w:rFonts w:asciiTheme="minorHAnsi" w:hAnsiTheme="minorHAnsi" w:cstheme="minorHAnsi"/>
          <w:color w:val="000000" w:themeColor="text1"/>
          <w:sz w:val="24"/>
          <w:szCs w:val="24"/>
        </w:rPr>
        <w:t xml:space="preserve"> </w:t>
      </w:r>
      <w:r w:rsidR="008D5679" w:rsidRPr="0075417D">
        <w:rPr>
          <w:rFonts w:asciiTheme="minorHAnsi" w:hAnsiTheme="minorHAnsi" w:cstheme="minorHAnsi"/>
          <w:color w:val="000000" w:themeColor="text1"/>
          <w:sz w:val="24"/>
          <w:szCs w:val="24"/>
        </w:rPr>
        <w:t>‘</w:t>
      </w:r>
      <w:r w:rsidRPr="0075417D">
        <w:rPr>
          <w:rFonts w:asciiTheme="minorHAnsi" w:hAnsiTheme="minorHAnsi" w:cstheme="minorHAnsi"/>
          <w:color w:val="000000" w:themeColor="text1"/>
          <w:sz w:val="24"/>
          <w:szCs w:val="24"/>
        </w:rPr>
        <w:t xml:space="preserve">Critical </w:t>
      </w:r>
      <w:r w:rsidR="008D5679" w:rsidRPr="0075417D">
        <w:rPr>
          <w:rFonts w:asciiTheme="minorHAnsi" w:hAnsiTheme="minorHAnsi" w:cstheme="minorHAnsi"/>
          <w:color w:val="000000" w:themeColor="text1"/>
          <w:sz w:val="24"/>
          <w:szCs w:val="24"/>
        </w:rPr>
        <w:t>j</w:t>
      </w:r>
      <w:r w:rsidRPr="0075417D">
        <w:rPr>
          <w:rFonts w:asciiTheme="minorHAnsi" w:hAnsiTheme="minorHAnsi" w:cstheme="minorHAnsi"/>
          <w:color w:val="000000" w:themeColor="text1"/>
          <w:sz w:val="24"/>
          <w:szCs w:val="24"/>
        </w:rPr>
        <w:t xml:space="preserve">unctures and </w:t>
      </w:r>
      <w:r w:rsidR="008D5679" w:rsidRPr="0075417D">
        <w:rPr>
          <w:rFonts w:asciiTheme="minorHAnsi" w:hAnsiTheme="minorHAnsi" w:cstheme="minorHAnsi"/>
          <w:color w:val="000000" w:themeColor="text1"/>
          <w:sz w:val="24"/>
          <w:szCs w:val="24"/>
        </w:rPr>
        <w:t>i</w:t>
      </w:r>
      <w:r w:rsidRPr="0075417D">
        <w:rPr>
          <w:rFonts w:asciiTheme="minorHAnsi" w:hAnsiTheme="minorHAnsi" w:cstheme="minorHAnsi"/>
          <w:color w:val="000000" w:themeColor="text1"/>
          <w:sz w:val="24"/>
          <w:szCs w:val="24"/>
        </w:rPr>
        <w:t xml:space="preserve">nstitutional </w:t>
      </w:r>
      <w:r w:rsidR="008D5679" w:rsidRPr="0075417D">
        <w:rPr>
          <w:rFonts w:asciiTheme="minorHAnsi" w:hAnsiTheme="minorHAnsi" w:cstheme="minorHAnsi"/>
          <w:color w:val="000000" w:themeColor="text1"/>
          <w:sz w:val="24"/>
          <w:szCs w:val="24"/>
        </w:rPr>
        <w:t>c</w:t>
      </w:r>
      <w:r w:rsidRPr="0075417D">
        <w:rPr>
          <w:rFonts w:asciiTheme="minorHAnsi" w:hAnsiTheme="minorHAnsi" w:cstheme="minorHAnsi"/>
          <w:color w:val="000000" w:themeColor="text1"/>
          <w:sz w:val="24"/>
          <w:szCs w:val="24"/>
        </w:rPr>
        <w:t>hange</w:t>
      </w:r>
      <w:r w:rsidR="008D5679" w:rsidRPr="0075417D">
        <w:rPr>
          <w:rFonts w:asciiTheme="minorHAnsi" w:hAnsiTheme="minorHAnsi" w:cstheme="minorHAnsi"/>
          <w:color w:val="000000" w:themeColor="text1"/>
          <w:sz w:val="24"/>
          <w:szCs w:val="24"/>
        </w:rPr>
        <w:t>’</w:t>
      </w:r>
      <w:r w:rsidRPr="0075417D">
        <w:rPr>
          <w:rFonts w:asciiTheme="minorHAnsi" w:hAnsiTheme="minorHAnsi" w:cstheme="minorHAnsi"/>
          <w:color w:val="000000" w:themeColor="text1"/>
          <w:sz w:val="24"/>
          <w:szCs w:val="24"/>
        </w:rPr>
        <w:t>, in</w:t>
      </w:r>
      <w:r w:rsidRPr="005234EE">
        <w:rPr>
          <w:rFonts w:ascii="Calibri" w:hAnsi="Calibri"/>
          <w:color w:val="000000" w:themeColor="text1"/>
          <w:sz w:val="24"/>
          <w:szCs w:val="24"/>
        </w:rPr>
        <w:t xml:space="preserve"> Mahoney</w:t>
      </w:r>
      <w:r w:rsidR="008D5679" w:rsidRPr="005234EE">
        <w:rPr>
          <w:rFonts w:ascii="Calibri" w:hAnsi="Calibri"/>
          <w:color w:val="000000" w:themeColor="text1"/>
          <w:sz w:val="24"/>
          <w:szCs w:val="24"/>
        </w:rPr>
        <w:t>, J.</w:t>
      </w:r>
      <w:r w:rsidRPr="005234EE">
        <w:rPr>
          <w:rFonts w:ascii="Calibri" w:hAnsi="Calibri"/>
          <w:color w:val="000000" w:themeColor="text1"/>
          <w:sz w:val="24"/>
          <w:szCs w:val="24"/>
        </w:rPr>
        <w:t xml:space="preserve"> and Thelen</w:t>
      </w:r>
      <w:r w:rsidR="008D5679" w:rsidRPr="005234EE">
        <w:rPr>
          <w:rFonts w:ascii="Calibri" w:hAnsi="Calibri"/>
          <w:color w:val="000000" w:themeColor="text1"/>
          <w:sz w:val="24"/>
          <w:szCs w:val="24"/>
        </w:rPr>
        <w:t>, K.</w:t>
      </w:r>
      <w:r w:rsidRPr="005234EE">
        <w:rPr>
          <w:rFonts w:ascii="Calibri" w:hAnsi="Calibri"/>
          <w:color w:val="000000" w:themeColor="text1"/>
          <w:sz w:val="24"/>
          <w:szCs w:val="24"/>
        </w:rPr>
        <w:t xml:space="preserve"> (</w:t>
      </w:r>
      <w:r w:rsidR="000B6A12" w:rsidRPr="005234EE">
        <w:rPr>
          <w:rFonts w:ascii="Calibri" w:hAnsi="Calibri"/>
          <w:color w:val="000000" w:themeColor="text1"/>
          <w:sz w:val="24"/>
          <w:szCs w:val="24"/>
        </w:rPr>
        <w:t>Eds.)</w:t>
      </w:r>
      <w:r w:rsidR="008D5679" w:rsidRPr="005234EE">
        <w:rPr>
          <w:rFonts w:ascii="Calibri" w:hAnsi="Calibri"/>
          <w:color w:val="000000" w:themeColor="text1"/>
          <w:sz w:val="24"/>
          <w:szCs w:val="24"/>
        </w:rPr>
        <w:t>,</w:t>
      </w:r>
      <w:r w:rsidR="000B6A12" w:rsidRPr="005234EE">
        <w:rPr>
          <w:rFonts w:ascii="Calibri" w:hAnsi="Calibri"/>
          <w:color w:val="000000" w:themeColor="text1"/>
          <w:sz w:val="24"/>
          <w:szCs w:val="24"/>
        </w:rPr>
        <w:t xml:space="preserve"> </w:t>
      </w:r>
      <w:r w:rsidR="000B6A12" w:rsidRPr="005234EE">
        <w:rPr>
          <w:rFonts w:ascii="Calibri" w:hAnsi="Calibri"/>
          <w:i/>
          <w:color w:val="000000" w:themeColor="text1"/>
          <w:sz w:val="24"/>
          <w:szCs w:val="24"/>
        </w:rPr>
        <w:t>Advances in Comparative H</w:t>
      </w:r>
      <w:r w:rsidRPr="005234EE">
        <w:rPr>
          <w:rFonts w:ascii="Calibri" w:hAnsi="Calibri"/>
          <w:i/>
          <w:color w:val="000000" w:themeColor="text1"/>
          <w:sz w:val="24"/>
          <w:szCs w:val="24"/>
        </w:rPr>
        <w:t>istorical Analysis</w:t>
      </w:r>
      <w:r w:rsidRPr="005234EE">
        <w:rPr>
          <w:rFonts w:ascii="Calibri" w:hAnsi="Calibri"/>
          <w:color w:val="000000" w:themeColor="text1"/>
          <w:sz w:val="24"/>
          <w:szCs w:val="24"/>
        </w:rPr>
        <w:t>, Cambridge University Press</w:t>
      </w:r>
      <w:r w:rsidR="00466834" w:rsidRPr="005234EE">
        <w:rPr>
          <w:rFonts w:ascii="Calibri" w:hAnsi="Calibri"/>
          <w:color w:val="000000" w:themeColor="text1"/>
          <w:sz w:val="24"/>
          <w:szCs w:val="24"/>
        </w:rPr>
        <w:t>, Cambridge.</w:t>
      </w:r>
    </w:p>
    <w:p w14:paraId="554FE19D" w14:textId="77777777" w:rsidR="008E6E81" w:rsidRPr="005234EE" w:rsidRDefault="008E6E81" w:rsidP="000B6A12">
      <w:pPr>
        <w:pStyle w:val="BISReference"/>
        <w:ind w:left="-397" w:right="-397" w:firstLine="0"/>
        <w:rPr>
          <w:rFonts w:ascii="Calibri" w:hAnsi="Calibri"/>
          <w:color w:val="000000" w:themeColor="text1"/>
          <w:sz w:val="24"/>
          <w:szCs w:val="24"/>
        </w:rPr>
      </w:pPr>
    </w:p>
    <w:p w14:paraId="748F34B9" w14:textId="729F010A" w:rsidR="008E6E81" w:rsidRPr="00766F73" w:rsidRDefault="008D4C74" w:rsidP="000B6A12">
      <w:pPr>
        <w:pStyle w:val="BISReference"/>
        <w:ind w:left="-397" w:right="-397" w:firstLine="0"/>
        <w:rPr>
          <w:rFonts w:ascii="Calibri" w:hAnsi="Calibri"/>
          <w:color w:val="000000" w:themeColor="text1"/>
          <w:sz w:val="24"/>
          <w:szCs w:val="24"/>
          <w:lang w:val="da-DK"/>
        </w:rPr>
      </w:pPr>
      <w:r w:rsidRPr="005234EE">
        <w:rPr>
          <w:rFonts w:ascii="Calibri" w:hAnsi="Calibri"/>
          <w:color w:val="000000" w:themeColor="text1"/>
          <w:sz w:val="24"/>
          <w:szCs w:val="24"/>
          <w:lang w:val="da-DK"/>
        </w:rPr>
        <w:t>Caswell</w:t>
      </w:r>
      <w:r w:rsidR="008E6E81" w:rsidRPr="005234EE">
        <w:rPr>
          <w:rFonts w:ascii="Calibri" w:hAnsi="Calibri"/>
          <w:color w:val="000000" w:themeColor="text1"/>
          <w:sz w:val="24"/>
          <w:szCs w:val="24"/>
          <w:lang w:val="da-DK"/>
        </w:rPr>
        <w:t>, D., Andersen, H.L., Høybye-Mortensen, M., Karkussen, A.M.</w:t>
      </w:r>
      <w:r w:rsidR="00266C8C" w:rsidRPr="005234EE">
        <w:rPr>
          <w:rFonts w:ascii="Calibri" w:hAnsi="Calibri"/>
          <w:color w:val="000000" w:themeColor="text1"/>
          <w:sz w:val="24"/>
          <w:szCs w:val="24"/>
          <w:lang w:val="da-DK"/>
        </w:rPr>
        <w:t xml:space="preserve"> and</w:t>
      </w:r>
      <w:r w:rsidR="008E6E81" w:rsidRPr="005234EE">
        <w:rPr>
          <w:rFonts w:ascii="Calibri" w:hAnsi="Calibri"/>
          <w:color w:val="000000" w:themeColor="text1"/>
          <w:sz w:val="24"/>
          <w:szCs w:val="24"/>
          <w:lang w:val="da-DK"/>
        </w:rPr>
        <w:t xml:space="preserve"> Thuesen, S.L.</w:t>
      </w:r>
      <w:r w:rsidR="00266C8C" w:rsidRPr="005234EE">
        <w:rPr>
          <w:rFonts w:ascii="Calibri" w:hAnsi="Calibri"/>
          <w:color w:val="000000" w:themeColor="text1"/>
          <w:sz w:val="24"/>
          <w:szCs w:val="24"/>
          <w:lang w:val="da-DK"/>
        </w:rPr>
        <w:t xml:space="preserve"> (2011)</w:t>
      </w:r>
      <w:r w:rsidR="008E6E81" w:rsidRPr="005234EE">
        <w:rPr>
          <w:rFonts w:ascii="Calibri" w:hAnsi="Calibri"/>
          <w:color w:val="000000" w:themeColor="text1"/>
          <w:sz w:val="24"/>
          <w:szCs w:val="24"/>
          <w:lang w:val="da-DK"/>
        </w:rPr>
        <w:t xml:space="preserve"> </w:t>
      </w:r>
      <w:r w:rsidR="008E6E81" w:rsidRPr="005234EE">
        <w:rPr>
          <w:rFonts w:ascii="Calibri" w:hAnsi="Calibri"/>
          <w:i/>
          <w:color w:val="000000" w:themeColor="text1"/>
          <w:sz w:val="24"/>
          <w:szCs w:val="24"/>
          <w:lang w:val="da-DK"/>
        </w:rPr>
        <w:t>Når Kassen Smækkes I</w:t>
      </w:r>
      <w:r w:rsidR="00266C8C" w:rsidRPr="005234EE">
        <w:rPr>
          <w:rFonts w:ascii="Calibri" w:hAnsi="Calibri"/>
          <w:i/>
          <w:color w:val="000000" w:themeColor="text1"/>
          <w:sz w:val="24"/>
          <w:szCs w:val="24"/>
          <w:lang w:val="da-DK"/>
        </w:rPr>
        <w:t>:</w:t>
      </w:r>
      <w:r w:rsidR="008E6E81" w:rsidRPr="005234EE">
        <w:rPr>
          <w:rFonts w:ascii="Calibri" w:hAnsi="Calibri"/>
          <w:i/>
          <w:color w:val="000000" w:themeColor="text1"/>
          <w:sz w:val="24"/>
          <w:szCs w:val="24"/>
          <w:lang w:val="da-DK"/>
        </w:rPr>
        <w:t xml:space="preserve"> Analyser af økonomiske sanktioner over</w:t>
      </w:r>
      <w:r w:rsidR="00266C8C" w:rsidRPr="005234EE">
        <w:rPr>
          <w:rFonts w:ascii="Calibri" w:hAnsi="Calibri"/>
          <w:i/>
          <w:color w:val="000000" w:themeColor="text1"/>
          <w:sz w:val="24"/>
          <w:szCs w:val="24"/>
          <w:lang w:val="da-DK"/>
        </w:rPr>
        <w:t xml:space="preserve"> </w:t>
      </w:r>
      <w:r w:rsidR="008E6E81" w:rsidRPr="005234EE">
        <w:rPr>
          <w:rFonts w:ascii="Calibri" w:hAnsi="Calibri"/>
          <w:i/>
          <w:color w:val="000000" w:themeColor="text1"/>
          <w:sz w:val="24"/>
          <w:szCs w:val="24"/>
          <w:lang w:val="da-DK"/>
        </w:rPr>
        <w:t>for kontanthjælpsmodtagere</w:t>
      </w:r>
      <w:r w:rsidR="008E6E81" w:rsidRPr="005234EE">
        <w:rPr>
          <w:rFonts w:ascii="Calibri" w:hAnsi="Calibri"/>
          <w:color w:val="000000" w:themeColor="text1"/>
          <w:sz w:val="24"/>
          <w:szCs w:val="24"/>
          <w:lang w:val="da-DK"/>
        </w:rPr>
        <w:t>, AKF Rapport, Anvendt Kommunal</w:t>
      </w:r>
      <w:r w:rsidR="00266C8C" w:rsidRPr="005234EE">
        <w:rPr>
          <w:rFonts w:ascii="Calibri" w:hAnsi="Calibri"/>
          <w:color w:val="000000" w:themeColor="text1"/>
          <w:sz w:val="24"/>
          <w:szCs w:val="24"/>
          <w:lang w:val="da-DK"/>
        </w:rPr>
        <w:t xml:space="preserve"> </w:t>
      </w:r>
      <w:r w:rsidR="008E6E81" w:rsidRPr="005234EE">
        <w:rPr>
          <w:rFonts w:ascii="Calibri" w:hAnsi="Calibri"/>
          <w:color w:val="000000" w:themeColor="text1"/>
          <w:sz w:val="24"/>
          <w:szCs w:val="24"/>
          <w:lang w:val="da-DK"/>
        </w:rPr>
        <w:t>Forskning</w:t>
      </w:r>
      <w:r w:rsidR="008E6E81" w:rsidRPr="00766F73">
        <w:rPr>
          <w:rFonts w:ascii="Calibri" w:hAnsi="Calibri"/>
          <w:color w:val="000000" w:themeColor="text1"/>
          <w:sz w:val="24"/>
          <w:szCs w:val="24"/>
          <w:lang w:val="da-DK"/>
        </w:rPr>
        <w:t>, November</w:t>
      </w:r>
      <w:r w:rsidR="00266C8C" w:rsidRPr="00766F73">
        <w:rPr>
          <w:rFonts w:ascii="Calibri" w:hAnsi="Calibri"/>
          <w:color w:val="000000" w:themeColor="text1"/>
          <w:sz w:val="24"/>
          <w:szCs w:val="24"/>
          <w:lang w:val="da-DK"/>
        </w:rPr>
        <w:t xml:space="preserve"> 2011.</w:t>
      </w:r>
    </w:p>
    <w:p w14:paraId="34E6A49A" w14:textId="77777777" w:rsidR="008E6E81" w:rsidRPr="00766F73" w:rsidRDefault="008E6E81" w:rsidP="000B6A12">
      <w:pPr>
        <w:pStyle w:val="BISReference"/>
        <w:ind w:left="-397" w:right="-397" w:firstLine="0"/>
        <w:rPr>
          <w:rFonts w:ascii="Calibri" w:hAnsi="Calibri"/>
          <w:color w:val="000000" w:themeColor="text1"/>
          <w:sz w:val="24"/>
          <w:szCs w:val="24"/>
          <w:lang w:val="da-DK"/>
        </w:rPr>
      </w:pPr>
    </w:p>
    <w:p w14:paraId="0F458A7B" w14:textId="77B5A75A" w:rsidR="008E6E81" w:rsidRPr="005234EE" w:rsidRDefault="008E6E81" w:rsidP="000B6A12">
      <w:pPr>
        <w:pStyle w:val="BISReference"/>
        <w:ind w:left="-397" w:right="-397" w:firstLine="0"/>
        <w:rPr>
          <w:rFonts w:ascii="Calibri" w:hAnsi="Calibri"/>
          <w:color w:val="000000" w:themeColor="text1"/>
          <w:sz w:val="24"/>
          <w:szCs w:val="24"/>
        </w:rPr>
      </w:pPr>
      <w:r w:rsidRPr="005234EE">
        <w:rPr>
          <w:rFonts w:ascii="Calibri" w:hAnsi="Calibri"/>
          <w:color w:val="000000" w:themeColor="text1"/>
          <w:sz w:val="24"/>
          <w:szCs w:val="24"/>
        </w:rPr>
        <w:t>Caswell, D.</w:t>
      </w:r>
      <w:r w:rsidR="00266C8C" w:rsidRPr="005234EE">
        <w:rPr>
          <w:rFonts w:ascii="Calibri" w:hAnsi="Calibri"/>
          <w:color w:val="000000" w:themeColor="text1"/>
          <w:sz w:val="24"/>
          <w:szCs w:val="24"/>
        </w:rPr>
        <w:t>,</w:t>
      </w:r>
      <w:r w:rsidRPr="005234EE">
        <w:rPr>
          <w:rFonts w:ascii="Calibri" w:hAnsi="Calibri"/>
          <w:color w:val="000000" w:themeColor="text1"/>
          <w:sz w:val="24"/>
          <w:szCs w:val="24"/>
        </w:rPr>
        <w:t xml:space="preserve"> Larsen</w:t>
      </w:r>
      <w:r w:rsidR="00266C8C" w:rsidRPr="005234EE">
        <w:rPr>
          <w:rFonts w:ascii="Calibri" w:hAnsi="Calibri"/>
          <w:color w:val="000000" w:themeColor="text1"/>
          <w:sz w:val="24"/>
          <w:szCs w:val="24"/>
        </w:rPr>
        <w:t>, J.E.</w:t>
      </w:r>
      <w:r w:rsidRPr="005234EE">
        <w:rPr>
          <w:rFonts w:ascii="Calibri" w:hAnsi="Calibri"/>
          <w:color w:val="000000" w:themeColor="text1"/>
          <w:sz w:val="24"/>
          <w:szCs w:val="24"/>
        </w:rPr>
        <w:t xml:space="preserve"> </w:t>
      </w:r>
      <w:r w:rsidR="00266C8C" w:rsidRPr="005234EE">
        <w:rPr>
          <w:rFonts w:ascii="Calibri" w:hAnsi="Calibri"/>
          <w:color w:val="000000" w:themeColor="text1"/>
          <w:sz w:val="24"/>
          <w:szCs w:val="24"/>
        </w:rPr>
        <w:t>and</w:t>
      </w:r>
      <w:r w:rsidRPr="005234EE">
        <w:rPr>
          <w:rFonts w:ascii="Calibri" w:hAnsi="Calibri"/>
          <w:color w:val="000000" w:themeColor="text1"/>
          <w:sz w:val="24"/>
          <w:szCs w:val="24"/>
        </w:rPr>
        <w:t xml:space="preserve"> Marston</w:t>
      </w:r>
      <w:r w:rsidR="00C9702D" w:rsidRPr="005234EE">
        <w:rPr>
          <w:rFonts w:ascii="Calibri" w:hAnsi="Calibri"/>
          <w:color w:val="000000" w:themeColor="text1"/>
          <w:sz w:val="24"/>
          <w:szCs w:val="24"/>
        </w:rPr>
        <w:t>, G.</w:t>
      </w:r>
      <w:r w:rsidRPr="005234EE">
        <w:rPr>
          <w:rFonts w:ascii="Calibri" w:hAnsi="Calibri"/>
          <w:color w:val="000000" w:themeColor="text1"/>
          <w:sz w:val="24"/>
          <w:szCs w:val="24"/>
        </w:rPr>
        <w:t xml:space="preserve"> (2010) </w:t>
      </w:r>
      <w:r w:rsidR="00266C8C" w:rsidRPr="005234EE">
        <w:rPr>
          <w:rFonts w:ascii="Calibri" w:hAnsi="Calibri"/>
          <w:color w:val="000000" w:themeColor="text1"/>
          <w:sz w:val="24"/>
          <w:szCs w:val="24"/>
        </w:rPr>
        <w:t>‘</w:t>
      </w:r>
      <w:r w:rsidRPr="005234EE">
        <w:rPr>
          <w:rFonts w:ascii="Calibri" w:hAnsi="Calibri"/>
          <w:color w:val="000000" w:themeColor="text1"/>
          <w:sz w:val="24"/>
          <w:szCs w:val="24"/>
        </w:rPr>
        <w:t xml:space="preserve">Unemployment citizen or </w:t>
      </w:r>
      <w:r w:rsidR="00266C8C" w:rsidRPr="005234EE">
        <w:rPr>
          <w:rFonts w:ascii="Calibri" w:hAnsi="Calibri"/>
          <w:color w:val="000000" w:themeColor="text1"/>
          <w:sz w:val="24"/>
          <w:szCs w:val="24"/>
        </w:rPr>
        <w:t>“at risk client”? Clas</w:t>
      </w:r>
      <w:r w:rsidRPr="005234EE">
        <w:rPr>
          <w:rFonts w:ascii="Calibri" w:hAnsi="Calibri"/>
          <w:color w:val="000000" w:themeColor="text1"/>
          <w:sz w:val="24"/>
          <w:szCs w:val="24"/>
        </w:rPr>
        <w:t>sification systems and employment services in Denmark and Australia</w:t>
      </w:r>
      <w:r w:rsidR="00266C8C" w:rsidRPr="005234EE">
        <w:rPr>
          <w:rFonts w:ascii="Calibri" w:hAnsi="Calibri"/>
          <w:color w:val="000000" w:themeColor="text1"/>
          <w:sz w:val="24"/>
          <w:szCs w:val="24"/>
        </w:rPr>
        <w:t>’,</w:t>
      </w:r>
      <w:r w:rsidRPr="005234EE">
        <w:rPr>
          <w:rFonts w:ascii="Calibri" w:hAnsi="Calibri"/>
          <w:color w:val="000000" w:themeColor="text1"/>
          <w:sz w:val="24"/>
          <w:szCs w:val="24"/>
        </w:rPr>
        <w:t xml:space="preserve"> </w:t>
      </w:r>
      <w:r w:rsidRPr="005234EE">
        <w:rPr>
          <w:rFonts w:ascii="Calibri" w:hAnsi="Calibri"/>
          <w:i/>
          <w:iCs/>
          <w:color w:val="000000" w:themeColor="text1"/>
          <w:sz w:val="24"/>
          <w:szCs w:val="24"/>
        </w:rPr>
        <w:t>Critical Social Policy</w:t>
      </w:r>
      <w:r w:rsidRPr="005234EE">
        <w:rPr>
          <w:rFonts w:ascii="Calibri" w:hAnsi="Calibri"/>
          <w:color w:val="000000" w:themeColor="text1"/>
          <w:sz w:val="24"/>
          <w:szCs w:val="24"/>
        </w:rPr>
        <w:t xml:space="preserve">, </w:t>
      </w:r>
      <w:r w:rsidR="00266C8C" w:rsidRPr="005234EE">
        <w:rPr>
          <w:rFonts w:ascii="Calibri" w:hAnsi="Calibri"/>
          <w:color w:val="000000" w:themeColor="text1"/>
          <w:sz w:val="24"/>
          <w:szCs w:val="24"/>
        </w:rPr>
        <w:t>Vol. 30 No.3, pp.</w:t>
      </w:r>
      <w:r w:rsidRPr="005234EE">
        <w:rPr>
          <w:rFonts w:ascii="Calibri" w:hAnsi="Calibri"/>
          <w:color w:val="000000" w:themeColor="text1"/>
          <w:sz w:val="24"/>
          <w:szCs w:val="24"/>
        </w:rPr>
        <w:t>384-404.</w:t>
      </w:r>
    </w:p>
    <w:p w14:paraId="79DE3EB0" w14:textId="77777777" w:rsidR="008E6E81" w:rsidRPr="005234EE" w:rsidRDefault="008E6E81" w:rsidP="000B6A12">
      <w:pPr>
        <w:pStyle w:val="BISReference"/>
        <w:ind w:left="0" w:right="-397" w:firstLine="0"/>
        <w:rPr>
          <w:rFonts w:ascii="Calibri" w:hAnsi="Calibri"/>
          <w:color w:val="000000" w:themeColor="text1"/>
          <w:sz w:val="24"/>
          <w:szCs w:val="24"/>
        </w:rPr>
      </w:pPr>
    </w:p>
    <w:p w14:paraId="5E17D401" w14:textId="58F7E201" w:rsidR="008E6E81" w:rsidRPr="005234EE" w:rsidRDefault="008E6E81" w:rsidP="000B6A12">
      <w:pPr>
        <w:pStyle w:val="BISReference"/>
        <w:ind w:left="-397" w:right="-397" w:firstLine="0"/>
        <w:rPr>
          <w:rFonts w:ascii="Calibri" w:hAnsi="Calibri"/>
          <w:color w:val="000000" w:themeColor="text1"/>
          <w:sz w:val="24"/>
          <w:szCs w:val="24"/>
        </w:rPr>
      </w:pPr>
      <w:r w:rsidRPr="005234EE">
        <w:rPr>
          <w:rFonts w:ascii="Calibri" w:hAnsi="Calibri"/>
          <w:color w:val="000000" w:themeColor="text1"/>
          <w:sz w:val="24"/>
          <w:szCs w:val="24"/>
        </w:rPr>
        <w:t>Clark, G. L. and Monk</w:t>
      </w:r>
      <w:r w:rsidR="001B25DC" w:rsidRPr="005234EE">
        <w:rPr>
          <w:rFonts w:ascii="Calibri" w:hAnsi="Calibri"/>
          <w:color w:val="000000" w:themeColor="text1"/>
          <w:sz w:val="24"/>
          <w:szCs w:val="24"/>
        </w:rPr>
        <w:t>,</w:t>
      </w:r>
      <w:r w:rsidRPr="005234EE">
        <w:rPr>
          <w:rFonts w:ascii="Calibri" w:hAnsi="Calibri"/>
          <w:color w:val="000000" w:themeColor="text1"/>
          <w:sz w:val="24"/>
          <w:szCs w:val="24"/>
        </w:rPr>
        <w:t xml:space="preserve"> A.H.B. </w:t>
      </w:r>
      <w:r w:rsidR="001B25DC" w:rsidRPr="005234EE">
        <w:rPr>
          <w:rFonts w:ascii="Calibri" w:hAnsi="Calibri"/>
          <w:color w:val="000000" w:themeColor="text1"/>
          <w:sz w:val="24"/>
          <w:szCs w:val="24"/>
        </w:rPr>
        <w:t>(2010)</w:t>
      </w:r>
      <w:r w:rsidRPr="005234EE">
        <w:rPr>
          <w:rFonts w:ascii="Calibri" w:hAnsi="Calibri"/>
          <w:color w:val="000000" w:themeColor="text1"/>
          <w:sz w:val="24"/>
          <w:szCs w:val="24"/>
        </w:rPr>
        <w:t xml:space="preserve"> ‘The </w:t>
      </w:r>
      <w:r w:rsidR="001B25DC" w:rsidRPr="005234EE">
        <w:rPr>
          <w:rFonts w:ascii="Calibri" w:hAnsi="Calibri"/>
          <w:color w:val="000000" w:themeColor="text1"/>
          <w:sz w:val="24"/>
          <w:szCs w:val="24"/>
        </w:rPr>
        <w:t>l</w:t>
      </w:r>
      <w:r w:rsidRPr="005234EE">
        <w:rPr>
          <w:rFonts w:ascii="Calibri" w:hAnsi="Calibri"/>
          <w:color w:val="000000" w:themeColor="text1"/>
          <w:sz w:val="24"/>
          <w:szCs w:val="24"/>
        </w:rPr>
        <w:t xml:space="preserve">egitimacy and </w:t>
      </w:r>
      <w:r w:rsidR="001B25DC" w:rsidRPr="005234EE">
        <w:rPr>
          <w:rFonts w:ascii="Calibri" w:hAnsi="Calibri"/>
          <w:color w:val="000000" w:themeColor="text1"/>
          <w:sz w:val="24"/>
          <w:szCs w:val="24"/>
        </w:rPr>
        <w:t>g</w:t>
      </w:r>
      <w:r w:rsidRPr="005234EE">
        <w:rPr>
          <w:rFonts w:ascii="Calibri" w:hAnsi="Calibri"/>
          <w:color w:val="000000" w:themeColor="text1"/>
          <w:sz w:val="24"/>
          <w:szCs w:val="24"/>
        </w:rPr>
        <w:t xml:space="preserve">overnance of Norway’s </w:t>
      </w:r>
      <w:r w:rsidR="001B25DC" w:rsidRPr="005234EE">
        <w:rPr>
          <w:rFonts w:ascii="Calibri" w:hAnsi="Calibri"/>
          <w:color w:val="000000" w:themeColor="text1"/>
          <w:sz w:val="24"/>
          <w:szCs w:val="24"/>
        </w:rPr>
        <w:t>sovereign</w:t>
      </w:r>
      <w:r w:rsidRPr="005234EE">
        <w:rPr>
          <w:rFonts w:ascii="Calibri" w:hAnsi="Calibri"/>
          <w:color w:val="000000" w:themeColor="text1"/>
          <w:sz w:val="24"/>
          <w:szCs w:val="24"/>
        </w:rPr>
        <w:t xml:space="preserve"> </w:t>
      </w:r>
      <w:r w:rsidR="001B25DC" w:rsidRPr="005234EE">
        <w:rPr>
          <w:rFonts w:ascii="Calibri" w:hAnsi="Calibri"/>
          <w:color w:val="000000" w:themeColor="text1"/>
          <w:sz w:val="24"/>
          <w:szCs w:val="24"/>
        </w:rPr>
        <w:t>w</w:t>
      </w:r>
      <w:r w:rsidRPr="005234EE">
        <w:rPr>
          <w:rFonts w:ascii="Calibri" w:hAnsi="Calibri"/>
          <w:color w:val="000000" w:themeColor="text1"/>
          <w:sz w:val="24"/>
          <w:szCs w:val="24"/>
        </w:rPr>
        <w:t xml:space="preserve">ealth </w:t>
      </w:r>
      <w:r w:rsidR="001B25DC" w:rsidRPr="005234EE">
        <w:rPr>
          <w:rFonts w:ascii="Calibri" w:hAnsi="Calibri"/>
          <w:color w:val="000000" w:themeColor="text1"/>
          <w:sz w:val="24"/>
          <w:szCs w:val="24"/>
        </w:rPr>
        <w:t>f</w:t>
      </w:r>
      <w:r w:rsidRPr="005234EE">
        <w:rPr>
          <w:rFonts w:ascii="Calibri" w:hAnsi="Calibri"/>
          <w:color w:val="000000" w:themeColor="text1"/>
          <w:sz w:val="24"/>
          <w:szCs w:val="24"/>
        </w:rPr>
        <w:t>und: T</w:t>
      </w:r>
      <w:r w:rsidR="001B25DC" w:rsidRPr="005234EE">
        <w:rPr>
          <w:rFonts w:ascii="Calibri" w:hAnsi="Calibri"/>
          <w:color w:val="000000" w:themeColor="text1"/>
          <w:sz w:val="24"/>
          <w:szCs w:val="24"/>
        </w:rPr>
        <w:t>h</w:t>
      </w:r>
      <w:r w:rsidRPr="005234EE">
        <w:rPr>
          <w:rFonts w:ascii="Calibri" w:hAnsi="Calibri"/>
          <w:color w:val="000000" w:themeColor="text1"/>
          <w:sz w:val="24"/>
          <w:szCs w:val="24"/>
        </w:rPr>
        <w:t xml:space="preserve">e </w:t>
      </w:r>
      <w:r w:rsidR="001B25DC" w:rsidRPr="005234EE">
        <w:rPr>
          <w:rFonts w:ascii="Calibri" w:hAnsi="Calibri"/>
          <w:color w:val="000000" w:themeColor="text1"/>
          <w:sz w:val="24"/>
          <w:szCs w:val="24"/>
        </w:rPr>
        <w:t>e</w:t>
      </w:r>
      <w:r w:rsidRPr="005234EE">
        <w:rPr>
          <w:rFonts w:ascii="Calibri" w:hAnsi="Calibri"/>
          <w:color w:val="000000" w:themeColor="text1"/>
          <w:sz w:val="24"/>
          <w:szCs w:val="24"/>
        </w:rPr>
        <w:t xml:space="preserve">thics of </w:t>
      </w:r>
      <w:r w:rsidR="001B25DC" w:rsidRPr="005234EE">
        <w:rPr>
          <w:rFonts w:ascii="Calibri" w:hAnsi="Calibri"/>
          <w:color w:val="000000" w:themeColor="text1"/>
          <w:sz w:val="24"/>
          <w:szCs w:val="24"/>
        </w:rPr>
        <w:t>g</w:t>
      </w:r>
      <w:r w:rsidRPr="005234EE">
        <w:rPr>
          <w:rFonts w:ascii="Calibri" w:hAnsi="Calibri"/>
          <w:color w:val="000000" w:themeColor="text1"/>
          <w:sz w:val="24"/>
          <w:szCs w:val="24"/>
        </w:rPr>
        <w:t xml:space="preserve">lobal </w:t>
      </w:r>
      <w:r w:rsidR="001B25DC" w:rsidRPr="005234EE">
        <w:rPr>
          <w:rFonts w:ascii="Calibri" w:hAnsi="Calibri"/>
          <w:color w:val="000000" w:themeColor="text1"/>
          <w:sz w:val="24"/>
          <w:szCs w:val="24"/>
        </w:rPr>
        <w:t>investment’</w:t>
      </w:r>
      <w:r w:rsidRPr="005234EE">
        <w:rPr>
          <w:rFonts w:ascii="Calibri" w:hAnsi="Calibri"/>
          <w:color w:val="000000" w:themeColor="text1"/>
          <w:sz w:val="24"/>
          <w:szCs w:val="24"/>
        </w:rPr>
        <w:t xml:space="preserve">, </w:t>
      </w:r>
      <w:r w:rsidRPr="005234EE">
        <w:rPr>
          <w:rFonts w:ascii="Calibri" w:hAnsi="Calibri"/>
          <w:i/>
          <w:color w:val="000000" w:themeColor="text1"/>
          <w:sz w:val="24"/>
          <w:szCs w:val="24"/>
        </w:rPr>
        <w:t>Environment and Planning</w:t>
      </w:r>
      <w:r w:rsidRPr="005234EE">
        <w:rPr>
          <w:rFonts w:ascii="Calibri" w:hAnsi="Calibri"/>
          <w:color w:val="000000" w:themeColor="text1"/>
          <w:sz w:val="24"/>
          <w:szCs w:val="24"/>
        </w:rPr>
        <w:t xml:space="preserve">, </w:t>
      </w:r>
      <w:r w:rsidR="001B25DC" w:rsidRPr="005234EE">
        <w:rPr>
          <w:rFonts w:ascii="Calibri" w:hAnsi="Calibri"/>
          <w:color w:val="000000" w:themeColor="text1"/>
          <w:sz w:val="24"/>
          <w:szCs w:val="24"/>
        </w:rPr>
        <w:t xml:space="preserve">Vol. </w:t>
      </w:r>
      <w:r w:rsidRPr="005234EE">
        <w:rPr>
          <w:rFonts w:ascii="Calibri" w:hAnsi="Calibri"/>
          <w:color w:val="000000" w:themeColor="text1"/>
          <w:sz w:val="24"/>
          <w:szCs w:val="24"/>
        </w:rPr>
        <w:t>42, pp.1723-</w:t>
      </w:r>
      <w:r w:rsidR="001B25DC" w:rsidRPr="005234EE">
        <w:rPr>
          <w:rFonts w:ascii="Calibri" w:hAnsi="Calibri"/>
          <w:color w:val="000000" w:themeColor="text1"/>
          <w:sz w:val="24"/>
          <w:szCs w:val="24"/>
        </w:rPr>
        <w:t>17</w:t>
      </w:r>
      <w:r w:rsidRPr="005234EE">
        <w:rPr>
          <w:rFonts w:ascii="Calibri" w:hAnsi="Calibri"/>
          <w:color w:val="000000" w:themeColor="text1"/>
          <w:sz w:val="24"/>
          <w:szCs w:val="24"/>
        </w:rPr>
        <w:t>38</w:t>
      </w:r>
      <w:r w:rsidR="001B25DC" w:rsidRPr="005234EE">
        <w:rPr>
          <w:rFonts w:ascii="Calibri" w:hAnsi="Calibri"/>
          <w:color w:val="000000" w:themeColor="text1"/>
          <w:sz w:val="24"/>
          <w:szCs w:val="24"/>
        </w:rPr>
        <w:t>.</w:t>
      </w:r>
    </w:p>
    <w:p w14:paraId="532D241F" w14:textId="77777777" w:rsidR="008E6E81" w:rsidRPr="005234EE" w:rsidRDefault="008E6E81" w:rsidP="000B6A12">
      <w:pPr>
        <w:pStyle w:val="BISReference"/>
        <w:ind w:left="-397" w:right="-397" w:firstLine="0"/>
        <w:rPr>
          <w:rFonts w:ascii="Calibri" w:hAnsi="Calibri"/>
          <w:color w:val="000000" w:themeColor="text1"/>
          <w:sz w:val="24"/>
          <w:szCs w:val="24"/>
        </w:rPr>
      </w:pPr>
    </w:p>
    <w:p w14:paraId="05CF9979" w14:textId="48C1A9FF" w:rsidR="008E6E81" w:rsidRPr="005234EE" w:rsidRDefault="008E6E81" w:rsidP="000B6A12">
      <w:pPr>
        <w:pStyle w:val="BISReference"/>
        <w:ind w:left="-397" w:right="-397" w:firstLine="0"/>
        <w:rPr>
          <w:rFonts w:ascii="Calibri" w:hAnsi="Calibri"/>
          <w:color w:val="000000" w:themeColor="text1"/>
          <w:sz w:val="24"/>
          <w:szCs w:val="24"/>
        </w:rPr>
      </w:pPr>
      <w:r w:rsidRPr="005234EE">
        <w:rPr>
          <w:rFonts w:ascii="Calibri" w:hAnsi="Calibri"/>
          <w:color w:val="000000" w:themeColor="text1"/>
          <w:sz w:val="24"/>
          <w:szCs w:val="24"/>
        </w:rPr>
        <w:t>Clasen, J.</w:t>
      </w:r>
      <w:r w:rsidR="001B25DC" w:rsidRPr="005234EE">
        <w:rPr>
          <w:rFonts w:ascii="Calibri" w:hAnsi="Calibri"/>
          <w:color w:val="000000" w:themeColor="text1"/>
          <w:sz w:val="24"/>
          <w:szCs w:val="24"/>
        </w:rPr>
        <w:t xml:space="preserve"> (2001)</w:t>
      </w:r>
      <w:r w:rsidRPr="005234EE">
        <w:rPr>
          <w:rFonts w:ascii="Calibri" w:hAnsi="Calibri"/>
          <w:color w:val="000000" w:themeColor="text1"/>
          <w:sz w:val="24"/>
          <w:szCs w:val="24"/>
        </w:rPr>
        <w:t xml:space="preserve"> </w:t>
      </w:r>
      <w:r w:rsidR="001B25DC" w:rsidRPr="005234EE">
        <w:rPr>
          <w:rFonts w:ascii="Calibri" w:hAnsi="Calibri"/>
          <w:color w:val="000000" w:themeColor="text1"/>
          <w:sz w:val="24"/>
          <w:szCs w:val="24"/>
        </w:rPr>
        <w:t>‘</w:t>
      </w:r>
      <w:r w:rsidRPr="005234EE">
        <w:rPr>
          <w:rFonts w:ascii="Calibri" w:hAnsi="Calibri"/>
          <w:color w:val="000000" w:themeColor="text1"/>
          <w:sz w:val="24"/>
          <w:szCs w:val="24"/>
        </w:rPr>
        <w:t xml:space="preserve">Social </w:t>
      </w:r>
      <w:r w:rsidR="001B25DC" w:rsidRPr="005234EE">
        <w:rPr>
          <w:rFonts w:ascii="Calibri" w:hAnsi="Calibri"/>
          <w:color w:val="000000" w:themeColor="text1"/>
          <w:sz w:val="24"/>
          <w:szCs w:val="24"/>
        </w:rPr>
        <w:t>i</w:t>
      </w:r>
      <w:r w:rsidRPr="005234EE">
        <w:rPr>
          <w:rFonts w:ascii="Calibri" w:hAnsi="Calibri"/>
          <w:color w:val="000000" w:themeColor="text1"/>
          <w:sz w:val="24"/>
          <w:szCs w:val="24"/>
        </w:rPr>
        <w:t xml:space="preserve">nsurance and the </w:t>
      </w:r>
      <w:r w:rsidR="001B25DC" w:rsidRPr="005234EE">
        <w:rPr>
          <w:rFonts w:ascii="Calibri" w:hAnsi="Calibri"/>
          <w:color w:val="000000" w:themeColor="text1"/>
          <w:sz w:val="24"/>
          <w:szCs w:val="24"/>
        </w:rPr>
        <w:t>c</w:t>
      </w:r>
      <w:r w:rsidRPr="005234EE">
        <w:rPr>
          <w:rFonts w:ascii="Calibri" w:hAnsi="Calibri"/>
          <w:color w:val="000000" w:themeColor="text1"/>
          <w:sz w:val="24"/>
          <w:szCs w:val="24"/>
        </w:rPr>
        <w:t xml:space="preserve">ontributory </w:t>
      </w:r>
      <w:r w:rsidR="001B25DC" w:rsidRPr="005234EE">
        <w:rPr>
          <w:rFonts w:ascii="Calibri" w:hAnsi="Calibri"/>
          <w:color w:val="000000" w:themeColor="text1"/>
          <w:sz w:val="24"/>
          <w:szCs w:val="24"/>
        </w:rPr>
        <w:t>p</w:t>
      </w:r>
      <w:r w:rsidRPr="005234EE">
        <w:rPr>
          <w:rFonts w:ascii="Calibri" w:hAnsi="Calibri"/>
          <w:color w:val="000000" w:themeColor="text1"/>
          <w:sz w:val="24"/>
          <w:szCs w:val="24"/>
        </w:rPr>
        <w:t xml:space="preserve">rinciple: A </w:t>
      </w:r>
      <w:r w:rsidR="001B25DC" w:rsidRPr="005234EE">
        <w:rPr>
          <w:rFonts w:ascii="Calibri" w:hAnsi="Calibri"/>
          <w:color w:val="000000" w:themeColor="text1"/>
          <w:sz w:val="24"/>
          <w:szCs w:val="24"/>
        </w:rPr>
        <w:t>p</w:t>
      </w:r>
      <w:r w:rsidRPr="005234EE">
        <w:rPr>
          <w:rFonts w:ascii="Calibri" w:hAnsi="Calibri"/>
          <w:color w:val="000000" w:themeColor="text1"/>
          <w:sz w:val="24"/>
          <w:szCs w:val="24"/>
        </w:rPr>
        <w:t xml:space="preserve">aradox in </w:t>
      </w:r>
      <w:r w:rsidR="001B25DC" w:rsidRPr="005234EE">
        <w:rPr>
          <w:rFonts w:ascii="Calibri" w:hAnsi="Calibri"/>
          <w:color w:val="000000" w:themeColor="text1"/>
          <w:sz w:val="24"/>
          <w:szCs w:val="24"/>
        </w:rPr>
        <w:t>c</w:t>
      </w:r>
      <w:r w:rsidRPr="005234EE">
        <w:rPr>
          <w:rFonts w:ascii="Calibri" w:hAnsi="Calibri"/>
          <w:color w:val="000000" w:themeColor="text1"/>
          <w:sz w:val="24"/>
          <w:szCs w:val="24"/>
        </w:rPr>
        <w:t xml:space="preserve">ontemporary British </w:t>
      </w:r>
      <w:r w:rsidR="001B25DC" w:rsidRPr="005234EE">
        <w:rPr>
          <w:rFonts w:ascii="Calibri" w:hAnsi="Calibri"/>
          <w:color w:val="000000" w:themeColor="text1"/>
          <w:sz w:val="24"/>
          <w:szCs w:val="24"/>
        </w:rPr>
        <w:t>s</w:t>
      </w:r>
      <w:r w:rsidRPr="005234EE">
        <w:rPr>
          <w:rFonts w:ascii="Calibri" w:hAnsi="Calibri"/>
          <w:color w:val="000000" w:themeColor="text1"/>
          <w:sz w:val="24"/>
          <w:szCs w:val="24"/>
        </w:rPr>
        <w:t xml:space="preserve">ocial </w:t>
      </w:r>
      <w:r w:rsidR="001B25DC" w:rsidRPr="005234EE">
        <w:rPr>
          <w:rFonts w:ascii="Calibri" w:hAnsi="Calibri"/>
          <w:color w:val="000000" w:themeColor="text1"/>
          <w:sz w:val="24"/>
          <w:szCs w:val="24"/>
        </w:rPr>
        <w:t>p</w:t>
      </w:r>
      <w:r w:rsidRPr="005234EE">
        <w:rPr>
          <w:rFonts w:ascii="Calibri" w:hAnsi="Calibri"/>
          <w:color w:val="000000" w:themeColor="text1"/>
          <w:sz w:val="24"/>
          <w:szCs w:val="24"/>
        </w:rPr>
        <w:t xml:space="preserve">olicy,” </w:t>
      </w:r>
      <w:r w:rsidRPr="005234EE">
        <w:rPr>
          <w:rFonts w:ascii="Calibri" w:hAnsi="Calibri"/>
          <w:i/>
          <w:color w:val="000000" w:themeColor="text1"/>
          <w:sz w:val="24"/>
          <w:szCs w:val="24"/>
        </w:rPr>
        <w:t>Social Policy and Administration</w:t>
      </w:r>
      <w:r w:rsidRPr="005234EE">
        <w:rPr>
          <w:rFonts w:ascii="Calibri" w:hAnsi="Calibri"/>
          <w:color w:val="000000" w:themeColor="text1"/>
          <w:sz w:val="24"/>
          <w:szCs w:val="24"/>
        </w:rPr>
        <w:t xml:space="preserve">, </w:t>
      </w:r>
      <w:r w:rsidR="001B25DC" w:rsidRPr="005234EE">
        <w:rPr>
          <w:rFonts w:ascii="Calibri" w:hAnsi="Calibri"/>
          <w:color w:val="000000" w:themeColor="text1"/>
          <w:sz w:val="24"/>
          <w:szCs w:val="24"/>
        </w:rPr>
        <w:t>Vo</w:t>
      </w:r>
      <w:r w:rsidR="00B3516C" w:rsidRPr="005234EE">
        <w:rPr>
          <w:rFonts w:ascii="Calibri" w:hAnsi="Calibri"/>
          <w:color w:val="000000" w:themeColor="text1"/>
          <w:sz w:val="24"/>
          <w:szCs w:val="24"/>
        </w:rPr>
        <w:t>l</w:t>
      </w:r>
      <w:r w:rsidR="001B25DC" w:rsidRPr="005234EE">
        <w:rPr>
          <w:rFonts w:ascii="Calibri" w:hAnsi="Calibri"/>
          <w:color w:val="000000" w:themeColor="text1"/>
          <w:sz w:val="24"/>
          <w:szCs w:val="24"/>
        </w:rPr>
        <w:t>. 35 No.</w:t>
      </w:r>
      <w:r w:rsidR="00B3516C" w:rsidRPr="005234EE">
        <w:rPr>
          <w:rFonts w:ascii="Calibri" w:hAnsi="Calibri"/>
          <w:color w:val="000000" w:themeColor="text1"/>
          <w:sz w:val="24"/>
          <w:szCs w:val="24"/>
        </w:rPr>
        <w:t xml:space="preserve"> </w:t>
      </w:r>
      <w:r w:rsidR="001B25DC" w:rsidRPr="005234EE">
        <w:rPr>
          <w:rFonts w:ascii="Calibri" w:hAnsi="Calibri"/>
          <w:color w:val="000000" w:themeColor="text1"/>
          <w:sz w:val="24"/>
          <w:szCs w:val="24"/>
        </w:rPr>
        <w:t>6, pp.</w:t>
      </w:r>
      <w:r w:rsidRPr="005234EE">
        <w:rPr>
          <w:rFonts w:ascii="Calibri" w:hAnsi="Calibri"/>
          <w:color w:val="000000" w:themeColor="text1"/>
          <w:sz w:val="24"/>
          <w:szCs w:val="24"/>
        </w:rPr>
        <w:t>641-657.</w:t>
      </w:r>
    </w:p>
    <w:p w14:paraId="083F7321" w14:textId="77777777" w:rsidR="008E6E81" w:rsidRPr="005234EE" w:rsidRDefault="008E6E81" w:rsidP="000B6A12">
      <w:pPr>
        <w:pStyle w:val="BISReference"/>
        <w:ind w:left="0" w:right="-397" w:firstLine="0"/>
        <w:rPr>
          <w:rFonts w:ascii="Calibri" w:hAnsi="Calibri"/>
          <w:color w:val="000000" w:themeColor="text1"/>
          <w:sz w:val="24"/>
          <w:szCs w:val="24"/>
        </w:rPr>
      </w:pPr>
    </w:p>
    <w:p w14:paraId="05306700" w14:textId="4096E9BC" w:rsidR="008E6E81" w:rsidRPr="00405FEE" w:rsidRDefault="008E6E81" w:rsidP="000B6A12">
      <w:pPr>
        <w:pStyle w:val="BISReference"/>
        <w:ind w:left="-397" w:right="-397" w:firstLine="0"/>
        <w:rPr>
          <w:rFonts w:asciiTheme="minorHAnsi" w:hAnsiTheme="minorHAnsi" w:cstheme="minorHAnsi"/>
          <w:color w:val="000000" w:themeColor="text1"/>
          <w:sz w:val="24"/>
          <w:szCs w:val="24"/>
        </w:rPr>
      </w:pPr>
      <w:r w:rsidRPr="005234EE">
        <w:rPr>
          <w:rFonts w:ascii="Calibri" w:hAnsi="Calibri"/>
          <w:color w:val="000000" w:themeColor="text1"/>
          <w:sz w:val="24"/>
          <w:szCs w:val="24"/>
        </w:rPr>
        <w:t>Clasen, J. and Clegg, D.</w:t>
      </w:r>
      <w:r w:rsidR="00AB0FD6" w:rsidRPr="005234EE">
        <w:rPr>
          <w:rFonts w:ascii="Calibri" w:hAnsi="Calibri"/>
          <w:color w:val="000000" w:themeColor="text1"/>
          <w:sz w:val="24"/>
          <w:szCs w:val="24"/>
        </w:rPr>
        <w:t xml:space="preserve"> (2006)</w:t>
      </w:r>
      <w:r w:rsidRPr="005234EE">
        <w:rPr>
          <w:rFonts w:ascii="Calibri" w:hAnsi="Calibri"/>
          <w:color w:val="000000" w:themeColor="text1"/>
          <w:sz w:val="24"/>
          <w:szCs w:val="24"/>
        </w:rPr>
        <w:t xml:space="preserve"> </w:t>
      </w:r>
      <w:r w:rsidR="00AB0FD6" w:rsidRPr="005234EE">
        <w:rPr>
          <w:rFonts w:ascii="Calibri" w:hAnsi="Calibri"/>
          <w:color w:val="000000" w:themeColor="text1"/>
          <w:sz w:val="24"/>
          <w:szCs w:val="24"/>
        </w:rPr>
        <w:t>‘</w:t>
      </w:r>
      <w:r w:rsidRPr="005234EE">
        <w:rPr>
          <w:rFonts w:ascii="Calibri" w:hAnsi="Calibri"/>
          <w:color w:val="000000" w:themeColor="text1"/>
          <w:sz w:val="24"/>
          <w:szCs w:val="24"/>
        </w:rPr>
        <w:t xml:space="preserve">Beyond </w:t>
      </w:r>
      <w:r w:rsidR="00AB0FD6" w:rsidRPr="005234EE">
        <w:rPr>
          <w:rFonts w:ascii="Calibri" w:hAnsi="Calibri"/>
          <w:color w:val="000000" w:themeColor="text1"/>
          <w:sz w:val="24"/>
          <w:szCs w:val="24"/>
        </w:rPr>
        <w:t>a</w:t>
      </w:r>
      <w:r w:rsidRPr="005234EE">
        <w:rPr>
          <w:rFonts w:ascii="Calibri" w:hAnsi="Calibri"/>
          <w:color w:val="000000" w:themeColor="text1"/>
          <w:sz w:val="24"/>
          <w:szCs w:val="24"/>
        </w:rPr>
        <w:t>ctivation</w:t>
      </w:r>
      <w:r w:rsidR="00AB0FD6" w:rsidRPr="005234EE">
        <w:rPr>
          <w:rFonts w:ascii="Calibri" w:hAnsi="Calibri"/>
          <w:color w:val="000000" w:themeColor="text1"/>
          <w:sz w:val="24"/>
          <w:szCs w:val="24"/>
        </w:rPr>
        <w:t xml:space="preserve">: Reforming European unemployment protection systems in post-industrial </w:t>
      </w:r>
      <w:r w:rsidR="00AB0FD6" w:rsidRPr="00405FEE">
        <w:rPr>
          <w:rFonts w:asciiTheme="minorHAnsi" w:hAnsiTheme="minorHAnsi" w:cstheme="minorHAnsi"/>
          <w:color w:val="000000" w:themeColor="text1"/>
          <w:sz w:val="24"/>
          <w:szCs w:val="24"/>
        </w:rPr>
        <w:t>labour markets’</w:t>
      </w:r>
      <w:r w:rsidRPr="00405FEE">
        <w:rPr>
          <w:rFonts w:asciiTheme="minorHAnsi" w:hAnsiTheme="minorHAnsi" w:cstheme="minorHAnsi"/>
          <w:color w:val="000000" w:themeColor="text1"/>
          <w:sz w:val="24"/>
          <w:szCs w:val="24"/>
        </w:rPr>
        <w:t xml:space="preserve">, </w:t>
      </w:r>
      <w:r w:rsidRPr="00405FEE">
        <w:rPr>
          <w:rFonts w:asciiTheme="minorHAnsi" w:hAnsiTheme="minorHAnsi" w:cstheme="minorHAnsi"/>
          <w:i/>
          <w:color w:val="000000" w:themeColor="text1"/>
          <w:sz w:val="24"/>
          <w:szCs w:val="24"/>
        </w:rPr>
        <w:t>European Societies</w:t>
      </w:r>
      <w:r w:rsidRPr="00405FEE">
        <w:rPr>
          <w:rFonts w:asciiTheme="minorHAnsi" w:hAnsiTheme="minorHAnsi" w:cstheme="minorHAnsi"/>
          <w:color w:val="000000" w:themeColor="text1"/>
          <w:sz w:val="24"/>
          <w:szCs w:val="24"/>
        </w:rPr>
        <w:t xml:space="preserve">, </w:t>
      </w:r>
      <w:r w:rsidR="00AB0FD6" w:rsidRPr="00405FEE">
        <w:rPr>
          <w:rFonts w:asciiTheme="minorHAnsi" w:hAnsiTheme="minorHAnsi" w:cstheme="minorHAnsi"/>
          <w:color w:val="000000" w:themeColor="text1"/>
          <w:sz w:val="24"/>
          <w:szCs w:val="24"/>
        </w:rPr>
        <w:t>Vol.</w:t>
      </w:r>
      <w:r w:rsidR="00B3516C" w:rsidRPr="00405FEE">
        <w:rPr>
          <w:rFonts w:asciiTheme="minorHAnsi" w:hAnsiTheme="minorHAnsi" w:cstheme="minorHAnsi"/>
          <w:color w:val="000000" w:themeColor="text1"/>
          <w:sz w:val="24"/>
          <w:szCs w:val="24"/>
        </w:rPr>
        <w:t xml:space="preserve"> </w:t>
      </w:r>
      <w:r w:rsidR="00AB0FD6" w:rsidRPr="00405FEE">
        <w:rPr>
          <w:rFonts w:asciiTheme="minorHAnsi" w:hAnsiTheme="minorHAnsi" w:cstheme="minorHAnsi"/>
          <w:color w:val="000000" w:themeColor="text1"/>
          <w:sz w:val="24"/>
          <w:szCs w:val="24"/>
        </w:rPr>
        <w:t>8 No.</w:t>
      </w:r>
      <w:r w:rsidR="00B3516C" w:rsidRPr="00405FEE">
        <w:rPr>
          <w:rFonts w:asciiTheme="minorHAnsi" w:hAnsiTheme="minorHAnsi" w:cstheme="minorHAnsi"/>
          <w:color w:val="000000" w:themeColor="text1"/>
          <w:sz w:val="24"/>
          <w:szCs w:val="24"/>
        </w:rPr>
        <w:t xml:space="preserve"> </w:t>
      </w:r>
      <w:r w:rsidR="00AB0FD6" w:rsidRPr="00405FEE">
        <w:rPr>
          <w:rFonts w:asciiTheme="minorHAnsi" w:hAnsiTheme="minorHAnsi" w:cstheme="minorHAnsi"/>
          <w:color w:val="000000" w:themeColor="text1"/>
          <w:sz w:val="24"/>
          <w:szCs w:val="24"/>
        </w:rPr>
        <w:t>4</w:t>
      </w:r>
      <w:r w:rsidRPr="00405FEE">
        <w:rPr>
          <w:rFonts w:asciiTheme="minorHAnsi" w:hAnsiTheme="minorHAnsi" w:cstheme="minorHAnsi"/>
          <w:color w:val="000000" w:themeColor="text1"/>
          <w:sz w:val="24"/>
          <w:szCs w:val="24"/>
        </w:rPr>
        <w:t xml:space="preserve">, </w:t>
      </w:r>
      <w:r w:rsidR="00AB0FD6" w:rsidRPr="00405FEE">
        <w:rPr>
          <w:rFonts w:asciiTheme="minorHAnsi" w:hAnsiTheme="minorHAnsi" w:cstheme="minorHAnsi"/>
          <w:color w:val="000000" w:themeColor="text1"/>
          <w:sz w:val="24"/>
          <w:szCs w:val="24"/>
        </w:rPr>
        <w:t>pp.</w:t>
      </w:r>
      <w:r w:rsidRPr="00405FEE">
        <w:rPr>
          <w:rFonts w:asciiTheme="minorHAnsi" w:hAnsiTheme="minorHAnsi" w:cstheme="minorHAnsi"/>
          <w:color w:val="000000" w:themeColor="text1"/>
          <w:sz w:val="24"/>
          <w:szCs w:val="24"/>
        </w:rPr>
        <w:t>527-553.</w:t>
      </w:r>
    </w:p>
    <w:p w14:paraId="2CEC0C58" w14:textId="77777777" w:rsidR="008E6E81" w:rsidRPr="00405FEE" w:rsidRDefault="008E6E81" w:rsidP="000B6A12">
      <w:pPr>
        <w:pStyle w:val="BISReference"/>
        <w:ind w:left="0" w:right="-397" w:firstLine="0"/>
        <w:rPr>
          <w:rFonts w:asciiTheme="minorHAnsi" w:eastAsiaTheme="minorHAnsi" w:hAnsiTheme="minorHAnsi" w:cstheme="minorHAnsi"/>
          <w:iCs/>
          <w:color w:val="000000" w:themeColor="text1"/>
          <w:sz w:val="24"/>
          <w:szCs w:val="24"/>
          <w:shd w:val="clear" w:color="auto" w:fill="FFFFFF"/>
          <w:lang w:eastAsia="en-US"/>
        </w:rPr>
      </w:pPr>
    </w:p>
    <w:p w14:paraId="76A25F49" w14:textId="6485AAB3" w:rsidR="008E6E81" w:rsidRPr="00405FEE" w:rsidRDefault="008E6E81" w:rsidP="000B6A12">
      <w:pPr>
        <w:pStyle w:val="BISReference"/>
        <w:ind w:left="-397" w:right="-397" w:firstLine="0"/>
        <w:rPr>
          <w:rFonts w:asciiTheme="minorHAnsi" w:eastAsiaTheme="minorHAnsi" w:hAnsiTheme="minorHAnsi" w:cstheme="minorHAnsi"/>
          <w:iCs/>
          <w:color w:val="000000" w:themeColor="text1"/>
          <w:sz w:val="24"/>
          <w:szCs w:val="24"/>
          <w:shd w:val="clear" w:color="auto" w:fill="FFFFFF"/>
          <w:lang w:eastAsia="en-US"/>
        </w:rPr>
      </w:pPr>
      <w:r w:rsidRPr="00405FEE">
        <w:rPr>
          <w:rFonts w:asciiTheme="minorHAnsi" w:eastAsiaTheme="minorHAnsi" w:hAnsiTheme="minorHAnsi" w:cstheme="minorHAnsi"/>
          <w:iCs/>
          <w:color w:val="000000" w:themeColor="text1"/>
          <w:sz w:val="24"/>
          <w:szCs w:val="24"/>
          <w:shd w:val="clear" w:color="auto" w:fill="FFFFFF"/>
          <w:lang w:eastAsia="en-US"/>
        </w:rPr>
        <w:t xml:space="preserve">Corneo, G. </w:t>
      </w:r>
      <w:r w:rsidR="00B3516C" w:rsidRPr="00405FEE">
        <w:rPr>
          <w:rFonts w:asciiTheme="minorHAnsi" w:eastAsiaTheme="minorHAnsi" w:hAnsiTheme="minorHAnsi" w:cstheme="minorHAnsi"/>
          <w:iCs/>
          <w:color w:val="000000" w:themeColor="text1"/>
          <w:sz w:val="24"/>
          <w:szCs w:val="24"/>
          <w:shd w:val="clear" w:color="auto" w:fill="FFFFFF"/>
          <w:lang w:eastAsia="en-US"/>
        </w:rPr>
        <w:t>(2014)</w:t>
      </w:r>
      <w:r w:rsidRPr="00405FEE">
        <w:rPr>
          <w:rFonts w:asciiTheme="minorHAnsi" w:eastAsiaTheme="minorHAnsi" w:hAnsiTheme="minorHAnsi" w:cstheme="minorHAnsi"/>
          <w:iCs/>
          <w:color w:val="000000" w:themeColor="text1"/>
          <w:sz w:val="24"/>
          <w:szCs w:val="24"/>
          <w:shd w:val="clear" w:color="auto" w:fill="FFFFFF"/>
          <w:lang w:eastAsia="en-US"/>
        </w:rPr>
        <w:t xml:space="preserve"> ‘Public </w:t>
      </w:r>
      <w:r w:rsidR="00B3516C" w:rsidRPr="00405FEE">
        <w:rPr>
          <w:rFonts w:asciiTheme="minorHAnsi" w:eastAsiaTheme="minorHAnsi" w:hAnsiTheme="minorHAnsi" w:cstheme="minorHAnsi"/>
          <w:iCs/>
          <w:color w:val="000000" w:themeColor="text1"/>
          <w:sz w:val="24"/>
          <w:szCs w:val="24"/>
          <w:shd w:val="clear" w:color="auto" w:fill="FFFFFF"/>
          <w:lang w:eastAsia="en-US"/>
        </w:rPr>
        <w:t>c</w:t>
      </w:r>
      <w:r w:rsidRPr="00405FEE">
        <w:rPr>
          <w:rFonts w:asciiTheme="minorHAnsi" w:eastAsiaTheme="minorHAnsi" w:hAnsiTheme="minorHAnsi" w:cstheme="minorHAnsi"/>
          <w:iCs/>
          <w:color w:val="000000" w:themeColor="text1"/>
          <w:sz w:val="24"/>
          <w:szCs w:val="24"/>
          <w:shd w:val="clear" w:color="auto" w:fill="FFFFFF"/>
          <w:lang w:eastAsia="en-US"/>
        </w:rPr>
        <w:t>apital in the 21</w:t>
      </w:r>
      <w:r w:rsidRPr="00405FEE">
        <w:rPr>
          <w:rFonts w:asciiTheme="minorHAnsi" w:eastAsiaTheme="minorHAnsi" w:hAnsiTheme="minorHAnsi" w:cstheme="minorHAnsi"/>
          <w:iCs/>
          <w:color w:val="000000" w:themeColor="text1"/>
          <w:sz w:val="24"/>
          <w:szCs w:val="24"/>
          <w:shd w:val="clear" w:color="auto" w:fill="FFFFFF"/>
          <w:vertAlign w:val="superscript"/>
          <w:lang w:eastAsia="en-US"/>
        </w:rPr>
        <w:t>st</w:t>
      </w:r>
      <w:r w:rsidRPr="00405FEE">
        <w:rPr>
          <w:rFonts w:asciiTheme="minorHAnsi" w:eastAsiaTheme="minorHAnsi" w:hAnsiTheme="minorHAnsi" w:cstheme="minorHAnsi"/>
          <w:iCs/>
          <w:color w:val="000000" w:themeColor="text1"/>
          <w:sz w:val="24"/>
          <w:szCs w:val="24"/>
          <w:shd w:val="clear" w:color="auto" w:fill="FFFFFF"/>
          <w:lang w:eastAsia="en-US"/>
        </w:rPr>
        <w:t xml:space="preserve"> </w:t>
      </w:r>
      <w:r w:rsidR="00B3516C" w:rsidRPr="00405FEE">
        <w:rPr>
          <w:rFonts w:asciiTheme="minorHAnsi" w:eastAsiaTheme="minorHAnsi" w:hAnsiTheme="minorHAnsi" w:cstheme="minorHAnsi"/>
          <w:iCs/>
          <w:color w:val="000000" w:themeColor="text1"/>
          <w:sz w:val="24"/>
          <w:szCs w:val="24"/>
          <w:shd w:val="clear" w:color="auto" w:fill="FFFFFF"/>
          <w:lang w:eastAsia="en-US"/>
        </w:rPr>
        <w:t>c</w:t>
      </w:r>
      <w:r w:rsidRPr="00405FEE">
        <w:rPr>
          <w:rFonts w:asciiTheme="minorHAnsi" w:eastAsiaTheme="minorHAnsi" w:hAnsiTheme="minorHAnsi" w:cstheme="minorHAnsi"/>
          <w:iCs/>
          <w:color w:val="000000" w:themeColor="text1"/>
          <w:sz w:val="24"/>
          <w:szCs w:val="24"/>
          <w:shd w:val="clear" w:color="auto" w:fill="FFFFFF"/>
          <w:lang w:eastAsia="en-US"/>
        </w:rPr>
        <w:t xml:space="preserve">entury’, </w:t>
      </w:r>
      <w:r w:rsidRPr="00405FEE">
        <w:rPr>
          <w:rFonts w:asciiTheme="minorHAnsi" w:eastAsiaTheme="minorHAnsi" w:hAnsiTheme="minorHAnsi" w:cstheme="minorHAnsi"/>
          <w:i/>
          <w:iCs/>
          <w:color w:val="000000" w:themeColor="text1"/>
          <w:sz w:val="24"/>
          <w:szCs w:val="24"/>
          <w:shd w:val="clear" w:color="auto" w:fill="FFFFFF"/>
          <w:lang w:eastAsia="en-US"/>
        </w:rPr>
        <w:t>Friedrich Ebert Stiftung Journal</w:t>
      </w:r>
      <w:r w:rsidR="00B3516C" w:rsidRPr="00405FEE">
        <w:rPr>
          <w:rFonts w:asciiTheme="minorHAnsi" w:eastAsiaTheme="minorHAnsi" w:hAnsiTheme="minorHAnsi" w:cstheme="minorHAnsi"/>
          <w:iCs/>
          <w:color w:val="000000" w:themeColor="text1"/>
          <w:sz w:val="24"/>
          <w:szCs w:val="24"/>
          <w:shd w:val="clear" w:color="auto" w:fill="FFFFFF"/>
          <w:lang w:eastAsia="en-US"/>
        </w:rPr>
        <w:t>, Research Essay No. 2</w:t>
      </w:r>
      <w:r w:rsidR="006D54CA" w:rsidRPr="00405FEE">
        <w:rPr>
          <w:rFonts w:asciiTheme="minorHAnsi" w:eastAsiaTheme="minorHAnsi" w:hAnsiTheme="minorHAnsi" w:cstheme="minorHAnsi"/>
          <w:iCs/>
          <w:color w:val="000000" w:themeColor="text1"/>
          <w:sz w:val="24"/>
          <w:szCs w:val="24"/>
          <w:shd w:val="clear" w:color="auto" w:fill="FFFFFF"/>
          <w:lang w:eastAsia="en-US"/>
        </w:rPr>
        <w:t>.</w:t>
      </w:r>
    </w:p>
    <w:p w14:paraId="4E2E731F" w14:textId="77777777" w:rsidR="008E6E81" w:rsidRPr="00405FEE" w:rsidRDefault="008E6E81" w:rsidP="000B6A12">
      <w:pPr>
        <w:pStyle w:val="BISReference"/>
        <w:ind w:left="-397" w:right="-397" w:firstLine="0"/>
        <w:rPr>
          <w:rFonts w:asciiTheme="minorHAnsi" w:eastAsiaTheme="minorHAnsi" w:hAnsiTheme="minorHAnsi" w:cstheme="minorHAnsi"/>
          <w:iCs/>
          <w:color w:val="000000" w:themeColor="text1"/>
          <w:sz w:val="24"/>
          <w:szCs w:val="24"/>
          <w:shd w:val="clear" w:color="auto" w:fill="FFFFFF"/>
          <w:lang w:eastAsia="en-US"/>
        </w:rPr>
      </w:pPr>
    </w:p>
    <w:p w14:paraId="670352FD" w14:textId="25F51C9C" w:rsidR="008E6E81" w:rsidRPr="00405FEE" w:rsidRDefault="008E6E81" w:rsidP="00F83C9B">
      <w:pPr>
        <w:pStyle w:val="BISReference"/>
        <w:ind w:left="-397" w:right="-397" w:firstLine="0"/>
        <w:outlineLvl w:val="0"/>
        <w:rPr>
          <w:rFonts w:asciiTheme="minorHAnsi" w:eastAsiaTheme="minorHAnsi" w:hAnsiTheme="minorHAnsi" w:cstheme="minorHAnsi"/>
          <w:iCs/>
          <w:color w:val="000000" w:themeColor="text1"/>
          <w:sz w:val="24"/>
          <w:szCs w:val="24"/>
          <w:shd w:val="clear" w:color="auto" w:fill="FFFFFF"/>
          <w:lang w:eastAsia="en-US"/>
        </w:rPr>
      </w:pPr>
      <w:r w:rsidRPr="00405FEE">
        <w:rPr>
          <w:rFonts w:asciiTheme="minorHAnsi" w:eastAsiaTheme="minorHAnsi" w:hAnsiTheme="minorHAnsi" w:cstheme="minorHAnsi"/>
          <w:iCs/>
          <w:color w:val="000000" w:themeColor="text1"/>
          <w:sz w:val="24"/>
          <w:szCs w:val="24"/>
          <w:shd w:val="clear" w:color="auto" w:fill="FFFFFF"/>
          <w:lang w:eastAsia="en-US"/>
        </w:rPr>
        <w:t xml:space="preserve">Crouch, C. </w:t>
      </w:r>
      <w:r w:rsidR="00B3516C" w:rsidRPr="00405FEE">
        <w:rPr>
          <w:rFonts w:asciiTheme="minorHAnsi" w:eastAsiaTheme="minorHAnsi" w:hAnsiTheme="minorHAnsi" w:cstheme="minorHAnsi"/>
          <w:iCs/>
          <w:color w:val="000000" w:themeColor="text1"/>
          <w:sz w:val="24"/>
          <w:szCs w:val="24"/>
          <w:shd w:val="clear" w:color="auto" w:fill="FFFFFF"/>
          <w:lang w:eastAsia="en-US"/>
        </w:rPr>
        <w:t>(2011)</w:t>
      </w:r>
      <w:r w:rsidRPr="00405FEE">
        <w:rPr>
          <w:rFonts w:asciiTheme="minorHAnsi" w:eastAsiaTheme="minorHAnsi" w:hAnsiTheme="minorHAnsi" w:cstheme="minorHAnsi"/>
          <w:iCs/>
          <w:color w:val="000000" w:themeColor="text1"/>
          <w:sz w:val="24"/>
          <w:szCs w:val="24"/>
          <w:shd w:val="clear" w:color="auto" w:fill="FFFFFF"/>
          <w:lang w:eastAsia="en-US"/>
        </w:rPr>
        <w:t xml:space="preserve"> </w:t>
      </w:r>
      <w:r w:rsidRPr="00405FEE">
        <w:rPr>
          <w:rFonts w:asciiTheme="minorHAnsi" w:eastAsiaTheme="minorHAnsi" w:hAnsiTheme="minorHAnsi" w:cstheme="minorHAnsi"/>
          <w:i/>
          <w:iCs/>
          <w:color w:val="000000" w:themeColor="text1"/>
          <w:sz w:val="24"/>
          <w:szCs w:val="24"/>
          <w:shd w:val="clear" w:color="auto" w:fill="FFFFFF"/>
          <w:lang w:eastAsia="en-US"/>
        </w:rPr>
        <w:t>The Strange Non-Death of Neo-Liberalism</w:t>
      </w:r>
      <w:r w:rsidRPr="00405FEE">
        <w:rPr>
          <w:rFonts w:asciiTheme="minorHAnsi" w:eastAsiaTheme="minorHAnsi" w:hAnsiTheme="minorHAnsi" w:cstheme="minorHAnsi"/>
          <w:iCs/>
          <w:color w:val="000000" w:themeColor="text1"/>
          <w:sz w:val="24"/>
          <w:szCs w:val="24"/>
          <w:shd w:val="clear" w:color="auto" w:fill="FFFFFF"/>
          <w:lang w:eastAsia="en-US"/>
        </w:rPr>
        <w:t>, Polity</w:t>
      </w:r>
      <w:r w:rsidR="00B3516C" w:rsidRPr="00405FEE">
        <w:rPr>
          <w:rFonts w:asciiTheme="minorHAnsi" w:eastAsiaTheme="minorHAnsi" w:hAnsiTheme="minorHAnsi" w:cstheme="minorHAnsi"/>
          <w:iCs/>
          <w:color w:val="000000" w:themeColor="text1"/>
          <w:sz w:val="24"/>
          <w:szCs w:val="24"/>
          <w:shd w:val="clear" w:color="auto" w:fill="FFFFFF"/>
          <w:lang w:eastAsia="en-US"/>
        </w:rPr>
        <w:t>, Cambridge</w:t>
      </w:r>
      <w:r w:rsidRPr="00405FEE">
        <w:rPr>
          <w:rFonts w:asciiTheme="minorHAnsi" w:eastAsiaTheme="minorHAnsi" w:hAnsiTheme="minorHAnsi" w:cstheme="minorHAnsi"/>
          <w:iCs/>
          <w:color w:val="000000" w:themeColor="text1"/>
          <w:sz w:val="24"/>
          <w:szCs w:val="24"/>
          <w:shd w:val="clear" w:color="auto" w:fill="FFFFFF"/>
          <w:lang w:eastAsia="en-US"/>
        </w:rPr>
        <w:t>.</w:t>
      </w:r>
    </w:p>
    <w:p w14:paraId="1EB5CCFC" w14:textId="639D78F6" w:rsidR="008E6E81" w:rsidRPr="00405FEE" w:rsidRDefault="008E6E81" w:rsidP="000B6A12">
      <w:pPr>
        <w:pStyle w:val="BISReference"/>
        <w:ind w:left="0" w:right="-397" w:firstLine="0"/>
        <w:rPr>
          <w:rFonts w:asciiTheme="minorHAnsi" w:eastAsiaTheme="minorHAnsi" w:hAnsiTheme="minorHAnsi" w:cstheme="minorHAnsi"/>
          <w:color w:val="000000" w:themeColor="text1"/>
          <w:sz w:val="24"/>
          <w:szCs w:val="24"/>
          <w:lang w:eastAsia="en-US"/>
        </w:rPr>
      </w:pPr>
    </w:p>
    <w:p w14:paraId="3F85B364" w14:textId="381F71CB" w:rsidR="008E6E81" w:rsidRPr="00405FEE" w:rsidRDefault="008E6E81" w:rsidP="000B6A12">
      <w:pPr>
        <w:pStyle w:val="BISReference"/>
        <w:ind w:left="-397" w:right="-397" w:firstLine="0"/>
        <w:rPr>
          <w:rFonts w:asciiTheme="minorHAnsi" w:eastAsiaTheme="minorHAnsi" w:hAnsiTheme="minorHAnsi" w:cstheme="minorHAnsi"/>
          <w:color w:val="000000" w:themeColor="text1"/>
          <w:sz w:val="24"/>
          <w:szCs w:val="24"/>
          <w:lang w:eastAsia="en-US"/>
        </w:rPr>
      </w:pPr>
      <w:r w:rsidRPr="00405FEE">
        <w:rPr>
          <w:rFonts w:asciiTheme="minorHAnsi" w:eastAsiaTheme="minorHAnsi" w:hAnsiTheme="minorHAnsi" w:cstheme="minorHAnsi"/>
          <w:color w:val="000000" w:themeColor="text1"/>
          <w:sz w:val="24"/>
          <w:szCs w:val="24"/>
          <w:lang w:eastAsia="en-US"/>
        </w:rPr>
        <w:t>Cumbers, A.</w:t>
      </w:r>
      <w:r w:rsidR="00F32EEA" w:rsidRPr="00405FEE">
        <w:rPr>
          <w:rFonts w:asciiTheme="minorHAnsi" w:eastAsiaTheme="minorHAnsi" w:hAnsiTheme="minorHAnsi" w:cstheme="minorHAnsi"/>
          <w:color w:val="000000" w:themeColor="text1"/>
          <w:sz w:val="24"/>
          <w:szCs w:val="24"/>
          <w:lang w:eastAsia="en-US"/>
        </w:rPr>
        <w:t xml:space="preserve"> (2014) </w:t>
      </w:r>
      <w:r w:rsidRPr="00405FEE">
        <w:rPr>
          <w:rFonts w:asciiTheme="minorHAnsi" w:eastAsiaTheme="minorHAnsi" w:hAnsiTheme="minorHAnsi" w:cstheme="minorHAnsi"/>
          <w:i/>
          <w:color w:val="000000" w:themeColor="text1"/>
          <w:sz w:val="24"/>
          <w:szCs w:val="24"/>
          <w:lang w:eastAsia="en-US"/>
        </w:rPr>
        <w:t>Renewing Public Ownership: Constructing a Democratic Economy in the Twenty-First Century</w:t>
      </w:r>
      <w:r w:rsidRPr="00405FEE">
        <w:rPr>
          <w:rFonts w:asciiTheme="minorHAnsi" w:eastAsiaTheme="minorHAnsi" w:hAnsiTheme="minorHAnsi" w:cstheme="minorHAnsi"/>
          <w:color w:val="000000" w:themeColor="text1"/>
          <w:sz w:val="24"/>
          <w:szCs w:val="24"/>
          <w:lang w:eastAsia="en-US"/>
        </w:rPr>
        <w:t xml:space="preserve">, Centre for </w:t>
      </w:r>
      <w:r w:rsidR="00F32EEA" w:rsidRPr="00405FEE">
        <w:rPr>
          <w:rFonts w:asciiTheme="minorHAnsi" w:eastAsiaTheme="minorHAnsi" w:hAnsiTheme="minorHAnsi" w:cstheme="minorHAnsi"/>
          <w:color w:val="000000" w:themeColor="text1"/>
          <w:sz w:val="24"/>
          <w:szCs w:val="24"/>
          <w:lang w:eastAsia="en-US"/>
        </w:rPr>
        <w:t>Labour</w:t>
      </w:r>
      <w:r w:rsidRPr="00405FEE">
        <w:rPr>
          <w:rFonts w:asciiTheme="minorHAnsi" w:eastAsiaTheme="minorHAnsi" w:hAnsiTheme="minorHAnsi" w:cstheme="minorHAnsi"/>
          <w:color w:val="000000" w:themeColor="text1"/>
          <w:sz w:val="24"/>
          <w:szCs w:val="24"/>
          <w:lang w:eastAsia="en-US"/>
        </w:rPr>
        <w:t xml:space="preserve"> and Social Studies</w:t>
      </w:r>
      <w:r w:rsidR="00E35136" w:rsidRPr="00405FEE">
        <w:rPr>
          <w:rFonts w:asciiTheme="minorHAnsi" w:eastAsiaTheme="minorHAnsi" w:hAnsiTheme="minorHAnsi" w:cstheme="minorHAnsi"/>
          <w:color w:val="000000" w:themeColor="text1"/>
          <w:sz w:val="24"/>
          <w:szCs w:val="24"/>
          <w:lang w:eastAsia="en-US"/>
        </w:rPr>
        <w:t>, London.</w:t>
      </w:r>
    </w:p>
    <w:p w14:paraId="295D52BD" w14:textId="05E647B6" w:rsidR="00405FEE" w:rsidRPr="00405FEE" w:rsidRDefault="00405FEE" w:rsidP="000B6A12">
      <w:pPr>
        <w:pStyle w:val="BISReference"/>
        <w:ind w:left="-397" w:right="-397" w:firstLine="0"/>
        <w:rPr>
          <w:rFonts w:asciiTheme="minorHAnsi" w:eastAsiaTheme="minorHAnsi" w:hAnsiTheme="minorHAnsi" w:cstheme="minorHAnsi"/>
          <w:color w:val="000000" w:themeColor="text1"/>
          <w:sz w:val="24"/>
          <w:szCs w:val="24"/>
          <w:lang w:eastAsia="en-US"/>
        </w:rPr>
      </w:pPr>
    </w:p>
    <w:p w14:paraId="6E59BAA0" w14:textId="022BB53F" w:rsidR="00405FEE" w:rsidRPr="00405FEE" w:rsidRDefault="00405FEE" w:rsidP="000B6A12">
      <w:pPr>
        <w:pStyle w:val="BISReference"/>
        <w:ind w:left="-397" w:right="-397" w:firstLine="0"/>
        <w:rPr>
          <w:rFonts w:asciiTheme="minorHAnsi" w:eastAsiaTheme="minorHAnsi" w:hAnsiTheme="minorHAnsi" w:cstheme="minorHAnsi"/>
          <w:color w:val="000000" w:themeColor="text1"/>
          <w:sz w:val="24"/>
          <w:szCs w:val="24"/>
          <w:lang w:eastAsia="en-US"/>
        </w:rPr>
      </w:pPr>
      <w:r w:rsidRPr="00405FEE">
        <w:rPr>
          <w:rFonts w:asciiTheme="minorHAnsi" w:hAnsiTheme="minorHAnsi" w:cstheme="minorHAnsi"/>
          <w:sz w:val="24"/>
          <w:szCs w:val="24"/>
        </w:rPr>
        <w:t xml:space="preserve">Cumbers, A. 2012 </w:t>
      </w:r>
      <w:r w:rsidRPr="00405FEE">
        <w:rPr>
          <w:rFonts w:asciiTheme="minorHAnsi" w:hAnsiTheme="minorHAnsi" w:cstheme="minorHAnsi"/>
          <w:i/>
          <w:sz w:val="24"/>
          <w:szCs w:val="24"/>
        </w:rPr>
        <w:t>Reclaiming Public Ownership: Making Space for Public Ownership</w:t>
      </w:r>
      <w:r w:rsidRPr="00405FEE">
        <w:rPr>
          <w:rFonts w:asciiTheme="minorHAnsi" w:hAnsiTheme="minorHAnsi" w:cstheme="minorHAnsi"/>
          <w:sz w:val="24"/>
          <w:szCs w:val="24"/>
        </w:rPr>
        <w:t>, Zed Books, London</w:t>
      </w:r>
    </w:p>
    <w:p w14:paraId="073FE6FD" w14:textId="77777777" w:rsidR="008E6E81" w:rsidRPr="00405FEE" w:rsidRDefault="008E6E81" w:rsidP="000B6A12">
      <w:pPr>
        <w:pStyle w:val="BISReference"/>
        <w:ind w:left="-397" w:right="-397" w:firstLine="0"/>
        <w:rPr>
          <w:rFonts w:asciiTheme="minorHAnsi" w:eastAsiaTheme="minorHAnsi" w:hAnsiTheme="minorHAnsi" w:cstheme="minorHAnsi"/>
          <w:color w:val="000000" w:themeColor="text1"/>
          <w:sz w:val="24"/>
          <w:szCs w:val="24"/>
          <w:lang w:eastAsia="en-US"/>
        </w:rPr>
      </w:pPr>
    </w:p>
    <w:p w14:paraId="73331F56" w14:textId="5BBFDD6A" w:rsidR="000B6A12" w:rsidRPr="00405FEE" w:rsidRDefault="000B6A12" w:rsidP="000B6A12">
      <w:pPr>
        <w:pStyle w:val="BISReference"/>
        <w:ind w:left="-397" w:right="-397" w:firstLine="0"/>
        <w:rPr>
          <w:rFonts w:asciiTheme="minorHAnsi" w:eastAsiaTheme="minorHAnsi" w:hAnsiTheme="minorHAnsi" w:cstheme="minorHAnsi"/>
          <w:color w:val="000000" w:themeColor="text1"/>
          <w:sz w:val="24"/>
          <w:szCs w:val="24"/>
          <w:lang w:eastAsia="en-US"/>
        </w:rPr>
      </w:pPr>
      <w:r w:rsidRPr="00405FEE">
        <w:rPr>
          <w:rFonts w:asciiTheme="minorHAnsi" w:eastAsiaTheme="minorHAnsi" w:hAnsiTheme="minorHAnsi" w:cstheme="minorHAnsi"/>
          <w:color w:val="000000" w:themeColor="text1"/>
          <w:sz w:val="24"/>
          <w:szCs w:val="24"/>
          <w:lang w:eastAsia="en-US"/>
        </w:rPr>
        <w:t xml:space="preserve">Cummine, A. </w:t>
      </w:r>
      <w:r w:rsidR="00F32EEA" w:rsidRPr="00405FEE">
        <w:rPr>
          <w:rFonts w:asciiTheme="minorHAnsi" w:eastAsiaTheme="minorHAnsi" w:hAnsiTheme="minorHAnsi" w:cstheme="minorHAnsi"/>
          <w:color w:val="000000" w:themeColor="text1"/>
          <w:sz w:val="24"/>
          <w:szCs w:val="24"/>
          <w:lang w:eastAsia="en-US"/>
        </w:rPr>
        <w:t>(2016)</w:t>
      </w:r>
      <w:r w:rsidRPr="00405FEE">
        <w:rPr>
          <w:rFonts w:asciiTheme="minorHAnsi" w:eastAsiaTheme="minorHAnsi" w:hAnsiTheme="minorHAnsi" w:cstheme="minorHAnsi"/>
          <w:color w:val="000000" w:themeColor="text1"/>
          <w:sz w:val="24"/>
          <w:szCs w:val="24"/>
          <w:lang w:eastAsia="en-US"/>
        </w:rPr>
        <w:t xml:space="preserve"> </w:t>
      </w:r>
      <w:r w:rsidRPr="00405FEE">
        <w:rPr>
          <w:rFonts w:asciiTheme="minorHAnsi" w:eastAsiaTheme="minorHAnsi" w:hAnsiTheme="minorHAnsi" w:cstheme="minorHAnsi"/>
          <w:i/>
          <w:color w:val="000000" w:themeColor="text1"/>
          <w:sz w:val="24"/>
          <w:szCs w:val="24"/>
          <w:lang w:eastAsia="en-US"/>
        </w:rPr>
        <w:t>Citizens’ Wealth</w:t>
      </w:r>
      <w:r w:rsidR="00F32EEA" w:rsidRPr="00405FEE">
        <w:rPr>
          <w:rFonts w:asciiTheme="minorHAnsi" w:eastAsiaTheme="minorHAnsi" w:hAnsiTheme="minorHAnsi" w:cstheme="minorHAnsi"/>
          <w:i/>
          <w:color w:val="000000" w:themeColor="text1"/>
          <w:sz w:val="24"/>
          <w:szCs w:val="24"/>
          <w:lang w:eastAsia="en-US"/>
        </w:rPr>
        <w:t>: Why (and How) Sovereign Funds Should Be Managed</w:t>
      </w:r>
      <w:r w:rsidRPr="00405FEE">
        <w:rPr>
          <w:rFonts w:asciiTheme="minorHAnsi" w:eastAsiaTheme="minorHAnsi" w:hAnsiTheme="minorHAnsi" w:cstheme="minorHAnsi"/>
          <w:color w:val="000000" w:themeColor="text1"/>
          <w:sz w:val="24"/>
          <w:szCs w:val="24"/>
          <w:lang w:eastAsia="en-US"/>
        </w:rPr>
        <w:t>, Yale University Press</w:t>
      </w:r>
      <w:r w:rsidR="00F32EEA" w:rsidRPr="00405FEE">
        <w:rPr>
          <w:rFonts w:asciiTheme="minorHAnsi" w:eastAsiaTheme="minorHAnsi" w:hAnsiTheme="minorHAnsi" w:cstheme="minorHAnsi"/>
          <w:color w:val="000000" w:themeColor="text1"/>
          <w:sz w:val="24"/>
          <w:szCs w:val="24"/>
          <w:lang w:eastAsia="en-US"/>
        </w:rPr>
        <w:t>, New Haven</w:t>
      </w:r>
      <w:r w:rsidRPr="00405FEE">
        <w:rPr>
          <w:rFonts w:asciiTheme="minorHAnsi" w:eastAsiaTheme="minorHAnsi" w:hAnsiTheme="minorHAnsi" w:cstheme="minorHAnsi"/>
          <w:color w:val="000000" w:themeColor="text1"/>
          <w:sz w:val="24"/>
          <w:szCs w:val="24"/>
          <w:lang w:eastAsia="en-US"/>
        </w:rPr>
        <w:t>.</w:t>
      </w:r>
    </w:p>
    <w:p w14:paraId="0B460A93" w14:textId="77777777" w:rsidR="000B6A12" w:rsidRPr="00405FEE" w:rsidRDefault="000B6A12" w:rsidP="000B6A12">
      <w:pPr>
        <w:pStyle w:val="BISReference"/>
        <w:ind w:left="-397" w:right="-397" w:firstLine="0"/>
        <w:rPr>
          <w:rFonts w:asciiTheme="minorHAnsi" w:eastAsiaTheme="minorHAnsi" w:hAnsiTheme="minorHAnsi" w:cstheme="minorHAnsi"/>
          <w:color w:val="000000" w:themeColor="text1"/>
          <w:sz w:val="24"/>
          <w:szCs w:val="24"/>
          <w:lang w:eastAsia="en-US"/>
        </w:rPr>
      </w:pPr>
    </w:p>
    <w:p w14:paraId="678AFF03" w14:textId="1F1D0217" w:rsidR="0034756B" w:rsidRPr="00766F73" w:rsidRDefault="0034756B" w:rsidP="0034756B">
      <w:pPr>
        <w:ind w:left="-397" w:right="-397"/>
        <w:rPr>
          <w:rFonts w:asciiTheme="minorHAnsi" w:hAnsiTheme="minorHAnsi" w:cstheme="minorHAnsi"/>
          <w:color w:val="000000" w:themeColor="text1"/>
          <w:lang w:val="da-DK"/>
        </w:rPr>
      </w:pPr>
      <w:r w:rsidRPr="00766F73">
        <w:rPr>
          <w:rFonts w:asciiTheme="minorHAnsi" w:hAnsiTheme="minorHAnsi" w:cstheme="minorHAnsi"/>
          <w:color w:val="000000" w:themeColor="text1"/>
          <w:lang w:val="da-DK"/>
        </w:rPr>
        <w:t xml:space="preserve">Danmarks Statistik (2016) </w:t>
      </w:r>
      <w:r w:rsidRPr="00766F73">
        <w:rPr>
          <w:rFonts w:asciiTheme="minorHAnsi" w:hAnsiTheme="minorHAnsi" w:cstheme="minorHAnsi"/>
          <w:i/>
          <w:color w:val="000000" w:themeColor="text1"/>
          <w:lang w:val="da-DK"/>
        </w:rPr>
        <w:t>Statistisk Årbog 2016</w:t>
      </w:r>
      <w:r w:rsidRPr="00766F73">
        <w:rPr>
          <w:rFonts w:asciiTheme="minorHAnsi" w:hAnsiTheme="minorHAnsi" w:cstheme="minorHAnsi"/>
          <w:color w:val="000000" w:themeColor="text1"/>
          <w:lang w:val="da-DK"/>
        </w:rPr>
        <w:t>, Danmarks Statistik, København. http://www.dst.dk/Site/Dst/Udgivelser/GetPubFile.as</w:t>
      </w:r>
      <w:r w:rsidR="00DA4000" w:rsidRPr="00766F73">
        <w:rPr>
          <w:rFonts w:asciiTheme="minorHAnsi" w:hAnsiTheme="minorHAnsi" w:cstheme="minorHAnsi"/>
          <w:color w:val="000000" w:themeColor="text1"/>
          <w:lang w:val="da-DK"/>
        </w:rPr>
        <w:t xml:space="preserve">px?id=22258&amp;sid=staa (Accessed </w:t>
      </w:r>
      <w:r w:rsidRPr="00766F73">
        <w:rPr>
          <w:rFonts w:asciiTheme="minorHAnsi" w:hAnsiTheme="minorHAnsi" w:cstheme="minorHAnsi"/>
          <w:color w:val="000000" w:themeColor="text1"/>
          <w:lang w:val="da-DK"/>
        </w:rPr>
        <w:t>)</w:t>
      </w:r>
    </w:p>
    <w:p w14:paraId="5A6616E4" w14:textId="77777777" w:rsidR="0034756B" w:rsidRPr="00766F73" w:rsidRDefault="0034756B" w:rsidP="0034756B">
      <w:pPr>
        <w:ind w:left="-397" w:right="-397"/>
        <w:rPr>
          <w:rFonts w:asciiTheme="minorHAnsi" w:hAnsiTheme="minorHAnsi" w:cstheme="minorHAnsi"/>
          <w:color w:val="000000" w:themeColor="text1"/>
          <w:lang w:val="da-DK"/>
        </w:rPr>
      </w:pPr>
    </w:p>
    <w:p w14:paraId="50C45795" w14:textId="2BE6D0FA" w:rsidR="00070B3D" w:rsidRPr="0075417D" w:rsidRDefault="008E6E81" w:rsidP="000B6A12">
      <w:pPr>
        <w:pStyle w:val="BISReference"/>
        <w:ind w:left="-397" w:right="-397" w:firstLine="0"/>
        <w:rPr>
          <w:rFonts w:asciiTheme="minorHAnsi" w:eastAsiaTheme="minorHAnsi" w:hAnsiTheme="minorHAnsi" w:cstheme="minorHAnsi"/>
          <w:color w:val="000000" w:themeColor="text1"/>
          <w:sz w:val="24"/>
          <w:szCs w:val="24"/>
          <w:lang w:eastAsia="en-US"/>
        </w:rPr>
      </w:pPr>
      <w:r w:rsidRPr="0075417D">
        <w:rPr>
          <w:rFonts w:asciiTheme="minorHAnsi" w:eastAsiaTheme="minorHAnsi" w:hAnsiTheme="minorHAnsi" w:cstheme="minorHAnsi"/>
          <w:color w:val="000000" w:themeColor="text1"/>
          <w:sz w:val="24"/>
          <w:szCs w:val="24"/>
          <w:lang w:eastAsia="en-US"/>
        </w:rPr>
        <w:t xml:space="preserve">Deeg, R. </w:t>
      </w:r>
      <w:r w:rsidR="00F32EEA" w:rsidRPr="0075417D">
        <w:rPr>
          <w:rFonts w:asciiTheme="minorHAnsi" w:eastAsiaTheme="minorHAnsi" w:hAnsiTheme="minorHAnsi" w:cstheme="minorHAnsi"/>
          <w:color w:val="000000" w:themeColor="text1"/>
          <w:sz w:val="24"/>
          <w:szCs w:val="24"/>
          <w:lang w:eastAsia="en-US"/>
        </w:rPr>
        <w:t>(2005) ‘</w:t>
      </w:r>
      <w:r w:rsidRPr="0075417D">
        <w:rPr>
          <w:rFonts w:asciiTheme="minorHAnsi" w:eastAsiaTheme="minorHAnsi" w:hAnsiTheme="minorHAnsi" w:cstheme="minorHAnsi"/>
          <w:color w:val="000000" w:themeColor="text1"/>
          <w:sz w:val="24"/>
          <w:szCs w:val="24"/>
          <w:lang w:eastAsia="en-US"/>
        </w:rPr>
        <w:t xml:space="preserve">Change from </w:t>
      </w:r>
      <w:r w:rsidR="00F32EEA" w:rsidRPr="0075417D">
        <w:rPr>
          <w:rFonts w:asciiTheme="minorHAnsi" w:eastAsiaTheme="minorHAnsi" w:hAnsiTheme="minorHAnsi" w:cstheme="minorHAnsi"/>
          <w:color w:val="000000" w:themeColor="text1"/>
          <w:sz w:val="24"/>
          <w:szCs w:val="24"/>
          <w:lang w:eastAsia="en-US"/>
        </w:rPr>
        <w:t>w</w:t>
      </w:r>
      <w:r w:rsidRPr="0075417D">
        <w:rPr>
          <w:rFonts w:asciiTheme="minorHAnsi" w:eastAsiaTheme="minorHAnsi" w:hAnsiTheme="minorHAnsi" w:cstheme="minorHAnsi"/>
          <w:color w:val="000000" w:themeColor="text1"/>
          <w:sz w:val="24"/>
          <w:szCs w:val="24"/>
          <w:lang w:eastAsia="en-US"/>
        </w:rPr>
        <w:t xml:space="preserve">ithin: German and Italian </w:t>
      </w:r>
      <w:r w:rsidR="00F32EEA" w:rsidRPr="0075417D">
        <w:rPr>
          <w:rFonts w:asciiTheme="minorHAnsi" w:eastAsiaTheme="minorHAnsi" w:hAnsiTheme="minorHAnsi" w:cstheme="minorHAnsi"/>
          <w:color w:val="000000" w:themeColor="text1"/>
          <w:sz w:val="24"/>
          <w:szCs w:val="24"/>
          <w:lang w:eastAsia="en-US"/>
        </w:rPr>
        <w:t>finance in the 1990s’,</w:t>
      </w:r>
      <w:r w:rsidRPr="0075417D">
        <w:rPr>
          <w:rFonts w:asciiTheme="minorHAnsi" w:eastAsiaTheme="minorHAnsi" w:hAnsiTheme="minorHAnsi" w:cstheme="minorHAnsi"/>
          <w:color w:val="000000" w:themeColor="text1"/>
          <w:sz w:val="24"/>
          <w:szCs w:val="24"/>
          <w:lang w:eastAsia="en-US"/>
        </w:rPr>
        <w:t xml:space="preserve"> in </w:t>
      </w:r>
      <w:r w:rsidR="00165EB6" w:rsidRPr="0075417D">
        <w:rPr>
          <w:rFonts w:asciiTheme="minorHAnsi" w:eastAsiaTheme="minorHAnsi" w:hAnsiTheme="minorHAnsi" w:cstheme="minorHAnsi"/>
          <w:color w:val="000000" w:themeColor="text1"/>
          <w:sz w:val="24"/>
          <w:szCs w:val="24"/>
          <w:lang w:eastAsia="en-US"/>
        </w:rPr>
        <w:t xml:space="preserve">Streeck, W. and Thelen, K. (Eds.), </w:t>
      </w:r>
      <w:r w:rsidRPr="0075417D">
        <w:rPr>
          <w:rFonts w:asciiTheme="minorHAnsi" w:eastAsiaTheme="minorHAnsi" w:hAnsiTheme="minorHAnsi" w:cstheme="minorHAnsi"/>
          <w:i/>
          <w:color w:val="000000" w:themeColor="text1"/>
          <w:sz w:val="24"/>
          <w:szCs w:val="24"/>
          <w:lang w:eastAsia="en-US"/>
        </w:rPr>
        <w:t>Beyond Continuity</w:t>
      </w:r>
      <w:r w:rsidR="00F32EEA" w:rsidRPr="0075417D">
        <w:rPr>
          <w:rFonts w:asciiTheme="minorHAnsi" w:eastAsiaTheme="minorHAnsi" w:hAnsiTheme="minorHAnsi" w:cstheme="minorHAnsi"/>
          <w:i/>
          <w:color w:val="000000" w:themeColor="text1"/>
          <w:sz w:val="24"/>
          <w:szCs w:val="24"/>
          <w:lang w:eastAsia="en-US"/>
        </w:rPr>
        <w:t>: Institutional Change in Advanced Political Economies</w:t>
      </w:r>
      <w:r w:rsidRPr="0075417D">
        <w:rPr>
          <w:rFonts w:asciiTheme="minorHAnsi" w:eastAsiaTheme="minorHAnsi" w:hAnsiTheme="minorHAnsi" w:cstheme="minorHAnsi"/>
          <w:color w:val="000000" w:themeColor="text1"/>
          <w:sz w:val="24"/>
          <w:szCs w:val="24"/>
          <w:lang w:eastAsia="en-US"/>
        </w:rPr>
        <w:t>, Oxford University Press</w:t>
      </w:r>
      <w:r w:rsidR="00165EB6" w:rsidRPr="0075417D">
        <w:rPr>
          <w:rFonts w:asciiTheme="minorHAnsi" w:eastAsiaTheme="minorHAnsi" w:hAnsiTheme="minorHAnsi" w:cstheme="minorHAnsi"/>
          <w:color w:val="000000" w:themeColor="text1"/>
          <w:sz w:val="24"/>
          <w:szCs w:val="24"/>
          <w:lang w:eastAsia="en-US"/>
        </w:rPr>
        <w:t>, Oxford</w:t>
      </w:r>
      <w:r w:rsidR="00DA4000" w:rsidRPr="0075417D">
        <w:rPr>
          <w:rFonts w:asciiTheme="minorHAnsi" w:eastAsiaTheme="minorHAnsi" w:hAnsiTheme="minorHAnsi" w:cstheme="minorHAnsi"/>
          <w:color w:val="000000" w:themeColor="text1"/>
          <w:sz w:val="24"/>
          <w:szCs w:val="24"/>
          <w:lang w:eastAsia="en-US"/>
        </w:rPr>
        <w:t>.</w:t>
      </w:r>
    </w:p>
    <w:p w14:paraId="50EBC995" w14:textId="785F3504" w:rsidR="0075417D" w:rsidRPr="0075417D" w:rsidRDefault="0075417D" w:rsidP="000B6A12">
      <w:pPr>
        <w:pStyle w:val="BISReference"/>
        <w:ind w:left="-397" w:right="-397" w:firstLine="0"/>
        <w:rPr>
          <w:rFonts w:asciiTheme="minorHAnsi" w:eastAsiaTheme="minorHAnsi" w:hAnsiTheme="minorHAnsi" w:cstheme="minorHAnsi"/>
          <w:color w:val="000000" w:themeColor="text1"/>
          <w:sz w:val="24"/>
          <w:szCs w:val="24"/>
          <w:lang w:eastAsia="en-US"/>
        </w:rPr>
      </w:pPr>
    </w:p>
    <w:p w14:paraId="54B8462E" w14:textId="77777777" w:rsidR="0075417D" w:rsidRPr="0075417D" w:rsidRDefault="0075417D" w:rsidP="0075417D">
      <w:pPr>
        <w:pStyle w:val="BISReference"/>
        <w:ind w:left="-397" w:right="-397" w:firstLine="0"/>
        <w:rPr>
          <w:rFonts w:asciiTheme="minorHAnsi" w:eastAsiaTheme="minorHAnsi" w:hAnsiTheme="minorHAnsi" w:cstheme="minorHAnsi"/>
          <w:color w:val="000000" w:themeColor="text1"/>
          <w:sz w:val="24"/>
          <w:szCs w:val="24"/>
          <w:lang w:eastAsia="en-US"/>
        </w:rPr>
      </w:pPr>
      <w:r w:rsidRPr="0075417D">
        <w:rPr>
          <w:rFonts w:asciiTheme="minorHAnsi" w:eastAsiaTheme="minorHAnsi" w:hAnsiTheme="minorHAnsi" w:cstheme="minorHAnsi"/>
          <w:color w:val="000000" w:themeColor="text1"/>
          <w:sz w:val="24"/>
          <w:szCs w:val="24"/>
          <w:lang w:eastAsia="en-US"/>
        </w:rPr>
        <w:t xml:space="preserve">Department for Work and Pensions, 2017, </w:t>
      </w:r>
      <w:r w:rsidRPr="0075417D">
        <w:rPr>
          <w:rFonts w:asciiTheme="minorHAnsi" w:eastAsiaTheme="minorHAnsi" w:hAnsiTheme="minorHAnsi" w:cstheme="minorHAnsi"/>
          <w:i/>
          <w:color w:val="000000" w:themeColor="text1"/>
          <w:sz w:val="24"/>
          <w:szCs w:val="24"/>
          <w:lang w:eastAsia="en-US"/>
        </w:rPr>
        <w:t>Quarterly Benefits Summary</w:t>
      </w:r>
      <w:r w:rsidRPr="0075417D">
        <w:rPr>
          <w:rFonts w:asciiTheme="minorHAnsi" w:eastAsiaTheme="minorHAnsi" w:hAnsiTheme="minorHAnsi" w:cstheme="minorHAnsi"/>
          <w:color w:val="000000" w:themeColor="text1"/>
          <w:sz w:val="24"/>
          <w:szCs w:val="24"/>
          <w:lang w:eastAsia="en-US"/>
        </w:rPr>
        <w:t>, 17</w:t>
      </w:r>
      <w:r w:rsidRPr="0075417D">
        <w:rPr>
          <w:rFonts w:asciiTheme="minorHAnsi" w:eastAsiaTheme="minorHAnsi" w:hAnsiTheme="minorHAnsi" w:cstheme="minorHAnsi"/>
          <w:color w:val="000000" w:themeColor="text1"/>
          <w:sz w:val="24"/>
          <w:szCs w:val="24"/>
          <w:vertAlign w:val="superscript"/>
          <w:lang w:eastAsia="en-US"/>
        </w:rPr>
        <w:t>th</w:t>
      </w:r>
      <w:r w:rsidRPr="0075417D">
        <w:rPr>
          <w:rFonts w:asciiTheme="minorHAnsi" w:eastAsiaTheme="minorHAnsi" w:hAnsiTheme="minorHAnsi" w:cstheme="minorHAnsi"/>
          <w:color w:val="000000" w:themeColor="text1"/>
          <w:sz w:val="24"/>
          <w:szCs w:val="24"/>
          <w:lang w:eastAsia="en-US"/>
        </w:rPr>
        <w:t xml:space="preserve"> May, </w:t>
      </w:r>
    </w:p>
    <w:p w14:paraId="3C692EE0" w14:textId="77777777" w:rsidR="0075417D" w:rsidRPr="0075417D" w:rsidRDefault="0075417D" w:rsidP="0075417D">
      <w:pPr>
        <w:pStyle w:val="BISReference"/>
        <w:ind w:left="-397" w:right="-397" w:firstLine="0"/>
        <w:rPr>
          <w:rFonts w:asciiTheme="minorHAnsi" w:eastAsiaTheme="minorHAnsi" w:hAnsiTheme="minorHAnsi" w:cstheme="minorHAnsi"/>
          <w:color w:val="000000" w:themeColor="text1"/>
          <w:sz w:val="24"/>
          <w:szCs w:val="24"/>
          <w:lang w:eastAsia="en-US"/>
        </w:rPr>
      </w:pPr>
      <w:r w:rsidRPr="0075417D">
        <w:rPr>
          <w:rFonts w:asciiTheme="minorHAnsi" w:eastAsiaTheme="minorHAnsi" w:hAnsiTheme="minorHAnsi" w:cstheme="minorHAnsi"/>
          <w:color w:val="000000" w:themeColor="text1"/>
          <w:sz w:val="24"/>
          <w:szCs w:val="24"/>
          <w:lang w:eastAsia="en-US"/>
        </w:rPr>
        <w:t>https://assets.publishing.service.gov.uk/government/uploads/system/uploads/attachment_data/file/614225/dwp-quarterly-stats-summary-may-2017.pdf</w:t>
      </w:r>
    </w:p>
    <w:p w14:paraId="755F224F" w14:textId="0BE7AD37" w:rsidR="008E6E81" w:rsidRPr="0075417D" w:rsidRDefault="008E6E81" w:rsidP="0075417D">
      <w:pPr>
        <w:pStyle w:val="BISReference"/>
        <w:ind w:left="0" w:right="-397" w:firstLine="0"/>
        <w:rPr>
          <w:rFonts w:asciiTheme="minorHAnsi" w:eastAsiaTheme="minorHAnsi" w:hAnsiTheme="minorHAnsi" w:cstheme="minorHAnsi"/>
          <w:color w:val="000000" w:themeColor="text1"/>
          <w:sz w:val="24"/>
          <w:szCs w:val="24"/>
          <w:lang w:eastAsia="en-US"/>
        </w:rPr>
      </w:pPr>
    </w:p>
    <w:p w14:paraId="5DB43000" w14:textId="277F59C6" w:rsidR="008E6E81" w:rsidRPr="0075417D" w:rsidRDefault="008E6E81" w:rsidP="000B6A12">
      <w:pPr>
        <w:pStyle w:val="BISReference"/>
        <w:ind w:left="-397" w:right="-397" w:firstLine="0"/>
        <w:rPr>
          <w:rFonts w:asciiTheme="minorHAnsi" w:eastAsiaTheme="minorHAnsi" w:hAnsiTheme="minorHAnsi" w:cstheme="minorHAnsi"/>
          <w:color w:val="000000" w:themeColor="text1"/>
          <w:sz w:val="24"/>
          <w:szCs w:val="24"/>
          <w:lang w:eastAsia="en-US"/>
        </w:rPr>
      </w:pPr>
      <w:r w:rsidRPr="0075417D">
        <w:rPr>
          <w:rFonts w:asciiTheme="minorHAnsi" w:eastAsiaTheme="minorHAnsi" w:hAnsiTheme="minorHAnsi" w:cstheme="minorHAnsi"/>
          <w:color w:val="000000" w:themeColor="text1"/>
          <w:sz w:val="24"/>
          <w:szCs w:val="24"/>
          <w:lang w:eastAsia="en-US"/>
        </w:rPr>
        <w:t>Department for Work and Pensions</w:t>
      </w:r>
      <w:r w:rsidR="00880A55" w:rsidRPr="0075417D">
        <w:rPr>
          <w:rFonts w:asciiTheme="minorHAnsi" w:eastAsiaTheme="minorHAnsi" w:hAnsiTheme="minorHAnsi" w:cstheme="minorHAnsi"/>
          <w:color w:val="000000" w:themeColor="text1"/>
          <w:sz w:val="24"/>
          <w:szCs w:val="24"/>
          <w:lang w:eastAsia="en-US"/>
        </w:rPr>
        <w:t xml:space="preserve"> (</w:t>
      </w:r>
      <w:r w:rsidR="004325DC" w:rsidRPr="0075417D">
        <w:rPr>
          <w:rFonts w:asciiTheme="minorHAnsi" w:eastAsiaTheme="minorHAnsi" w:hAnsiTheme="minorHAnsi" w:cstheme="minorHAnsi"/>
          <w:color w:val="000000" w:themeColor="text1"/>
          <w:sz w:val="24"/>
          <w:szCs w:val="24"/>
          <w:lang w:eastAsia="en-US"/>
        </w:rPr>
        <w:t xml:space="preserve">2016) </w:t>
      </w:r>
      <w:r w:rsidRPr="0075417D">
        <w:rPr>
          <w:rFonts w:asciiTheme="minorHAnsi" w:eastAsiaTheme="minorHAnsi" w:hAnsiTheme="minorHAnsi" w:cstheme="minorHAnsi"/>
          <w:i/>
          <w:color w:val="000000" w:themeColor="text1"/>
          <w:sz w:val="24"/>
          <w:szCs w:val="24"/>
          <w:lang w:eastAsia="en-US"/>
        </w:rPr>
        <w:t xml:space="preserve">Jobseeker’s Allowance </w:t>
      </w:r>
      <w:r w:rsidR="004325DC" w:rsidRPr="0075417D">
        <w:rPr>
          <w:rFonts w:asciiTheme="minorHAnsi" w:eastAsiaTheme="minorHAnsi" w:hAnsiTheme="minorHAnsi" w:cstheme="minorHAnsi"/>
          <w:i/>
          <w:color w:val="000000" w:themeColor="text1"/>
          <w:sz w:val="24"/>
          <w:szCs w:val="24"/>
          <w:lang w:eastAsia="en-US"/>
        </w:rPr>
        <w:t xml:space="preserve">Claim Duration And Sanctions </w:t>
      </w:r>
      <w:r w:rsidRPr="0075417D">
        <w:rPr>
          <w:rFonts w:asciiTheme="minorHAnsi" w:eastAsiaTheme="minorHAnsi" w:hAnsiTheme="minorHAnsi" w:cstheme="minorHAnsi"/>
          <w:i/>
          <w:color w:val="000000" w:themeColor="text1"/>
          <w:sz w:val="24"/>
          <w:szCs w:val="24"/>
          <w:lang w:eastAsia="en-US"/>
        </w:rPr>
        <w:t>– Data for</w:t>
      </w:r>
      <w:r w:rsidR="004325DC" w:rsidRPr="0075417D">
        <w:rPr>
          <w:rFonts w:asciiTheme="minorHAnsi" w:eastAsiaTheme="minorHAnsi" w:hAnsiTheme="minorHAnsi" w:cstheme="minorHAnsi"/>
          <w:i/>
          <w:color w:val="000000" w:themeColor="text1"/>
          <w:sz w:val="24"/>
          <w:szCs w:val="24"/>
          <w:lang w:eastAsia="en-US"/>
        </w:rPr>
        <w:t xml:space="preserve"> January 2010 to December 2015</w:t>
      </w:r>
      <w:r w:rsidRPr="0075417D">
        <w:rPr>
          <w:rFonts w:asciiTheme="minorHAnsi" w:eastAsiaTheme="minorHAnsi" w:hAnsiTheme="minorHAnsi" w:cstheme="minorHAnsi"/>
          <w:color w:val="000000" w:themeColor="text1"/>
          <w:sz w:val="24"/>
          <w:szCs w:val="24"/>
          <w:lang w:eastAsia="en-US"/>
        </w:rPr>
        <w:t xml:space="preserve">,  </w:t>
      </w:r>
      <w:r w:rsidR="004325DC" w:rsidRPr="0075417D">
        <w:rPr>
          <w:rFonts w:asciiTheme="minorHAnsi" w:eastAsiaTheme="minorHAnsi" w:hAnsiTheme="minorHAnsi" w:cstheme="minorHAnsi"/>
          <w:color w:val="000000" w:themeColor="text1"/>
          <w:sz w:val="24"/>
          <w:szCs w:val="24"/>
          <w:lang w:eastAsia="en-US"/>
        </w:rPr>
        <w:t xml:space="preserve">Department for Work and Pensions, </w:t>
      </w:r>
      <w:r w:rsidR="00AA0204" w:rsidRPr="0075417D">
        <w:rPr>
          <w:rFonts w:asciiTheme="minorHAnsi" w:eastAsiaTheme="minorHAnsi" w:hAnsiTheme="minorHAnsi" w:cstheme="minorHAnsi"/>
          <w:color w:val="000000" w:themeColor="text1"/>
          <w:sz w:val="24"/>
          <w:szCs w:val="24"/>
          <w:lang w:eastAsia="en-US"/>
        </w:rPr>
        <w:t>London.</w:t>
      </w:r>
    </w:p>
    <w:p w14:paraId="64A26137" w14:textId="77777777" w:rsidR="008E6E81" w:rsidRPr="0075417D" w:rsidRDefault="008E6E81" w:rsidP="000B6A12">
      <w:pPr>
        <w:pStyle w:val="BISReference"/>
        <w:ind w:left="-397" w:right="-397" w:firstLine="0"/>
        <w:rPr>
          <w:rFonts w:asciiTheme="minorHAnsi" w:eastAsiaTheme="minorHAnsi" w:hAnsiTheme="minorHAnsi" w:cstheme="minorHAnsi"/>
          <w:color w:val="000000" w:themeColor="text1"/>
          <w:sz w:val="24"/>
          <w:szCs w:val="24"/>
          <w:lang w:eastAsia="en-US"/>
        </w:rPr>
      </w:pPr>
    </w:p>
    <w:p w14:paraId="333CE8F6" w14:textId="50E51D00" w:rsidR="00070B3D" w:rsidRPr="005234EE" w:rsidRDefault="0075417D" w:rsidP="000B6A12">
      <w:pPr>
        <w:pStyle w:val="BISReference"/>
        <w:ind w:left="-397" w:right="-397" w:firstLine="0"/>
        <w:rPr>
          <w:rFonts w:ascii="Calibri" w:hAnsi="Calibri"/>
          <w:color w:val="000000" w:themeColor="text1"/>
          <w:sz w:val="24"/>
          <w:szCs w:val="24"/>
        </w:rPr>
      </w:pPr>
      <w:r w:rsidRPr="0075417D">
        <w:rPr>
          <w:rFonts w:asciiTheme="minorHAnsi" w:hAnsiTheme="minorHAnsi" w:cstheme="minorHAnsi"/>
          <w:color w:val="000000" w:themeColor="text1"/>
          <w:sz w:val="24"/>
          <w:szCs w:val="24"/>
        </w:rPr>
        <w:t>Department for</w:t>
      </w:r>
      <w:r w:rsidR="00070B3D" w:rsidRPr="0075417D">
        <w:rPr>
          <w:rFonts w:asciiTheme="minorHAnsi" w:hAnsiTheme="minorHAnsi" w:cstheme="minorHAnsi"/>
          <w:color w:val="000000" w:themeColor="text1"/>
          <w:sz w:val="24"/>
          <w:szCs w:val="24"/>
        </w:rPr>
        <w:t xml:space="preserve"> Work and Pensions</w:t>
      </w:r>
      <w:r w:rsidR="00AA0204" w:rsidRPr="005234EE">
        <w:rPr>
          <w:rFonts w:ascii="Calibri" w:hAnsi="Calibri"/>
          <w:color w:val="000000" w:themeColor="text1"/>
          <w:sz w:val="24"/>
          <w:szCs w:val="24"/>
        </w:rPr>
        <w:t xml:space="preserve"> (2015) </w:t>
      </w:r>
      <w:r w:rsidR="00070B3D" w:rsidRPr="005234EE">
        <w:rPr>
          <w:rFonts w:ascii="Calibri" w:hAnsi="Calibri"/>
          <w:i/>
          <w:color w:val="000000" w:themeColor="text1"/>
          <w:sz w:val="24"/>
          <w:szCs w:val="24"/>
        </w:rPr>
        <w:t>Mortality Statistics: Employment and Support Allowance, Incapacity Benefit or Severe Disablement Allowance</w:t>
      </w:r>
      <w:r w:rsidR="00AA0204" w:rsidRPr="005234EE">
        <w:rPr>
          <w:rFonts w:ascii="Calibri" w:hAnsi="Calibri"/>
          <w:color w:val="000000" w:themeColor="text1"/>
          <w:sz w:val="24"/>
          <w:szCs w:val="24"/>
        </w:rPr>
        <w:t xml:space="preserve">, August, </w:t>
      </w:r>
      <w:r w:rsidR="00AA0204" w:rsidRPr="005234EE">
        <w:rPr>
          <w:rFonts w:ascii="Calibri" w:eastAsiaTheme="minorHAnsi" w:hAnsi="Calibri"/>
          <w:color w:val="000000" w:themeColor="text1"/>
          <w:sz w:val="24"/>
          <w:szCs w:val="24"/>
          <w:lang w:eastAsia="en-US"/>
        </w:rPr>
        <w:t xml:space="preserve">Department for Work and Pensions, </w:t>
      </w:r>
      <w:r w:rsidR="00AA0204" w:rsidRPr="00DA4000">
        <w:rPr>
          <w:rFonts w:ascii="Calibri" w:eastAsiaTheme="minorHAnsi" w:hAnsi="Calibri"/>
          <w:color w:val="000000" w:themeColor="text1"/>
          <w:sz w:val="24"/>
          <w:szCs w:val="24"/>
          <w:lang w:eastAsia="en-US"/>
        </w:rPr>
        <w:t>London.</w:t>
      </w:r>
    </w:p>
    <w:p w14:paraId="42C20294" w14:textId="36651196" w:rsidR="00070B3D" w:rsidRPr="005234EE" w:rsidRDefault="00070B3D" w:rsidP="000B6A12">
      <w:pPr>
        <w:pStyle w:val="BISReference"/>
        <w:ind w:left="-397" w:right="-397" w:firstLine="0"/>
        <w:rPr>
          <w:rFonts w:ascii="Calibri" w:hAnsi="Calibri"/>
          <w:color w:val="000000" w:themeColor="text1"/>
          <w:sz w:val="24"/>
          <w:szCs w:val="24"/>
        </w:rPr>
      </w:pPr>
      <w:r w:rsidRPr="005234EE">
        <w:rPr>
          <w:rFonts w:ascii="Calibri" w:hAnsi="Calibri"/>
          <w:color w:val="000000" w:themeColor="text1"/>
          <w:sz w:val="24"/>
          <w:szCs w:val="24"/>
        </w:rPr>
        <w:t>https://www.gov.uk/government/uploads/system/uploads/attachment_data/file/459106/mortality-statistics-esa-ib-sda.pdf</w:t>
      </w:r>
      <w:r w:rsidR="00AA0204" w:rsidRPr="005234EE">
        <w:rPr>
          <w:rFonts w:ascii="Calibri" w:hAnsi="Calibri"/>
          <w:color w:val="000000" w:themeColor="text1"/>
          <w:sz w:val="24"/>
          <w:szCs w:val="24"/>
        </w:rPr>
        <w:t xml:space="preserve"> (</w:t>
      </w:r>
      <w:r w:rsidR="00B70056">
        <w:rPr>
          <w:rFonts w:ascii="Calibri" w:hAnsi="Calibri"/>
          <w:color w:val="000000" w:themeColor="text1"/>
          <w:sz w:val="24"/>
          <w:szCs w:val="24"/>
        </w:rPr>
        <w:t>Accessed [</w:t>
      </w:r>
      <w:r w:rsidR="00B70056">
        <w:rPr>
          <w:rFonts w:asciiTheme="minorHAnsi" w:hAnsiTheme="minorHAnsi" w:cstheme="minorHAnsi"/>
          <w:color w:val="000000" w:themeColor="text1"/>
          <w:sz w:val="24"/>
          <w:szCs w:val="24"/>
        </w:rPr>
        <w:t>04-04-2017]</w:t>
      </w:r>
      <w:r w:rsidR="00AA0204" w:rsidRPr="00DA4000">
        <w:rPr>
          <w:rFonts w:ascii="Calibri" w:hAnsi="Calibri"/>
          <w:color w:val="000000" w:themeColor="text1"/>
          <w:sz w:val="24"/>
          <w:szCs w:val="24"/>
        </w:rPr>
        <w:t>).</w:t>
      </w:r>
    </w:p>
    <w:p w14:paraId="21862B6E" w14:textId="77777777" w:rsidR="00070B3D" w:rsidRPr="005234EE" w:rsidRDefault="00070B3D" w:rsidP="000B6A12">
      <w:pPr>
        <w:pStyle w:val="BISReference"/>
        <w:ind w:left="0" w:right="-397" w:firstLine="0"/>
        <w:rPr>
          <w:rFonts w:ascii="Calibri" w:eastAsiaTheme="minorHAnsi" w:hAnsi="Calibri"/>
          <w:color w:val="000000" w:themeColor="text1"/>
          <w:sz w:val="24"/>
          <w:szCs w:val="24"/>
          <w:lang w:eastAsia="en-US"/>
        </w:rPr>
      </w:pPr>
    </w:p>
    <w:p w14:paraId="4478666D" w14:textId="24426B2E" w:rsidR="008E6E81" w:rsidRPr="005234EE" w:rsidRDefault="0075417D" w:rsidP="00AA0204">
      <w:pPr>
        <w:pStyle w:val="BISReference"/>
        <w:ind w:left="-397" w:right="-397" w:firstLine="0"/>
        <w:jc w:val="left"/>
        <w:rPr>
          <w:rFonts w:ascii="Calibri" w:eastAsiaTheme="minorHAnsi" w:hAnsi="Calibri"/>
          <w:color w:val="000000" w:themeColor="text1"/>
          <w:sz w:val="24"/>
          <w:szCs w:val="24"/>
          <w:lang w:eastAsia="en-US"/>
        </w:rPr>
      </w:pPr>
      <w:r>
        <w:rPr>
          <w:rFonts w:ascii="Calibri" w:hAnsi="Calibri"/>
          <w:color w:val="000000" w:themeColor="text1"/>
          <w:sz w:val="24"/>
          <w:szCs w:val="24"/>
        </w:rPr>
        <w:t>Department for</w:t>
      </w:r>
      <w:r w:rsidR="00880A55" w:rsidRPr="00DA4000">
        <w:rPr>
          <w:rFonts w:ascii="Calibri" w:hAnsi="Calibri"/>
          <w:color w:val="000000" w:themeColor="text1"/>
          <w:sz w:val="24"/>
          <w:szCs w:val="24"/>
        </w:rPr>
        <w:t xml:space="preserve"> Work and Pensions</w:t>
      </w:r>
      <w:r w:rsidR="00880A55" w:rsidRPr="005234EE" w:rsidDel="00880A55">
        <w:rPr>
          <w:rFonts w:ascii="Calibri" w:hAnsi="Calibri"/>
          <w:color w:val="000000" w:themeColor="text1"/>
          <w:sz w:val="24"/>
          <w:szCs w:val="24"/>
        </w:rPr>
        <w:t xml:space="preserve"> </w:t>
      </w:r>
      <w:r w:rsidR="00AA0204" w:rsidRPr="005234EE">
        <w:rPr>
          <w:rFonts w:ascii="Calibri" w:hAnsi="Calibri"/>
          <w:color w:val="000000" w:themeColor="text1"/>
          <w:sz w:val="24"/>
          <w:szCs w:val="24"/>
        </w:rPr>
        <w:t>(</w:t>
      </w:r>
      <w:r w:rsidR="008E6E81" w:rsidRPr="005234EE">
        <w:rPr>
          <w:rFonts w:ascii="Calibri" w:hAnsi="Calibri"/>
          <w:color w:val="000000" w:themeColor="text1"/>
          <w:sz w:val="24"/>
          <w:szCs w:val="24"/>
        </w:rPr>
        <w:t>2013a</w:t>
      </w:r>
      <w:r w:rsidR="00AA0204" w:rsidRPr="005234EE">
        <w:rPr>
          <w:rFonts w:ascii="Calibri" w:hAnsi="Calibri"/>
          <w:color w:val="000000" w:themeColor="text1"/>
          <w:sz w:val="24"/>
          <w:szCs w:val="24"/>
        </w:rPr>
        <w:t xml:space="preserve">) ‘Number of people claiming Jobseeker’s Allowance falls across the UK’, </w:t>
      </w:r>
      <w:r w:rsidR="00AA0204" w:rsidRPr="005234EE">
        <w:rPr>
          <w:rFonts w:ascii="Calibri" w:hAnsi="Calibri"/>
          <w:i/>
          <w:color w:val="000000" w:themeColor="text1"/>
          <w:sz w:val="24"/>
          <w:szCs w:val="24"/>
        </w:rPr>
        <w:t>Press Release,</w:t>
      </w:r>
      <w:r w:rsidR="00AA0204" w:rsidRPr="005234EE">
        <w:rPr>
          <w:rFonts w:ascii="Calibri" w:hAnsi="Calibri"/>
          <w:color w:val="000000" w:themeColor="text1"/>
          <w:sz w:val="24"/>
          <w:szCs w:val="24"/>
        </w:rPr>
        <w:t xml:space="preserve"> July 2013, Department for Work and Pensions</w:t>
      </w:r>
      <w:r w:rsidR="00964E83" w:rsidRPr="005234EE">
        <w:rPr>
          <w:rFonts w:ascii="Calibri" w:hAnsi="Calibri"/>
          <w:color w:val="000000" w:themeColor="text1"/>
          <w:sz w:val="24"/>
          <w:szCs w:val="24"/>
        </w:rPr>
        <w:t xml:space="preserve"> [online]</w:t>
      </w:r>
      <w:r w:rsidR="00AA0204" w:rsidRPr="005234EE">
        <w:rPr>
          <w:rFonts w:ascii="Calibri" w:hAnsi="Calibri"/>
          <w:color w:val="000000" w:themeColor="text1"/>
          <w:sz w:val="24"/>
          <w:szCs w:val="24"/>
        </w:rPr>
        <w:t>.</w:t>
      </w:r>
      <w:r w:rsidR="008E6E81" w:rsidRPr="005234EE">
        <w:rPr>
          <w:rFonts w:ascii="Calibri" w:hAnsi="Calibri"/>
          <w:color w:val="000000" w:themeColor="text1"/>
          <w:sz w:val="24"/>
          <w:szCs w:val="24"/>
        </w:rPr>
        <w:t xml:space="preserve"> </w:t>
      </w:r>
      <w:hyperlink r:id="rId18" w:history="1">
        <w:r w:rsidR="008E6E81" w:rsidRPr="005234EE">
          <w:rPr>
            <w:rStyle w:val="Hyperlink"/>
            <w:rFonts w:ascii="Calibri" w:hAnsi="Calibri"/>
            <w:color w:val="000000" w:themeColor="text1"/>
            <w:sz w:val="24"/>
            <w:szCs w:val="24"/>
          </w:rPr>
          <w:t>https://www.gov.uk/government/news/number-of-people-claiming-jobseekers-allowance-falls-across-the-uk</w:t>
        </w:r>
      </w:hyperlink>
      <w:r w:rsidR="00AA0204" w:rsidRPr="005234EE">
        <w:rPr>
          <w:rFonts w:ascii="Calibri" w:hAnsi="Calibri"/>
          <w:color w:val="000000" w:themeColor="text1"/>
          <w:sz w:val="24"/>
          <w:szCs w:val="24"/>
        </w:rPr>
        <w:t xml:space="preserve"> (</w:t>
      </w:r>
      <w:commentRangeStart w:id="21"/>
      <w:r w:rsidR="00AA0204" w:rsidRPr="005234EE">
        <w:rPr>
          <w:rFonts w:ascii="Calibri" w:hAnsi="Calibri"/>
          <w:color w:val="000000" w:themeColor="text1"/>
          <w:sz w:val="24"/>
          <w:szCs w:val="24"/>
        </w:rPr>
        <w:t>Accessed [</w:t>
      </w:r>
      <w:r w:rsidR="00B70056">
        <w:rPr>
          <w:rFonts w:ascii="Calibri" w:hAnsi="Calibri"/>
          <w:color w:val="000000" w:themeColor="text1"/>
          <w:sz w:val="24"/>
          <w:szCs w:val="24"/>
        </w:rPr>
        <w:t>09-04-2017</w:t>
      </w:r>
      <w:r w:rsidR="00AA0204" w:rsidRPr="00DA4000">
        <w:rPr>
          <w:rFonts w:ascii="Calibri" w:hAnsi="Calibri"/>
          <w:color w:val="000000" w:themeColor="text1"/>
          <w:sz w:val="24"/>
          <w:szCs w:val="24"/>
        </w:rPr>
        <w:t>])</w:t>
      </w:r>
      <w:r w:rsidR="008E6E81" w:rsidRPr="00DA4000">
        <w:rPr>
          <w:rFonts w:ascii="Calibri" w:hAnsi="Calibri"/>
          <w:color w:val="000000" w:themeColor="text1"/>
          <w:sz w:val="24"/>
          <w:szCs w:val="24"/>
        </w:rPr>
        <w:t>.</w:t>
      </w:r>
      <w:commentRangeEnd w:id="21"/>
      <w:r w:rsidR="00DA4000">
        <w:rPr>
          <w:rStyle w:val="CommentReference"/>
          <w:rFonts w:asciiTheme="minorHAnsi" w:eastAsiaTheme="minorHAnsi" w:hAnsiTheme="minorHAnsi" w:cstheme="minorBidi"/>
          <w:lang w:val="en-US" w:eastAsia="en-US"/>
        </w:rPr>
        <w:commentReference w:id="21"/>
      </w:r>
    </w:p>
    <w:p w14:paraId="59FE4F91" w14:textId="77777777" w:rsidR="008E6E81" w:rsidRPr="005234EE" w:rsidRDefault="008E6E81" w:rsidP="000B6A12">
      <w:pPr>
        <w:pStyle w:val="BISReference"/>
        <w:ind w:left="-397" w:right="-397" w:firstLine="0"/>
        <w:rPr>
          <w:rFonts w:ascii="Calibri" w:eastAsiaTheme="minorHAnsi" w:hAnsi="Calibri"/>
          <w:color w:val="000000" w:themeColor="text1"/>
          <w:sz w:val="24"/>
          <w:szCs w:val="24"/>
          <w:lang w:eastAsia="en-US"/>
        </w:rPr>
      </w:pPr>
    </w:p>
    <w:p w14:paraId="0C3F6411" w14:textId="2B106552" w:rsidR="008E6E81" w:rsidRPr="005234EE" w:rsidRDefault="0075417D" w:rsidP="00F61A65">
      <w:pPr>
        <w:pStyle w:val="BISReference"/>
        <w:ind w:left="-397" w:right="-397" w:firstLine="0"/>
        <w:jc w:val="left"/>
        <w:rPr>
          <w:rFonts w:ascii="Calibri" w:eastAsiaTheme="minorHAnsi" w:hAnsi="Calibri"/>
          <w:color w:val="000000" w:themeColor="text1"/>
          <w:sz w:val="24"/>
          <w:szCs w:val="24"/>
          <w:lang w:eastAsia="en-US"/>
        </w:rPr>
      </w:pPr>
      <w:r>
        <w:rPr>
          <w:rFonts w:ascii="Calibri" w:hAnsi="Calibri"/>
          <w:color w:val="000000" w:themeColor="text1"/>
          <w:sz w:val="24"/>
          <w:szCs w:val="24"/>
        </w:rPr>
        <w:t>Department for</w:t>
      </w:r>
      <w:r w:rsidR="00880A55" w:rsidRPr="005234EE">
        <w:rPr>
          <w:rFonts w:ascii="Calibri" w:hAnsi="Calibri"/>
          <w:color w:val="000000" w:themeColor="text1"/>
          <w:sz w:val="24"/>
          <w:szCs w:val="24"/>
        </w:rPr>
        <w:t xml:space="preserve"> Work and Pensions</w:t>
      </w:r>
      <w:r w:rsidR="00880A55" w:rsidRPr="005234EE" w:rsidDel="00880A55">
        <w:rPr>
          <w:rFonts w:ascii="Calibri" w:hAnsi="Calibri"/>
          <w:color w:val="000000" w:themeColor="text1"/>
          <w:sz w:val="24"/>
          <w:szCs w:val="24"/>
        </w:rPr>
        <w:t xml:space="preserve"> </w:t>
      </w:r>
      <w:r w:rsidR="00F61A65" w:rsidRPr="005234EE">
        <w:rPr>
          <w:rFonts w:ascii="Calibri" w:hAnsi="Calibri"/>
          <w:color w:val="000000" w:themeColor="text1"/>
          <w:sz w:val="24"/>
          <w:szCs w:val="24"/>
        </w:rPr>
        <w:t>(</w:t>
      </w:r>
      <w:r w:rsidR="008E6E81" w:rsidRPr="005234EE">
        <w:rPr>
          <w:rFonts w:ascii="Calibri" w:hAnsi="Calibri"/>
          <w:color w:val="000000" w:themeColor="text1"/>
          <w:sz w:val="24"/>
          <w:szCs w:val="24"/>
        </w:rPr>
        <w:t>2013b</w:t>
      </w:r>
      <w:r w:rsidR="00F61A65" w:rsidRPr="005234EE">
        <w:rPr>
          <w:rFonts w:ascii="Calibri" w:hAnsi="Calibri"/>
          <w:color w:val="000000" w:themeColor="text1"/>
          <w:sz w:val="24"/>
          <w:szCs w:val="24"/>
        </w:rPr>
        <w:t>)</w:t>
      </w:r>
      <w:r w:rsidR="008E6E81" w:rsidRPr="005234EE">
        <w:rPr>
          <w:rFonts w:ascii="Calibri" w:hAnsi="Calibri"/>
          <w:color w:val="000000" w:themeColor="text1"/>
          <w:sz w:val="24"/>
          <w:szCs w:val="24"/>
        </w:rPr>
        <w:t xml:space="preserve"> </w:t>
      </w:r>
      <w:r w:rsidR="008E6E81" w:rsidRPr="005234EE">
        <w:rPr>
          <w:rFonts w:ascii="Calibri" w:hAnsi="Calibri"/>
          <w:i/>
          <w:color w:val="000000" w:themeColor="text1"/>
          <w:sz w:val="24"/>
          <w:szCs w:val="24"/>
        </w:rPr>
        <w:t>Jobseekers Allowance Sanctions Decisions by Month</w:t>
      </w:r>
      <w:r w:rsidR="00F61A65" w:rsidRPr="005234EE">
        <w:rPr>
          <w:rFonts w:ascii="Calibri" w:hAnsi="Calibri"/>
          <w:color w:val="000000" w:themeColor="text1"/>
          <w:sz w:val="24"/>
          <w:szCs w:val="24"/>
        </w:rPr>
        <w:t>, Department for Work and Pensions</w:t>
      </w:r>
      <w:r w:rsidR="00964E83" w:rsidRPr="005234EE">
        <w:rPr>
          <w:rFonts w:ascii="Calibri" w:hAnsi="Calibri"/>
          <w:color w:val="000000" w:themeColor="text1"/>
          <w:sz w:val="24"/>
          <w:szCs w:val="24"/>
        </w:rPr>
        <w:t xml:space="preserve"> [online]</w:t>
      </w:r>
      <w:r w:rsidR="00F61A65" w:rsidRPr="005234EE">
        <w:rPr>
          <w:rFonts w:ascii="Calibri" w:hAnsi="Calibri"/>
          <w:color w:val="000000" w:themeColor="text1"/>
          <w:sz w:val="24"/>
          <w:szCs w:val="24"/>
        </w:rPr>
        <w:t>.</w:t>
      </w:r>
      <w:r w:rsidR="008E6E81" w:rsidRPr="005234EE">
        <w:rPr>
          <w:rFonts w:ascii="Calibri" w:hAnsi="Calibri"/>
          <w:color w:val="000000" w:themeColor="text1"/>
          <w:sz w:val="24"/>
          <w:szCs w:val="24"/>
        </w:rPr>
        <w:t xml:space="preserve"> </w:t>
      </w:r>
      <w:hyperlink r:id="rId19" w:history="1">
        <w:r w:rsidR="008E6E81" w:rsidRPr="005234EE">
          <w:rPr>
            <w:rStyle w:val="Hyperlink"/>
            <w:rFonts w:ascii="Calibri" w:hAnsi="Calibri"/>
            <w:color w:val="000000" w:themeColor="text1"/>
            <w:sz w:val="24"/>
            <w:szCs w:val="24"/>
          </w:rPr>
          <w:t>https://www.gov.uk/government/collections/jobseekers-allowance-sanctions</w:t>
        </w:r>
      </w:hyperlink>
      <w:r w:rsidR="00F61A65" w:rsidRPr="005234EE">
        <w:rPr>
          <w:rFonts w:ascii="Calibri" w:hAnsi="Calibri"/>
          <w:color w:val="000000" w:themeColor="text1"/>
          <w:sz w:val="24"/>
          <w:szCs w:val="24"/>
        </w:rPr>
        <w:t xml:space="preserve"> (Accessed</w:t>
      </w:r>
      <w:r w:rsidR="008E6E81" w:rsidRPr="005234EE">
        <w:rPr>
          <w:rFonts w:ascii="Calibri" w:hAnsi="Calibri"/>
          <w:color w:val="000000" w:themeColor="text1"/>
          <w:sz w:val="24"/>
          <w:szCs w:val="24"/>
        </w:rPr>
        <w:t xml:space="preserve"> 17 May 2017</w:t>
      </w:r>
      <w:r w:rsidR="00F61A65" w:rsidRPr="005234EE">
        <w:rPr>
          <w:rFonts w:ascii="Calibri" w:hAnsi="Calibri"/>
          <w:color w:val="000000" w:themeColor="text1"/>
          <w:sz w:val="24"/>
          <w:szCs w:val="24"/>
        </w:rPr>
        <w:t>)</w:t>
      </w:r>
      <w:r w:rsidR="0034756B" w:rsidRPr="005234EE">
        <w:rPr>
          <w:rFonts w:ascii="Calibri" w:hAnsi="Calibri"/>
          <w:color w:val="000000" w:themeColor="text1"/>
          <w:sz w:val="24"/>
          <w:szCs w:val="24"/>
        </w:rPr>
        <w:t>.</w:t>
      </w:r>
    </w:p>
    <w:p w14:paraId="76EE9359" w14:textId="77777777" w:rsidR="008E6E81" w:rsidRPr="005234EE" w:rsidRDefault="008E6E81" w:rsidP="000B6A12">
      <w:pPr>
        <w:pStyle w:val="BISReference"/>
        <w:ind w:left="0" w:right="-397" w:firstLine="0"/>
        <w:rPr>
          <w:rFonts w:ascii="Calibri" w:hAnsi="Calibri"/>
          <w:color w:val="000000" w:themeColor="text1"/>
          <w:sz w:val="24"/>
          <w:szCs w:val="24"/>
        </w:rPr>
      </w:pPr>
    </w:p>
    <w:p w14:paraId="3997BFDC" w14:textId="6792E11B" w:rsidR="008E6E81" w:rsidRPr="005234EE" w:rsidRDefault="008E6E81" w:rsidP="00F83C9B">
      <w:pPr>
        <w:pStyle w:val="BISReference"/>
        <w:ind w:left="-397" w:right="-397" w:firstLine="0"/>
        <w:outlineLvl w:val="0"/>
        <w:rPr>
          <w:rFonts w:ascii="Calibri" w:hAnsi="Calibri"/>
          <w:color w:val="000000" w:themeColor="text1"/>
          <w:sz w:val="24"/>
          <w:szCs w:val="24"/>
        </w:rPr>
      </w:pPr>
      <w:r w:rsidRPr="005234EE">
        <w:rPr>
          <w:rFonts w:ascii="Calibri" w:hAnsi="Calibri"/>
          <w:color w:val="000000" w:themeColor="text1"/>
          <w:sz w:val="24"/>
          <w:szCs w:val="24"/>
        </w:rPr>
        <w:t>Esping-Andersen, G</w:t>
      </w:r>
      <w:r w:rsidR="00B54348" w:rsidRPr="005234EE">
        <w:rPr>
          <w:rFonts w:ascii="Calibri" w:hAnsi="Calibri"/>
          <w:color w:val="000000" w:themeColor="text1"/>
          <w:sz w:val="24"/>
          <w:szCs w:val="24"/>
        </w:rPr>
        <w:t>. (</w:t>
      </w:r>
      <w:r w:rsidRPr="005234EE">
        <w:rPr>
          <w:rFonts w:ascii="Calibri" w:hAnsi="Calibri"/>
          <w:color w:val="000000" w:themeColor="text1"/>
          <w:sz w:val="24"/>
          <w:szCs w:val="24"/>
        </w:rPr>
        <w:t>1990</w:t>
      </w:r>
      <w:r w:rsidR="00B54348" w:rsidRPr="005234EE">
        <w:rPr>
          <w:rFonts w:ascii="Calibri" w:hAnsi="Calibri"/>
          <w:color w:val="000000" w:themeColor="text1"/>
          <w:sz w:val="24"/>
          <w:szCs w:val="24"/>
        </w:rPr>
        <w:t>)</w:t>
      </w:r>
      <w:r w:rsidRPr="005234EE">
        <w:rPr>
          <w:rFonts w:ascii="Calibri" w:hAnsi="Calibri"/>
          <w:color w:val="000000" w:themeColor="text1"/>
          <w:sz w:val="24"/>
          <w:szCs w:val="24"/>
        </w:rPr>
        <w:t xml:space="preserve"> </w:t>
      </w:r>
      <w:r w:rsidRPr="005234EE">
        <w:rPr>
          <w:rFonts w:ascii="Calibri" w:hAnsi="Calibri"/>
          <w:i/>
          <w:color w:val="000000" w:themeColor="text1"/>
          <w:sz w:val="24"/>
          <w:szCs w:val="24"/>
        </w:rPr>
        <w:t>The Three Worlds of Welfare Capitalism</w:t>
      </w:r>
      <w:r w:rsidRPr="005234EE">
        <w:rPr>
          <w:rFonts w:ascii="Calibri" w:hAnsi="Calibri"/>
          <w:color w:val="000000" w:themeColor="text1"/>
          <w:sz w:val="24"/>
          <w:szCs w:val="24"/>
        </w:rPr>
        <w:t>,</w:t>
      </w:r>
      <w:r w:rsidR="00C966B1" w:rsidRPr="005234EE">
        <w:rPr>
          <w:rFonts w:ascii="Calibri" w:hAnsi="Calibri"/>
          <w:color w:val="000000" w:themeColor="text1"/>
          <w:sz w:val="24"/>
          <w:szCs w:val="24"/>
        </w:rPr>
        <w:t xml:space="preserve"> </w:t>
      </w:r>
      <w:r w:rsidRPr="005234EE">
        <w:rPr>
          <w:rFonts w:ascii="Calibri" w:hAnsi="Calibri"/>
          <w:color w:val="000000" w:themeColor="text1"/>
          <w:sz w:val="24"/>
          <w:szCs w:val="24"/>
        </w:rPr>
        <w:t>Polity Press</w:t>
      </w:r>
      <w:r w:rsidR="00C966B1" w:rsidRPr="005234EE">
        <w:rPr>
          <w:rFonts w:ascii="Calibri" w:hAnsi="Calibri"/>
          <w:color w:val="000000" w:themeColor="text1"/>
          <w:sz w:val="24"/>
          <w:szCs w:val="24"/>
        </w:rPr>
        <w:t>, Cambridge</w:t>
      </w:r>
      <w:r w:rsidRPr="005234EE">
        <w:rPr>
          <w:rFonts w:ascii="Calibri" w:hAnsi="Calibri"/>
          <w:color w:val="000000" w:themeColor="text1"/>
          <w:sz w:val="24"/>
          <w:szCs w:val="24"/>
        </w:rPr>
        <w:t>.</w:t>
      </w:r>
    </w:p>
    <w:p w14:paraId="0DA81E96" w14:textId="77777777" w:rsidR="008E6E81" w:rsidRPr="005234EE" w:rsidRDefault="008E6E81" w:rsidP="000B6A12">
      <w:pPr>
        <w:pStyle w:val="BISReference"/>
        <w:ind w:left="-397" w:right="-397" w:firstLine="0"/>
        <w:rPr>
          <w:rFonts w:ascii="Calibri" w:hAnsi="Calibri"/>
          <w:color w:val="000000" w:themeColor="text1"/>
          <w:sz w:val="24"/>
          <w:szCs w:val="24"/>
        </w:rPr>
      </w:pPr>
    </w:p>
    <w:p w14:paraId="05AA14CC" w14:textId="2778449B" w:rsidR="008E6E81" w:rsidRPr="005234EE" w:rsidRDefault="008E6E81" w:rsidP="000B6A12">
      <w:pPr>
        <w:pStyle w:val="BISReference"/>
        <w:ind w:left="-397" w:right="-397" w:firstLine="0"/>
        <w:rPr>
          <w:rFonts w:ascii="Calibri" w:eastAsiaTheme="minorHAnsi" w:hAnsi="Calibri"/>
          <w:color w:val="000000" w:themeColor="text1"/>
          <w:sz w:val="24"/>
          <w:szCs w:val="24"/>
          <w:lang w:eastAsia="en-US"/>
        </w:rPr>
      </w:pPr>
      <w:r w:rsidRPr="005234EE">
        <w:rPr>
          <w:rFonts w:ascii="Calibri" w:eastAsiaTheme="minorHAnsi" w:hAnsi="Calibri"/>
          <w:color w:val="000000" w:themeColor="text1"/>
          <w:sz w:val="24"/>
          <w:szCs w:val="24"/>
          <w:lang w:eastAsia="en-US"/>
        </w:rPr>
        <w:t>Eurofound</w:t>
      </w:r>
      <w:r w:rsidR="00C966B1" w:rsidRPr="005234EE">
        <w:rPr>
          <w:rFonts w:ascii="Calibri" w:eastAsiaTheme="minorHAnsi" w:hAnsi="Calibri"/>
          <w:color w:val="000000" w:themeColor="text1"/>
          <w:sz w:val="24"/>
          <w:szCs w:val="24"/>
          <w:lang w:eastAsia="en-US"/>
        </w:rPr>
        <w:t xml:space="preserve"> (</w:t>
      </w:r>
      <w:r w:rsidRPr="005234EE">
        <w:rPr>
          <w:rFonts w:ascii="Calibri" w:eastAsiaTheme="minorHAnsi" w:hAnsi="Calibri"/>
          <w:color w:val="000000" w:themeColor="text1"/>
          <w:sz w:val="24"/>
          <w:szCs w:val="24"/>
          <w:lang w:eastAsia="en-US"/>
        </w:rPr>
        <w:t>2012</w:t>
      </w:r>
      <w:r w:rsidR="00C966B1" w:rsidRPr="005234EE">
        <w:rPr>
          <w:rFonts w:ascii="Calibri" w:eastAsiaTheme="minorHAnsi" w:hAnsi="Calibri"/>
          <w:color w:val="000000" w:themeColor="text1"/>
          <w:sz w:val="24"/>
          <w:szCs w:val="24"/>
          <w:lang w:eastAsia="en-US"/>
        </w:rPr>
        <w:t>)</w:t>
      </w:r>
      <w:r w:rsidRPr="005234EE">
        <w:rPr>
          <w:rFonts w:ascii="Calibri" w:eastAsiaTheme="minorHAnsi" w:hAnsi="Calibri"/>
          <w:color w:val="000000" w:themeColor="text1"/>
          <w:sz w:val="24"/>
          <w:szCs w:val="24"/>
          <w:lang w:eastAsia="en-US"/>
        </w:rPr>
        <w:t xml:space="preserve"> </w:t>
      </w:r>
      <w:r w:rsidRPr="005234EE">
        <w:rPr>
          <w:rFonts w:ascii="Calibri" w:eastAsiaTheme="minorHAnsi" w:hAnsi="Calibri"/>
          <w:i/>
          <w:iCs/>
          <w:color w:val="000000" w:themeColor="text1"/>
          <w:sz w:val="24"/>
          <w:szCs w:val="24"/>
          <w:lang w:eastAsia="en-US"/>
        </w:rPr>
        <w:t>Fifth European Working Conditions Survey</w:t>
      </w:r>
      <w:r w:rsidRPr="005234EE">
        <w:rPr>
          <w:rFonts w:ascii="Calibri" w:eastAsiaTheme="minorHAnsi" w:hAnsi="Calibri"/>
          <w:color w:val="000000" w:themeColor="text1"/>
          <w:sz w:val="24"/>
          <w:szCs w:val="24"/>
          <w:lang w:eastAsia="en-US"/>
        </w:rPr>
        <w:t>, Publications Office of the European Union,</w:t>
      </w:r>
      <w:r w:rsidRPr="005234EE">
        <w:rPr>
          <w:rFonts w:ascii="Calibri" w:hAnsi="Calibri"/>
          <w:color w:val="000000" w:themeColor="text1"/>
          <w:sz w:val="24"/>
          <w:szCs w:val="24"/>
        </w:rPr>
        <w:t xml:space="preserve"> </w:t>
      </w:r>
      <w:r w:rsidRPr="005234EE">
        <w:rPr>
          <w:rFonts w:ascii="Calibri" w:eastAsiaTheme="minorHAnsi" w:hAnsi="Calibri"/>
          <w:color w:val="000000" w:themeColor="text1"/>
          <w:sz w:val="24"/>
          <w:szCs w:val="24"/>
          <w:lang w:eastAsia="en-US"/>
        </w:rPr>
        <w:t>Luxembourg.</w:t>
      </w:r>
    </w:p>
    <w:p w14:paraId="68EC8157" w14:textId="77777777" w:rsidR="008E6E81" w:rsidRPr="005234EE" w:rsidRDefault="008E6E81" w:rsidP="000B6A12">
      <w:pPr>
        <w:pStyle w:val="BISReference"/>
        <w:ind w:left="-397" w:right="-397" w:firstLine="0"/>
        <w:rPr>
          <w:rFonts w:ascii="Calibri" w:hAnsi="Calibri"/>
          <w:color w:val="000000" w:themeColor="text1"/>
          <w:sz w:val="24"/>
          <w:szCs w:val="24"/>
        </w:rPr>
      </w:pPr>
    </w:p>
    <w:p w14:paraId="542ADF64" w14:textId="414B04B3" w:rsidR="008E6E81" w:rsidRPr="005234EE" w:rsidRDefault="008E6E81" w:rsidP="000B6A12">
      <w:pPr>
        <w:ind w:left="-397" w:right="-397"/>
        <w:jc w:val="both"/>
        <w:rPr>
          <w:rFonts w:ascii="Calibri" w:hAnsi="Calibri"/>
          <w:color w:val="000000" w:themeColor="text1"/>
          <w:lang w:val="en-GB"/>
        </w:rPr>
      </w:pPr>
      <w:bookmarkStart w:id="22" w:name="bib17"/>
      <w:bookmarkEnd w:id="22"/>
      <w:r w:rsidRPr="005234EE">
        <w:rPr>
          <w:rFonts w:ascii="Calibri" w:hAnsi="Calibri"/>
          <w:color w:val="000000" w:themeColor="text1"/>
          <w:lang w:val="en-GB"/>
        </w:rPr>
        <w:lastRenderedPageBreak/>
        <w:t xml:space="preserve">European Commission (2013) </w:t>
      </w:r>
      <w:r w:rsidRPr="005234EE">
        <w:rPr>
          <w:rStyle w:val="journal7"/>
          <w:rFonts w:ascii="Calibri" w:hAnsi="Calibri"/>
          <w:color w:val="000000" w:themeColor="text1"/>
          <w:lang w:val="en-GB"/>
        </w:rPr>
        <w:t>Barcelona Objectives: The Development of Childcare Facilities for Young Children in Europe with a View to Sustainable and Inclusive Growth</w:t>
      </w:r>
      <w:r w:rsidR="00C966B1" w:rsidRPr="005234EE">
        <w:rPr>
          <w:rFonts w:ascii="Calibri" w:hAnsi="Calibri"/>
          <w:color w:val="000000" w:themeColor="text1"/>
          <w:lang w:val="en-GB"/>
        </w:rPr>
        <w:t>,</w:t>
      </w:r>
      <w:r w:rsidRPr="005234EE">
        <w:rPr>
          <w:rFonts w:ascii="Calibri" w:hAnsi="Calibri"/>
          <w:color w:val="000000" w:themeColor="text1"/>
          <w:lang w:val="en-GB"/>
        </w:rPr>
        <w:t xml:space="preserve"> European Commission</w:t>
      </w:r>
      <w:r w:rsidR="00C966B1" w:rsidRPr="005234EE">
        <w:rPr>
          <w:rFonts w:ascii="Calibri" w:hAnsi="Calibri"/>
          <w:color w:val="000000" w:themeColor="text1"/>
          <w:lang w:val="en-GB"/>
        </w:rPr>
        <w:t>, Brussels</w:t>
      </w:r>
      <w:r w:rsidRPr="005234EE">
        <w:rPr>
          <w:rFonts w:ascii="Calibri" w:hAnsi="Calibri"/>
          <w:color w:val="000000" w:themeColor="text1"/>
          <w:lang w:val="en-GB"/>
        </w:rPr>
        <w:t>.</w:t>
      </w:r>
    </w:p>
    <w:p w14:paraId="0BC8D1AE" w14:textId="77777777" w:rsidR="008E6E81" w:rsidRPr="005234EE" w:rsidRDefault="008E6E81" w:rsidP="000B6A12">
      <w:pPr>
        <w:pStyle w:val="BISReference"/>
        <w:ind w:left="-397" w:right="-397" w:firstLine="0"/>
        <w:rPr>
          <w:rFonts w:ascii="Calibri" w:hAnsi="Calibri"/>
          <w:bCs/>
          <w:color w:val="000000" w:themeColor="text1"/>
          <w:sz w:val="24"/>
          <w:szCs w:val="24"/>
        </w:rPr>
      </w:pPr>
    </w:p>
    <w:p w14:paraId="3220A53A" w14:textId="47EED132" w:rsidR="008E6E81" w:rsidRPr="005234EE" w:rsidRDefault="00C966B1" w:rsidP="00F83C9B">
      <w:pPr>
        <w:pStyle w:val="BISReference"/>
        <w:ind w:left="-397" w:right="-397" w:firstLine="0"/>
        <w:outlineLvl w:val="0"/>
        <w:rPr>
          <w:rFonts w:ascii="Calibri" w:hAnsi="Calibri"/>
          <w:bCs/>
          <w:color w:val="000000" w:themeColor="text1"/>
          <w:sz w:val="24"/>
          <w:szCs w:val="24"/>
        </w:rPr>
      </w:pPr>
      <w:r w:rsidRPr="005234EE">
        <w:rPr>
          <w:rFonts w:ascii="Calibri" w:hAnsi="Calibri"/>
          <w:bCs/>
          <w:color w:val="000000" w:themeColor="text1"/>
          <w:sz w:val="24"/>
          <w:szCs w:val="24"/>
        </w:rPr>
        <w:t>Fairlie, S. (2009)</w:t>
      </w:r>
      <w:r w:rsidR="008E6E81" w:rsidRPr="005234EE">
        <w:rPr>
          <w:rFonts w:ascii="Calibri" w:hAnsi="Calibri"/>
          <w:bCs/>
          <w:color w:val="000000" w:themeColor="text1"/>
          <w:sz w:val="24"/>
          <w:szCs w:val="24"/>
        </w:rPr>
        <w:t xml:space="preserve"> </w:t>
      </w:r>
      <w:r w:rsidRPr="005234EE">
        <w:rPr>
          <w:rFonts w:ascii="Calibri" w:hAnsi="Calibri"/>
          <w:bCs/>
          <w:color w:val="000000" w:themeColor="text1"/>
          <w:sz w:val="24"/>
          <w:szCs w:val="24"/>
        </w:rPr>
        <w:t>‘</w:t>
      </w:r>
      <w:r w:rsidR="008E6E81" w:rsidRPr="005234EE">
        <w:rPr>
          <w:rFonts w:ascii="Calibri" w:hAnsi="Calibri"/>
          <w:bCs/>
          <w:color w:val="000000" w:themeColor="text1"/>
          <w:sz w:val="24"/>
          <w:szCs w:val="24"/>
        </w:rPr>
        <w:t xml:space="preserve">A </w:t>
      </w:r>
      <w:r w:rsidRPr="005234EE">
        <w:rPr>
          <w:rFonts w:ascii="Calibri" w:hAnsi="Calibri"/>
          <w:bCs/>
          <w:color w:val="000000" w:themeColor="text1"/>
          <w:sz w:val="24"/>
          <w:szCs w:val="24"/>
        </w:rPr>
        <w:t xml:space="preserve">short history of the enclosure </w:t>
      </w:r>
      <w:r w:rsidR="008E6E81" w:rsidRPr="005234EE">
        <w:rPr>
          <w:rFonts w:ascii="Calibri" w:hAnsi="Calibri"/>
          <w:bCs/>
          <w:color w:val="000000" w:themeColor="text1"/>
          <w:sz w:val="24"/>
          <w:szCs w:val="24"/>
        </w:rPr>
        <w:t>in Britain</w:t>
      </w:r>
      <w:r w:rsidRPr="005234EE">
        <w:rPr>
          <w:rFonts w:ascii="Calibri" w:hAnsi="Calibri"/>
          <w:bCs/>
          <w:color w:val="000000" w:themeColor="text1"/>
          <w:sz w:val="24"/>
          <w:szCs w:val="24"/>
        </w:rPr>
        <w:t>’</w:t>
      </w:r>
      <w:r w:rsidR="008E6E81" w:rsidRPr="005234EE">
        <w:rPr>
          <w:rFonts w:ascii="Calibri" w:hAnsi="Calibri"/>
          <w:bCs/>
          <w:color w:val="000000" w:themeColor="text1"/>
          <w:sz w:val="24"/>
          <w:szCs w:val="24"/>
        </w:rPr>
        <w:t xml:space="preserve">, </w:t>
      </w:r>
      <w:r w:rsidR="008E6E81" w:rsidRPr="005234EE">
        <w:rPr>
          <w:rFonts w:ascii="Calibri" w:hAnsi="Calibri"/>
          <w:bCs/>
          <w:i/>
          <w:color w:val="000000" w:themeColor="text1"/>
          <w:sz w:val="24"/>
          <w:szCs w:val="24"/>
        </w:rPr>
        <w:t>The Land</w:t>
      </w:r>
      <w:r w:rsidRPr="005234EE">
        <w:rPr>
          <w:rFonts w:ascii="Calibri" w:hAnsi="Calibri"/>
          <w:bCs/>
          <w:color w:val="000000" w:themeColor="text1"/>
          <w:sz w:val="24"/>
          <w:szCs w:val="24"/>
        </w:rPr>
        <w:t>,</w:t>
      </w:r>
      <w:r w:rsidR="00570D61" w:rsidRPr="005234EE">
        <w:rPr>
          <w:rFonts w:ascii="Calibri" w:hAnsi="Calibri"/>
          <w:bCs/>
          <w:color w:val="000000" w:themeColor="text1"/>
          <w:sz w:val="24"/>
          <w:szCs w:val="24"/>
        </w:rPr>
        <w:t xml:space="preserve"> I</w:t>
      </w:r>
      <w:r w:rsidRPr="005234EE">
        <w:rPr>
          <w:rFonts w:ascii="Calibri" w:hAnsi="Calibri"/>
          <w:bCs/>
          <w:color w:val="000000" w:themeColor="text1"/>
          <w:sz w:val="24"/>
          <w:szCs w:val="24"/>
        </w:rPr>
        <w:t>ssue 7</w:t>
      </w:r>
      <w:r w:rsidR="00DA4000">
        <w:rPr>
          <w:rFonts w:ascii="Calibri" w:hAnsi="Calibri"/>
          <w:bCs/>
          <w:color w:val="000000" w:themeColor="text1"/>
          <w:sz w:val="24"/>
          <w:szCs w:val="24"/>
        </w:rPr>
        <w:t>.</w:t>
      </w:r>
    </w:p>
    <w:p w14:paraId="296F7192" w14:textId="77777777" w:rsidR="008E6E81" w:rsidRPr="005234EE" w:rsidRDefault="008E6E81" w:rsidP="000B6A12">
      <w:pPr>
        <w:pStyle w:val="BISReference"/>
        <w:ind w:left="-397" w:right="-397" w:firstLine="0"/>
        <w:rPr>
          <w:rFonts w:ascii="Calibri" w:hAnsi="Calibri"/>
          <w:bCs/>
          <w:color w:val="000000" w:themeColor="text1"/>
          <w:sz w:val="24"/>
          <w:szCs w:val="24"/>
        </w:rPr>
      </w:pPr>
    </w:p>
    <w:p w14:paraId="3364BD2A" w14:textId="3C9468EC" w:rsidR="008E6E81" w:rsidRPr="005234EE" w:rsidRDefault="008E6E81" w:rsidP="000B6A12">
      <w:pPr>
        <w:pStyle w:val="BISReference"/>
        <w:ind w:left="-397" w:right="-397" w:firstLine="0"/>
        <w:rPr>
          <w:rFonts w:ascii="Calibri" w:hAnsi="Calibri"/>
          <w:bCs/>
          <w:color w:val="000000" w:themeColor="text1"/>
          <w:sz w:val="24"/>
          <w:szCs w:val="24"/>
        </w:rPr>
      </w:pPr>
      <w:r w:rsidRPr="005234EE">
        <w:rPr>
          <w:rFonts w:ascii="Calibri" w:hAnsi="Calibri"/>
          <w:bCs/>
          <w:color w:val="000000" w:themeColor="text1"/>
          <w:sz w:val="24"/>
          <w:szCs w:val="24"/>
        </w:rPr>
        <w:t xml:space="preserve">Finegold, D. and Soskice, D. </w:t>
      </w:r>
      <w:r w:rsidR="00570D61" w:rsidRPr="005234EE">
        <w:rPr>
          <w:rFonts w:ascii="Calibri" w:hAnsi="Calibri"/>
          <w:bCs/>
          <w:color w:val="000000" w:themeColor="text1"/>
          <w:sz w:val="24"/>
          <w:szCs w:val="24"/>
        </w:rPr>
        <w:t>(1988)</w:t>
      </w:r>
      <w:r w:rsidRPr="005234EE">
        <w:rPr>
          <w:rFonts w:ascii="Calibri" w:hAnsi="Calibri"/>
          <w:bCs/>
          <w:color w:val="000000" w:themeColor="text1"/>
          <w:sz w:val="24"/>
          <w:szCs w:val="24"/>
        </w:rPr>
        <w:t xml:space="preserve"> ‘The </w:t>
      </w:r>
      <w:r w:rsidR="00570D61" w:rsidRPr="005234EE">
        <w:rPr>
          <w:rFonts w:ascii="Calibri" w:hAnsi="Calibri"/>
          <w:bCs/>
          <w:color w:val="000000" w:themeColor="text1"/>
          <w:sz w:val="24"/>
          <w:szCs w:val="24"/>
        </w:rPr>
        <w:t xml:space="preserve">failure of training in </w:t>
      </w:r>
      <w:r w:rsidRPr="005234EE">
        <w:rPr>
          <w:rFonts w:ascii="Calibri" w:hAnsi="Calibri"/>
          <w:bCs/>
          <w:color w:val="000000" w:themeColor="text1"/>
          <w:sz w:val="24"/>
          <w:szCs w:val="24"/>
        </w:rPr>
        <w:t>Britai</w:t>
      </w:r>
      <w:r w:rsidR="00570D61" w:rsidRPr="005234EE">
        <w:rPr>
          <w:rFonts w:ascii="Calibri" w:hAnsi="Calibri"/>
          <w:bCs/>
          <w:color w:val="000000" w:themeColor="text1"/>
          <w:sz w:val="24"/>
          <w:szCs w:val="24"/>
        </w:rPr>
        <w:t>n: Analysis and prescription’,</w:t>
      </w:r>
      <w:r w:rsidRPr="005234EE">
        <w:rPr>
          <w:rFonts w:ascii="Calibri" w:hAnsi="Calibri"/>
          <w:bCs/>
          <w:color w:val="000000" w:themeColor="text1"/>
          <w:sz w:val="24"/>
          <w:szCs w:val="24"/>
        </w:rPr>
        <w:t xml:space="preserve"> </w:t>
      </w:r>
      <w:r w:rsidRPr="005234EE">
        <w:rPr>
          <w:rFonts w:ascii="Calibri" w:hAnsi="Calibri"/>
          <w:bCs/>
          <w:i/>
          <w:color w:val="000000" w:themeColor="text1"/>
          <w:sz w:val="24"/>
          <w:szCs w:val="24"/>
        </w:rPr>
        <w:t>Oxford Review of Economic Policy</w:t>
      </w:r>
      <w:r w:rsidR="00570D61" w:rsidRPr="005234EE">
        <w:rPr>
          <w:rFonts w:ascii="Calibri" w:hAnsi="Calibri"/>
          <w:bCs/>
          <w:color w:val="000000" w:themeColor="text1"/>
          <w:sz w:val="24"/>
          <w:szCs w:val="24"/>
        </w:rPr>
        <w:t>, Vol. 4</w:t>
      </w:r>
      <w:r w:rsidRPr="005234EE">
        <w:rPr>
          <w:rFonts w:ascii="Calibri" w:hAnsi="Calibri"/>
          <w:bCs/>
          <w:color w:val="000000" w:themeColor="text1"/>
          <w:sz w:val="24"/>
          <w:szCs w:val="24"/>
        </w:rPr>
        <w:t xml:space="preserve"> No.3, </w:t>
      </w:r>
      <w:r w:rsidR="00570D61" w:rsidRPr="005234EE">
        <w:rPr>
          <w:rFonts w:ascii="Calibri" w:hAnsi="Calibri"/>
          <w:bCs/>
          <w:color w:val="000000" w:themeColor="text1"/>
          <w:sz w:val="24"/>
          <w:szCs w:val="24"/>
        </w:rPr>
        <w:t>pp.</w:t>
      </w:r>
      <w:r w:rsidRPr="005234EE">
        <w:rPr>
          <w:rFonts w:ascii="Calibri" w:hAnsi="Calibri"/>
          <w:bCs/>
          <w:color w:val="000000" w:themeColor="text1"/>
          <w:sz w:val="24"/>
          <w:szCs w:val="24"/>
        </w:rPr>
        <w:t>21-53.</w:t>
      </w:r>
    </w:p>
    <w:p w14:paraId="3AB9C6E8" w14:textId="77777777" w:rsidR="008E6E81" w:rsidRPr="005234EE" w:rsidRDefault="008E6E81" w:rsidP="000B6A12">
      <w:pPr>
        <w:ind w:right="-397"/>
        <w:jc w:val="both"/>
        <w:rPr>
          <w:rFonts w:ascii="Calibri" w:hAnsi="Calibri"/>
          <w:color w:val="000000" w:themeColor="text1"/>
          <w:lang w:val="en-GB"/>
        </w:rPr>
      </w:pPr>
    </w:p>
    <w:p w14:paraId="0410732C" w14:textId="5B560382" w:rsidR="008E6E81" w:rsidRPr="005234EE" w:rsidRDefault="008E6E81" w:rsidP="000B6A12">
      <w:pPr>
        <w:ind w:left="-397" w:right="-397"/>
        <w:jc w:val="both"/>
        <w:rPr>
          <w:rFonts w:ascii="Calibri" w:hAnsi="Calibri"/>
          <w:color w:val="000000" w:themeColor="text1"/>
          <w:lang w:val="en-GB"/>
        </w:rPr>
      </w:pPr>
      <w:r w:rsidRPr="005234EE">
        <w:rPr>
          <w:rFonts w:ascii="Calibri" w:hAnsi="Calibri"/>
          <w:color w:val="000000" w:themeColor="text1"/>
          <w:lang w:val="en-GB"/>
        </w:rPr>
        <w:t>Fixen, R</w:t>
      </w:r>
      <w:r w:rsidR="008438A4" w:rsidRPr="005234EE">
        <w:rPr>
          <w:rFonts w:ascii="Calibri" w:hAnsi="Calibri"/>
          <w:color w:val="000000" w:themeColor="text1"/>
          <w:lang w:val="en-GB"/>
        </w:rPr>
        <w:t>.</w:t>
      </w:r>
      <w:r w:rsidRPr="005234EE">
        <w:rPr>
          <w:rFonts w:ascii="Calibri" w:hAnsi="Calibri"/>
          <w:color w:val="000000" w:themeColor="text1"/>
          <w:lang w:val="en-GB"/>
        </w:rPr>
        <w:t xml:space="preserve"> </w:t>
      </w:r>
      <w:r w:rsidR="008438A4" w:rsidRPr="005234EE">
        <w:rPr>
          <w:rFonts w:ascii="Calibri" w:hAnsi="Calibri"/>
          <w:color w:val="000000" w:themeColor="text1"/>
          <w:lang w:val="en-GB"/>
        </w:rPr>
        <w:t>(2017)</w:t>
      </w:r>
      <w:r w:rsidRPr="005234EE">
        <w:rPr>
          <w:rFonts w:ascii="Calibri" w:hAnsi="Calibri"/>
          <w:color w:val="000000" w:themeColor="text1"/>
          <w:lang w:val="en-GB"/>
        </w:rPr>
        <w:t xml:space="preserve"> ‘Sami People persuade Norway pension fund to divest from Dakota Access</w:t>
      </w:r>
      <w:r w:rsidR="008438A4" w:rsidRPr="005234EE">
        <w:rPr>
          <w:rFonts w:ascii="Calibri" w:hAnsi="Calibri"/>
          <w:color w:val="000000" w:themeColor="text1"/>
          <w:lang w:val="en-GB"/>
        </w:rPr>
        <w:t>’</w:t>
      </w:r>
      <w:r w:rsidRPr="005234EE">
        <w:rPr>
          <w:rFonts w:ascii="Calibri" w:hAnsi="Calibri"/>
          <w:color w:val="000000" w:themeColor="text1"/>
          <w:lang w:val="en-GB"/>
        </w:rPr>
        <w:t xml:space="preserve">, </w:t>
      </w:r>
      <w:r w:rsidRPr="005234EE">
        <w:rPr>
          <w:rFonts w:ascii="Calibri" w:hAnsi="Calibri"/>
          <w:i/>
          <w:color w:val="000000" w:themeColor="text1"/>
          <w:lang w:val="en-GB"/>
        </w:rPr>
        <w:t>The Guardian</w:t>
      </w:r>
      <w:r w:rsidRPr="005234EE">
        <w:rPr>
          <w:rFonts w:ascii="Calibri" w:hAnsi="Calibri"/>
          <w:color w:val="000000" w:themeColor="text1"/>
          <w:lang w:val="en-GB"/>
        </w:rPr>
        <w:t xml:space="preserve">, </w:t>
      </w:r>
      <w:r w:rsidR="008438A4" w:rsidRPr="005234EE">
        <w:rPr>
          <w:rFonts w:ascii="Calibri" w:hAnsi="Calibri"/>
          <w:color w:val="000000" w:themeColor="text1"/>
          <w:lang w:val="en-GB"/>
        </w:rPr>
        <w:t xml:space="preserve">17 </w:t>
      </w:r>
      <w:r w:rsidRPr="005234EE">
        <w:rPr>
          <w:rFonts w:ascii="Calibri" w:hAnsi="Calibri"/>
          <w:color w:val="000000" w:themeColor="text1"/>
          <w:lang w:val="en-GB"/>
        </w:rPr>
        <w:t>March 2017.</w:t>
      </w:r>
    </w:p>
    <w:p w14:paraId="061F1E01" w14:textId="77777777" w:rsidR="008E6E81" w:rsidRPr="004C77FD" w:rsidRDefault="008E6E81" w:rsidP="000B6A12">
      <w:pPr>
        <w:ind w:left="-397" w:right="-397"/>
        <w:jc w:val="both"/>
        <w:rPr>
          <w:rFonts w:ascii="Constantia" w:hAnsi="Constantia"/>
          <w:color w:val="000000" w:themeColor="text1"/>
          <w:lang w:val="en-GB"/>
        </w:rPr>
      </w:pPr>
    </w:p>
    <w:p w14:paraId="72CEB69F" w14:textId="476125D3" w:rsidR="008E6E81" w:rsidRPr="004C77FD" w:rsidRDefault="008E6E81" w:rsidP="00F83C9B">
      <w:pPr>
        <w:ind w:left="-397" w:right="-397"/>
        <w:jc w:val="both"/>
        <w:outlineLvl w:val="0"/>
        <w:rPr>
          <w:rFonts w:ascii="Constantia" w:hAnsi="Constantia"/>
          <w:color w:val="000000" w:themeColor="text1"/>
          <w:lang w:val="en-GB"/>
        </w:rPr>
      </w:pPr>
      <w:r w:rsidRPr="004C77FD">
        <w:rPr>
          <w:rFonts w:ascii="Constantia" w:hAnsi="Constantia"/>
          <w:color w:val="000000" w:themeColor="text1"/>
          <w:lang w:val="en-GB"/>
        </w:rPr>
        <w:t xml:space="preserve">Foght, H.W. </w:t>
      </w:r>
      <w:r w:rsidR="00234AB4" w:rsidRPr="004C77FD">
        <w:rPr>
          <w:rFonts w:ascii="Constantia" w:hAnsi="Constantia"/>
          <w:color w:val="000000" w:themeColor="text1"/>
          <w:lang w:val="en-GB"/>
        </w:rPr>
        <w:t>(1914)</w:t>
      </w:r>
      <w:r w:rsidRPr="004C77FD">
        <w:rPr>
          <w:rFonts w:ascii="Constantia" w:hAnsi="Constantia"/>
          <w:color w:val="000000" w:themeColor="text1"/>
          <w:lang w:val="en-GB"/>
        </w:rPr>
        <w:t xml:space="preserve"> </w:t>
      </w:r>
      <w:r w:rsidRPr="004C77FD">
        <w:rPr>
          <w:rFonts w:ascii="Constantia" w:hAnsi="Constantia"/>
          <w:i/>
          <w:color w:val="000000" w:themeColor="text1"/>
          <w:lang w:val="en-GB"/>
        </w:rPr>
        <w:t>The Danish Folk High Schools</w:t>
      </w:r>
      <w:r w:rsidRPr="004C77FD">
        <w:rPr>
          <w:rFonts w:ascii="Constantia" w:hAnsi="Constantia"/>
          <w:color w:val="000000" w:themeColor="text1"/>
          <w:lang w:val="en-GB"/>
        </w:rPr>
        <w:t>, United States Bureau of Education</w:t>
      </w:r>
      <w:r w:rsidR="00234AB4" w:rsidRPr="004C77FD">
        <w:rPr>
          <w:rFonts w:ascii="Constantia" w:hAnsi="Constantia"/>
          <w:color w:val="000000" w:themeColor="text1"/>
          <w:lang w:val="en-GB"/>
        </w:rPr>
        <w:t>, Washington.</w:t>
      </w:r>
    </w:p>
    <w:p w14:paraId="7F40DCAE" w14:textId="77777777" w:rsidR="008E6E81" w:rsidRPr="004C77FD" w:rsidRDefault="008E6E81" w:rsidP="000B6A12">
      <w:pPr>
        <w:ind w:left="-397" w:right="-397"/>
        <w:jc w:val="both"/>
        <w:rPr>
          <w:rFonts w:ascii="Constantia" w:hAnsi="Constantia"/>
          <w:color w:val="000000" w:themeColor="text1"/>
          <w:lang w:val="en-GB"/>
        </w:rPr>
      </w:pPr>
    </w:p>
    <w:p w14:paraId="765F0734" w14:textId="52863182" w:rsidR="008E6E81" w:rsidRPr="004C77FD" w:rsidRDefault="008E6E81" w:rsidP="000B6A12">
      <w:pPr>
        <w:ind w:left="-397" w:right="-397"/>
        <w:jc w:val="both"/>
        <w:rPr>
          <w:rFonts w:ascii="Constantia" w:hAnsi="Constantia" w:cstheme="minorHAnsi"/>
          <w:color w:val="000000" w:themeColor="text1"/>
          <w:lang w:val="en-GB"/>
        </w:rPr>
      </w:pPr>
      <w:r w:rsidRPr="004C77FD">
        <w:rPr>
          <w:rFonts w:ascii="Constantia" w:hAnsi="Constantia"/>
          <w:color w:val="000000" w:themeColor="text1"/>
          <w:lang w:val="en-GB"/>
        </w:rPr>
        <w:t>Friðriksdóttir</w:t>
      </w:r>
      <w:r w:rsidR="00234AB4" w:rsidRPr="004C77FD">
        <w:rPr>
          <w:rFonts w:ascii="Constantia" w:hAnsi="Constantia"/>
          <w:color w:val="000000" w:themeColor="text1"/>
          <w:lang w:val="en-GB"/>
        </w:rPr>
        <w:t>, H. (</w:t>
      </w:r>
      <w:r w:rsidR="00234AB4" w:rsidRPr="004C77FD">
        <w:rPr>
          <w:rFonts w:ascii="Constantia" w:hAnsi="Constantia" w:cstheme="minorHAnsi"/>
          <w:color w:val="000000" w:themeColor="text1"/>
          <w:lang w:val="en-GB"/>
        </w:rPr>
        <w:t>2015)</w:t>
      </w:r>
      <w:r w:rsidRPr="004C77FD">
        <w:rPr>
          <w:rFonts w:ascii="Constantia" w:hAnsi="Constantia" w:cstheme="minorHAnsi"/>
          <w:color w:val="000000" w:themeColor="text1"/>
          <w:lang w:val="en-GB"/>
        </w:rPr>
        <w:t xml:space="preserve"> </w:t>
      </w:r>
      <w:r w:rsidR="00234AB4" w:rsidRPr="004C77FD">
        <w:rPr>
          <w:rFonts w:ascii="Constantia" w:hAnsi="Constantia" w:cstheme="minorHAnsi"/>
          <w:color w:val="000000" w:themeColor="text1"/>
          <w:lang w:val="en-GB"/>
        </w:rPr>
        <w:t>‘</w:t>
      </w:r>
      <w:r w:rsidRPr="004C77FD">
        <w:rPr>
          <w:rFonts w:ascii="Constantia" w:hAnsi="Constantia" w:cstheme="minorHAnsi"/>
          <w:color w:val="000000" w:themeColor="text1"/>
          <w:lang w:val="en-GB"/>
        </w:rPr>
        <w:t xml:space="preserve">Nordic </w:t>
      </w:r>
      <w:r w:rsidR="00234AB4" w:rsidRPr="004C77FD">
        <w:rPr>
          <w:rFonts w:ascii="Constantia" w:hAnsi="Constantia" w:cstheme="minorHAnsi"/>
          <w:color w:val="000000" w:themeColor="text1"/>
          <w:lang w:val="en-GB"/>
        </w:rPr>
        <w:t>family law</w:t>
      </w:r>
      <w:r w:rsidRPr="004C77FD">
        <w:rPr>
          <w:rFonts w:ascii="Constantia" w:hAnsi="Constantia" w:cstheme="minorHAnsi"/>
          <w:color w:val="000000" w:themeColor="text1"/>
          <w:lang w:val="en-GB"/>
        </w:rPr>
        <w:t xml:space="preserve">: New </w:t>
      </w:r>
      <w:r w:rsidR="00234AB4" w:rsidRPr="004C77FD">
        <w:rPr>
          <w:rFonts w:ascii="Constantia" w:hAnsi="Constantia" w:cstheme="minorHAnsi"/>
          <w:color w:val="000000" w:themeColor="text1"/>
          <w:lang w:val="en-GB"/>
        </w:rPr>
        <w:t>f</w:t>
      </w:r>
      <w:r w:rsidRPr="004C77FD">
        <w:rPr>
          <w:rFonts w:ascii="Constantia" w:hAnsi="Constantia" w:cstheme="minorHAnsi"/>
          <w:color w:val="000000" w:themeColor="text1"/>
          <w:lang w:val="en-GB"/>
        </w:rPr>
        <w:t xml:space="preserve">ramework – new </w:t>
      </w:r>
      <w:r w:rsidR="00234AB4" w:rsidRPr="004C77FD">
        <w:rPr>
          <w:rFonts w:ascii="Constantia" w:hAnsi="Constantia" w:cstheme="minorHAnsi"/>
          <w:color w:val="000000" w:themeColor="text1"/>
          <w:lang w:val="en-GB"/>
        </w:rPr>
        <w:t>f</w:t>
      </w:r>
      <w:r w:rsidRPr="004C77FD">
        <w:rPr>
          <w:rFonts w:ascii="Constantia" w:hAnsi="Constantia" w:cstheme="minorHAnsi"/>
          <w:color w:val="000000" w:themeColor="text1"/>
          <w:lang w:val="en-GB"/>
        </w:rPr>
        <w:t>atherhoods</w:t>
      </w:r>
      <w:r w:rsidR="00234AB4" w:rsidRPr="004C77FD">
        <w:rPr>
          <w:rFonts w:ascii="Constantia" w:hAnsi="Constantia" w:cstheme="minorHAnsi"/>
          <w:color w:val="000000" w:themeColor="text1"/>
          <w:lang w:val="en-GB"/>
        </w:rPr>
        <w:t>’</w:t>
      </w:r>
      <w:r w:rsidRPr="004C77FD">
        <w:rPr>
          <w:rFonts w:ascii="Constantia" w:hAnsi="Constantia" w:cstheme="minorHAnsi"/>
          <w:color w:val="000000" w:themeColor="text1"/>
          <w:lang w:val="en-GB"/>
        </w:rPr>
        <w:t>, in</w:t>
      </w:r>
      <w:r w:rsidR="00234AB4" w:rsidRPr="004C77FD">
        <w:rPr>
          <w:rFonts w:ascii="Constantia" w:hAnsi="Constantia" w:cstheme="minorHAnsi"/>
          <w:color w:val="000000" w:themeColor="text1"/>
          <w:lang w:val="en-GB"/>
        </w:rPr>
        <w:t xml:space="preserve"> Eydal, G.B. and Rostgaard, T. (Eds.),</w:t>
      </w:r>
      <w:r w:rsidRPr="004C77FD">
        <w:rPr>
          <w:rFonts w:ascii="Constantia" w:hAnsi="Constantia" w:cstheme="minorHAnsi"/>
          <w:color w:val="000000" w:themeColor="text1"/>
          <w:lang w:val="en-GB"/>
        </w:rPr>
        <w:t xml:space="preserve"> </w:t>
      </w:r>
      <w:r w:rsidRPr="004C77FD">
        <w:rPr>
          <w:rFonts w:ascii="Constantia" w:hAnsi="Constantia" w:cstheme="minorHAnsi"/>
          <w:i/>
          <w:color w:val="000000" w:themeColor="text1"/>
          <w:lang w:val="en-GB"/>
        </w:rPr>
        <w:t>Fathers’ in Fatherhood in the Nordic Welfare States</w:t>
      </w:r>
      <w:r w:rsidRPr="004C77FD">
        <w:rPr>
          <w:rFonts w:ascii="Constantia" w:hAnsi="Constantia" w:cstheme="minorHAnsi"/>
          <w:color w:val="000000" w:themeColor="text1"/>
          <w:lang w:val="en-GB"/>
        </w:rPr>
        <w:t>, Policy Press</w:t>
      </w:r>
      <w:r w:rsidR="00234AB4" w:rsidRPr="004C77FD">
        <w:rPr>
          <w:rFonts w:ascii="Constantia" w:hAnsi="Constantia" w:cstheme="minorHAnsi"/>
          <w:color w:val="000000" w:themeColor="text1"/>
          <w:lang w:val="en-GB"/>
        </w:rPr>
        <w:t>, Bristol</w:t>
      </w:r>
      <w:r w:rsidRPr="004C77FD">
        <w:rPr>
          <w:rFonts w:ascii="Constantia" w:hAnsi="Constantia" w:cstheme="minorHAnsi"/>
          <w:color w:val="000000" w:themeColor="text1"/>
          <w:lang w:val="en-GB"/>
        </w:rPr>
        <w:t>.</w:t>
      </w:r>
    </w:p>
    <w:p w14:paraId="1F3AE786" w14:textId="421C4BDF" w:rsidR="008E6E81" w:rsidRPr="004C77FD" w:rsidRDefault="008E6E81" w:rsidP="00B70056">
      <w:pPr>
        <w:ind w:right="-397"/>
        <w:jc w:val="both"/>
        <w:rPr>
          <w:rFonts w:ascii="Constantia" w:hAnsi="Constantia" w:cstheme="minorHAnsi"/>
          <w:color w:val="000000" w:themeColor="text1"/>
          <w:lang w:val="en-GB"/>
        </w:rPr>
      </w:pPr>
    </w:p>
    <w:p w14:paraId="31D0B2B5" w14:textId="0EFEED9B" w:rsidR="008E6E81" w:rsidRPr="004C77FD" w:rsidRDefault="008E6E81" w:rsidP="00166416">
      <w:pPr>
        <w:ind w:left="-397" w:right="-397"/>
        <w:rPr>
          <w:rFonts w:ascii="Constantia" w:hAnsi="Constantia" w:cstheme="minorHAnsi"/>
          <w:color w:val="000000" w:themeColor="text1"/>
          <w:lang w:val="en-GB"/>
        </w:rPr>
      </w:pPr>
      <w:r w:rsidRPr="004C77FD">
        <w:rPr>
          <w:rFonts w:ascii="Constantia" w:hAnsi="Constantia" w:cstheme="minorHAnsi"/>
          <w:color w:val="000000" w:themeColor="text1"/>
          <w:lang w:val="en-GB"/>
        </w:rPr>
        <w:t>Full Fact</w:t>
      </w:r>
      <w:r w:rsidR="00166416" w:rsidRPr="004C77FD">
        <w:rPr>
          <w:rFonts w:ascii="Constantia" w:hAnsi="Constantia" w:cstheme="minorHAnsi"/>
          <w:color w:val="000000" w:themeColor="text1"/>
          <w:lang w:val="en-GB"/>
        </w:rPr>
        <w:t xml:space="preserve"> (2015) </w:t>
      </w:r>
      <w:r w:rsidRPr="004C77FD">
        <w:rPr>
          <w:rFonts w:ascii="Constantia" w:hAnsi="Constantia" w:cstheme="minorHAnsi"/>
          <w:i/>
          <w:color w:val="000000" w:themeColor="text1"/>
          <w:lang w:val="en-GB"/>
        </w:rPr>
        <w:t xml:space="preserve">The Welfare Budget </w:t>
      </w:r>
      <w:r w:rsidR="00166416" w:rsidRPr="004C77FD">
        <w:rPr>
          <w:rFonts w:ascii="Constantia" w:hAnsi="Constantia" w:cstheme="minorHAnsi"/>
          <w:i/>
          <w:color w:val="000000" w:themeColor="text1"/>
          <w:lang w:val="en-GB"/>
        </w:rPr>
        <w:t>– Full Fact</w:t>
      </w:r>
      <w:r w:rsidR="00166416" w:rsidRPr="004C77FD">
        <w:rPr>
          <w:rFonts w:ascii="Constantia" w:hAnsi="Constantia" w:cstheme="minorHAnsi"/>
          <w:color w:val="000000" w:themeColor="text1"/>
          <w:lang w:val="en-GB"/>
        </w:rPr>
        <w:t xml:space="preserve"> [online]. </w:t>
      </w:r>
      <w:r w:rsidRPr="004C77FD">
        <w:rPr>
          <w:rFonts w:ascii="Constantia" w:hAnsi="Constantia" w:cstheme="minorHAnsi"/>
          <w:color w:val="000000" w:themeColor="text1"/>
          <w:lang w:val="en-GB"/>
        </w:rPr>
        <w:t>https:/fullfact.org/economy/welfare-budget/</w:t>
      </w:r>
      <w:r w:rsidR="00166416" w:rsidRPr="004C77FD">
        <w:rPr>
          <w:rFonts w:ascii="Constantia" w:hAnsi="Constantia" w:cstheme="minorHAnsi"/>
          <w:color w:val="000000" w:themeColor="text1"/>
          <w:lang w:val="en-GB"/>
        </w:rPr>
        <w:t xml:space="preserve"> (Accessed </w:t>
      </w:r>
      <w:r w:rsidRPr="004C77FD">
        <w:rPr>
          <w:rFonts w:ascii="Constantia" w:hAnsi="Constantia" w:cstheme="minorHAnsi"/>
          <w:color w:val="000000" w:themeColor="text1"/>
          <w:lang w:val="en-GB"/>
        </w:rPr>
        <w:t>10 July</w:t>
      </w:r>
      <w:r w:rsidR="00166416" w:rsidRPr="004C77FD">
        <w:rPr>
          <w:rFonts w:ascii="Constantia" w:hAnsi="Constantia" w:cstheme="minorHAnsi"/>
          <w:color w:val="000000" w:themeColor="text1"/>
          <w:lang w:val="en-GB"/>
        </w:rPr>
        <w:t xml:space="preserve"> 2015)</w:t>
      </w:r>
    </w:p>
    <w:p w14:paraId="64EE12D9" w14:textId="6B3151CA" w:rsidR="00405FEE" w:rsidRPr="004C77FD" w:rsidRDefault="00405FEE" w:rsidP="00166416">
      <w:pPr>
        <w:ind w:left="-397" w:right="-397"/>
        <w:rPr>
          <w:rFonts w:ascii="Constantia" w:hAnsi="Constantia" w:cstheme="minorHAnsi"/>
          <w:color w:val="000000" w:themeColor="text1"/>
          <w:lang w:val="en-GB"/>
        </w:rPr>
      </w:pPr>
    </w:p>
    <w:p w14:paraId="285A68E9" w14:textId="77777777" w:rsidR="004C77FD" w:rsidRPr="004C77FD" w:rsidRDefault="00405FEE" w:rsidP="004C77FD">
      <w:pPr>
        <w:pStyle w:val="Heading3"/>
        <w:shd w:val="clear" w:color="auto" w:fill="FFFFFF"/>
        <w:spacing w:before="0"/>
        <w:ind w:left="-397" w:right="-397"/>
        <w:textAlignment w:val="baseline"/>
        <w:rPr>
          <w:rFonts w:ascii="Constantia" w:hAnsi="Constantia" w:cstheme="minorHAnsi"/>
          <w:color w:val="000000" w:themeColor="text1"/>
        </w:rPr>
      </w:pPr>
      <w:r w:rsidRPr="004C77FD">
        <w:rPr>
          <w:rFonts w:ascii="Constantia" w:hAnsi="Constantia" w:cstheme="minorHAnsi"/>
          <w:color w:val="000000" w:themeColor="text1"/>
        </w:rPr>
        <w:t xml:space="preserve">Gingrich, J., 2015, ‘Coalitions, policies, and distribution: Esping-Andersen's Three Worlds of Welfare Capitalism’ in James Mahoney and Kathleen Turner (Eds.), </w:t>
      </w:r>
      <w:r w:rsidRPr="004C77FD">
        <w:rPr>
          <w:rFonts w:ascii="Constantia" w:hAnsi="Constantia" w:cstheme="minorHAnsi"/>
          <w:i/>
          <w:color w:val="000000" w:themeColor="text1"/>
        </w:rPr>
        <w:t>Advances in Comparative-Historical Analysis</w:t>
      </w:r>
      <w:r w:rsidRPr="004C77FD">
        <w:rPr>
          <w:rFonts w:ascii="Constantia" w:hAnsi="Constantia" w:cstheme="minorHAnsi"/>
          <w:color w:val="000000" w:themeColor="text1"/>
        </w:rPr>
        <w:t>, Cambridge: Cambridge University Press</w:t>
      </w:r>
    </w:p>
    <w:p w14:paraId="24E0BED7" w14:textId="77777777" w:rsidR="004C77FD" w:rsidRPr="004C77FD" w:rsidRDefault="004C77FD" w:rsidP="004C77FD">
      <w:pPr>
        <w:pStyle w:val="Heading3"/>
        <w:shd w:val="clear" w:color="auto" w:fill="FFFFFF"/>
        <w:spacing w:before="0"/>
        <w:ind w:left="-397" w:right="-397"/>
        <w:textAlignment w:val="baseline"/>
        <w:rPr>
          <w:rFonts w:ascii="Constantia" w:hAnsi="Constantia" w:cstheme="minorHAnsi"/>
          <w:color w:val="000000" w:themeColor="text1"/>
        </w:rPr>
      </w:pPr>
    </w:p>
    <w:p w14:paraId="292D9454" w14:textId="513C77B1" w:rsidR="004C77FD" w:rsidRPr="007B61C3" w:rsidRDefault="004C77FD" w:rsidP="004C77FD">
      <w:pPr>
        <w:pStyle w:val="Heading3"/>
        <w:shd w:val="clear" w:color="auto" w:fill="FFFFFF"/>
        <w:spacing w:before="0"/>
        <w:ind w:left="-397" w:right="-397"/>
        <w:textAlignment w:val="baseline"/>
        <w:rPr>
          <w:rFonts w:ascii="Constantia" w:hAnsi="Constantia" w:cstheme="minorHAnsi"/>
          <w:color w:val="000000" w:themeColor="text1"/>
          <w:lang w:val="da-DK"/>
        </w:rPr>
      </w:pPr>
      <w:r w:rsidRPr="00766F73">
        <w:rPr>
          <w:rFonts w:ascii="Constantia" w:hAnsi="Constantia" w:cstheme="minorHAnsi"/>
          <w:lang w:val="da-DK"/>
        </w:rPr>
        <w:t xml:space="preserve">Goul Andersen, J., Larsen, C.A,, og Jensen, J.B.,. 2003. </w:t>
      </w:r>
      <w:r w:rsidRPr="007B61C3">
        <w:rPr>
          <w:rFonts w:ascii="Constantia" w:hAnsi="Constantia" w:cstheme="minorHAnsi"/>
          <w:i/>
          <w:lang w:val="da-DK"/>
        </w:rPr>
        <w:t>Marginalisering og Velfærdspolitik</w:t>
      </w:r>
      <w:r w:rsidRPr="007B61C3">
        <w:rPr>
          <w:rFonts w:ascii="Constantia" w:hAnsi="Constantia" w:cstheme="minorHAnsi"/>
          <w:lang w:val="da-DK"/>
        </w:rPr>
        <w:t>, Copenhagen, Frydenlund.</w:t>
      </w:r>
    </w:p>
    <w:p w14:paraId="5FF4999B" w14:textId="77777777" w:rsidR="00405FEE" w:rsidRPr="007B61C3" w:rsidRDefault="00405FEE" w:rsidP="00405FEE">
      <w:pPr>
        <w:ind w:left="-397" w:right="-397"/>
        <w:jc w:val="both"/>
        <w:rPr>
          <w:rFonts w:ascii="Constantia" w:hAnsi="Constantia" w:cstheme="minorHAnsi"/>
          <w:color w:val="000000" w:themeColor="text1"/>
          <w:lang w:val="da-DK"/>
        </w:rPr>
      </w:pPr>
    </w:p>
    <w:p w14:paraId="45B5C818" w14:textId="77777777" w:rsidR="00405FEE" w:rsidRPr="004C77FD" w:rsidRDefault="00405FEE" w:rsidP="00405FEE">
      <w:pPr>
        <w:ind w:left="-397" w:right="-397"/>
        <w:jc w:val="both"/>
        <w:rPr>
          <w:rFonts w:ascii="Constantia" w:hAnsi="Constantia" w:cstheme="minorHAnsi"/>
          <w:color w:val="000000" w:themeColor="text1"/>
        </w:rPr>
      </w:pPr>
      <w:r w:rsidRPr="004C77FD">
        <w:rPr>
          <w:rFonts w:ascii="Constantia" w:hAnsi="Constantia" w:cstheme="minorHAnsi"/>
          <w:color w:val="000000" w:themeColor="text1"/>
        </w:rPr>
        <w:t>Griggs, J., &amp; Evans, M., 2010. Sanctions within conditional benefit systems: A review of evidence. York: JRF</w:t>
      </w:r>
    </w:p>
    <w:p w14:paraId="69CA1310" w14:textId="77777777" w:rsidR="00405FEE" w:rsidRPr="004C77FD" w:rsidRDefault="00405FEE" w:rsidP="00405FEE">
      <w:pPr>
        <w:ind w:left="-397" w:right="-397"/>
        <w:jc w:val="both"/>
        <w:rPr>
          <w:rFonts w:ascii="Constantia" w:hAnsi="Constantia"/>
          <w:color w:val="000000" w:themeColor="text1"/>
        </w:rPr>
      </w:pPr>
    </w:p>
    <w:p w14:paraId="084A3E8F" w14:textId="77777777" w:rsidR="00405FEE" w:rsidRPr="004C77FD" w:rsidRDefault="00405FEE" w:rsidP="00405FEE">
      <w:pPr>
        <w:ind w:left="-397" w:right="-397"/>
        <w:jc w:val="both"/>
        <w:rPr>
          <w:rFonts w:ascii="Constantia" w:hAnsi="Constantia"/>
          <w:color w:val="000000" w:themeColor="text1"/>
        </w:rPr>
      </w:pPr>
      <w:r w:rsidRPr="004C77FD">
        <w:rPr>
          <w:rFonts w:ascii="Constantia" w:hAnsi="Constantia"/>
          <w:color w:val="000000" w:themeColor="text1"/>
        </w:rPr>
        <w:t>Haagh, L. 2019a, ‘</w:t>
      </w:r>
      <w:r w:rsidRPr="004C77FD">
        <w:rPr>
          <w:rFonts w:ascii="Constantia" w:eastAsia="Times New Roman" w:hAnsi="Constantia"/>
          <w:color w:val="000000" w:themeColor="text1"/>
          <w:lang w:eastAsia="en-GB"/>
        </w:rPr>
        <w:t>Governance Capacity and Institutional Change: Basic Income Reform in European Welfare States</w:t>
      </w:r>
      <w:r w:rsidRPr="004C77FD">
        <w:rPr>
          <w:rFonts w:ascii="Constantia" w:hAnsi="Constantia"/>
          <w:color w:val="000000" w:themeColor="text1"/>
        </w:rPr>
        <w:t xml:space="preserve">’, in </w:t>
      </w:r>
      <w:r w:rsidRPr="004C77FD">
        <w:rPr>
          <w:rFonts w:ascii="Constantia" w:hAnsi="Constantia"/>
          <w:i/>
          <w:color w:val="000000" w:themeColor="text1"/>
        </w:rPr>
        <w:t>Social Policy and Society</w:t>
      </w:r>
      <w:r w:rsidRPr="004C77FD">
        <w:rPr>
          <w:rFonts w:ascii="Constantia" w:hAnsi="Constantia"/>
          <w:color w:val="000000" w:themeColor="text1"/>
        </w:rPr>
        <w:t>, forthcoming</w:t>
      </w:r>
    </w:p>
    <w:p w14:paraId="234E9D16" w14:textId="77777777" w:rsidR="00405FEE" w:rsidRPr="004C77FD" w:rsidRDefault="00405FEE" w:rsidP="00405FEE">
      <w:pPr>
        <w:ind w:left="-397" w:right="-397"/>
        <w:jc w:val="both"/>
        <w:rPr>
          <w:rFonts w:ascii="Constantia" w:hAnsi="Constantia"/>
          <w:color w:val="000000" w:themeColor="text1"/>
        </w:rPr>
      </w:pPr>
    </w:p>
    <w:p w14:paraId="19ED241E" w14:textId="77777777" w:rsidR="00405FEE" w:rsidRPr="004C77FD" w:rsidRDefault="00405FEE" w:rsidP="00405FEE">
      <w:pPr>
        <w:ind w:left="-397" w:right="-397"/>
        <w:jc w:val="both"/>
        <w:rPr>
          <w:rFonts w:ascii="Constantia" w:hAnsi="Constantia"/>
          <w:color w:val="000000" w:themeColor="text1"/>
        </w:rPr>
      </w:pPr>
      <w:r w:rsidRPr="004C77FD">
        <w:rPr>
          <w:rFonts w:ascii="Constantia" w:hAnsi="Constantia"/>
          <w:color w:val="000000" w:themeColor="text1"/>
        </w:rPr>
        <w:t xml:space="preserve">Haagh, L. 2019b, </w:t>
      </w:r>
      <w:r w:rsidRPr="004C77FD">
        <w:rPr>
          <w:rFonts w:ascii="Constantia" w:hAnsi="Constantia"/>
          <w:i/>
          <w:color w:val="000000" w:themeColor="text1"/>
        </w:rPr>
        <w:t>The Case for Basic Income</w:t>
      </w:r>
      <w:r w:rsidRPr="004C77FD">
        <w:rPr>
          <w:rFonts w:ascii="Constantia" w:hAnsi="Constantia"/>
          <w:color w:val="000000" w:themeColor="text1"/>
        </w:rPr>
        <w:t>, Cambridge: Polity</w:t>
      </w:r>
    </w:p>
    <w:p w14:paraId="6471D795" w14:textId="77777777" w:rsidR="003447BF" w:rsidRPr="004C77FD" w:rsidRDefault="003447BF" w:rsidP="00405FEE">
      <w:pPr>
        <w:shd w:val="clear" w:color="auto" w:fill="FFFFFF"/>
        <w:spacing w:line="270" w:lineRule="atLeast"/>
        <w:ind w:left="-397" w:right="-397"/>
        <w:textAlignment w:val="baseline"/>
        <w:rPr>
          <w:rFonts w:ascii="Constantia" w:hAnsi="Constantia"/>
          <w:color w:val="000000" w:themeColor="text1"/>
        </w:rPr>
      </w:pPr>
    </w:p>
    <w:p w14:paraId="398F658C" w14:textId="61A72636" w:rsidR="00405FEE" w:rsidRPr="004C77FD" w:rsidRDefault="00405FEE" w:rsidP="00405FEE">
      <w:pPr>
        <w:shd w:val="clear" w:color="auto" w:fill="FFFFFF"/>
        <w:spacing w:line="270" w:lineRule="atLeast"/>
        <w:ind w:left="-397" w:right="-397"/>
        <w:textAlignment w:val="baseline"/>
        <w:rPr>
          <w:rFonts w:ascii="Constantia" w:hAnsi="Constantia"/>
          <w:color w:val="595959"/>
        </w:rPr>
      </w:pPr>
      <w:r w:rsidRPr="004C77FD">
        <w:rPr>
          <w:rFonts w:ascii="Constantia" w:hAnsi="Constantia"/>
          <w:color w:val="000000" w:themeColor="text1"/>
        </w:rPr>
        <w:t xml:space="preserve">Haagh, L. 2018, The Developmental Social Contract and Basic Income in Denmark, </w:t>
      </w:r>
      <w:r w:rsidRPr="004C77FD">
        <w:rPr>
          <w:rFonts w:ascii="Constantia" w:hAnsi="Constantia"/>
          <w:i/>
          <w:color w:val="000000" w:themeColor="text1"/>
        </w:rPr>
        <w:t xml:space="preserve">Social Policy and Society, </w:t>
      </w:r>
      <w:r w:rsidRPr="004C77FD">
        <w:rPr>
          <w:rFonts w:ascii="Constantia" w:hAnsi="Constantia"/>
          <w:color w:val="595959"/>
        </w:rPr>
        <w:t>Published online: </w:t>
      </w:r>
      <w:r w:rsidRPr="004C77FD">
        <w:rPr>
          <w:rStyle w:val="Date1"/>
          <w:rFonts w:ascii="Constantia" w:hAnsi="Constantia"/>
          <w:color w:val="595959"/>
          <w:bdr w:val="none" w:sz="0" w:space="0" w:color="auto" w:frame="1"/>
        </w:rPr>
        <w:t>31 August 2018</w:t>
      </w:r>
      <w:r w:rsidRPr="004C77FD">
        <w:rPr>
          <w:rFonts w:ascii="Constantia" w:hAnsi="Constantia"/>
          <w:color w:val="595959"/>
        </w:rPr>
        <w:t xml:space="preserve">, </w:t>
      </w:r>
      <w:hyperlink r:id="rId20" w:history="1">
        <w:r w:rsidRPr="004C77FD">
          <w:rPr>
            <w:rStyle w:val="Hyperlink"/>
            <w:rFonts w:ascii="Constantia" w:hAnsi="Constantia"/>
            <w:bdr w:val="none" w:sz="0" w:space="0" w:color="auto" w:frame="1"/>
          </w:rPr>
          <w:t>https://doi.org/10.1017/S1474746418000301</w:t>
        </w:r>
      </w:hyperlink>
    </w:p>
    <w:p w14:paraId="4D376CBF" w14:textId="77777777" w:rsidR="00405FEE" w:rsidRPr="004C77FD" w:rsidRDefault="00405FEE" w:rsidP="00405FEE">
      <w:pPr>
        <w:ind w:right="-397"/>
        <w:jc w:val="both"/>
        <w:rPr>
          <w:rFonts w:ascii="Constantia" w:hAnsi="Constantia"/>
          <w:color w:val="000000" w:themeColor="text1"/>
        </w:rPr>
      </w:pPr>
    </w:p>
    <w:p w14:paraId="6253C0C3" w14:textId="77777777" w:rsidR="00405FEE" w:rsidRPr="004C77FD" w:rsidRDefault="00405FEE" w:rsidP="00405FEE">
      <w:pPr>
        <w:pStyle w:val="Heading2"/>
        <w:pBdr>
          <w:top w:val="single" w:sz="6" w:space="0" w:color="EEEEEE"/>
          <w:bottom w:val="single" w:sz="6" w:space="4" w:color="EEEEEE"/>
        </w:pBdr>
        <w:spacing w:before="0" w:beforeAutospacing="0" w:after="0" w:afterAutospacing="0"/>
        <w:ind w:left="-397" w:right="-397"/>
        <w:rPr>
          <w:rFonts w:ascii="Constantia" w:hAnsi="Constantia" w:cs="Lucida Grande"/>
          <w:b w:val="0"/>
          <w:color w:val="000000" w:themeColor="text1"/>
          <w:sz w:val="24"/>
          <w:szCs w:val="24"/>
        </w:rPr>
      </w:pPr>
      <w:r w:rsidRPr="004C77FD">
        <w:rPr>
          <w:rFonts w:ascii="Constantia" w:hAnsi="Constantia"/>
          <w:b w:val="0"/>
          <w:color w:val="000000" w:themeColor="text1"/>
          <w:sz w:val="24"/>
          <w:szCs w:val="24"/>
        </w:rPr>
        <w:t xml:space="preserve">Haagh, 2017a, </w:t>
      </w:r>
      <w:r w:rsidRPr="004C77FD">
        <w:rPr>
          <w:rFonts w:ascii="Constantia" w:hAnsi="Constantia" w:cs="Lucida Grande"/>
          <w:b w:val="0"/>
          <w:color w:val="000000" w:themeColor="text1"/>
          <w:sz w:val="24"/>
          <w:szCs w:val="24"/>
        </w:rPr>
        <w:t xml:space="preserve">Basic Income Should be Seen as a Democratic Right, not a Solution to Unemployment, </w:t>
      </w:r>
      <w:r w:rsidRPr="004C77FD">
        <w:rPr>
          <w:rStyle w:val="Date1"/>
          <w:rFonts w:ascii="Constantia" w:hAnsi="Constantia" w:cs="Lucida Grande"/>
          <w:b w:val="0"/>
          <w:color w:val="000000" w:themeColor="text1"/>
          <w:sz w:val="24"/>
          <w:szCs w:val="24"/>
        </w:rPr>
        <w:t>Mar 2017</w:t>
      </w:r>
      <w:r w:rsidRPr="004C77FD">
        <w:rPr>
          <w:rFonts w:ascii="Constantia" w:hAnsi="Constantia" w:cs="Lucida Grande"/>
          <w:b w:val="0"/>
          <w:color w:val="000000" w:themeColor="text1"/>
          <w:sz w:val="24"/>
          <w:szCs w:val="24"/>
        </w:rPr>
        <w:t>, </w:t>
      </w:r>
      <w:r w:rsidRPr="004C77FD">
        <w:rPr>
          <w:rStyle w:val="journal"/>
          <w:rFonts w:ascii="Constantia" w:hAnsi="Constantia" w:cs="Lucida Grande"/>
          <w:b w:val="0"/>
          <w:color w:val="000000" w:themeColor="text1"/>
          <w:sz w:val="24"/>
          <w:szCs w:val="24"/>
        </w:rPr>
        <w:t>In : </w:t>
      </w:r>
      <w:r w:rsidRPr="004C77FD">
        <w:rPr>
          <w:rStyle w:val="journal"/>
          <w:rFonts w:ascii="Constantia" w:hAnsi="Constantia" w:cs="Lucida Grande"/>
          <w:b w:val="0"/>
          <w:i/>
          <w:color w:val="000000" w:themeColor="text1"/>
          <w:sz w:val="24"/>
          <w:szCs w:val="24"/>
        </w:rPr>
        <w:t>Royal Society of Arts Journal</w:t>
      </w:r>
      <w:r w:rsidRPr="004C77FD">
        <w:rPr>
          <w:rStyle w:val="journal"/>
          <w:rFonts w:ascii="Constantia" w:hAnsi="Constantia" w:cs="Lucida Grande"/>
          <w:b w:val="0"/>
          <w:color w:val="000000" w:themeColor="text1"/>
          <w:sz w:val="24"/>
          <w:szCs w:val="24"/>
        </w:rPr>
        <w:t>.</w:t>
      </w:r>
      <w:r w:rsidRPr="004C77FD">
        <w:rPr>
          <w:rFonts w:ascii="Constantia" w:hAnsi="Constantia" w:cs="Lucida Grande"/>
          <w:b w:val="0"/>
          <w:color w:val="000000" w:themeColor="text1"/>
          <w:sz w:val="24"/>
          <w:szCs w:val="24"/>
        </w:rPr>
        <w:t> </w:t>
      </w:r>
      <w:r w:rsidRPr="004C77FD">
        <w:rPr>
          <w:rStyle w:val="journalnumber"/>
          <w:rFonts w:ascii="Constantia" w:hAnsi="Constantia" w:cs="Lucida Grande"/>
          <w:b w:val="0"/>
          <w:color w:val="000000" w:themeColor="text1"/>
          <w:sz w:val="24"/>
          <w:szCs w:val="24"/>
        </w:rPr>
        <w:t>4</w:t>
      </w:r>
    </w:p>
    <w:p w14:paraId="4216EFD3" w14:textId="77777777" w:rsidR="00405FEE" w:rsidRPr="00221F4B" w:rsidRDefault="00405FEE" w:rsidP="00405FEE">
      <w:pPr>
        <w:ind w:right="-397"/>
        <w:jc w:val="both"/>
        <w:rPr>
          <w:rFonts w:ascii="Constantia" w:hAnsi="Constantia"/>
          <w:color w:val="000000" w:themeColor="text1"/>
        </w:rPr>
      </w:pPr>
    </w:p>
    <w:p w14:paraId="04FB5C94" w14:textId="77777777" w:rsidR="00405FEE" w:rsidRPr="00221F4B" w:rsidRDefault="00405FEE" w:rsidP="00405FEE">
      <w:pPr>
        <w:pStyle w:val="Heading2"/>
        <w:pBdr>
          <w:top w:val="single" w:sz="6" w:space="0" w:color="EEEEEE"/>
          <w:bottom w:val="single" w:sz="6" w:space="4" w:color="EEEEEE"/>
        </w:pBdr>
        <w:spacing w:before="0" w:beforeAutospacing="0" w:after="0" w:afterAutospacing="0"/>
        <w:ind w:left="-397" w:right="-397"/>
        <w:rPr>
          <w:rFonts w:ascii="Constantia" w:hAnsi="Constantia" w:cs="Lucida Grande"/>
          <w:b w:val="0"/>
          <w:color w:val="000000" w:themeColor="text1"/>
          <w:sz w:val="24"/>
          <w:szCs w:val="24"/>
        </w:rPr>
      </w:pPr>
      <w:r w:rsidRPr="00221F4B">
        <w:rPr>
          <w:rFonts w:ascii="Constantia" w:hAnsi="Constantia"/>
          <w:b w:val="0"/>
          <w:color w:val="000000" w:themeColor="text1"/>
          <w:sz w:val="24"/>
          <w:szCs w:val="24"/>
        </w:rPr>
        <w:t xml:space="preserve">Haagh 2017b, </w:t>
      </w:r>
      <w:r w:rsidRPr="00221F4B">
        <w:rPr>
          <w:rFonts w:ascii="Constantia" w:hAnsi="Constantia" w:cs="Lucida Grande"/>
          <w:b w:val="0"/>
          <w:color w:val="000000" w:themeColor="text1"/>
          <w:sz w:val="24"/>
          <w:szCs w:val="24"/>
        </w:rPr>
        <w:t xml:space="preserve">Basic Income as a Pivoting Reform, </w:t>
      </w:r>
      <w:r w:rsidRPr="00221F4B">
        <w:rPr>
          <w:rStyle w:val="journal"/>
          <w:rFonts w:ascii="Constantia" w:hAnsi="Constantia" w:cs="Lucida Grande"/>
          <w:b w:val="0"/>
          <w:color w:val="000000" w:themeColor="text1"/>
          <w:sz w:val="24"/>
          <w:szCs w:val="24"/>
        </w:rPr>
        <w:t xml:space="preserve">Nature - </w:t>
      </w:r>
      <w:r w:rsidRPr="00CD5ACF">
        <w:rPr>
          <w:rStyle w:val="journal"/>
          <w:rFonts w:ascii="Constantia" w:hAnsi="Constantia" w:cs="Lucida Grande"/>
          <w:b w:val="0"/>
          <w:i/>
          <w:color w:val="000000" w:themeColor="text1"/>
          <w:sz w:val="24"/>
          <w:szCs w:val="24"/>
        </w:rPr>
        <w:t>Human Behaviour.</w:t>
      </w:r>
      <w:r w:rsidRPr="00221F4B">
        <w:rPr>
          <w:rFonts w:ascii="Constantia" w:hAnsi="Constantia" w:cs="Lucida Grande"/>
          <w:b w:val="0"/>
          <w:color w:val="000000" w:themeColor="text1"/>
          <w:sz w:val="24"/>
          <w:szCs w:val="24"/>
        </w:rPr>
        <w:t> </w:t>
      </w:r>
      <w:r w:rsidRPr="00221F4B">
        <w:rPr>
          <w:rStyle w:val="volume"/>
          <w:rFonts w:ascii="Constantia" w:hAnsi="Constantia" w:cs="Lucida Grande"/>
          <w:b w:val="0"/>
          <w:color w:val="000000" w:themeColor="text1"/>
          <w:sz w:val="24"/>
          <w:szCs w:val="24"/>
        </w:rPr>
        <w:t>1</w:t>
      </w:r>
      <w:r w:rsidRPr="00221F4B">
        <w:rPr>
          <w:rFonts w:ascii="Constantia" w:hAnsi="Constantia" w:cs="Lucida Grande"/>
          <w:b w:val="0"/>
          <w:color w:val="000000" w:themeColor="text1"/>
          <w:sz w:val="24"/>
          <w:szCs w:val="24"/>
        </w:rPr>
        <w:t>, </w:t>
      </w:r>
      <w:r w:rsidRPr="00221F4B">
        <w:rPr>
          <w:rStyle w:val="journalnumber"/>
          <w:rFonts w:ascii="Constantia" w:hAnsi="Constantia" w:cs="Lucida Grande"/>
          <w:b w:val="0"/>
          <w:color w:val="000000" w:themeColor="text1"/>
          <w:sz w:val="24"/>
          <w:szCs w:val="24"/>
        </w:rPr>
        <w:t>1</w:t>
      </w:r>
      <w:r w:rsidRPr="00221F4B">
        <w:rPr>
          <w:rFonts w:ascii="Constantia" w:hAnsi="Constantia" w:cs="Lucida Grande"/>
          <w:b w:val="0"/>
          <w:color w:val="000000" w:themeColor="text1"/>
          <w:sz w:val="24"/>
          <w:szCs w:val="24"/>
        </w:rPr>
        <w:t>, </w:t>
      </w:r>
      <w:r w:rsidRPr="00221F4B">
        <w:rPr>
          <w:rStyle w:val="pages"/>
          <w:rFonts w:ascii="Constantia" w:hAnsi="Constantia" w:cs="Lucida Grande"/>
          <w:b w:val="0"/>
          <w:color w:val="000000" w:themeColor="text1"/>
          <w:sz w:val="24"/>
          <w:szCs w:val="24"/>
        </w:rPr>
        <w:t>p. 1-3</w:t>
      </w:r>
      <w:r w:rsidRPr="00221F4B">
        <w:rPr>
          <w:rFonts w:ascii="Constantia" w:hAnsi="Constantia" w:cs="Lucida Grande"/>
          <w:b w:val="0"/>
          <w:color w:val="000000" w:themeColor="text1"/>
          <w:sz w:val="24"/>
          <w:szCs w:val="24"/>
        </w:rPr>
        <w:t> </w:t>
      </w:r>
      <w:r w:rsidRPr="00221F4B">
        <w:rPr>
          <w:rStyle w:val="numberofpages"/>
          <w:rFonts w:ascii="Constantia" w:hAnsi="Constantia" w:cs="Lucida Grande"/>
          <w:b w:val="0"/>
          <w:color w:val="000000" w:themeColor="text1"/>
          <w:sz w:val="24"/>
          <w:szCs w:val="24"/>
        </w:rPr>
        <w:t>3 p.</w:t>
      </w:r>
      <w:r w:rsidRPr="00221F4B">
        <w:rPr>
          <w:rFonts w:ascii="Constantia" w:hAnsi="Constantia" w:cs="Lucida Grande"/>
          <w:b w:val="0"/>
          <w:color w:val="000000" w:themeColor="text1"/>
          <w:sz w:val="24"/>
          <w:szCs w:val="24"/>
        </w:rPr>
        <w:t>, 0125, June</w:t>
      </w:r>
    </w:p>
    <w:p w14:paraId="3A1B54F6" w14:textId="77777777" w:rsidR="00405FEE" w:rsidRPr="00221F4B" w:rsidRDefault="00405FEE" w:rsidP="00405FEE">
      <w:pPr>
        <w:ind w:left="-397" w:right="-397"/>
        <w:jc w:val="both"/>
        <w:rPr>
          <w:rFonts w:ascii="Constantia" w:hAnsi="Constantia"/>
          <w:color w:val="000000" w:themeColor="text1"/>
        </w:rPr>
      </w:pPr>
    </w:p>
    <w:p w14:paraId="459727E0" w14:textId="77777777" w:rsidR="00405FEE" w:rsidRPr="00221F4B" w:rsidRDefault="00405FEE" w:rsidP="00405FEE">
      <w:pPr>
        <w:ind w:left="-397" w:right="-397"/>
        <w:jc w:val="both"/>
        <w:outlineLvl w:val="1"/>
        <w:rPr>
          <w:rFonts w:ascii="Constantia" w:eastAsia="Times New Roman" w:hAnsi="Constantia"/>
          <w:color w:val="000000" w:themeColor="text1"/>
          <w:lang w:eastAsia="en-GB"/>
        </w:rPr>
      </w:pPr>
      <w:r w:rsidRPr="00221F4B">
        <w:rPr>
          <w:rFonts w:ascii="Constantia" w:eastAsia="Times New Roman" w:hAnsi="Constantia"/>
          <w:color w:val="000000" w:themeColor="text1"/>
          <w:lang w:eastAsia="en-GB"/>
        </w:rPr>
        <w:lastRenderedPageBreak/>
        <w:t xml:space="preserve">Haagh, L. 2015, Alternative Social States and the Basic Income Debate: Institutions, Inequality and Human Development, </w:t>
      </w:r>
      <w:r w:rsidRPr="00CD5ACF">
        <w:rPr>
          <w:rFonts w:ascii="Constantia" w:eastAsia="Times New Roman" w:hAnsi="Constantia"/>
          <w:i/>
          <w:color w:val="000000" w:themeColor="text1"/>
          <w:lang w:eastAsia="en-GB"/>
        </w:rPr>
        <w:t>Basic Income Studies</w:t>
      </w:r>
      <w:r w:rsidRPr="00221F4B">
        <w:rPr>
          <w:rFonts w:ascii="Constantia" w:eastAsia="Times New Roman" w:hAnsi="Constantia"/>
          <w:color w:val="000000" w:themeColor="text1"/>
          <w:lang w:eastAsia="en-GB"/>
        </w:rPr>
        <w:t>, Vol, 10, Issue 1, 45-81.</w:t>
      </w:r>
    </w:p>
    <w:p w14:paraId="52E1934A" w14:textId="77777777" w:rsidR="00405FEE" w:rsidRDefault="00405FEE" w:rsidP="00405FEE">
      <w:pPr>
        <w:ind w:left="-397" w:right="-397"/>
        <w:jc w:val="both"/>
        <w:outlineLvl w:val="1"/>
        <w:rPr>
          <w:rFonts w:ascii="Constantia" w:eastAsia="Times New Roman" w:hAnsi="Constantia"/>
          <w:color w:val="000000" w:themeColor="text1"/>
          <w:lang w:eastAsia="en-GB"/>
        </w:rPr>
      </w:pPr>
    </w:p>
    <w:p w14:paraId="32DC72B2" w14:textId="77777777" w:rsidR="00405FEE" w:rsidRPr="000B6A12" w:rsidRDefault="00405FEE" w:rsidP="00405FEE">
      <w:pPr>
        <w:ind w:left="-397" w:right="-397"/>
        <w:jc w:val="both"/>
        <w:outlineLvl w:val="1"/>
        <w:rPr>
          <w:rFonts w:ascii="Constantia" w:eastAsia="Times New Roman" w:hAnsi="Constantia"/>
          <w:color w:val="000000" w:themeColor="text1"/>
          <w:lang w:eastAsia="en-GB"/>
        </w:rPr>
      </w:pPr>
      <w:r w:rsidRPr="00221F4B">
        <w:rPr>
          <w:rFonts w:ascii="Constantia" w:eastAsia="Times New Roman" w:hAnsi="Constantia"/>
          <w:color w:val="000000" w:themeColor="text1"/>
          <w:lang w:eastAsia="en-GB"/>
        </w:rPr>
        <w:t xml:space="preserve">Haagh, L. </w:t>
      </w:r>
      <w:r>
        <w:rPr>
          <w:rFonts w:ascii="Constantia" w:eastAsia="Times New Roman" w:hAnsi="Constantia"/>
          <w:color w:val="000000" w:themeColor="text1"/>
          <w:lang w:eastAsia="en-GB"/>
        </w:rPr>
        <w:t xml:space="preserve">2012a, The Basic Income and Different Egalitarian Rights to Security, </w:t>
      </w:r>
      <w:r w:rsidRPr="00CD5ACF">
        <w:rPr>
          <w:rFonts w:ascii="Constantia" w:eastAsia="Times New Roman" w:hAnsi="Constantia"/>
          <w:i/>
          <w:color w:val="000000" w:themeColor="text1"/>
          <w:lang w:eastAsia="en-GB"/>
        </w:rPr>
        <w:t>Trends in Social Cohesion</w:t>
      </w:r>
      <w:r>
        <w:rPr>
          <w:rFonts w:ascii="Constantia" w:eastAsia="Times New Roman" w:hAnsi="Constantia"/>
          <w:color w:val="000000" w:themeColor="text1"/>
          <w:lang w:eastAsia="en-GB"/>
        </w:rPr>
        <w:t>, Council of Europe,</w:t>
      </w:r>
    </w:p>
    <w:p w14:paraId="4E28F752" w14:textId="77777777" w:rsidR="00405FEE" w:rsidRPr="000B6A12" w:rsidRDefault="00405FEE" w:rsidP="00405FEE">
      <w:pPr>
        <w:shd w:val="clear" w:color="auto" w:fill="FFFFFF"/>
        <w:spacing w:before="100" w:beforeAutospacing="1" w:after="100" w:afterAutospacing="1"/>
        <w:ind w:left="-397" w:right="-397"/>
        <w:jc w:val="both"/>
        <w:outlineLvl w:val="1"/>
        <w:rPr>
          <w:rFonts w:ascii="Constantia" w:eastAsia="Times New Roman" w:hAnsi="Constantia"/>
          <w:color w:val="000000" w:themeColor="text1"/>
          <w:lang w:eastAsia="en-GB"/>
        </w:rPr>
      </w:pPr>
      <w:r w:rsidRPr="000B6A12">
        <w:rPr>
          <w:rFonts w:ascii="Constantia" w:eastAsia="Times New Roman" w:hAnsi="Constantia"/>
          <w:color w:val="000000" w:themeColor="text1"/>
          <w:lang w:eastAsia="en-GB"/>
        </w:rPr>
        <w:t xml:space="preserve">Haagh, L., 2012b, Democracy, Public Finance, and Property Rights in Economic Stability: how more Horizontal Capitalism Upscales Freedom for all, </w:t>
      </w:r>
      <w:r w:rsidRPr="00CD5ACF">
        <w:rPr>
          <w:rFonts w:ascii="Constantia" w:eastAsia="Times New Roman" w:hAnsi="Constantia"/>
          <w:i/>
          <w:color w:val="000000" w:themeColor="text1"/>
          <w:lang w:eastAsia="en-GB"/>
        </w:rPr>
        <w:t>Polity</w:t>
      </w:r>
      <w:r w:rsidRPr="000B6A12">
        <w:rPr>
          <w:rFonts w:ascii="Constantia" w:eastAsia="Times New Roman" w:hAnsi="Constantia"/>
          <w:color w:val="000000" w:themeColor="text1"/>
          <w:lang w:eastAsia="en-GB"/>
        </w:rPr>
        <w:t>, 44, 542-587.</w:t>
      </w:r>
    </w:p>
    <w:p w14:paraId="14A4EAC5" w14:textId="77777777" w:rsidR="00405FEE" w:rsidRPr="00221F4B" w:rsidRDefault="00405FEE" w:rsidP="00405FEE">
      <w:pPr>
        <w:shd w:val="clear" w:color="auto" w:fill="FFFFFF"/>
        <w:spacing w:before="100" w:beforeAutospacing="1" w:after="100" w:afterAutospacing="1"/>
        <w:ind w:left="-397" w:right="-397"/>
        <w:jc w:val="both"/>
        <w:outlineLvl w:val="1"/>
        <w:rPr>
          <w:rFonts w:ascii="Constantia" w:eastAsia="Times New Roman" w:hAnsi="Constantia"/>
          <w:color w:val="000000" w:themeColor="text1"/>
          <w:lang w:eastAsia="en-GB"/>
        </w:rPr>
      </w:pPr>
      <w:r w:rsidRPr="000B6A12">
        <w:rPr>
          <w:rFonts w:ascii="Constantia" w:eastAsia="Times New Roman" w:hAnsi="Constantia"/>
          <w:color w:val="000000" w:themeColor="text1"/>
          <w:lang w:eastAsia="en-GB"/>
        </w:rPr>
        <w:t xml:space="preserve">Haagh, L., 2011b, Working Life, Well-Being and Welfare Reform: Motivation and Institutions Revisited, </w:t>
      </w:r>
      <w:r w:rsidRPr="00CD5ACF">
        <w:rPr>
          <w:rFonts w:ascii="Constantia" w:eastAsia="Times New Roman" w:hAnsi="Constantia"/>
          <w:i/>
          <w:color w:val="000000" w:themeColor="text1"/>
          <w:lang w:eastAsia="en-GB"/>
        </w:rPr>
        <w:t>World Development</w:t>
      </w:r>
      <w:r w:rsidRPr="00221F4B">
        <w:rPr>
          <w:rFonts w:ascii="Constantia" w:eastAsia="Times New Roman" w:hAnsi="Constantia"/>
          <w:color w:val="000000" w:themeColor="text1"/>
          <w:lang w:eastAsia="en-GB"/>
        </w:rPr>
        <w:t>, Vol. 39, Issue 3., 450-473.</w:t>
      </w:r>
    </w:p>
    <w:p w14:paraId="15CF4336" w14:textId="77777777" w:rsidR="00405FEE" w:rsidRPr="00221F4B" w:rsidRDefault="00405FEE" w:rsidP="00405FEE">
      <w:pPr>
        <w:shd w:val="clear" w:color="auto" w:fill="FFFFFF"/>
        <w:spacing w:before="100" w:beforeAutospacing="1" w:after="100" w:afterAutospacing="1"/>
        <w:ind w:left="-397" w:right="-397"/>
        <w:jc w:val="both"/>
        <w:outlineLvl w:val="1"/>
        <w:rPr>
          <w:rFonts w:ascii="Constantia" w:eastAsia="Times New Roman" w:hAnsi="Constantia"/>
          <w:color w:val="000000" w:themeColor="text1"/>
          <w:lang w:eastAsia="en-GB"/>
        </w:rPr>
      </w:pPr>
      <w:r w:rsidRPr="00221F4B">
        <w:rPr>
          <w:rFonts w:ascii="Constantia" w:eastAsia="Times New Roman" w:hAnsi="Constantia"/>
          <w:color w:val="000000" w:themeColor="text1"/>
          <w:lang w:eastAsia="en-GB"/>
        </w:rPr>
        <w:t>Haagh, L. 2011a, Basic Income, Social Democra</w:t>
      </w:r>
      <w:r>
        <w:rPr>
          <w:rFonts w:ascii="Constantia" w:eastAsia="Times New Roman" w:hAnsi="Constantia"/>
          <w:color w:val="000000" w:themeColor="text1"/>
          <w:lang w:eastAsia="en-GB"/>
        </w:rPr>
        <w:t xml:space="preserve">cy and Control over Time, </w:t>
      </w:r>
      <w:r w:rsidRPr="00CF78E5">
        <w:rPr>
          <w:rFonts w:ascii="Constantia" w:eastAsia="Times New Roman" w:hAnsi="Constantia"/>
          <w:i/>
          <w:color w:val="000000" w:themeColor="text1"/>
          <w:lang w:eastAsia="en-GB"/>
        </w:rPr>
        <w:t>Policy and Politics</w:t>
      </w:r>
      <w:r w:rsidRPr="00221F4B">
        <w:rPr>
          <w:rFonts w:ascii="Constantia" w:eastAsia="Times New Roman" w:hAnsi="Constantia"/>
          <w:color w:val="000000" w:themeColor="text1"/>
          <w:lang w:eastAsia="en-GB"/>
        </w:rPr>
        <w:t>, Vol. 39, Issue No 1, pp. 43-66.</w:t>
      </w:r>
    </w:p>
    <w:p w14:paraId="2E6497FB" w14:textId="4D87CC27" w:rsidR="008E6E81" w:rsidRPr="003447BF" w:rsidRDefault="00405FEE" w:rsidP="003447BF">
      <w:pPr>
        <w:pStyle w:val="NormalWeb"/>
        <w:shd w:val="clear" w:color="auto" w:fill="FFFFFF"/>
        <w:spacing w:before="0" w:beforeAutospacing="0" w:after="225" w:afterAutospacing="0" w:line="288" w:lineRule="atLeast"/>
        <w:ind w:left="-397" w:right="-397"/>
        <w:rPr>
          <w:rFonts w:ascii="Constantia" w:hAnsi="Constantia"/>
          <w:color w:val="000000" w:themeColor="text1"/>
        </w:rPr>
      </w:pPr>
      <w:r w:rsidRPr="00221F4B">
        <w:rPr>
          <w:rFonts w:ascii="Constantia" w:hAnsi="Constantia"/>
          <w:color w:val="000000" w:themeColor="text1"/>
        </w:rPr>
        <w:t xml:space="preserve">Haagh, L., 2001, ‘The Challenges of Labor Reform in Korea: A Review of Contrasting Approaches to Market Enhancement and Experiences from Chile and Denmark’ in </w:t>
      </w:r>
      <w:r w:rsidRPr="00CF78E5">
        <w:rPr>
          <w:rFonts w:ascii="Constantia" w:hAnsi="Constantia"/>
          <w:i/>
          <w:color w:val="000000" w:themeColor="text1"/>
        </w:rPr>
        <w:t>Labor Market Reforms in Korea: Policy Options for the Futur</w:t>
      </w:r>
      <w:r w:rsidRPr="00221F4B">
        <w:rPr>
          <w:rFonts w:ascii="Constantia" w:hAnsi="Constantia"/>
          <w:color w:val="000000" w:themeColor="text1"/>
        </w:rPr>
        <w:t>e, Park, F-k, Park, Y-b, Betcherman, G, an</w:t>
      </w:r>
      <w:r w:rsidR="003447BF">
        <w:rPr>
          <w:rFonts w:ascii="Constantia" w:hAnsi="Constantia"/>
          <w:color w:val="000000" w:themeColor="text1"/>
        </w:rPr>
        <w:t>d Dar A. (Eds), The World Bank.</w:t>
      </w:r>
    </w:p>
    <w:p w14:paraId="7C58C279" w14:textId="1338845D" w:rsidR="008E6E81" w:rsidRPr="005234EE" w:rsidRDefault="002C2DC4" w:rsidP="002C2DC4">
      <w:pPr>
        <w:ind w:left="-397" w:right="-397"/>
        <w:rPr>
          <w:rFonts w:ascii="Calibri" w:hAnsi="Calibri"/>
          <w:color w:val="000000" w:themeColor="text1"/>
          <w:lang w:val="en-GB"/>
        </w:rPr>
      </w:pPr>
      <w:r w:rsidRPr="005234EE">
        <w:rPr>
          <w:rFonts w:ascii="Calibri" w:hAnsi="Calibri"/>
          <w:color w:val="000000" w:themeColor="text1"/>
          <w:lang w:val="en-GB"/>
        </w:rPr>
        <w:t>Haagh, L.</w:t>
      </w:r>
      <w:r w:rsidR="008E6E81" w:rsidRPr="005234EE">
        <w:rPr>
          <w:rFonts w:ascii="Calibri" w:hAnsi="Calibri"/>
          <w:color w:val="000000" w:themeColor="text1"/>
          <w:lang w:val="en-GB"/>
        </w:rPr>
        <w:t xml:space="preserve"> </w:t>
      </w:r>
      <w:r w:rsidRPr="005234EE">
        <w:rPr>
          <w:rFonts w:ascii="Calibri" w:hAnsi="Calibri"/>
          <w:color w:val="000000" w:themeColor="text1"/>
          <w:lang w:val="en-GB"/>
        </w:rPr>
        <w:t>(</w:t>
      </w:r>
      <w:r w:rsidR="008E6E81" w:rsidRPr="005234EE">
        <w:rPr>
          <w:rFonts w:ascii="Calibri" w:hAnsi="Calibri"/>
          <w:color w:val="000000" w:themeColor="text1"/>
          <w:lang w:val="en-GB"/>
        </w:rPr>
        <w:t>1</w:t>
      </w:r>
      <w:r w:rsidRPr="005234EE">
        <w:rPr>
          <w:rFonts w:ascii="Calibri" w:hAnsi="Calibri"/>
          <w:color w:val="000000" w:themeColor="text1"/>
          <w:lang w:val="en-GB"/>
        </w:rPr>
        <w:t>999)</w:t>
      </w:r>
      <w:r w:rsidR="000B6A12" w:rsidRPr="005234EE">
        <w:rPr>
          <w:rFonts w:ascii="Calibri" w:hAnsi="Calibri"/>
          <w:color w:val="000000" w:themeColor="text1"/>
          <w:lang w:val="en-GB"/>
        </w:rPr>
        <w:t xml:space="preserve"> </w:t>
      </w:r>
      <w:r w:rsidR="008E6E81" w:rsidRPr="005234EE">
        <w:rPr>
          <w:rFonts w:ascii="Calibri" w:hAnsi="Calibri"/>
          <w:color w:val="000000" w:themeColor="text1"/>
          <w:lang w:val="en-GB"/>
        </w:rPr>
        <w:t xml:space="preserve">‘Training </w:t>
      </w:r>
      <w:r w:rsidRPr="005234EE">
        <w:rPr>
          <w:rFonts w:ascii="Calibri" w:hAnsi="Calibri"/>
          <w:color w:val="000000" w:themeColor="text1"/>
          <w:lang w:val="en-GB"/>
        </w:rPr>
        <w:t xml:space="preserve">policy and the property rights of labour </w:t>
      </w:r>
      <w:r w:rsidR="008E6E81" w:rsidRPr="005234EE">
        <w:rPr>
          <w:rFonts w:ascii="Calibri" w:hAnsi="Calibri"/>
          <w:color w:val="000000" w:themeColor="text1"/>
          <w:lang w:val="en-GB"/>
        </w:rPr>
        <w:t>in Chile (1990-1997)</w:t>
      </w:r>
      <w:r w:rsidRPr="005234EE">
        <w:rPr>
          <w:rFonts w:ascii="Calibri" w:hAnsi="Calibri"/>
          <w:color w:val="000000" w:themeColor="text1"/>
          <w:lang w:val="en-GB"/>
        </w:rPr>
        <w:t>: Social citizenship in the atomised market regime’</w:t>
      </w:r>
      <w:r w:rsidR="008E6E81" w:rsidRPr="005234EE">
        <w:rPr>
          <w:rFonts w:ascii="Calibri" w:hAnsi="Calibri"/>
          <w:color w:val="000000" w:themeColor="text1"/>
          <w:lang w:val="en-GB"/>
        </w:rPr>
        <w:t xml:space="preserve">, </w:t>
      </w:r>
      <w:r w:rsidR="008E6E81" w:rsidRPr="005234EE">
        <w:rPr>
          <w:rFonts w:ascii="Calibri" w:hAnsi="Calibri"/>
          <w:i/>
          <w:color w:val="000000" w:themeColor="text1"/>
          <w:lang w:val="en-GB"/>
        </w:rPr>
        <w:t>Journal of Latin American Studies</w:t>
      </w:r>
      <w:r w:rsidR="008E6E81" w:rsidRPr="005234EE">
        <w:rPr>
          <w:rFonts w:ascii="Calibri" w:hAnsi="Calibri"/>
          <w:color w:val="000000" w:themeColor="text1"/>
          <w:lang w:val="en-GB"/>
        </w:rPr>
        <w:t xml:space="preserve">, </w:t>
      </w:r>
      <w:r w:rsidRPr="005234EE">
        <w:rPr>
          <w:rFonts w:ascii="Calibri" w:hAnsi="Calibri"/>
          <w:color w:val="000000" w:themeColor="text1"/>
          <w:lang w:val="en-GB"/>
        </w:rPr>
        <w:t xml:space="preserve">Vol. </w:t>
      </w:r>
      <w:r w:rsidR="008E6E81" w:rsidRPr="005234EE">
        <w:rPr>
          <w:rFonts w:ascii="Calibri" w:hAnsi="Calibri"/>
          <w:color w:val="000000" w:themeColor="text1"/>
          <w:lang w:val="en-GB"/>
        </w:rPr>
        <w:t xml:space="preserve">31, </w:t>
      </w:r>
      <w:r w:rsidRPr="005234EE">
        <w:rPr>
          <w:rFonts w:ascii="Calibri" w:hAnsi="Calibri"/>
          <w:color w:val="000000" w:themeColor="text1"/>
          <w:lang w:val="en-GB"/>
        </w:rPr>
        <w:t>pp.</w:t>
      </w:r>
      <w:r w:rsidR="008E6E81" w:rsidRPr="005234EE">
        <w:rPr>
          <w:rFonts w:ascii="Calibri" w:hAnsi="Calibri"/>
          <w:color w:val="000000" w:themeColor="text1"/>
          <w:lang w:val="en-GB"/>
        </w:rPr>
        <w:t>429-472.</w:t>
      </w:r>
    </w:p>
    <w:p w14:paraId="742988E6" w14:textId="77777777" w:rsidR="008E6E81" w:rsidRPr="005234EE" w:rsidRDefault="008E6E81" w:rsidP="004D1AC1">
      <w:pPr>
        <w:ind w:left="-397" w:right="-397"/>
        <w:rPr>
          <w:rFonts w:ascii="Calibri" w:hAnsi="Calibri"/>
          <w:color w:val="000000" w:themeColor="text1"/>
          <w:lang w:val="en-GB"/>
        </w:rPr>
      </w:pPr>
    </w:p>
    <w:p w14:paraId="7875E3F3" w14:textId="2FD5478D" w:rsidR="008E6E81" w:rsidRPr="005234EE" w:rsidRDefault="009B4F43" w:rsidP="004D1AC1">
      <w:pPr>
        <w:ind w:left="-397" w:right="-397"/>
        <w:rPr>
          <w:rFonts w:ascii="Calibri" w:hAnsi="Calibri"/>
          <w:color w:val="000000" w:themeColor="text1"/>
          <w:lang w:val="en-GB"/>
        </w:rPr>
      </w:pPr>
      <w:r w:rsidRPr="005234EE">
        <w:rPr>
          <w:rFonts w:ascii="Calibri" w:hAnsi="Calibri"/>
          <w:color w:val="000000" w:themeColor="text1"/>
          <w:lang w:val="en-GB"/>
        </w:rPr>
        <w:t>Haavio-Mannila, E. (1981)</w:t>
      </w:r>
      <w:r w:rsidR="008E6E81" w:rsidRPr="005234EE">
        <w:rPr>
          <w:rFonts w:ascii="Calibri" w:hAnsi="Calibri"/>
          <w:color w:val="000000" w:themeColor="text1"/>
          <w:lang w:val="en-GB"/>
        </w:rPr>
        <w:t xml:space="preserve"> ‘The </w:t>
      </w:r>
      <w:r w:rsidRPr="005234EE">
        <w:rPr>
          <w:rFonts w:ascii="Calibri" w:hAnsi="Calibri"/>
          <w:color w:val="000000" w:themeColor="text1"/>
          <w:lang w:val="en-GB"/>
        </w:rPr>
        <w:t>p</w:t>
      </w:r>
      <w:r w:rsidR="008E6E81" w:rsidRPr="005234EE">
        <w:rPr>
          <w:rFonts w:ascii="Calibri" w:hAnsi="Calibri"/>
          <w:color w:val="000000" w:themeColor="text1"/>
          <w:lang w:val="en-GB"/>
        </w:rPr>
        <w:t xml:space="preserve">osition of </w:t>
      </w:r>
      <w:r w:rsidRPr="005234EE">
        <w:rPr>
          <w:rFonts w:ascii="Calibri" w:hAnsi="Calibri"/>
          <w:color w:val="000000" w:themeColor="text1"/>
          <w:lang w:val="en-GB"/>
        </w:rPr>
        <w:t>w</w:t>
      </w:r>
      <w:r w:rsidR="008E6E81" w:rsidRPr="005234EE">
        <w:rPr>
          <w:rFonts w:ascii="Calibri" w:hAnsi="Calibri"/>
          <w:color w:val="000000" w:themeColor="text1"/>
          <w:lang w:val="en-GB"/>
        </w:rPr>
        <w:t xml:space="preserve">omen’ in Nordic </w:t>
      </w:r>
      <w:r w:rsidRPr="005234EE">
        <w:rPr>
          <w:rFonts w:ascii="Calibri" w:hAnsi="Calibri"/>
          <w:color w:val="000000" w:themeColor="text1"/>
          <w:lang w:val="en-GB"/>
        </w:rPr>
        <w:t>d</w:t>
      </w:r>
      <w:r w:rsidR="008E6E81" w:rsidRPr="005234EE">
        <w:rPr>
          <w:rFonts w:ascii="Calibri" w:hAnsi="Calibri"/>
          <w:color w:val="000000" w:themeColor="text1"/>
          <w:lang w:val="en-GB"/>
        </w:rPr>
        <w:t>emocracy</w:t>
      </w:r>
      <w:r w:rsidRPr="005234EE">
        <w:rPr>
          <w:rFonts w:ascii="Calibri" w:hAnsi="Calibri"/>
          <w:color w:val="000000" w:themeColor="text1"/>
          <w:lang w:val="en-GB"/>
        </w:rPr>
        <w:t>’</w:t>
      </w:r>
      <w:r w:rsidR="008E6E81" w:rsidRPr="005234EE">
        <w:rPr>
          <w:rFonts w:ascii="Calibri" w:hAnsi="Calibri"/>
          <w:color w:val="000000" w:themeColor="text1"/>
          <w:lang w:val="en-GB"/>
        </w:rPr>
        <w:t>,</w:t>
      </w:r>
      <w:r w:rsidRPr="005234EE">
        <w:rPr>
          <w:rFonts w:ascii="Calibri" w:hAnsi="Calibri"/>
          <w:color w:val="000000" w:themeColor="text1"/>
          <w:lang w:val="en-GB"/>
        </w:rPr>
        <w:t xml:space="preserve"> </w:t>
      </w:r>
      <w:r w:rsidR="008E6E81" w:rsidRPr="005234EE">
        <w:rPr>
          <w:rFonts w:ascii="Calibri" w:hAnsi="Calibri"/>
          <w:color w:val="000000" w:themeColor="text1"/>
          <w:lang w:val="en-GB"/>
        </w:rPr>
        <w:t>det Danske Selskab</w:t>
      </w:r>
      <w:r w:rsidRPr="005234EE">
        <w:rPr>
          <w:rFonts w:ascii="Calibri" w:hAnsi="Calibri"/>
          <w:color w:val="000000" w:themeColor="text1"/>
          <w:lang w:val="en-GB"/>
        </w:rPr>
        <w:t>, København</w:t>
      </w:r>
      <w:r w:rsidR="008E6E81" w:rsidRPr="005234EE">
        <w:rPr>
          <w:rFonts w:ascii="Calibri" w:hAnsi="Calibri"/>
          <w:color w:val="000000" w:themeColor="text1"/>
          <w:lang w:val="en-GB"/>
        </w:rPr>
        <w:t>.</w:t>
      </w:r>
    </w:p>
    <w:p w14:paraId="5DB6DFFB" w14:textId="77777777" w:rsidR="008E6E81" w:rsidRPr="005234EE" w:rsidRDefault="008E6E81" w:rsidP="004D1AC1">
      <w:pPr>
        <w:ind w:left="-397" w:right="-397"/>
        <w:rPr>
          <w:rFonts w:ascii="Calibri" w:hAnsi="Calibri"/>
          <w:color w:val="000000" w:themeColor="text1"/>
          <w:lang w:val="en-GB"/>
        </w:rPr>
      </w:pPr>
    </w:p>
    <w:p w14:paraId="4BBB8004" w14:textId="3F747F0A" w:rsidR="008E6E81" w:rsidRPr="005234EE" w:rsidRDefault="008E6E81" w:rsidP="004D1AC1">
      <w:pPr>
        <w:ind w:left="-397" w:right="-397"/>
        <w:rPr>
          <w:rFonts w:ascii="Calibri" w:hAnsi="Calibri"/>
          <w:color w:val="000000" w:themeColor="text1"/>
          <w:lang w:val="en-GB"/>
        </w:rPr>
      </w:pPr>
      <w:r w:rsidRPr="005234EE">
        <w:rPr>
          <w:rFonts w:ascii="Calibri" w:hAnsi="Calibri"/>
          <w:color w:val="000000" w:themeColor="text1"/>
          <w:lang w:val="en-GB"/>
        </w:rPr>
        <w:t xml:space="preserve">Hacker, </w:t>
      </w:r>
      <w:r w:rsidR="00B32CA9" w:rsidRPr="005234EE">
        <w:rPr>
          <w:rFonts w:ascii="Calibri" w:hAnsi="Calibri"/>
          <w:color w:val="000000" w:themeColor="text1"/>
          <w:lang w:val="en-GB"/>
        </w:rPr>
        <w:t>J.S., Pierson, P. and Thelen, K. (</w:t>
      </w:r>
      <w:r w:rsidRPr="005234EE">
        <w:rPr>
          <w:rFonts w:ascii="Calibri" w:hAnsi="Calibri"/>
          <w:color w:val="000000" w:themeColor="text1"/>
          <w:lang w:val="en-GB"/>
        </w:rPr>
        <w:t>2015</w:t>
      </w:r>
      <w:r w:rsidR="00B32CA9" w:rsidRPr="005234EE">
        <w:rPr>
          <w:rFonts w:ascii="Calibri" w:hAnsi="Calibri"/>
          <w:color w:val="000000" w:themeColor="text1"/>
          <w:lang w:val="en-GB"/>
        </w:rPr>
        <w:t>)</w:t>
      </w:r>
      <w:r w:rsidRPr="005234EE">
        <w:rPr>
          <w:rFonts w:ascii="Calibri" w:hAnsi="Calibri"/>
          <w:color w:val="000000" w:themeColor="text1"/>
          <w:lang w:val="en-GB"/>
        </w:rPr>
        <w:t xml:space="preserve"> ‘Drift and </w:t>
      </w:r>
      <w:r w:rsidR="00B32CA9" w:rsidRPr="005234EE">
        <w:rPr>
          <w:rFonts w:ascii="Calibri" w:hAnsi="Calibri"/>
          <w:color w:val="000000" w:themeColor="text1"/>
          <w:lang w:val="en-GB"/>
        </w:rPr>
        <w:t>c</w:t>
      </w:r>
      <w:r w:rsidRPr="005234EE">
        <w:rPr>
          <w:rFonts w:ascii="Calibri" w:hAnsi="Calibri"/>
          <w:color w:val="000000" w:themeColor="text1"/>
          <w:lang w:val="en-GB"/>
        </w:rPr>
        <w:t xml:space="preserve">onversion: </w:t>
      </w:r>
      <w:r w:rsidR="00B32CA9" w:rsidRPr="005234EE">
        <w:rPr>
          <w:rFonts w:ascii="Calibri" w:hAnsi="Calibri"/>
          <w:color w:val="000000" w:themeColor="text1"/>
          <w:lang w:val="en-GB"/>
        </w:rPr>
        <w:t>H</w:t>
      </w:r>
      <w:r w:rsidRPr="005234EE">
        <w:rPr>
          <w:rFonts w:ascii="Calibri" w:hAnsi="Calibri"/>
          <w:color w:val="000000" w:themeColor="text1"/>
          <w:lang w:val="en-GB"/>
        </w:rPr>
        <w:t>idden faces of institutional change’</w:t>
      </w:r>
      <w:r w:rsidR="00B32CA9" w:rsidRPr="005234EE">
        <w:rPr>
          <w:rFonts w:ascii="Calibri" w:hAnsi="Calibri"/>
          <w:color w:val="000000" w:themeColor="text1"/>
          <w:lang w:val="en-GB"/>
        </w:rPr>
        <w:t>,</w:t>
      </w:r>
      <w:r w:rsidRPr="005234EE">
        <w:rPr>
          <w:rFonts w:ascii="Calibri" w:hAnsi="Calibri"/>
          <w:color w:val="000000" w:themeColor="text1"/>
          <w:lang w:val="en-GB"/>
        </w:rPr>
        <w:t xml:space="preserve"> in Mahoney</w:t>
      </w:r>
      <w:r w:rsidR="00B32CA9" w:rsidRPr="005234EE">
        <w:rPr>
          <w:rFonts w:ascii="Calibri" w:hAnsi="Calibri"/>
          <w:color w:val="000000" w:themeColor="text1"/>
          <w:lang w:val="en-GB"/>
        </w:rPr>
        <w:t>, J.</w:t>
      </w:r>
      <w:r w:rsidRPr="005234EE">
        <w:rPr>
          <w:rFonts w:ascii="Calibri" w:hAnsi="Calibri"/>
          <w:color w:val="000000" w:themeColor="text1"/>
          <w:lang w:val="en-GB"/>
        </w:rPr>
        <w:t xml:space="preserve"> and Thelen, K.</w:t>
      </w:r>
      <w:r w:rsidR="00B32CA9" w:rsidRPr="005234EE">
        <w:rPr>
          <w:rFonts w:ascii="Calibri" w:hAnsi="Calibri"/>
          <w:color w:val="000000" w:themeColor="text1"/>
          <w:lang w:val="en-GB"/>
        </w:rPr>
        <w:t xml:space="preserve"> (Eds.) </w:t>
      </w:r>
      <w:r w:rsidRPr="005234EE">
        <w:rPr>
          <w:rFonts w:ascii="Calibri" w:hAnsi="Calibri"/>
          <w:i/>
          <w:color w:val="000000" w:themeColor="text1"/>
          <w:lang w:val="en-GB"/>
        </w:rPr>
        <w:t>Advances in Comparative Historical Analysis</w:t>
      </w:r>
      <w:r w:rsidRPr="005234EE">
        <w:rPr>
          <w:rFonts w:ascii="Calibri" w:hAnsi="Calibri"/>
          <w:color w:val="000000" w:themeColor="text1"/>
          <w:lang w:val="en-GB"/>
        </w:rPr>
        <w:t>,</w:t>
      </w:r>
      <w:r w:rsidR="00B32CA9" w:rsidRPr="005234EE">
        <w:rPr>
          <w:rFonts w:ascii="Calibri" w:hAnsi="Calibri"/>
          <w:color w:val="000000" w:themeColor="text1"/>
          <w:lang w:val="en-GB"/>
        </w:rPr>
        <w:t xml:space="preserve"> </w:t>
      </w:r>
      <w:r w:rsidRPr="005234EE">
        <w:rPr>
          <w:rFonts w:ascii="Calibri" w:hAnsi="Calibri"/>
          <w:color w:val="000000" w:themeColor="text1"/>
          <w:lang w:val="en-GB"/>
        </w:rPr>
        <w:t>Cambridge University Press</w:t>
      </w:r>
      <w:r w:rsidR="00B32CA9" w:rsidRPr="005234EE">
        <w:rPr>
          <w:rFonts w:ascii="Calibri" w:hAnsi="Calibri"/>
          <w:color w:val="000000" w:themeColor="text1"/>
          <w:lang w:val="en-GB"/>
        </w:rPr>
        <w:t>, Cambridge</w:t>
      </w:r>
      <w:r w:rsidR="0059290B" w:rsidRPr="005234EE">
        <w:rPr>
          <w:rFonts w:ascii="Calibri" w:hAnsi="Calibri"/>
          <w:color w:val="000000" w:themeColor="text1"/>
          <w:shd w:val="clear" w:color="auto" w:fill="FFFFFF"/>
          <w:lang w:val="en-GB"/>
        </w:rPr>
        <w:t>.</w:t>
      </w:r>
    </w:p>
    <w:p w14:paraId="732AFF81" w14:textId="77777777" w:rsidR="008E6E81" w:rsidRPr="005234EE" w:rsidRDefault="008E6E81" w:rsidP="004D1AC1">
      <w:pPr>
        <w:ind w:left="-397" w:right="-397"/>
        <w:rPr>
          <w:rFonts w:ascii="Calibri" w:hAnsi="Calibri"/>
          <w:color w:val="000000" w:themeColor="text1"/>
          <w:lang w:val="en-GB"/>
        </w:rPr>
      </w:pPr>
    </w:p>
    <w:p w14:paraId="0E61269F" w14:textId="77777777" w:rsidR="007E771D" w:rsidRPr="005234EE" w:rsidRDefault="008E6E81" w:rsidP="007E771D">
      <w:pPr>
        <w:ind w:left="-397" w:right="-397"/>
        <w:rPr>
          <w:rFonts w:ascii="Calibri" w:hAnsi="Calibri"/>
          <w:color w:val="000000" w:themeColor="text1"/>
          <w:lang w:val="en-GB"/>
        </w:rPr>
      </w:pPr>
      <w:r w:rsidRPr="005234EE">
        <w:rPr>
          <w:rFonts w:ascii="Calibri" w:hAnsi="Calibri"/>
          <w:color w:val="000000" w:themeColor="text1"/>
          <w:lang w:val="en-GB"/>
        </w:rPr>
        <w:t>Hall, P</w:t>
      </w:r>
      <w:r w:rsidR="00241C04" w:rsidRPr="005234EE">
        <w:rPr>
          <w:rFonts w:ascii="Calibri" w:hAnsi="Calibri"/>
          <w:color w:val="000000" w:themeColor="text1"/>
          <w:lang w:val="en-GB"/>
        </w:rPr>
        <w:t>.</w:t>
      </w:r>
      <w:r w:rsidRPr="005234EE">
        <w:rPr>
          <w:rFonts w:ascii="Calibri" w:hAnsi="Calibri"/>
          <w:color w:val="000000" w:themeColor="text1"/>
          <w:lang w:val="en-GB"/>
        </w:rPr>
        <w:t>A</w:t>
      </w:r>
      <w:r w:rsidR="00241C04" w:rsidRPr="005234EE">
        <w:rPr>
          <w:rFonts w:ascii="Calibri" w:hAnsi="Calibri"/>
          <w:color w:val="000000" w:themeColor="text1"/>
          <w:lang w:val="en-GB"/>
        </w:rPr>
        <w:t>.</w:t>
      </w:r>
      <w:r w:rsidRPr="005234EE">
        <w:rPr>
          <w:rFonts w:ascii="Calibri" w:hAnsi="Calibri"/>
          <w:color w:val="000000" w:themeColor="text1"/>
          <w:lang w:val="en-GB"/>
        </w:rPr>
        <w:t xml:space="preserve"> and Soskice, D</w:t>
      </w:r>
      <w:r w:rsidR="00241C04" w:rsidRPr="005234EE">
        <w:rPr>
          <w:rFonts w:ascii="Calibri" w:hAnsi="Calibri"/>
          <w:color w:val="000000" w:themeColor="text1"/>
          <w:lang w:val="en-GB"/>
        </w:rPr>
        <w:t>. (2001)</w:t>
      </w:r>
      <w:r w:rsidRPr="005234EE">
        <w:rPr>
          <w:rFonts w:ascii="Calibri" w:hAnsi="Calibri"/>
          <w:color w:val="000000" w:themeColor="text1"/>
          <w:lang w:val="en-GB"/>
        </w:rPr>
        <w:t xml:space="preserve"> </w:t>
      </w:r>
      <w:r w:rsidR="00241C04" w:rsidRPr="005234EE">
        <w:rPr>
          <w:rFonts w:ascii="Calibri" w:hAnsi="Calibri"/>
          <w:i/>
          <w:color w:val="000000" w:themeColor="text1"/>
          <w:lang w:val="en-GB"/>
        </w:rPr>
        <w:t>Varieties of Capitalism:</w:t>
      </w:r>
      <w:r w:rsidRPr="005234EE">
        <w:rPr>
          <w:rFonts w:ascii="Calibri" w:hAnsi="Calibri"/>
          <w:i/>
          <w:color w:val="000000" w:themeColor="text1"/>
          <w:lang w:val="en-GB"/>
        </w:rPr>
        <w:t xml:space="preserve"> The Institutional Foundations of Comparative Advantage</w:t>
      </w:r>
      <w:r w:rsidR="00241C04" w:rsidRPr="005234EE">
        <w:rPr>
          <w:rFonts w:ascii="Calibri" w:hAnsi="Calibri"/>
          <w:color w:val="000000" w:themeColor="text1"/>
          <w:lang w:val="en-GB"/>
        </w:rPr>
        <w:t xml:space="preserve">, </w:t>
      </w:r>
      <w:r w:rsidRPr="005234EE">
        <w:rPr>
          <w:rFonts w:ascii="Calibri" w:hAnsi="Calibri"/>
          <w:color w:val="000000" w:themeColor="text1"/>
          <w:lang w:val="en-GB"/>
        </w:rPr>
        <w:t>Oxford</w:t>
      </w:r>
      <w:r w:rsidR="00241C04" w:rsidRPr="005234EE">
        <w:rPr>
          <w:rFonts w:ascii="Calibri" w:hAnsi="Calibri"/>
          <w:color w:val="000000" w:themeColor="text1"/>
          <w:lang w:val="en-GB"/>
        </w:rPr>
        <w:t xml:space="preserve"> University Press, Oxford.</w:t>
      </w:r>
    </w:p>
    <w:p w14:paraId="409FF7FF" w14:textId="77777777" w:rsidR="007E771D" w:rsidRPr="005234EE" w:rsidRDefault="007E771D" w:rsidP="007E771D">
      <w:pPr>
        <w:ind w:left="-397" w:right="-397"/>
        <w:rPr>
          <w:rFonts w:ascii="Calibri" w:hAnsi="Calibri"/>
          <w:color w:val="000000" w:themeColor="text1"/>
          <w:lang w:val="en-GB"/>
        </w:rPr>
      </w:pPr>
    </w:p>
    <w:p w14:paraId="2AF65E04" w14:textId="1B686B2D" w:rsidR="008E6E81" w:rsidRPr="00766F73" w:rsidRDefault="00892605" w:rsidP="007E771D">
      <w:pPr>
        <w:ind w:left="-397" w:right="-397"/>
        <w:rPr>
          <w:rFonts w:ascii="Calibri" w:hAnsi="Calibri"/>
          <w:color w:val="000000" w:themeColor="text1"/>
          <w:lang w:val="da-DK"/>
        </w:rPr>
      </w:pPr>
      <w:r w:rsidRPr="00766F73">
        <w:rPr>
          <w:rFonts w:ascii="Calibri" w:hAnsi="Calibri"/>
          <w:color w:val="000000" w:themeColor="text1"/>
          <w:lang w:val="da-DK"/>
        </w:rPr>
        <w:t>Hansen</w:t>
      </w:r>
      <w:r w:rsidR="007E771D" w:rsidRPr="00766F73">
        <w:rPr>
          <w:rFonts w:ascii="Calibri" w:hAnsi="Calibri"/>
          <w:color w:val="000000" w:themeColor="text1"/>
          <w:lang w:val="da-DK"/>
        </w:rPr>
        <w:t>,</w:t>
      </w:r>
      <w:r w:rsidRPr="00766F73">
        <w:rPr>
          <w:rFonts w:ascii="Calibri" w:hAnsi="Calibri"/>
          <w:color w:val="000000" w:themeColor="text1"/>
          <w:lang w:val="da-DK"/>
        </w:rPr>
        <w:t xml:space="preserve"> M.K</w:t>
      </w:r>
      <w:r w:rsidR="007E771D" w:rsidRPr="00766F73">
        <w:rPr>
          <w:rFonts w:ascii="Calibri" w:hAnsi="Calibri"/>
          <w:color w:val="000000" w:themeColor="text1"/>
          <w:lang w:val="da-DK"/>
        </w:rPr>
        <w:t>.</w:t>
      </w:r>
      <w:r w:rsidRPr="00766F73">
        <w:rPr>
          <w:rFonts w:ascii="Calibri" w:hAnsi="Calibri"/>
          <w:color w:val="000000" w:themeColor="text1"/>
          <w:lang w:val="da-DK"/>
        </w:rPr>
        <w:t xml:space="preserve"> </w:t>
      </w:r>
      <w:r w:rsidR="007E771D" w:rsidRPr="00766F73">
        <w:rPr>
          <w:rFonts w:ascii="Calibri" w:hAnsi="Calibri"/>
          <w:color w:val="000000" w:themeColor="text1"/>
          <w:lang w:val="da-DK"/>
        </w:rPr>
        <w:t>(</w:t>
      </w:r>
      <w:r w:rsidR="00A2234E" w:rsidRPr="00766F73">
        <w:rPr>
          <w:rFonts w:ascii="Calibri" w:hAnsi="Calibri"/>
          <w:color w:val="000000" w:themeColor="text1"/>
          <w:lang w:val="da-DK"/>
        </w:rPr>
        <w:t>2017</w:t>
      </w:r>
      <w:r w:rsidR="007E771D" w:rsidRPr="00766F73">
        <w:rPr>
          <w:rFonts w:ascii="Calibri" w:hAnsi="Calibri"/>
          <w:color w:val="000000" w:themeColor="text1"/>
          <w:lang w:val="da-DK"/>
        </w:rPr>
        <w:t>)</w:t>
      </w:r>
      <w:r w:rsidRPr="00766F73">
        <w:rPr>
          <w:rFonts w:ascii="Calibri" w:hAnsi="Calibri"/>
          <w:color w:val="000000" w:themeColor="text1"/>
          <w:lang w:val="da-DK"/>
        </w:rPr>
        <w:t xml:space="preserve"> </w:t>
      </w:r>
      <w:r w:rsidR="007E771D" w:rsidRPr="00766F73">
        <w:rPr>
          <w:rFonts w:ascii="Calibri" w:hAnsi="Calibri"/>
          <w:color w:val="000000" w:themeColor="text1"/>
          <w:lang w:val="da-DK"/>
        </w:rPr>
        <w:t>‘</w:t>
      </w:r>
      <w:r w:rsidRPr="00766F73">
        <w:rPr>
          <w:rFonts w:ascii="Calibri" w:hAnsi="Calibri"/>
          <w:color w:val="000000"/>
          <w:lang w:val="da-DK"/>
        </w:rPr>
        <w:t>Flere unge skal tage en erhvervsuddannelse</w:t>
      </w:r>
      <w:r w:rsidR="007E771D" w:rsidRPr="00766F73">
        <w:rPr>
          <w:rFonts w:ascii="Calibri" w:hAnsi="Calibri"/>
          <w:color w:val="000000"/>
          <w:lang w:val="da-DK"/>
        </w:rPr>
        <w:t>’</w:t>
      </w:r>
      <w:r w:rsidRPr="00766F73">
        <w:rPr>
          <w:rFonts w:ascii="Calibri" w:hAnsi="Calibri"/>
          <w:color w:val="000000"/>
          <w:lang w:val="da-DK"/>
        </w:rPr>
        <w:t xml:space="preserve">, </w:t>
      </w:r>
      <w:r w:rsidRPr="00766F73">
        <w:rPr>
          <w:rFonts w:ascii="Calibri" w:hAnsi="Calibri"/>
          <w:i/>
          <w:color w:val="000000"/>
          <w:lang w:val="da-DK"/>
        </w:rPr>
        <w:t>Jyllandsposten</w:t>
      </w:r>
      <w:r w:rsidR="007E771D" w:rsidRPr="00766F73">
        <w:rPr>
          <w:rFonts w:ascii="Calibri" w:hAnsi="Calibri"/>
          <w:color w:val="000000"/>
          <w:lang w:val="da-DK"/>
        </w:rPr>
        <w:t>, 13</w:t>
      </w:r>
      <w:r w:rsidRPr="00766F73">
        <w:rPr>
          <w:rFonts w:ascii="Calibri" w:hAnsi="Calibri"/>
          <w:color w:val="000000"/>
          <w:lang w:val="da-DK"/>
        </w:rPr>
        <w:t xml:space="preserve"> November 2017</w:t>
      </w:r>
      <w:r w:rsidR="007E771D" w:rsidRPr="00766F73">
        <w:rPr>
          <w:rFonts w:ascii="Calibri" w:hAnsi="Calibri"/>
          <w:color w:val="333333"/>
          <w:shd w:val="clear" w:color="auto" w:fill="FFFFFF"/>
          <w:lang w:val="da-DK"/>
        </w:rPr>
        <w:t>.</w:t>
      </w:r>
      <w:r w:rsidRPr="00766F73">
        <w:rPr>
          <w:rFonts w:ascii="Calibri" w:hAnsi="Calibri"/>
          <w:color w:val="333333"/>
          <w:shd w:val="clear" w:color="auto" w:fill="FFFFFF"/>
          <w:lang w:val="da-DK"/>
        </w:rPr>
        <w:t xml:space="preserve"> </w:t>
      </w:r>
      <w:r w:rsidRPr="00766F73">
        <w:rPr>
          <w:rFonts w:ascii="Calibri" w:hAnsi="Calibri"/>
          <w:lang w:val="da-DK"/>
        </w:rPr>
        <w:t>https://jyllands-posten.dk/aarhus/meninger/breve/ECE10023805/flere-unge-skal-tage-en-erhvervsuddannelse/</w:t>
      </w:r>
      <w:r w:rsidRPr="00766F73">
        <w:rPr>
          <w:rFonts w:ascii="Calibri" w:hAnsi="Calibri"/>
          <w:color w:val="000000" w:themeColor="text1"/>
          <w:lang w:val="da-DK"/>
        </w:rPr>
        <w:t xml:space="preserve"> (</w:t>
      </w:r>
      <w:r w:rsidR="007E771D" w:rsidRPr="00766F73">
        <w:rPr>
          <w:rFonts w:ascii="Calibri" w:hAnsi="Calibri"/>
          <w:color w:val="000000" w:themeColor="text1"/>
          <w:lang w:val="da-DK"/>
        </w:rPr>
        <w:t>A</w:t>
      </w:r>
      <w:r w:rsidRPr="00766F73">
        <w:rPr>
          <w:rFonts w:ascii="Calibri" w:hAnsi="Calibri"/>
          <w:color w:val="000000" w:themeColor="text1"/>
          <w:lang w:val="da-DK"/>
        </w:rPr>
        <w:t>ccessed 26</w:t>
      </w:r>
      <w:r w:rsidR="007E771D" w:rsidRPr="00766F73">
        <w:rPr>
          <w:rFonts w:ascii="Calibri" w:hAnsi="Calibri"/>
          <w:color w:val="000000" w:themeColor="text1"/>
          <w:lang w:val="da-DK"/>
        </w:rPr>
        <w:t xml:space="preserve"> July 20</w:t>
      </w:r>
      <w:r w:rsidRPr="00766F73">
        <w:rPr>
          <w:rFonts w:ascii="Calibri" w:hAnsi="Calibri"/>
          <w:color w:val="000000" w:themeColor="text1"/>
          <w:lang w:val="da-DK"/>
        </w:rPr>
        <w:t>18)</w:t>
      </w:r>
      <w:r w:rsidR="007E771D" w:rsidRPr="00766F73">
        <w:rPr>
          <w:rFonts w:ascii="Calibri" w:hAnsi="Calibri"/>
          <w:color w:val="000000" w:themeColor="text1"/>
          <w:lang w:val="da-DK"/>
        </w:rPr>
        <w:t>.</w:t>
      </w:r>
    </w:p>
    <w:p w14:paraId="53F9C9C0" w14:textId="77777777" w:rsidR="007E771D" w:rsidRPr="00766F73" w:rsidRDefault="007E771D" w:rsidP="007E771D">
      <w:pPr>
        <w:ind w:left="-397" w:right="-397"/>
        <w:rPr>
          <w:rFonts w:ascii="Calibri" w:hAnsi="Calibri"/>
          <w:color w:val="000000" w:themeColor="text1"/>
          <w:lang w:val="da-DK"/>
        </w:rPr>
      </w:pPr>
    </w:p>
    <w:p w14:paraId="488184FD" w14:textId="32CD86D1" w:rsidR="008E6E81" w:rsidRPr="005234EE" w:rsidRDefault="00033AF9" w:rsidP="004D1AC1">
      <w:pPr>
        <w:ind w:left="-397" w:right="-397"/>
        <w:rPr>
          <w:rFonts w:ascii="Calibri" w:hAnsi="Calibri"/>
          <w:color w:val="000000" w:themeColor="text1"/>
          <w:shd w:val="clear" w:color="auto" w:fill="FFFFFF"/>
          <w:lang w:val="en-GB"/>
        </w:rPr>
      </w:pPr>
      <w:r w:rsidRPr="005234EE">
        <w:rPr>
          <w:rFonts w:ascii="Calibri" w:hAnsi="Calibri"/>
          <w:color w:val="000000" w:themeColor="text1"/>
          <w:shd w:val="clear" w:color="auto" w:fill="FFFFFF"/>
          <w:lang w:val="en-GB"/>
        </w:rPr>
        <w:t>Hay, C. and Farrall, S. (</w:t>
      </w:r>
      <w:r w:rsidR="008E6E81" w:rsidRPr="005234EE">
        <w:rPr>
          <w:rFonts w:ascii="Calibri" w:hAnsi="Calibri"/>
          <w:color w:val="000000" w:themeColor="text1"/>
          <w:shd w:val="clear" w:color="auto" w:fill="FFFFFF"/>
          <w:lang w:val="en-GB"/>
        </w:rPr>
        <w:t>20</w:t>
      </w:r>
      <w:r w:rsidRPr="005234EE">
        <w:rPr>
          <w:rFonts w:ascii="Calibri" w:hAnsi="Calibri"/>
          <w:color w:val="000000" w:themeColor="text1"/>
          <w:shd w:val="clear" w:color="auto" w:fill="FFFFFF"/>
          <w:lang w:val="en-GB"/>
        </w:rPr>
        <w:t>14) ‘</w:t>
      </w:r>
      <w:r w:rsidR="008E6E81" w:rsidRPr="005234EE">
        <w:rPr>
          <w:rFonts w:ascii="Calibri" w:hAnsi="Calibri"/>
          <w:color w:val="000000" w:themeColor="text1"/>
          <w:shd w:val="clear" w:color="auto" w:fill="FFFFFF"/>
          <w:lang w:val="en-GB"/>
        </w:rPr>
        <w:t xml:space="preserve">Interrogating and </w:t>
      </w:r>
      <w:r w:rsidRPr="005234EE">
        <w:rPr>
          <w:rFonts w:ascii="Calibri" w:hAnsi="Calibri"/>
          <w:color w:val="000000" w:themeColor="text1"/>
          <w:shd w:val="clear" w:color="auto" w:fill="FFFFFF"/>
          <w:lang w:val="en-GB"/>
        </w:rPr>
        <w:t>conceptualizing the legacy o</w:t>
      </w:r>
      <w:r w:rsidR="002A7BBB" w:rsidRPr="005234EE">
        <w:rPr>
          <w:rFonts w:ascii="Calibri" w:hAnsi="Calibri"/>
          <w:color w:val="000000" w:themeColor="text1"/>
          <w:shd w:val="clear" w:color="auto" w:fill="FFFFFF"/>
          <w:lang w:val="en-GB"/>
        </w:rPr>
        <w:t xml:space="preserve">f Thatcherism’ in Hay, C. and Farrall, S. (Eds.), </w:t>
      </w:r>
      <w:r w:rsidR="002A7BBB" w:rsidRPr="005234EE">
        <w:rPr>
          <w:rFonts w:ascii="Calibri" w:hAnsi="Calibri"/>
          <w:i/>
          <w:color w:val="000000" w:themeColor="text1"/>
          <w:shd w:val="clear" w:color="auto" w:fill="FFFFFF"/>
          <w:lang w:val="en-GB"/>
        </w:rPr>
        <w:t>The Legacy of Thatcherism:</w:t>
      </w:r>
      <w:r w:rsidR="002A7BBB" w:rsidRPr="005234EE">
        <w:rPr>
          <w:rFonts w:ascii="Calibri" w:hAnsi="Calibri"/>
          <w:i/>
        </w:rPr>
        <w:t xml:space="preserve"> </w:t>
      </w:r>
      <w:r w:rsidR="002A7BBB" w:rsidRPr="005234EE">
        <w:rPr>
          <w:rFonts w:ascii="Calibri" w:hAnsi="Calibri"/>
          <w:i/>
          <w:color w:val="000000" w:themeColor="text1"/>
          <w:shd w:val="clear" w:color="auto" w:fill="FFFFFF"/>
          <w:lang w:val="en-GB"/>
        </w:rPr>
        <w:t>Assessing and Exploring Thatcherite Social and Economic Policies</w:t>
      </w:r>
      <w:r w:rsidR="008E6E81" w:rsidRPr="005234EE">
        <w:rPr>
          <w:rFonts w:ascii="Calibri" w:hAnsi="Calibri"/>
          <w:color w:val="000000" w:themeColor="text1"/>
          <w:shd w:val="clear" w:color="auto" w:fill="FFFFFF"/>
          <w:lang w:val="en-GB"/>
        </w:rPr>
        <w:t>, Oxford University Press</w:t>
      </w:r>
      <w:r w:rsidR="002A7BBB" w:rsidRPr="005234EE">
        <w:rPr>
          <w:rFonts w:ascii="Calibri" w:hAnsi="Calibri"/>
          <w:color w:val="000000" w:themeColor="text1"/>
          <w:shd w:val="clear" w:color="auto" w:fill="FFFFFF"/>
          <w:lang w:val="en-GB"/>
        </w:rPr>
        <w:t>, Oxford</w:t>
      </w:r>
      <w:r w:rsidR="0059290B" w:rsidRPr="005234EE">
        <w:rPr>
          <w:rFonts w:ascii="Calibri" w:hAnsi="Calibri"/>
          <w:color w:val="000000" w:themeColor="text1"/>
          <w:shd w:val="clear" w:color="auto" w:fill="FFFFFF"/>
          <w:lang w:val="en-GB"/>
        </w:rPr>
        <w:t>.</w:t>
      </w:r>
    </w:p>
    <w:p w14:paraId="5711FFFD" w14:textId="77777777" w:rsidR="007E1604" w:rsidRPr="005234EE" w:rsidRDefault="007E1604" w:rsidP="004D1AC1">
      <w:pPr>
        <w:ind w:right="-397"/>
        <w:rPr>
          <w:rFonts w:ascii="Calibri" w:hAnsi="Calibri"/>
          <w:color w:val="000000" w:themeColor="text1"/>
          <w:shd w:val="clear" w:color="auto" w:fill="FFFFFF"/>
          <w:lang w:val="en-GB"/>
        </w:rPr>
      </w:pPr>
    </w:p>
    <w:p w14:paraId="68967223" w14:textId="5F735E8B" w:rsidR="007E1604" w:rsidRPr="005234EE" w:rsidRDefault="00773623" w:rsidP="004D1AC1">
      <w:pPr>
        <w:ind w:left="-397" w:right="-397"/>
        <w:rPr>
          <w:rFonts w:ascii="Calibri" w:hAnsi="Calibri"/>
          <w:color w:val="000000" w:themeColor="text1"/>
          <w:shd w:val="clear" w:color="auto" w:fill="FFFFFF"/>
          <w:lang w:val="en-GB"/>
        </w:rPr>
      </w:pPr>
      <w:r w:rsidRPr="005234EE">
        <w:rPr>
          <w:rFonts w:ascii="Calibri" w:hAnsi="Calibri"/>
          <w:color w:val="000000" w:themeColor="text1"/>
          <w:shd w:val="clear" w:color="auto" w:fill="FFFFFF"/>
          <w:lang w:val="en-GB"/>
        </w:rPr>
        <w:t>Henriksen, I. (2006)</w:t>
      </w:r>
      <w:r w:rsidR="007E1604" w:rsidRPr="005234EE">
        <w:rPr>
          <w:rFonts w:ascii="Calibri" w:hAnsi="Calibri"/>
          <w:color w:val="000000" w:themeColor="text1"/>
          <w:shd w:val="clear" w:color="auto" w:fill="FFFFFF"/>
          <w:lang w:val="en-GB"/>
        </w:rPr>
        <w:t xml:space="preserve"> ‘Agriculture in Denmark, 1870-1939’, paper presented at </w:t>
      </w:r>
      <w:r w:rsidR="00533FC0" w:rsidRPr="005234EE">
        <w:rPr>
          <w:rFonts w:ascii="Calibri" w:hAnsi="Calibri"/>
          <w:i/>
          <w:color w:val="000000" w:themeColor="text1"/>
          <w:shd w:val="clear" w:color="auto" w:fill="FFFFFF"/>
          <w:lang w:val="en-GB"/>
        </w:rPr>
        <w:t xml:space="preserve">the </w:t>
      </w:r>
      <w:r w:rsidRPr="005234EE">
        <w:rPr>
          <w:rFonts w:ascii="Calibri" w:hAnsi="Calibri"/>
          <w:i/>
          <w:color w:val="000000" w:themeColor="text1"/>
          <w:shd w:val="clear" w:color="auto" w:fill="FFFFFF"/>
          <w:lang w:val="en-GB"/>
        </w:rPr>
        <w:t>XIV International Economic History Congress</w:t>
      </w:r>
      <w:r w:rsidRPr="005234EE">
        <w:rPr>
          <w:rFonts w:ascii="Calibri" w:hAnsi="Calibri"/>
          <w:color w:val="000000" w:themeColor="text1"/>
          <w:shd w:val="clear" w:color="auto" w:fill="FFFFFF"/>
          <w:lang w:val="en-GB"/>
        </w:rPr>
        <w:t xml:space="preserve">, </w:t>
      </w:r>
      <w:r w:rsidR="007E1604" w:rsidRPr="005234EE">
        <w:rPr>
          <w:rFonts w:ascii="Calibri" w:hAnsi="Calibri"/>
          <w:color w:val="000000" w:themeColor="text1"/>
          <w:shd w:val="clear" w:color="auto" w:fill="FFFFFF"/>
          <w:lang w:val="en-GB"/>
        </w:rPr>
        <w:t>The International Economic History Association (IEHA</w:t>
      </w:r>
      <w:r w:rsidRPr="005234EE">
        <w:rPr>
          <w:rFonts w:ascii="Calibri" w:hAnsi="Calibri"/>
          <w:color w:val="000000" w:themeColor="text1"/>
          <w:shd w:val="clear" w:color="auto" w:fill="FFFFFF"/>
          <w:lang w:val="en-GB"/>
        </w:rPr>
        <w:t xml:space="preserve">), </w:t>
      </w:r>
      <w:r w:rsidR="00881FB1" w:rsidRPr="005234EE">
        <w:rPr>
          <w:rFonts w:ascii="Calibri" w:hAnsi="Calibri"/>
          <w:color w:val="000000" w:themeColor="text1"/>
          <w:shd w:val="clear" w:color="auto" w:fill="FFFFFF"/>
          <w:lang w:val="en-GB"/>
        </w:rPr>
        <w:t xml:space="preserve">21 to 25 August, </w:t>
      </w:r>
      <w:r w:rsidR="007E1604" w:rsidRPr="005234EE">
        <w:rPr>
          <w:rFonts w:ascii="Calibri" w:hAnsi="Calibri"/>
          <w:bCs/>
          <w:color w:val="000000" w:themeColor="text1"/>
          <w:shd w:val="clear" w:color="auto" w:fill="FFFFFF"/>
          <w:lang w:val="en-GB"/>
        </w:rPr>
        <w:t>Helsinki</w:t>
      </w:r>
      <w:r w:rsidR="00881FB1" w:rsidRPr="005234EE">
        <w:rPr>
          <w:rFonts w:ascii="Calibri" w:hAnsi="Calibri"/>
          <w:color w:val="000000" w:themeColor="text1"/>
          <w:shd w:val="clear" w:color="auto" w:fill="FFFFFF"/>
          <w:lang w:val="en-GB"/>
        </w:rPr>
        <w:t>, Finland.</w:t>
      </w:r>
    </w:p>
    <w:p w14:paraId="20D0E203" w14:textId="77777777" w:rsidR="000B6A12" w:rsidRPr="005234EE" w:rsidRDefault="000B6A12" w:rsidP="004D1AC1">
      <w:pPr>
        <w:ind w:left="-397" w:right="-397"/>
        <w:rPr>
          <w:rFonts w:ascii="Calibri" w:hAnsi="Calibri"/>
          <w:color w:val="000000" w:themeColor="text1"/>
          <w:shd w:val="clear" w:color="auto" w:fill="FFFFFF"/>
          <w:lang w:val="en-GB"/>
        </w:rPr>
      </w:pPr>
    </w:p>
    <w:p w14:paraId="087B5D7E" w14:textId="1B176607" w:rsidR="000B6A12" w:rsidRPr="005234EE" w:rsidRDefault="000B6A12" w:rsidP="004D1AC1">
      <w:pPr>
        <w:ind w:left="-397" w:right="-397"/>
        <w:rPr>
          <w:rFonts w:ascii="Calibri" w:hAnsi="Calibri"/>
          <w:color w:val="000000" w:themeColor="text1"/>
          <w:shd w:val="clear" w:color="auto" w:fill="FFFFFF"/>
          <w:lang w:val="en-GB"/>
        </w:rPr>
      </w:pPr>
      <w:r w:rsidRPr="005234EE">
        <w:rPr>
          <w:rFonts w:ascii="Calibri" w:hAnsi="Calibri"/>
          <w:color w:val="000000" w:themeColor="text1"/>
          <w:shd w:val="clear" w:color="auto" w:fill="FFFFFF"/>
          <w:lang w:val="en-GB"/>
        </w:rPr>
        <w:t xml:space="preserve">Holtham, G. </w:t>
      </w:r>
      <w:r w:rsidR="00533FC0" w:rsidRPr="005234EE">
        <w:rPr>
          <w:rFonts w:ascii="Calibri" w:hAnsi="Calibri"/>
          <w:color w:val="000000" w:themeColor="text1"/>
          <w:shd w:val="clear" w:color="auto" w:fill="FFFFFF"/>
          <w:lang w:val="en-GB"/>
        </w:rPr>
        <w:t>(</w:t>
      </w:r>
      <w:r w:rsidR="00881FB1" w:rsidRPr="005234EE">
        <w:rPr>
          <w:rFonts w:ascii="Calibri" w:hAnsi="Calibri"/>
          <w:color w:val="000000" w:themeColor="text1"/>
          <w:shd w:val="clear" w:color="auto" w:fill="FFFFFF"/>
          <w:lang w:val="en-GB"/>
        </w:rPr>
        <w:t>1999)</w:t>
      </w:r>
      <w:r w:rsidR="00DA4000">
        <w:rPr>
          <w:rFonts w:ascii="Calibri" w:hAnsi="Calibri"/>
          <w:color w:val="000000" w:themeColor="text1"/>
          <w:shd w:val="clear" w:color="auto" w:fill="FFFFFF"/>
          <w:lang w:val="en-GB"/>
        </w:rPr>
        <w:t xml:space="preserve"> ‘Ownersh</w:t>
      </w:r>
      <w:r w:rsidRPr="005234EE">
        <w:rPr>
          <w:rFonts w:ascii="Calibri" w:hAnsi="Calibri"/>
          <w:color w:val="000000" w:themeColor="text1"/>
          <w:shd w:val="clear" w:color="auto" w:fill="FFFFFF"/>
          <w:lang w:val="en-GB"/>
        </w:rPr>
        <w:t xml:space="preserve">ip and </w:t>
      </w:r>
      <w:r w:rsidR="00881FB1" w:rsidRPr="005234EE">
        <w:rPr>
          <w:rFonts w:ascii="Calibri" w:hAnsi="Calibri"/>
          <w:color w:val="000000" w:themeColor="text1"/>
          <w:shd w:val="clear" w:color="auto" w:fill="FFFFFF"/>
          <w:lang w:val="en-GB"/>
        </w:rPr>
        <w:t>social democracy’</w:t>
      </w:r>
      <w:r w:rsidRPr="005234EE">
        <w:rPr>
          <w:rFonts w:ascii="Calibri" w:hAnsi="Calibri"/>
          <w:color w:val="000000" w:themeColor="text1"/>
          <w:shd w:val="clear" w:color="auto" w:fill="FFFFFF"/>
          <w:lang w:val="en-GB"/>
        </w:rPr>
        <w:t>, in Gamble</w:t>
      </w:r>
      <w:r w:rsidR="00881FB1" w:rsidRPr="005234EE">
        <w:rPr>
          <w:rFonts w:ascii="Calibri" w:hAnsi="Calibri"/>
          <w:color w:val="000000" w:themeColor="text1"/>
          <w:shd w:val="clear" w:color="auto" w:fill="FFFFFF"/>
          <w:lang w:val="en-GB"/>
        </w:rPr>
        <w:t>, A.</w:t>
      </w:r>
      <w:r w:rsidRPr="005234EE">
        <w:rPr>
          <w:rFonts w:ascii="Calibri" w:hAnsi="Calibri"/>
          <w:color w:val="000000" w:themeColor="text1"/>
          <w:shd w:val="clear" w:color="auto" w:fill="FFFFFF"/>
          <w:lang w:val="en-GB"/>
        </w:rPr>
        <w:t xml:space="preserve"> and Wright</w:t>
      </w:r>
      <w:r w:rsidR="00881FB1" w:rsidRPr="005234EE">
        <w:rPr>
          <w:rFonts w:ascii="Calibri" w:hAnsi="Calibri"/>
          <w:color w:val="000000" w:themeColor="text1"/>
          <w:shd w:val="clear" w:color="auto" w:fill="FFFFFF"/>
          <w:lang w:val="en-GB"/>
        </w:rPr>
        <w:t>, T. (E</w:t>
      </w:r>
      <w:r w:rsidRPr="005234EE">
        <w:rPr>
          <w:rFonts w:ascii="Calibri" w:hAnsi="Calibri"/>
          <w:color w:val="000000" w:themeColor="text1"/>
          <w:shd w:val="clear" w:color="auto" w:fill="FFFFFF"/>
          <w:lang w:val="en-GB"/>
        </w:rPr>
        <w:t>ds</w:t>
      </w:r>
      <w:r w:rsidR="00881FB1" w:rsidRPr="005234EE">
        <w:rPr>
          <w:rFonts w:ascii="Calibri" w:hAnsi="Calibri"/>
          <w:color w:val="000000" w:themeColor="text1"/>
          <w:shd w:val="clear" w:color="auto" w:fill="FFFFFF"/>
          <w:lang w:val="en-GB"/>
        </w:rPr>
        <w:t>.</w:t>
      </w:r>
      <w:r w:rsidRPr="005234EE">
        <w:rPr>
          <w:rFonts w:ascii="Calibri" w:hAnsi="Calibri"/>
          <w:color w:val="000000" w:themeColor="text1"/>
          <w:shd w:val="clear" w:color="auto" w:fill="FFFFFF"/>
          <w:lang w:val="en-GB"/>
        </w:rPr>
        <w:t xml:space="preserve">), </w:t>
      </w:r>
      <w:r w:rsidRPr="005234EE">
        <w:rPr>
          <w:rFonts w:ascii="Calibri" w:hAnsi="Calibri"/>
          <w:i/>
          <w:color w:val="000000" w:themeColor="text1"/>
          <w:shd w:val="clear" w:color="auto" w:fill="FFFFFF"/>
          <w:lang w:val="en-GB"/>
        </w:rPr>
        <w:t>The New Social Democracy</w:t>
      </w:r>
      <w:r w:rsidRPr="005234EE">
        <w:rPr>
          <w:rFonts w:ascii="Calibri" w:hAnsi="Calibri"/>
          <w:color w:val="000000" w:themeColor="text1"/>
          <w:shd w:val="clear" w:color="auto" w:fill="FFFFFF"/>
          <w:lang w:val="en-GB"/>
        </w:rPr>
        <w:t>,</w:t>
      </w:r>
      <w:r w:rsidR="00881FB1" w:rsidRPr="005234EE">
        <w:rPr>
          <w:rFonts w:ascii="Calibri" w:hAnsi="Calibri"/>
          <w:color w:val="000000" w:themeColor="text1"/>
          <w:shd w:val="clear" w:color="auto" w:fill="FFFFFF"/>
          <w:lang w:val="en-GB"/>
        </w:rPr>
        <w:t xml:space="preserve"> </w:t>
      </w:r>
      <w:r w:rsidRPr="005234EE">
        <w:rPr>
          <w:rFonts w:ascii="Calibri" w:hAnsi="Calibri"/>
          <w:color w:val="000000" w:themeColor="text1"/>
          <w:shd w:val="clear" w:color="auto" w:fill="FFFFFF"/>
          <w:lang w:val="en-GB"/>
        </w:rPr>
        <w:t>Blackwell</w:t>
      </w:r>
      <w:r w:rsidR="00881FB1" w:rsidRPr="005234EE">
        <w:rPr>
          <w:rFonts w:ascii="Calibri" w:hAnsi="Calibri"/>
          <w:color w:val="000000" w:themeColor="text1"/>
          <w:shd w:val="clear" w:color="auto" w:fill="FFFFFF"/>
          <w:lang w:val="en-GB"/>
        </w:rPr>
        <w:t>, Oxford</w:t>
      </w:r>
      <w:r w:rsidR="0059290B" w:rsidRPr="005234EE">
        <w:rPr>
          <w:rFonts w:ascii="Calibri" w:hAnsi="Calibri"/>
          <w:color w:val="000000" w:themeColor="text1"/>
          <w:shd w:val="clear" w:color="auto" w:fill="FFFFFF"/>
          <w:lang w:val="en-GB"/>
        </w:rPr>
        <w:t>.</w:t>
      </w:r>
    </w:p>
    <w:p w14:paraId="5F7FEB1D" w14:textId="77777777" w:rsidR="008E6E81" w:rsidRPr="005234EE" w:rsidRDefault="008E6E81" w:rsidP="004D1AC1">
      <w:pPr>
        <w:ind w:right="-397"/>
        <w:rPr>
          <w:rFonts w:ascii="Calibri" w:hAnsi="Calibri"/>
          <w:color w:val="000000" w:themeColor="text1"/>
          <w:shd w:val="clear" w:color="auto" w:fill="FFFFFF"/>
          <w:lang w:val="en-GB"/>
        </w:rPr>
      </w:pPr>
    </w:p>
    <w:p w14:paraId="496BA4EE" w14:textId="5DD356E0" w:rsidR="008E6E81" w:rsidRPr="005234EE" w:rsidRDefault="008E6E81" w:rsidP="004D1AC1">
      <w:pPr>
        <w:ind w:left="-397" w:right="-397"/>
        <w:rPr>
          <w:rFonts w:ascii="Calibri" w:hAnsi="Calibri"/>
          <w:color w:val="000000" w:themeColor="text1"/>
          <w:shd w:val="clear" w:color="auto" w:fill="FFFFFF"/>
          <w:lang w:val="en-GB"/>
        </w:rPr>
      </w:pPr>
      <w:r w:rsidRPr="005234EE">
        <w:rPr>
          <w:rFonts w:ascii="Calibri" w:hAnsi="Calibri"/>
          <w:color w:val="000000" w:themeColor="text1"/>
          <w:lang w:val="en-GB"/>
        </w:rPr>
        <w:lastRenderedPageBreak/>
        <w:t xml:space="preserve">Hvid, M.L. </w:t>
      </w:r>
      <w:r w:rsidR="009F0AC0" w:rsidRPr="005234EE">
        <w:rPr>
          <w:rFonts w:ascii="Calibri" w:hAnsi="Calibri"/>
          <w:color w:val="000000" w:themeColor="text1"/>
          <w:lang w:val="en-GB"/>
        </w:rPr>
        <w:t>(2016)</w:t>
      </w:r>
      <w:r w:rsidRPr="005234EE">
        <w:rPr>
          <w:rFonts w:ascii="Calibri" w:hAnsi="Calibri"/>
          <w:color w:val="000000" w:themeColor="text1"/>
          <w:lang w:val="en-GB"/>
        </w:rPr>
        <w:t xml:space="preserve"> </w:t>
      </w:r>
      <w:r w:rsidR="009F0AC0" w:rsidRPr="005234EE">
        <w:rPr>
          <w:rFonts w:ascii="Calibri" w:hAnsi="Calibri"/>
          <w:color w:val="000000" w:themeColor="text1"/>
          <w:lang w:val="en-GB"/>
        </w:rPr>
        <w:t>‘</w:t>
      </w:r>
      <w:r w:rsidRPr="005234EE">
        <w:rPr>
          <w:rFonts w:ascii="Calibri" w:hAnsi="Calibri"/>
          <w:color w:val="000000" w:themeColor="text1"/>
          <w:lang w:val="en-GB"/>
        </w:rPr>
        <w:t>Indentured servitude and convict labour in the Danish-Norwegian West Indies, 1671–1755</w:t>
      </w:r>
      <w:r w:rsidR="009F0AC0" w:rsidRPr="005234EE">
        <w:rPr>
          <w:rFonts w:ascii="Calibri" w:hAnsi="Calibri"/>
          <w:color w:val="000000" w:themeColor="text1"/>
          <w:lang w:val="en-GB"/>
        </w:rPr>
        <w:t>’</w:t>
      </w:r>
      <w:r w:rsidRPr="005234EE">
        <w:rPr>
          <w:rFonts w:ascii="Calibri" w:hAnsi="Calibri"/>
          <w:color w:val="000000" w:themeColor="text1"/>
          <w:lang w:val="en-GB"/>
        </w:rPr>
        <w:t xml:space="preserve">, </w:t>
      </w:r>
      <w:r w:rsidRPr="005234EE">
        <w:rPr>
          <w:rFonts w:ascii="Calibri" w:hAnsi="Calibri"/>
          <w:i/>
          <w:color w:val="000000" w:themeColor="text1"/>
          <w:lang w:val="en-GB"/>
        </w:rPr>
        <w:t>Scandinavian Journal of History</w:t>
      </w:r>
      <w:r w:rsidRPr="005234EE">
        <w:rPr>
          <w:rFonts w:ascii="Calibri" w:hAnsi="Calibri"/>
          <w:color w:val="000000" w:themeColor="text1"/>
          <w:lang w:val="en-GB"/>
        </w:rPr>
        <w:t xml:space="preserve">, </w:t>
      </w:r>
      <w:r w:rsidR="009F0AC0" w:rsidRPr="005234EE">
        <w:rPr>
          <w:rFonts w:ascii="Calibri" w:hAnsi="Calibri"/>
          <w:color w:val="000000" w:themeColor="text1"/>
          <w:lang w:val="en-GB"/>
        </w:rPr>
        <w:t>Vol. 41 No.</w:t>
      </w:r>
      <w:r w:rsidRPr="005234EE">
        <w:rPr>
          <w:rFonts w:ascii="Calibri" w:hAnsi="Calibri"/>
          <w:color w:val="000000" w:themeColor="text1"/>
          <w:lang w:val="en-GB"/>
        </w:rPr>
        <w:t xml:space="preserve">4-5, </w:t>
      </w:r>
      <w:r w:rsidR="009F0AC0" w:rsidRPr="005234EE">
        <w:rPr>
          <w:rFonts w:ascii="Calibri" w:hAnsi="Calibri"/>
          <w:color w:val="000000" w:themeColor="text1"/>
          <w:lang w:val="en-GB"/>
        </w:rPr>
        <w:t>pp.</w:t>
      </w:r>
      <w:r w:rsidRPr="005234EE">
        <w:rPr>
          <w:rFonts w:ascii="Calibri" w:hAnsi="Calibri"/>
          <w:color w:val="000000" w:themeColor="text1"/>
          <w:lang w:val="en-GB"/>
        </w:rPr>
        <w:t>541-564</w:t>
      </w:r>
      <w:r w:rsidR="009F0AC0" w:rsidRPr="005234EE">
        <w:rPr>
          <w:rFonts w:ascii="Calibri" w:hAnsi="Calibri"/>
          <w:color w:val="000000" w:themeColor="text1"/>
          <w:lang w:val="en-GB"/>
        </w:rPr>
        <w:t>.</w:t>
      </w:r>
    </w:p>
    <w:p w14:paraId="41A31FCB" w14:textId="77777777" w:rsidR="008E6E81" w:rsidRPr="005234EE" w:rsidRDefault="008E6E81" w:rsidP="004D1AC1">
      <w:pPr>
        <w:ind w:right="-397"/>
        <w:rPr>
          <w:rFonts w:ascii="Calibri" w:hAnsi="Calibri"/>
          <w:color w:val="000000" w:themeColor="text1"/>
          <w:lang w:val="en-GB"/>
        </w:rPr>
      </w:pPr>
    </w:p>
    <w:p w14:paraId="2A0786B7" w14:textId="6351C1F2" w:rsidR="008E6E81" w:rsidRPr="005234EE" w:rsidRDefault="008E6E81" w:rsidP="004D1AC1">
      <w:pPr>
        <w:ind w:left="-397" w:right="-397"/>
        <w:rPr>
          <w:rFonts w:ascii="Calibri" w:hAnsi="Calibri"/>
          <w:color w:val="000000" w:themeColor="text1"/>
          <w:lang w:val="en-GB"/>
        </w:rPr>
      </w:pPr>
      <w:r w:rsidRPr="005234EE">
        <w:rPr>
          <w:rFonts w:ascii="Calibri" w:hAnsi="Calibri"/>
          <w:color w:val="000000" w:themeColor="text1"/>
          <w:lang w:val="en-GB"/>
        </w:rPr>
        <w:t xml:space="preserve">Iverson, T. and Soskice, D. </w:t>
      </w:r>
      <w:r w:rsidR="00CA43C4" w:rsidRPr="005234EE">
        <w:rPr>
          <w:rFonts w:ascii="Calibri" w:hAnsi="Calibri"/>
          <w:color w:val="000000" w:themeColor="text1"/>
          <w:lang w:val="en-GB"/>
        </w:rPr>
        <w:t>(2009)</w:t>
      </w:r>
      <w:r w:rsidRPr="005234EE">
        <w:rPr>
          <w:rFonts w:ascii="Calibri" w:hAnsi="Calibri"/>
          <w:color w:val="000000" w:themeColor="text1"/>
          <w:lang w:val="en-GB"/>
        </w:rPr>
        <w:t xml:space="preserve"> </w:t>
      </w:r>
      <w:r w:rsidR="00CA43C4" w:rsidRPr="005234EE">
        <w:rPr>
          <w:rFonts w:ascii="Calibri" w:hAnsi="Calibri"/>
          <w:color w:val="000000" w:themeColor="text1"/>
          <w:lang w:val="en-GB"/>
        </w:rPr>
        <w:t>‘</w:t>
      </w:r>
      <w:r w:rsidRPr="005234EE">
        <w:rPr>
          <w:rFonts w:ascii="Calibri" w:hAnsi="Calibri"/>
          <w:color w:val="000000" w:themeColor="text1"/>
          <w:lang w:val="en-GB"/>
        </w:rPr>
        <w:t xml:space="preserve">Distribution and </w:t>
      </w:r>
      <w:r w:rsidR="00CA43C4" w:rsidRPr="005234EE">
        <w:rPr>
          <w:rFonts w:ascii="Calibri" w:hAnsi="Calibri"/>
          <w:color w:val="000000" w:themeColor="text1"/>
          <w:lang w:val="en-GB"/>
        </w:rPr>
        <w:t>r</w:t>
      </w:r>
      <w:r w:rsidRPr="005234EE">
        <w:rPr>
          <w:rFonts w:ascii="Calibri" w:hAnsi="Calibri"/>
          <w:color w:val="000000" w:themeColor="text1"/>
          <w:lang w:val="en-GB"/>
        </w:rPr>
        <w:t xml:space="preserve">edistribution: The </w:t>
      </w:r>
      <w:r w:rsidR="00CA43C4" w:rsidRPr="005234EE">
        <w:rPr>
          <w:rFonts w:ascii="Calibri" w:hAnsi="Calibri"/>
          <w:color w:val="000000" w:themeColor="text1"/>
          <w:lang w:val="en-GB"/>
        </w:rPr>
        <w:t>shadow of the nineteenth century’</w:t>
      </w:r>
      <w:r w:rsidRPr="005234EE">
        <w:rPr>
          <w:rFonts w:ascii="Calibri" w:hAnsi="Calibri"/>
          <w:color w:val="000000" w:themeColor="text1"/>
          <w:lang w:val="en-GB"/>
        </w:rPr>
        <w:t xml:space="preserve">, </w:t>
      </w:r>
      <w:r w:rsidRPr="005234EE">
        <w:rPr>
          <w:rFonts w:ascii="Calibri" w:hAnsi="Calibri"/>
          <w:i/>
          <w:color w:val="000000" w:themeColor="text1"/>
          <w:lang w:val="en-GB"/>
        </w:rPr>
        <w:t>World Politics</w:t>
      </w:r>
      <w:r w:rsidR="00CA43C4" w:rsidRPr="005234EE">
        <w:rPr>
          <w:rFonts w:ascii="Calibri" w:hAnsi="Calibri"/>
          <w:color w:val="000000" w:themeColor="text1"/>
          <w:lang w:val="en-GB"/>
        </w:rPr>
        <w:t>,</w:t>
      </w:r>
      <w:r w:rsidRPr="005234EE">
        <w:rPr>
          <w:rFonts w:ascii="Calibri" w:hAnsi="Calibri"/>
          <w:color w:val="000000" w:themeColor="text1"/>
          <w:lang w:val="en-GB"/>
        </w:rPr>
        <w:t xml:space="preserve"> </w:t>
      </w:r>
      <w:r w:rsidR="00CA43C4" w:rsidRPr="005234EE">
        <w:rPr>
          <w:rFonts w:ascii="Calibri" w:hAnsi="Calibri"/>
          <w:color w:val="000000" w:themeColor="text1"/>
          <w:lang w:val="en-GB"/>
        </w:rPr>
        <w:t xml:space="preserve">Vol. 61 No. </w:t>
      </w:r>
      <w:r w:rsidRPr="005234EE">
        <w:rPr>
          <w:rFonts w:ascii="Calibri" w:hAnsi="Calibri"/>
          <w:color w:val="000000" w:themeColor="text1"/>
          <w:lang w:val="en-GB"/>
        </w:rPr>
        <w:t>3, pp.438-</w:t>
      </w:r>
      <w:r w:rsidR="00CA43C4" w:rsidRPr="005234EE">
        <w:rPr>
          <w:rFonts w:ascii="Calibri" w:hAnsi="Calibri"/>
          <w:color w:val="000000" w:themeColor="text1"/>
          <w:lang w:val="en-GB"/>
        </w:rPr>
        <w:t>4</w:t>
      </w:r>
      <w:r w:rsidRPr="005234EE">
        <w:rPr>
          <w:rFonts w:ascii="Calibri" w:hAnsi="Calibri"/>
          <w:color w:val="000000" w:themeColor="text1"/>
          <w:lang w:val="en-GB"/>
        </w:rPr>
        <w:t>86.</w:t>
      </w:r>
    </w:p>
    <w:p w14:paraId="7DC7D765" w14:textId="77777777" w:rsidR="00C42A51" w:rsidRPr="005234EE" w:rsidRDefault="00C42A51" w:rsidP="004D1AC1">
      <w:pPr>
        <w:ind w:left="-397" w:right="-397"/>
        <w:rPr>
          <w:rFonts w:ascii="Calibri" w:hAnsi="Calibri"/>
          <w:color w:val="000000" w:themeColor="text1"/>
          <w:lang w:val="en-GB"/>
        </w:rPr>
      </w:pPr>
    </w:p>
    <w:p w14:paraId="769F3161" w14:textId="0FE450E7" w:rsidR="00C42A51" w:rsidRPr="005234EE" w:rsidRDefault="00C42A51" w:rsidP="004D1AC1">
      <w:pPr>
        <w:ind w:left="-397" w:right="-397"/>
        <w:rPr>
          <w:rFonts w:ascii="Calibri" w:hAnsi="Calibri"/>
          <w:color w:val="000000" w:themeColor="text1"/>
          <w:lang w:val="en-GB"/>
        </w:rPr>
      </w:pPr>
      <w:r w:rsidRPr="005234EE">
        <w:rPr>
          <w:rFonts w:ascii="Calibri" w:hAnsi="Calibri"/>
          <w:color w:val="000000" w:themeColor="text1"/>
          <w:lang w:val="en-GB"/>
        </w:rPr>
        <w:t xml:space="preserve">Jackson, B. </w:t>
      </w:r>
      <w:r w:rsidR="00792295" w:rsidRPr="005234EE">
        <w:rPr>
          <w:rFonts w:ascii="Calibri" w:hAnsi="Calibri"/>
          <w:color w:val="000000" w:themeColor="text1"/>
          <w:lang w:val="en-GB"/>
        </w:rPr>
        <w:t>(2012)</w:t>
      </w:r>
      <w:r w:rsidRPr="005234EE">
        <w:rPr>
          <w:rFonts w:ascii="Calibri" w:hAnsi="Calibri"/>
          <w:color w:val="000000" w:themeColor="text1"/>
          <w:lang w:val="en-GB"/>
        </w:rPr>
        <w:t xml:space="preserve"> ‘Property-</w:t>
      </w:r>
      <w:r w:rsidR="00EB03DB" w:rsidRPr="005234EE">
        <w:rPr>
          <w:rFonts w:ascii="Calibri" w:hAnsi="Calibri"/>
          <w:color w:val="000000" w:themeColor="text1"/>
          <w:lang w:val="en-GB"/>
        </w:rPr>
        <w:t>owning democracy: A short history</w:t>
      </w:r>
      <w:r w:rsidRPr="005234EE">
        <w:rPr>
          <w:rFonts w:ascii="Calibri" w:hAnsi="Calibri"/>
          <w:color w:val="000000" w:themeColor="text1"/>
          <w:lang w:val="en-GB"/>
        </w:rPr>
        <w:t>’</w:t>
      </w:r>
      <w:r w:rsidR="000114F4" w:rsidRPr="005234EE">
        <w:rPr>
          <w:rFonts w:ascii="Calibri" w:hAnsi="Calibri"/>
          <w:color w:val="000000" w:themeColor="text1"/>
          <w:lang w:val="en-GB"/>
        </w:rPr>
        <w:t>,</w:t>
      </w:r>
      <w:r w:rsidRPr="005234EE">
        <w:rPr>
          <w:rFonts w:ascii="Calibri" w:hAnsi="Calibri"/>
          <w:color w:val="000000" w:themeColor="text1"/>
          <w:lang w:val="en-GB"/>
        </w:rPr>
        <w:t xml:space="preserve"> in </w:t>
      </w:r>
      <w:r w:rsidR="00792295" w:rsidRPr="005234EE">
        <w:rPr>
          <w:rFonts w:ascii="Calibri" w:hAnsi="Calibri"/>
          <w:color w:val="000000" w:themeColor="text1"/>
          <w:lang w:val="en-GB"/>
        </w:rPr>
        <w:t>O’Neil, M. and Wiliamson, T. (Eds.)</w:t>
      </w:r>
      <w:r w:rsidR="000114F4" w:rsidRPr="005234EE">
        <w:rPr>
          <w:rFonts w:ascii="Calibri" w:hAnsi="Calibri"/>
          <w:color w:val="000000" w:themeColor="text1"/>
          <w:lang w:val="en-GB"/>
        </w:rPr>
        <w:t>,</w:t>
      </w:r>
      <w:r w:rsidR="00792295" w:rsidRPr="005234EE">
        <w:rPr>
          <w:rFonts w:ascii="Calibri" w:hAnsi="Calibri"/>
          <w:color w:val="000000" w:themeColor="text1"/>
          <w:lang w:val="en-GB"/>
        </w:rPr>
        <w:t xml:space="preserve"> </w:t>
      </w:r>
      <w:r w:rsidR="00EB03DB" w:rsidRPr="005234EE">
        <w:rPr>
          <w:rFonts w:ascii="Calibri" w:hAnsi="Calibri"/>
          <w:i/>
          <w:color w:val="000000" w:themeColor="text1"/>
          <w:lang w:val="en-GB"/>
        </w:rPr>
        <w:t>Property</w:t>
      </w:r>
      <w:r w:rsidRPr="005234EE">
        <w:rPr>
          <w:rFonts w:ascii="Calibri" w:hAnsi="Calibri"/>
          <w:i/>
          <w:color w:val="000000" w:themeColor="text1"/>
          <w:lang w:val="en-GB"/>
        </w:rPr>
        <w:t>-Owning Democracy</w:t>
      </w:r>
      <w:r w:rsidR="00EB03DB" w:rsidRPr="005234EE">
        <w:rPr>
          <w:rFonts w:ascii="Calibri" w:hAnsi="Calibri"/>
          <w:i/>
          <w:color w:val="000000" w:themeColor="text1"/>
          <w:lang w:val="en-GB"/>
        </w:rPr>
        <w:t>: Rawls and Beyond</w:t>
      </w:r>
      <w:r w:rsidR="00792295" w:rsidRPr="005234EE">
        <w:rPr>
          <w:rFonts w:ascii="Calibri" w:hAnsi="Calibri"/>
          <w:color w:val="000000" w:themeColor="text1"/>
          <w:lang w:val="en-GB"/>
        </w:rPr>
        <w:t xml:space="preserve">, </w:t>
      </w:r>
      <w:r w:rsidRPr="005234EE">
        <w:rPr>
          <w:rFonts w:ascii="Calibri" w:hAnsi="Calibri"/>
          <w:color w:val="000000" w:themeColor="text1"/>
          <w:lang w:val="en-GB"/>
        </w:rPr>
        <w:t>Wiley-Blackwell</w:t>
      </w:r>
      <w:r w:rsidR="00792295" w:rsidRPr="005234EE">
        <w:rPr>
          <w:rFonts w:ascii="Calibri" w:hAnsi="Calibri"/>
          <w:color w:val="000000" w:themeColor="text1"/>
          <w:lang w:val="en-GB"/>
        </w:rPr>
        <w:t>, Malden</w:t>
      </w:r>
      <w:r w:rsidR="00FE40BE" w:rsidRPr="005234EE">
        <w:rPr>
          <w:rFonts w:ascii="Calibri" w:hAnsi="Calibri"/>
          <w:color w:val="000000" w:themeColor="text1"/>
          <w:lang w:val="en-GB"/>
        </w:rPr>
        <w:t xml:space="preserve">, </w:t>
      </w:r>
      <w:r w:rsidR="00FE40BE" w:rsidRPr="00DA4000">
        <w:rPr>
          <w:rFonts w:ascii="Calibri" w:hAnsi="Calibri"/>
          <w:color w:val="000000" w:themeColor="text1"/>
          <w:lang w:val="en-GB"/>
        </w:rPr>
        <w:t>pp.33-52</w:t>
      </w:r>
      <w:r w:rsidR="00FE40BE" w:rsidRPr="005234EE">
        <w:rPr>
          <w:rFonts w:ascii="Calibri" w:hAnsi="Calibri"/>
          <w:color w:val="000000" w:themeColor="text1"/>
          <w:lang w:val="en-GB"/>
        </w:rPr>
        <w:t>.</w:t>
      </w:r>
    </w:p>
    <w:p w14:paraId="289DE715" w14:textId="77777777" w:rsidR="008E6E81" w:rsidRPr="005234EE" w:rsidRDefault="008E6E81" w:rsidP="004D1AC1">
      <w:pPr>
        <w:ind w:right="-397"/>
        <w:rPr>
          <w:rFonts w:ascii="Calibri" w:hAnsi="Calibri"/>
          <w:color w:val="000000" w:themeColor="text1"/>
          <w:lang w:val="en-GB"/>
        </w:rPr>
      </w:pPr>
    </w:p>
    <w:p w14:paraId="4CB6E4EC" w14:textId="0B6AD767" w:rsidR="008E6E81" w:rsidRPr="00766F73" w:rsidRDefault="008E6E81" w:rsidP="004D1AC1">
      <w:pPr>
        <w:ind w:left="-397" w:right="-397"/>
        <w:rPr>
          <w:rFonts w:ascii="Calibri" w:hAnsi="Calibri"/>
          <w:color w:val="000000" w:themeColor="text1"/>
          <w:lang w:val="da-DK"/>
        </w:rPr>
      </w:pPr>
      <w:r w:rsidRPr="00766F73">
        <w:rPr>
          <w:rFonts w:ascii="Calibri" w:hAnsi="Calibri"/>
          <w:color w:val="000000" w:themeColor="text1"/>
          <w:lang w:val="da-DK"/>
        </w:rPr>
        <w:t xml:space="preserve">Jensen, H. </w:t>
      </w:r>
      <w:r w:rsidR="000114F4" w:rsidRPr="00766F73">
        <w:rPr>
          <w:rFonts w:ascii="Calibri" w:hAnsi="Calibri"/>
          <w:color w:val="000000" w:themeColor="text1"/>
          <w:lang w:val="da-DK"/>
        </w:rPr>
        <w:t>(1936)</w:t>
      </w:r>
      <w:r w:rsidRPr="00766F73">
        <w:rPr>
          <w:rFonts w:ascii="Calibri" w:hAnsi="Calibri"/>
          <w:color w:val="000000" w:themeColor="text1"/>
          <w:lang w:val="da-DK"/>
        </w:rPr>
        <w:t xml:space="preserve"> </w:t>
      </w:r>
      <w:r w:rsidRPr="00766F73">
        <w:rPr>
          <w:rFonts w:ascii="Calibri" w:hAnsi="Calibri"/>
          <w:i/>
          <w:color w:val="000000" w:themeColor="text1"/>
          <w:lang w:val="da-DK"/>
        </w:rPr>
        <w:t>Dansk Jordpolitik 1757-1919</w:t>
      </w:r>
      <w:r w:rsidRPr="00766F73">
        <w:rPr>
          <w:rFonts w:ascii="Calibri" w:hAnsi="Calibri"/>
          <w:color w:val="000000" w:themeColor="text1"/>
          <w:lang w:val="da-DK"/>
        </w:rPr>
        <w:t xml:space="preserve">, Gyldendanske </w:t>
      </w:r>
      <w:r w:rsidR="000114F4" w:rsidRPr="00766F73">
        <w:rPr>
          <w:rFonts w:ascii="Calibri" w:hAnsi="Calibri"/>
          <w:color w:val="000000" w:themeColor="text1"/>
          <w:lang w:val="da-DK"/>
        </w:rPr>
        <w:t>B</w:t>
      </w:r>
      <w:r w:rsidRPr="00766F73">
        <w:rPr>
          <w:rFonts w:ascii="Calibri" w:hAnsi="Calibri"/>
          <w:color w:val="000000" w:themeColor="text1"/>
          <w:lang w:val="da-DK"/>
        </w:rPr>
        <w:t>oghandel – Nordisk Forlag</w:t>
      </w:r>
      <w:r w:rsidR="000114F4" w:rsidRPr="00766F73">
        <w:rPr>
          <w:rFonts w:ascii="Calibri" w:hAnsi="Calibri"/>
          <w:color w:val="000000" w:themeColor="text1"/>
          <w:lang w:val="da-DK"/>
        </w:rPr>
        <w:t>, København.</w:t>
      </w:r>
    </w:p>
    <w:p w14:paraId="1F7918D7" w14:textId="77777777" w:rsidR="008E6E81" w:rsidRPr="00766F73" w:rsidRDefault="008E6E81" w:rsidP="004D1AC1">
      <w:pPr>
        <w:ind w:left="-397" w:right="-397"/>
        <w:rPr>
          <w:rFonts w:ascii="Calibri" w:hAnsi="Calibri"/>
          <w:color w:val="000000" w:themeColor="text1"/>
          <w:lang w:val="da-DK"/>
        </w:rPr>
      </w:pPr>
    </w:p>
    <w:p w14:paraId="0FB101B2" w14:textId="717347C8" w:rsidR="000114F4" w:rsidRPr="005234EE" w:rsidRDefault="000114F4" w:rsidP="000114F4">
      <w:pPr>
        <w:ind w:left="-397" w:right="-397"/>
        <w:rPr>
          <w:rFonts w:ascii="Calibri" w:hAnsi="Calibri"/>
          <w:color w:val="000000" w:themeColor="text1"/>
          <w:lang w:val="en-GB"/>
        </w:rPr>
      </w:pPr>
      <w:r w:rsidRPr="005234EE">
        <w:rPr>
          <w:rFonts w:ascii="Calibri" w:hAnsi="Calibri"/>
          <w:color w:val="000000" w:themeColor="text1"/>
          <w:lang w:val="en-GB"/>
        </w:rPr>
        <w:t>Jonassen, C.T. (1983)</w:t>
      </w:r>
      <w:r w:rsidR="008E6E81" w:rsidRPr="005234EE">
        <w:rPr>
          <w:rFonts w:ascii="Calibri" w:hAnsi="Calibri"/>
          <w:color w:val="000000" w:themeColor="text1"/>
          <w:lang w:val="en-GB"/>
        </w:rPr>
        <w:t xml:space="preserve"> </w:t>
      </w:r>
      <w:r w:rsidR="008E6E81" w:rsidRPr="005234EE">
        <w:rPr>
          <w:rFonts w:ascii="Calibri" w:hAnsi="Calibri"/>
          <w:i/>
          <w:color w:val="000000" w:themeColor="text1"/>
          <w:lang w:val="en-GB"/>
        </w:rPr>
        <w:t>Value Systems and Personality in a Western Civilization: Norwegians in Europe and Beyond</w:t>
      </w:r>
      <w:r w:rsidR="008E6E81" w:rsidRPr="005234EE">
        <w:rPr>
          <w:rFonts w:ascii="Calibri" w:hAnsi="Calibri"/>
          <w:color w:val="000000" w:themeColor="text1"/>
          <w:lang w:val="en-GB"/>
        </w:rPr>
        <w:t>,</w:t>
      </w:r>
      <w:r w:rsidRPr="005234EE">
        <w:rPr>
          <w:rFonts w:ascii="Calibri" w:hAnsi="Calibri"/>
          <w:color w:val="000000" w:themeColor="text1"/>
          <w:lang w:val="en-GB"/>
        </w:rPr>
        <w:t xml:space="preserve"> Ohio State University Press, Columbus.</w:t>
      </w:r>
    </w:p>
    <w:p w14:paraId="10ACF05D" w14:textId="77777777" w:rsidR="000114F4" w:rsidRPr="005234EE" w:rsidRDefault="000114F4" w:rsidP="000114F4">
      <w:pPr>
        <w:ind w:left="-397" w:right="-397"/>
        <w:rPr>
          <w:rFonts w:ascii="Calibri" w:hAnsi="Calibri"/>
          <w:color w:val="000000" w:themeColor="text1"/>
          <w:lang w:val="en-GB"/>
        </w:rPr>
      </w:pPr>
    </w:p>
    <w:p w14:paraId="1EE3CF06" w14:textId="09FCF7ED" w:rsidR="008E6E81" w:rsidRPr="005234EE" w:rsidRDefault="000114F4" w:rsidP="000114F4">
      <w:pPr>
        <w:ind w:left="-397" w:right="-397"/>
        <w:rPr>
          <w:rFonts w:ascii="Calibri" w:hAnsi="Calibri"/>
          <w:color w:val="000000" w:themeColor="text1"/>
          <w:lang w:val="en-GB"/>
        </w:rPr>
      </w:pPr>
      <w:r w:rsidRPr="005234EE">
        <w:rPr>
          <w:rFonts w:ascii="Calibri" w:hAnsi="Calibri"/>
          <w:color w:val="000000" w:themeColor="text1"/>
          <w:lang w:val="en-GB"/>
        </w:rPr>
        <w:t>Joseph Rowntree Foundation (2014)</w:t>
      </w:r>
      <w:r w:rsidR="008E6E81" w:rsidRPr="005234EE">
        <w:rPr>
          <w:rFonts w:ascii="Calibri" w:hAnsi="Calibri"/>
          <w:color w:val="000000" w:themeColor="text1"/>
          <w:lang w:val="en-GB"/>
        </w:rPr>
        <w:t xml:space="preserve"> </w:t>
      </w:r>
      <w:r w:rsidR="008E6E81" w:rsidRPr="005234EE">
        <w:rPr>
          <w:rFonts w:ascii="Calibri" w:hAnsi="Calibri"/>
          <w:i/>
          <w:color w:val="000000" w:themeColor="text1"/>
          <w:lang w:val="en-GB"/>
        </w:rPr>
        <w:t>Welfare Sanctions and Conditionality in the UK</w:t>
      </w:r>
      <w:r w:rsidRPr="005234EE">
        <w:rPr>
          <w:rFonts w:ascii="Calibri" w:hAnsi="Calibri"/>
          <w:color w:val="000000" w:themeColor="text1"/>
          <w:lang w:val="en-GB"/>
        </w:rPr>
        <w:t xml:space="preserve">, Joseph Rowntree Foundation, </w:t>
      </w:r>
      <w:r w:rsidRPr="00DA4000">
        <w:rPr>
          <w:rFonts w:ascii="Calibri" w:hAnsi="Calibri"/>
          <w:color w:val="000000" w:themeColor="text1"/>
          <w:lang w:val="en-GB"/>
        </w:rPr>
        <w:t>York</w:t>
      </w:r>
      <w:r w:rsidRPr="005234EE">
        <w:rPr>
          <w:rFonts w:ascii="Calibri" w:hAnsi="Calibri"/>
          <w:color w:val="000000" w:themeColor="text1"/>
          <w:lang w:val="en-GB"/>
        </w:rPr>
        <w:t xml:space="preserve">. </w:t>
      </w:r>
    </w:p>
    <w:p w14:paraId="558DDB21" w14:textId="77777777" w:rsidR="000114F4" w:rsidRPr="005234EE" w:rsidRDefault="000114F4" w:rsidP="004D1AC1">
      <w:pPr>
        <w:ind w:left="-397" w:right="-397"/>
        <w:rPr>
          <w:rFonts w:ascii="Calibri" w:hAnsi="Calibri"/>
          <w:color w:val="000000" w:themeColor="text1"/>
          <w:lang w:val="en-GB"/>
        </w:rPr>
      </w:pPr>
    </w:p>
    <w:p w14:paraId="2489E289" w14:textId="1F969F05" w:rsidR="008E6E81" w:rsidRPr="005234EE" w:rsidRDefault="009B3FFA" w:rsidP="00F83C9B">
      <w:pPr>
        <w:ind w:left="-397" w:right="-397"/>
        <w:outlineLvl w:val="0"/>
        <w:rPr>
          <w:rFonts w:ascii="Calibri" w:hAnsi="Calibri"/>
          <w:color w:val="000000" w:themeColor="text1"/>
          <w:lang w:val="en-GB"/>
        </w:rPr>
      </w:pPr>
      <w:r w:rsidRPr="005234EE">
        <w:rPr>
          <w:rFonts w:ascii="Calibri" w:hAnsi="Calibri"/>
          <w:color w:val="000000" w:themeColor="text1"/>
          <w:lang w:val="en-GB"/>
        </w:rPr>
        <w:t>Kananen, J. (2014)</w:t>
      </w:r>
      <w:r w:rsidR="008E6E81" w:rsidRPr="005234EE">
        <w:rPr>
          <w:rFonts w:ascii="Calibri" w:hAnsi="Calibri"/>
          <w:color w:val="000000" w:themeColor="text1"/>
          <w:lang w:val="en-GB"/>
        </w:rPr>
        <w:t xml:space="preserve"> </w:t>
      </w:r>
      <w:r w:rsidR="008E6E81" w:rsidRPr="005234EE">
        <w:rPr>
          <w:rFonts w:ascii="Calibri" w:hAnsi="Calibri"/>
          <w:i/>
          <w:color w:val="000000" w:themeColor="text1"/>
          <w:lang w:val="en-GB"/>
        </w:rPr>
        <w:t>The Nordic Welfare State in Three Eras</w:t>
      </w:r>
      <w:r w:rsidR="008E6E81" w:rsidRPr="005234EE">
        <w:rPr>
          <w:rFonts w:ascii="Calibri" w:hAnsi="Calibri"/>
          <w:color w:val="000000" w:themeColor="text1"/>
          <w:lang w:val="en-GB"/>
        </w:rPr>
        <w:t>, Ashgate</w:t>
      </w:r>
      <w:r w:rsidRPr="005234EE">
        <w:rPr>
          <w:rFonts w:ascii="Calibri" w:hAnsi="Calibri"/>
          <w:color w:val="000000" w:themeColor="text1"/>
          <w:lang w:val="en-GB"/>
        </w:rPr>
        <w:t>, Surrey</w:t>
      </w:r>
      <w:r w:rsidR="008E6E81" w:rsidRPr="005234EE">
        <w:rPr>
          <w:rFonts w:ascii="Calibri" w:hAnsi="Calibri"/>
          <w:color w:val="000000" w:themeColor="text1"/>
          <w:lang w:val="en-GB"/>
        </w:rPr>
        <w:t>.</w:t>
      </w:r>
    </w:p>
    <w:p w14:paraId="12F61325" w14:textId="77777777" w:rsidR="000114F4" w:rsidRPr="005234EE" w:rsidRDefault="000114F4" w:rsidP="004D1AC1">
      <w:pPr>
        <w:ind w:left="-397" w:right="-397"/>
        <w:rPr>
          <w:rFonts w:ascii="Calibri" w:hAnsi="Calibri"/>
          <w:color w:val="000000" w:themeColor="text1"/>
          <w:lang w:val="en-GB"/>
        </w:rPr>
      </w:pPr>
    </w:p>
    <w:p w14:paraId="58C474F0" w14:textId="4A80E4ED" w:rsidR="008E6E81" w:rsidRPr="005234EE" w:rsidRDefault="008E6E81" w:rsidP="004D1AC1">
      <w:pPr>
        <w:pStyle w:val="BISReference"/>
        <w:ind w:left="-397" w:right="-397" w:firstLine="0"/>
        <w:jc w:val="left"/>
        <w:rPr>
          <w:rFonts w:ascii="Calibri" w:hAnsi="Calibri"/>
          <w:color w:val="000000" w:themeColor="text1"/>
          <w:sz w:val="24"/>
          <w:szCs w:val="24"/>
        </w:rPr>
      </w:pPr>
      <w:r w:rsidRPr="005234EE">
        <w:rPr>
          <w:rFonts w:ascii="Calibri" w:hAnsi="Calibri"/>
          <w:color w:val="000000" w:themeColor="text1"/>
          <w:sz w:val="24"/>
          <w:szCs w:val="24"/>
        </w:rPr>
        <w:t>Int</w:t>
      </w:r>
      <w:r w:rsidR="009B3FFA" w:rsidRPr="005234EE">
        <w:rPr>
          <w:rFonts w:ascii="Calibri" w:hAnsi="Calibri"/>
          <w:color w:val="000000" w:themeColor="text1"/>
          <w:sz w:val="24"/>
          <w:szCs w:val="24"/>
        </w:rPr>
        <w:t>ernational Labour Organisation (2004)</w:t>
      </w:r>
      <w:r w:rsidRPr="005234EE">
        <w:rPr>
          <w:rFonts w:ascii="Calibri" w:hAnsi="Calibri"/>
          <w:color w:val="000000" w:themeColor="text1"/>
          <w:sz w:val="24"/>
          <w:szCs w:val="24"/>
        </w:rPr>
        <w:t xml:space="preserve"> </w:t>
      </w:r>
      <w:r w:rsidRPr="005234EE">
        <w:rPr>
          <w:rFonts w:ascii="Calibri" w:hAnsi="Calibri"/>
          <w:i/>
          <w:color w:val="000000" w:themeColor="text1"/>
          <w:sz w:val="24"/>
          <w:szCs w:val="24"/>
        </w:rPr>
        <w:t>Income Security for a Better World</w:t>
      </w:r>
      <w:r w:rsidRPr="005234EE">
        <w:rPr>
          <w:rFonts w:ascii="Calibri" w:hAnsi="Calibri"/>
          <w:color w:val="000000" w:themeColor="text1"/>
          <w:sz w:val="24"/>
          <w:szCs w:val="24"/>
        </w:rPr>
        <w:t>, In</w:t>
      </w:r>
      <w:r w:rsidR="009B3FFA" w:rsidRPr="005234EE">
        <w:rPr>
          <w:rFonts w:ascii="Calibri" w:hAnsi="Calibri"/>
          <w:color w:val="000000" w:themeColor="text1"/>
          <w:sz w:val="24"/>
          <w:szCs w:val="24"/>
        </w:rPr>
        <w:t>ternational Labour Organisation, Geneva.</w:t>
      </w:r>
    </w:p>
    <w:p w14:paraId="03C70CDC" w14:textId="77777777" w:rsidR="008E6E81" w:rsidRPr="005234EE" w:rsidRDefault="008E6E81" w:rsidP="004D1AC1">
      <w:pPr>
        <w:pStyle w:val="BISReference"/>
        <w:ind w:left="-397" w:right="-397" w:firstLine="0"/>
        <w:jc w:val="left"/>
        <w:rPr>
          <w:rFonts w:ascii="Calibri" w:hAnsi="Calibri"/>
          <w:color w:val="000000" w:themeColor="text1"/>
          <w:sz w:val="24"/>
          <w:szCs w:val="24"/>
        </w:rPr>
      </w:pPr>
    </w:p>
    <w:p w14:paraId="1EA1A39A" w14:textId="430F041B" w:rsidR="008E6E81" w:rsidRPr="00766F73" w:rsidRDefault="00C14824" w:rsidP="000114F4">
      <w:pPr>
        <w:pStyle w:val="BISReference"/>
        <w:ind w:left="-397" w:right="-397" w:firstLine="0"/>
        <w:jc w:val="left"/>
        <w:rPr>
          <w:rFonts w:ascii="Calibri" w:hAnsi="Calibri"/>
          <w:color w:val="000000" w:themeColor="text1"/>
          <w:sz w:val="24"/>
          <w:szCs w:val="24"/>
          <w:lang w:val="da-DK"/>
        </w:rPr>
      </w:pPr>
      <w:r w:rsidRPr="00766F73">
        <w:rPr>
          <w:rFonts w:ascii="Calibri" w:eastAsiaTheme="minorEastAsia" w:hAnsi="Calibri"/>
          <w:color w:val="000000" w:themeColor="text1"/>
          <w:sz w:val="24"/>
          <w:szCs w:val="24"/>
          <w:lang w:val="da-DK" w:bidi="he-IL"/>
        </w:rPr>
        <w:t>Klos, M. (2014)</w:t>
      </w:r>
      <w:r w:rsidR="008E6E81" w:rsidRPr="00766F73">
        <w:rPr>
          <w:rFonts w:ascii="Calibri" w:eastAsiaTheme="minorEastAsia" w:hAnsi="Calibri"/>
          <w:color w:val="000000" w:themeColor="text1"/>
          <w:sz w:val="24"/>
          <w:szCs w:val="24"/>
          <w:lang w:val="da-DK" w:bidi="he-IL"/>
        </w:rPr>
        <w:t xml:space="preserve">  </w:t>
      </w:r>
      <w:r w:rsidR="008E6E81" w:rsidRPr="00766F73">
        <w:rPr>
          <w:rFonts w:ascii="Calibri" w:eastAsiaTheme="minorEastAsia" w:hAnsi="Calibri"/>
          <w:i/>
          <w:color w:val="000000" w:themeColor="text1"/>
          <w:sz w:val="24"/>
          <w:szCs w:val="24"/>
          <w:lang w:val="da-DK" w:bidi="he-IL"/>
        </w:rPr>
        <w:t xml:space="preserve">Rådighed og </w:t>
      </w:r>
      <w:r w:rsidR="007C0739" w:rsidRPr="00766F73">
        <w:rPr>
          <w:rFonts w:ascii="Calibri" w:eastAsiaTheme="minorEastAsia" w:hAnsi="Calibri"/>
          <w:i/>
          <w:color w:val="000000" w:themeColor="text1"/>
          <w:sz w:val="24"/>
          <w:szCs w:val="24"/>
          <w:lang w:val="da-DK" w:bidi="he-IL"/>
        </w:rPr>
        <w:t>S</w:t>
      </w:r>
      <w:r w:rsidR="008E6E81" w:rsidRPr="00766F73">
        <w:rPr>
          <w:rFonts w:ascii="Calibri" w:eastAsiaTheme="minorEastAsia" w:hAnsi="Calibri"/>
          <w:i/>
          <w:color w:val="000000" w:themeColor="text1"/>
          <w:sz w:val="24"/>
          <w:szCs w:val="24"/>
          <w:lang w:val="da-DK" w:bidi="he-IL"/>
        </w:rPr>
        <w:t>anktioner</w:t>
      </w:r>
      <w:r w:rsidR="008E6E81" w:rsidRPr="00766F73">
        <w:rPr>
          <w:rFonts w:ascii="Calibri" w:eastAsiaTheme="minorEastAsia" w:hAnsi="Calibri"/>
          <w:color w:val="000000" w:themeColor="text1"/>
          <w:sz w:val="24"/>
          <w:szCs w:val="24"/>
          <w:lang w:val="da-DK" w:bidi="he-IL"/>
        </w:rPr>
        <w:t>, AK-Samvirke</w:t>
      </w:r>
      <w:r w:rsidR="007C0739" w:rsidRPr="00766F73">
        <w:rPr>
          <w:rFonts w:ascii="Calibri" w:eastAsiaTheme="minorEastAsia" w:hAnsi="Calibri"/>
          <w:color w:val="000000" w:themeColor="text1"/>
          <w:sz w:val="24"/>
          <w:szCs w:val="24"/>
          <w:lang w:val="da-DK" w:bidi="he-IL"/>
        </w:rPr>
        <w:t>,</w:t>
      </w:r>
      <w:r w:rsidR="008E6E81" w:rsidRPr="00766F73">
        <w:rPr>
          <w:rFonts w:ascii="Calibri" w:eastAsiaTheme="minorEastAsia" w:hAnsi="Calibri"/>
          <w:color w:val="000000" w:themeColor="text1"/>
          <w:sz w:val="24"/>
          <w:szCs w:val="24"/>
          <w:lang w:val="da-DK" w:bidi="he-IL"/>
        </w:rPr>
        <w:t xml:space="preserve"> Version 3</w:t>
      </w:r>
      <w:r w:rsidR="007C0739" w:rsidRPr="00766F73">
        <w:rPr>
          <w:rFonts w:ascii="Calibri" w:eastAsiaTheme="minorEastAsia" w:hAnsi="Calibri"/>
          <w:color w:val="000000" w:themeColor="text1"/>
          <w:sz w:val="24"/>
          <w:szCs w:val="24"/>
          <w:lang w:val="da-DK" w:bidi="he-IL"/>
        </w:rPr>
        <w:t>.</w:t>
      </w:r>
      <w:r w:rsidR="000114F4" w:rsidRPr="00766F73">
        <w:rPr>
          <w:rFonts w:ascii="Calibri" w:hAnsi="Calibri"/>
          <w:color w:val="000000" w:themeColor="text1"/>
          <w:sz w:val="24"/>
          <w:szCs w:val="24"/>
          <w:lang w:val="da-DK"/>
        </w:rPr>
        <w:t xml:space="preserve"> </w:t>
      </w:r>
      <w:r w:rsidR="008E6E81" w:rsidRPr="00766F73">
        <w:rPr>
          <w:rFonts w:ascii="Calibri" w:hAnsi="Calibri"/>
          <w:color w:val="000000" w:themeColor="text1"/>
          <w:sz w:val="24"/>
          <w:szCs w:val="24"/>
          <w:lang w:val="da-DK"/>
        </w:rPr>
        <w:t>https://danskeakasser.dk/files/dokumenter/nyheder/notat_om_raadighed_og_sanktioner_maj_2014_mkl_3.pdf</w:t>
      </w:r>
      <w:r w:rsidR="007C0739" w:rsidRPr="00766F73">
        <w:rPr>
          <w:rFonts w:ascii="Calibri" w:hAnsi="Calibri"/>
          <w:color w:val="000000" w:themeColor="text1"/>
          <w:sz w:val="24"/>
          <w:szCs w:val="24"/>
          <w:lang w:val="da-DK"/>
        </w:rPr>
        <w:t xml:space="preserve"> (</w:t>
      </w:r>
      <w:commentRangeStart w:id="23"/>
      <w:r w:rsidR="007C0739" w:rsidRPr="00766F73">
        <w:rPr>
          <w:rFonts w:ascii="Calibri" w:hAnsi="Calibri"/>
          <w:color w:val="000000" w:themeColor="text1"/>
          <w:sz w:val="24"/>
          <w:szCs w:val="24"/>
          <w:lang w:val="da-DK"/>
        </w:rPr>
        <w:t>Accessed [</w:t>
      </w:r>
      <w:r w:rsidR="00B70056" w:rsidRPr="00766F73">
        <w:rPr>
          <w:rFonts w:ascii="Calibri" w:hAnsi="Calibri"/>
          <w:color w:val="000000" w:themeColor="text1"/>
          <w:sz w:val="24"/>
          <w:szCs w:val="24"/>
          <w:lang w:val="da-DK"/>
        </w:rPr>
        <w:t>12-05-2017</w:t>
      </w:r>
      <w:r w:rsidR="007C0739" w:rsidRPr="00766F73">
        <w:rPr>
          <w:rFonts w:ascii="Calibri" w:hAnsi="Calibri"/>
          <w:color w:val="000000" w:themeColor="text1"/>
          <w:sz w:val="24"/>
          <w:szCs w:val="24"/>
          <w:lang w:val="da-DK"/>
        </w:rPr>
        <w:t>]).</w:t>
      </w:r>
      <w:commentRangeEnd w:id="23"/>
      <w:r w:rsidR="00DA4000">
        <w:rPr>
          <w:rStyle w:val="CommentReference"/>
          <w:rFonts w:asciiTheme="minorHAnsi" w:eastAsiaTheme="minorHAnsi" w:hAnsiTheme="minorHAnsi" w:cstheme="minorBidi"/>
          <w:lang w:val="en-US" w:eastAsia="en-US"/>
        </w:rPr>
        <w:commentReference w:id="23"/>
      </w:r>
    </w:p>
    <w:p w14:paraId="3A0E1D38" w14:textId="77777777" w:rsidR="008E6E81" w:rsidRPr="00766F73" w:rsidRDefault="008E6E81" w:rsidP="004D1AC1">
      <w:pPr>
        <w:pStyle w:val="BISReference"/>
        <w:ind w:left="0" w:right="-397" w:firstLine="0"/>
        <w:jc w:val="left"/>
        <w:rPr>
          <w:rFonts w:ascii="Calibri" w:hAnsi="Calibri"/>
          <w:color w:val="000000" w:themeColor="text1"/>
          <w:sz w:val="24"/>
          <w:szCs w:val="24"/>
          <w:lang w:val="da-DK"/>
        </w:rPr>
      </w:pPr>
    </w:p>
    <w:p w14:paraId="4A83B1C1" w14:textId="60A55158" w:rsidR="008E6E81" w:rsidRPr="005234EE" w:rsidRDefault="007C0739" w:rsidP="004D1AC1">
      <w:pPr>
        <w:pStyle w:val="BISReference"/>
        <w:ind w:left="-397" w:right="-397" w:firstLine="0"/>
        <w:jc w:val="left"/>
        <w:rPr>
          <w:rFonts w:ascii="Calibri" w:hAnsi="Calibri"/>
          <w:color w:val="000000" w:themeColor="text1"/>
          <w:sz w:val="24"/>
          <w:szCs w:val="24"/>
        </w:rPr>
      </w:pPr>
      <w:r w:rsidRPr="005234EE">
        <w:rPr>
          <w:rFonts w:ascii="Calibri" w:hAnsi="Calibri"/>
          <w:color w:val="000000" w:themeColor="text1"/>
          <w:sz w:val="24"/>
          <w:szCs w:val="24"/>
        </w:rPr>
        <w:t>Kongshøj-Madsen, P.</w:t>
      </w:r>
      <w:r w:rsidR="008E6E81" w:rsidRPr="005234EE">
        <w:rPr>
          <w:rFonts w:ascii="Calibri" w:hAnsi="Calibri"/>
          <w:color w:val="000000" w:themeColor="text1"/>
          <w:sz w:val="24"/>
          <w:szCs w:val="24"/>
        </w:rPr>
        <w:t xml:space="preserve"> </w:t>
      </w:r>
      <w:r w:rsidRPr="005234EE">
        <w:rPr>
          <w:rFonts w:ascii="Calibri" w:hAnsi="Calibri"/>
          <w:color w:val="000000" w:themeColor="text1"/>
          <w:sz w:val="24"/>
          <w:szCs w:val="24"/>
        </w:rPr>
        <w:t>(2003) ‘</w:t>
      </w:r>
      <w:r w:rsidR="008E6E81" w:rsidRPr="005234EE">
        <w:rPr>
          <w:rFonts w:ascii="Calibri" w:hAnsi="Calibri"/>
          <w:color w:val="000000" w:themeColor="text1"/>
          <w:sz w:val="24"/>
          <w:szCs w:val="24"/>
        </w:rPr>
        <w:t xml:space="preserve">Flexicurity through </w:t>
      </w:r>
      <w:r w:rsidRPr="005234EE">
        <w:rPr>
          <w:rFonts w:ascii="Calibri" w:hAnsi="Calibri"/>
          <w:color w:val="000000" w:themeColor="text1"/>
          <w:sz w:val="24"/>
          <w:szCs w:val="24"/>
        </w:rPr>
        <w:t>labour market policies and institutions in Denmark’, i</w:t>
      </w:r>
      <w:r w:rsidR="008E6E81" w:rsidRPr="005234EE">
        <w:rPr>
          <w:rFonts w:ascii="Calibri" w:hAnsi="Calibri"/>
          <w:color w:val="000000" w:themeColor="text1"/>
          <w:sz w:val="24"/>
          <w:szCs w:val="24"/>
        </w:rPr>
        <w:t>n Auer</w:t>
      </w:r>
      <w:r w:rsidRPr="005234EE">
        <w:rPr>
          <w:rFonts w:ascii="Calibri" w:hAnsi="Calibri"/>
          <w:color w:val="000000" w:themeColor="text1"/>
          <w:sz w:val="24"/>
          <w:szCs w:val="24"/>
        </w:rPr>
        <w:t>, P.</w:t>
      </w:r>
      <w:r w:rsidR="008E6E81" w:rsidRPr="005234EE">
        <w:rPr>
          <w:rFonts w:ascii="Calibri" w:hAnsi="Calibri"/>
          <w:color w:val="000000" w:themeColor="text1"/>
          <w:sz w:val="24"/>
          <w:szCs w:val="24"/>
        </w:rPr>
        <w:t xml:space="preserve"> </w:t>
      </w:r>
      <w:r w:rsidRPr="005234EE">
        <w:rPr>
          <w:rFonts w:ascii="Calibri" w:hAnsi="Calibri"/>
          <w:color w:val="000000" w:themeColor="text1"/>
          <w:sz w:val="24"/>
          <w:szCs w:val="24"/>
        </w:rPr>
        <w:t>and</w:t>
      </w:r>
      <w:r w:rsidR="008E6E81" w:rsidRPr="005234EE">
        <w:rPr>
          <w:rFonts w:ascii="Calibri" w:hAnsi="Calibri"/>
          <w:color w:val="000000" w:themeColor="text1"/>
          <w:sz w:val="24"/>
          <w:szCs w:val="24"/>
        </w:rPr>
        <w:t xml:space="preserve"> Cazes, </w:t>
      </w:r>
      <w:r w:rsidRPr="005234EE">
        <w:rPr>
          <w:rFonts w:ascii="Calibri" w:hAnsi="Calibri"/>
          <w:color w:val="000000" w:themeColor="text1"/>
          <w:sz w:val="24"/>
          <w:szCs w:val="24"/>
        </w:rPr>
        <w:t>S. (E</w:t>
      </w:r>
      <w:r w:rsidR="008E6E81" w:rsidRPr="005234EE">
        <w:rPr>
          <w:rFonts w:ascii="Calibri" w:hAnsi="Calibri"/>
          <w:color w:val="000000" w:themeColor="text1"/>
          <w:sz w:val="24"/>
          <w:szCs w:val="24"/>
        </w:rPr>
        <w:t>ds.</w:t>
      </w:r>
      <w:r w:rsidRPr="005234EE">
        <w:rPr>
          <w:rFonts w:ascii="Calibri" w:hAnsi="Calibri"/>
          <w:color w:val="000000" w:themeColor="text1"/>
          <w:sz w:val="24"/>
          <w:szCs w:val="24"/>
        </w:rPr>
        <w:t>)</w:t>
      </w:r>
      <w:r w:rsidR="008E6E81" w:rsidRPr="005234EE">
        <w:rPr>
          <w:rFonts w:ascii="Calibri" w:hAnsi="Calibri"/>
          <w:color w:val="000000" w:themeColor="text1"/>
          <w:sz w:val="24"/>
          <w:szCs w:val="24"/>
        </w:rPr>
        <w:t xml:space="preserve">, </w:t>
      </w:r>
      <w:r w:rsidR="008E6E81" w:rsidRPr="005234EE">
        <w:rPr>
          <w:rFonts w:ascii="Calibri" w:hAnsi="Calibri"/>
          <w:i/>
          <w:color w:val="000000" w:themeColor="text1"/>
          <w:sz w:val="24"/>
          <w:szCs w:val="24"/>
        </w:rPr>
        <w:t>Employment Stability in an Age of Flexibility</w:t>
      </w:r>
      <w:r w:rsidRPr="005234EE">
        <w:rPr>
          <w:rFonts w:ascii="Calibri" w:hAnsi="Calibri"/>
          <w:i/>
          <w:color w:val="000000" w:themeColor="text1"/>
          <w:sz w:val="24"/>
          <w:szCs w:val="24"/>
        </w:rPr>
        <w:t>:</w:t>
      </w:r>
      <w:r w:rsidRPr="005234EE">
        <w:rPr>
          <w:rFonts w:ascii="Calibri" w:hAnsi="Calibri"/>
          <w:sz w:val="24"/>
          <w:szCs w:val="24"/>
        </w:rPr>
        <w:t xml:space="preserve"> </w:t>
      </w:r>
      <w:r w:rsidRPr="005234EE">
        <w:rPr>
          <w:rFonts w:ascii="Calibri" w:hAnsi="Calibri"/>
          <w:i/>
          <w:color w:val="000000" w:themeColor="text1"/>
          <w:sz w:val="24"/>
          <w:szCs w:val="24"/>
        </w:rPr>
        <w:t>Evidence from Industrialized Countries</w:t>
      </w:r>
      <w:r w:rsidR="008E6E81" w:rsidRPr="005234EE">
        <w:rPr>
          <w:rFonts w:ascii="Calibri" w:hAnsi="Calibri"/>
          <w:color w:val="000000" w:themeColor="text1"/>
          <w:sz w:val="24"/>
          <w:szCs w:val="24"/>
        </w:rPr>
        <w:t>, International Labour Organisation</w:t>
      </w:r>
      <w:r w:rsidR="00DA4000">
        <w:rPr>
          <w:rFonts w:ascii="Calibri" w:hAnsi="Calibri"/>
          <w:color w:val="000000" w:themeColor="text1"/>
          <w:sz w:val="24"/>
          <w:szCs w:val="24"/>
        </w:rPr>
        <w:t>, Geneva.</w:t>
      </w:r>
    </w:p>
    <w:p w14:paraId="39470CBC" w14:textId="77777777" w:rsidR="008E6E81" w:rsidRPr="005234EE" w:rsidRDefault="008E6E81" w:rsidP="004D1AC1">
      <w:pPr>
        <w:pStyle w:val="BISReference"/>
        <w:ind w:left="0" w:right="-397" w:firstLine="0"/>
        <w:jc w:val="left"/>
        <w:rPr>
          <w:rFonts w:ascii="Calibri" w:hAnsi="Calibri"/>
          <w:color w:val="000000" w:themeColor="text1"/>
          <w:sz w:val="24"/>
          <w:szCs w:val="24"/>
        </w:rPr>
      </w:pPr>
    </w:p>
    <w:p w14:paraId="75C0570B" w14:textId="48C00754" w:rsidR="008E6E81" w:rsidRPr="005234EE" w:rsidRDefault="00713BFA" w:rsidP="004D1AC1">
      <w:pPr>
        <w:pStyle w:val="BISReference"/>
        <w:ind w:left="-397" w:right="-397" w:firstLine="0"/>
        <w:jc w:val="left"/>
        <w:rPr>
          <w:rFonts w:ascii="Calibri" w:hAnsi="Calibri"/>
          <w:color w:val="000000" w:themeColor="text1"/>
          <w:sz w:val="24"/>
          <w:szCs w:val="24"/>
        </w:rPr>
      </w:pPr>
      <w:r w:rsidRPr="005234EE">
        <w:rPr>
          <w:rFonts w:ascii="Calibri" w:hAnsi="Calibri"/>
          <w:color w:val="000000" w:themeColor="text1"/>
          <w:sz w:val="24"/>
          <w:szCs w:val="24"/>
        </w:rPr>
        <w:t>Korpi, W. and Palme</w:t>
      </w:r>
      <w:r w:rsidR="007C0739" w:rsidRPr="005234EE">
        <w:rPr>
          <w:rFonts w:ascii="Calibri" w:hAnsi="Calibri"/>
          <w:color w:val="000000" w:themeColor="text1"/>
          <w:sz w:val="24"/>
          <w:szCs w:val="24"/>
        </w:rPr>
        <w:t>, J.</w:t>
      </w:r>
      <w:r w:rsidRPr="005234EE">
        <w:rPr>
          <w:rFonts w:ascii="Calibri" w:hAnsi="Calibri"/>
          <w:color w:val="000000" w:themeColor="text1"/>
          <w:sz w:val="24"/>
          <w:szCs w:val="24"/>
        </w:rPr>
        <w:t xml:space="preserve"> </w:t>
      </w:r>
      <w:r w:rsidR="007C0739" w:rsidRPr="005234EE">
        <w:rPr>
          <w:rFonts w:ascii="Calibri" w:hAnsi="Calibri"/>
          <w:color w:val="000000" w:themeColor="text1"/>
          <w:sz w:val="24"/>
          <w:szCs w:val="24"/>
        </w:rPr>
        <w:t>(1998)</w:t>
      </w:r>
      <w:r w:rsidR="008E6E81" w:rsidRPr="005234EE">
        <w:rPr>
          <w:rFonts w:ascii="Calibri" w:hAnsi="Calibri"/>
          <w:color w:val="000000" w:themeColor="text1"/>
          <w:sz w:val="24"/>
          <w:szCs w:val="24"/>
        </w:rPr>
        <w:t xml:space="preserve"> ‘The </w:t>
      </w:r>
      <w:r w:rsidR="007C0739" w:rsidRPr="005234EE">
        <w:rPr>
          <w:rFonts w:ascii="Calibri" w:hAnsi="Calibri"/>
          <w:color w:val="000000" w:themeColor="text1"/>
          <w:sz w:val="24"/>
          <w:szCs w:val="24"/>
        </w:rPr>
        <w:t>paradox of redistribution and strategies of equality</w:t>
      </w:r>
      <w:r w:rsidR="008E6E81" w:rsidRPr="005234EE">
        <w:rPr>
          <w:rFonts w:ascii="Calibri" w:hAnsi="Calibri"/>
          <w:color w:val="000000" w:themeColor="text1"/>
          <w:sz w:val="24"/>
          <w:szCs w:val="24"/>
        </w:rPr>
        <w:t xml:space="preserve">: Welfare </w:t>
      </w:r>
      <w:r w:rsidR="007C0739" w:rsidRPr="005234EE">
        <w:rPr>
          <w:rFonts w:ascii="Calibri" w:hAnsi="Calibri"/>
          <w:color w:val="000000" w:themeColor="text1"/>
          <w:sz w:val="24"/>
          <w:szCs w:val="24"/>
        </w:rPr>
        <w:t>state institutions, inequality, and poverty in the western countries</w:t>
      </w:r>
      <w:r w:rsidR="008E6E81" w:rsidRPr="005234EE">
        <w:rPr>
          <w:rFonts w:ascii="Calibri" w:hAnsi="Calibri"/>
          <w:color w:val="000000" w:themeColor="text1"/>
          <w:sz w:val="24"/>
          <w:szCs w:val="24"/>
        </w:rPr>
        <w:t>’</w:t>
      </w:r>
      <w:r w:rsidR="007C0739" w:rsidRPr="005234EE">
        <w:rPr>
          <w:rFonts w:ascii="Calibri" w:hAnsi="Calibri"/>
          <w:color w:val="000000" w:themeColor="text1"/>
          <w:sz w:val="24"/>
          <w:szCs w:val="24"/>
        </w:rPr>
        <w:t>,</w:t>
      </w:r>
      <w:r w:rsidR="008E6E81" w:rsidRPr="005234EE">
        <w:rPr>
          <w:rFonts w:ascii="Calibri" w:hAnsi="Calibri"/>
          <w:color w:val="000000" w:themeColor="text1"/>
          <w:sz w:val="24"/>
          <w:szCs w:val="24"/>
        </w:rPr>
        <w:t xml:space="preserve"> </w:t>
      </w:r>
      <w:r w:rsidR="008E6E81" w:rsidRPr="005234EE">
        <w:rPr>
          <w:rFonts w:ascii="Calibri" w:hAnsi="Calibri"/>
          <w:i/>
          <w:color w:val="000000" w:themeColor="text1"/>
          <w:sz w:val="24"/>
          <w:szCs w:val="24"/>
        </w:rPr>
        <w:t>American Sociological Review</w:t>
      </w:r>
      <w:r w:rsidR="007C0739" w:rsidRPr="005234EE">
        <w:rPr>
          <w:rFonts w:ascii="Calibri" w:hAnsi="Calibri"/>
          <w:color w:val="000000" w:themeColor="text1"/>
          <w:sz w:val="24"/>
          <w:szCs w:val="24"/>
        </w:rPr>
        <w:t>, Vol. 63</w:t>
      </w:r>
      <w:r w:rsidR="008E6E81" w:rsidRPr="005234EE">
        <w:rPr>
          <w:rFonts w:ascii="Calibri" w:hAnsi="Calibri"/>
          <w:color w:val="000000" w:themeColor="text1"/>
          <w:sz w:val="24"/>
          <w:szCs w:val="24"/>
        </w:rPr>
        <w:t xml:space="preserve"> No. 5, </w:t>
      </w:r>
      <w:r w:rsidR="007C0739" w:rsidRPr="005234EE">
        <w:rPr>
          <w:rFonts w:ascii="Calibri" w:hAnsi="Calibri"/>
          <w:color w:val="000000" w:themeColor="text1"/>
          <w:sz w:val="24"/>
          <w:szCs w:val="24"/>
        </w:rPr>
        <w:t>pp.</w:t>
      </w:r>
      <w:r w:rsidR="008E6E81" w:rsidRPr="005234EE">
        <w:rPr>
          <w:rFonts w:ascii="Calibri" w:hAnsi="Calibri"/>
          <w:color w:val="000000" w:themeColor="text1"/>
          <w:sz w:val="24"/>
          <w:szCs w:val="24"/>
        </w:rPr>
        <w:t>661-687.</w:t>
      </w:r>
    </w:p>
    <w:p w14:paraId="6ED83D86" w14:textId="77777777" w:rsidR="008E6E81" w:rsidRPr="005234EE" w:rsidRDefault="008E6E81" w:rsidP="004D1AC1">
      <w:pPr>
        <w:pStyle w:val="BISReference"/>
        <w:ind w:left="0" w:right="-397" w:firstLine="0"/>
        <w:jc w:val="left"/>
        <w:rPr>
          <w:rFonts w:ascii="Calibri" w:hAnsi="Calibri"/>
          <w:color w:val="000000" w:themeColor="text1"/>
          <w:sz w:val="24"/>
          <w:szCs w:val="24"/>
        </w:rPr>
      </w:pPr>
    </w:p>
    <w:p w14:paraId="78BD39AF" w14:textId="51B94587" w:rsidR="008E6E81" w:rsidRPr="005234EE" w:rsidRDefault="008E6E81" w:rsidP="004D1AC1">
      <w:pPr>
        <w:pStyle w:val="BISReference"/>
        <w:ind w:left="-397" w:right="-397" w:firstLine="0"/>
        <w:jc w:val="left"/>
        <w:rPr>
          <w:rFonts w:ascii="Calibri" w:hAnsi="Calibri"/>
          <w:bCs/>
          <w:color w:val="000000" w:themeColor="text1"/>
          <w:sz w:val="24"/>
          <w:szCs w:val="24"/>
        </w:rPr>
      </w:pPr>
      <w:r w:rsidRPr="005234EE">
        <w:rPr>
          <w:rFonts w:ascii="Calibri" w:hAnsi="Calibri"/>
          <w:color w:val="000000" w:themeColor="text1"/>
          <w:sz w:val="24"/>
          <w:szCs w:val="24"/>
        </w:rPr>
        <w:t>Kvist, J. (2014)</w:t>
      </w:r>
      <w:r w:rsidRPr="005234EE">
        <w:rPr>
          <w:rFonts w:ascii="Calibri" w:hAnsi="Calibri"/>
          <w:i/>
          <w:iCs/>
          <w:color w:val="000000" w:themeColor="text1"/>
          <w:sz w:val="24"/>
          <w:szCs w:val="24"/>
        </w:rPr>
        <w:t xml:space="preserve"> </w:t>
      </w:r>
      <w:r w:rsidRPr="005234EE">
        <w:rPr>
          <w:rFonts w:ascii="Calibri" w:hAnsi="Calibri"/>
          <w:iCs/>
          <w:color w:val="000000" w:themeColor="text1"/>
          <w:sz w:val="24"/>
          <w:szCs w:val="24"/>
        </w:rPr>
        <w:t>‘</w:t>
      </w:r>
      <w:r w:rsidRPr="005234EE">
        <w:rPr>
          <w:rFonts w:ascii="Calibri" w:hAnsi="Calibri"/>
          <w:bCs/>
          <w:color w:val="000000" w:themeColor="text1"/>
          <w:sz w:val="24"/>
          <w:szCs w:val="24"/>
        </w:rPr>
        <w:t xml:space="preserve">A framework for social investment strategies: Integrating generational, life course and gender perspectives in the EU social investment strategy’, </w:t>
      </w:r>
      <w:r w:rsidRPr="005234EE">
        <w:rPr>
          <w:rFonts w:ascii="Calibri" w:hAnsi="Calibri"/>
          <w:bCs/>
          <w:i/>
          <w:color w:val="000000" w:themeColor="text1"/>
          <w:sz w:val="24"/>
          <w:szCs w:val="24"/>
        </w:rPr>
        <w:t>Comparative European Politics</w:t>
      </w:r>
      <w:r w:rsidRPr="005234EE">
        <w:rPr>
          <w:rFonts w:ascii="Calibri" w:hAnsi="Calibri"/>
          <w:bCs/>
          <w:color w:val="000000" w:themeColor="text1"/>
          <w:sz w:val="24"/>
          <w:szCs w:val="24"/>
        </w:rPr>
        <w:t xml:space="preserve">, </w:t>
      </w:r>
      <w:r w:rsidR="00825857" w:rsidRPr="005234EE">
        <w:rPr>
          <w:rFonts w:ascii="Calibri" w:hAnsi="Calibri"/>
          <w:bCs/>
          <w:color w:val="000000" w:themeColor="text1"/>
          <w:sz w:val="24"/>
          <w:szCs w:val="24"/>
        </w:rPr>
        <w:t xml:space="preserve">Vol. </w:t>
      </w:r>
      <w:r w:rsidRPr="005234EE">
        <w:rPr>
          <w:rFonts w:ascii="Calibri" w:hAnsi="Calibri"/>
          <w:bCs/>
          <w:color w:val="000000" w:themeColor="text1"/>
          <w:sz w:val="24"/>
          <w:szCs w:val="24"/>
        </w:rPr>
        <w:t xml:space="preserve">13, </w:t>
      </w:r>
      <w:r w:rsidR="00825857" w:rsidRPr="005234EE">
        <w:rPr>
          <w:rFonts w:ascii="Calibri" w:hAnsi="Calibri"/>
          <w:bCs/>
          <w:color w:val="000000" w:themeColor="text1"/>
          <w:sz w:val="24"/>
          <w:szCs w:val="24"/>
        </w:rPr>
        <w:t>pp.</w:t>
      </w:r>
      <w:r w:rsidRPr="005234EE">
        <w:rPr>
          <w:rFonts w:ascii="Calibri" w:hAnsi="Calibri"/>
          <w:bCs/>
          <w:color w:val="000000" w:themeColor="text1"/>
          <w:sz w:val="24"/>
          <w:szCs w:val="24"/>
        </w:rPr>
        <w:t>131-149.</w:t>
      </w:r>
    </w:p>
    <w:p w14:paraId="0E5AE018" w14:textId="2342EEAB" w:rsidR="008E6E81" w:rsidRPr="005234EE" w:rsidRDefault="008E6E81" w:rsidP="004D1AC1">
      <w:pPr>
        <w:shd w:val="clear" w:color="auto" w:fill="FFFFFF"/>
        <w:spacing w:before="100" w:beforeAutospacing="1" w:after="100" w:afterAutospacing="1"/>
        <w:ind w:left="-397" w:right="-397"/>
        <w:outlineLvl w:val="1"/>
        <w:rPr>
          <w:rFonts w:ascii="Calibri" w:eastAsia="Times New Roman" w:hAnsi="Calibri"/>
          <w:color w:val="000000" w:themeColor="text1"/>
          <w:lang w:val="en-GB" w:eastAsia="en-GB"/>
        </w:rPr>
      </w:pPr>
      <w:r w:rsidRPr="00766F73">
        <w:rPr>
          <w:rFonts w:ascii="Calibri" w:eastAsia="Times New Roman" w:hAnsi="Calibri"/>
          <w:color w:val="000000" w:themeColor="text1"/>
          <w:lang w:val="da-DK" w:eastAsia="en-GB"/>
        </w:rPr>
        <w:t xml:space="preserve">Københavns Kommune </w:t>
      </w:r>
      <w:r w:rsidR="00C53EF2" w:rsidRPr="00766F73">
        <w:rPr>
          <w:rFonts w:ascii="Calibri" w:eastAsia="Times New Roman" w:hAnsi="Calibri"/>
          <w:color w:val="000000" w:themeColor="text1"/>
          <w:lang w:val="da-DK" w:eastAsia="en-GB"/>
        </w:rPr>
        <w:t>(2010)</w:t>
      </w:r>
      <w:r w:rsidRPr="00766F73">
        <w:rPr>
          <w:rFonts w:ascii="Calibri" w:eastAsia="Times New Roman" w:hAnsi="Calibri"/>
          <w:color w:val="000000" w:themeColor="text1"/>
          <w:lang w:val="da-DK" w:eastAsia="en-GB"/>
        </w:rPr>
        <w:t xml:space="preserve"> </w:t>
      </w:r>
      <w:r w:rsidR="00C37B36" w:rsidRPr="00766F73">
        <w:rPr>
          <w:rFonts w:ascii="Calibri" w:eastAsia="Times New Roman" w:hAnsi="Calibri"/>
          <w:i/>
          <w:color w:val="000000" w:themeColor="text1"/>
          <w:lang w:val="da-DK" w:eastAsia="en-GB"/>
        </w:rPr>
        <w:t>Besæftigelses- og I</w:t>
      </w:r>
      <w:r w:rsidRPr="00766F73">
        <w:rPr>
          <w:rFonts w:ascii="Calibri" w:eastAsia="Times New Roman" w:hAnsi="Calibri"/>
          <w:i/>
          <w:color w:val="000000" w:themeColor="text1"/>
          <w:lang w:val="da-DK" w:eastAsia="en-GB"/>
        </w:rPr>
        <w:t>ntegrationsforvalningen</w:t>
      </w:r>
      <w:r w:rsidRPr="00766F73">
        <w:rPr>
          <w:rFonts w:ascii="Calibri" w:eastAsia="Times New Roman" w:hAnsi="Calibri"/>
          <w:color w:val="000000" w:themeColor="text1"/>
          <w:lang w:val="da-DK" w:eastAsia="en-GB"/>
        </w:rPr>
        <w:t xml:space="preserve">, Sagsnr. </w:t>
      </w:r>
      <w:r w:rsidRPr="005234EE">
        <w:rPr>
          <w:rFonts w:ascii="Calibri" w:eastAsia="Times New Roman" w:hAnsi="Calibri"/>
          <w:color w:val="000000" w:themeColor="text1"/>
          <w:lang w:val="en-GB" w:eastAsia="en-GB"/>
        </w:rPr>
        <w:t>2010-49364, Dokumentnr. 2010-840990, besvarelse af politikker spørgsmål</w:t>
      </w:r>
      <w:r w:rsidR="00C37B36" w:rsidRPr="005234EE">
        <w:rPr>
          <w:rFonts w:ascii="Calibri" w:eastAsia="Times New Roman" w:hAnsi="Calibri"/>
          <w:color w:val="000000" w:themeColor="text1"/>
          <w:lang w:val="en-GB" w:eastAsia="en-GB"/>
        </w:rPr>
        <w:t>, [</w:t>
      </w:r>
      <w:r w:rsidR="00FD7D52">
        <w:rPr>
          <w:rFonts w:ascii="Calibri" w:eastAsia="Times New Roman" w:hAnsi="Calibri"/>
          <w:color w:val="000000" w:themeColor="text1"/>
          <w:highlight w:val="yellow"/>
          <w:lang w:val="en-GB" w:eastAsia="en-GB"/>
        </w:rPr>
        <w:t>Co</w:t>
      </w:r>
      <w:r w:rsidR="00B70056">
        <w:rPr>
          <w:rFonts w:ascii="Calibri" w:eastAsia="Times New Roman" w:hAnsi="Calibri"/>
          <w:color w:val="000000" w:themeColor="text1"/>
          <w:highlight w:val="yellow"/>
          <w:lang w:val="en-GB" w:eastAsia="en-GB"/>
        </w:rPr>
        <w:t>penhagen</w:t>
      </w:r>
      <w:r w:rsidR="00C37B36" w:rsidRPr="005234EE">
        <w:rPr>
          <w:rFonts w:ascii="Calibri" w:eastAsia="Times New Roman" w:hAnsi="Calibri"/>
          <w:color w:val="000000" w:themeColor="text1"/>
          <w:highlight w:val="yellow"/>
          <w:lang w:val="en-GB" w:eastAsia="en-GB"/>
        </w:rPr>
        <w:t>]</w:t>
      </w:r>
    </w:p>
    <w:p w14:paraId="4F53B363" w14:textId="518AE535" w:rsidR="008E6E81" w:rsidRPr="00B70056" w:rsidRDefault="00C53EF2" w:rsidP="00B70056">
      <w:pPr>
        <w:shd w:val="clear" w:color="auto" w:fill="FFFFFF"/>
        <w:spacing w:before="100" w:beforeAutospacing="1" w:after="100" w:afterAutospacing="1"/>
        <w:ind w:left="-397" w:right="-397"/>
        <w:jc w:val="both"/>
        <w:outlineLvl w:val="1"/>
        <w:rPr>
          <w:rFonts w:ascii="Constantia" w:eastAsia="Times New Roman" w:hAnsi="Constantia"/>
          <w:color w:val="000000" w:themeColor="text1"/>
          <w:lang w:eastAsia="en-GB"/>
        </w:rPr>
      </w:pPr>
      <w:r w:rsidRPr="005234EE">
        <w:rPr>
          <w:rFonts w:ascii="Calibri" w:eastAsia="Times New Roman" w:hAnsi="Calibri"/>
          <w:color w:val="000000" w:themeColor="text1"/>
          <w:lang w:val="en-GB" w:eastAsia="en-GB"/>
        </w:rPr>
        <w:t>Lloyds Bank (</w:t>
      </w:r>
      <w:r w:rsidR="008E6E81" w:rsidRPr="005234EE">
        <w:rPr>
          <w:rFonts w:ascii="Calibri" w:eastAsia="Times New Roman" w:hAnsi="Calibri"/>
          <w:color w:val="000000" w:themeColor="text1"/>
          <w:lang w:val="en-GB" w:eastAsia="en-GB"/>
        </w:rPr>
        <w:t>2015</w:t>
      </w:r>
      <w:r w:rsidRPr="005234EE">
        <w:rPr>
          <w:rFonts w:ascii="Calibri" w:eastAsia="Times New Roman" w:hAnsi="Calibri"/>
          <w:color w:val="000000" w:themeColor="text1"/>
          <w:lang w:val="en-GB" w:eastAsia="en-GB"/>
        </w:rPr>
        <w:t>)</w:t>
      </w:r>
      <w:r w:rsidR="008E6E81" w:rsidRPr="005234EE">
        <w:rPr>
          <w:rFonts w:ascii="Calibri" w:eastAsia="Times New Roman" w:hAnsi="Calibri"/>
          <w:color w:val="000000" w:themeColor="text1"/>
          <w:lang w:val="en-GB" w:eastAsia="en-GB"/>
        </w:rPr>
        <w:t xml:space="preserve"> ‘Private </w:t>
      </w:r>
      <w:r w:rsidR="00C37B36" w:rsidRPr="005234EE">
        <w:rPr>
          <w:rFonts w:ascii="Calibri" w:eastAsia="Times New Roman" w:hAnsi="Calibri"/>
          <w:color w:val="000000" w:themeColor="text1"/>
          <w:lang w:val="en-GB" w:eastAsia="en-GB"/>
        </w:rPr>
        <w:t xml:space="preserve">school fees rise by 20 per cent since </w:t>
      </w:r>
      <w:r w:rsidR="008E6E81" w:rsidRPr="005234EE">
        <w:rPr>
          <w:rFonts w:ascii="Calibri" w:eastAsia="Times New Roman" w:hAnsi="Calibri"/>
          <w:color w:val="000000" w:themeColor="text1"/>
          <w:lang w:val="en-GB" w:eastAsia="en-GB"/>
        </w:rPr>
        <w:t>2010’</w:t>
      </w:r>
      <w:r w:rsidR="00C37B36" w:rsidRPr="005234EE">
        <w:rPr>
          <w:rFonts w:ascii="Calibri" w:eastAsia="Times New Roman" w:hAnsi="Calibri"/>
          <w:color w:val="000000" w:themeColor="text1"/>
          <w:lang w:val="en-GB" w:eastAsia="en-GB"/>
        </w:rPr>
        <w:t>,</w:t>
      </w:r>
      <w:r w:rsidR="008E6E81" w:rsidRPr="005234EE">
        <w:rPr>
          <w:rFonts w:ascii="Calibri" w:eastAsia="Times New Roman" w:hAnsi="Calibri"/>
          <w:color w:val="000000" w:themeColor="text1"/>
          <w:lang w:val="en-GB" w:eastAsia="en-GB"/>
        </w:rPr>
        <w:t xml:space="preserve"> 11 September 2015</w:t>
      </w:r>
      <w:r w:rsidR="00C37B36" w:rsidRPr="005234EE">
        <w:rPr>
          <w:rFonts w:ascii="Calibri" w:eastAsia="Times New Roman" w:hAnsi="Calibri"/>
          <w:color w:val="000000" w:themeColor="text1"/>
          <w:lang w:val="en-GB" w:eastAsia="en-GB"/>
        </w:rPr>
        <w:t xml:space="preserve">, </w:t>
      </w:r>
      <w:r w:rsidR="00B70056" w:rsidRPr="004508B3">
        <w:rPr>
          <w:rFonts w:ascii="Constantia" w:eastAsia="Times New Roman" w:hAnsi="Constantia"/>
          <w:color w:val="000000" w:themeColor="text1"/>
          <w:lang w:eastAsia="en-GB"/>
        </w:rPr>
        <w:t xml:space="preserve">Lloyds Bank, 2015  ‘Private School Fees Rise by 20 Per Cent since 2010’ 11 September 2015, </w:t>
      </w:r>
      <w:r w:rsidR="00B70056" w:rsidRPr="004508B3">
        <w:rPr>
          <w:rFonts w:ascii="Constantia" w:hAnsi="Constantia" w:cs="Arial"/>
          <w:color w:val="000000" w:themeColor="text1"/>
          <w:shd w:val="clear" w:color="auto" w:fill="FFFFFF"/>
        </w:rPr>
        <w:t> </w:t>
      </w:r>
      <w:hyperlink r:id="rId21" w:history="1">
        <w:r w:rsidR="00B70056" w:rsidRPr="00DA74C7">
          <w:rPr>
            <w:rStyle w:val="Hyperlink"/>
            <w:rFonts w:ascii="Constantia" w:hAnsi="Constantia" w:cs="Arial"/>
            <w:shd w:val="clear" w:color="auto" w:fill="FFFFFF"/>
          </w:rPr>
          <w:t>https://www.lloydsbankinggroup.com/globalassets/documents/media/press-releases/lloyds-bank/2015/150911-cost-of-private-schooling-final.pdf</w:t>
        </w:r>
      </w:hyperlink>
      <w:r w:rsidR="00B70056">
        <w:rPr>
          <w:rFonts w:ascii="Constantia" w:hAnsi="Constantia" w:cs="Arial"/>
          <w:color w:val="000000" w:themeColor="text1"/>
          <w:shd w:val="clear" w:color="auto" w:fill="FFFFFF"/>
        </w:rPr>
        <w:t xml:space="preserve"> [accessed [12-05-2017]]</w:t>
      </w:r>
    </w:p>
    <w:p w14:paraId="5915BF6B" w14:textId="6AF2AD6B" w:rsidR="008E6E81" w:rsidRPr="005234EE" w:rsidRDefault="008E6E81" w:rsidP="004D1AC1">
      <w:pPr>
        <w:shd w:val="clear" w:color="auto" w:fill="FFFFFF"/>
        <w:spacing w:before="100" w:beforeAutospacing="1" w:after="100" w:afterAutospacing="1"/>
        <w:ind w:left="-397" w:right="-397"/>
        <w:outlineLvl w:val="1"/>
        <w:rPr>
          <w:rFonts w:ascii="Calibri" w:eastAsia="Times New Roman" w:hAnsi="Calibri"/>
          <w:color w:val="000000" w:themeColor="text1"/>
          <w:lang w:val="en-GB" w:eastAsia="en-GB"/>
        </w:rPr>
      </w:pPr>
      <w:r w:rsidRPr="005234EE">
        <w:rPr>
          <w:rFonts w:ascii="Calibri" w:eastAsia="Times New Roman" w:hAnsi="Calibri"/>
          <w:color w:val="000000" w:themeColor="text1"/>
          <w:lang w:val="en-GB" w:eastAsia="en-GB"/>
        </w:rPr>
        <w:lastRenderedPageBreak/>
        <w:t xml:space="preserve">Mahoney, J. and Thelen, K. </w:t>
      </w:r>
      <w:r w:rsidR="00C37B36" w:rsidRPr="005234EE">
        <w:rPr>
          <w:rFonts w:ascii="Calibri" w:eastAsia="Times New Roman" w:hAnsi="Calibri"/>
          <w:color w:val="000000" w:themeColor="text1"/>
          <w:lang w:val="en-GB" w:eastAsia="en-GB"/>
        </w:rPr>
        <w:t>(2015)</w:t>
      </w:r>
      <w:r w:rsidRPr="005234EE">
        <w:rPr>
          <w:rFonts w:ascii="Calibri" w:eastAsia="Times New Roman" w:hAnsi="Calibri"/>
          <w:color w:val="000000" w:themeColor="text1"/>
          <w:lang w:val="en-GB" w:eastAsia="en-GB"/>
        </w:rPr>
        <w:t xml:space="preserve"> </w:t>
      </w:r>
      <w:r w:rsidR="00C37B36" w:rsidRPr="005234EE">
        <w:rPr>
          <w:rFonts w:ascii="Calibri" w:eastAsia="Times New Roman" w:hAnsi="Calibri"/>
          <w:color w:val="000000" w:themeColor="text1"/>
          <w:lang w:val="en-GB" w:eastAsia="en-GB"/>
        </w:rPr>
        <w:t>‘</w:t>
      </w:r>
      <w:r w:rsidRPr="005234EE">
        <w:rPr>
          <w:rFonts w:ascii="Calibri" w:eastAsia="Times New Roman" w:hAnsi="Calibri"/>
          <w:color w:val="000000" w:themeColor="text1"/>
          <w:lang w:val="en-GB" w:eastAsia="en-GB"/>
        </w:rPr>
        <w:t>Comparative-</w:t>
      </w:r>
      <w:r w:rsidR="00C37B36" w:rsidRPr="005234EE">
        <w:rPr>
          <w:rFonts w:ascii="Calibri" w:eastAsia="Times New Roman" w:hAnsi="Calibri"/>
          <w:color w:val="000000" w:themeColor="text1"/>
          <w:lang w:val="en-GB" w:eastAsia="en-GB"/>
        </w:rPr>
        <w:t>historical analysis in contemporary political science’</w:t>
      </w:r>
      <w:r w:rsidRPr="005234EE">
        <w:rPr>
          <w:rFonts w:ascii="Calibri" w:eastAsia="Times New Roman" w:hAnsi="Calibri"/>
          <w:color w:val="000000" w:themeColor="text1"/>
          <w:lang w:val="en-GB" w:eastAsia="en-GB"/>
        </w:rPr>
        <w:t xml:space="preserve">, in Mahoney, J. and Thelen, K. </w:t>
      </w:r>
      <w:r w:rsidR="00C37B36" w:rsidRPr="005234EE">
        <w:rPr>
          <w:rFonts w:ascii="Calibri" w:eastAsia="Times New Roman" w:hAnsi="Calibri"/>
          <w:color w:val="000000" w:themeColor="text1"/>
          <w:lang w:val="en-GB" w:eastAsia="en-GB"/>
        </w:rPr>
        <w:t xml:space="preserve">(Eds.) </w:t>
      </w:r>
      <w:r w:rsidRPr="005234EE">
        <w:rPr>
          <w:rFonts w:ascii="Calibri" w:eastAsia="Times New Roman" w:hAnsi="Calibri"/>
          <w:i/>
          <w:color w:val="000000" w:themeColor="text1"/>
          <w:lang w:val="en-GB" w:eastAsia="en-GB"/>
        </w:rPr>
        <w:t>Advances in Comparative Historical Analysis</w:t>
      </w:r>
      <w:r w:rsidRPr="005234EE">
        <w:rPr>
          <w:rFonts w:ascii="Calibri" w:eastAsia="Times New Roman" w:hAnsi="Calibri"/>
          <w:color w:val="000000" w:themeColor="text1"/>
          <w:lang w:val="en-GB" w:eastAsia="en-GB"/>
        </w:rPr>
        <w:t>,</w:t>
      </w:r>
      <w:r w:rsidR="00C37B36" w:rsidRPr="005234EE">
        <w:rPr>
          <w:rFonts w:ascii="Calibri" w:eastAsia="Times New Roman" w:hAnsi="Calibri"/>
          <w:color w:val="000000" w:themeColor="text1"/>
          <w:lang w:val="en-GB" w:eastAsia="en-GB"/>
        </w:rPr>
        <w:t xml:space="preserve"> Cambridge University Press, Cambridge, </w:t>
      </w:r>
      <w:r w:rsidR="00FD7D52">
        <w:rPr>
          <w:rFonts w:ascii="Calibri" w:eastAsia="Times New Roman" w:hAnsi="Calibri"/>
          <w:color w:val="000000" w:themeColor="text1"/>
          <w:highlight w:val="yellow"/>
          <w:lang w:val="en-GB" w:eastAsia="en-GB"/>
        </w:rPr>
        <w:t>pp.3-36</w:t>
      </w:r>
      <w:r w:rsidR="00C37B36" w:rsidRPr="005234EE">
        <w:rPr>
          <w:rFonts w:ascii="Calibri" w:eastAsia="Times New Roman" w:hAnsi="Calibri"/>
          <w:color w:val="000000" w:themeColor="text1"/>
          <w:highlight w:val="yellow"/>
          <w:lang w:val="en-GB" w:eastAsia="en-GB"/>
        </w:rPr>
        <w:t>.</w:t>
      </w:r>
    </w:p>
    <w:p w14:paraId="1BCD70EF" w14:textId="5BDC7688" w:rsidR="0089582C" w:rsidRPr="005234EE" w:rsidRDefault="0089582C" w:rsidP="0089582C">
      <w:pPr>
        <w:ind w:left="-397" w:right="-397"/>
        <w:rPr>
          <w:rFonts w:ascii="Calibri" w:hAnsi="Calibri"/>
          <w:color w:val="000000" w:themeColor="text1"/>
          <w:lang w:val="en-GB"/>
        </w:rPr>
      </w:pPr>
      <w:r w:rsidRPr="005234EE">
        <w:rPr>
          <w:rFonts w:ascii="Calibri" w:hAnsi="Calibri"/>
          <w:color w:val="000000" w:themeColor="text1"/>
          <w:highlight w:val="yellow"/>
          <w:lang w:val="en-GB"/>
        </w:rPr>
        <w:t>Mahoney, J. and</w:t>
      </w:r>
      <w:r w:rsidRPr="005234EE">
        <w:rPr>
          <w:rFonts w:ascii="Calibri" w:hAnsi="Calibri"/>
          <w:color w:val="000000" w:themeColor="text1"/>
          <w:lang w:val="en-GB"/>
        </w:rPr>
        <w:t xml:space="preserve"> Thelen, K. (2010)</w:t>
      </w:r>
      <w:r w:rsidRPr="005234EE">
        <w:rPr>
          <w:rStyle w:val="Emphasis"/>
          <w:rFonts w:ascii="Calibri" w:hAnsi="Calibri"/>
          <w:color w:val="000000" w:themeColor="text1"/>
          <w:lang w:val="en-GB"/>
        </w:rPr>
        <w:t xml:space="preserve"> </w:t>
      </w:r>
      <w:r w:rsidRPr="005234EE">
        <w:rPr>
          <w:rStyle w:val="Emphasis"/>
          <w:rFonts w:ascii="Calibri" w:hAnsi="Calibri"/>
          <w:b w:val="0"/>
          <w:i/>
          <w:color w:val="000000" w:themeColor="text1"/>
          <w:lang w:val="en-GB"/>
        </w:rPr>
        <w:t>Explaining Institutional Change: Ambiguity, Agency, and Power</w:t>
      </w:r>
      <w:r w:rsidRPr="005234EE">
        <w:rPr>
          <w:rFonts w:ascii="Calibri" w:hAnsi="Calibri"/>
          <w:color w:val="000000" w:themeColor="text1"/>
          <w:lang w:val="en-GB"/>
        </w:rPr>
        <w:t>, Cambridge University Press, Cambridge.</w:t>
      </w:r>
    </w:p>
    <w:p w14:paraId="415B1149" w14:textId="77777777" w:rsidR="0089582C" w:rsidRPr="005234EE" w:rsidRDefault="0089582C" w:rsidP="0089582C">
      <w:pPr>
        <w:ind w:left="-397" w:right="-397"/>
        <w:rPr>
          <w:rFonts w:ascii="Calibri" w:hAnsi="Calibri"/>
          <w:color w:val="000000" w:themeColor="text1"/>
          <w:lang w:val="en-GB"/>
        </w:rPr>
      </w:pPr>
    </w:p>
    <w:p w14:paraId="325D5FA3" w14:textId="55F06A73" w:rsidR="008E6E81" w:rsidRDefault="008E6E81" w:rsidP="004D1AC1">
      <w:pPr>
        <w:pStyle w:val="FootnoteText"/>
        <w:ind w:left="-397" w:right="-397"/>
        <w:rPr>
          <w:rStyle w:val="apple-converted-space"/>
          <w:rFonts w:ascii="Calibri" w:hAnsi="Calibri" w:cs="Times New Roman"/>
          <w:color w:val="000000" w:themeColor="text1"/>
          <w:lang w:val="en-GB"/>
        </w:rPr>
      </w:pPr>
      <w:r w:rsidRPr="005234EE">
        <w:rPr>
          <w:rFonts w:ascii="Calibri" w:hAnsi="Calibri" w:cs="Times New Roman"/>
          <w:color w:val="000000" w:themeColor="text1"/>
          <w:lang w:val="en-GB"/>
        </w:rPr>
        <w:t xml:space="preserve">Mctague, M. </w:t>
      </w:r>
      <w:r w:rsidR="00B317A7" w:rsidRPr="005234EE">
        <w:rPr>
          <w:rFonts w:ascii="Calibri" w:hAnsi="Calibri" w:cs="Times New Roman"/>
          <w:color w:val="000000" w:themeColor="text1"/>
          <w:lang w:val="en-GB"/>
        </w:rPr>
        <w:t>(</w:t>
      </w:r>
      <w:r w:rsidRPr="005234EE">
        <w:rPr>
          <w:rFonts w:ascii="Calibri" w:hAnsi="Calibri" w:cs="Times New Roman"/>
          <w:color w:val="000000" w:themeColor="text1"/>
          <w:lang w:val="en-GB"/>
        </w:rPr>
        <w:t>2014</w:t>
      </w:r>
      <w:r w:rsidR="00B317A7" w:rsidRPr="005234EE">
        <w:rPr>
          <w:rFonts w:ascii="Calibri" w:hAnsi="Calibri" w:cs="Times New Roman"/>
          <w:color w:val="000000" w:themeColor="text1"/>
          <w:lang w:val="en-GB"/>
        </w:rPr>
        <w:t>) ‘“</w:t>
      </w:r>
      <w:r w:rsidRPr="005234EE">
        <w:rPr>
          <w:rFonts w:ascii="Calibri" w:hAnsi="Calibri" w:cs="Times New Roman"/>
          <w:color w:val="000000" w:themeColor="text1"/>
          <w:lang w:val="en-GB"/>
        </w:rPr>
        <w:t xml:space="preserve">Take </w:t>
      </w:r>
      <w:r w:rsidR="00B317A7" w:rsidRPr="005234EE">
        <w:rPr>
          <w:rFonts w:ascii="Calibri" w:hAnsi="Calibri" w:cs="Times New Roman"/>
          <w:color w:val="000000" w:themeColor="text1"/>
          <w:lang w:val="en-GB"/>
        </w:rPr>
        <w:t>a zero hours job or lose your benefits”</w:t>
      </w:r>
      <w:r w:rsidRPr="005234EE">
        <w:rPr>
          <w:rFonts w:ascii="Calibri" w:hAnsi="Calibri" w:cs="Times New Roman"/>
          <w:color w:val="000000" w:themeColor="text1"/>
          <w:lang w:val="en-GB"/>
        </w:rPr>
        <w:t xml:space="preserve">: Coalition's </w:t>
      </w:r>
      <w:r w:rsidR="00B317A7" w:rsidRPr="005234EE">
        <w:rPr>
          <w:rFonts w:ascii="Calibri" w:hAnsi="Calibri" w:cs="Times New Roman"/>
          <w:color w:val="000000" w:themeColor="text1"/>
          <w:lang w:val="en-GB"/>
        </w:rPr>
        <w:t xml:space="preserve">tough new message to jobless’, </w:t>
      </w:r>
      <w:r w:rsidR="00B317A7" w:rsidRPr="005234EE">
        <w:rPr>
          <w:rFonts w:ascii="Calibri" w:hAnsi="Calibri" w:cs="Times New Roman"/>
          <w:i/>
          <w:color w:val="000000" w:themeColor="text1"/>
          <w:lang w:val="en-GB"/>
        </w:rPr>
        <w:t>Daily Mail</w:t>
      </w:r>
      <w:r w:rsidR="00B317A7" w:rsidRPr="005234EE">
        <w:rPr>
          <w:rFonts w:ascii="Calibri" w:hAnsi="Calibri" w:cs="Times New Roman"/>
          <w:color w:val="000000" w:themeColor="text1"/>
          <w:lang w:val="en-GB"/>
        </w:rPr>
        <w:t xml:space="preserve">, </w:t>
      </w:r>
      <w:r w:rsidRPr="005234EE">
        <w:rPr>
          <w:rFonts w:ascii="Calibri" w:hAnsi="Calibri" w:cs="Times New Roman"/>
          <w:color w:val="000000" w:themeColor="text1"/>
          <w:lang w:val="en-GB"/>
        </w:rPr>
        <w:t>6</w:t>
      </w:r>
      <w:r w:rsidR="00B317A7" w:rsidRPr="005234EE">
        <w:rPr>
          <w:rFonts w:ascii="Calibri" w:hAnsi="Calibri" w:cs="Times New Roman"/>
          <w:color w:val="000000" w:themeColor="text1"/>
          <w:lang w:val="en-GB"/>
        </w:rPr>
        <w:t xml:space="preserve"> May.</w:t>
      </w:r>
      <w:r w:rsidRPr="005234EE">
        <w:rPr>
          <w:rFonts w:ascii="Calibri" w:hAnsi="Calibri" w:cs="Times New Roman"/>
          <w:color w:val="000000" w:themeColor="text1"/>
          <w:lang w:val="en-GB"/>
        </w:rPr>
        <w:t xml:space="preserve"> </w:t>
      </w:r>
      <w:r w:rsidRPr="005234EE">
        <w:rPr>
          <w:rFonts w:ascii="Calibri" w:hAnsi="Calibri" w:cs="Times New Roman"/>
          <w:lang w:val="en-GB"/>
        </w:rPr>
        <w:t>http://www.dailymail.co.uk/news/article-2621453/Take-zero-hours-job-lose-benefits-Coalitions-tough-new-message-jobless.html#ixzz4j389gWeL</w:t>
      </w:r>
      <w:r w:rsidRPr="005234EE">
        <w:rPr>
          <w:rStyle w:val="apple-converted-space"/>
          <w:rFonts w:ascii="Calibri" w:hAnsi="Calibri" w:cs="Times New Roman"/>
          <w:color w:val="000000" w:themeColor="text1"/>
          <w:lang w:val="en-GB"/>
        </w:rPr>
        <w:t> </w:t>
      </w:r>
      <w:r w:rsidR="00B317A7" w:rsidRPr="005234EE">
        <w:rPr>
          <w:rStyle w:val="apple-converted-space"/>
          <w:rFonts w:ascii="Calibri" w:hAnsi="Calibri" w:cs="Times New Roman"/>
          <w:color w:val="000000" w:themeColor="text1"/>
          <w:lang w:val="en-GB"/>
        </w:rPr>
        <w:t>(Accessed [</w:t>
      </w:r>
      <w:r w:rsidR="00FD7D52">
        <w:rPr>
          <w:rStyle w:val="apple-converted-space"/>
          <w:rFonts w:ascii="Calibri" w:hAnsi="Calibri" w:cs="Times New Roman"/>
          <w:color w:val="000000" w:themeColor="text1"/>
          <w:lang w:val="en-GB"/>
        </w:rPr>
        <w:t>19-01-2017</w:t>
      </w:r>
      <w:r w:rsidR="00B317A7" w:rsidRPr="005234EE">
        <w:rPr>
          <w:rStyle w:val="apple-converted-space"/>
          <w:rFonts w:ascii="Calibri" w:hAnsi="Calibri" w:cs="Times New Roman"/>
          <w:color w:val="000000" w:themeColor="text1"/>
          <w:lang w:val="en-GB"/>
        </w:rPr>
        <w:t>]).</w:t>
      </w:r>
    </w:p>
    <w:p w14:paraId="1C806FB8" w14:textId="126B2A22" w:rsidR="00405FEE" w:rsidRDefault="00405FEE" w:rsidP="004D1AC1">
      <w:pPr>
        <w:pStyle w:val="FootnoteText"/>
        <w:ind w:left="-397" w:right="-397"/>
        <w:rPr>
          <w:rStyle w:val="apple-converted-space"/>
          <w:rFonts w:ascii="Calibri" w:hAnsi="Calibri" w:cs="Times New Roman"/>
          <w:color w:val="000000" w:themeColor="text1"/>
          <w:lang w:val="en-GB"/>
        </w:rPr>
      </w:pPr>
    </w:p>
    <w:p w14:paraId="6FEACE71" w14:textId="77777777" w:rsidR="00405FEE" w:rsidRPr="00AE5AE6" w:rsidRDefault="00405FEE" w:rsidP="00405FEE">
      <w:pPr>
        <w:pStyle w:val="BISReference"/>
        <w:ind w:left="-397" w:right="-397" w:firstLine="0"/>
        <w:rPr>
          <w:rFonts w:ascii="Times New Roman" w:hAnsi="Times New Roman"/>
          <w:color w:val="000000" w:themeColor="text1"/>
          <w:sz w:val="24"/>
          <w:szCs w:val="24"/>
          <w:lang w:val="en"/>
        </w:rPr>
      </w:pPr>
      <w:r w:rsidRPr="00AE5AE6">
        <w:rPr>
          <w:rFonts w:ascii="Times New Roman" w:hAnsi="Times New Roman"/>
          <w:color w:val="000000" w:themeColor="text1"/>
          <w:sz w:val="24"/>
          <w:szCs w:val="24"/>
        </w:rPr>
        <w:t xml:space="preserve">Meade, J., 1964,  </w:t>
      </w:r>
      <w:r w:rsidRPr="00AE5AE6">
        <w:rPr>
          <w:rFonts w:ascii="Times New Roman" w:hAnsi="Times New Roman"/>
          <w:i/>
          <w:iCs/>
          <w:color w:val="000000" w:themeColor="text1"/>
          <w:sz w:val="24"/>
          <w:szCs w:val="24"/>
          <w:lang w:val="en"/>
        </w:rPr>
        <w:t>Efficiency, Equality and the Ownership of Property</w:t>
      </w:r>
      <w:r w:rsidRPr="00AE5AE6">
        <w:rPr>
          <w:rFonts w:ascii="Times New Roman" w:hAnsi="Times New Roman"/>
          <w:color w:val="000000" w:themeColor="text1"/>
          <w:sz w:val="24"/>
          <w:szCs w:val="24"/>
          <w:lang w:val="en"/>
        </w:rPr>
        <w:t>. London: Allen and Unwin</w:t>
      </w:r>
    </w:p>
    <w:p w14:paraId="343C158C" w14:textId="77777777" w:rsidR="00405FEE" w:rsidRPr="005234EE" w:rsidRDefault="00405FEE" w:rsidP="004D1AC1">
      <w:pPr>
        <w:pStyle w:val="FootnoteText"/>
        <w:ind w:left="-397" w:right="-397"/>
        <w:rPr>
          <w:rFonts w:ascii="Calibri" w:hAnsi="Calibri" w:cs="Times New Roman"/>
          <w:color w:val="000000" w:themeColor="text1"/>
          <w:lang w:val="en-GB"/>
        </w:rPr>
      </w:pPr>
    </w:p>
    <w:p w14:paraId="432ABC0B" w14:textId="77777777" w:rsidR="008E6E81" w:rsidRPr="005234EE" w:rsidRDefault="008E6E81" w:rsidP="004D1AC1">
      <w:pPr>
        <w:ind w:left="-397" w:right="-397"/>
        <w:rPr>
          <w:rFonts w:ascii="Calibri" w:hAnsi="Calibri"/>
          <w:color w:val="000000" w:themeColor="text1"/>
          <w:lang w:val="en-GB"/>
        </w:rPr>
      </w:pPr>
    </w:p>
    <w:p w14:paraId="597CC4F1" w14:textId="539C9F1D" w:rsidR="008E6E81" w:rsidRPr="005234EE" w:rsidRDefault="004566D2" w:rsidP="004D1AC1">
      <w:pPr>
        <w:ind w:left="-397" w:right="-397"/>
        <w:rPr>
          <w:rFonts w:ascii="Calibri" w:hAnsi="Calibri"/>
          <w:color w:val="000000" w:themeColor="text1"/>
          <w:shd w:val="clear" w:color="auto" w:fill="FFFFFF"/>
          <w:lang w:val="en-GB"/>
        </w:rPr>
      </w:pPr>
      <w:r w:rsidRPr="005234EE">
        <w:rPr>
          <w:rFonts w:ascii="Calibri" w:hAnsi="Calibri"/>
          <w:color w:val="000000" w:themeColor="text1"/>
          <w:lang w:val="en-GB"/>
        </w:rPr>
        <w:t xml:space="preserve">Murie, A. (2014) ‘The housing legacy </w:t>
      </w:r>
      <w:r w:rsidR="008E6E81" w:rsidRPr="005234EE">
        <w:rPr>
          <w:rFonts w:ascii="Calibri" w:hAnsi="Calibri"/>
          <w:color w:val="000000" w:themeColor="text1"/>
          <w:lang w:val="en-GB"/>
        </w:rPr>
        <w:t>of Thatcherism’</w:t>
      </w:r>
      <w:r w:rsidRPr="005234EE">
        <w:rPr>
          <w:rFonts w:ascii="Calibri" w:hAnsi="Calibri"/>
          <w:color w:val="000000" w:themeColor="text1"/>
          <w:lang w:val="en-GB"/>
        </w:rPr>
        <w:t>,</w:t>
      </w:r>
      <w:r w:rsidR="008E6E81" w:rsidRPr="005234EE">
        <w:rPr>
          <w:rFonts w:ascii="Calibri" w:hAnsi="Calibri"/>
          <w:color w:val="000000" w:themeColor="text1"/>
          <w:lang w:val="en-GB"/>
        </w:rPr>
        <w:t xml:space="preserve"> in Farrall, S. and </w:t>
      </w:r>
      <w:r w:rsidR="008E6E81" w:rsidRPr="005234EE">
        <w:rPr>
          <w:rFonts w:ascii="Calibri" w:hAnsi="Calibri"/>
          <w:color w:val="000000" w:themeColor="text1"/>
          <w:shd w:val="clear" w:color="auto" w:fill="FFFFFF"/>
          <w:lang w:val="en-GB"/>
        </w:rPr>
        <w:t xml:space="preserve">Hay, C. (Eds.), </w:t>
      </w:r>
      <w:r w:rsidR="008E6E81" w:rsidRPr="005234EE">
        <w:rPr>
          <w:rFonts w:ascii="Calibri" w:hAnsi="Calibri"/>
          <w:i/>
          <w:color w:val="000000" w:themeColor="text1"/>
          <w:shd w:val="clear" w:color="auto" w:fill="FFFFFF"/>
          <w:lang w:val="en-GB"/>
        </w:rPr>
        <w:t>The Legacy of Thatcherism</w:t>
      </w:r>
      <w:r w:rsidRPr="005234EE">
        <w:rPr>
          <w:rFonts w:ascii="Calibri" w:hAnsi="Calibri"/>
          <w:i/>
          <w:color w:val="000000" w:themeColor="text1"/>
          <w:shd w:val="clear" w:color="auto" w:fill="FFFFFF"/>
          <w:lang w:val="en-GB"/>
        </w:rPr>
        <w:t>: Assessing and Exploring Thatcherite Social and Economic Policies</w:t>
      </w:r>
      <w:r w:rsidR="008E6E81" w:rsidRPr="005234EE">
        <w:rPr>
          <w:rFonts w:ascii="Calibri" w:hAnsi="Calibri"/>
          <w:color w:val="000000" w:themeColor="text1"/>
          <w:shd w:val="clear" w:color="auto" w:fill="FFFFFF"/>
          <w:lang w:val="en-GB"/>
        </w:rPr>
        <w:t>, Oxford University Press</w:t>
      </w:r>
      <w:r w:rsidRPr="005234EE">
        <w:rPr>
          <w:rFonts w:ascii="Calibri" w:hAnsi="Calibri"/>
          <w:color w:val="000000" w:themeColor="text1"/>
          <w:shd w:val="clear" w:color="auto" w:fill="FFFFFF"/>
          <w:lang w:val="en-GB"/>
        </w:rPr>
        <w:t>, Oxford</w:t>
      </w:r>
      <w:r w:rsidR="00476025" w:rsidRPr="005234EE">
        <w:rPr>
          <w:rFonts w:ascii="Calibri" w:hAnsi="Calibri"/>
          <w:color w:val="000000" w:themeColor="text1"/>
          <w:shd w:val="clear" w:color="auto" w:fill="FFFFFF"/>
          <w:lang w:val="en-GB"/>
        </w:rPr>
        <w:t xml:space="preserve">, </w:t>
      </w:r>
      <w:r w:rsidR="00FD7D52">
        <w:rPr>
          <w:rFonts w:ascii="Calibri" w:eastAsia="Times New Roman" w:hAnsi="Calibri"/>
          <w:color w:val="000000" w:themeColor="text1"/>
          <w:highlight w:val="yellow"/>
          <w:lang w:val="en-GB" w:eastAsia="en-GB"/>
        </w:rPr>
        <w:t>pp. 143-66</w:t>
      </w:r>
      <w:r w:rsidR="00C700B9" w:rsidRPr="005234EE">
        <w:rPr>
          <w:rFonts w:ascii="Calibri" w:eastAsia="Times New Roman" w:hAnsi="Calibri"/>
          <w:color w:val="000000" w:themeColor="text1"/>
          <w:highlight w:val="yellow"/>
          <w:lang w:val="en-GB" w:eastAsia="en-GB"/>
        </w:rPr>
        <w:t>.</w:t>
      </w:r>
    </w:p>
    <w:p w14:paraId="229C2E50" w14:textId="77777777" w:rsidR="008E6E81" w:rsidRPr="005234EE" w:rsidRDefault="008E6E81" w:rsidP="004D1AC1">
      <w:pPr>
        <w:pStyle w:val="BISReference"/>
        <w:ind w:left="0" w:right="-397" w:firstLine="0"/>
        <w:jc w:val="left"/>
        <w:rPr>
          <w:rFonts w:ascii="Calibri" w:hAnsi="Calibri"/>
          <w:color w:val="000000" w:themeColor="text1"/>
          <w:sz w:val="24"/>
          <w:szCs w:val="24"/>
        </w:rPr>
      </w:pPr>
    </w:p>
    <w:p w14:paraId="5CA987F4" w14:textId="1C2B98A4" w:rsidR="008E6E81" w:rsidRPr="005234EE" w:rsidRDefault="008E6E81" w:rsidP="004D1AC1">
      <w:pPr>
        <w:pStyle w:val="BISReference"/>
        <w:ind w:left="-397" w:right="-397" w:firstLine="0"/>
        <w:jc w:val="left"/>
        <w:rPr>
          <w:rFonts w:ascii="Calibri" w:hAnsi="Calibri"/>
          <w:color w:val="000000" w:themeColor="text1"/>
          <w:sz w:val="24"/>
          <w:szCs w:val="24"/>
        </w:rPr>
      </w:pPr>
      <w:r w:rsidRPr="005234EE">
        <w:rPr>
          <w:rFonts w:ascii="Calibri" w:hAnsi="Calibri"/>
          <w:color w:val="000000" w:themeColor="text1"/>
          <w:sz w:val="24"/>
          <w:szCs w:val="24"/>
        </w:rPr>
        <w:t>National Audit Office</w:t>
      </w:r>
      <w:r w:rsidR="00CB6BD5" w:rsidRPr="005234EE">
        <w:rPr>
          <w:rFonts w:ascii="Calibri" w:hAnsi="Calibri"/>
          <w:color w:val="000000" w:themeColor="text1"/>
          <w:sz w:val="24"/>
          <w:szCs w:val="24"/>
        </w:rPr>
        <w:t xml:space="preserve"> (2016)</w:t>
      </w:r>
      <w:r w:rsidR="00BF35DD" w:rsidRPr="005234EE">
        <w:rPr>
          <w:rFonts w:ascii="Calibri" w:hAnsi="Calibri"/>
          <w:color w:val="000000" w:themeColor="text1"/>
          <w:sz w:val="24"/>
          <w:szCs w:val="24"/>
        </w:rPr>
        <w:t xml:space="preserve"> </w:t>
      </w:r>
      <w:r w:rsidR="00BF35DD" w:rsidRPr="005234EE">
        <w:rPr>
          <w:rFonts w:ascii="Calibri" w:hAnsi="Calibri"/>
          <w:i/>
          <w:color w:val="000000" w:themeColor="text1"/>
          <w:sz w:val="24"/>
          <w:szCs w:val="24"/>
        </w:rPr>
        <w:t>Benefit Sanctions</w:t>
      </w:r>
      <w:r w:rsidR="00BF35DD" w:rsidRPr="005234EE">
        <w:rPr>
          <w:rFonts w:ascii="Calibri" w:hAnsi="Calibri"/>
          <w:color w:val="000000" w:themeColor="text1"/>
          <w:sz w:val="24"/>
          <w:szCs w:val="24"/>
        </w:rPr>
        <w:t>,</w:t>
      </w:r>
      <w:r w:rsidRPr="005234EE">
        <w:rPr>
          <w:rFonts w:ascii="Calibri" w:hAnsi="Calibri"/>
          <w:color w:val="000000" w:themeColor="text1"/>
          <w:sz w:val="24"/>
          <w:szCs w:val="24"/>
        </w:rPr>
        <w:t xml:space="preserve"> the Comptroller and Auditor General, National Audit Office, </w:t>
      </w:r>
      <w:r w:rsidR="008C1B0F" w:rsidRPr="005234EE">
        <w:rPr>
          <w:rFonts w:ascii="Calibri" w:hAnsi="Calibri"/>
          <w:color w:val="000000" w:themeColor="text1"/>
          <w:sz w:val="24"/>
          <w:szCs w:val="24"/>
          <w:highlight w:val="yellow"/>
        </w:rPr>
        <w:t>London</w:t>
      </w:r>
      <w:r w:rsidR="00BF35DD" w:rsidRPr="005234EE">
        <w:rPr>
          <w:rFonts w:ascii="Calibri" w:hAnsi="Calibri"/>
          <w:color w:val="000000" w:themeColor="text1"/>
          <w:sz w:val="24"/>
          <w:szCs w:val="24"/>
        </w:rPr>
        <w:t xml:space="preserve">, </w:t>
      </w:r>
      <w:r w:rsidRPr="005234EE">
        <w:rPr>
          <w:rFonts w:ascii="Calibri" w:hAnsi="Calibri"/>
          <w:color w:val="000000" w:themeColor="text1"/>
          <w:sz w:val="24"/>
          <w:szCs w:val="24"/>
        </w:rPr>
        <w:t>HC 628 Session 2016-17, 30 Novermber 2016</w:t>
      </w:r>
      <w:r w:rsidR="00BF35DD" w:rsidRPr="005234EE">
        <w:rPr>
          <w:rFonts w:ascii="Calibri" w:hAnsi="Calibri"/>
          <w:color w:val="000000" w:themeColor="text1"/>
          <w:sz w:val="24"/>
          <w:szCs w:val="24"/>
        </w:rPr>
        <w:t>.</w:t>
      </w:r>
    </w:p>
    <w:p w14:paraId="6ED1941F" w14:textId="77777777" w:rsidR="008E6E81" w:rsidRPr="005234EE" w:rsidRDefault="008E6E81" w:rsidP="004D1AC1">
      <w:pPr>
        <w:pStyle w:val="BISReference"/>
        <w:ind w:left="-397" w:right="-397" w:firstLine="0"/>
        <w:jc w:val="left"/>
        <w:rPr>
          <w:rFonts w:ascii="Calibri" w:hAnsi="Calibri"/>
          <w:color w:val="000000" w:themeColor="text1"/>
          <w:sz w:val="24"/>
          <w:szCs w:val="24"/>
        </w:rPr>
      </w:pPr>
    </w:p>
    <w:p w14:paraId="792C6C75" w14:textId="7A5A84AD" w:rsidR="008E6E81" w:rsidRPr="00766F73" w:rsidRDefault="008E6E81" w:rsidP="00F83C9B">
      <w:pPr>
        <w:pStyle w:val="BISReference"/>
        <w:ind w:left="-397" w:right="-397" w:firstLine="0"/>
        <w:jc w:val="left"/>
        <w:outlineLvl w:val="0"/>
        <w:rPr>
          <w:rFonts w:ascii="Calibri" w:hAnsi="Calibri"/>
          <w:color w:val="000000" w:themeColor="text1"/>
          <w:sz w:val="24"/>
          <w:szCs w:val="24"/>
          <w:lang w:val="da-DK"/>
        </w:rPr>
      </w:pPr>
      <w:r w:rsidRPr="00766F73">
        <w:rPr>
          <w:rFonts w:ascii="Calibri" w:hAnsi="Calibri"/>
          <w:color w:val="000000" w:themeColor="text1"/>
          <w:sz w:val="24"/>
          <w:szCs w:val="24"/>
          <w:lang w:val="da-DK"/>
        </w:rPr>
        <w:t xml:space="preserve">Nordjyske </w:t>
      </w:r>
      <w:r w:rsidR="0023163B" w:rsidRPr="00766F73">
        <w:rPr>
          <w:rFonts w:ascii="Calibri" w:hAnsi="Calibri"/>
          <w:color w:val="000000" w:themeColor="text1"/>
          <w:sz w:val="24"/>
          <w:szCs w:val="24"/>
          <w:lang w:val="da-DK"/>
        </w:rPr>
        <w:t>(</w:t>
      </w:r>
      <w:r w:rsidRPr="00766F73">
        <w:rPr>
          <w:rFonts w:ascii="Calibri" w:hAnsi="Calibri"/>
          <w:color w:val="000000" w:themeColor="text1"/>
          <w:sz w:val="24"/>
          <w:szCs w:val="24"/>
          <w:lang w:val="da-DK"/>
        </w:rPr>
        <w:t>2016</w:t>
      </w:r>
      <w:r w:rsidR="0023163B" w:rsidRPr="00766F73">
        <w:rPr>
          <w:rFonts w:ascii="Calibri" w:hAnsi="Calibri"/>
          <w:color w:val="000000" w:themeColor="text1"/>
          <w:sz w:val="24"/>
          <w:szCs w:val="24"/>
          <w:lang w:val="da-DK"/>
        </w:rPr>
        <w:t>)</w:t>
      </w:r>
      <w:commentRangeStart w:id="24"/>
      <w:r w:rsidR="0023163B" w:rsidRPr="00766F73">
        <w:rPr>
          <w:rFonts w:ascii="Calibri" w:hAnsi="Calibri"/>
          <w:color w:val="000000" w:themeColor="text1"/>
          <w:sz w:val="24"/>
          <w:szCs w:val="24"/>
          <w:lang w:val="da-DK"/>
        </w:rPr>
        <w:t xml:space="preserve"> </w:t>
      </w:r>
      <w:commentRangeEnd w:id="24"/>
      <w:r w:rsidR="0023163B" w:rsidRPr="005234EE">
        <w:rPr>
          <w:rStyle w:val="CommentReference"/>
          <w:rFonts w:ascii="Calibri" w:eastAsiaTheme="minorHAnsi" w:hAnsi="Calibri" w:cstheme="minorBidi"/>
          <w:sz w:val="24"/>
          <w:szCs w:val="24"/>
          <w:lang w:val="en-US" w:eastAsia="en-US"/>
        </w:rPr>
        <w:commentReference w:id="24"/>
      </w:r>
      <w:r w:rsidR="0023163B" w:rsidRPr="00766F73">
        <w:rPr>
          <w:rFonts w:ascii="Calibri" w:hAnsi="Calibri"/>
          <w:color w:val="000000" w:themeColor="text1"/>
          <w:sz w:val="24"/>
          <w:szCs w:val="24"/>
          <w:lang w:val="da-DK"/>
        </w:rPr>
        <w:t>‘</w:t>
      </w:r>
      <w:r w:rsidR="00405FEE" w:rsidRPr="00766F73">
        <w:rPr>
          <w:rFonts w:ascii="Calibri" w:hAnsi="Calibri"/>
          <w:color w:val="000000" w:themeColor="text1"/>
          <w:sz w:val="24"/>
          <w:szCs w:val="24"/>
          <w:lang w:val="da-DK"/>
        </w:rPr>
        <w:t xml:space="preserve">Sanktioner mod kontanthjæpsmodtagere </w:t>
      </w:r>
      <w:r w:rsidRPr="00766F73">
        <w:rPr>
          <w:rFonts w:ascii="Calibri" w:hAnsi="Calibri"/>
          <w:color w:val="000000" w:themeColor="text1"/>
          <w:sz w:val="24"/>
          <w:szCs w:val="24"/>
          <w:lang w:val="da-DK"/>
        </w:rPr>
        <w:t>skal un</w:t>
      </w:r>
      <w:r w:rsidR="00405FEE" w:rsidRPr="00766F73">
        <w:rPr>
          <w:rFonts w:ascii="Calibri" w:hAnsi="Calibri"/>
          <w:color w:val="000000" w:themeColor="text1"/>
          <w:sz w:val="24"/>
          <w:szCs w:val="24"/>
          <w:lang w:val="da-DK"/>
        </w:rPr>
        <w:t>de</w:t>
      </w:r>
      <w:r w:rsidRPr="00766F73">
        <w:rPr>
          <w:rFonts w:ascii="Calibri" w:hAnsi="Calibri"/>
          <w:color w:val="000000" w:themeColor="text1"/>
          <w:sz w:val="24"/>
          <w:szCs w:val="24"/>
          <w:lang w:val="da-DK"/>
        </w:rPr>
        <w:t>rsøg</w:t>
      </w:r>
      <w:r w:rsidR="00405FEE" w:rsidRPr="00766F73">
        <w:rPr>
          <w:rFonts w:ascii="Calibri" w:hAnsi="Calibri"/>
          <w:color w:val="000000" w:themeColor="text1"/>
          <w:sz w:val="24"/>
          <w:szCs w:val="24"/>
          <w:lang w:val="da-DK"/>
        </w:rPr>
        <w:t>e</w:t>
      </w:r>
      <w:r w:rsidRPr="00766F73">
        <w:rPr>
          <w:rFonts w:ascii="Calibri" w:hAnsi="Calibri"/>
          <w:color w:val="000000" w:themeColor="text1"/>
          <w:sz w:val="24"/>
          <w:szCs w:val="24"/>
          <w:lang w:val="da-DK"/>
        </w:rPr>
        <w:t>s</w:t>
      </w:r>
      <w:r w:rsidR="0023163B" w:rsidRPr="00766F73">
        <w:rPr>
          <w:rFonts w:ascii="Calibri" w:hAnsi="Calibri"/>
          <w:color w:val="000000" w:themeColor="text1"/>
          <w:sz w:val="24"/>
          <w:szCs w:val="24"/>
          <w:lang w:val="da-DK"/>
        </w:rPr>
        <w:t>’</w:t>
      </w:r>
      <w:r w:rsidRPr="00766F73">
        <w:rPr>
          <w:rFonts w:ascii="Calibri" w:hAnsi="Calibri"/>
          <w:color w:val="000000" w:themeColor="text1"/>
          <w:sz w:val="24"/>
          <w:szCs w:val="24"/>
          <w:lang w:val="da-DK"/>
        </w:rPr>
        <w:t>,</w:t>
      </w:r>
      <w:r w:rsidR="0023163B" w:rsidRPr="00766F73">
        <w:rPr>
          <w:rFonts w:ascii="Calibri" w:hAnsi="Calibri"/>
          <w:color w:val="000000" w:themeColor="text1"/>
          <w:sz w:val="24"/>
          <w:szCs w:val="24"/>
          <w:lang w:val="da-DK"/>
        </w:rPr>
        <w:t xml:space="preserve"> </w:t>
      </w:r>
      <w:r w:rsidR="0023163B" w:rsidRPr="00766F73">
        <w:rPr>
          <w:rFonts w:ascii="Calibri" w:hAnsi="Calibri"/>
          <w:i/>
          <w:color w:val="000000" w:themeColor="text1"/>
          <w:sz w:val="24"/>
          <w:szCs w:val="24"/>
          <w:lang w:val="da-DK"/>
        </w:rPr>
        <w:t>Nordjyske</w:t>
      </w:r>
      <w:r w:rsidR="0023163B" w:rsidRPr="00766F73">
        <w:rPr>
          <w:rFonts w:ascii="Calibri" w:hAnsi="Calibri"/>
          <w:color w:val="000000" w:themeColor="text1"/>
          <w:sz w:val="24"/>
          <w:szCs w:val="24"/>
          <w:lang w:val="da-DK"/>
        </w:rPr>
        <w:t xml:space="preserve">, </w:t>
      </w:r>
      <w:r w:rsidRPr="00766F73">
        <w:rPr>
          <w:rFonts w:ascii="Calibri" w:hAnsi="Calibri"/>
          <w:color w:val="000000" w:themeColor="text1"/>
          <w:sz w:val="24"/>
          <w:szCs w:val="24"/>
          <w:lang w:val="da-DK"/>
        </w:rPr>
        <w:t>4 April.</w:t>
      </w:r>
    </w:p>
    <w:p w14:paraId="3849C6CE" w14:textId="77777777" w:rsidR="008E6E81" w:rsidRPr="00766F73" w:rsidRDefault="008E6E81" w:rsidP="004D1AC1">
      <w:pPr>
        <w:pStyle w:val="BISReference"/>
        <w:ind w:left="-397" w:right="-397" w:firstLine="0"/>
        <w:jc w:val="left"/>
        <w:rPr>
          <w:rFonts w:ascii="Calibri" w:hAnsi="Calibri"/>
          <w:color w:val="000000" w:themeColor="text1"/>
          <w:sz w:val="24"/>
          <w:szCs w:val="24"/>
          <w:lang w:val="da-DK"/>
        </w:rPr>
      </w:pPr>
    </w:p>
    <w:p w14:paraId="015CA1E2" w14:textId="50004FDB" w:rsidR="008E6E81" w:rsidRPr="00766F73" w:rsidRDefault="00755502" w:rsidP="00F83C9B">
      <w:pPr>
        <w:pStyle w:val="BISReference"/>
        <w:ind w:left="-397" w:right="-397" w:firstLine="0"/>
        <w:jc w:val="left"/>
        <w:outlineLvl w:val="0"/>
        <w:rPr>
          <w:rFonts w:ascii="Calibri" w:hAnsi="Calibri"/>
          <w:color w:val="000000" w:themeColor="text1"/>
          <w:sz w:val="24"/>
          <w:szCs w:val="24"/>
          <w:lang w:val="da-DK"/>
        </w:rPr>
      </w:pPr>
      <w:r w:rsidRPr="00766F73">
        <w:rPr>
          <w:rFonts w:ascii="Calibri" w:hAnsi="Calibri"/>
          <w:color w:val="000000" w:themeColor="text1"/>
          <w:sz w:val="24"/>
          <w:szCs w:val="24"/>
          <w:lang w:val="da-DK"/>
        </w:rPr>
        <w:t>Nothin, T.</w:t>
      </w:r>
      <w:r w:rsidR="008E6E81" w:rsidRPr="00766F73">
        <w:rPr>
          <w:rFonts w:ascii="Calibri" w:hAnsi="Calibri"/>
          <w:color w:val="000000" w:themeColor="text1"/>
          <w:sz w:val="24"/>
          <w:szCs w:val="24"/>
          <w:lang w:val="da-DK"/>
        </w:rPr>
        <w:t xml:space="preserve"> </w:t>
      </w:r>
      <w:r w:rsidRPr="00766F73">
        <w:rPr>
          <w:rFonts w:ascii="Calibri" w:hAnsi="Calibri"/>
          <w:color w:val="000000" w:themeColor="text1"/>
          <w:sz w:val="24"/>
          <w:szCs w:val="24"/>
          <w:lang w:val="da-DK"/>
        </w:rPr>
        <w:t>(1926)</w:t>
      </w:r>
      <w:r w:rsidR="009F1665" w:rsidRPr="00766F73">
        <w:rPr>
          <w:rFonts w:ascii="Calibri" w:hAnsi="Calibri"/>
          <w:color w:val="000000" w:themeColor="text1"/>
          <w:sz w:val="24"/>
          <w:szCs w:val="24"/>
          <w:lang w:val="da-DK"/>
        </w:rPr>
        <w:t xml:space="preserve"> </w:t>
      </w:r>
      <w:r w:rsidR="008E6E81" w:rsidRPr="00766F73">
        <w:rPr>
          <w:rFonts w:ascii="Calibri" w:hAnsi="Calibri"/>
          <w:i/>
          <w:color w:val="000000" w:themeColor="text1"/>
          <w:sz w:val="24"/>
          <w:szCs w:val="24"/>
          <w:lang w:val="da-DK"/>
        </w:rPr>
        <w:t xml:space="preserve">Social </w:t>
      </w:r>
      <w:r w:rsidR="009F1665" w:rsidRPr="00766F73">
        <w:rPr>
          <w:rFonts w:ascii="Calibri" w:hAnsi="Calibri"/>
          <w:i/>
          <w:color w:val="000000" w:themeColor="text1"/>
          <w:sz w:val="24"/>
          <w:szCs w:val="24"/>
          <w:lang w:val="da-DK"/>
        </w:rPr>
        <w:t>D</w:t>
      </w:r>
      <w:r w:rsidR="008E6E81" w:rsidRPr="00766F73">
        <w:rPr>
          <w:rFonts w:ascii="Calibri" w:hAnsi="Calibri"/>
          <w:i/>
          <w:color w:val="000000" w:themeColor="text1"/>
          <w:sz w:val="24"/>
          <w:szCs w:val="24"/>
          <w:lang w:val="da-DK"/>
        </w:rPr>
        <w:t>emokratisk Jordpolitik</w:t>
      </w:r>
      <w:r w:rsidR="008E6E81" w:rsidRPr="00766F73">
        <w:rPr>
          <w:rFonts w:ascii="Calibri" w:hAnsi="Calibri"/>
          <w:color w:val="000000" w:themeColor="text1"/>
          <w:sz w:val="24"/>
          <w:szCs w:val="24"/>
          <w:lang w:val="da-DK"/>
        </w:rPr>
        <w:t>, Tidens Förlag</w:t>
      </w:r>
      <w:r w:rsidR="00252F64" w:rsidRPr="00766F73">
        <w:rPr>
          <w:rFonts w:ascii="Calibri" w:hAnsi="Calibri"/>
          <w:color w:val="000000" w:themeColor="text1"/>
          <w:sz w:val="24"/>
          <w:szCs w:val="24"/>
          <w:lang w:val="da-DK"/>
        </w:rPr>
        <w:t>, Stockholk.</w:t>
      </w:r>
    </w:p>
    <w:p w14:paraId="370455A2" w14:textId="06B67B71" w:rsidR="00405FEE" w:rsidRPr="00766F73" w:rsidRDefault="00405FEE" w:rsidP="00F83C9B">
      <w:pPr>
        <w:pStyle w:val="BISReference"/>
        <w:ind w:left="-397" w:right="-397" w:firstLine="0"/>
        <w:jc w:val="left"/>
        <w:outlineLvl w:val="0"/>
        <w:rPr>
          <w:rFonts w:ascii="Calibri" w:hAnsi="Calibri"/>
          <w:color w:val="000000" w:themeColor="text1"/>
          <w:sz w:val="24"/>
          <w:szCs w:val="24"/>
          <w:lang w:val="da-DK"/>
        </w:rPr>
      </w:pPr>
    </w:p>
    <w:p w14:paraId="21AA54D3" w14:textId="0594F0DC" w:rsidR="00405FEE" w:rsidRPr="005234EE" w:rsidRDefault="00405FEE" w:rsidP="00F83C9B">
      <w:pPr>
        <w:pStyle w:val="BISReference"/>
        <w:ind w:left="-397" w:right="-397" w:firstLine="0"/>
        <w:jc w:val="left"/>
        <w:outlineLvl w:val="0"/>
        <w:rPr>
          <w:rFonts w:ascii="Calibri" w:hAnsi="Calibri"/>
          <w:color w:val="000000" w:themeColor="text1"/>
          <w:sz w:val="24"/>
          <w:szCs w:val="24"/>
        </w:rPr>
      </w:pPr>
      <w:r>
        <w:rPr>
          <w:rFonts w:ascii="Calibri" w:hAnsi="Calibri"/>
          <w:color w:val="000000" w:themeColor="text1"/>
          <w:sz w:val="24"/>
          <w:szCs w:val="24"/>
        </w:rPr>
        <w:t>OECD (2012) Employment Outlook, Paris: OECD</w:t>
      </w:r>
    </w:p>
    <w:p w14:paraId="59BB14CC" w14:textId="77777777" w:rsidR="008E6E81" w:rsidRPr="005234EE" w:rsidRDefault="008E6E81" w:rsidP="004D1AC1">
      <w:pPr>
        <w:pStyle w:val="BISReference"/>
        <w:ind w:left="-397" w:right="-397" w:firstLine="0"/>
        <w:jc w:val="left"/>
        <w:rPr>
          <w:rFonts w:ascii="Calibri" w:hAnsi="Calibri"/>
          <w:color w:val="000000" w:themeColor="text1"/>
          <w:sz w:val="24"/>
          <w:szCs w:val="24"/>
        </w:rPr>
      </w:pPr>
    </w:p>
    <w:p w14:paraId="7919AAB4" w14:textId="3D0A99B7" w:rsidR="008E6E81" w:rsidRDefault="008E6E81" w:rsidP="00F83C9B">
      <w:pPr>
        <w:pStyle w:val="BISReference"/>
        <w:ind w:left="-397" w:right="-397" w:firstLine="0"/>
        <w:jc w:val="left"/>
        <w:outlineLvl w:val="0"/>
        <w:rPr>
          <w:rFonts w:ascii="Calibri" w:hAnsi="Calibri"/>
          <w:color w:val="000000" w:themeColor="text1"/>
          <w:sz w:val="24"/>
          <w:szCs w:val="24"/>
        </w:rPr>
      </w:pPr>
      <w:r w:rsidRPr="005234EE">
        <w:rPr>
          <w:rFonts w:ascii="Calibri" w:hAnsi="Calibri"/>
          <w:color w:val="000000" w:themeColor="text1"/>
          <w:sz w:val="24"/>
          <w:szCs w:val="24"/>
        </w:rPr>
        <w:t>OECD</w:t>
      </w:r>
      <w:r w:rsidR="0023163B" w:rsidRPr="005234EE">
        <w:rPr>
          <w:rFonts w:ascii="Calibri" w:hAnsi="Calibri"/>
          <w:color w:val="000000" w:themeColor="text1"/>
          <w:sz w:val="24"/>
          <w:szCs w:val="24"/>
        </w:rPr>
        <w:t xml:space="preserve"> (2008)</w:t>
      </w:r>
      <w:r w:rsidRPr="005234EE">
        <w:rPr>
          <w:rFonts w:ascii="Calibri" w:hAnsi="Calibri"/>
          <w:color w:val="000000" w:themeColor="text1"/>
          <w:sz w:val="24"/>
          <w:szCs w:val="24"/>
        </w:rPr>
        <w:t xml:space="preserve"> </w:t>
      </w:r>
      <w:r w:rsidRPr="005234EE">
        <w:rPr>
          <w:rFonts w:ascii="Calibri" w:hAnsi="Calibri"/>
          <w:i/>
          <w:color w:val="000000" w:themeColor="text1"/>
          <w:sz w:val="24"/>
          <w:szCs w:val="24"/>
          <w:highlight w:val="yellow"/>
        </w:rPr>
        <w:t>Growing Unequal</w:t>
      </w:r>
      <w:r w:rsidR="0023163B" w:rsidRPr="005234EE">
        <w:rPr>
          <w:rFonts w:ascii="Calibri" w:hAnsi="Calibri"/>
          <w:i/>
          <w:color w:val="000000" w:themeColor="text1"/>
          <w:sz w:val="24"/>
          <w:szCs w:val="24"/>
          <w:highlight w:val="yellow"/>
        </w:rPr>
        <w:t>? Income Distribution and Poverty in OECD Countries</w:t>
      </w:r>
      <w:r w:rsidR="0023163B" w:rsidRPr="005234EE">
        <w:rPr>
          <w:rFonts w:ascii="Calibri" w:hAnsi="Calibri"/>
          <w:color w:val="000000" w:themeColor="text1"/>
          <w:sz w:val="24"/>
          <w:szCs w:val="24"/>
          <w:highlight w:val="yellow"/>
        </w:rPr>
        <w:t>, OECD, Paris</w:t>
      </w:r>
      <w:r w:rsidRPr="005234EE">
        <w:rPr>
          <w:rFonts w:ascii="Calibri" w:hAnsi="Calibri"/>
          <w:color w:val="000000" w:themeColor="text1"/>
          <w:sz w:val="24"/>
          <w:szCs w:val="24"/>
          <w:highlight w:val="yellow"/>
        </w:rPr>
        <w:t>.</w:t>
      </w:r>
    </w:p>
    <w:p w14:paraId="5AB7DB2B" w14:textId="1B118261" w:rsidR="003447BF" w:rsidRDefault="003447BF" w:rsidP="00F83C9B">
      <w:pPr>
        <w:pStyle w:val="BISReference"/>
        <w:ind w:left="-397" w:right="-397" w:firstLine="0"/>
        <w:jc w:val="left"/>
        <w:outlineLvl w:val="0"/>
        <w:rPr>
          <w:rFonts w:ascii="Calibri" w:hAnsi="Calibri"/>
          <w:color w:val="000000" w:themeColor="text1"/>
          <w:sz w:val="24"/>
          <w:szCs w:val="24"/>
        </w:rPr>
      </w:pPr>
    </w:p>
    <w:p w14:paraId="6E9F692F" w14:textId="77777777" w:rsidR="003447BF" w:rsidRPr="0011102A" w:rsidRDefault="003447BF" w:rsidP="003447BF">
      <w:pPr>
        <w:tabs>
          <w:tab w:val="left" w:pos="-720"/>
        </w:tabs>
        <w:suppressAutoHyphens/>
        <w:ind w:left="-397" w:right="-397"/>
        <w:jc w:val="both"/>
        <w:rPr>
          <w:color w:val="000000" w:themeColor="text1"/>
          <w:spacing w:val="-2"/>
        </w:rPr>
      </w:pPr>
      <w:r>
        <w:rPr>
          <w:color w:val="000000" w:themeColor="text1"/>
          <w:spacing w:val="-2"/>
        </w:rPr>
        <w:t>Pagano, U., 1991, “</w:t>
      </w:r>
      <w:r w:rsidRPr="0011102A">
        <w:rPr>
          <w:color w:val="000000" w:themeColor="text1"/>
          <w:spacing w:val="-2"/>
        </w:rPr>
        <w:t>Property Rights, Asset Specificity and the Division of Labour under A</w:t>
      </w:r>
      <w:r>
        <w:rPr>
          <w:color w:val="000000" w:themeColor="text1"/>
          <w:spacing w:val="-2"/>
        </w:rPr>
        <w:t>lternative Capitalist Relations”</w:t>
      </w:r>
      <w:r w:rsidRPr="0011102A">
        <w:rPr>
          <w:color w:val="000000" w:themeColor="text1"/>
          <w:spacing w:val="-2"/>
        </w:rPr>
        <w:t xml:space="preserve">, </w:t>
      </w:r>
      <w:r w:rsidRPr="007035F7">
        <w:rPr>
          <w:i/>
          <w:color w:val="000000" w:themeColor="text1"/>
          <w:spacing w:val="-2"/>
        </w:rPr>
        <w:t>Cambridge Journal of Economics</w:t>
      </w:r>
      <w:r w:rsidRPr="0011102A">
        <w:rPr>
          <w:color w:val="000000" w:themeColor="text1"/>
          <w:spacing w:val="-2"/>
        </w:rPr>
        <w:t>, 15 (3) 315-42.</w:t>
      </w:r>
    </w:p>
    <w:p w14:paraId="65337D30" w14:textId="3A5595D7" w:rsidR="00041244" w:rsidRPr="005234EE" w:rsidRDefault="00041244" w:rsidP="003447BF">
      <w:pPr>
        <w:pStyle w:val="BISReference"/>
        <w:ind w:left="0" w:right="-397" w:firstLine="0"/>
        <w:jc w:val="left"/>
        <w:rPr>
          <w:rFonts w:ascii="Calibri" w:hAnsi="Calibri"/>
          <w:color w:val="000000" w:themeColor="text1"/>
          <w:sz w:val="24"/>
          <w:szCs w:val="24"/>
        </w:rPr>
      </w:pPr>
    </w:p>
    <w:p w14:paraId="03568417" w14:textId="1425B244" w:rsidR="00041244" w:rsidRPr="005234EE" w:rsidRDefault="00696282" w:rsidP="004D1AC1">
      <w:pPr>
        <w:pStyle w:val="BISReference"/>
        <w:ind w:left="-397" w:right="-397" w:firstLine="0"/>
        <w:jc w:val="left"/>
        <w:rPr>
          <w:rFonts w:ascii="Calibri" w:hAnsi="Calibri"/>
          <w:color w:val="000000" w:themeColor="text1"/>
          <w:sz w:val="24"/>
          <w:szCs w:val="24"/>
        </w:rPr>
      </w:pPr>
      <w:r w:rsidRPr="005234EE">
        <w:rPr>
          <w:rFonts w:ascii="Calibri" w:hAnsi="Calibri"/>
          <w:color w:val="000000" w:themeColor="text1"/>
          <w:sz w:val="24"/>
          <w:szCs w:val="24"/>
        </w:rPr>
        <w:t>Pempel, T.J. (1999)</w:t>
      </w:r>
      <w:r w:rsidR="00041244" w:rsidRPr="005234EE">
        <w:rPr>
          <w:rFonts w:ascii="Calibri" w:hAnsi="Calibri"/>
          <w:color w:val="000000" w:themeColor="text1"/>
          <w:sz w:val="24"/>
          <w:szCs w:val="24"/>
        </w:rPr>
        <w:t xml:space="preserve"> ‘The </w:t>
      </w:r>
      <w:r w:rsidRPr="005234EE">
        <w:rPr>
          <w:rFonts w:ascii="Calibri" w:hAnsi="Calibri"/>
          <w:color w:val="000000" w:themeColor="text1"/>
          <w:sz w:val="24"/>
          <w:szCs w:val="24"/>
        </w:rPr>
        <w:t xml:space="preserve">developmental regime in a changing world economy’, </w:t>
      </w:r>
      <w:r w:rsidR="00041244" w:rsidRPr="005234EE">
        <w:rPr>
          <w:rFonts w:ascii="Calibri" w:hAnsi="Calibri"/>
          <w:color w:val="000000" w:themeColor="text1"/>
          <w:sz w:val="24"/>
          <w:szCs w:val="24"/>
        </w:rPr>
        <w:t xml:space="preserve">in </w:t>
      </w:r>
      <w:r w:rsidRPr="005234EE">
        <w:rPr>
          <w:rFonts w:ascii="Calibri" w:hAnsi="Calibri"/>
          <w:color w:val="000000" w:themeColor="text1"/>
          <w:sz w:val="24"/>
          <w:szCs w:val="24"/>
        </w:rPr>
        <w:t xml:space="preserve">Woo-Cummings, M. (Ed), </w:t>
      </w:r>
      <w:r w:rsidR="00041244" w:rsidRPr="005234EE">
        <w:rPr>
          <w:rFonts w:ascii="Calibri" w:hAnsi="Calibri"/>
          <w:i/>
          <w:color w:val="000000" w:themeColor="text1"/>
          <w:sz w:val="24"/>
          <w:szCs w:val="24"/>
        </w:rPr>
        <w:t>The Developmental State</w:t>
      </w:r>
      <w:r w:rsidR="00041244" w:rsidRPr="005234EE">
        <w:rPr>
          <w:rFonts w:ascii="Calibri" w:hAnsi="Calibri"/>
          <w:color w:val="000000" w:themeColor="text1"/>
          <w:sz w:val="24"/>
          <w:szCs w:val="24"/>
        </w:rPr>
        <w:t>,</w:t>
      </w:r>
      <w:r w:rsidRPr="005234EE">
        <w:rPr>
          <w:rFonts w:ascii="Calibri" w:hAnsi="Calibri"/>
          <w:color w:val="000000" w:themeColor="text1"/>
          <w:sz w:val="24"/>
          <w:szCs w:val="24"/>
        </w:rPr>
        <w:t xml:space="preserve"> </w:t>
      </w:r>
      <w:r w:rsidR="00041244" w:rsidRPr="005234EE">
        <w:rPr>
          <w:rFonts w:ascii="Calibri" w:hAnsi="Calibri"/>
          <w:color w:val="000000" w:themeColor="text1"/>
          <w:sz w:val="24"/>
          <w:szCs w:val="24"/>
        </w:rPr>
        <w:t>Cornell University Press</w:t>
      </w:r>
      <w:r w:rsidRPr="005234EE">
        <w:rPr>
          <w:rFonts w:ascii="Calibri" w:hAnsi="Calibri"/>
          <w:color w:val="000000" w:themeColor="text1"/>
          <w:sz w:val="24"/>
          <w:szCs w:val="24"/>
        </w:rPr>
        <w:t xml:space="preserve">, Ithaca, </w:t>
      </w:r>
      <w:r w:rsidR="00AE3B3B">
        <w:rPr>
          <w:rFonts w:ascii="Calibri" w:hAnsi="Calibri"/>
          <w:color w:val="000000" w:themeColor="text1"/>
          <w:sz w:val="24"/>
          <w:szCs w:val="24"/>
          <w:highlight w:val="yellow"/>
        </w:rPr>
        <w:t>pp.137-81</w:t>
      </w:r>
      <w:r w:rsidRPr="005234EE">
        <w:rPr>
          <w:rFonts w:ascii="Calibri" w:hAnsi="Calibri"/>
          <w:color w:val="000000" w:themeColor="text1"/>
          <w:sz w:val="24"/>
          <w:szCs w:val="24"/>
          <w:highlight w:val="yellow"/>
        </w:rPr>
        <w:t>.</w:t>
      </w:r>
    </w:p>
    <w:p w14:paraId="68B6A377" w14:textId="77777777" w:rsidR="008E6E81" w:rsidRPr="005234EE" w:rsidRDefault="008E6E81" w:rsidP="004D1AC1">
      <w:pPr>
        <w:pStyle w:val="BISReference"/>
        <w:ind w:left="0" w:right="-397" w:firstLine="0"/>
        <w:jc w:val="left"/>
        <w:rPr>
          <w:rFonts w:ascii="Calibri" w:hAnsi="Calibri"/>
          <w:color w:val="000000" w:themeColor="text1"/>
          <w:sz w:val="24"/>
          <w:szCs w:val="24"/>
          <w:shd w:val="clear" w:color="auto" w:fill="FFFFFF"/>
        </w:rPr>
      </w:pPr>
    </w:p>
    <w:p w14:paraId="41A9F19C" w14:textId="10E80C6E" w:rsidR="008E6E81" w:rsidRPr="005234EE" w:rsidRDefault="008E6E81" w:rsidP="004D1AC1">
      <w:pPr>
        <w:ind w:left="-397" w:right="-397"/>
        <w:rPr>
          <w:rFonts w:ascii="Calibri" w:hAnsi="Calibri"/>
          <w:color w:val="000000" w:themeColor="text1"/>
          <w:lang w:val="en-GB"/>
        </w:rPr>
      </w:pPr>
      <w:r w:rsidRPr="005234EE">
        <w:rPr>
          <w:rFonts w:ascii="Calibri" w:hAnsi="Calibri"/>
          <w:color w:val="000000" w:themeColor="text1"/>
          <w:lang w:val="en-GB"/>
        </w:rPr>
        <w:t xml:space="preserve">Pierson, P. </w:t>
      </w:r>
      <w:r w:rsidR="00C322D5" w:rsidRPr="005234EE">
        <w:rPr>
          <w:rFonts w:ascii="Calibri" w:hAnsi="Calibri"/>
          <w:color w:val="000000" w:themeColor="text1"/>
          <w:lang w:val="en-GB"/>
        </w:rPr>
        <w:t>(1994)</w:t>
      </w:r>
      <w:r w:rsidRPr="005234EE">
        <w:rPr>
          <w:rFonts w:ascii="Calibri" w:hAnsi="Calibri"/>
          <w:color w:val="000000" w:themeColor="text1"/>
          <w:lang w:val="en-GB"/>
        </w:rPr>
        <w:t xml:space="preserve"> </w:t>
      </w:r>
      <w:r w:rsidRPr="005234EE">
        <w:rPr>
          <w:rFonts w:ascii="Calibri" w:hAnsi="Calibri"/>
          <w:i/>
          <w:color w:val="000000" w:themeColor="text1"/>
          <w:lang w:val="en-GB"/>
        </w:rPr>
        <w:t>Dismantling the Welfare State? Reagan, Thatcher, and the Politics of Retrenchment</w:t>
      </w:r>
      <w:r w:rsidRPr="005234EE">
        <w:rPr>
          <w:rFonts w:ascii="Calibri" w:hAnsi="Calibri"/>
          <w:color w:val="000000" w:themeColor="text1"/>
          <w:lang w:val="en-GB"/>
        </w:rPr>
        <w:t>,</w:t>
      </w:r>
      <w:r w:rsidR="00814ECF" w:rsidRPr="005234EE">
        <w:rPr>
          <w:rFonts w:ascii="Calibri" w:hAnsi="Calibri"/>
          <w:color w:val="000000" w:themeColor="text1"/>
          <w:lang w:val="en-GB"/>
        </w:rPr>
        <w:t xml:space="preserve"> </w:t>
      </w:r>
      <w:r w:rsidRPr="005234EE">
        <w:rPr>
          <w:rFonts w:ascii="Calibri" w:hAnsi="Calibri"/>
          <w:color w:val="000000" w:themeColor="text1"/>
          <w:lang w:val="en-GB"/>
        </w:rPr>
        <w:t>Cambridge University Press</w:t>
      </w:r>
      <w:r w:rsidR="00814ECF" w:rsidRPr="005234EE">
        <w:rPr>
          <w:rFonts w:ascii="Calibri" w:hAnsi="Calibri"/>
          <w:color w:val="000000" w:themeColor="text1"/>
          <w:lang w:val="en-GB"/>
        </w:rPr>
        <w:t>, Cambridge</w:t>
      </w:r>
      <w:r w:rsidRPr="005234EE">
        <w:rPr>
          <w:rFonts w:ascii="Calibri" w:hAnsi="Calibri"/>
          <w:color w:val="000000" w:themeColor="text1"/>
          <w:lang w:val="en-GB"/>
        </w:rPr>
        <w:t>.</w:t>
      </w:r>
    </w:p>
    <w:p w14:paraId="2FA6BE4C" w14:textId="77777777" w:rsidR="008E6E81" w:rsidRPr="005234EE" w:rsidRDefault="008E6E81" w:rsidP="004D1AC1">
      <w:pPr>
        <w:ind w:left="-397" w:right="-397"/>
        <w:rPr>
          <w:rFonts w:ascii="Calibri" w:hAnsi="Calibri"/>
          <w:color w:val="000000" w:themeColor="text1"/>
          <w:lang w:val="en-GB"/>
        </w:rPr>
      </w:pPr>
    </w:p>
    <w:p w14:paraId="2ADF2E2C" w14:textId="17F4256A" w:rsidR="008E6E81" w:rsidRPr="005234EE" w:rsidRDefault="008E6E81" w:rsidP="004D1AC1">
      <w:pPr>
        <w:ind w:left="-397" w:right="-397"/>
        <w:rPr>
          <w:rFonts w:ascii="Calibri" w:hAnsi="Calibri"/>
          <w:color w:val="000000" w:themeColor="text1"/>
          <w:lang w:val="en-GB"/>
        </w:rPr>
      </w:pPr>
      <w:r w:rsidRPr="005234EE">
        <w:rPr>
          <w:rFonts w:ascii="Calibri" w:hAnsi="Calibri"/>
          <w:color w:val="000000" w:themeColor="text1"/>
          <w:lang w:val="en-GB"/>
        </w:rPr>
        <w:t>Pyper, D. and McGuinness, F</w:t>
      </w:r>
      <w:r w:rsidR="00D850B1" w:rsidRPr="005234EE">
        <w:rPr>
          <w:rFonts w:ascii="Calibri" w:hAnsi="Calibri"/>
          <w:color w:val="000000" w:themeColor="text1"/>
          <w:lang w:val="en-GB"/>
        </w:rPr>
        <w:t>. (2014)</w:t>
      </w:r>
      <w:r w:rsidRPr="005234EE">
        <w:rPr>
          <w:rFonts w:ascii="Calibri" w:hAnsi="Calibri"/>
          <w:color w:val="000000" w:themeColor="text1"/>
          <w:lang w:val="en-GB"/>
        </w:rPr>
        <w:t xml:space="preserve"> </w:t>
      </w:r>
      <w:r w:rsidRPr="005234EE">
        <w:rPr>
          <w:rFonts w:ascii="Calibri" w:hAnsi="Calibri"/>
          <w:i/>
          <w:color w:val="000000" w:themeColor="text1"/>
          <w:lang w:val="en-GB"/>
        </w:rPr>
        <w:t xml:space="preserve">Zero-Hours </w:t>
      </w:r>
      <w:r w:rsidR="00D850B1" w:rsidRPr="005234EE">
        <w:rPr>
          <w:rFonts w:ascii="Calibri" w:hAnsi="Calibri"/>
          <w:i/>
          <w:color w:val="000000" w:themeColor="text1"/>
          <w:lang w:val="en-GB"/>
        </w:rPr>
        <w:t>C</w:t>
      </w:r>
      <w:r w:rsidRPr="005234EE">
        <w:rPr>
          <w:rFonts w:ascii="Calibri" w:hAnsi="Calibri"/>
          <w:i/>
          <w:color w:val="000000" w:themeColor="text1"/>
          <w:lang w:val="en-GB"/>
        </w:rPr>
        <w:t>ontracts</w:t>
      </w:r>
      <w:r w:rsidRPr="005234EE">
        <w:rPr>
          <w:rFonts w:ascii="Calibri" w:hAnsi="Calibri"/>
          <w:color w:val="000000" w:themeColor="text1"/>
          <w:lang w:val="en-GB"/>
        </w:rPr>
        <w:t>, Commons Library Standard Note, Published 1 May.</w:t>
      </w:r>
    </w:p>
    <w:p w14:paraId="4EFB092D" w14:textId="77777777" w:rsidR="008E6E81" w:rsidRPr="005234EE" w:rsidRDefault="008E6E81" w:rsidP="004D1AC1">
      <w:pPr>
        <w:ind w:left="-397" w:right="-397"/>
        <w:rPr>
          <w:rFonts w:ascii="Calibri" w:hAnsi="Calibri"/>
          <w:color w:val="000000" w:themeColor="text1"/>
          <w:lang w:val="en-GB"/>
        </w:rPr>
      </w:pPr>
    </w:p>
    <w:p w14:paraId="0F9BF039" w14:textId="00446A9F" w:rsidR="008E6E81" w:rsidRDefault="008E6E81" w:rsidP="004D1AC1">
      <w:pPr>
        <w:ind w:left="-397" w:right="-397"/>
        <w:rPr>
          <w:rFonts w:ascii="Calibri" w:hAnsi="Calibri"/>
          <w:color w:val="000000" w:themeColor="text1"/>
          <w:lang w:val="en-GB"/>
        </w:rPr>
      </w:pPr>
      <w:r w:rsidRPr="005234EE">
        <w:rPr>
          <w:rFonts w:ascii="Calibri" w:hAnsi="Calibri"/>
          <w:color w:val="000000" w:themeColor="text1"/>
          <w:lang w:val="en-GB"/>
        </w:rPr>
        <w:t>Ringen, S</w:t>
      </w:r>
      <w:r w:rsidR="004C074A" w:rsidRPr="005234EE">
        <w:rPr>
          <w:rFonts w:ascii="Calibri" w:hAnsi="Calibri"/>
          <w:color w:val="000000" w:themeColor="text1"/>
          <w:lang w:val="en-GB"/>
        </w:rPr>
        <w:t>.</w:t>
      </w:r>
      <w:r w:rsidRPr="005234EE">
        <w:rPr>
          <w:rFonts w:ascii="Calibri" w:hAnsi="Calibri"/>
          <w:color w:val="000000" w:themeColor="text1"/>
          <w:lang w:val="en-GB"/>
        </w:rPr>
        <w:t xml:space="preserve"> and Ngok, K. </w:t>
      </w:r>
      <w:r w:rsidR="00D850B1" w:rsidRPr="005234EE">
        <w:rPr>
          <w:rFonts w:ascii="Calibri" w:hAnsi="Calibri"/>
          <w:color w:val="000000" w:themeColor="text1"/>
          <w:lang w:val="en-GB"/>
        </w:rPr>
        <w:t>(</w:t>
      </w:r>
      <w:r w:rsidRPr="005234EE">
        <w:rPr>
          <w:rFonts w:ascii="Calibri" w:hAnsi="Calibri"/>
          <w:color w:val="000000" w:themeColor="text1"/>
          <w:lang w:val="en-GB"/>
        </w:rPr>
        <w:t>2013</w:t>
      </w:r>
      <w:r w:rsidR="00D850B1" w:rsidRPr="005234EE">
        <w:rPr>
          <w:rFonts w:ascii="Calibri" w:hAnsi="Calibri"/>
          <w:color w:val="000000" w:themeColor="text1"/>
          <w:lang w:val="en-GB"/>
        </w:rPr>
        <w:t xml:space="preserve">) </w:t>
      </w:r>
      <w:r w:rsidRPr="005234EE">
        <w:rPr>
          <w:rFonts w:ascii="Calibri" w:hAnsi="Calibri"/>
          <w:i/>
          <w:color w:val="000000" w:themeColor="text1"/>
          <w:lang w:val="en-GB"/>
        </w:rPr>
        <w:t>What Kind of Welfare State is Emerging in China?</w:t>
      </w:r>
      <w:r w:rsidR="00D850B1" w:rsidRPr="005234EE">
        <w:rPr>
          <w:rFonts w:ascii="Calibri" w:hAnsi="Calibri"/>
          <w:color w:val="000000" w:themeColor="text1"/>
          <w:lang w:val="en-GB"/>
        </w:rPr>
        <w:t>,</w:t>
      </w:r>
      <w:r w:rsidRPr="005234EE">
        <w:rPr>
          <w:rFonts w:ascii="Calibri" w:hAnsi="Calibri"/>
          <w:color w:val="000000" w:themeColor="text1"/>
          <w:lang w:val="en-GB"/>
        </w:rPr>
        <w:t xml:space="preserve"> UNRISD (United Nations Research Institute) Working Paper 2013-2,</w:t>
      </w:r>
      <w:r w:rsidR="008C1B0F" w:rsidRPr="005234EE">
        <w:rPr>
          <w:rFonts w:ascii="Calibri" w:hAnsi="Calibri"/>
          <w:color w:val="000000" w:themeColor="text1"/>
          <w:lang w:val="en-GB"/>
        </w:rPr>
        <w:t xml:space="preserve"> </w:t>
      </w:r>
      <w:r w:rsidR="001A3712" w:rsidRPr="005234EE">
        <w:rPr>
          <w:rFonts w:ascii="Calibri" w:hAnsi="Calibri"/>
          <w:color w:val="000000" w:themeColor="text1"/>
          <w:highlight w:val="yellow"/>
          <w:lang w:val="en-GB"/>
        </w:rPr>
        <w:t>Geneva</w:t>
      </w:r>
      <w:r w:rsidR="001A3712" w:rsidRPr="005234EE" w:rsidDel="008C1B0F">
        <w:rPr>
          <w:rFonts w:ascii="Calibri" w:hAnsi="Calibri"/>
          <w:color w:val="000000" w:themeColor="text1"/>
          <w:lang w:val="en-GB"/>
        </w:rPr>
        <w:t xml:space="preserve"> </w:t>
      </w:r>
      <w:r w:rsidR="00D850B1" w:rsidRPr="005234EE">
        <w:rPr>
          <w:rFonts w:ascii="Calibri" w:hAnsi="Calibri"/>
          <w:color w:val="000000" w:themeColor="text1"/>
          <w:lang w:val="en-GB"/>
        </w:rPr>
        <w:t>.</w:t>
      </w:r>
    </w:p>
    <w:p w14:paraId="2727CC50" w14:textId="43C0C880" w:rsidR="003447BF" w:rsidRPr="003447BF" w:rsidRDefault="003447BF" w:rsidP="003447BF">
      <w:pPr>
        <w:ind w:right="-397"/>
        <w:jc w:val="both"/>
        <w:rPr>
          <w:rFonts w:asciiTheme="minorHAnsi" w:hAnsiTheme="minorHAnsi" w:cstheme="minorHAnsi"/>
          <w:color w:val="000000" w:themeColor="text1"/>
        </w:rPr>
      </w:pPr>
    </w:p>
    <w:p w14:paraId="3CD5E677" w14:textId="6D6D77B2" w:rsidR="003447BF" w:rsidRPr="003447BF" w:rsidRDefault="003447BF" w:rsidP="003447BF">
      <w:pPr>
        <w:ind w:left="-397" w:right="-397"/>
        <w:jc w:val="both"/>
        <w:rPr>
          <w:rFonts w:asciiTheme="minorHAnsi" w:hAnsiTheme="minorHAnsi" w:cstheme="minorHAnsi"/>
          <w:color w:val="000000" w:themeColor="text1"/>
        </w:rPr>
      </w:pPr>
      <w:r w:rsidRPr="003447BF">
        <w:rPr>
          <w:rFonts w:asciiTheme="minorHAnsi" w:hAnsiTheme="minorHAnsi" w:cstheme="minorHAnsi"/>
          <w:color w:val="000000" w:themeColor="text1"/>
        </w:rPr>
        <w:t xml:space="preserve">Ringen, S. </w:t>
      </w:r>
      <w:r>
        <w:rPr>
          <w:rFonts w:asciiTheme="minorHAnsi" w:hAnsiTheme="minorHAnsi" w:cstheme="minorHAnsi"/>
          <w:color w:val="000000" w:themeColor="text1"/>
        </w:rPr>
        <w:t>(</w:t>
      </w:r>
      <w:r w:rsidRPr="003447BF">
        <w:rPr>
          <w:rFonts w:asciiTheme="minorHAnsi" w:hAnsiTheme="minorHAnsi" w:cstheme="minorHAnsi"/>
          <w:color w:val="000000" w:themeColor="text1"/>
        </w:rPr>
        <w:t>2009</w:t>
      </w:r>
      <w:r>
        <w:rPr>
          <w:rFonts w:asciiTheme="minorHAnsi" w:hAnsiTheme="minorHAnsi" w:cstheme="minorHAnsi"/>
          <w:color w:val="000000" w:themeColor="text1"/>
        </w:rPr>
        <w:t>)</w:t>
      </w:r>
      <w:r w:rsidRPr="003447BF">
        <w:rPr>
          <w:rFonts w:asciiTheme="minorHAnsi" w:hAnsiTheme="minorHAnsi" w:cstheme="minorHAnsi"/>
          <w:color w:val="000000" w:themeColor="text1"/>
        </w:rPr>
        <w:t xml:space="preserve">, </w:t>
      </w:r>
      <w:r w:rsidRPr="003447BF">
        <w:rPr>
          <w:rFonts w:asciiTheme="minorHAnsi" w:hAnsiTheme="minorHAnsi" w:cstheme="minorHAnsi"/>
          <w:i/>
          <w:color w:val="000000" w:themeColor="text1"/>
        </w:rPr>
        <w:t>What Democracy is For – On Freedom and Moral Government</w:t>
      </w:r>
      <w:r w:rsidRPr="003447BF">
        <w:rPr>
          <w:rFonts w:asciiTheme="minorHAnsi" w:hAnsiTheme="minorHAnsi" w:cstheme="minorHAnsi"/>
          <w:color w:val="000000" w:themeColor="text1"/>
        </w:rPr>
        <w:t>, Princeton: Princeton University Press</w:t>
      </w:r>
    </w:p>
    <w:p w14:paraId="74F72F0E" w14:textId="77777777" w:rsidR="003447BF" w:rsidRPr="003447BF" w:rsidRDefault="003447BF" w:rsidP="003447BF">
      <w:pPr>
        <w:ind w:left="-397" w:right="-397"/>
        <w:jc w:val="both"/>
        <w:rPr>
          <w:rFonts w:asciiTheme="minorHAnsi" w:hAnsiTheme="minorHAnsi" w:cstheme="minorHAnsi"/>
          <w:color w:val="000000" w:themeColor="text1"/>
        </w:rPr>
      </w:pPr>
    </w:p>
    <w:p w14:paraId="0A2EB7CB" w14:textId="56E197A2" w:rsidR="008E6E81" w:rsidRPr="00405FEE" w:rsidRDefault="004C074A" w:rsidP="004D1AC1">
      <w:pPr>
        <w:ind w:left="-397" w:right="-397"/>
        <w:rPr>
          <w:rFonts w:asciiTheme="minorHAnsi" w:hAnsiTheme="minorHAnsi" w:cstheme="minorHAnsi"/>
          <w:color w:val="000000" w:themeColor="text1"/>
          <w:lang w:val="en-GB"/>
        </w:rPr>
      </w:pPr>
      <w:r w:rsidRPr="005234EE">
        <w:rPr>
          <w:rFonts w:ascii="Calibri" w:hAnsi="Calibri"/>
          <w:color w:val="000000" w:themeColor="text1"/>
          <w:lang w:val="en-GB"/>
        </w:rPr>
        <w:lastRenderedPageBreak/>
        <w:t>Rothstein</w:t>
      </w:r>
      <w:r w:rsidR="008E6E81" w:rsidRPr="005234EE">
        <w:rPr>
          <w:rFonts w:ascii="Calibri" w:hAnsi="Calibri"/>
          <w:color w:val="000000" w:themeColor="text1"/>
          <w:lang w:val="en-GB"/>
        </w:rPr>
        <w:t xml:space="preserve">, B. </w:t>
      </w:r>
      <w:r w:rsidRPr="005234EE">
        <w:rPr>
          <w:rFonts w:ascii="Calibri" w:hAnsi="Calibri"/>
          <w:color w:val="000000" w:themeColor="text1"/>
          <w:lang w:val="en-GB"/>
        </w:rPr>
        <w:t>(2017)</w:t>
      </w:r>
      <w:r w:rsidR="008E6E81" w:rsidRPr="005234EE">
        <w:rPr>
          <w:rFonts w:ascii="Calibri" w:hAnsi="Calibri"/>
          <w:color w:val="000000" w:themeColor="text1"/>
          <w:lang w:val="en-GB"/>
        </w:rPr>
        <w:t xml:space="preserve"> ‘</w:t>
      </w:r>
      <w:r w:rsidR="008E6E81" w:rsidRPr="00405FEE">
        <w:rPr>
          <w:rFonts w:asciiTheme="minorHAnsi" w:hAnsiTheme="minorHAnsi" w:cstheme="minorHAnsi"/>
          <w:color w:val="000000" w:themeColor="text1"/>
          <w:lang w:val="en-GB"/>
        </w:rPr>
        <w:t xml:space="preserve">Macron and the Nordic </w:t>
      </w:r>
      <w:r w:rsidRPr="00405FEE">
        <w:rPr>
          <w:rFonts w:asciiTheme="minorHAnsi" w:hAnsiTheme="minorHAnsi" w:cstheme="minorHAnsi"/>
          <w:color w:val="000000" w:themeColor="text1"/>
          <w:lang w:val="en-GB"/>
        </w:rPr>
        <w:t>m</w:t>
      </w:r>
      <w:r w:rsidR="008E6E81" w:rsidRPr="00405FEE">
        <w:rPr>
          <w:rFonts w:asciiTheme="minorHAnsi" w:hAnsiTheme="minorHAnsi" w:cstheme="minorHAnsi"/>
          <w:color w:val="000000" w:themeColor="text1"/>
          <w:lang w:val="en-GB"/>
        </w:rPr>
        <w:t xml:space="preserve">odel’, </w:t>
      </w:r>
      <w:r w:rsidR="008E6E81" w:rsidRPr="00405FEE">
        <w:rPr>
          <w:rFonts w:asciiTheme="minorHAnsi" w:hAnsiTheme="minorHAnsi" w:cstheme="minorHAnsi"/>
          <w:i/>
          <w:color w:val="000000" w:themeColor="text1"/>
          <w:lang w:val="en-GB"/>
        </w:rPr>
        <w:t>Social Europe</w:t>
      </w:r>
      <w:r w:rsidR="008E6E81" w:rsidRPr="00405FEE">
        <w:rPr>
          <w:rFonts w:asciiTheme="minorHAnsi" w:hAnsiTheme="minorHAnsi" w:cstheme="minorHAnsi"/>
          <w:color w:val="000000" w:themeColor="text1"/>
          <w:lang w:val="en-GB"/>
        </w:rPr>
        <w:t>, 22 May 2017</w:t>
      </w:r>
      <w:r w:rsidR="00390680" w:rsidRPr="00405FEE">
        <w:rPr>
          <w:rFonts w:asciiTheme="minorHAnsi" w:hAnsiTheme="minorHAnsi" w:cstheme="minorHAnsi"/>
          <w:color w:val="000000" w:themeColor="text1"/>
          <w:lang w:val="en-GB"/>
        </w:rPr>
        <w:t>.</w:t>
      </w:r>
    </w:p>
    <w:p w14:paraId="3D4DA11E" w14:textId="087E4CA9" w:rsidR="008E6E81" w:rsidRPr="00405FEE" w:rsidRDefault="008E6E81" w:rsidP="004D1AC1">
      <w:pPr>
        <w:ind w:left="-397" w:right="-397"/>
        <w:rPr>
          <w:rFonts w:asciiTheme="minorHAnsi" w:hAnsiTheme="minorHAnsi" w:cstheme="minorHAnsi"/>
          <w:color w:val="000000" w:themeColor="text1"/>
          <w:lang w:val="en-GB"/>
        </w:rPr>
      </w:pPr>
      <w:r w:rsidRPr="00405FEE">
        <w:rPr>
          <w:rFonts w:asciiTheme="minorHAnsi" w:hAnsiTheme="minorHAnsi" w:cstheme="minorHAnsi"/>
          <w:color w:val="000000" w:themeColor="text1"/>
          <w:lang w:val="en-GB"/>
        </w:rPr>
        <w:t>https://www.socialeurope.eu/2017/05/macron-nordic-model/</w:t>
      </w:r>
      <w:r w:rsidR="004C074A" w:rsidRPr="00405FEE">
        <w:rPr>
          <w:rFonts w:asciiTheme="minorHAnsi" w:hAnsiTheme="minorHAnsi" w:cstheme="minorHAnsi"/>
          <w:color w:val="000000" w:themeColor="text1"/>
          <w:lang w:val="en-GB"/>
        </w:rPr>
        <w:t xml:space="preserve"> (Accessed [</w:t>
      </w:r>
      <w:r w:rsidR="00B70056">
        <w:rPr>
          <w:rFonts w:asciiTheme="minorHAnsi" w:hAnsiTheme="minorHAnsi" w:cstheme="minorHAnsi"/>
          <w:color w:val="000000" w:themeColor="text1"/>
          <w:highlight w:val="yellow"/>
          <w:lang w:val="en-GB"/>
        </w:rPr>
        <w:t>13-06-2017</w:t>
      </w:r>
      <w:r w:rsidR="004C074A" w:rsidRPr="00405FEE">
        <w:rPr>
          <w:rFonts w:asciiTheme="minorHAnsi" w:hAnsiTheme="minorHAnsi" w:cstheme="minorHAnsi"/>
          <w:color w:val="000000" w:themeColor="text1"/>
          <w:lang w:val="en-GB"/>
        </w:rPr>
        <w:t>])</w:t>
      </w:r>
      <w:r w:rsidR="00390680" w:rsidRPr="00405FEE">
        <w:rPr>
          <w:rFonts w:asciiTheme="minorHAnsi" w:hAnsiTheme="minorHAnsi" w:cstheme="minorHAnsi"/>
          <w:color w:val="000000" w:themeColor="text1"/>
          <w:lang w:val="en-GB"/>
        </w:rPr>
        <w:t>.</w:t>
      </w:r>
    </w:p>
    <w:p w14:paraId="662AC27B" w14:textId="77777777" w:rsidR="008E6E81" w:rsidRPr="00405FEE" w:rsidRDefault="008E6E81" w:rsidP="004D1AC1">
      <w:pPr>
        <w:ind w:left="-397" w:right="-397"/>
        <w:rPr>
          <w:rFonts w:asciiTheme="minorHAnsi" w:hAnsiTheme="minorHAnsi" w:cstheme="minorHAnsi"/>
          <w:color w:val="000000" w:themeColor="text1"/>
          <w:lang w:val="en-GB"/>
        </w:rPr>
      </w:pPr>
    </w:p>
    <w:p w14:paraId="271ACF2D" w14:textId="489E18A0" w:rsidR="003447BF" w:rsidRPr="003447BF" w:rsidRDefault="003447BF" w:rsidP="003447BF">
      <w:pPr>
        <w:ind w:left="-397" w:right="-397"/>
        <w:jc w:val="both"/>
        <w:rPr>
          <w:rFonts w:asciiTheme="minorHAnsi" w:hAnsiTheme="minorHAnsi" w:cstheme="minorHAnsi"/>
          <w:color w:val="000000" w:themeColor="text1"/>
        </w:rPr>
      </w:pPr>
      <w:r w:rsidRPr="003447BF">
        <w:rPr>
          <w:rFonts w:asciiTheme="minorHAnsi" w:hAnsiTheme="minorHAnsi" w:cstheme="minorHAnsi"/>
        </w:rPr>
        <w:t xml:space="preserve">Rothstein. B., </w:t>
      </w:r>
      <w:r>
        <w:rPr>
          <w:rFonts w:asciiTheme="minorHAnsi" w:hAnsiTheme="minorHAnsi" w:cstheme="minorHAnsi"/>
        </w:rPr>
        <w:t>(</w:t>
      </w:r>
      <w:r w:rsidRPr="003447BF">
        <w:rPr>
          <w:rFonts w:asciiTheme="minorHAnsi" w:hAnsiTheme="minorHAnsi" w:cstheme="minorHAnsi"/>
        </w:rPr>
        <w:t>1998</w:t>
      </w:r>
      <w:r>
        <w:rPr>
          <w:rFonts w:asciiTheme="minorHAnsi" w:hAnsiTheme="minorHAnsi" w:cstheme="minorHAnsi"/>
        </w:rPr>
        <w:t>)</w:t>
      </w:r>
      <w:r w:rsidRPr="003447BF">
        <w:rPr>
          <w:rFonts w:asciiTheme="minorHAnsi" w:hAnsiTheme="minorHAnsi" w:cstheme="minorHAnsi"/>
        </w:rPr>
        <w:t xml:space="preserve">, </w:t>
      </w:r>
      <w:r w:rsidRPr="003447BF">
        <w:rPr>
          <w:rFonts w:asciiTheme="minorHAnsi" w:hAnsiTheme="minorHAnsi" w:cstheme="minorHAnsi"/>
          <w:i/>
        </w:rPr>
        <w:t xml:space="preserve">Just Institutions Matter: </w:t>
      </w:r>
      <w:r w:rsidRPr="003447BF">
        <w:rPr>
          <w:rFonts w:asciiTheme="minorHAnsi" w:hAnsiTheme="minorHAnsi" w:cstheme="minorHAnsi"/>
        </w:rPr>
        <w:t xml:space="preserve">The Moral and Political Logic of the Welfare State, Cambridge: Cambridge University Press. </w:t>
      </w:r>
    </w:p>
    <w:p w14:paraId="1EF0494B" w14:textId="261F010B" w:rsidR="003447BF" w:rsidRDefault="003447BF" w:rsidP="003447BF">
      <w:pPr>
        <w:ind w:right="-397"/>
        <w:rPr>
          <w:rFonts w:asciiTheme="minorHAnsi" w:hAnsiTheme="minorHAnsi" w:cstheme="minorHAnsi"/>
          <w:color w:val="000000" w:themeColor="text1"/>
          <w:lang w:val="en-GB"/>
        </w:rPr>
      </w:pPr>
    </w:p>
    <w:p w14:paraId="1173C692" w14:textId="57B391E1" w:rsidR="008E6E81" w:rsidRPr="00405FEE" w:rsidRDefault="001B046D" w:rsidP="004D1AC1">
      <w:pPr>
        <w:ind w:left="-397" w:right="-397"/>
        <w:rPr>
          <w:rFonts w:asciiTheme="minorHAnsi" w:hAnsiTheme="minorHAnsi" w:cstheme="minorHAnsi"/>
          <w:color w:val="000000" w:themeColor="text1"/>
          <w:lang w:val="en-GB"/>
        </w:rPr>
      </w:pPr>
      <w:r w:rsidRPr="00405FEE">
        <w:rPr>
          <w:rFonts w:asciiTheme="minorHAnsi" w:hAnsiTheme="minorHAnsi" w:cstheme="minorHAnsi"/>
          <w:color w:val="000000" w:themeColor="text1"/>
          <w:lang w:val="en-GB"/>
        </w:rPr>
        <w:t>Sandberg, L.G. (1979) ‘</w:t>
      </w:r>
      <w:r w:rsidR="00A06545" w:rsidRPr="00405FEE">
        <w:rPr>
          <w:rFonts w:asciiTheme="minorHAnsi" w:hAnsiTheme="minorHAnsi" w:cstheme="minorHAnsi"/>
          <w:color w:val="000000" w:themeColor="text1"/>
          <w:lang w:val="en-GB"/>
        </w:rPr>
        <w:t>T</w:t>
      </w:r>
      <w:r w:rsidRPr="00405FEE">
        <w:rPr>
          <w:rFonts w:asciiTheme="minorHAnsi" w:hAnsiTheme="minorHAnsi" w:cstheme="minorHAnsi"/>
          <w:color w:val="000000" w:themeColor="text1"/>
          <w:lang w:val="en-GB"/>
        </w:rPr>
        <w:t>he case of the impoverished sophisticate</w:t>
      </w:r>
      <w:r w:rsidR="008E6E81" w:rsidRPr="00405FEE">
        <w:rPr>
          <w:rFonts w:asciiTheme="minorHAnsi" w:hAnsiTheme="minorHAnsi" w:cstheme="minorHAnsi"/>
          <w:color w:val="000000" w:themeColor="text1"/>
          <w:lang w:val="en-GB"/>
        </w:rPr>
        <w:t xml:space="preserve">: Human </w:t>
      </w:r>
      <w:r w:rsidRPr="00405FEE">
        <w:rPr>
          <w:rFonts w:asciiTheme="minorHAnsi" w:hAnsiTheme="minorHAnsi" w:cstheme="minorHAnsi"/>
          <w:color w:val="000000" w:themeColor="text1"/>
          <w:lang w:val="en-GB"/>
        </w:rPr>
        <w:t>c</w:t>
      </w:r>
      <w:r w:rsidR="008E6E81" w:rsidRPr="00405FEE">
        <w:rPr>
          <w:rFonts w:asciiTheme="minorHAnsi" w:hAnsiTheme="minorHAnsi" w:cstheme="minorHAnsi"/>
          <w:color w:val="000000" w:themeColor="text1"/>
          <w:lang w:val="en-GB"/>
        </w:rPr>
        <w:t xml:space="preserve">apital and Swedish </w:t>
      </w:r>
      <w:r w:rsidRPr="00405FEE">
        <w:rPr>
          <w:rFonts w:asciiTheme="minorHAnsi" w:hAnsiTheme="minorHAnsi" w:cstheme="minorHAnsi"/>
          <w:color w:val="000000" w:themeColor="text1"/>
          <w:lang w:val="en-GB"/>
        </w:rPr>
        <w:t>economic growth before World War I’,</w:t>
      </w:r>
      <w:r w:rsidR="008E6E81" w:rsidRPr="00405FEE">
        <w:rPr>
          <w:rFonts w:asciiTheme="minorHAnsi" w:hAnsiTheme="minorHAnsi" w:cstheme="minorHAnsi"/>
          <w:color w:val="000000" w:themeColor="text1"/>
          <w:lang w:val="en-GB"/>
        </w:rPr>
        <w:t xml:space="preserve"> </w:t>
      </w:r>
      <w:r w:rsidR="008E6E81" w:rsidRPr="00405FEE">
        <w:rPr>
          <w:rFonts w:asciiTheme="minorHAnsi" w:hAnsiTheme="minorHAnsi" w:cstheme="minorHAnsi"/>
          <w:i/>
          <w:color w:val="000000" w:themeColor="text1"/>
          <w:lang w:val="en-GB"/>
        </w:rPr>
        <w:t>Journal of Economic History</w:t>
      </w:r>
      <w:r w:rsidRPr="00405FEE">
        <w:rPr>
          <w:rFonts w:asciiTheme="minorHAnsi" w:hAnsiTheme="minorHAnsi" w:cstheme="minorHAnsi"/>
          <w:color w:val="000000" w:themeColor="text1"/>
          <w:lang w:val="en-GB"/>
        </w:rPr>
        <w:t>, Vol. XXXIX</w:t>
      </w:r>
      <w:r w:rsidR="008E6E81" w:rsidRPr="00405FEE">
        <w:rPr>
          <w:rFonts w:asciiTheme="minorHAnsi" w:hAnsiTheme="minorHAnsi" w:cstheme="minorHAnsi"/>
          <w:color w:val="000000" w:themeColor="text1"/>
          <w:lang w:val="en-GB"/>
        </w:rPr>
        <w:t xml:space="preserve"> No</w:t>
      </w:r>
      <w:r w:rsidRPr="00405FEE">
        <w:rPr>
          <w:rFonts w:asciiTheme="minorHAnsi" w:hAnsiTheme="minorHAnsi" w:cstheme="minorHAnsi"/>
          <w:color w:val="000000" w:themeColor="text1"/>
          <w:lang w:val="en-GB"/>
        </w:rPr>
        <w:t>.</w:t>
      </w:r>
      <w:r w:rsidR="008E6E81" w:rsidRPr="00405FEE">
        <w:rPr>
          <w:rFonts w:asciiTheme="minorHAnsi" w:hAnsiTheme="minorHAnsi" w:cstheme="minorHAnsi"/>
          <w:color w:val="000000" w:themeColor="text1"/>
          <w:lang w:val="en-GB"/>
        </w:rPr>
        <w:t xml:space="preserve"> 1,</w:t>
      </w:r>
      <w:r w:rsidRPr="00405FEE">
        <w:rPr>
          <w:rFonts w:asciiTheme="minorHAnsi" w:hAnsiTheme="minorHAnsi" w:cstheme="minorHAnsi"/>
          <w:color w:val="000000" w:themeColor="text1"/>
          <w:lang w:val="en-GB"/>
        </w:rPr>
        <w:t xml:space="preserve"> </w:t>
      </w:r>
      <w:r w:rsidRPr="00405FEE">
        <w:rPr>
          <w:rFonts w:asciiTheme="minorHAnsi" w:hAnsiTheme="minorHAnsi" w:cstheme="minorHAnsi"/>
          <w:color w:val="000000" w:themeColor="text1"/>
          <w:highlight w:val="yellow"/>
          <w:lang w:val="en-GB"/>
        </w:rPr>
        <w:t>pp.</w:t>
      </w:r>
      <w:r w:rsidR="00A06545" w:rsidRPr="00405FEE">
        <w:rPr>
          <w:rFonts w:asciiTheme="minorHAnsi" w:hAnsiTheme="minorHAnsi" w:cstheme="minorHAnsi"/>
          <w:color w:val="000000" w:themeColor="text1"/>
          <w:highlight w:val="yellow"/>
          <w:lang w:val="en-GB"/>
        </w:rPr>
        <w:t>225-241</w:t>
      </w:r>
      <w:r w:rsidR="008E6E81" w:rsidRPr="00405FEE">
        <w:rPr>
          <w:rFonts w:asciiTheme="minorHAnsi" w:hAnsiTheme="minorHAnsi" w:cstheme="minorHAnsi"/>
          <w:color w:val="000000" w:themeColor="text1"/>
          <w:lang w:val="en-GB"/>
        </w:rPr>
        <w:t>.</w:t>
      </w:r>
    </w:p>
    <w:p w14:paraId="184BDB5B" w14:textId="23CCAD2F" w:rsidR="00405FEE" w:rsidRPr="00405FEE" w:rsidRDefault="00405FEE" w:rsidP="004D1AC1">
      <w:pPr>
        <w:ind w:left="-397" w:right="-397"/>
        <w:rPr>
          <w:rFonts w:asciiTheme="minorHAnsi" w:hAnsiTheme="minorHAnsi" w:cstheme="minorHAnsi"/>
          <w:color w:val="000000" w:themeColor="text1"/>
          <w:lang w:val="en-GB"/>
        </w:rPr>
      </w:pPr>
    </w:p>
    <w:p w14:paraId="68CC985F" w14:textId="77777777" w:rsidR="00405FEE" w:rsidRPr="00405FEE" w:rsidRDefault="00405FEE" w:rsidP="00405FEE">
      <w:pPr>
        <w:keepNext/>
        <w:keepLines/>
        <w:ind w:left="-397" w:right="-397"/>
        <w:outlineLvl w:val="0"/>
        <w:rPr>
          <w:rFonts w:asciiTheme="minorHAnsi" w:eastAsiaTheme="majorEastAsia" w:hAnsiTheme="minorHAnsi" w:cstheme="minorHAnsi"/>
          <w:color w:val="000000" w:themeColor="text1"/>
          <w:lang w:val="en-GB"/>
        </w:rPr>
      </w:pPr>
      <w:r w:rsidRPr="00405FEE">
        <w:rPr>
          <w:rFonts w:asciiTheme="minorHAnsi" w:eastAsiaTheme="majorEastAsia" w:hAnsiTheme="minorHAnsi" w:cstheme="minorHAnsi"/>
          <w:color w:val="000000" w:themeColor="text1"/>
        </w:rPr>
        <w:t>Sanders, A.R.D., Sandvik, P. T., Storli, E., 2016, Dealing with Globalisation: the Nordic Countries and Inward FDI, 1900–1939, Volume 58 (8), 1210-1235</w:t>
      </w:r>
    </w:p>
    <w:p w14:paraId="2195995F" w14:textId="73CFED00" w:rsidR="008E6E81" w:rsidRPr="00405FEE" w:rsidRDefault="008E6E81" w:rsidP="00405FEE">
      <w:pPr>
        <w:ind w:right="-397"/>
        <w:rPr>
          <w:rFonts w:asciiTheme="minorHAnsi" w:hAnsiTheme="minorHAnsi" w:cstheme="minorHAnsi"/>
          <w:color w:val="000000" w:themeColor="text1"/>
          <w:lang w:val="en-GB"/>
        </w:rPr>
      </w:pPr>
    </w:p>
    <w:p w14:paraId="7CC77605" w14:textId="266828D6" w:rsidR="008E6E81" w:rsidRPr="00405FEE" w:rsidRDefault="008E6E81" w:rsidP="00F83C9B">
      <w:pPr>
        <w:ind w:left="-397" w:right="-397"/>
        <w:outlineLvl w:val="0"/>
        <w:rPr>
          <w:rFonts w:asciiTheme="minorHAnsi" w:hAnsiTheme="minorHAnsi" w:cstheme="minorHAnsi"/>
          <w:color w:val="000000" w:themeColor="text1"/>
          <w:lang w:val="en-GB"/>
        </w:rPr>
      </w:pPr>
      <w:r w:rsidRPr="00405FEE">
        <w:rPr>
          <w:rFonts w:asciiTheme="minorHAnsi" w:hAnsiTheme="minorHAnsi" w:cstheme="minorHAnsi"/>
          <w:color w:val="000000" w:themeColor="text1"/>
          <w:lang w:val="en-GB"/>
        </w:rPr>
        <w:t>Steinmo, S</w:t>
      </w:r>
      <w:r w:rsidR="001A3712" w:rsidRPr="00405FEE">
        <w:rPr>
          <w:rFonts w:asciiTheme="minorHAnsi" w:hAnsiTheme="minorHAnsi" w:cstheme="minorHAnsi"/>
          <w:color w:val="000000" w:themeColor="text1"/>
          <w:lang w:val="en-GB"/>
        </w:rPr>
        <w:t>.</w:t>
      </w:r>
      <w:r w:rsidRPr="00405FEE">
        <w:rPr>
          <w:rFonts w:asciiTheme="minorHAnsi" w:hAnsiTheme="minorHAnsi" w:cstheme="minorHAnsi"/>
          <w:color w:val="000000" w:themeColor="text1"/>
          <w:lang w:val="en-GB"/>
        </w:rPr>
        <w:t xml:space="preserve"> </w:t>
      </w:r>
      <w:r w:rsidR="001A3712" w:rsidRPr="00405FEE">
        <w:rPr>
          <w:rFonts w:asciiTheme="minorHAnsi" w:hAnsiTheme="minorHAnsi" w:cstheme="minorHAnsi"/>
          <w:color w:val="000000" w:themeColor="text1"/>
          <w:lang w:val="en-GB"/>
        </w:rPr>
        <w:t>(2010)</w:t>
      </w:r>
      <w:r w:rsidRPr="00405FEE">
        <w:rPr>
          <w:rFonts w:asciiTheme="minorHAnsi" w:hAnsiTheme="minorHAnsi" w:cstheme="minorHAnsi"/>
          <w:color w:val="000000" w:themeColor="text1"/>
          <w:lang w:val="en-GB"/>
        </w:rPr>
        <w:t xml:space="preserve"> </w:t>
      </w:r>
      <w:r w:rsidRPr="00405FEE">
        <w:rPr>
          <w:rFonts w:asciiTheme="minorHAnsi" w:hAnsiTheme="minorHAnsi" w:cstheme="minorHAnsi"/>
          <w:i/>
          <w:color w:val="000000" w:themeColor="text1"/>
          <w:lang w:val="en-GB"/>
        </w:rPr>
        <w:t>The Evolution of Modern States</w:t>
      </w:r>
      <w:r w:rsidRPr="00405FEE">
        <w:rPr>
          <w:rFonts w:asciiTheme="minorHAnsi" w:hAnsiTheme="minorHAnsi" w:cstheme="minorHAnsi"/>
          <w:color w:val="000000" w:themeColor="text1"/>
          <w:lang w:val="en-GB"/>
        </w:rPr>
        <w:t>, Cambridge University Press</w:t>
      </w:r>
      <w:r w:rsidR="001A3712" w:rsidRPr="00405FEE">
        <w:rPr>
          <w:rFonts w:asciiTheme="minorHAnsi" w:hAnsiTheme="minorHAnsi" w:cstheme="minorHAnsi"/>
          <w:color w:val="000000" w:themeColor="text1"/>
          <w:lang w:val="en-GB"/>
        </w:rPr>
        <w:t>, Cambridge</w:t>
      </w:r>
      <w:r w:rsidRPr="00405FEE">
        <w:rPr>
          <w:rFonts w:asciiTheme="minorHAnsi" w:hAnsiTheme="minorHAnsi" w:cstheme="minorHAnsi"/>
          <w:color w:val="000000" w:themeColor="text1"/>
          <w:lang w:val="en-GB"/>
        </w:rPr>
        <w:t>.</w:t>
      </w:r>
    </w:p>
    <w:p w14:paraId="0B07A703" w14:textId="77777777" w:rsidR="008E6E81" w:rsidRPr="00405FEE" w:rsidRDefault="008E6E81" w:rsidP="004D1AC1">
      <w:pPr>
        <w:ind w:right="-397"/>
        <w:rPr>
          <w:rFonts w:asciiTheme="minorHAnsi" w:hAnsiTheme="minorHAnsi" w:cstheme="minorHAnsi"/>
          <w:color w:val="000000" w:themeColor="text1"/>
          <w:lang w:val="en-GB"/>
        </w:rPr>
      </w:pPr>
    </w:p>
    <w:p w14:paraId="3F9EE80B" w14:textId="2CD9EC6D" w:rsidR="008E6E81" w:rsidRPr="005234EE" w:rsidRDefault="001A3712" w:rsidP="004D1AC1">
      <w:pPr>
        <w:ind w:left="-397" w:right="-397"/>
        <w:rPr>
          <w:rFonts w:ascii="Calibri" w:hAnsi="Calibri"/>
          <w:color w:val="000000" w:themeColor="text1"/>
          <w:lang w:val="en-GB"/>
        </w:rPr>
      </w:pPr>
      <w:r w:rsidRPr="00405FEE">
        <w:rPr>
          <w:rFonts w:asciiTheme="minorHAnsi" w:hAnsiTheme="minorHAnsi" w:cstheme="minorHAnsi"/>
          <w:color w:val="000000" w:themeColor="text1"/>
          <w:lang w:val="en-GB"/>
        </w:rPr>
        <w:t>Steinmo, S., Thelen, K.</w:t>
      </w:r>
      <w:r w:rsidR="008E6E81" w:rsidRPr="00405FEE">
        <w:rPr>
          <w:rFonts w:asciiTheme="minorHAnsi" w:hAnsiTheme="minorHAnsi" w:cstheme="minorHAnsi"/>
          <w:color w:val="000000" w:themeColor="text1"/>
          <w:lang w:val="en-GB"/>
        </w:rPr>
        <w:t xml:space="preserve"> and Longstretch, F. </w:t>
      </w:r>
      <w:r w:rsidR="00062F66" w:rsidRPr="00405FEE">
        <w:rPr>
          <w:rFonts w:asciiTheme="minorHAnsi" w:hAnsiTheme="minorHAnsi" w:cstheme="minorHAnsi"/>
          <w:color w:val="000000" w:themeColor="text1"/>
          <w:lang w:val="en-GB"/>
        </w:rPr>
        <w:t>(</w:t>
      </w:r>
      <w:r w:rsidR="00062F66" w:rsidRPr="00405FEE">
        <w:rPr>
          <w:rFonts w:asciiTheme="minorHAnsi" w:hAnsiTheme="minorHAnsi" w:cstheme="minorHAnsi"/>
          <w:color w:val="000000" w:themeColor="text1"/>
          <w:highlight w:val="yellow"/>
          <w:lang w:val="en-GB"/>
        </w:rPr>
        <w:t>Eds.</w:t>
      </w:r>
      <w:r w:rsidR="00062F66" w:rsidRPr="00405FEE">
        <w:rPr>
          <w:rFonts w:asciiTheme="minorHAnsi" w:hAnsiTheme="minorHAnsi" w:cstheme="minorHAnsi"/>
          <w:color w:val="000000" w:themeColor="text1"/>
          <w:lang w:val="en-GB"/>
        </w:rPr>
        <w:t xml:space="preserve">), </w:t>
      </w:r>
      <w:r w:rsidRPr="00405FEE">
        <w:rPr>
          <w:rFonts w:asciiTheme="minorHAnsi" w:hAnsiTheme="minorHAnsi" w:cstheme="minorHAnsi"/>
          <w:color w:val="000000" w:themeColor="text1"/>
          <w:lang w:val="en-GB"/>
        </w:rPr>
        <w:t>(1992)</w:t>
      </w:r>
      <w:r w:rsidR="008E6E81" w:rsidRPr="00405FEE">
        <w:rPr>
          <w:rFonts w:asciiTheme="minorHAnsi" w:hAnsiTheme="minorHAnsi" w:cstheme="minorHAnsi"/>
          <w:color w:val="000000" w:themeColor="text1"/>
          <w:lang w:val="en-GB"/>
        </w:rPr>
        <w:t xml:space="preserve"> </w:t>
      </w:r>
      <w:r w:rsidR="008E6E81" w:rsidRPr="00405FEE">
        <w:rPr>
          <w:rFonts w:asciiTheme="minorHAnsi" w:hAnsiTheme="minorHAnsi" w:cstheme="minorHAnsi"/>
          <w:i/>
          <w:color w:val="000000" w:themeColor="text1"/>
          <w:lang w:val="en-GB"/>
        </w:rPr>
        <w:t>Structuring Politics</w:t>
      </w:r>
      <w:r w:rsidRPr="00405FEE">
        <w:rPr>
          <w:rFonts w:asciiTheme="minorHAnsi" w:hAnsiTheme="minorHAnsi" w:cstheme="minorHAnsi"/>
          <w:i/>
          <w:color w:val="000000" w:themeColor="text1"/>
          <w:lang w:val="en-GB"/>
        </w:rPr>
        <w:t>:</w:t>
      </w:r>
      <w:r w:rsidRPr="00405FEE">
        <w:rPr>
          <w:rFonts w:asciiTheme="minorHAnsi" w:hAnsiTheme="minorHAnsi" w:cstheme="minorHAnsi"/>
        </w:rPr>
        <w:t xml:space="preserve"> </w:t>
      </w:r>
      <w:r w:rsidRPr="00405FEE">
        <w:rPr>
          <w:rFonts w:asciiTheme="minorHAnsi" w:hAnsiTheme="minorHAnsi" w:cstheme="minorHAnsi"/>
          <w:i/>
          <w:color w:val="000000" w:themeColor="text1"/>
          <w:lang w:val="en-GB"/>
        </w:rPr>
        <w:t>Historical Institutionalism in Comparative Analysis</w:t>
      </w:r>
      <w:r w:rsidR="008E6E81" w:rsidRPr="005234EE">
        <w:rPr>
          <w:rFonts w:ascii="Calibri" w:hAnsi="Calibri"/>
          <w:color w:val="000000" w:themeColor="text1"/>
          <w:lang w:val="en-GB"/>
        </w:rPr>
        <w:t>, Cambridge University Press</w:t>
      </w:r>
      <w:r w:rsidRPr="005234EE">
        <w:rPr>
          <w:rFonts w:ascii="Calibri" w:hAnsi="Calibri"/>
          <w:color w:val="000000" w:themeColor="text1"/>
          <w:lang w:val="en-GB"/>
        </w:rPr>
        <w:t xml:space="preserve">, </w:t>
      </w:r>
      <w:r w:rsidR="00791D94" w:rsidRPr="005234EE">
        <w:rPr>
          <w:rFonts w:ascii="Calibri" w:hAnsi="Calibri"/>
          <w:color w:val="000000" w:themeColor="text1"/>
          <w:highlight w:val="yellow"/>
          <w:lang w:val="en-GB"/>
        </w:rPr>
        <w:t>New York</w:t>
      </w:r>
      <w:r w:rsidR="008E6E81" w:rsidRPr="005234EE">
        <w:rPr>
          <w:rFonts w:ascii="Calibri" w:hAnsi="Calibri"/>
          <w:color w:val="000000" w:themeColor="text1"/>
          <w:lang w:val="en-GB"/>
        </w:rPr>
        <w:t>.</w:t>
      </w:r>
    </w:p>
    <w:p w14:paraId="4E38D28D" w14:textId="77777777" w:rsidR="008E6E81" w:rsidRPr="005234EE" w:rsidRDefault="008E6E81" w:rsidP="004D1AC1">
      <w:pPr>
        <w:ind w:right="-397"/>
        <w:rPr>
          <w:rFonts w:ascii="Calibri" w:hAnsi="Calibri"/>
          <w:color w:val="000000" w:themeColor="text1"/>
          <w:lang w:val="en-GB"/>
        </w:rPr>
      </w:pPr>
    </w:p>
    <w:p w14:paraId="74F23BEB" w14:textId="2A1A1704" w:rsidR="001A191B" w:rsidRPr="005234EE" w:rsidRDefault="001A191B" w:rsidP="004D1AC1">
      <w:pPr>
        <w:ind w:left="-397" w:right="-397"/>
        <w:rPr>
          <w:rFonts w:ascii="Calibri" w:hAnsi="Calibri"/>
          <w:color w:val="000000" w:themeColor="text1"/>
          <w:lang w:val="en-GB"/>
        </w:rPr>
      </w:pPr>
      <w:r w:rsidRPr="005234EE">
        <w:rPr>
          <w:rFonts w:ascii="Calibri" w:hAnsi="Calibri"/>
          <w:color w:val="000000" w:themeColor="text1"/>
          <w:lang w:val="en-GB"/>
        </w:rPr>
        <w:t>Streeck, W. and Thelen,</w:t>
      </w:r>
      <w:r w:rsidR="00B807A2" w:rsidRPr="005234EE">
        <w:rPr>
          <w:rFonts w:ascii="Calibri" w:hAnsi="Calibri"/>
          <w:color w:val="000000" w:themeColor="text1"/>
          <w:lang w:val="en-GB"/>
        </w:rPr>
        <w:t xml:space="preserve"> K.</w:t>
      </w:r>
      <w:r w:rsidR="007413CC" w:rsidRPr="005234EE">
        <w:rPr>
          <w:rFonts w:ascii="Calibri" w:hAnsi="Calibri"/>
          <w:color w:val="000000" w:themeColor="text1"/>
          <w:lang w:val="en-GB"/>
        </w:rPr>
        <w:t xml:space="preserve"> (2005)</w:t>
      </w:r>
      <w:r w:rsidRPr="005234EE">
        <w:rPr>
          <w:rFonts w:ascii="Calibri" w:hAnsi="Calibri"/>
          <w:color w:val="000000" w:themeColor="text1"/>
          <w:lang w:val="en-GB"/>
        </w:rPr>
        <w:t xml:space="preserve"> </w:t>
      </w:r>
      <w:r w:rsidR="007413CC" w:rsidRPr="005234EE">
        <w:rPr>
          <w:rFonts w:ascii="Calibri" w:hAnsi="Calibri"/>
          <w:color w:val="000000" w:themeColor="text1"/>
          <w:lang w:val="en-GB"/>
        </w:rPr>
        <w:t>‘</w:t>
      </w:r>
      <w:r w:rsidRPr="005234EE">
        <w:rPr>
          <w:rFonts w:ascii="Calibri" w:hAnsi="Calibri"/>
          <w:color w:val="000000" w:themeColor="text1"/>
          <w:lang w:val="en-GB"/>
        </w:rPr>
        <w:t>Introduction</w:t>
      </w:r>
      <w:r w:rsidR="007413CC" w:rsidRPr="005234EE">
        <w:rPr>
          <w:rFonts w:ascii="Calibri" w:hAnsi="Calibri"/>
          <w:color w:val="000000" w:themeColor="text1"/>
          <w:lang w:val="en-GB"/>
        </w:rPr>
        <w:t>’</w:t>
      </w:r>
      <w:r w:rsidRPr="005234EE">
        <w:rPr>
          <w:rFonts w:ascii="Calibri" w:hAnsi="Calibri"/>
          <w:color w:val="000000" w:themeColor="text1"/>
          <w:lang w:val="en-GB"/>
        </w:rPr>
        <w:t>,</w:t>
      </w:r>
      <w:r w:rsidR="00B807A2" w:rsidRPr="005234EE">
        <w:rPr>
          <w:rFonts w:ascii="Calibri" w:hAnsi="Calibri"/>
          <w:color w:val="000000" w:themeColor="text1"/>
          <w:lang w:val="en-GB"/>
        </w:rPr>
        <w:t xml:space="preserve"> in </w:t>
      </w:r>
      <w:r w:rsidR="00B807A2" w:rsidRPr="005234EE">
        <w:rPr>
          <w:rFonts w:ascii="Calibri" w:hAnsi="Calibri"/>
          <w:i/>
          <w:color w:val="000000" w:themeColor="text1"/>
          <w:lang w:val="en-GB"/>
        </w:rPr>
        <w:t>Beyond Continuity</w:t>
      </w:r>
      <w:r w:rsidR="00907D92" w:rsidRPr="005234EE">
        <w:rPr>
          <w:rFonts w:ascii="Calibri" w:hAnsi="Calibri"/>
          <w:i/>
          <w:color w:val="000000" w:themeColor="text1"/>
          <w:lang w:val="en-GB"/>
        </w:rPr>
        <w:t>:</w:t>
      </w:r>
      <w:r w:rsidRPr="005234EE">
        <w:rPr>
          <w:rFonts w:ascii="Calibri" w:hAnsi="Calibri"/>
          <w:i/>
          <w:color w:val="000000" w:themeColor="text1"/>
          <w:lang w:val="en-GB"/>
        </w:rPr>
        <w:t xml:space="preserve"> Institutional Change in Advanced Political Eco</w:t>
      </w:r>
      <w:r w:rsidR="00B807A2" w:rsidRPr="005234EE">
        <w:rPr>
          <w:rFonts w:ascii="Calibri" w:hAnsi="Calibri"/>
          <w:i/>
          <w:color w:val="000000" w:themeColor="text1"/>
          <w:lang w:val="en-GB"/>
        </w:rPr>
        <w:t>nomies</w:t>
      </w:r>
      <w:r w:rsidR="00B807A2" w:rsidRPr="005234EE">
        <w:rPr>
          <w:rFonts w:ascii="Calibri" w:hAnsi="Calibri"/>
          <w:color w:val="000000" w:themeColor="text1"/>
          <w:lang w:val="en-GB"/>
        </w:rPr>
        <w:t>, Oxford University Press</w:t>
      </w:r>
      <w:r w:rsidR="00907D92" w:rsidRPr="005234EE">
        <w:rPr>
          <w:rFonts w:ascii="Calibri" w:hAnsi="Calibri"/>
          <w:color w:val="000000" w:themeColor="text1"/>
          <w:lang w:val="en-GB"/>
        </w:rPr>
        <w:t>, Oxford.</w:t>
      </w:r>
    </w:p>
    <w:p w14:paraId="0BF19844" w14:textId="77777777" w:rsidR="00B807A2" w:rsidRPr="005234EE" w:rsidRDefault="00B807A2" w:rsidP="004D1AC1">
      <w:pPr>
        <w:ind w:right="-397"/>
        <w:rPr>
          <w:rFonts w:ascii="Calibri" w:hAnsi="Calibri"/>
          <w:color w:val="000000" w:themeColor="text1"/>
          <w:lang w:val="en-GB"/>
        </w:rPr>
      </w:pPr>
    </w:p>
    <w:p w14:paraId="4E6B1FC6" w14:textId="1A008C2B" w:rsidR="008E6E81" w:rsidRPr="005234EE" w:rsidRDefault="008E6E81" w:rsidP="004D1AC1">
      <w:pPr>
        <w:ind w:left="-397" w:right="-397"/>
        <w:rPr>
          <w:rFonts w:ascii="Calibri" w:hAnsi="Calibri"/>
          <w:color w:val="000000" w:themeColor="text1"/>
          <w:lang w:val="en-GB"/>
        </w:rPr>
      </w:pPr>
      <w:r w:rsidRPr="005234EE">
        <w:rPr>
          <w:rFonts w:ascii="Calibri" w:hAnsi="Calibri"/>
          <w:color w:val="000000" w:themeColor="text1"/>
          <w:lang w:val="en-GB"/>
        </w:rPr>
        <w:t xml:space="preserve">Streeck, W. </w:t>
      </w:r>
      <w:r w:rsidR="00907D92" w:rsidRPr="005234EE">
        <w:rPr>
          <w:rFonts w:ascii="Calibri" w:hAnsi="Calibri"/>
          <w:color w:val="000000" w:themeColor="text1"/>
          <w:lang w:val="en-GB"/>
        </w:rPr>
        <w:t>(2009)</w:t>
      </w:r>
      <w:r w:rsidRPr="005234EE">
        <w:rPr>
          <w:rFonts w:ascii="Calibri" w:hAnsi="Calibri"/>
          <w:color w:val="000000" w:themeColor="text1"/>
          <w:lang w:val="en-GB"/>
        </w:rPr>
        <w:t xml:space="preserve"> </w:t>
      </w:r>
      <w:r w:rsidR="00907D92" w:rsidRPr="005234EE">
        <w:rPr>
          <w:rFonts w:ascii="Calibri" w:hAnsi="Calibri"/>
          <w:i/>
          <w:color w:val="000000" w:themeColor="text1"/>
          <w:lang w:val="en-GB"/>
        </w:rPr>
        <w:t>Re-Forming</w:t>
      </w:r>
      <w:r w:rsidR="00907D92" w:rsidRPr="005234EE" w:rsidDel="00907D92">
        <w:rPr>
          <w:rFonts w:ascii="Calibri" w:hAnsi="Calibri"/>
          <w:i/>
          <w:color w:val="000000" w:themeColor="text1"/>
          <w:lang w:val="en-GB"/>
        </w:rPr>
        <w:t xml:space="preserve"> </w:t>
      </w:r>
      <w:r w:rsidRPr="005234EE">
        <w:rPr>
          <w:rFonts w:ascii="Calibri" w:hAnsi="Calibri"/>
          <w:i/>
          <w:color w:val="000000" w:themeColor="text1"/>
          <w:lang w:val="en-GB"/>
        </w:rPr>
        <w:t>Capitalism</w:t>
      </w:r>
      <w:r w:rsidR="00907D92" w:rsidRPr="005234EE">
        <w:rPr>
          <w:rFonts w:ascii="Calibri" w:hAnsi="Calibri"/>
          <w:i/>
          <w:color w:val="000000" w:themeColor="text1"/>
          <w:lang w:val="en-GB"/>
        </w:rPr>
        <w:t>: Institutional Change in the German Political Economy</w:t>
      </w:r>
      <w:r w:rsidRPr="005234EE">
        <w:rPr>
          <w:rFonts w:ascii="Calibri" w:hAnsi="Calibri"/>
          <w:color w:val="000000" w:themeColor="text1"/>
          <w:lang w:val="en-GB"/>
        </w:rPr>
        <w:t>, Oxford University Press</w:t>
      </w:r>
      <w:r w:rsidR="00907D92" w:rsidRPr="005234EE">
        <w:rPr>
          <w:rFonts w:ascii="Calibri" w:hAnsi="Calibri"/>
          <w:color w:val="000000" w:themeColor="text1"/>
          <w:lang w:val="en-GB"/>
        </w:rPr>
        <w:t>, Oxford.</w:t>
      </w:r>
    </w:p>
    <w:p w14:paraId="7EAEDC2C" w14:textId="77777777" w:rsidR="008E6E81" w:rsidRPr="005234EE" w:rsidRDefault="008E6E81" w:rsidP="004D1AC1">
      <w:pPr>
        <w:ind w:left="-397" w:right="-397"/>
        <w:rPr>
          <w:rFonts w:ascii="Calibri" w:hAnsi="Calibri"/>
          <w:color w:val="000000" w:themeColor="text1"/>
          <w:lang w:val="en-GB"/>
        </w:rPr>
      </w:pPr>
    </w:p>
    <w:p w14:paraId="15417DBF" w14:textId="38091F35" w:rsidR="008E6E81" w:rsidRPr="005234EE" w:rsidRDefault="008E6E81" w:rsidP="00F83C9B">
      <w:pPr>
        <w:ind w:left="-397" w:right="-397"/>
        <w:outlineLvl w:val="0"/>
        <w:rPr>
          <w:rFonts w:ascii="Calibri" w:hAnsi="Calibri"/>
          <w:color w:val="000000" w:themeColor="text1"/>
          <w:lang w:val="en-GB"/>
        </w:rPr>
      </w:pPr>
      <w:r w:rsidRPr="005234EE">
        <w:rPr>
          <w:rFonts w:ascii="Calibri" w:hAnsi="Calibri"/>
          <w:color w:val="000000" w:themeColor="text1"/>
          <w:lang w:val="en-GB"/>
        </w:rPr>
        <w:t>Streeck, W. and Schäfer, A.</w:t>
      </w:r>
      <w:r w:rsidR="00791D94" w:rsidRPr="005234EE">
        <w:rPr>
          <w:rFonts w:ascii="Calibri" w:hAnsi="Calibri"/>
          <w:color w:val="000000" w:themeColor="text1"/>
          <w:lang w:val="en-GB"/>
        </w:rPr>
        <w:t xml:space="preserve"> (Eds.), (2013)</w:t>
      </w:r>
      <w:r w:rsidRPr="005234EE">
        <w:rPr>
          <w:rFonts w:ascii="Calibri" w:hAnsi="Calibri"/>
          <w:color w:val="000000" w:themeColor="text1"/>
          <w:lang w:val="en-GB"/>
        </w:rPr>
        <w:t xml:space="preserve"> </w:t>
      </w:r>
      <w:r w:rsidRPr="005234EE">
        <w:rPr>
          <w:rFonts w:ascii="Calibri" w:hAnsi="Calibri"/>
          <w:i/>
          <w:color w:val="000000" w:themeColor="text1"/>
          <w:lang w:val="en-GB"/>
        </w:rPr>
        <w:t>Politics in the Age of Austerity</w:t>
      </w:r>
      <w:r w:rsidRPr="005234EE">
        <w:rPr>
          <w:rFonts w:ascii="Calibri" w:hAnsi="Calibri"/>
          <w:color w:val="000000" w:themeColor="text1"/>
          <w:lang w:val="en-GB"/>
        </w:rPr>
        <w:t>, Polity</w:t>
      </w:r>
      <w:r w:rsidR="00791D94" w:rsidRPr="005234EE">
        <w:rPr>
          <w:rFonts w:ascii="Calibri" w:hAnsi="Calibri"/>
          <w:color w:val="000000" w:themeColor="text1"/>
          <w:lang w:val="en-GB"/>
        </w:rPr>
        <w:t xml:space="preserve">, </w:t>
      </w:r>
      <w:r w:rsidR="00791D94" w:rsidRPr="005234EE">
        <w:rPr>
          <w:rFonts w:ascii="Calibri" w:hAnsi="Calibri"/>
          <w:color w:val="000000" w:themeColor="text1"/>
          <w:highlight w:val="yellow"/>
          <w:lang w:val="en-GB"/>
        </w:rPr>
        <w:t>Cambridge</w:t>
      </w:r>
      <w:r w:rsidRPr="005234EE">
        <w:rPr>
          <w:rFonts w:ascii="Calibri" w:hAnsi="Calibri"/>
          <w:color w:val="000000" w:themeColor="text1"/>
          <w:lang w:val="en-GB"/>
        </w:rPr>
        <w:t>.</w:t>
      </w:r>
    </w:p>
    <w:p w14:paraId="0C81C24F" w14:textId="77777777" w:rsidR="008E6E81" w:rsidRPr="005234EE" w:rsidRDefault="008E6E81" w:rsidP="004D1AC1">
      <w:pPr>
        <w:ind w:left="-397" w:right="-397"/>
        <w:rPr>
          <w:rFonts w:ascii="Calibri" w:hAnsi="Calibri"/>
          <w:color w:val="000000" w:themeColor="text1"/>
          <w:lang w:val="en-GB"/>
        </w:rPr>
      </w:pPr>
    </w:p>
    <w:p w14:paraId="0798B9E1" w14:textId="5E9BDF7F" w:rsidR="00AE3B3B" w:rsidRDefault="008E6E81" w:rsidP="004D1AC1">
      <w:pPr>
        <w:ind w:left="-397" w:right="-397"/>
        <w:rPr>
          <w:rFonts w:ascii="Calibri" w:hAnsi="Calibri"/>
          <w:color w:val="000000" w:themeColor="text1"/>
          <w:lang w:val="en-GB"/>
        </w:rPr>
      </w:pPr>
      <w:r w:rsidRPr="005234EE">
        <w:rPr>
          <w:rFonts w:ascii="Calibri" w:hAnsi="Calibri"/>
          <w:color w:val="000000" w:themeColor="text1"/>
          <w:lang w:val="en-GB"/>
        </w:rPr>
        <w:t>Sutton Trust</w:t>
      </w:r>
      <w:r w:rsidR="00791D94" w:rsidRPr="005234EE">
        <w:rPr>
          <w:rFonts w:ascii="Calibri" w:hAnsi="Calibri"/>
          <w:color w:val="000000" w:themeColor="text1"/>
          <w:lang w:val="en-GB"/>
        </w:rPr>
        <w:t xml:space="preserve"> (2014a)</w:t>
      </w:r>
      <w:r w:rsidRPr="005234EE">
        <w:rPr>
          <w:rFonts w:ascii="Calibri" w:hAnsi="Calibri"/>
          <w:color w:val="000000" w:themeColor="text1"/>
          <w:lang w:val="en-GB"/>
        </w:rPr>
        <w:t xml:space="preserve"> </w:t>
      </w:r>
      <w:r w:rsidRPr="005234EE">
        <w:rPr>
          <w:rFonts w:ascii="Calibri" w:hAnsi="Calibri"/>
          <w:i/>
          <w:color w:val="000000" w:themeColor="text1"/>
          <w:lang w:val="en-GB"/>
        </w:rPr>
        <w:t xml:space="preserve">Ability Groups and Too Much Praise </w:t>
      </w:r>
      <w:r w:rsidR="001C0BFA" w:rsidRPr="005234EE">
        <w:rPr>
          <w:rFonts w:ascii="Calibri" w:hAnsi="Calibri"/>
          <w:i/>
          <w:color w:val="000000" w:themeColor="text1"/>
          <w:lang w:val="en-GB"/>
        </w:rPr>
        <w:t>C</w:t>
      </w:r>
      <w:r w:rsidRPr="005234EE">
        <w:rPr>
          <w:rFonts w:ascii="Calibri" w:hAnsi="Calibri"/>
          <w:i/>
          <w:color w:val="000000" w:themeColor="text1"/>
          <w:lang w:val="en-GB"/>
        </w:rPr>
        <w:t xml:space="preserve">an Harm students, </w:t>
      </w:r>
      <w:r w:rsidRPr="005234EE">
        <w:rPr>
          <w:rFonts w:ascii="Calibri" w:hAnsi="Calibri"/>
          <w:color w:val="000000" w:themeColor="text1"/>
          <w:lang w:val="en-GB"/>
        </w:rPr>
        <w:t>October</w:t>
      </w:r>
      <w:r w:rsidR="00894FE9" w:rsidRPr="005234EE">
        <w:rPr>
          <w:rFonts w:ascii="Calibri" w:hAnsi="Calibri"/>
          <w:color w:val="000000" w:themeColor="text1"/>
          <w:lang w:val="en-GB"/>
        </w:rPr>
        <w:t>,</w:t>
      </w:r>
      <w:r w:rsidR="00AE3B3B">
        <w:rPr>
          <w:rFonts w:ascii="Calibri" w:hAnsi="Calibri"/>
          <w:color w:val="000000" w:themeColor="text1"/>
          <w:lang w:val="en-GB"/>
        </w:rPr>
        <w:t xml:space="preserve"> London, </w:t>
      </w:r>
      <w:r w:rsidR="00894FE9" w:rsidRPr="005234EE">
        <w:rPr>
          <w:rFonts w:ascii="Calibri" w:hAnsi="Calibri"/>
          <w:color w:val="000000" w:themeColor="text1"/>
          <w:lang w:val="en-GB"/>
        </w:rPr>
        <w:t xml:space="preserve"> </w:t>
      </w:r>
      <w:r w:rsidR="00AE3B3B" w:rsidRPr="00AE3B3B">
        <w:rPr>
          <w:rFonts w:ascii="Calibri" w:hAnsi="Calibri"/>
          <w:color w:val="000000" w:themeColor="text1"/>
          <w:lang w:val="en-GB"/>
        </w:rPr>
        <w:t>https://www.suttontrust.com/newsarchive/ability-groups-and-too-much-praise-can-harm-pupils/</w:t>
      </w:r>
    </w:p>
    <w:p w14:paraId="690813D5" w14:textId="483023C3" w:rsidR="008E6E81" w:rsidRPr="005234EE" w:rsidRDefault="00AE3B3B" w:rsidP="004D1AC1">
      <w:pPr>
        <w:ind w:left="-397" w:right="-397"/>
        <w:rPr>
          <w:rFonts w:ascii="Calibri" w:hAnsi="Calibri"/>
          <w:color w:val="000000" w:themeColor="text1"/>
          <w:lang w:val="en-GB"/>
        </w:rPr>
      </w:pPr>
      <w:r>
        <w:rPr>
          <w:rFonts w:ascii="Calibri" w:hAnsi="Calibri"/>
          <w:color w:val="000000" w:themeColor="text1"/>
          <w:highlight w:val="yellow"/>
          <w:lang w:val="en-GB"/>
        </w:rPr>
        <w:t>[accessed 14-09-2015</w:t>
      </w:r>
      <w:r w:rsidR="00894FE9" w:rsidRPr="005234EE">
        <w:rPr>
          <w:rFonts w:ascii="Calibri" w:hAnsi="Calibri"/>
          <w:color w:val="000000" w:themeColor="text1"/>
          <w:highlight w:val="yellow"/>
          <w:lang w:val="en-GB"/>
        </w:rPr>
        <w:t>]</w:t>
      </w:r>
      <w:r w:rsidR="008E6E81" w:rsidRPr="005234EE">
        <w:rPr>
          <w:rFonts w:ascii="Calibri" w:hAnsi="Calibri"/>
          <w:color w:val="000000" w:themeColor="text1"/>
          <w:lang w:val="en-GB"/>
        </w:rPr>
        <w:t>.</w:t>
      </w:r>
    </w:p>
    <w:p w14:paraId="75EDC8FD" w14:textId="77777777" w:rsidR="008E6E81" w:rsidRPr="005234EE" w:rsidRDefault="008E6E81" w:rsidP="004D1AC1">
      <w:pPr>
        <w:ind w:left="-397" w:right="-397"/>
        <w:rPr>
          <w:rFonts w:ascii="Calibri" w:hAnsi="Calibri"/>
          <w:i/>
          <w:color w:val="000000" w:themeColor="text1"/>
          <w:lang w:val="en-GB"/>
        </w:rPr>
      </w:pPr>
    </w:p>
    <w:p w14:paraId="3E44805B" w14:textId="3A2527FE" w:rsidR="008E6E81" w:rsidRPr="005234EE" w:rsidRDefault="008E6E81" w:rsidP="00F83C9B">
      <w:pPr>
        <w:ind w:left="-397" w:right="-397"/>
        <w:outlineLvl w:val="0"/>
        <w:rPr>
          <w:rFonts w:ascii="Calibri" w:hAnsi="Calibri"/>
          <w:color w:val="000000" w:themeColor="text1"/>
          <w:lang w:val="en-GB"/>
        </w:rPr>
      </w:pPr>
      <w:r w:rsidRPr="005234EE">
        <w:rPr>
          <w:rFonts w:ascii="Calibri" w:hAnsi="Calibri"/>
          <w:color w:val="000000" w:themeColor="text1"/>
          <w:lang w:val="en-GB"/>
        </w:rPr>
        <w:t>Sutton Trust</w:t>
      </w:r>
      <w:r w:rsidR="00894FE9" w:rsidRPr="005234EE">
        <w:rPr>
          <w:rFonts w:ascii="Calibri" w:hAnsi="Calibri"/>
          <w:color w:val="000000" w:themeColor="text1"/>
          <w:lang w:val="en-GB"/>
        </w:rPr>
        <w:t xml:space="preserve"> (2014b)</w:t>
      </w:r>
      <w:r w:rsidRPr="005234EE">
        <w:rPr>
          <w:rFonts w:ascii="Calibri" w:hAnsi="Calibri"/>
          <w:color w:val="000000" w:themeColor="text1"/>
          <w:lang w:val="en-GB"/>
        </w:rPr>
        <w:t xml:space="preserve"> </w:t>
      </w:r>
      <w:r w:rsidRPr="005234EE">
        <w:rPr>
          <w:rFonts w:ascii="Calibri" w:hAnsi="Calibri"/>
          <w:i/>
          <w:color w:val="000000" w:themeColor="text1"/>
          <w:lang w:val="en-GB"/>
        </w:rPr>
        <w:t>Open Access – An Independent Evaluation</w:t>
      </w:r>
      <w:r w:rsidRPr="005234EE">
        <w:rPr>
          <w:rFonts w:ascii="Calibri" w:hAnsi="Calibri"/>
          <w:color w:val="000000" w:themeColor="text1"/>
          <w:lang w:val="en-GB"/>
        </w:rPr>
        <w:t>, June</w:t>
      </w:r>
      <w:r w:rsidR="00894FE9" w:rsidRPr="005234EE">
        <w:rPr>
          <w:rFonts w:ascii="Calibri" w:hAnsi="Calibri"/>
          <w:color w:val="000000" w:themeColor="text1"/>
          <w:lang w:val="en-GB"/>
        </w:rPr>
        <w:t xml:space="preserve">, </w:t>
      </w:r>
      <w:r w:rsidR="00AE3B3B">
        <w:rPr>
          <w:rFonts w:ascii="Calibri" w:hAnsi="Calibri"/>
          <w:color w:val="000000" w:themeColor="text1"/>
          <w:lang w:val="en-GB"/>
        </w:rPr>
        <w:t xml:space="preserve">London, </w:t>
      </w:r>
      <w:r w:rsidR="00AE3B3B" w:rsidRPr="00AE3B3B">
        <w:rPr>
          <w:rFonts w:ascii="Calibri" w:hAnsi="Calibri"/>
          <w:color w:val="000000" w:themeColor="text1"/>
          <w:lang w:val="en-GB"/>
        </w:rPr>
        <w:t>https://www.suttontrust.com/research-paper/open-access-independent-evaluation/</w:t>
      </w:r>
      <w:r w:rsidR="00AE3B3B">
        <w:rPr>
          <w:rFonts w:ascii="Calibri" w:hAnsi="Calibri"/>
          <w:color w:val="000000" w:themeColor="text1"/>
          <w:highlight w:val="yellow"/>
          <w:lang w:val="en-GB"/>
        </w:rPr>
        <w:t xml:space="preserve"> [accessed 01-09-2015</w:t>
      </w:r>
      <w:r w:rsidR="00894FE9" w:rsidRPr="005234EE">
        <w:rPr>
          <w:rFonts w:ascii="Calibri" w:hAnsi="Calibri"/>
          <w:color w:val="000000" w:themeColor="text1"/>
          <w:highlight w:val="yellow"/>
          <w:lang w:val="en-GB"/>
        </w:rPr>
        <w:t>]</w:t>
      </w:r>
      <w:r w:rsidRPr="005234EE">
        <w:rPr>
          <w:rFonts w:ascii="Calibri" w:hAnsi="Calibri"/>
          <w:color w:val="000000" w:themeColor="text1"/>
          <w:lang w:val="en-GB"/>
        </w:rPr>
        <w:t>.</w:t>
      </w:r>
    </w:p>
    <w:p w14:paraId="64FCF301" w14:textId="77777777" w:rsidR="008E6E81" w:rsidRPr="005234EE" w:rsidRDefault="008E6E81" w:rsidP="004D1AC1">
      <w:pPr>
        <w:ind w:left="-397" w:right="-397"/>
        <w:rPr>
          <w:rFonts w:ascii="Calibri" w:hAnsi="Calibri"/>
          <w:color w:val="000000" w:themeColor="text1"/>
          <w:lang w:val="en-GB"/>
        </w:rPr>
      </w:pPr>
    </w:p>
    <w:p w14:paraId="5703664C" w14:textId="0635391C" w:rsidR="008E6E81" w:rsidRDefault="008E6E81" w:rsidP="004D1AC1">
      <w:pPr>
        <w:ind w:left="-397" w:right="-397"/>
        <w:rPr>
          <w:rFonts w:ascii="Calibri" w:hAnsi="Calibri"/>
          <w:color w:val="000000" w:themeColor="text1"/>
          <w:lang w:val="en-GB"/>
        </w:rPr>
      </w:pPr>
      <w:r w:rsidRPr="005234EE">
        <w:rPr>
          <w:rFonts w:ascii="Calibri" w:hAnsi="Calibri"/>
          <w:color w:val="000000" w:themeColor="text1"/>
          <w:lang w:val="en-GB"/>
        </w:rPr>
        <w:t>Sutton Trust</w:t>
      </w:r>
      <w:r w:rsidR="00894FE9" w:rsidRPr="005234EE">
        <w:rPr>
          <w:rFonts w:ascii="Calibri" w:hAnsi="Calibri"/>
          <w:color w:val="000000" w:themeColor="text1"/>
          <w:lang w:val="en-GB"/>
        </w:rPr>
        <w:t xml:space="preserve"> (2009)</w:t>
      </w:r>
      <w:r w:rsidRPr="005234EE">
        <w:rPr>
          <w:rFonts w:ascii="Calibri" w:hAnsi="Calibri"/>
          <w:color w:val="000000" w:themeColor="text1"/>
          <w:lang w:val="en-GB"/>
        </w:rPr>
        <w:t xml:space="preserve"> </w:t>
      </w:r>
      <w:r w:rsidRPr="005234EE">
        <w:rPr>
          <w:rFonts w:ascii="Calibri" w:hAnsi="Calibri"/>
          <w:i/>
          <w:iCs/>
          <w:color w:val="000000" w:themeColor="text1"/>
          <w:lang w:val="en-GB"/>
        </w:rPr>
        <w:t>The Educational Backgrounds of Leading Lawyers, Journalists, Vice</w:t>
      </w:r>
      <w:r w:rsidRPr="005234EE">
        <w:rPr>
          <w:rFonts w:ascii="Calibri" w:hAnsi="Calibri"/>
          <w:color w:val="000000" w:themeColor="text1"/>
          <w:lang w:val="en-GB"/>
        </w:rPr>
        <w:t xml:space="preserve"> </w:t>
      </w:r>
      <w:r w:rsidRPr="005234EE">
        <w:rPr>
          <w:rFonts w:ascii="Calibri" w:hAnsi="Calibri"/>
          <w:i/>
          <w:iCs/>
          <w:color w:val="000000" w:themeColor="text1"/>
          <w:lang w:val="en-GB"/>
        </w:rPr>
        <w:t xml:space="preserve">Chancellors, Politicians, Medics and Chief Executives, </w:t>
      </w:r>
      <w:r w:rsidRPr="005234EE">
        <w:rPr>
          <w:rFonts w:ascii="Calibri" w:hAnsi="Calibri"/>
          <w:iCs/>
          <w:color w:val="000000" w:themeColor="text1"/>
          <w:lang w:val="en-GB"/>
        </w:rPr>
        <w:t>April</w:t>
      </w:r>
      <w:r w:rsidR="00894FE9" w:rsidRPr="005234EE">
        <w:rPr>
          <w:rFonts w:ascii="Calibri" w:hAnsi="Calibri"/>
          <w:iCs/>
          <w:color w:val="000000" w:themeColor="text1"/>
          <w:lang w:val="en-GB"/>
        </w:rPr>
        <w:t xml:space="preserve">, </w:t>
      </w:r>
      <w:r w:rsidR="00AE3B3B">
        <w:rPr>
          <w:rFonts w:ascii="Calibri" w:hAnsi="Calibri"/>
          <w:color w:val="000000" w:themeColor="text1"/>
          <w:highlight w:val="yellow"/>
          <w:lang w:val="en-GB"/>
        </w:rPr>
        <w:t xml:space="preserve">London, / </w:t>
      </w:r>
      <w:r w:rsidR="00AE3B3B" w:rsidRPr="00AE3B3B">
        <w:rPr>
          <w:rFonts w:ascii="Calibri" w:hAnsi="Calibri"/>
          <w:color w:val="000000" w:themeColor="text1"/>
          <w:lang w:val="en-GB"/>
        </w:rPr>
        <w:t>https://www.suttontrust.com/research-paper/educational-backgrounds-leading-lawyers-journalists-vice-chancellors-politicians-medics-chief-executives/</w:t>
      </w:r>
      <w:r w:rsidR="00894FE9" w:rsidRPr="005234EE">
        <w:rPr>
          <w:rFonts w:ascii="Calibri" w:hAnsi="Calibri"/>
          <w:color w:val="000000" w:themeColor="text1"/>
          <w:highlight w:val="yellow"/>
          <w:lang w:val="en-GB"/>
        </w:rPr>
        <w:t xml:space="preserve"> </w:t>
      </w:r>
      <w:r w:rsidR="00AE3B3B">
        <w:rPr>
          <w:rFonts w:ascii="Calibri" w:hAnsi="Calibri"/>
          <w:color w:val="000000" w:themeColor="text1"/>
          <w:highlight w:val="yellow"/>
          <w:lang w:val="en-GB"/>
        </w:rPr>
        <w:t>[accessed 14-09-2015</w:t>
      </w:r>
      <w:r w:rsidR="00894FE9" w:rsidRPr="005234EE">
        <w:rPr>
          <w:rFonts w:ascii="Calibri" w:hAnsi="Calibri"/>
          <w:color w:val="000000" w:themeColor="text1"/>
          <w:highlight w:val="yellow"/>
          <w:lang w:val="en-GB"/>
        </w:rPr>
        <w:t>]</w:t>
      </w:r>
      <w:r w:rsidR="00894FE9" w:rsidRPr="005234EE">
        <w:rPr>
          <w:rFonts w:ascii="Calibri" w:hAnsi="Calibri"/>
          <w:color w:val="000000" w:themeColor="text1"/>
          <w:lang w:val="en-GB"/>
        </w:rPr>
        <w:t>.</w:t>
      </w:r>
    </w:p>
    <w:p w14:paraId="1B097320" w14:textId="67F3B960" w:rsidR="003447BF" w:rsidRDefault="003447BF" w:rsidP="004D1AC1">
      <w:pPr>
        <w:ind w:left="-397" w:right="-397"/>
        <w:rPr>
          <w:rFonts w:ascii="Calibri" w:hAnsi="Calibri"/>
          <w:color w:val="000000" w:themeColor="text1"/>
          <w:lang w:val="en-GB"/>
        </w:rPr>
      </w:pPr>
    </w:p>
    <w:p w14:paraId="5B24376C" w14:textId="77777777" w:rsidR="003447BF" w:rsidRDefault="003447BF" w:rsidP="003447BF">
      <w:pPr>
        <w:ind w:left="-397" w:right="-397"/>
        <w:jc w:val="both"/>
        <w:rPr>
          <w:i/>
          <w:color w:val="000000" w:themeColor="text1"/>
        </w:rPr>
      </w:pPr>
      <w:r>
        <w:rPr>
          <w:color w:val="000000" w:themeColor="text1"/>
        </w:rPr>
        <w:t xml:space="preserve">Sutton Trust, 2007, </w:t>
      </w:r>
      <w:r w:rsidRPr="00712485">
        <w:rPr>
          <w:i/>
          <w:color w:val="000000" w:themeColor="text1"/>
        </w:rPr>
        <w:t>The Educational backgrounds of 500 leading Figures</w:t>
      </w:r>
    </w:p>
    <w:p w14:paraId="387851E5" w14:textId="37FFA430" w:rsidR="008E6E81" w:rsidRPr="005234EE" w:rsidRDefault="008E6E81" w:rsidP="004D1AC1">
      <w:pPr>
        <w:ind w:right="-397"/>
        <w:rPr>
          <w:rFonts w:ascii="Calibri" w:hAnsi="Calibri"/>
          <w:b/>
          <w:color w:val="000000" w:themeColor="text1"/>
          <w:lang w:val="en-GB"/>
        </w:rPr>
      </w:pPr>
    </w:p>
    <w:p w14:paraId="7AEA8153" w14:textId="5B1D7CFC" w:rsidR="008E6E81" w:rsidRPr="005234EE" w:rsidRDefault="008E6E81" w:rsidP="00F83C9B">
      <w:pPr>
        <w:ind w:left="-397" w:right="-397"/>
        <w:outlineLvl w:val="0"/>
        <w:rPr>
          <w:rFonts w:ascii="Calibri" w:hAnsi="Calibri"/>
          <w:color w:val="000000" w:themeColor="text1"/>
          <w:lang w:val="en-GB"/>
        </w:rPr>
      </w:pPr>
      <w:r w:rsidRPr="005234EE">
        <w:rPr>
          <w:rFonts w:ascii="Calibri" w:hAnsi="Calibri"/>
          <w:color w:val="000000" w:themeColor="text1"/>
          <w:lang w:val="en-GB"/>
        </w:rPr>
        <w:t xml:space="preserve">The Family and Childcare Trust </w:t>
      </w:r>
      <w:r w:rsidR="009D3AEB" w:rsidRPr="005234EE">
        <w:rPr>
          <w:rFonts w:ascii="Calibri" w:hAnsi="Calibri"/>
          <w:color w:val="000000" w:themeColor="text1"/>
          <w:lang w:val="en-GB"/>
        </w:rPr>
        <w:t xml:space="preserve">(2014) </w:t>
      </w:r>
      <w:r w:rsidRPr="005234EE">
        <w:rPr>
          <w:rFonts w:ascii="Calibri" w:hAnsi="Calibri"/>
          <w:i/>
          <w:color w:val="000000" w:themeColor="text1"/>
          <w:lang w:val="en-GB"/>
        </w:rPr>
        <w:t>Annual Report 2014</w:t>
      </w:r>
      <w:r w:rsidRPr="005234EE">
        <w:rPr>
          <w:rFonts w:ascii="Calibri" w:hAnsi="Calibri"/>
          <w:color w:val="000000" w:themeColor="text1"/>
          <w:lang w:val="en-GB"/>
        </w:rPr>
        <w:t xml:space="preserve">, </w:t>
      </w:r>
      <w:r w:rsidR="009D3AEB" w:rsidRPr="005234EE">
        <w:rPr>
          <w:rFonts w:ascii="Calibri" w:hAnsi="Calibri"/>
          <w:color w:val="000000" w:themeColor="text1"/>
          <w:highlight w:val="yellow"/>
          <w:lang w:val="en-GB"/>
        </w:rPr>
        <w:t>The Family and Childcare Trust, London</w:t>
      </w:r>
      <w:r w:rsidRPr="005234EE">
        <w:rPr>
          <w:rFonts w:ascii="Calibri" w:hAnsi="Calibri"/>
          <w:color w:val="000000" w:themeColor="text1"/>
          <w:lang w:val="en-GB"/>
        </w:rPr>
        <w:t>.</w:t>
      </w:r>
      <w:commentRangeStart w:id="25"/>
      <w:r w:rsidRPr="005234EE">
        <w:rPr>
          <w:rFonts w:ascii="Calibri" w:hAnsi="Calibri"/>
          <w:color w:val="000000" w:themeColor="text1"/>
          <w:lang w:val="en-GB"/>
        </w:rPr>
        <w:t xml:space="preserve"> </w:t>
      </w:r>
      <w:commentRangeEnd w:id="25"/>
      <w:r w:rsidR="009D3AEB" w:rsidRPr="005234EE">
        <w:rPr>
          <w:rStyle w:val="CommentReference"/>
          <w:rFonts w:ascii="Calibri" w:hAnsi="Calibri" w:cstheme="minorBidi"/>
          <w:sz w:val="24"/>
          <w:szCs w:val="24"/>
        </w:rPr>
        <w:commentReference w:id="25"/>
      </w:r>
    </w:p>
    <w:p w14:paraId="117043C4" w14:textId="77777777" w:rsidR="008E6E81" w:rsidRPr="005234EE" w:rsidRDefault="008E6E81" w:rsidP="004D1AC1">
      <w:pPr>
        <w:ind w:left="-397" w:right="-397"/>
        <w:rPr>
          <w:rFonts w:ascii="Calibri" w:hAnsi="Calibri"/>
          <w:color w:val="000000" w:themeColor="text1"/>
          <w:lang w:val="en-GB"/>
        </w:rPr>
      </w:pPr>
    </w:p>
    <w:p w14:paraId="3CBC8ED6" w14:textId="28C08D6C" w:rsidR="00C8612E" w:rsidRPr="005234EE" w:rsidRDefault="00C8612E" w:rsidP="00C8612E">
      <w:pPr>
        <w:pStyle w:val="BISReference"/>
        <w:ind w:left="-397" w:right="-397" w:firstLine="0"/>
        <w:rPr>
          <w:rFonts w:ascii="Calibri" w:hAnsi="Calibri"/>
          <w:color w:val="000000" w:themeColor="text1"/>
          <w:sz w:val="24"/>
          <w:szCs w:val="24"/>
        </w:rPr>
      </w:pPr>
      <w:r w:rsidRPr="005234EE">
        <w:rPr>
          <w:rFonts w:ascii="Calibri" w:hAnsi="Calibri"/>
          <w:color w:val="000000" w:themeColor="text1"/>
          <w:sz w:val="24"/>
          <w:szCs w:val="24"/>
        </w:rPr>
        <w:t xml:space="preserve">The Guardian (2015) ‘Tears, tantrums and no pay – my life on a zero-hours contract in the NHS’, </w:t>
      </w:r>
      <w:r w:rsidRPr="005234EE">
        <w:rPr>
          <w:rFonts w:ascii="Calibri" w:hAnsi="Calibri"/>
          <w:i/>
          <w:color w:val="000000" w:themeColor="text1"/>
          <w:sz w:val="24"/>
          <w:szCs w:val="24"/>
        </w:rPr>
        <w:t>The Guardian</w:t>
      </w:r>
      <w:r w:rsidRPr="005234EE">
        <w:rPr>
          <w:rFonts w:ascii="Calibri" w:hAnsi="Calibri"/>
          <w:color w:val="000000" w:themeColor="text1"/>
          <w:sz w:val="24"/>
          <w:szCs w:val="24"/>
        </w:rPr>
        <w:t>, 1 June.</w:t>
      </w:r>
    </w:p>
    <w:p w14:paraId="5A45A44A" w14:textId="77777777" w:rsidR="00C8612E" w:rsidRPr="005234EE" w:rsidRDefault="00C8612E" w:rsidP="004D1AC1">
      <w:pPr>
        <w:ind w:left="-397" w:right="-397"/>
        <w:rPr>
          <w:rFonts w:ascii="Calibri" w:hAnsi="Calibri"/>
          <w:color w:val="000000" w:themeColor="text1"/>
          <w:lang w:val="en-GB"/>
        </w:rPr>
      </w:pPr>
    </w:p>
    <w:p w14:paraId="0137A78B" w14:textId="66C87023" w:rsidR="00BA20BC" w:rsidRPr="005234EE" w:rsidRDefault="008E6E81" w:rsidP="006F107B">
      <w:pPr>
        <w:ind w:left="-397" w:right="-397"/>
        <w:outlineLvl w:val="0"/>
        <w:rPr>
          <w:rFonts w:ascii="Calibri" w:hAnsi="Calibri"/>
          <w:color w:val="000000" w:themeColor="text1"/>
          <w:lang w:val="en-GB"/>
        </w:rPr>
      </w:pPr>
      <w:r w:rsidRPr="005234EE">
        <w:rPr>
          <w:rFonts w:ascii="Calibri" w:hAnsi="Calibri"/>
          <w:color w:val="000000" w:themeColor="text1"/>
          <w:lang w:val="en-GB"/>
        </w:rPr>
        <w:t>The Guardian</w:t>
      </w:r>
      <w:r w:rsidR="0030648D" w:rsidRPr="005234EE">
        <w:rPr>
          <w:rFonts w:ascii="Calibri" w:hAnsi="Calibri"/>
          <w:color w:val="000000" w:themeColor="text1"/>
          <w:lang w:val="en-GB"/>
        </w:rPr>
        <w:t xml:space="preserve"> (2014)</w:t>
      </w:r>
      <w:r w:rsidRPr="005234EE">
        <w:rPr>
          <w:rFonts w:ascii="Calibri" w:hAnsi="Calibri"/>
          <w:color w:val="000000" w:themeColor="text1"/>
          <w:lang w:val="en-GB"/>
        </w:rPr>
        <w:t xml:space="preserve"> ‘Benefit risk to jobseekers refusing zero-hour contracts’</w:t>
      </w:r>
      <w:r w:rsidR="0030648D" w:rsidRPr="005234EE">
        <w:rPr>
          <w:rFonts w:ascii="Calibri" w:hAnsi="Calibri"/>
          <w:color w:val="000000" w:themeColor="text1"/>
          <w:lang w:val="en-GB"/>
        </w:rPr>
        <w:t xml:space="preserve">, </w:t>
      </w:r>
      <w:r w:rsidR="0030648D" w:rsidRPr="005234EE">
        <w:rPr>
          <w:rFonts w:ascii="Calibri" w:hAnsi="Calibri"/>
          <w:i/>
          <w:color w:val="000000" w:themeColor="text1"/>
          <w:lang w:val="en-GB"/>
        </w:rPr>
        <w:t>The Guardian</w:t>
      </w:r>
      <w:r w:rsidR="0030648D" w:rsidRPr="005234EE">
        <w:rPr>
          <w:rFonts w:ascii="Calibri" w:hAnsi="Calibri"/>
          <w:color w:val="000000" w:themeColor="text1"/>
          <w:lang w:val="en-GB"/>
        </w:rPr>
        <w:t>, 6 May.</w:t>
      </w:r>
    </w:p>
    <w:p w14:paraId="742BF1CC" w14:textId="3282CD93" w:rsidR="006F107B" w:rsidRPr="005234EE" w:rsidRDefault="006F107B" w:rsidP="006F107B">
      <w:pPr>
        <w:shd w:val="clear" w:color="auto" w:fill="FFFFFF"/>
        <w:spacing w:before="100" w:beforeAutospacing="1" w:after="100" w:afterAutospacing="1"/>
        <w:ind w:left="-397" w:right="-397"/>
        <w:outlineLvl w:val="1"/>
        <w:rPr>
          <w:rFonts w:ascii="Calibri" w:eastAsia="Times New Roman" w:hAnsi="Calibri"/>
          <w:color w:val="000000" w:themeColor="text1"/>
          <w:lang w:val="en-GB" w:eastAsia="en-GB"/>
        </w:rPr>
      </w:pPr>
      <w:r w:rsidRPr="005234EE">
        <w:rPr>
          <w:rFonts w:ascii="Calibri" w:hAnsi="Calibri"/>
          <w:color w:val="000000" w:themeColor="text1"/>
          <w:lang w:val="en-GB"/>
        </w:rPr>
        <w:lastRenderedPageBreak/>
        <w:t xml:space="preserve">The Money Charity (2016) </w:t>
      </w:r>
      <w:r w:rsidRPr="005234EE">
        <w:rPr>
          <w:rFonts w:ascii="Calibri" w:hAnsi="Calibri"/>
          <w:i/>
          <w:color w:val="000000" w:themeColor="text1"/>
          <w:highlight w:val="yellow"/>
          <w:lang w:val="en-GB"/>
        </w:rPr>
        <w:t>The Money Statistics</w:t>
      </w:r>
      <w:r w:rsidRPr="005234EE">
        <w:rPr>
          <w:rFonts w:ascii="Calibri" w:hAnsi="Calibri"/>
          <w:color w:val="000000" w:themeColor="text1"/>
          <w:lang w:val="en-GB"/>
        </w:rPr>
        <w:t xml:space="preserve"> [online]. </w:t>
      </w:r>
      <w:r w:rsidRPr="005234EE">
        <w:rPr>
          <w:rFonts w:ascii="Calibri" w:hAnsi="Calibri"/>
          <w:lang w:val="en-GB"/>
        </w:rPr>
        <w:t>http://themoneycharity.org.uk/money-statistics/</w:t>
      </w:r>
      <w:r w:rsidRPr="005234EE">
        <w:rPr>
          <w:rFonts w:ascii="Calibri" w:hAnsi="Calibri"/>
          <w:color w:val="000000" w:themeColor="text1"/>
          <w:lang w:val="en-GB"/>
        </w:rPr>
        <w:t xml:space="preserve"> (Accessed 5 July 2016).</w:t>
      </w:r>
    </w:p>
    <w:p w14:paraId="09A16578" w14:textId="3ACEB9D2" w:rsidR="00A24448" w:rsidRPr="005234EE" w:rsidRDefault="00A24448" w:rsidP="004D1AC1">
      <w:pPr>
        <w:ind w:left="-397" w:right="-397"/>
        <w:rPr>
          <w:rFonts w:ascii="Calibri" w:hAnsi="Calibri"/>
          <w:color w:val="000000" w:themeColor="text1"/>
          <w:lang w:val="en-GB"/>
        </w:rPr>
      </w:pPr>
      <w:r w:rsidRPr="005234EE">
        <w:rPr>
          <w:rFonts w:ascii="Calibri" w:hAnsi="Calibri"/>
          <w:color w:val="000000" w:themeColor="text1"/>
          <w:lang w:val="en-GB"/>
        </w:rPr>
        <w:t xml:space="preserve">The Supreme Court </w:t>
      </w:r>
      <w:r w:rsidR="00BA2151" w:rsidRPr="005234EE">
        <w:rPr>
          <w:rFonts w:ascii="Calibri" w:hAnsi="Calibri"/>
          <w:color w:val="000000" w:themeColor="text1"/>
          <w:lang w:val="en-GB"/>
        </w:rPr>
        <w:t>(</w:t>
      </w:r>
      <w:r w:rsidRPr="005234EE">
        <w:rPr>
          <w:rFonts w:ascii="Calibri" w:hAnsi="Calibri"/>
          <w:color w:val="000000" w:themeColor="text1"/>
          <w:lang w:val="en-GB"/>
        </w:rPr>
        <w:t>2017</w:t>
      </w:r>
      <w:r w:rsidR="00BA2151" w:rsidRPr="005234EE">
        <w:rPr>
          <w:rFonts w:ascii="Calibri" w:hAnsi="Calibri"/>
          <w:color w:val="000000" w:themeColor="text1"/>
          <w:lang w:val="en-GB"/>
        </w:rPr>
        <w:t>)</w:t>
      </w:r>
      <w:r w:rsidRPr="005234EE">
        <w:rPr>
          <w:rFonts w:ascii="Calibri" w:hAnsi="Calibri"/>
          <w:color w:val="000000" w:themeColor="text1"/>
          <w:lang w:val="en-GB"/>
        </w:rPr>
        <w:t xml:space="preserve"> </w:t>
      </w:r>
      <w:r w:rsidRPr="005234EE">
        <w:rPr>
          <w:rFonts w:ascii="Calibri" w:hAnsi="Calibri"/>
          <w:i/>
          <w:color w:val="000000" w:themeColor="text1"/>
          <w:lang w:val="en-GB"/>
        </w:rPr>
        <w:t>Judgment, UNISON v Lord Chancellor</w:t>
      </w:r>
      <w:r w:rsidR="00BA2151" w:rsidRPr="005234EE">
        <w:rPr>
          <w:rFonts w:ascii="Calibri" w:hAnsi="Calibri"/>
          <w:color w:val="000000" w:themeColor="text1"/>
          <w:lang w:val="en-GB"/>
        </w:rPr>
        <w:t>, Trinity Term, 26 July 2017.</w:t>
      </w:r>
      <w:r w:rsidR="00BA20BC" w:rsidRPr="005234EE">
        <w:rPr>
          <w:rFonts w:ascii="Calibri" w:hAnsi="Calibri"/>
          <w:color w:val="000000" w:themeColor="text1"/>
          <w:lang w:val="en-GB"/>
        </w:rPr>
        <w:t xml:space="preserve"> https://www.supremecourt.uk/cases/docs/uksc-2015-0233-judgment.pdf</w:t>
      </w:r>
      <w:r w:rsidR="00BA2151" w:rsidRPr="005234EE">
        <w:rPr>
          <w:rFonts w:ascii="Calibri" w:hAnsi="Calibri"/>
          <w:color w:val="000000" w:themeColor="text1"/>
          <w:lang w:val="en-GB"/>
        </w:rPr>
        <w:t xml:space="preserve"> (Accessed [</w:t>
      </w:r>
      <w:r w:rsidR="00AE3B3B">
        <w:rPr>
          <w:rFonts w:ascii="Calibri" w:hAnsi="Calibri"/>
          <w:color w:val="000000" w:themeColor="text1"/>
          <w:lang w:val="en-GB"/>
        </w:rPr>
        <w:t>04-03-2018</w:t>
      </w:r>
      <w:r w:rsidR="00BA2151" w:rsidRPr="005234EE">
        <w:rPr>
          <w:rFonts w:ascii="Calibri" w:hAnsi="Calibri"/>
          <w:color w:val="000000" w:themeColor="text1"/>
          <w:lang w:val="en-GB"/>
        </w:rPr>
        <w:t>]).</w:t>
      </w:r>
    </w:p>
    <w:p w14:paraId="4AD06630" w14:textId="36D8C288" w:rsidR="008E6E81" w:rsidRPr="005234EE" w:rsidRDefault="008E6E81" w:rsidP="004D1AC1">
      <w:pPr>
        <w:shd w:val="clear" w:color="auto" w:fill="FFFFFF"/>
        <w:spacing w:before="100" w:beforeAutospacing="1" w:after="100" w:afterAutospacing="1"/>
        <w:ind w:left="-397" w:right="-397"/>
        <w:outlineLvl w:val="1"/>
        <w:rPr>
          <w:rFonts w:ascii="Calibri" w:hAnsi="Calibri"/>
          <w:bCs/>
          <w:color w:val="000000" w:themeColor="text1"/>
          <w:shd w:val="clear" w:color="auto" w:fill="FFFFFF"/>
          <w:lang w:val="en-GB"/>
        </w:rPr>
      </w:pPr>
      <w:r w:rsidRPr="005234EE">
        <w:rPr>
          <w:rFonts w:ascii="Calibri" w:hAnsi="Calibri"/>
          <w:bCs/>
          <w:color w:val="000000" w:themeColor="text1"/>
          <w:shd w:val="clear" w:color="auto" w:fill="FFFFFF"/>
          <w:lang w:val="en-GB"/>
        </w:rPr>
        <w:t>The Week</w:t>
      </w:r>
      <w:r w:rsidR="00425B57" w:rsidRPr="005234EE">
        <w:rPr>
          <w:rFonts w:ascii="Calibri" w:hAnsi="Calibri"/>
          <w:bCs/>
          <w:color w:val="000000" w:themeColor="text1"/>
          <w:shd w:val="clear" w:color="auto" w:fill="FFFFFF"/>
          <w:lang w:val="en-GB"/>
        </w:rPr>
        <w:t xml:space="preserve"> (2017)</w:t>
      </w:r>
      <w:r w:rsidRPr="005234EE">
        <w:rPr>
          <w:rFonts w:ascii="Calibri" w:hAnsi="Calibri"/>
          <w:bCs/>
          <w:color w:val="000000" w:themeColor="text1"/>
          <w:shd w:val="clear" w:color="auto" w:fill="FFFFFF"/>
          <w:lang w:val="en-GB"/>
        </w:rPr>
        <w:t xml:space="preserve"> </w:t>
      </w:r>
      <w:r w:rsidR="00425B57" w:rsidRPr="005234EE">
        <w:rPr>
          <w:rFonts w:ascii="Calibri" w:hAnsi="Calibri"/>
          <w:bCs/>
          <w:color w:val="000000" w:themeColor="text1"/>
          <w:shd w:val="clear" w:color="auto" w:fill="FFFFFF"/>
          <w:lang w:val="en-GB"/>
        </w:rPr>
        <w:t>‘</w:t>
      </w:r>
      <w:r w:rsidRPr="005234EE">
        <w:rPr>
          <w:rFonts w:ascii="Calibri" w:hAnsi="Calibri"/>
          <w:bCs/>
          <w:color w:val="000000" w:themeColor="text1"/>
          <w:shd w:val="clear" w:color="auto" w:fill="FFFFFF"/>
          <w:lang w:val="en-GB"/>
        </w:rPr>
        <w:t>McDonald's offers all staff an end to zero-hours contracts</w:t>
      </w:r>
      <w:r w:rsidR="00425B57" w:rsidRPr="005234EE">
        <w:rPr>
          <w:rFonts w:ascii="Calibri" w:hAnsi="Calibri"/>
          <w:bCs/>
          <w:color w:val="000000" w:themeColor="text1"/>
          <w:shd w:val="clear" w:color="auto" w:fill="FFFFFF"/>
          <w:lang w:val="en-GB"/>
        </w:rPr>
        <w:t>’</w:t>
      </w:r>
      <w:r w:rsidRPr="005234EE">
        <w:rPr>
          <w:rFonts w:ascii="Calibri" w:hAnsi="Calibri"/>
          <w:bCs/>
          <w:color w:val="000000" w:themeColor="text1"/>
          <w:shd w:val="clear" w:color="auto" w:fill="FFFFFF"/>
          <w:lang w:val="en-GB"/>
        </w:rPr>
        <w:t xml:space="preserve">, </w:t>
      </w:r>
      <w:r w:rsidR="00425B57" w:rsidRPr="005234EE">
        <w:rPr>
          <w:rFonts w:ascii="Calibri" w:hAnsi="Calibri"/>
          <w:bCs/>
          <w:i/>
          <w:color w:val="000000" w:themeColor="text1"/>
          <w:shd w:val="clear" w:color="auto" w:fill="FFFFFF"/>
          <w:lang w:val="en-GB"/>
        </w:rPr>
        <w:t>The Week</w:t>
      </w:r>
      <w:r w:rsidR="00425B57" w:rsidRPr="005234EE">
        <w:rPr>
          <w:rFonts w:ascii="Calibri" w:hAnsi="Calibri"/>
          <w:bCs/>
          <w:color w:val="000000" w:themeColor="text1"/>
          <w:shd w:val="clear" w:color="auto" w:fill="FFFFFF"/>
          <w:lang w:val="en-GB"/>
        </w:rPr>
        <w:t xml:space="preserve">, 26 April. </w:t>
      </w:r>
      <w:r w:rsidRPr="005234EE">
        <w:rPr>
          <w:rFonts w:ascii="Calibri" w:eastAsia="Times New Roman" w:hAnsi="Calibri"/>
          <w:color w:val="000000" w:themeColor="text1"/>
          <w:lang w:val="en-GB" w:eastAsia="en-GB"/>
        </w:rPr>
        <w:t>http://www.theweek.co.uk/zero-hours-contracts/58853/mcdonalds-offers-all-staff-an-end-to-zero-hours-contracts</w:t>
      </w:r>
      <w:r w:rsidR="00425B57" w:rsidRPr="005234EE">
        <w:rPr>
          <w:rFonts w:ascii="Calibri" w:eastAsia="Times New Roman" w:hAnsi="Calibri"/>
          <w:color w:val="000000" w:themeColor="text1"/>
          <w:lang w:val="en-GB" w:eastAsia="en-GB"/>
        </w:rPr>
        <w:t xml:space="preserve"> (Accessed [</w:t>
      </w:r>
      <w:r w:rsidR="00AE3B3B">
        <w:rPr>
          <w:rFonts w:ascii="Calibri" w:eastAsia="Times New Roman" w:hAnsi="Calibri"/>
          <w:color w:val="000000" w:themeColor="text1"/>
          <w:lang w:val="en-GB" w:eastAsia="en-GB"/>
        </w:rPr>
        <w:t>10-03-2018]</w:t>
      </w:r>
      <w:r w:rsidR="00425B57" w:rsidRPr="005234EE">
        <w:rPr>
          <w:rFonts w:ascii="Calibri" w:eastAsia="Times New Roman" w:hAnsi="Calibri"/>
          <w:color w:val="000000" w:themeColor="text1"/>
          <w:lang w:val="en-GB" w:eastAsia="en-GB"/>
        </w:rPr>
        <w:t>).</w:t>
      </w:r>
    </w:p>
    <w:p w14:paraId="7D7BC998" w14:textId="714E1D19" w:rsidR="008E6E81" w:rsidRPr="005234EE" w:rsidRDefault="00B1366B" w:rsidP="004D1AC1">
      <w:pPr>
        <w:ind w:left="-397" w:right="-397"/>
        <w:rPr>
          <w:rFonts w:ascii="Calibri" w:hAnsi="Calibri"/>
          <w:color w:val="000000" w:themeColor="text1"/>
          <w:lang w:val="en-GB"/>
        </w:rPr>
      </w:pPr>
      <w:r w:rsidRPr="005234EE">
        <w:rPr>
          <w:rFonts w:ascii="Calibri" w:hAnsi="Calibri"/>
          <w:color w:val="000000" w:themeColor="text1"/>
          <w:shd w:val="clear" w:color="auto" w:fill="FFFFFF"/>
          <w:lang w:val="en-GB"/>
        </w:rPr>
        <w:t>Thelen, K. (2014)</w:t>
      </w:r>
      <w:r w:rsidR="008E6E81" w:rsidRPr="005234EE">
        <w:rPr>
          <w:rFonts w:ascii="Calibri" w:hAnsi="Calibri"/>
          <w:color w:val="000000" w:themeColor="text1"/>
          <w:shd w:val="clear" w:color="auto" w:fill="FFFFFF"/>
          <w:lang w:val="en-GB"/>
        </w:rPr>
        <w:t xml:space="preserve"> </w:t>
      </w:r>
      <w:r w:rsidR="008E6E81" w:rsidRPr="005234EE">
        <w:rPr>
          <w:rFonts w:ascii="Calibri" w:hAnsi="Calibri"/>
          <w:i/>
          <w:color w:val="000000" w:themeColor="text1"/>
          <w:shd w:val="clear" w:color="auto" w:fill="FFFFFF"/>
          <w:lang w:val="en-GB"/>
        </w:rPr>
        <w:t xml:space="preserve">Varieties of Liberalization: The New </w:t>
      </w:r>
      <w:r w:rsidRPr="005234EE">
        <w:rPr>
          <w:rFonts w:ascii="Calibri" w:hAnsi="Calibri"/>
          <w:i/>
          <w:color w:val="000000" w:themeColor="text1"/>
          <w:shd w:val="clear" w:color="auto" w:fill="FFFFFF"/>
          <w:lang w:val="en-GB"/>
        </w:rPr>
        <w:t>Politics of Social Solidarity</w:t>
      </w:r>
      <w:r w:rsidRPr="005234EE">
        <w:rPr>
          <w:rFonts w:ascii="Calibri" w:hAnsi="Calibri"/>
          <w:color w:val="000000" w:themeColor="text1"/>
          <w:shd w:val="clear" w:color="auto" w:fill="FFFFFF"/>
          <w:lang w:val="en-GB"/>
        </w:rPr>
        <w:t xml:space="preserve">, </w:t>
      </w:r>
      <w:r w:rsidR="008E6E81" w:rsidRPr="005234EE">
        <w:rPr>
          <w:rFonts w:ascii="Calibri" w:hAnsi="Calibri"/>
          <w:color w:val="000000" w:themeColor="text1"/>
          <w:shd w:val="clear" w:color="auto" w:fill="FFFFFF"/>
          <w:lang w:val="en-GB"/>
        </w:rPr>
        <w:t>Cambridge University Press</w:t>
      </w:r>
      <w:r w:rsidRPr="005234EE">
        <w:rPr>
          <w:rFonts w:ascii="Calibri" w:hAnsi="Calibri"/>
          <w:color w:val="000000" w:themeColor="text1"/>
          <w:shd w:val="clear" w:color="auto" w:fill="FFFFFF"/>
          <w:lang w:val="en-GB"/>
        </w:rPr>
        <w:t>, New York.</w:t>
      </w:r>
    </w:p>
    <w:p w14:paraId="2D35B933" w14:textId="77777777" w:rsidR="008E6E81" w:rsidRPr="005234EE" w:rsidRDefault="008E6E81" w:rsidP="004D1AC1">
      <w:pPr>
        <w:ind w:right="-397"/>
        <w:rPr>
          <w:rFonts w:ascii="Calibri" w:hAnsi="Calibri"/>
          <w:color w:val="000000" w:themeColor="text1"/>
          <w:lang w:val="en-GB"/>
        </w:rPr>
      </w:pPr>
    </w:p>
    <w:p w14:paraId="010E9ED7" w14:textId="413C0678" w:rsidR="008E6E81" w:rsidRPr="005234EE" w:rsidRDefault="008E6E81" w:rsidP="004D1AC1">
      <w:pPr>
        <w:ind w:left="-397" w:right="-397"/>
        <w:rPr>
          <w:rFonts w:ascii="Calibri" w:hAnsi="Calibri"/>
          <w:color w:val="000000" w:themeColor="text1"/>
          <w:lang w:val="en-GB"/>
        </w:rPr>
      </w:pPr>
      <w:r w:rsidRPr="005234EE">
        <w:rPr>
          <w:rFonts w:ascii="Calibri" w:hAnsi="Calibri"/>
          <w:color w:val="000000" w:themeColor="text1"/>
          <w:lang w:val="en-GB"/>
        </w:rPr>
        <w:t xml:space="preserve">Thelen, K. </w:t>
      </w:r>
      <w:r w:rsidR="0089582C" w:rsidRPr="005234EE">
        <w:rPr>
          <w:rFonts w:ascii="Calibri" w:hAnsi="Calibri"/>
          <w:color w:val="000000" w:themeColor="text1"/>
          <w:lang w:val="en-GB"/>
        </w:rPr>
        <w:t>(2009)</w:t>
      </w:r>
      <w:r w:rsidRPr="005234EE">
        <w:rPr>
          <w:rFonts w:ascii="Calibri" w:hAnsi="Calibri"/>
          <w:color w:val="000000" w:themeColor="text1"/>
          <w:lang w:val="en-GB"/>
        </w:rPr>
        <w:t xml:space="preserve"> ‘Institutional </w:t>
      </w:r>
      <w:r w:rsidR="0089582C" w:rsidRPr="005234EE">
        <w:rPr>
          <w:rFonts w:ascii="Calibri" w:hAnsi="Calibri"/>
          <w:color w:val="000000" w:themeColor="text1"/>
          <w:lang w:val="en-GB"/>
        </w:rPr>
        <w:t xml:space="preserve">change in advanced economies’, </w:t>
      </w:r>
      <w:r w:rsidRPr="005234EE">
        <w:rPr>
          <w:rFonts w:ascii="Calibri" w:hAnsi="Calibri"/>
          <w:i/>
          <w:color w:val="000000" w:themeColor="text1"/>
          <w:lang w:val="en-GB"/>
        </w:rPr>
        <w:t>British Journal of Industrial Relations</w:t>
      </w:r>
      <w:r w:rsidRPr="005234EE">
        <w:rPr>
          <w:rFonts w:ascii="Calibri" w:hAnsi="Calibri"/>
          <w:color w:val="000000" w:themeColor="text1"/>
          <w:lang w:val="en-GB"/>
        </w:rPr>
        <w:t xml:space="preserve">, </w:t>
      </w:r>
      <w:r w:rsidR="0089582C" w:rsidRPr="005234EE">
        <w:rPr>
          <w:rFonts w:ascii="Calibri" w:hAnsi="Calibri"/>
          <w:color w:val="000000" w:themeColor="text1"/>
          <w:lang w:val="en-GB"/>
        </w:rPr>
        <w:t xml:space="preserve">Vol. 47 No. </w:t>
      </w:r>
      <w:r w:rsidRPr="005234EE">
        <w:rPr>
          <w:rFonts w:ascii="Calibri" w:hAnsi="Calibri"/>
          <w:color w:val="000000" w:themeColor="text1"/>
          <w:lang w:val="en-GB"/>
        </w:rPr>
        <w:t xml:space="preserve">3, </w:t>
      </w:r>
      <w:r w:rsidR="0089582C" w:rsidRPr="005234EE">
        <w:rPr>
          <w:rFonts w:ascii="Calibri" w:hAnsi="Calibri"/>
          <w:color w:val="000000" w:themeColor="text1"/>
          <w:lang w:val="en-GB"/>
        </w:rPr>
        <w:t>pp.</w:t>
      </w:r>
      <w:r w:rsidRPr="005234EE">
        <w:rPr>
          <w:rFonts w:ascii="Calibri" w:hAnsi="Calibri"/>
          <w:color w:val="000000" w:themeColor="text1"/>
          <w:lang w:val="en-GB"/>
        </w:rPr>
        <w:t>471-498.</w:t>
      </w:r>
    </w:p>
    <w:p w14:paraId="28F05242" w14:textId="77777777" w:rsidR="008E6E81" w:rsidRPr="005234EE" w:rsidRDefault="008E6E81" w:rsidP="004D1AC1">
      <w:pPr>
        <w:ind w:left="-397" w:right="-397"/>
        <w:rPr>
          <w:rFonts w:ascii="Calibri" w:hAnsi="Calibri"/>
          <w:color w:val="000000" w:themeColor="text1"/>
          <w:lang w:val="en-GB"/>
        </w:rPr>
      </w:pPr>
    </w:p>
    <w:p w14:paraId="3BD2497C" w14:textId="2B497121" w:rsidR="008E6E81" w:rsidRPr="005234EE" w:rsidRDefault="008E6E81" w:rsidP="00D233E3">
      <w:pPr>
        <w:ind w:left="-397" w:right="-397"/>
        <w:rPr>
          <w:rFonts w:ascii="Calibri" w:hAnsi="Calibri"/>
          <w:color w:val="000000" w:themeColor="text1"/>
          <w:lang w:val="en-GB"/>
        </w:rPr>
      </w:pPr>
      <w:r w:rsidRPr="005234EE">
        <w:rPr>
          <w:rFonts w:ascii="Calibri" w:hAnsi="Calibri"/>
          <w:color w:val="000000" w:themeColor="text1"/>
          <w:lang w:val="en-GB"/>
        </w:rPr>
        <w:t xml:space="preserve">Thelen, K. </w:t>
      </w:r>
      <w:r w:rsidR="00C92022" w:rsidRPr="005234EE">
        <w:rPr>
          <w:rFonts w:ascii="Calibri" w:hAnsi="Calibri"/>
          <w:color w:val="000000" w:themeColor="text1"/>
          <w:lang w:val="en-GB"/>
        </w:rPr>
        <w:t>(2004)</w:t>
      </w:r>
      <w:r w:rsidRPr="005234EE">
        <w:rPr>
          <w:rFonts w:ascii="Calibri" w:hAnsi="Calibri"/>
          <w:color w:val="000000" w:themeColor="text1"/>
          <w:lang w:val="en-GB"/>
        </w:rPr>
        <w:t xml:space="preserve"> </w:t>
      </w:r>
      <w:r w:rsidRPr="005234EE">
        <w:rPr>
          <w:rFonts w:ascii="Calibri" w:hAnsi="Calibri"/>
          <w:i/>
          <w:color w:val="000000" w:themeColor="text1"/>
          <w:lang w:val="en-GB"/>
        </w:rPr>
        <w:t>How Institutions Evolve: The Political Economy of Skills in Comparative-Historical Perspective</w:t>
      </w:r>
      <w:r w:rsidRPr="005234EE">
        <w:rPr>
          <w:rFonts w:ascii="Calibri" w:hAnsi="Calibri"/>
          <w:color w:val="000000" w:themeColor="text1"/>
          <w:lang w:val="en-GB"/>
        </w:rPr>
        <w:t>, Cambridge University Press</w:t>
      </w:r>
      <w:r w:rsidR="00F10B0A" w:rsidRPr="005234EE">
        <w:rPr>
          <w:rFonts w:ascii="Calibri" w:hAnsi="Calibri"/>
          <w:color w:val="000000" w:themeColor="text1"/>
          <w:lang w:val="en-GB"/>
        </w:rPr>
        <w:t>, New York</w:t>
      </w:r>
      <w:r w:rsidRPr="005234EE">
        <w:rPr>
          <w:rFonts w:ascii="Calibri" w:hAnsi="Calibri"/>
          <w:color w:val="000000" w:themeColor="text1"/>
          <w:lang w:val="en-GB"/>
        </w:rPr>
        <w:t>.</w:t>
      </w:r>
    </w:p>
    <w:p w14:paraId="3B85C32C" w14:textId="77777777" w:rsidR="00D233E3" w:rsidRPr="005234EE" w:rsidRDefault="00D233E3" w:rsidP="00D233E3">
      <w:pPr>
        <w:ind w:left="-397" w:right="-397"/>
        <w:rPr>
          <w:rFonts w:ascii="Calibri" w:hAnsi="Calibri"/>
          <w:color w:val="000000" w:themeColor="text1"/>
          <w:lang w:val="en-GB"/>
        </w:rPr>
      </w:pPr>
    </w:p>
    <w:p w14:paraId="159D5411" w14:textId="07B1DFAD" w:rsidR="00D233E3" w:rsidRPr="005234EE" w:rsidRDefault="00D233E3" w:rsidP="00D233E3">
      <w:pPr>
        <w:ind w:left="-397" w:right="-397"/>
        <w:rPr>
          <w:rFonts w:ascii="Calibri" w:hAnsi="Calibri"/>
          <w:color w:val="000000" w:themeColor="text1"/>
          <w:lang w:val="en-GB"/>
        </w:rPr>
      </w:pPr>
      <w:r w:rsidRPr="005234EE">
        <w:rPr>
          <w:rFonts w:ascii="Calibri" w:hAnsi="Calibri"/>
          <w:color w:val="000000" w:themeColor="text1"/>
          <w:lang w:val="en-GB"/>
        </w:rPr>
        <w:t xml:space="preserve">Thelen, K. and Steinmo, S. (1992) ‘Historical institutionalism and comparative politics’ in Steinmo, S. et al. (Eds.) </w:t>
      </w:r>
      <w:r w:rsidRPr="005234EE">
        <w:rPr>
          <w:rFonts w:ascii="Calibri" w:hAnsi="Calibri"/>
          <w:i/>
          <w:color w:val="000000" w:themeColor="text1"/>
          <w:lang w:val="en-GB"/>
        </w:rPr>
        <w:t>Structuring Politics:</w:t>
      </w:r>
      <w:r w:rsidRPr="005234EE">
        <w:rPr>
          <w:rFonts w:ascii="Calibri" w:hAnsi="Calibri"/>
        </w:rPr>
        <w:t xml:space="preserve"> </w:t>
      </w:r>
      <w:r w:rsidRPr="005234EE">
        <w:rPr>
          <w:rFonts w:ascii="Calibri" w:hAnsi="Calibri"/>
          <w:i/>
          <w:color w:val="000000" w:themeColor="text1"/>
          <w:lang w:val="en-GB"/>
        </w:rPr>
        <w:t>Historical Institutionalism in Comparative Analysis</w:t>
      </w:r>
      <w:r w:rsidRPr="005234EE">
        <w:rPr>
          <w:rFonts w:ascii="Calibri" w:hAnsi="Calibri"/>
          <w:color w:val="000000" w:themeColor="text1"/>
          <w:lang w:val="en-GB"/>
        </w:rPr>
        <w:t>, Cambridge University Press, New York.</w:t>
      </w:r>
    </w:p>
    <w:p w14:paraId="4DDEA07A" w14:textId="77777777" w:rsidR="00D233E3" w:rsidRPr="005234EE" w:rsidRDefault="00D233E3" w:rsidP="00D233E3">
      <w:pPr>
        <w:ind w:left="-397" w:right="-397"/>
        <w:rPr>
          <w:rFonts w:ascii="Calibri" w:hAnsi="Calibri"/>
          <w:color w:val="000000" w:themeColor="text1"/>
          <w:lang w:val="en-GB"/>
        </w:rPr>
      </w:pPr>
    </w:p>
    <w:p w14:paraId="0D59ECE2" w14:textId="691A2D55" w:rsidR="008E6E81" w:rsidRPr="007B61C3" w:rsidRDefault="00DE7244" w:rsidP="004D1AC1">
      <w:pPr>
        <w:ind w:left="-397" w:right="-397"/>
        <w:rPr>
          <w:rFonts w:ascii="Calibri" w:hAnsi="Calibri"/>
          <w:color w:val="000000" w:themeColor="text1"/>
          <w:lang w:val="da-DK"/>
        </w:rPr>
      </w:pPr>
      <w:r w:rsidRPr="007B61C3">
        <w:rPr>
          <w:rFonts w:ascii="Calibri" w:hAnsi="Calibri"/>
          <w:color w:val="000000" w:themeColor="text1"/>
          <w:lang w:val="da-DK"/>
        </w:rPr>
        <w:t>Torfing, J. (2004)</w:t>
      </w:r>
      <w:r w:rsidR="008E6E81" w:rsidRPr="007B61C3">
        <w:rPr>
          <w:rFonts w:ascii="Calibri" w:hAnsi="Calibri"/>
          <w:color w:val="000000" w:themeColor="text1"/>
          <w:lang w:val="da-DK"/>
        </w:rPr>
        <w:t xml:space="preserve"> </w:t>
      </w:r>
      <w:r w:rsidR="008E6E81" w:rsidRPr="007B61C3">
        <w:rPr>
          <w:rFonts w:ascii="Calibri" w:hAnsi="Calibri"/>
          <w:i/>
          <w:iCs/>
          <w:color w:val="000000" w:themeColor="text1"/>
          <w:lang w:val="da-DK"/>
        </w:rPr>
        <w:t>Det sti</w:t>
      </w:r>
      <w:r w:rsidR="00A917A3" w:rsidRPr="007B61C3">
        <w:rPr>
          <w:rFonts w:ascii="Calibri" w:hAnsi="Calibri"/>
          <w:i/>
          <w:iCs/>
          <w:color w:val="000000" w:themeColor="text1"/>
          <w:lang w:val="da-DK"/>
        </w:rPr>
        <w:t>lle sporskifte i velfærdsstaten:</w:t>
      </w:r>
      <w:r w:rsidR="008E6E81" w:rsidRPr="007B61C3">
        <w:rPr>
          <w:rFonts w:ascii="Calibri" w:hAnsi="Calibri"/>
          <w:i/>
          <w:iCs/>
          <w:color w:val="000000" w:themeColor="text1"/>
          <w:lang w:val="da-DK"/>
        </w:rPr>
        <w:t xml:space="preserve"> En diskursteoretisk beslutningspro-cesanalyse</w:t>
      </w:r>
      <w:r w:rsidR="00A917A3" w:rsidRPr="007B61C3">
        <w:rPr>
          <w:rFonts w:ascii="Calibri" w:hAnsi="Calibri"/>
          <w:color w:val="000000" w:themeColor="text1"/>
          <w:lang w:val="da-DK"/>
        </w:rPr>
        <w:t>,</w:t>
      </w:r>
      <w:r w:rsidR="008E6E81" w:rsidRPr="007B61C3">
        <w:rPr>
          <w:rFonts w:ascii="Calibri" w:hAnsi="Calibri"/>
          <w:color w:val="000000" w:themeColor="text1"/>
          <w:lang w:val="da-DK"/>
        </w:rPr>
        <w:t xml:space="preserve"> Aarhus Universitetsforlag</w:t>
      </w:r>
      <w:r w:rsidR="00A917A3" w:rsidRPr="007B61C3">
        <w:rPr>
          <w:rFonts w:ascii="Calibri" w:hAnsi="Calibri"/>
          <w:color w:val="000000" w:themeColor="text1"/>
          <w:lang w:val="da-DK"/>
        </w:rPr>
        <w:t>, Århus</w:t>
      </w:r>
      <w:r w:rsidR="008E6E81" w:rsidRPr="007B61C3">
        <w:rPr>
          <w:rFonts w:ascii="Calibri" w:hAnsi="Calibri"/>
          <w:color w:val="000000" w:themeColor="text1"/>
          <w:lang w:val="da-DK"/>
        </w:rPr>
        <w:t>.</w:t>
      </w:r>
    </w:p>
    <w:p w14:paraId="4DE15931" w14:textId="77777777" w:rsidR="008E6E81" w:rsidRPr="007B61C3" w:rsidRDefault="008E6E81" w:rsidP="004D1AC1">
      <w:pPr>
        <w:ind w:right="-397"/>
        <w:rPr>
          <w:rFonts w:ascii="Calibri" w:hAnsi="Calibri"/>
          <w:color w:val="000000" w:themeColor="text1"/>
          <w:lang w:val="da-DK"/>
        </w:rPr>
      </w:pPr>
    </w:p>
    <w:p w14:paraId="5C0ED721" w14:textId="0509EF68" w:rsidR="008E6E81" w:rsidRPr="007B61C3" w:rsidRDefault="008E6E81" w:rsidP="00512185">
      <w:pPr>
        <w:ind w:left="-397" w:right="-397"/>
        <w:rPr>
          <w:rFonts w:ascii="Calibri" w:hAnsi="Calibri"/>
          <w:bCs/>
          <w:color w:val="000000" w:themeColor="text1"/>
          <w:lang w:val="da-DK"/>
        </w:rPr>
      </w:pPr>
      <w:r w:rsidRPr="007B61C3">
        <w:rPr>
          <w:rFonts w:ascii="Calibri" w:hAnsi="Calibri"/>
          <w:color w:val="000000" w:themeColor="text1"/>
          <w:lang w:val="da-DK"/>
        </w:rPr>
        <w:t xml:space="preserve">Undervisningsministeriet </w:t>
      </w:r>
      <w:r w:rsidR="00A917A3" w:rsidRPr="007B61C3">
        <w:rPr>
          <w:rFonts w:ascii="Calibri" w:hAnsi="Calibri"/>
          <w:color w:val="000000" w:themeColor="text1"/>
          <w:lang w:val="da-DK"/>
        </w:rPr>
        <w:t>(</w:t>
      </w:r>
      <w:r w:rsidRPr="007B61C3">
        <w:rPr>
          <w:rFonts w:ascii="Calibri" w:hAnsi="Calibri"/>
          <w:color w:val="000000" w:themeColor="text1"/>
          <w:lang w:val="da-DK"/>
        </w:rPr>
        <w:t>2004</w:t>
      </w:r>
      <w:r w:rsidR="00A917A3" w:rsidRPr="007B61C3">
        <w:rPr>
          <w:rFonts w:ascii="Calibri" w:hAnsi="Calibri"/>
          <w:color w:val="000000" w:themeColor="text1"/>
          <w:lang w:val="da-DK"/>
        </w:rPr>
        <w:t>)</w:t>
      </w:r>
      <w:r w:rsidR="00DE7244" w:rsidRPr="007B61C3">
        <w:rPr>
          <w:rFonts w:ascii="Calibri" w:hAnsi="Calibri"/>
          <w:color w:val="000000" w:themeColor="text1"/>
          <w:lang w:val="da-DK"/>
        </w:rPr>
        <w:t xml:space="preserve"> </w:t>
      </w:r>
      <w:r w:rsidR="00DE7244" w:rsidRPr="007B61C3">
        <w:rPr>
          <w:rFonts w:ascii="Calibri" w:hAnsi="Calibri"/>
          <w:i/>
          <w:color w:val="000000" w:themeColor="text1"/>
          <w:lang w:val="da-DK"/>
        </w:rPr>
        <w:t xml:space="preserve">Bilag 3. </w:t>
      </w:r>
      <w:r w:rsidRPr="007B61C3">
        <w:rPr>
          <w:rFonts w:ascii="Calibri" w:hAnsi="Calibri"/>
          <w:i/>
          <w:color w:val="000000" w:themeColor="text1"/>
          <w:lang w:val="da-DK"/>
        </w:rPr>
        <w:t>Privatskoler i Danmark</w:t>
      </w:r>
      <w:r w:rsidR="00DE7244" w:rsidRPr="007B61C3">
        <w:rPr>
          <w:rFonts w:ascii="Calibri" w:hAnsi="Calibri"/>
          <w:color w:val="000000" w:themeColor="text1"/>
          <w:lang w:val="da-DK"/>
        </w:rPr>
        <w:t xml:space="preserve"> [online]. </w:t>
      </w:r>
      <w:r w:rsidRPr="007B61C3">
        <w:rPr>
          <w:rFonts w:ascii="Calibri" w:hAnsi="Calibri"/>
          <w:color w:val="000000" w:themeColor="text1"/>
          <w:lang w:val="da-DK"/>
        </w:rPr>
        <w:t>http://</w:t>
      </w:r>
      <w:r w:rsidR="00DE7244" w:rsidRPr="007B61C3">
        <w:rPr>
          <w:rFonts w:ascii="Calibri" w:hAnsi="Calibri"/>
          <w:color w:val="000000" w:themeColor="text1"/>
          <w:lang w:val="da-DK"/>
        </w:rPr>
        <w:t xml:space="preserve">pub.uvm.dk/2004/oecd/bil03.html (Accessed </w:t>
      </w:r>
      <w:r w:rsidR="00AE3B3B">
        <w:rPr>
          <w:rFonts w:ascii="Calibri" w:hAnsi="Calibri"/>
          <w:color w:val="000000" w:themeColor="text1"/>
          <w:highlight w:val="yellow"/>
          <w:lang w:val="da-DK"/>
        </w:rPr>
        <w:t>[</w:t>
      </w:r>
      <w:r w:rsidR="00AE3B3B">
        <w:rPr>
          <w:rFonts w:ascii="Calibri" w:hAnsi="Calibri"/>
          <w:color w:val="000000" w:themeColor="text1"/>
          <w:lang w:val="da-DK"/>
        </w:rPr>
        <w:t>12-10-2012]</w:t>
      </w:r>
      <w:r w:rsidR="00DE7244" w:rsidRPr="007B61C3">
        <w:rPr>
          <w:rFonts w:ascii="Calibri" w:hAnsi="Calibri"/>
          <w:color w:val="000000" w:themeColor="text1"/>
          <w:lang w:val="da-DK"/>
        </w:rPr>
        <w:t>)</w:t>
      </w:r>
      <w:r w:rsidRPr="007B61C3">
        <w:rPr>
          <w:rFonts w:ascii="Calibri" w:hAnsi="Calibri"/>
          <w:color w:val="000000" w:themeColor="text1"/>
          <w:lang w:val="da-DK"/>
        </w:rPr>
        <w:t>.</w:t>
      </w:r>
    </w:p>
    <w:p w14:paraId="51359057" w14:textId="77777777" w:rsidR="00512185" w:rsidRPr="007B61C3" w:rsidRDefault="00512185" w:rsidP="00512185">
      <w:pPr>
        <w:ind w:left="-397" w:right="-397"/>
        <w:rPr>
          <w:rFonts w:ascii="Calibri" w:hAnsi="Calibri"/>
          <w:bCs/>
          <w:color w:val="000000" w:themeColor="text1"/>
          <w:lang w:val="da-DK"/>
        </w:rPr>
      </w:pPr>
    </w:p>
    <w:p w14:paraId="405FEEEB" w14:textId="45DAC361" w:rsidR="008E6E81" w:rsidRPr="005234EE" w:rsidRDefault="00425931" w:rsidP="004D1AC1">
      <w:pPr>
        <w:ind w:left="-397" w:right="-397"/>
        <w:rPr>
          <w:rFonts w:ascii="Calibri" w:hAnsi="Calibri"/>
          <w:color w:val="000000" w:themeColor="text1"/>
          <w:lang w:val="en-GB"/>
        </w:rPr>
      </w:pPr>
      <w:r w:rsidRPr="005234EE">
        <w:rPr>
          <w:rFonts w:ascii="Calibri" w:hAnsi="Calibri"/>
          <w:color w:val="000000" w:themeColor="text1"/>
          <w:lang w:val="en-GB"/>
        </w:rPr>
        <w:t>Tilly, C. (1990)</w:t>
      </w:r>
      <w:r w:rsidR="008E6E81" w:rsidRPr="005234EE">
        <w:rPr>
          <w:rFonts w:ascii="Calibri" w:hAnsi="Calibri"/>
          <w:color w:val="000000" w:themeColor="text1"/>
          <w:lang w:val="en-GB"/>
        </w:rPr>
        <w:t xml:space="preserve"> </w:t>
      </w:r>
      <w:r w:rsidR="008E6E81" w:rsidRPr="005234EE">
        <w:rPr>
          <w:rFonts w:ascii="Calibri" w:hAnsi="Calibri"/>
          <w:bCs/>
          <w:i/>
          <w:iCs/>
          <w:color w:val="000000" w:themeColor="text1"/>
          <w:shd w:val="clear" w:color="auto" w:fill="FFFFFF"/>
          <w:lang w:val="en-GB"/>
        </w:rPr>
        <w:t>Coercion, Capital, and European States, AD 990-1990</w:t>
      </w:r>
      <w:r w:rsidR="008E6E81" w:rsidRPr="005234EE">
        <w:rPr>
          <w:rStyle w:val="apple-converted-space"/>
          <w:rFonts w:ascii="Calibri" w:hAnsi="Calibri"/>
          <w:color w:val="000000" w:themeColor="text1"/>
          <w:shd w:val="clear" w:color="auto" w:fill="FFFFFF"/>
          <w:lang w:val="en-GB"/>
        </w:rPr>
        <w:t>, Blackwell</w:t>
      </w:r>
      <w:r w:rsidRPr="005234EE">
        <w:rPr>
          <w:rStyle w:val="apple-converted-space"/>
          <w:rFonts w:ascii="Calibri" w:hAnsi="Calibri"/>
          <w:color w:val="000000" w:themeColor="text1"/>
          <w:shd w:val="clear" w:color="auto" w:fill="FFFFFF"/>
          <w:lang w:val="en-GB"/>
        </w:rPr>
        <w:t>, Oxford.</w:t>
      </w:r>
    </w:p>
    <w:p w14:paraId="3B5D96B9" w14:textId="0DE7E866" w:rsidR="008E6E81" w:rsidRPr="005234EE" w:rsidRDefault="008E6E81" w:rsidP="004D1AC1">
      <w:pPr>
        <w:shd w:val="clear" w:color="auto" w:fill="FFFFFF"/>
        <w:spacing w:before="100" w:beforeAutospacing="1" w:after="100" w:afterAutospacing="1"/>
        <w:ind w:left="-397" w:right="-397"/>
        <w:outlineLvl w:val="1"/>
        <w:rPr>
          <w:rFonts w:ascii="Calibri" w:eastAsia="Times New Roman" w:hAnsi="Calibri"/>
          <w:color w:val="000000" w:themeColor="text1"/>
          <w:lang w:val="en-GB" w:eastAsia="en-GB"/>
        </w:rPr>
      </w:pPr>
      <w:r w:rsidRPr="005234EE">
        <w:rPr>
          <w:rFonts w:ascii="Calibri" w:eastAsia="Times New Roman" w:hAnsi="Calibri"/>
          <w:color w:val="000000" w:themeColor="text1"/>
          <w:lang w:val="en-GB" w:eastAsia="en-GB"/>
        </w:rPr>
        <w:t xml:space="preserve">Tilly, C. </w:t>
      </w:r>
      <w:r w:rsidR="009264A9" w:rsidRPr="005234EE">
        <w:rPr>
          <w:rFonts w:ascii="Calibri" w:eastAsia="Times New Roman" w:hAnsi="Calibri"/>
          <w:color w:val="000000" w:themeColor="text1"/>
          <w:lang w:val="en-GB" w:eastAsia="en-GB"/>
        </w:rPr>
        <w:t>(1985)</w:t>
      </w:r>
      <w:r w:rsidRPr="005234EE">
        <w:rPr>
          <w:rFonts w:ascii="Calibri" w:eastAsia="Times New Roman" w:hAnsi="Calibri"/>
          <w:color w:val="000000" w:themeColor="text1"/>
          <w:lang w:val="en-GB" w:eastAsia="en-GB"/>
        </w:rPr>
        <w:t xml:space="preserve"> ‘War </w:t>
      </w:r>
      <w:r w:rsidR="009264A9" w:rsidRPr="005234EE">
        <w:rPr>
          <w:rFonts w:ascii="Calibri" w:eastAsia="Times New Roman" w:hAnsi="Calibri"/>
          <w:color w:val="000000" w:themeColor="text1"/>
          <w:lang w:val="en-GB" w:eastAsia="en-GB"/>
        </w:rPr>
        <w:t>making and state making as organized crime’</w:t>
      </w:r>
      <w:r w:rsidR="005A577D" w:rsidRPr="005234EE">
        <w:rPr>
          <w:rFonts w:ascii="Calibri" w:eastAsia="Times New Roman" w:hAnsi="Calibri"/>
          <w:color w:val="000000" w:themeColor="text1"/>
          <w:lang w:val="en-GB" w:eastAsia="en-GB"/>
        </w:rPr>
        <w:t>,</w:t>
      </w:r>
      <w:r w:rsidR="009264A9" w:rsidRPr="005234EE">
        <w:rPr>
          <w:rFonts w:ascii="Calibri" w:eastAsia="Times New Roman" w:hAnsi="Calibri"/>
          <w:color w:val="000000" w:themeColor="text1"/>
          <w:lang w:val="en-GB" w:eastAsia="en-GB"/>
        </w:rPr>
        <w:t xml:space="preserve"> in Evans, P. et al. (Eds.),</w:t>
      </w:r>
      <w:r w:rsidRPr="005234EE">
        <w:rPr>
          <w:rFonts w:ascii="Calibri" w:eastAsia="Times New Roman" w:hAnsi="Calibri"/>
          <w:color w:val="000000" w:themeColor="text1"/>
          <w:lang w:val="en-GB" w:eastAsia="en-GB"/>
        </w:rPr>
        <w:t xml:space="preserve"> </w:t>
      </w:r>
      <w:r w:rsidR="009264A9" w:rsidRPr="005234EE">
        <w:rPr>
          <w:rFonts w:ascii="Calibri" w:eastAsia="Times New Roman" w:hAnsi="Calibri"/>
          <w:i/>
          <w:color w:val="000000" w:themeColor="text1"/>
          <w:lang w:val="en-GB" w:eastAsia="en-GB"/>
        </w:rPr>
        <w:t>Bringing the State Back In</w:t>
      </w:r>
      <w:r w:rsidR="009264A9" w:rsidRPr="005234EE">
        <w:rPr>
          <w:rFonts w:ascii="Calibri" w:eastAsia="Times New Roman" w:hAnsi="Calibri"/>
          <w:color w:val="000000" w:themeColor="text1"/>
          <w:lang w:val="en-GB" w:eastAsia="en-GB"/>
        </w:rPr>
        <w:t xml:space="preserve">, </w:t>
      </w:r>
      <w:r w:rsidRPr="005234EE">
        <w:rPr>
          <w:rFonts w:ascii="Calibri" w:eastAsia="Times New Roman" w:hAnsi="Calibri"/>
          <w:color w:val="000000" w:themeColor="text1"/>
          <w:lang w:val="en-GB" w:eastAsia="en-GB"/>
        </w:rPr>
        <w:t>Cambridge University Press</w:t>
      </w:r>
      <w:r w:rsidR="009264A9" w:rsidRPr="005234EE">
        <w:rPr>
          <w:rFonts w:ascii="Calibri" w:eastAsia="Times New Roman" w:hAnsi="Calibri"/>
          <w:color w:val="000000" w:themeColor="text1"/>
          <w:lang w:val="en-GB" w:eastAsia="en-GB"/>
        </w:rPr>
        <w:t>, Cambridge</w:t>
      </w:r>
      <w:r w:rsidR="00EA3430" w:rsidRPr="005234EE">
        <w:rPr>
          <w:rFonts w:ascii="Calibri" w:eastAsia="Times New Roman" w:hAnsi="Calibri"/>
          <w:color w:val="000000" w:themeColor="text1"/>
          <w:lang w:val="en-GB" w:eastAsia="en-GB"/>
        </w:rPr>
        <w:t xml:space="preserve">, </w:t>
      </w:r>
      <w:r w:rsidR="00EA3430" w:rsidRPr="005234EE">
        <w:rPr>
          <w:rFonts w:ascii="Calibri" w:eastAsia="Times New Roman" w:hAnsi="Calibri"/>
          <w:color w:val="000000" w:themeColor="text1"/>
          <w:highlight w:val="yellow"/>
          <w:lang w:val="en-GB" w:eastAsia="en-GB"/>
        </w:rPr>
        <w:t>pp.</w:t>
      </w:r>
      <w:r w:rsidR="00155281" w:rsidRPr="005234EE">
        <w:rPr>
          <w:rFonts w:ascii="Calibri" w:eastAsia="Times New Roman" w:hAnsi="Calibri"/>
          <w:color w:val="000000" w:themeColor="text1"/>
          <w:highlight w:val="yellow"/>
          <w:lang w:val="en-GB" w:eastAsia="en-GB"/>
        </w:rPr>
        <w:t>169-191</w:t>
      </w:r>
      <w:r w:rsidR="00EA3430" w:rsidRPr="005234EE">
        <w:rPr>
          <w:rFonts w:ascii="Calibri" w:eastAsia="Times New Roman" w:hAnsi="Calibri"/>
          <w:color w:val="000000" w:themeColor="text1"/>
          <w:highlight w:val="yellow"/>
          <w:lang w:val="en-GB" w:eastAsia="en-GB"/>
        </w:rPr>
        <w:t>.</w:t>
      </w:r>
    </w:p>
    <w:p w14:paraId="72AA0CEE" w14:textId="77777777" w:rsidR="00AE3B3B" w:rsidRDefault="00D04628" w:rsidP="00AE3B3B">
      <w:pPr>
        <w:shd w:val="clear" w:color="auto" w:fill="FFFFFF"/>
        <w:spacing w:before="100" w:beforeAutospacing="1" w:after="100" w:afterAutospacing="1"/>
        <w:ind w:left="-397" w:right="-397"/>
        <w:outlineLvl w:val="1"/>
        <w:rPr>
          <w:rFonts w:ascii="Calibri" w:eastAsia="Times New Roman" w:hAnsi="Calibri"/>
          <w:color w:val="000000" w:themeColor="text1"/>
          <w:lang w:val="en-GB" w:eastAsia="en-GB"/>
        </w:rPr>
      </w:pPr>
      <w:r w:rsidRPr="005234EE">
        <w:rPr>
          <w:rFonts w:ascii="Calibri" w:eastAsia="Times New Roman" w:hAnsi="Calibri"/>
          <w:color w:val="000000" w:themeColor="text1"/>
          <w:lang w:val="en-GB" w:eastAsia="en-GB"/>
        </w:rPr>
        <w:t>Titmuss, R.M.</w:t>
      </w:r>
      <w:r w:rsidR="008E6E81" w:rsidRPr="005234EE">
        <w:rPr>
          <w:rFonts w:ascii="Calibri" w:eastAsia="Times New Roman" w:hAnsi="Calibri"/>
          <w:color w:val="000000" w:themeColor="text1"/>
          <w:lang w:val="en-GB" w:eastAsia="en-GB"/>
        </w:rPr>
        <w:t xml:space="preserve"> </w:t>
      </w:r>
      <w:r w:rsidRPr="005234EE">
        <w:rPr>
          <w:rFonts w:ascii="Calibri" w:eastAsia="Times New Roman" w:hAnsi="Calibri"/>
          <w:color w:val="000000" w:themeColor="text1"/>
          <w:lang w:val="en-GB" w:eastAsia="en-GB"/>
        </w:rPr>
        <w:t>(1974)</w:t>
      </w:r>
      <w:r w:rsidR="008E6E81" w:rsidRPr="005234EE">
        <w:rPr>
          <w:rFonts w:ascii="Calibri" w:eastAsia="Times New Roman" w:hAnsi="Calibri"/>
          <w:color w:val="000000" w:themeColor="text1"/>
          <w:lang w:val="en-GB" w:eastAsia="en-GB"/>
        </w:rPr>
        <w:t xml:space="preserve"> </w:t>
      </w:r>
      <w:r w:rsidR="008E6E81" w:rsidRPr="005234EE">
        <w:rPr>
          <w:rFonts w:ascii="Calibri" w:eastAsia="Times New Roman" w:hAnsi="Calibri"/>
          <w:i/>
          <w:color w:val="000000" w:themeColor="text1"/>
          <w:lang w:val="en-GB" w:eastAsia="en-GB"/>
        </w:rPr>
        <w:t>Social Policy</w:t>
      </w:r>
      <w:r w:rsidRPr="005234EE">
        <w:rPr>
          <w:rFonts w:ascii="Calibri" w:eastAsia="Times New Roman" w:hAnsi="Calibri"/>
          <w:i/>
          <w:color w:val="000000" w:themeColor="text1"/>
          <w:lang w:val="en-GB" w:eastAsia="en-GB"/>
        </w:rPr>
        <w:t>: An Introduction</w:t>
      </w:r>
      <w:r w:rsidR="008E6E81" w:rsidRPr="005234EE">
        <w:rPr>
          <w:rFonts w:ascii="Calibri" w:eastAsia="Times New Roman" w:hAnsi="Calibri"/>
          <w:color w:val="000000" w:themeColor="text1"/>
          <w:lang w:val="en-GB" w:eastAsia="en-GB"/>
        </w:rPr>
        <w:t>,</w:t>
      </w:r>
      <w:r w:rsidRPr="005234EE">
        <w:rPr>
          <w:rFonts w:ascii="Calibri" w:eastAsia="Times New Roman" w:hAnsi="Calibri"/>
          <w:color w:val="000000" w:themeColor="text1"/>
          <w:lang w:val="en-GB" w:eastAsia="en-GB"/>
        </w:rPr>
        <w:t xml:space="preserve"> </w:t>
      </w:r>
      <w:r w:rsidR="008E6E81" w:rsidRPr="005234EE">
        <w:rPr>
          <w:rFonts w:ascii="Calibri" w:eastAsia="Times New Roman" w:hAnsi="Calibri"/>
          <w:color w:val="000000" w:themeColor="text1"/>
          <w:lang w:val="en-GB" w:eastAsia="en-GB"/>
        </w:rPr>
        <w:t>Pantheon</w:t>
      </w:r>
      <w:r w:rsidRPr="005234EE">
        <w:rPr>
          <w:rFonts w:ascii="Calibri" w:eastAsia="Times New Roman" w:hAnsi="Calibri"/>
          <w:color w:val="000000" w:themeColor="text1"/>
          <w:lang w:val="en-GB" w:eastAsia="en-GB"/>
        </w:rPr>
        <w:t>, New York</w:t>
      </w:r>
      <w:r w:rsidR="008E6E81" w:rsidRPr="005234EE">
        <w:rPr>
          <w:rFonts w:ascii="Calibri" w:eastAsia="Times New Roman" w:hAnsi="Calibri"/>
          <w:color w:val="000000" w:themeColor="text1"/>
          <w:lang w:val="en-GB" w:eastAsia="en-GB"/>
        </w:rPr>
        <w:t>.</w:t>
      </w:r>
    </w:p>
    <w:p w14:paraId="195033A4" w14:textId="1CEC99AC" w:rsidR="008E6E81" w:rsidRPr="00AE3B3B" w:rsidRDefault="008E6E81" w:rsidP="00AE3B3B">
      <w:pPr>
        <w:shd w:val="clear" w:color="auto" w:fill="FFFFFF"/>
        <w:spacing w:before="100" w:beforeAutospacing="1" w:after="100" w:afterAutospacing="1"/>
        <w:ind w:left="-397" w:right="-397"/>
        <w:outlineLvl w:val="1"/>
        <w:rPr>
          <w:rFonts w:ascii="Calibri" w:eastAsia="Times New Roman" w:hAnsi="Calibri"/>
          <w:color w:val="000000" w:themeColor="text1"/>
          <w:lang w:val="en-GB" w:eastAsia="en-GB"/>
        </w:rPr>
      </w:pPr>
      <w:r w:rsidRPr="005234EE">
        <w:rPr>
          <w:rFonts w:ascii="Calibri" w:eastAsia="Times New Roman" w:hAnsi="Calibri"/>
          <w:color w:val="000000" w:themeColor="text1"/>
          <w:lang w:val="en-GB" w:eastAsia="en-GB"/>
        </w:rPr>
        <w:t xml:space="preserve">Webster, D. </w:t>
      </w:r>
      <w:r w:rsidR="001341DF" w:rsidRPr="005234EE">
        <w:rPr>
          <w:rFonts w:ascii="Calibri" w:eastAsia="Times New Roman" w:hAnsi="Calibri"/>
          <w:color w:val="000000" w:themeColor="text1"/>
          <w:lang w:val="en-GB" w:eastAsia="en-GB"/>
        </w:rPr>
        <w:t xml:space="preserve">(2016) </w:t>
      </w:r>
      <w:r w:rsidR="0028724D" w:rsidRPr="005234EE">
        <w:rPr>
          <w:rFonts w:ascii="Calibri" w:eastAsia="Times New Roman" w:hAnsi="Calibri"/>
          <w:color w:val="000000" w:themeColor="text1"/>
          <w:lang w:val="en-GB" w:eastAsia="en-GB"/>
        </w:rPr>
        <w:t>‘</w:t>
      </w:r>
      <w:r w:rsidRPr="005234EE">
        <w:rPr>
          <w:rFonts w:ascii="Calibri" w:eastAsia="Times New Roman" w:hAnsi="Calibri"/>
          <w:color w:val="000000" w:themeColor="text1"/>
          <w:lang w:val="en-GB" w:eastAsia="en-GB"/>
        </w:rPr>
        <w:t xml:space="preserve">Tackling Britain’s </w:t>
      </w:r>
      <w:r w:rsidR="0028724D" w:rsidRPr="005234EE">
        <w:rPr>
          <w:rFonts w:ascii="Calibri" w:eastAsia="Times New Roman" w:hAnsi="Calibri"/>
          <w:color w:val="000000" w:themeColor="text1"/>
          <w:lang w:val="en-GB" w:eastAsia="en-GB"/>
        </w:rPr>
        <w:t>misleading benefit sanctions statistics’</w:t>
      </w:r>
      <w:r w:rsidRPr="005234EE">
        <w:rPr>
          <w:rFonts w:ascii="Calibri" w:eastAsia="Times New Roman" w:hAnsi="Calibri"/>
          <w:color w:val="000000" w:themeColor="text1"/>
          <w:lang w:val="en-GB" w:eastAsia="en-GB"/>
        </w:rPr>
        <w:t xml:space="preserve">, </w:t>
      </w:r>
      <w:r w:rsidRPr="005234EE">
        <w:rPr>
          <w:rFonts w:ascii="Calibri" w:eastAsia="Times New Roman" w:hAnsi="Calibri"/>
          <w:i/>
          <w:color w:val="000000" w:themeColor="text1"/>
          <w:lang w:val="en-GB" w:eastAsia="en-GB"/>
        </w:rPr>
        <w:t>Policy Scotland</w:t>
      </w:r>
      <w:r w:rsidRPr="005234EE">
        <w:rPr>
          <w:rFonts w:ascii="Calibri" w:eastAsia="Times New Roman" w:hAnsi="Calibri"/>
          <w:color w:val="000000" w:themeColor="text1"/>
          <w:lang w:val="en-GB" w:eastAsia="en-GB"/>
        </w:rPr>
        <w:t>, 29 June</w:t>
      </w:r>
      <w:r w:rsidR="001341DF" w:rsidRPr="005234EE">
        <w:rPr>
          <w:rFonts w:ascii="Calibri" w:eastAsia="Times New Roman" w:hAnsi="Calibri"/>
          <w:color w:val="000000" w:themeColor="text1"/>
          <w:lang w:val="en-GB" w:eastAsia="en-GB"/>
        </w:rPr>
        <w:t>.</w:t>
      </w:r>
      <w:r w:rsidR="0028724D" w:rsidRPr="005234EE">
        <w:rPr>
          <w:rFonts w:ascii="Calibri" w:eastAsia="Times New Roman" w:hAnsi="Calibri"/>
          <w:color w:val="000000" w:themeColor="text1"/>
          <w:lang w:val="en-GB" w:eastAsia="en-GB"/>
        </w:rPr>
        <w:t xml:space="preserve"> </w:t>
      </w:r>
      <w:r w:rsidR="00AE3B3B">
        <w:t>Webster, D. 2016.:// www.welfareconditionality.ac.uk/2016/04/tackling-britains-misleading-benefit-sanctions-statistics/, accessed [12-06-2017]</w:t>
      </w:r>
    </w:p>
    <w:p w14:paraId="26E4912B" w14:textId="32FC773B" w:rsidR="008E6E81" w:rsidRPr="005234EE" w:rsidRDefault="008E6E81" w:rsidP="004D1AC1">
      <w:pPr>
        <w:shd w:val="clear" w:color="auto" w:fill="FFFFFF"/>
        <w:spacing w:before="100" w:beforeAutospacing="1" w:after="100" w:afterAutospacing="1"/>
        <w:ind w:left="-397" w:right="-397"/>
        <w:outlineLvl w:val="1"/>
        <w:rPr>
          <w:rFonts w:ascii="Calibri" w:eastAsia="Times New Roman" w:hAnsi="Calibri"/>
          <w:color w:val="000000" w:themeColor="text1"/>
          <w:lang w:val="en-GB" w:eastAsia="en-GB"/>
        </w:rPr>
      </w:pPr>
      <w:r w:rsidRPr="005234EE">
        <w:rPr>
          <w:rFonts w:ascii="Calibri" w:eastAsia="Times New Roman" w:hAnsi="Calibri"/>
          <w:color w:val="000000" w:themeColor="text1"/>
          <w:lang w:val="en-GB" w:eastAsia="en-GB"/>
        </w:rPr>
        <w:t xml:space="preserve">Wetterberg, C.C. and Melby, K. </w:t>
      </w:r>
      <w:r w:rsidR="0028724D" w:rsidRPr="005234EE">
        <w:rPr>
          <w:rFonts w:ascii="Calibri" w:eastAsia="Times New Roman" w:hAnsi="Calibri"/>
          <w:color w:val="000000" w:themeColor="text1"/>
          <w:lang w:val="en-GB" w:eastAsia="en-GB"/>
        </w:rPr>
        <w:t>(2009)</w:t>
      </w:r>
      <w:r w:rsidRPr="005234EE">
        <w:rPr>
          <w:rFonts w:ascii="Calibri" w:eastAsia="Times New Roman" w:hAnsi="Calibri"/>
          <w:color w:val="000000" w:themeColor="text1"/>
          <w:lang w:val="en-GB" w:eastAsia="en-GB"/>
        </w:rPr>
        <w:t xml:space="preserve"> ‘The </w:t>
      </w:r>
      <w:r w:rsidR="0028724D" w:rsidRPr="005234EE">
        <w:rPr>
          <w:rFonts w:ascii="Calibri" w:eastAsia="Times New Roman" w:hAnsi="Calibri"/>
          <w:color w:val="000000" w:themeColor="text1"/>
          <w:lang w:val="en-GB" w:eastAsia="en-GB"/>
        </w:rPr>
        <w:t>claim of economic citizenship: T</w:t>
      </w:r>
      <w:r w:rsidRPr="005234EE">
        <w:rPr>
          <w:rFonts w:ascii="Calibri" w:eastAsia="Times New Roman" w:hAnsi="Calibri"/>
          <w:color w:val="000000" w:themeColor="text1"/>
          <w:lang w:val="en-GB" w:eastAsia="en-GB"/>
        </w:rPr>
        <w:t xml:space="preserve">he </w:t>
      </w:r>
      <w:r w:rsidR="0028724D" w:rsidRPr="005234EE">
        <w:rPr>
          <w:rFonts w:ascii="Calibri" w:eastAsia="Times New Roman" w:hAnsi="Calibri"/>
          <w:color w:val="000000" w:themeColor="text1"/>
          <w:lang w:val="en-GB" w:eastAsia="en-GB"/>
        </w:rPr>
        <w:t>concept of equality in a historical context</w:t>
      </w:r>
      <w:r w:rsidRPr="005234EE">
        <w:rPr>
          <w:rFonts w:ascii="Calibri" w:eastAsia="Times New Roman" w:hAnsi="Calibri"/>
          <w:color w:val="000000" w:themeColor="text1"/>
          <w:lang w:val="en-GB" w:eastAsia="en-GB"/>
        </w:rPr>
        <w:t>’</w:t>
      </w:r>
      <w:r w:rsidR="0028724D" w:rsidRPr="005234EE">
        <w:rPr>
          <w:rFonts w:ascii="Calibri" w:eastAsia="Times New Roman" w:hAnsi="Calibri"/>
          <w:color w:val="000000" w:themeColor="text1"/>
          <w:lang w:val="en-GB" w:eastAsia="en-GB"/>
        </w:rPr>
        <w:t>,</w:t>
      </w:r>
      <w:r w:rsidRPr="005234EE">
        <w:rPr>
          <w:rFonts w:ascii="Calibri" w:eastAsia="Times New Roman" w:hAnsi="Calibri"/>
          <w:color w:val="000000" w:themeColor="text1"/>
          <w:lang w:val="en-GB" w:eastAsia="en-GB"/>
        </w:rPr>
        <w:t xml:space="preserve"> in</w:t>
      </w:r>
      <w:r w:rsidR="0028724D" w:rsidRPr="005234EE">
        <w:rPr>
          <w:rFonts w:ascii="Calibri" w:eastAsia="Times New Roman" w:hAnsi="Calibri"/>
          <w:color w:val="000000" w:themeColor="text1"/>
          <w:lang w:val="en-GB" w:eastAsia="en-GB"/>
        </w:rPr>
        <w:t xml:space="preserve"> Melby, K. et al. (Eds.), </w:t>
      </w:r>
      <w:r w:rsidRPr="005234EE">
        <w:rPr>
          <w:rFonts w:ascii="Calibri" w:eastAsia="Times New Roman" w:hAnsi="Calibri"/>
          <w:i/>
          <w:color w:val="000000" w:themeColor="text1"/>
          <w:lang w:val="en-GB" w:eastAsia="en-GB"/>
        </w:rPr>
        <w:t>Gender Equality and Welfare Politics in Scandinavia</w:t>
      </w:r>
      <w:r w:rsidRPr="005234EE">
        <w:rPr>
          <w:rFonts w:ascii="Calibri" w:eastAsia="Times New Roman" w:hAnsi="Calibri"/>
          <w:color w:val="000000" w:themeColor="text1"/>
          <w:lang w:val="en-GB" w:eastAsia="en-GB"/>
        </w:rPr>
        <w:t>, Policy Press</w:t>
      </w:r>
      <w:r w:rsidR="0028724D" w:rsidRPr="005234EE">
        <w:rPr>
          <w:rFonts w:ascii="Calibri" w:eastAsia="Times New Roman" w:hAnsi="Calibri"/>
          <w:color w:val="000000" w:themeColor="text1"/>
          <w:lang w:val="en-GB" w:eastAsia="en-GB"/>
        </w:rPr>
        <w:t>, Bristol</w:t>
      </w:r>
      <w:r w:rsidR="00802211" w:rsidRPr="005234EE">
        <w:rPr>
          <w:rFonts w:ascii="Calibri" w:eastAsia="Times New Roman" w:hAnsi="Calibri"/>
          <w:color w:val="000000" w:themeColor="text1"/>
          <w:lang w:val="en-GB" w:eastAsia="en-GB"/>
        </w:rPr>
        <w:t xml:space="preserve">, </w:t>
      </w:r>
      <w:r w:rsidR="00AE3B3B">
        <w:rPr>
          <w:rFonts w:ascii="Calibri" w:eastAsia="Times New Roman" w:hAnsi="Calibri"/>
          <w:color w:val="000000" w:themeColor="text1"/>
          <w:highlight w:val="yellow"/>
          <w:lang w:val="en-GB" w:eastAsia="en-GB"/>
        </w:rPr>
        <w:t>pp.43-62</w:t>
      </w:r>
      <w:r w:rsidR="00802211" w:rsidRPr="005234EE">
        <w:rPr>
          <w:rFonts w:ascii="Calibri" w:eastAsia="Times New Roman" w:hAnsi="Calibri"/>
          <w:color w:val="000000" w:themeColor="text1"/>
          <w:highlight w:val="yellow"/>
          <w:lang w:val="en-GB" w:eastAsia="en-GB"/>
        </w:rPr>
        <w:t>.</w:t>
      </w:r>
    </w:p>
    <w:p w14:paraId="29A1E3A2" w14:textId="0A134B31" w:rsidR="008E6E81" w:rsidRPr="005234EE" w:rsidRDefault="0039148E" w:rsidP="004D1AC1">
      <w:pPr>
        <w:shd w:val="clear" w:color="auto" w:fill="FFFFFF"/>
        <w:spacing w:before="100" w:beforeAutospacing="1" w:after="100" w:afterAutospacing="1"/>
        <w:ind w:left="-397" w:right="-397"/>
        <w:outlineLvl w:val="1"/>
        <w:rPr>
          <w:rFonts w:ascii="Calibri" w:eastAsia="Times New Roman" w:hAnsi="Calibri"/>
          <w:color w:val="000000" w:themeColor="text1"/>
          <w:lang w:val="en-GB" w:eastAsia="en-GB"/>
        </w:rPr>
      </w:pPr>
      <w:r w:rsidRPr="005234EE">
        <w:rPr>
          <w:rFonts w:ascii="Calibri" w:hAnsi="Calibri"/>
          <w:color w:val="000000" w:themeColor="text1"/>
          <w:lang w:val="en-GB"/>
        </w:rPr>
        <w:t>Williams, E. (2014) ‘</w:t>
      </w:r>
      <w:r w:rsidR="008E6E81" w:rsidRPr="005234EE">
        <w:rPr>
          <w:rFonts w:ascii="Calibri" w:hAnsi="Calibri"/>
          <w:color w:val="000000" w:themeColor="text1"/>
          <w:lang w:val="en-GB"/>
        </w:rPr>
        <w:t xml:space="preserve">A </w:t>
      </w:r>
      <w:r w:rsidRPr="005234EE">
        <w:rPr>
          <w:rFonts w:ascii="Calibri" w:hAnsi="Calibri"/>
          <w:color w:val="000000" w:themeColor="text1"/>
          <w:lang w:val="en-GB"/>
        </w:rPr>
        <w:t>fast guide to zero-hours</w:t>
      </w:r>
      <w:r w:rsidR="008E6E81" w:rsidRPr="005234EE">
        <w:rPr>
          <w:rFonts w:ascii="Calibri" w:hAnsi="Calibri"/>
          <w:color w:val="000000" w:themeColor="text1"/>
          <w:lang w:val="en-GB"/>
        </w:rPr>
        <w:t xml:space="preserve"> contracts in the NHS</w:t>
      </w:r>
      <w:r w:rsidRPr="005234EE">
        <w:rPr>
          <w:rFonts w:ascii="Calibri" w:hAnsi="Calibri"/>
          <w:color w:val="000000" w:themeColor="text1"/>
          <w:lang w:val="en-GB"/>
        </w:rPr>
        <w:t>’,</w:t>
      </w:r>
      <w:r w:rsidR="008E6E81" w:rsidRPr="005234EE">
        <w:rPr>
          <w:rFonts w:ascii="Calibri" w:hAnsi="Calibri"/>
          <w:color w:val="000000" w:themeColor="text1"/>
          <w:lang w:val="en-GB"/>
        </w:rPr>
        <w:t xml:space="preserve"> </w:t>
      </w:r>
      <w:r w:rsidR="008E6E81" w:rsidRPr="005234EE">
        <w:rPr>
          <w:rFonts w:ascii="Calibri" w:hAnsi="Calibri"/>
          <w:i/>
          <w:color w:val="000000" w:themeColor="text1"/>
          <w:lang w:val="en-GB"/>
        </w:rPr>
        <w:t>Health Services Journal</w:t>
      </w:r>
      <w:r w:rsidRPr="005234EE">
        <w:rPr>
          <w:rFonts w:ascii="Calibri" w:hAnsi="Calibri"/>
          <w:color w:val="000000" w:themeColor="text1"/>
          <w:lang w:val="en-GB"/>
        </w:rPr>
        <w:t>,</w:t>
      </w:r>
      <w:r w:rsidR="008E6E81" w:rsidRPr="005234EE">
        <w:rPr>
          <w:rFonts w:ascii="Calibri" w:hAnsi="Calibri"/>
          <w:color w:val="000000" w:themeColor="text1"/>
          <w:lang w:val="en-GB"/>
        </w:rPr>
        <w:t xml:space="preserve"> 20 January.</w:t>
      </w:r>
    </w:p>
    <w:p w14:paraId="42A67C7E" w14:textId="3EC45F13" w:rsidR="008E6E81" w:rsidRPr="005234EE" w:rsidRDefault="008E6E81" w:rsidP="004D1AC1">
      <w:pPr>
        <w:shd w:val="clear" w:color="auto" w:fill="FFFFFF"/>
        <w:spacing w:before="100" w:beforeAutospacing="1" w:after="100" w:afterAutospacing="1"/>
        <w:ind w:left="-397" w:right="-397"/>
        <w:outlineLvl w:val="1"/>
        <w:rPr>
          <w:rFonts w:ascii="Calibri" w:eastAsia="Times New Roman" w:hAnsi="Calibri"/>
          <w:color w:val="000000" w:themeColor="text1"/>
          <w:lang w:val="en-GB" w:eastAsia="en-GB"/>
        </w:rPr>
      </w:pPr>
      <w:r w:rsidRPr="005234EE">
        <w:rPr>
          <w:rFonts w:ascii="Calibri" w:eastAsia="Times New Roman" w:hAnsi="Calibri"/>
          <w:color w:val="000000" w:themeColor="text1"/>
          <w:lang w:val="en-GB" w:eastAsia="en-GB"/>
        </w:rPr>
        <w:lastRenderedPageBreak/>
        <w:t xml:space="preserve">Work and Pensions Committee </w:t>
      </w:r>
      <w:r w:rsidR="00E76D48" w:rsidRPr="005234EE">
        <w:rPr>
          <w:rFonts w:ascii="Calibri" w:eastAsia="Times New Roman" w:hAnsi="Calibri"/>
          <w:color w:val="000000" w:themeColor="text1"/>
          <w:lang w:val="en-GB" w:eastAsia="en-GB"/>
        </w:rPr>
        <w:t>(2017)</w:t>
      </w:r>
      <w:r w:rsidRPr="005234EE">
        <w:rPr>
          <w:rFonts w:ascii="Calibri" w:eastAsia="Times New Roman" w:hAnsi="Calibri"/>
          <w:color w:val="000000" w:themeColor="text1"/>
          <w:lang w:val="en-GB" w:eastAsia="en-GB"/>
        </w:rPr>
        <w:t xml:space="preserve"> </w:t>
      </w:r>
      <w:commentRangeStart w:id="26"/>
      <w:r w:rsidRPr="005234EE">
        <w:rPr>
          <w:rFonts w:ascii="Calibri" w:eastAsia="Times New Roman" w:hAnsi="Calibri"/>
          <w:i/>
          <w:color w:val="000000" w:themeColor="text1"/>
          <w:lang w:val="en-GB" w:eastAsia="en-GB"/>
        </w:rPr>
        <w:t xml:space="preserve">Inquiry into Citizens’ Income </w:t>
      </w:r>
      <w:commentRangeEnd w:id="26"/>
      <w:r w:rsidR="004F5A07" w:rsidRPr="005234EE">
        <w:rPr>
          <w:rStyle w:val="CommentReference"/>
          <w:rFonts w:ascii="Calibri" w:hAnsi="Calibri" w:cstheme="minorBidi"/>
          <w:sz w:val="24"/>
          <w:szCs w:val="24"/>
        </w:rPr>
        <w:commentReference w:id="26"/>
      </w:r>
      <w:r w:rsidRPr="005234EE">
        <w:rPr>
          <w:rFonts w:ascii="Calibri" w:eastAsia="Times New Roman" w:hAnsi="Calibri"/>
          <w:i/>
          <w:color w:val="000000" w:themeColor="text1"/>
          <w:lang w:val="en-GB" w:eastAsia="en-GB"/>
        </w:rPr>
        <w:t>- Oral Evidence Session</w:t>
      </w:r>
      <w:r w:rsidR="00E76D48" w:rsidRPr="005234EE">
        <w:rPr>
          <w:rFonts w:ascii="Calibri" w:eastAsia="Times New Roman" w:hAnsi="Calibri"/>
          <w:color w:val="000000" w:themeColor="text1"/>
          <w:lang w:val="en-GB" w:eastAsia="en-GB"/>
        </w:rPr>
        <w:t>, 12 January 2017</w:t>
      </w:r>
      <w:r w:rsidR="00746F96" w:rsidRPr="005234EE">
        <w:rPr>
          <w:rFonts w:ascii="Calibri" w:eastAsia="Times New Roman" w:hAnsi="Calibri"/>
          <w:color w:val="000000" w:themeColor="text1"/>
          <w:lang w:val="en-GB" w:eastAsia="en-GB"/>
        </w:rPr>
        <w:t xml:space="preserve">, Work and Pensions Committee, </w:t>
      </w:r>
      <w:r w:rsidR="00746F96" w:rsidRPr="005234EE">
        <w:rPr>
          <w:rFonts w:ascii="Calibri" w:eastAsia="Times New Roman" w:hAnsi="Calibri"/>
          <w:color w:val="000000" w:themeColor="text1"/>
          <w:highlight w:val="yellow"/>
          <w:lang w:val="en-GB" w:eastAsia="en-GB"/>
        </w:rPr>
        <w:t>London</w:t>
      </w:r>
      <w:r w:rsidR="00746F96" w:rsidRPr="005234EE">
        <w:rPr>
          <w:rFonts w:ascii="Calibri" w:eastAsia="Times New Roman" w:hAnsi="Calibri"/>
          <w:color w:val="000000" w:themeColor="text1"/>
          <w:lang w:val="en-GB" w:eastAsia="en-GB"/>
        </w:rPr>
        <w:t>.</w:t>
      </w:r>
      <w:r w:rsidR="00E76D48" w:rsidRPr="005234EE">
        <w:rPr>
          <w:rFonts w:ascii="Calibri" w:eastAsia="Times New Roman" w:hAnsi="Calibri"/>
          <w:color w:val="000000" w:themeColor="text1"/>
          <w:lang w:val="en-GB" w:eastAsia="en-GB"/>
        </w:rPr>
        <w:t xml:space="preserve"> </w:t>
      </w:r>
      <w:r w:rsidRPr="005234EE">
        <w:rPr>
          <w:rFonts w:ascii="Calibri" w:eastAsia="Times New Roman" w:hAnsi="Calibri"/>
          <w:color w:val="000000" w:themeColor="text1"/>
          <w:lang w:val="en-GB" w:eastAsia="en-GB"/>
        </w:rPr>
        <w:t xml:space="preserve">http://data.parliament.uk/writtenevidence/committeeevidence.svc/evidencedocument/work-and-pensions-committee/universal-basic-income/oral/45336.pdf </w:t>
      </w:r>
      <w:r w:rsidR="004F5A07" w:rsidRPr="005234EE">
        <w:rPr>
          <w:rFonts w:ascii="Calibri" w:eastAsia="Times New Roman" w:hAnsi="Calibri"/>
          <w:color w:val="000000" w:themeColor="text1"/>
          <w:lang w:val="en-GB" w:eastAsia="en-GB"/>
        </w:rPr>
        <w:t>(Accessed [</w:t>
      </w:r>
      <w:r w:rsidR="005B412B">
        <w:rPr>
          <w:rFonts w:ascii="Calibri" w:eastAsia="Times New Roman" w:hAnsi="Calibri"/>
          <w:color w:val="000000" w:themeColor="text1"/>
          <w:lang w:val="en-GB" w:eastAsia="en-GB"/>
        </w:rPr>
        <w:t>18-06-2017]</w:t>
      </w:r>
      <w:r w:rsidR="004F5A07" w:rsidRPr="005234EE">
        <w:rPr>
          <w:rFonts w:ascii="Calibri" w:eastAsia="Times New Roman" w:hAnsi="Calibri"/>
          <w:color w:val="000000" w:themeColor="text1"/>
          <w:lang w:val="en-GB" w:eastAsia="en-GB"/>
        </w:rPr>
        <w:t>)</w:t>
      </w:r>
    </w:p>
    <w:p w14:paraId="6F9DC073" w14:textId="77777777" w:rsidR="003A33E9" w:rsidRPr="005234EE" w:rsidRDefault="003A33E9" w:rsidP="000B6A12">
      <w:pPr>
        <w:ind w:left="-397" w:right="-397"/>
        <w:jc w:val="both"/>
        <w:rPr>
          <w:rFonts w:ascii="Calibri" w:hAnsi="Calibri"/>
          <w:color w:val="000000" w:themeColor="text1"/>
          <w:lang w:val="en-GB"/>
        </w:rPr>
      </w:pPr>
    </w:p>
    <w:p w14:paraId="6E047C87" w14:textId="3D2A3C28" w:rsidR="0059290B" w:rsidRPr="0059290B" w:rsidRDefault="0059290B" w:rsidP="000B6A12">
      <w:pPr>
        <w:ind w:left="-397" w:right="-397"/>
        <w:jc w:val="both"/>
        <w:rPr>
          <w:rFonts w:asciiTheme="minorHAnsi" w:hAnsiTheme="minorHAnsi"/>
          <w:b/>
          <w:color w:val="000000" w:themeColor="text1"/>
          <w:lang w:val="en-GB"/>
        </w:rPr>
      </w:pPr>
      <w:r w:rsidRPr="005234EE">
        <w:rPr>
          <w:rFonts w:ascii="Calibri" w:hAnsi="Calibri"/>
          <w:b/>
          <w:color w:val="000000" w:themeColor="text1"/>
          <w:lang w:val="en-GB"/>
        </w:rPr>
        <w:t>Notes:</w:t>
      </w:r>
    </w:p>
    <w:sectPr w:rsidR="0059290B" w:rsidRPr="0059290B">
      <w:footerReference w:type="default" r:id="rId22"/>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rosoft Office User" w:date="2018-11-02T20:44:00Z" w:initials="Office">
    <w:p w14:paraId="314400B3" w14:textId="0D525619" w:rsidR="007B61C3" w:rsidRDefault="007B61C3">
      <w:pPr>
        <w:pStyle w:val="CommentText"/>
      </w:pPr>
      <w:r>
        <w:rPr>
          <w:rStyle w:val="CommentReference"/>
        </w:rPr>
        <w:annotationRef/>
      </w:r>
      <w:r>
        <w:t>OECD 2012 is not in References. LH: I have inserted it now.</w:t>
      </w:r>
    </w:p>
  </w:comment>
  <w:comment w:id="2" w:author="Microsoft Office User" w:date="2018-11-02T20:02:00Z" w:initials="Office">
    <w:p w14:paraId="1232C629" w14:textId="43C97C3F" w:rsidR="007B61C3" w:rsidRDefault="007B61C3">
      <w:pPr>
        <w:pStyle w:val="CommentText"/>
      </w:pPr>
      <w:r>
        <w:rPr>
          <w:rStyle w:val="CommentReference"/>
        </w:rPr>
        <w:annotationRef/>
      </w:r>
      <w:r>
        <w:t>Meade 1964 is not in References. Done now</w:t>
      </w:r>
    </w:p>
  </w:comment>
  <w:comment w:id="3" w:author="Microsoft Office User" w:date="2018-11-02T20:05:00Z" w:initials="Office">
    <w:p w14:paraId="66DD8994" w14:textId="6E956D57" w:rsidR="007B61C3" w:rsidRDefault="007B61C3">
      <w:pPr>
        <w:pStyle w:val="CommentText"/>
      </w:pPr>
      <w:r>
        <w:rPr>
          <w:rStyle w:val="CommentReference"/>
        </w:rPr>
        <w:annotationRef/>
      </w:r>
      <w:r>
        <w:t>Cumbers 2012 is not in References Done now</w:t>
      </w:r>
    </w:p>
  </w:comment>
  <w:comment w:id="4" w:author="Microsoft Office User" w:date="2018-11-02T20:06:00Z" w:initials="Office">
    <w:p w14:paraId="7DA97D82" w14:textId="48617C03" w:rsidR="007B61C3" w:rsidRDefault="007B61C3">
      <w:pPr>
        <w:pStyle w:val="CommentText"/>
      </w:pPr>
      <w:r>
        <w:rPr>
          <w:rStyle w:val="CommentReference"/>
        </w:rPr>
        <w:annotationRef/>
      </w:r>
      <w:r>
        <w:t>Same as above Done now</w:t>
      </w:r>
    </w:p>
  </w:comment>
  <w:comment w:id="5" w:author="Microsoft Office User" w:date="2018-11-02T20:07:00Z" w:initials="Office">
    <w:p w14:paraId="1757D046" w14:textId="62EA8261" w:rsidR="007B61C3" w:rsidRDefault="007B61C3">
      <w:pPr>
        <w:pStyle w:val="CommentText"/>
      </w:pPr>
      <w:r>
        <w:rPr>
          <w:rStyle w:val="CommentReference"/>
        </w:rPr>
        <w:annotationRef/>
      </w:r>
      <w:r>
        <w:t>Same as above Done</w:t>
      </w:r>
    </w:p>
  </w:comment>
  <w:comment w:id="6" w:author="Microsoft Office User" w:date="2018-11-02T20:09:00Z" w:initials="Office">
    <w:p w14:paraId="52B051FD" w14:textId="1E213471" w:rsidR="007B61C3" w:rsidRDefault="007B61C3">
      <w:pPr>
        <w:pStyle w:val="CommentText"/>
      </w:pPr>
      <w:r>
        <w:rPr>
          <w:rStyle w:val="CommentReference"/>
        </w:rPr>
        <w:annotationRef/>
      </w:r>
      <w:r>
        <w:t>Not in References Done</w:t>
      </w:r>
    </w:p>
  </w:comment>
  <w:comment w:id="7" w:author="Microsoft Office User" w:date="2018-11-02T20:10:00Z" w:initials="Office">
    <w:p w14:paraId="4CA4FC92" w14:textId="19C44098" w:rsidR="007B61C3" w:rsidRDefault="007B61C3">
      <w:pPr>
        <w:pStyle w:val="CommentText"/>
      </w:pPr>
      <w:r>
        <w:rPr>
          <w:rStyle w:val="CommentReference"/>
        </w:rPr>
        <w:annotationRef/>
      </w:r>
      <w:r>
        <w:t>Not in References Done</w:t>
      </w:r>
    </w:p>
  </w:comment>
  <w:comment w:id="8" w:author="Microsoft Office User" w:date="2018-11-02T20:16:00Z" w:initials="Office">
    <w:p w14:paraId="25A844A2" w14:textId="717E16F7" w:rsidR="007B61C3" w:rsidRDefault="007B61C3">
      <w:pPr>
        <w:pStyle w:val="CommentText"/>
      </w:pPr>
      <w:r>
        <w:rPr>
          <w:rStyle w:val="CommentReference"/>
        </w:rPr>
        <w:annotationRef/>
      </w:r>
      <w:r>
        <w:t>Not in References Done</w:t>
      </w:r>
    </w:p>
  </w:comment>
  <w:comment w:id="9" w:author="Microsoft Office User" w:date="2018-11-02T20:24:00Z" w:initials="Office">
    <w:p w14:paraId="04681BDC" w14:textId="2305420D" w:rsidR="007B61C3" w:rsidRDefault="007B61C3">
      <w:pPr>
        <w:pStyle w:val="CommentText"/>
      </w:pPr>
      <w:r>
        <w:rPr>
          <w:rStyle w:val="CommentReference"/>
        </w:rPr>
        <w:annotationRef/>
      </w:r>
      <w:r>
        <w:t xml:space="preserve">Rothstein 2008 is not in References Is corrected </w:t>
      </w:r>
    </w:p>
  </w:comment>
  <w:comment w:id="10" w:author="Microsoft Office User" w:date="2018-11-02T20:25:00Z" w:initials="Office">
    <w:p w14:paraId="6DAFB861" w14:textId="3DBF911A" w:rsidR="007B61C3" w:rsidRDefault="007B61C3">
      <w:pPr>
        <w:pStyle w:val="CommentText"/>
      </w:pPr>
      <w:r>
        <w:rPr>
          <w:rStyle w:val="CommentReference"/>
        </w:rPr>
        <w:annotationRef/>
      </w:r>
      <w:r>
        <w:t>Ringen 2009 is not in References Done</w:t>
      </w:r>
    </w:p>
  </w:comment>
  <w:comment w:id="11" w:author="Microsoft Office User" w:date="2018-11-02T20:36:00Z" w:initials="Office">
    <w:p w14:paraId="61FD813D" w14:textId="039AF455" w:rsidR="007B61C3" w:rsidRDefault="007B61C3">
      <w:pPr>
        <w:pStyle w:val="CommentText"/>
      </w:pPr>
      <w:r>
        <w:rPr>
          <w:rStyle w:val="CommentReference"/>
        </w:rPr>
        <w:annotationRef/>
      </w:r>
      <w:r>
        <w:t>Not in References Done</w:t>
      </w:r>
    </w:p>
  </w:comment>
  <w:comment w:id="12" w:author="Microsoft Office User" w:date="2018-11-02T20:38:00Z" w:initials="Office">
    <w:p w14:paraId="1C8724B5" w14:textId="227838AB" w:rsidR="007B61C3" w:rsidRDefault="007B61C3">
      <w:pPr>
        <w:pStyle w:val="CommentText"/>
      </w:pPr>
      <w:r>
        <w:rPr>
          <w:rStyle w:val="CommentReference"/>
        </w:rPr>
        <w:annotationRef/>
      </w:r>
      <w:r>
        <w:t>Sutton Trust 2007 is not in References DOne</w:t>
      </w:r>
    </w:p>
  </w:comment>
  <w:comment w:id="13" w:author="Microsoft Office User" w:date="2018-11-02T20:47:00Z" w:initials="Office">
    <w:p w14:paraId="6BAFA7BC" w14:textId="39488E18" w:rsidR="007B61C3" w:rsidRDefault="007B61C3">
      <w:pPr>
        <w:pStyle w:val="CommentText"/>
      </w:pPr>
      <w:r>
        <w:rPr>
          <w:rStyle w:val="CommentReference"/>
        </w:rPr>
        <w:annotationRef/>
      </w:r>
      <w:r w:rsidRPr="000E1471">
        <w:rPr>
          <w:rFonts w:ascii="Constantia" w:hAnsi="Constantia" w:cs="Times New Roman"/>
          <w:color w:val="000000" w:themeColor="text1"/>
          <w:lang w:val="en-GB"/>
        </w:rPr>
        <w:t>Andersen, Larsen, and Jensen</w:t>
      </w:r>
      <w:r>
        <w:rPr>
          <w:rFonts w:ascii="Constantia" w:hAnsi="Constantia" w:cs="Times New Roman"/>
          <w:color w:val="000000" w:themeColor="text1"/>
          <w:lang w:val="en-GB"/>
        </w:rPr>
        <w:t xml:space="preserve"> 2013 is not in References DOne</w:t>
      </w:r>
    </w:p>
  </w:comment>
  <w:comment w:id="14" w:author="Microsoft Office User" w:date="2018-11-02T20:49:00Z" w:initials="Office">
    <w:p w14:paraId="76DCDCAC" w14:textId="2CE62BDE" w:rsidR="007B61C3" w:rsidRDefault="007B61C3">
      <w:pPr>
        <w:pStyle w:val="CommentText"/>
      </w:pPr>
      <w:r>
        <w:rPr>
          <w:rStyle w:val="CommentReference"/>
        </w:rPr>
        <w:annotationRef/>
      </w:r>
      <w:r>
        <w:t>There is no Haagh 2013 in References. Corrected</w:t>
      </w:r>
    </w:p>
  </w:comment>
  <w:comment w:id="15" w:author="Microsoft Office User" w:date="2018-11-02T20:51:00Z" w:initials="Office">
    <w:p w14:paraId="23146373" w14:textId="28C0634E" w:rsidR="007B61C3" w:rsidRDefault="007B61C3">
      <w:pPr>
        <w:pStyle w:val="CommentText"/>
      </w:pPr>
      <w:r>
        <w:rPr>
          <w:rStyle w:val="CommentReference"/>
        </w:rPr>
        <w:annotationRef/>
      </w:r>
      <w:r>
        <w:t>Kors 2014 is not in References – there was a misspelling - Done</w:t>
      </w:r>
    </w:p>
  </w:comment>
  <w:comment w:id="16" w:author="Microsoft Office User" w:date="2018-11-02T20:53:00Z" w:initials="Office">
    <w:p w14:paraId="1CFA121A" w14:textId="261FB0CA" w:rsidR="007B61C3" w:rsidRDefault="007B61C3">
      <w:pPr>
        <w:pStyle w:val="CommentText"/>
      </w:pPr>
      <w:r>
        <w:rPr>
          <w:rStyle w:val="CommentReference"/>
        </w:rPr>
        <w:annotationRef/>
      </w:r>
      <w:r>
        <w:t xml:space="preserve">There is no Haagh 2017 in References Done </w:t>
      </w:r>
    </w:p>
  </w:comment>
  <w:comment w:id="17" w:author="Microsoft Office User" w:date="2018-10-15T18:34:00Z" w:initials="Office">
    <w:p w14:paraId="1B88AD4F" w14:textId="4F976CA9" w:rsidR="007B61C3" w:rsidRDefault="007B61C3">
      <w:pPr>
        <w:pStyle w:val="CommentText"/>
      </w:pPr>
      <w:r>
        <w:rPr>
          <w:rStyle w:val="CommentReference"/>
        </w:rPr>
        <w:annotationRef/>
      </w:r>
      <w:r>
        <w:t xml:space="preserve"> </w:t>
      </w:r>
      <w:r w:rsidRPr="00066525">
        <w:rPr>
          <w:color w:val="000000" w:themeColor="text1"/>
          <w:sz w:val="24"/>
          <w:szCs w:val="24"/>
        </w:rPr>
        <w:t>Department of Work and Pensions</w:t>
      </w:r>
      <w:r>
        <w:t xml:space="preserve">, 2017 is not in References Done </w:t>
      </w:r>
    </w:p>
  </w:comment>
  <w:comment w:id="18" w:author="Microsoft Office User" w:date="2018-10-15T20:28:00Z" w:initials="Office">
    <w:p w14:paraId="7820B62B" w14:textId="6F39C6E9" w:rsidR="007B61C3" w:rsidRDefault="007B61C3">
      <w:pPr>
        <w:pStyle w:val="CommentText"/>
      </w:pPr>
      <w:r>
        <w:rPr>
          <w:rStyle w:val="CommentReference"/>
        </w:rPr>
        <w:annotationRef/>
      </w:r>
      <w:r>
        <w:t xml:space="preserve">There doesn’t seem to be </w:t>
      </w:r>
      <w:r w:rsidRPr="00066525">
        <w:t>Beskæftigelsesministeriet</w:t>
      </w:r>
      <w:r>
        <w:t xml:space="preserve"> 2016a? I deleted “a”. Please confirm it is 2016</w:t>
      </w:r>
    </w:p>
  </w:comment>
  <w:comment w:id="19" w:author="Microsoft Office User" w:date="2018-11-02T21:07:00Z" w:initials="Office">
    <w:p w14:paraId="7B885F78" w14:textId="189978D3" w:rsidR="007B61C3" w:rsidRDefault="007B61C3">
      <w:pPr>
        <w:pStyle w:val="CommentText"/>
      </w:pPr>
      <w:r>
        <w:rPr>
          <w:rStyle w:val="CommentReference"/>
        </w:rPr>
        <w:annotationRef/>
      </w:r>
      <w:r>
        <w:t xml:space="preserve">Entry in References says 2016, pls double check as above </w:t>
      </w:r>
    </w:p>
  </w:comment>
  <w:comment w:id="20" w:author="Microsoft Office User" w:date="2018-11-02T21:11:00Z" w:initials="Office">
    <w:p w14:paraId="590B563A" w14:textId="5A58851F" w:rsidR="007B61C3" w:rsidRDefault="007B61C3">
      <w:pPr>
        <w:pStyle w:val="CommentText"/>
      </w:pPr>
      <w:r>
        <w:rPr>
          <w:rStyle w:val="CommentReference"/>
        </w:rPr>
        <w:annotationRef/>
      </w:r>
      <w:r>
        <w:t>I can’t tell what this part is, It just refers to a law…., the number of the law, and the date it was published and enaced</w:t>
      </w:r>
    </w:p>
  </w:comment>
  <w:comment w:id="21" w:author="Stuart White" w:date="2018-12-07T16:06:00Z" w:initials="SW">
    <w:p w14:paraId="07A56C30" w14:textId="19DCCE52" w:rsidR="007B61C3" w:rsidRDefault="007B61C3">
      <w:pPr>
        <w:pStyle w:val="CommentText"/>
      </w:pPr>
      <w:r>
        <w:rPr>
          <w:rStyle w:val="CommentReference"/>
        </w:rPr>
        <w:annotationRef/>
      </w:r>
      <w:r>
        <w:t>Please add access date.</w:t>
      </w:r>
    </w:p>
  </w:comment>
  <w:comment w:id="23" w:author="Stuart White" w:date="2018-12-07T16:07:00Z" w:initials="SW">
    <w:p w14:paraId="6BB1DF2D" w14:textId="1D40B8D7" w:rsidR="007B61C3" w:rsidRDefault="007B61C3">
      <w:pPr>
        <w:pStyle w:val="CommentText"/>
      </w:pPr>
      <w:r>
        <w:rPr>
          <w:rStyle w:val="CommentReference"/>
        </w:rPr>
        <w:annotationRef/>
      </w:r>
      <w:r>
        <w:t>Please add access date.</w:t>
      </w:r>
    </w:p>
  </w:comment>
  <w:comment w:id="24" w:author="Microsoft Office User" w:date="2018-11-02T16:18:00Z" w:initials="Office">
    <w:p w14:paraId="6DEBBB4C" w14:textId="7845009A" w:rsidR="007B61C3" w:rsidRDefault="007B61C3">
      <w:pPr>
        <w:pStyle w:val="CommentText"/>
      </w:pPr>
      <w:r>
        <w:rPr>
          <w:rStyle w:val="CommentReference"/>
        </w:rPr>
        <w:annotationRef/>
      </w:r>
      <w:r>
        <w:t>I can’t tell what is 105 referring to I think this is an old query?</w:t>
      </w:r>
    </w:p>
  </w:comment>
  <w:comment w:id="25" w:author="Microsoft Office User" w:date="2018-11-02T17:22:00Z" w:initials="Office">
    <w:p w14:paraId="35728BF4" w14:textId="20C19D35" w:rsidR="007B61C3" w:rsidRDefault="007B61C3">
      <w:pPr>
        <w:pStyle w:val="CommentText"/>
      </w:pPr>
      <w:r>
        <w:rPr>
          <w:rStyle w:val="CommentReference"/>
        </w:rPr>
        <w:annotationRef/>
      </w:r>
      <w:r>
        <w:t>The bbc link is not cited. I have deleted it; or please add it as an independent entry.</w:t>
      </w:r>
    </w:p>
  </w:comment>
  <w:comment w:id="26" w:author="Microsoft Office User" w:date="2018-11-02T18:18:00Z" w:initials="Office">
    <w:p w14:paraId="07364753" w14:textId="26638067" w:rsidR="007B61C3" w:rsidRDefault="007B61C3">
      <w:pPr>
        <w:pStyle w:val="CommentText"/>
      </w:pPr>
      <w:r>
        <w:rPr>
          <w:rStyle w:val="CommentReference"/>
        </w:rPr>
        <w:annotationRef/>
      </w:r>
      <w:r>
        <w:t>Title in the provided link is called Oral Evidence: Universal Basic Income? -&gt; pls check</w:t>
      </w:r>
      <w:r w:rsidR="005B412B">
        <w:t xml:space="preserve"> It is a recording of the witness statements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4400B3" w15:done="0"/>
  <w15:commentEx w15:paraId="1232C629" w15:done="0"/>
  <w15:commentEx w15:paraId="66DD8994" w15:done="0"/>
  <w15:commentEx w15:paraId="7DA97D82" w15:done="0"/>
  <w15:commentEx w15:paraId="1757D046" w15:done="0"/>
  <w15:commentEx w15:paraId="52B051FD" w15:done="0"/>
  <w15:commentEx w15:paraId="4CA4FC92" w15:done="0"/>
  <w15:commentEx w15:paraId="25A844A2" w15:done="0"/>
  <w15:commentEx w15:paraId="04681BDC" w15:done="0"/>
  <w15:commentEx w15:paraId="6DAFB861" w15:done="0"/>
  <w15:commentEx w15:paraId="61FD813D" w15:done="0"/>
  <w15:commentEx w15:paraId="1C8724B5" w15:done="0"/>
  <w15:commentEx w15:paraId="6BAFA7BC" w15:done="0"/>
  <w15:commentEx w15:paraId="76DCDCAC" w15:done="0"/>
  <w15:commentEx w15:paraId="23146373" w15:done="0"/>
  <w15:commentEx w15:paraId="1CFA121A" w15:done="0"/>
  <w15:commentEx w15:paraId="1B88AD4F" w15:done="0"/>
  <w15:commentEx w15:paraId="7820B62B" w15:done="0"/>
  <w15:commentEx w15:paraId="7B885F78" w15:done="0"/>
  <w15:commentEx w15:paraId="590B563A" w15:done="0"/>
  <w15:commentEx w15:paraId="07A56C30" w15:done="0"/>
  <w15:commentEx w15:paraId="6BB1DF2D" w15:done="0"/>
  <w15:commentEx w15:paraId="6DEBBB4C" w15:done="0"/>
  <w15:commentEx w15:paraId="35728BF4" w15:done="0"/>
  <w15:commentEx w15:paraId="073647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400B3" w16cid:durableId="1FC27ED7"/>
  <w16cid:commentId w16cid:paraId="1232C629" w16cid:durableId="1FC27ED8"/>
  <w16cid:commentId w16cid:paraId="66DD8994" w16cid:durableId="1FC27ED9"/>
  <w16cid:commentId w16cid:paraId="7DA97D82" w16cid:durableId="1FC27EDA"/>
  <w16cid:commentId w16cid:paraId="1757D046" w16cid:durableId="1FC27EDB"/>
  <w16cid:commentId w16cid:paraId="52B051FD" w16cid:durableId="1FC27EDC"/>
  <w16cid:commentId w16cid:paraId="4CA4FC92" w16cid:durableId="1FC27EDD"/>
  <w16cid:commentId w16cid:paraId="25A844A2" w16cid:durableId="1FC27EDE"/>
  <w16cid:commentId w16cid:paraId="04681BDC" w16cid:durableId="1FC27EDF"/>
  <w16cid:commentId w16cid:paraId="6DAFB861" w16cid:durableId="1FC27EE0"/>
  <w16cid:commentId w16cid:paraId="61FD813D" w16cid:durableId="1FC27EE1"/>
  <w16cid:commentId w16cid:paraId="1C8724B5" w16cid:durableId="1FC27EE2"/>
  <w16cid:commentId w16cid:paraId="6BAFA7BC" w16cid:durableId="1FC27EE3"/>
  <w16cid:commentId w16cid:paraId="76DCDCAC" w16cid:durableId="1FC27EE4"/>
  <w16cid:commentId w16cid:paraId="23146373" w16cid:durableId="1FC27EE5"/>
  <w16cid:commentId w16cid:paraId="1CFA121A" w16cid:durableId="1FC27EE6"/>
  <w16cid:commentId w16cid:paraId="1B88AD4F" w16cid:durableId="1FC27EE7"/>
  <w16cid:commentId w16cid:paraId="7820B62B" w16cid:durableId="1FC27EE8"/>
  <w16cid:commentId w16cid:paraId="7B885F78" w16cid:durableId="1FC27EE9"/>
  <w16cid:commentId w16cid:paraId="590B563A" w16cid:durableId="1FC27EEA"/>
  <w16cid:commentId w16cid:paraId="07A56C30" w16cid:durableId="1FC27EEB"/>
  <w16cid:commentId w16cid:paraId="6BB1DF2D" w16cid:durableId="1FC27EEC"/>
  <w16cid:commentId w16cid:paraId="6DEBBB4C" w16cid:durableId="1FC27EED"/>
  <w16cid:commentId w16cid:paraId="35728BF4" w16cid:durableId="1FC27EEE"/>
  <w16cid:commentId w16cid:paraId="07364753" w16cid:durableId="1FC27E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97F4B" w14:textId="77777777" w:rsidR="007D6886" w:rsidRDefault="007D6886" w:rsidP="00152BE2"/>
  </w:endnote>
  <w:endnote w:type="continuationSeparator" w:id="0">
    <w:p w14:paraId="072B51CF" w14:textId="77777777" w:rsidR="007D6886" w:rsidRDefault="007D6886" w:rsidP="00152BE2"/>
  </w:endnote>
  <w:endnote w:id="1">
    <w:p w14:paraId="13782D64" w14:textId="77777777" w:rsidR="007B61C3" w:rsidRPr="005234EE" w:rsidRDefault="007B61C3" w:rsidP="005234EE">
      <w:pPr>
        <w:pStyle w:val="EndnoteText"/>
        <w:spacing w:after="240"/>
        <w:ind w:left="-397" w:right="-397"/>
        <w:jc w:val="both"/>
        <w:rPr>
          <w:rFonts w:ascii="Calibri" w:hAnsi="Calibri" w:cs="Times New Roman"/>
          <w:lang w:val="en-GB"/>
        </w:rPr>
      </w:pPr>
      <w:r w:rsidRPr="005234EE">
        <w:rPr>
          <w:rStyle w:val="EndnoteReference"/>
          <w:rFonts w:ascii="Calibri" w:hAnsi="Calibri" w:cs="Times New Roman"/>
        </w:rPr>
        <w:endnoteRef/>
      </w:r>
      <w:r w:rsidRPr="005234EE">
        <w:rPr>
          <w:rFonts w:ascii="Calibri" w:hAnsi="Calibri" w:cs="Times New Roman"/>
        </w:rPr>
        <w:t xml:space="preserve"> </w:t>
      </w:r>
      <w:r w:rsidRPr="005234EE">
        <w:rPr>
          <w:rFonts w:ascii="Calibri" w:hAnsi="Calibri" w:cs="Times New Roman"/>
          <w:lang w:val="en-GB"/>
        </w:rPr>
        <w:t xml:space="preserve">Thelen (2014) has taken steps in this direction, by looking at state social policy in response to liberalisation since the 1990s. </w:t>
      </w:r>
    </w:p>
  </w:endnote>
  <w:endnote w:id="2">
    <w:p w14:paraId="04721CD0" w14:textId="1992E104"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As Mahoney and Thelen (2015, p.7, pp.23-24, p.27) and Capoccia (2015, pp.174-175) acknowledge, comparative literatures have not been near inquisitive enough about underlying conditions behind systems’ development.</w:t>
      </w:r>
    </w:p>
  </w:endnote>
  <w:endnote w:id="3">
    <w:p w14:paraId="70CD6422" w14:textId="703040C9"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The Declaration of Freedom of 6</w:t>
      </w:r>
      <w:r w:rsidRPr="005234EE">
        <w:rPr>
          <w:rFonts w:ascii="Calibri" w:hAnsi="Calibri" w:cs="Times New Roman"/>
          <w:color w:val="000000" w:themeColor="text1"/>
          <w:vertAlign w:val="superscript"/>
          <w:lang w:val="en-GB"/>
        </w:rPr>
        <w:t>th</w:t>
      </w:r>
      <w:r w:rsidRPr="005234EE">
        <w:rPr>
          <w:rFonts w:ascii="Calibri" w:hAnsi="Calibri" w:cs="Times New Roman"/>
          <w:color w:val="000000" w:themeColor="text1"/>
          <w:lang w:val="en-GB"/>
        </w:rPr>
        <w:t xml:space="preserve"> November 1797 lists the dilution of feudalism as its central act, “The King ordered: That serfdom shall cease. The agricultural legislation shall have force and rule, so that the free peasant, brave and enlightened, hard-working and good, shall be a citizen with integrity, happy. That that citizens’ freedom shall be governed by just law, citizens love their fatherland, protect its welfare, have desire for enlightenment, disposition towards hard work and hope for good good fortune.”</w:t>
      </w:r>
    </w:p>
  </w:endnote>
  <w:endnote w:id="4">
    <w:p w14:paraId="12874D16" w14:textId="7D354FD0" w:rsidR="007B61C3" w:rsidRPr="005234EE" w:rsidRDefault="007B61C3" w:rsidP="005234EE">
      <w:pPr>
        <w:pStyle w:val="EndnoteText"/>
        <w:spacing w:after="240"/>
        <w:ind w:left="-397" w:right="-397"/>
        <w:jc w:val="both"/>
        <w:rPr>
          <w:rFonts w:ascii="Calibri" w:hAnsi="Calibri" w:cs="Times New Roman"/>
          <w:lang w:val="en-GB"/>
        </w:rPr>
      </w:pPr>
      <w:r w:rsidRPr="005234EE">
        <w:rPr>
          <w:rStyle w:val="EndnoteReference"/>
          <w:rFonts w:ascii="Calibri" w:hAnsi="Calibri" w:cs="Times New Roman"/>
        </w:rPr>
        <w:endnoteRef/>
      </w:r>
      <w:r w:rsidRPr="005234EE">
        <w:rPr>
          <w:rFonts w:ascii="Calibri" w:hAnsi="Calibri" w:cs="Times New Roman"/>
        </w:rPr>
        <w:t xml:space="preserve"> </w:t>
      </w:r>
      <w:r w:rsidRPr="005234EE">
        <w:rPr>
          <w:rFonts w:ascii="Calibri" w:hAnsi="Calibri" w:cs="Times New Roman"/>
          <w:color w:val="000000" w:themeColor="text1"/>
          <w:lang w:val="en-GB"/>
        </w:rPr>
        <w:t>Agrarian law reform was a major topic of the 1700s in Denmark, and peasants’ natural right to land its moral subject (Jensen, 1936, p.113, pp.280-340).</w:t>
      </w:r>
    </w:p>
  </w:endnote>
  <w:endnote w:id="5">
    <w:p w14:paraId="6BA50BA6" w14:textId="0143E570"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According to Fairlie (2009, p.8), MPs were rewarding themselves legal title unopposed: “Out of 796 instances of MPs turning up for any of the Oxfordshire bills, 514 were Oxfordshire MPs, most of whom would have been landowners.”</w:t>
      </w:r>
    </w:p>
  </w:endnote>
  <w:endnote w:id="6">
    <w:p w14:paraId="35BCC429" w14:textId="539DA2FA"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Land registry had been central to proactive government policy</w:t>
      </w:r>
      <w:r w:rsidRPr="005234EE">
        <w:rPr>
          <w:rFonts w:ascii="Calibri" w:hAnsi="Calibri" w:cs="Times New Roman"/>
          <w:color w:val="000000" w:themeColor="text1"/>
          <w:lang w:val="en-GB"/>
        </w:rPr>
        <w:t xml:space="preserve"> (Jensen, 1936, pp.250-310). </w:t>
      </w:r>
    </w:p>
  </w:endnote>
  <w:endnote w:id="7">
    <w:p w14:paraId="25BE1F41" w14:textId="77777777"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The formation of union-employer grand accords and social democratic parties and movements in the 1890s across Scandinavia has roots in a prior high level of public sector development.</w:t>
      </w:r>
    </w:p>
  </w:endnote>
  <w:endnote w:id="8">
    <w:p w14:paraId="1EA007F6" w14:textId="4A80E9DA"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 xml:space="preserve">Deeg observes, sometimes “As a given institutional path evolves, its very own mechanisms of reproduction can undermine itself” (Deeg, 2005, p.195, cited in Steinmo, 2010, p.16). </w:t>
      </w:r>
    </w:p>
  </w:endnote>
  <w:endnote w:id="9">
    <w:p w14:paraId="4AB10EFE" w14:textId="40717758" w:rsidR="007B61C3" w:rsidRPr="007B61C3" w:rsidRDefault="007B61C3" w:rsidP="005234EE">
      <w:pPr>
        <w:shd w:val="clear" w:color="auto" w:fill="FFFFFF"/>
        <w:spacing w:after="240"/>
        <w:ind w:left="-397" w:right="-397"/>
        <w:jc w:val="both"/>
        <w:rPr>
          <w:rFonts w:ascii="Calibri" w:hAnsi="Calibri"/>
          <w:color w:val="000000" w:themeColor="text1"/>
          <w:lang w:val="en-GB"/>
        </w:rPr>
      </w:pPr>
      <w:r w:rsidRPr="005234EE">
        <w:rPr>
          <w:rStyle w:val="EndnoteReference"/>
          <w:rFonts w:ascii="Calibri" w:hAnsi="Calibri"/>
          <w:color w:val="000000" w:themeColor="text1"/>
        </w:rPr>
        <w:endnoteRef/>
      </w:r>
      <w:r w:rsidRPr="005234EE">
        <w:rPr>
          <w:rFonts w:ascii="Calibri" w:hAnsi="Calibri"/>
          <w:color w:val="000000" w:themeColor="text1"/>
        </w:rPr>
        <w:t xml:space="preserve"> </w:t>
      </w:r>
      <w:r w:rsidRPr="005234EE">
        <w:rPr>
          <w:rFonts w:ascii="Calibri" w:hAnsi="Calibri"/>
          <w:color w:val="000000" w:themeColor="text1"/>
          <w:lang w:val="en-GB"/>
        </w:rPr>
        <w:t>In addition to regulation, in Denmark there are effective subsidies of both owned housing (through mortgage tax relief) and rented housing, with a view to promote housing cost stability of different groups (</w:t>
      </w:r>
      <w:r w:rsidRPr="005234EE">
        <w:rPr>
          <w:rFonts w:ascii="Calibri" w:hAnsi="Calibri"/>
          <w:color w:val="000000" w:themeColor="text1"/>
        </w:rPr>
        <w:t xml:space="preserve">Boligreguleringsloven, </w:t>
      </w:r>
      <w:r w:rsidRPr="005234EE">
        <w:rPr>
          <w:rFonts w:ascii="Calibri" w:eastAsia="Times New Roman" w:hAnsi="Calibri"/>
          <w:bCs/>
          <w:color w:val="000000" w:themeColor="text1"/>
          <w:shd w:val="clear" w:color="auto" w:fill="FFFFFF"/>
          <w:lang w:val="en-GB" w:eastAsia="en-GB"/>
        </w:rPr>
        <w:t xml:space="preserve">2016; </w:t>
      </w:r>
      <w:r w:rsidRPr="005234EE">
        <w:rPr>
          <w:rFonts w:ascii="Calibri" w:hAnsi="Calibri"/>
          <w:color w:val="000000" w:themeColor="text1"/>
          <w:lang w:val="en-GB"/>
        </w:rPr>
        <w:t>Boligportal 2016)</w:t>
      </w:r>
    </w:p>
  </w:endnote>
  <w:endnote w:id="10">
    <w:p w14:paraId="0598F687" w14:textId="7E720016"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In 2014, housing benefit spend in Denmark represented 5.3 % (at 70 Mia. Kr) of combined housing and income transfer spend (on families, housing, income, unemployment and sickness benefits, Danmarks Statistik, 2016, p.68). In comparison, in the UK, housing benefit represented 24 % (26 Bio. £) of a spend in 2015/6 on unemployment benefits (2.4 bn), child benefit (11.7 billion), Housing (26.0 bn), working and child tax credits (29.9 billion) and Disability payments (36.7 Billion). Department of Work and Pensions, Annual Report (2015/16).</w:t>
      </w:r>
    </w:p>
  </w:endnote>
  <w:endnote w:id="11">
    <w:p w14:paraId="58363AC2" w14:textId="77777777"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 xml:space="preserve">Notably, Denmark spends 12 % of the above-listed total social transfer spend on employment-related subsidies, and Britain 28 %. </w:t>
      </w:r>
    </w:p>
  </w:endnote>
  <w:endnote w:id="12">
    <w:p w14:paraId="33791AA4" w14:textId="4CD19E7D"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According to data sourced from the Independent Schools Council, between 2015 and 2015 alone, private school fees rose by 20 per cent, four times faster than the rise in full time gross annual earnings in the same period. Lloyds Bank (2015, p.1). I have argued fees increases are driven by inequality: schools in the same chain (Steiner) charge 5.6 times more in Britain (Haagh, 2015, p.67)</w:t>
      </w:r>
    </w:p>
  </w:endnote>
  <w:endnote w:id="13">
    <w:p w14:paraId="47FFCA36" w14:textId="4DF36838"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Education was the third and the health sector the second largest user at 13 per cent of work places, and 61 per cent in adult domiciliary care (Pyper and McGuiness, 2014, p.5).</w:t>
      </w:r>
    </w:p>
  </w:endnote>
  <w:endnote w:id="14">
    <w:p w14:paraId="3AFD6225" w14:textId="1A2E9BE0"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As she put it, “One of the biggest risks of using a temporary worker is that the person turns out to be a good performer who is then offered shifts on a regular basis.. which in turn increases the likelihood that they will be regarded by an Employment Tribunal as an employee with full employment rights.” (Williams, 2014, p.3).</w:t>
      </w:r>
    </w:p>
  </w:endnote>
  <w:endnote w:id="15">
    <w:p w14:paraId="20A3D917" w14:textId="091EAC35" w:rsidR="007B61C3" w:rsidRPr="005234EE" w:rsidRDefault="007B61C3" w:rsidP="005234EE">
      <w:pPr>
        <w:pStyle w:val="EndnoteText"/>
        <w:spacing w:after="240"/>
        <w:ind w:left="-397" w:right="-397"/>
        <w:jc w:val="both"/>
        <w:rPr>
          <w:rFonts w:ascii="Calibri" w:hAnsi="Calibri" w:cs="Times New Roman"/>
          <w:lang w:val="en-GB"/>
        </w:rPr>
      </w:pPr>
      <w:r w:rsidRPr="005234EE">
        <w:rPr>
          <w:rStyle w:val="EndnoteReference"/>
          <w:rFonts w:ascii="Calibri" w:hAnsi="Calibri" w:cs="Times New Roman"/>
        </w:rPr>
        <w:endnoteRef/>
      </w:r>
      <w:r w:rsidRPr="005234EE">
        <w:rPr>
          <w:rFonts w:ascii="Calibri" w:hAnsi="Calibri" w:cs="Times New Roman"/>
        </w:rPr>
        <w:t xml:space="preserve"> </w:t>
      </w:r>
      <w:r w:rsidRPr="005234EE">
        <w:rPr>
          <w:rFonts w:ascii="Calibri" w:hAnsi="Calibri" w:cs="Times New Roman"/>
          <w:lang w:val="en-GB"/>
        </w:rPr>
        <w:t xml:space="preserve">Representations to a recent Supreme Court (2017, p.4) ruling which judged a 2013 government policy to raise fees in employment tribunal cases illegal, documented employers’ ability to exploit the fee structure to refuse to negotiate with employees. As detailed in Haagh (2018) the case offers a window into the weak every-day power of employees in Britain. </w:t>
      </w:r>
    </w:p>
  </w:endnote>
  <w:endnote w:id="16">
    <w:p w14:paraId="5FFD5DFB" w14:textId="767A4AFE"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In Denmark the average compensation rate of a whole unemployment period in 2011 was 67 percent (</w:t>
      </w:r>
      <w:r w:rsidRPr="005234EE">
        <w:rPr>
          <w:rFonts w:ascii="Calibri" w:hAnsi="Calibri" w:cs="Times New Roman"/>
          <w:color w:val="000000" w:themeColor="text1"/>
        </w:rPr>
        <w:t>Bjørn and Høj, 2014, pp.</w:t>
      </w:r>
      <w:r w:rsidRPr="005234EE">
        <w:rPr>
          <w:rFonts w:ascii="Calibri" w:hAnsi="Calibri" w:cs="Times New Roman"/>
          <w:color w:val="000000" w:themeColor="text1"/>
          <w:lang w:val="en-GB"/>
        </w:rPr>
        <w:t xml:space="preserve">27-28) to 100 % of average salary, but 88 % for those (previously) earning 2/3 of the average wage. For the UK the rates are 28 and 33 percent. </w:t>
      </w:r>
    </w:p>
  </w:endnote>
  <w:endnote w:id="17">
    <w:p w14:paraId="160B5CF3" w14:textId="2BD840E9"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In comparison, 17.9 % of 20-24 year-old members of the self-employed mutual society were sanctioned (Klos, 2014, p.18)</w:t>
      </w:r>
    </w:p>
  </w:endnote>
  <w:endnote w:id="18">
    <w:p w14:paraId="1B93E962" w14:textId="38232B24"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Without tax subsidy, premiums on lower earners would have the effect of excluding them (Bjørn and Høj, 2014, p.10; Haagh, 2013b)</w:t>
      </w:r>
    </w:p>
  </w:endnote>
  <w:endnote w:id="19">
    <w:p w14:paraId="146D19FD" w14:textId="4C9BEDFB"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 xml:space="preserve">Higher-level sanctions can entail withdrawal of the full amount of income support of up to three years (Adler, 2016, p.200; National Audit Office, 2016). </w:t>
      </w:r>
    </w:p>
  </w:endnote>
  <w:endnote w:id="20">
    <w:p w14:paraId="388ABA08" w14:textId="1D349107"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A survey undertaken by the Department of Work and Pensions found only 23 per cent of sanctioned Job-Seekers’ Allowance claimants, and 13 per cent of sanctioned ESA claimants were informed about discretionary hardship payments (Adler, 2016, p.201).</w:t>
      </w:r>
    </w:p>
  </w:endnote>
  <w:endnote w:id="21">
    <w:p w14:paraId="3D0F8472" w14:textId="04AC726B"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 xml:space="preserve">There are reports in the media of persons being sanctioned for not taking on zero-hour contracts work that do not offer guarantee of regular work (Mctague, 2014). </w:t>
      </w:r>
    </w:p>
  </w:endnote>
  <w:endnote w:id="22">
    <w:p w14:paraId="1758E474" w14:textId="5DA24C47" w:rsidR="007B61C3" w:rsidRPr="005234EE" w:rsidRDefault="007B61C3" w:rsidP="005234EE">
      <w:pPr>
        <w:spacing w:after="240"/>
        <w:ind w:left="-397" w:right="-397"/>
        <w:jc w:val="both"/>
        <w:rPr>
          <w:rFonts w:ascii="Calibri" w:hAnsi="Calibri"/>
          <w:color w:val="000000" w:themeColor="text1"/>
          <w:lang w:val="en-GB"/>
        </w:rPr>
      </w:pPr>
      <w:r w:rsidRPr="005234EE">
        <w:rPr>
          <w:rStyle w:val="EndnoteReference"/>
          <w:rFonts w:ascii="Calibri" w:hAnsi="Calibri"/>
          <w:color w:val="000000" w:themeColor="text1"/>
        </w:rPr>
        <w:endnoteRef/>
      </w:r>
      <w:r w:rsidRPr="005234EE">
        <w:rPr>
          <w:rFonts w:ascii="Calibri" w:hAnsi="Calibri"/>
          <w:color w:val="000000" w:themeColor="text1"/>
        </w:rPr>
        <w:t xml:space="preserve"> </w:t>
      </w:r>
      <w:r w:rsidRPr="005234EE">
        <w:rPr>
          <w:rFonts w:ascii="Calibri" w:hAnsi="Calibri"/>
          <w:color w:val="000000" w:themeColor="text1"/>
          <w:lang w:val="en-GB"/>
        </w:rPr>
        <w:t>A government minister was quoted in the Daily Mail (Mctague, 2014) as confirming an intention that “</w:t>
      </w:r>
      <w:r w:rsidRPr="005234EE">
        <w:rPr>
          <w:rFonts w:ascii="Calibri" w:hAnsi="Calibri"/>
          <w:color w:val="000000" w:themeColor="text1"/>
          <w:shd w:val="clear" w:color="auto" w:fill="FFFFFF"/>
        </w:rPr>
        <w:t>Universal Credit payments will adjust automatically depending on the hours a person works to ensure that people whose hours may change are financially supported and do not face the hassle and bureaucracy of switching their benefit claims.'</w:t>
      </w:r>
    </w:p>
  </w:endnote>
  <w:endnote w:id="23">
    <w:p w14:paraId="4BCC771D" w14:textId="4740C954"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 xml:space="preserve">As I have documented extensively in other work (Haagh, 2011a; 2011b) developmental motivation is governed by economic and social stability. </w:t>
      </w:r>
    </w:p>
  </w:endnote>
  <w:endnote w:id="24">
    <w:p w14:paraId="3F1C4E26" w14:textId="77777777"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i/>
          <w:color w:val="000000" w:themeColor="text1"/>
          <w:lang w:val="en-GB"/>
        </w:rPr>
        <w:t>The Guardian</w:t>
      </w:r>
      <w:r w:rsidRPr="005234EE">
        <w:rPr>
          <w:rFonts w:ascii="Calibri" w:hAnsi="Calibri" w:cs="Times New Roman"/>
          <w:color w:val="000000" w:themeColor="text1"/>
          <w:lang w:val="en-GB"/>
        </w:rPr>
        <w:t>, May 6</w:t>
      </w:r>
      <w:r w:rsidRPr="005234EE">
        <w:rPr>
          <w:rFonts w:ascii="Calibri" w:hAnsi="Calibri" w:cs="Times New Roman"/>
          <w:color w:val="000000" w:themeColor="text1"/>
          <w:vertAlign w:val="superscript"/>
          <w:lang w:val="en-GB"/>
        </w:rPr>
        <w:t>th</w:t>
      </w:r>
      <w:r w:rsidRPr="005234EE">
        <w:rPr>
          <w:rFonts w:ascii="Calibri" w:hAnsi="Calibri" w:cs="Times New Roman"/>
          <w:color w:val="000000" w:themeColor="text1"/>
          <w:lang w:val="en-GB"/>
        </w:rPr>
        <w:t xml:space="preserve"> 2014, ‘Benefit risk to jobseekers refusing zero-hour contracts’.</w:t>
      </w:r>
    </w:p>
  </w:endnote>
  <w:endnote w:id="25">
    <w:p w14:paraId="4028B2AE" w14:textId="10D20F19" w:rsidR="007B61C3" w:rsidRPr="005234EE" w:rsidRDefault="007B61C3" w:rsidP="005234EE">
      <w:pPr>
        <w:spacing w:after="240"/>
        <w:ind w:left="-397" w:right="-397"/>
        <w:jc w:val="both"/>
        <w:rPr>
          <w:rFonts w:ascii="Calibri" w:hAnsi="Calibri"/>
          <w:color w:val="000000" w:themeColor="text1"/>
          <w:shd w:val="clear" w:color="auto" w:fill="FFFFFF"/>
        </w:rPr>
      </w:pPr>
      <w:r w:rsidRPr="005234EE">
        <w:rPr>
          <w:rStyle w:val="EndnoteReference"/>
          <w:rFonts w:ascii="Calibri" w:hAnsi="Calibri"/>
          <w:color w:val="000000" w:themeColor="text1"/>
        </w:rPr>
        <w:endnoteRef/>
      </w:r>
      <w:r w:rsidRPr="005234EE">
        <w:rPr>
          <w:rFonts w:ascii="Calibri" w:hAnsi="Calibri"/>
          <w:color w:val="000000" w:themeColor="text1"/>
        </w:rPr>
        <w:t xml:space="preserve"> </w:t>
      </w:r>
      <w:r w:rsidRPr="005234EE">
        <w:rPr>
          <w:rFonts w:ascii="Calibri" w:hAnsi="Calibri"/>
          <w:color w:val="000000" w:themeColor="text1"/>
          <w:shd w:val="clear" w:color="auto" w:fill="FFFFFF"/>
        </w:rPr>
        <w:t>The number of job-seekers allowance claimants in February 2012 was 1.59 million and in that month 59,533 sanctions were applied, which indicates a sanctions rate of 3.71 % that month (</w:t>
      </w:r>
      <w:r w:rsidRPr="005234EE">
        <w:rPr>
          <w:rFonts w:ascii="Calibri" w:hAnsi="Calibri"/>
          <w:color w:val="000000" w:themeColor="text1"/>
        </w:rPr>
        <w:t>Department of Work and Pensions</w:t>
      </w:r>
      <w:r w:rsidRPr="005234EE">
        <w:rPr>
          <w:rFonts w:ascii="Calibri" w:hAnsi="Calibri"/>
          <w:color w:val="000000" w:themeColor="text1"/>
          <w:shd w:val="clear" w:color="auto" w:fill="FFFFFF"/>
        </w:rPr>
        <w:t>, 2016) Assuming an average claim duration of about 5 months suggest a sanction rate of about 24 percent that year, similar to the estimate derived by the NAO.</w:t>
      </w:r>
    </w:p>
  </w:endnote>
  <w:endnote w:id="26">
    <w:p w14:paraId="745B97A6" w14:textId="5178A35B"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 xml:space="preserve">Absent statistics according to British experts derive from a combination of a lack of IT investments and design omissions. Webster (2016) estimates that the real number of sanctions in Britain are at least one-third higher than figures suggest, because computers no not record sanctions that are applied and later overturned.  </w:t>
      </w:r>
    </w:p>
  </w:endnote>
  <w:endnote w:id="27">
    <w:p w14:paraId="78D59E5B" w14:textId="5C0E305C"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Official review statistics and publications focus strongly on the reduction in case load as a key indicator of policy performance. (</w:t>
      </w:r>
      <w:r w:rsidRPr="005234EE">
        <w:rPr>
          <w:rFonts w:ascii="Calibri" w:hAnsi="Calibri"/>
          <w:color w:val="000000" w:themeColor="text1"/>
        </w:rPr>
        <w:t>Department of Work and Pensions</w:t>
      </w:r>
      <w:r w:rsidRPr="005234EE">
        <w:rPr>
          <w:rFonts w:ascii="Calibri" w:hAnsi="Calibri" w:cs="Times New Roman"/>
          <w:color w:val="000000" w:themeColor="text1"/>
          <w:lang w:val="en-GB"/>
        </w:rPr>
        <w:t>, 2017, p.4).</w:t>
      </w:r>
    </w:p>
  </w:endnote>
  <w:endnote w:id="28">
    <w:p w14:paraId="6018984A" w14:textId="5B4658DD" w:rsidR="007B61C3" w:rsidRPr="005234EE" w:rsidRDefault="007B61C3" w:rsidP="005234EE">
      <w:pPr>
        <w:spacing w:after="240"/>
        <w:ind w:left="-397" w:right="-397"/>
        <w:jc w:val="both"/>
        <w:rPr>
          <w:rFonts w:ascii="Calibri" w:hAnsi="Calibri"/>
          <w:color w:val="000000" w:themeColor="text1"/>
          <w:lang w:val="en-GB"/>
        </w:rPr>
      </w:pPr>
      <w:r w:rsidRPr="005234EE">
        <w:rPr>
          <w:rStyle w:val="EndnoteReference"/>
          <w:rFonts w:ascii="Calibri" w:hAnsi="Calibri"/>
          <w:color w:val="000000" w:themeColor="text1"/>
        </w:rPr>
        <w:endnoteRef/>
      </w:r>
      <w:r w:rsidRPr="005234EE">
        <w:rPr>
          <w:rFonts w:ascii="Calibri" w:hAnsi="Calibri"/>
          <w:color w:val="000000" w:themeColor="text1"/>
        </w:rPr>
        <w:t xml:space="preserve"> </w:t>
      </w:r>
      <w:r w:rsidRPr="005234EE">
        <w:rPr>
          <w:rFonts w:ascii="Calibri" w:hAnsi="Calibri"/>
          <w:color w:val="000000" w:themeColor="text1"/>
          <w:lang w:val="en-GB"/>
        </w:rPr>
        <w:t>Since April 2014, single parents with children of the age of three or four have been sanctioned for failure to comply with work-focussed activity (Adler, 2016, p.200).</w:t>
      </w:r>
    </w:p>
  </w:endnote>
  <w:endnote w:id="29">
    <w:p w14:paraId="2A9749EB" w14:textId="77777777" w:rsidR="007B61C3" w:rsidRPr="005234EE" w:rsidRDefault="007B61C3" w:rsidP="005234EE">
      <w:pPr>
        <w:pStyle w:val="EndnoteText"/>
        <w:spacing w:after="240"/>
        <w:ind w:left="-397" w:right="-397"/>
        <w:jc w:val="both"/>
        <w:rPr>
          <w:rFonts w:ascii="Calibri" w:hAnsi="Calibri" w:cs="Times New Roman"/>
          <w:color w:val="000000" w:themeColor="text1"/>
          <w:lang w:val="en-GB"/>
        </w:rPr>
      </w:pPr>
      <w:r w:rsidRPr="005234EE">
        <w:rPr>
          <w:rStyle w:val="EndnoteReference"/>
          <w:rFonts w:ascii="Calibri" w:hAnsi="Calibri" w:cs="Times New Roman"/>
          <w:color w:val="000000" w:themeColor="text1"/>
        </w:rPr>
        <w:endnoteRef/>
      </w:r>
      <w:r w:rsidRPr="005234EE">
        <w:rPr>
          <w:rFonts w:ascii="Calibri" w:hAnsi="Calibri" w:cs="Times New Roman"/>
          <w:color w:val="000000" w:themeColor="text1"/>
        </w:rPr>
        <w:t xml:space="preserve"> </w:t>
      </w:r>
      <w:r w:rsidRPr="005234EE">
        <w:rPr>
          <w:rFonts w:ascii="Calibri" w:hAnsi="Calibri" w:cs="Times New Roman"/>
          <w:color w:val="000000" w:themeColor="text1"/>
          <w:lang w:val="en-GB"/>
        </w:rPr>
        <w:t>Interviews, Aarhus municipality, 8 December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705429"/>
      <w:docPartObj>
        <w:docPartGallery w:val="Page Numbers (Bottom of Page)"/>
        <w:docPartUnique/>
      </w:docPartObj>
    </w:sdtPr>
    <w:sdtEndPr>
      <w:rPr>
        <w:noProof/>
      </w:rPr>
    </w:sdtEndPr>
    <w:sdtContent>
      <w:p w14:paraId="756EE338" w14:textId="68A67896" w:rsidR="007B61C3" w:rsidRDefault="007B61C3">
        <w:pPr>
          <w:pStyle w:val="Footer"/>
          <w:jc w:val="right"/>
        </w:pPr>
        <w:r>
          <w:fldChar w:fldCharType="begin"/>
        </w:r>
        <w:r>
          <w:instrText xml:space="preserve"> PAGE   \* MERGEFORMAT </w:instrText>
        </w:r>
        <w:r>
          <w:fldChar w:fldCharType="separate"/>
        </w:r>
        <w:r w:rsidR="00282998">
          <w:rPr>
            <w:noProof/>
          </w:rPr>
          <w:t>1</w:t>
        </w:r>
        <w:r>
          <w:rPr>
            <w:noProof/>
          </w:rPr>
          <w:fldChar w:fldCharType="end"/>
        </w:r>
      </w:p>
    </w:sdtContent>
  </w:sdt>
  <w:p w14:paraId="3A0FDE05" w14:textId="77777777" w:rsidR="007B61C3" w:rsidRDefault="007B6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E6211" w14:textId="77777777" w:rsidR="007D6886" w:rsidRDefault="007D6886" w:rsidP="00152BE2">
      <w:r>
        <w:separator/>
      </w:r>
    </w:p>
  </w:footnote>
  <w:footnote w:type="continuationSeparator" w:id="0">
    <w:p w14:paraId="35ABFD3B" w14:textId="77777777" w:rsidR="007D6886" w:rsidRDefault="007D6886" w:rsidP="00152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40B6"/>
    <w:multiLevelType w:val="hybridMultilevel"/>
    <w:tmpl w:val="27F405B6"/>
    <w:lvl w:ilvl="0" w:tplc="99E09C42">
      <w:start w:val="1"/>
      <w:numFmt w:val="decimal"/>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 w15:restartNumberingAfterBreak="0">
    <w:nsid w:val="06925255"/>
    <w:multiLevelType w:val="hybridMultilevel"/>
    <w:tmpl w:val="596031A2"/>
    <w:lvl w:ilvl="0" w:tplc="6778E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372563"/>
    <w:multiLevelType w:val="hybridMultilevel"/>
    <w:tmpl w:val="3FBEBE42"/>
    <w:lvl w:ilvl="0" w:tplc="92B21F26">
      <w:start w:val="1"/>
      <w:numFmt w:val="lowerLetter"/>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3" w15:restartNumberingAfterBreak="0">
    <w:nsid w:val="1139679D"/>
    <w:multiLevelType w:val="hybridMultilevel"/>
    <w:tmpl w:val="80F222F4"/>
    <w:lvl w:ilvl="0" w:tplc="22347CFE">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3750AE"/>
    <w:multiLevelType w:val="hybridMultilevel"/>
    <w:tmpl w:val="DD6E54E8"/>
    <w:lvl w:ilvl="0" w:tplc="2E5C09CA">
      <w:start w:val="4"/>
      <w:numFmt w:val="bullet"/>
      <w:lvlText w:val="-"/>
      <w:lvlJc w:val="left"/>
      <w:pPr>
        <w:ind w:left="-37" w:hanging="360"/>
      </w:pPr>
      <w:rPr>
        <w:rFonts w:ascii="Calibri" w:eastAsiaTheme="minorHAnsi" w:hAnsi="Calibri" w:cstheme="minorBidi" w:hint="default"/>
      </w:rPr>
    </w:lvl>
    <w:lvl w:ilvl="1" w:tplc="08090003" w:tentative="1">
      <w:start w:val="1"/>
      <w:numFmt w:val="bullet"/>
      <w:lvlText w:val="o"/>
      <w:lvlJc w:val="left"/>
      <w:pPr>
        <w:ind w:left="683" w:hanging="360"/>
      </w:pPr>
      <w:rPr>
        <w:rFonts w:ascii="Courier New" w:hAnsi="Courier New" w:cs="Courier New" w:hint="default"/>
      </w:rPr>
    </w:lvl>
    <w:lvl w:ilvl="2" w:tplc="08090005" w:tentative="1">
      <w:start w:val="1"/>
      <w:numFmt w:val="bullet"/>
      <w:lvlText w:val=""/>
      <w:lvlJc w:val="left"/>
      <w:pPr>
        <w:ind w:left="1403" w:hanging="360"/>
      </w:pPr>
      <w:rPr>
        <w:rFonts w:ascii="Wingdings" w:hAnsi="Wingdings" w:hint="default"/>
      </w:rPr>
    </w:lvl>
    <w:lvl w:ilvl="3" w:tplc="08090001" w:tentative="1">
      <w:start w:val="1"/>
      <w:numFmt w:val="bullet"/>
      <w:lvlText w:val=""/>
      <w:lvlJc w:val="left"/>
      <w:pPr>
        <w:ind w:left="2123" w:hanging="360"/>
      </w:pPr>
      <w:rPr>
        <w:rFonts w:ascii="Symbol" w:hAnsi="Symbol" w:hint="default"/>
      </w:rPr>
    </w:lvl>
    <w:lvl w:ilvl="4" w:tplc="08090003" w:tentative="1">
      <w:start w:val="1"/>
      <w:numFmt w:val="bullet"/>
      <w:lvlText w:val="o"/>
      <w:lvlJc w:val="left"/>
      <w:pPr>
        <w:ind w:left="2843" w:hanging="360"/>
      </w:pPr>
      <w:rPr>
        <w:rFonts w:ascii="Courier New" w:hAnsi="Courier New" w:cs="Courier New" w:hint="default"/>
      </w:rPr>
    </w:lvl>
    <w:lvl w:ilvl="5" w:tplc="08090005" w:tentative="1">
      <w:start w:val="1"/>
      <w:numFmt w:val="bullet"/>
      <w:lvlText w:val=""/>
      <w:lvlJc w:val="left"/>
      <w:pPr>
        <w:ind w:left="3563" w:hanging="360"/>
      </w:pPr>
      <w:rPr>
        <w:rFonts w:ascii="Wingdings" w:hAnsi="Wingdings" w:hint="default"/>
      </w:rPr>
    </w:lvl>
    <w:lvl w:ilvl="6" w:tplc="08090001" w:tentative="1">
      <w:start w:val="1"/>
      <w:numFmt w:val="bullet"/>
      <w:lvlText w:val=""/>
      <w:lvlJc w:val="left"/>
      <w:pPr>
        <w:ind w:left="4283" w:hanging="360"/>
      </w:pPr>
      <w:rPr>
        <w:rFonts w:ascii="Symbol" w:hAnsi="Symbol" w:hint="default"/>
      </w:rPr>
    </w:lvl>
    <w:lvl w:ilvl="7" w:tplc="08090003" w:tentative="1">
      <w:start w:val="1"/>
      <w:numFmt w:val="bullet"/>
      <w:lvlText w:val="o"/>
      <w:lvlJc w:val="left"/>
      <w:pPr>
        <w:ind w:left="5003" w:hanging="360"/>
      </w:pPr>
      <w:rPr>
        <w:rFonts w:ascii="Courier New" w:hAnsi="Courier New" w:cs="Courier New" w:hint="default"/>
      </w:rPr>
    </w:lvl>
    <w:lvl w:ilvl="8" w:tplc="08090005" w:tentative="1">
      <w:start w:val="1"/>
      <w:numFmt w:val="bullet"/>
      <w:lvlText w:val=""/>
      <w:lvlJc w:val="left"/>
      <w:pPr>
        <w:ind w:left="5723" w:hanging="360"/>
      </w:pPr>
      <w:rPr>
        <w:rFonts w:ascii="Wingdings" w:hAnsi="Wingdings" w:hint="default"/>
      </w:rPr>
    </w:lvl>
  </w:abstractNum>
  <w:abstractNum w:abstractNumId="5" w15:restartNumberingAfterBreak="0">
    <w:nsid w:val="1F6B122C"/>
    <w:multiLevelType w:val="hybridMultilevel"/>
    <w:tmpl w:val="10B8BA76"/>
    <w:lvl w:ilvl="0" w:tplc="78467ED4">
      <w:start w:val="1"/>
      <w:numFmt w:val="decimal"/>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6" w15:restartNumberingAfterBreak="0">
    <w:nsid w:val="20272726"/>
    <w:multiLevelType w:val="hybridMultilevel"/>
    <w:tmpl w:val="731C7E26"/>
    <w:lvl w:ilvl="0" w:tplc="45146648">
      <w:start w:val="6"/>
      <w:numFmt w:val="bullet"/>
      <w:lvlText w:val="-"/>
      <w:lvlJc w:val="left"/>
      <w:pPr>
        <w:ind w:left="-37" w:hanging="360"/>
      </w:pPr>
      <w:rPr>
        <w:rFonts w:ascii="Times New Roman" w:eastAsiaTheme="minorHAnsi" w:hAnsi="Times New Roman" w:cs="Times New Roman" w:hint="default"/>
      </w:rPr>
    </w:lvl>
    <w:lvl w:ilvl="1" w:tplc="08090003" w:tentative="1">
      <w:start w:val="1"/>
      <w:numFmt w:val="bullet"/>
      <w:lvlText w:val="o"/>
      <w:lvlJc w:val="left"/>
      <w:pPr>
        <w:ind w:left="683" w:hanging="360"/>
      </w:pPr>
      <w:rPr>
        <w:rFonts w:ascii="Courier New" w:hAnsi="Courier New" w:cs="Courier New" w:hint="default"/>
      </w:rPr>
    </w:lvl>
    <w:lvl w:ilvl="2" w:tplc="08090005" w:tentative="1">
      <w:start w:val="1"/>
      <w:numFmt w:val="bullet"/>
      <w:lvlText w:val=""/>
      <w:lvlJc w:val="left"/>
      <w:pPr>
        <w:ind w:left="1403" w:hanging="360"/>
      </w:pPr>
      <w:rPr>
        <w:rFonts w:ascii="Wingdings" w:hAnsi="Wingdings" w:hint="default"/>
      </w:rPr>
    </w:lvl>
    <w:lvl w:ilvl="3" w:tplc="08090001" w:tentative="1">
      <w:start w:val="1"/>
      <w:numFmt w:val="bullet"/>
      <w:lvlText w:val=""/>
      <w:lvlJc w:val="left"/>
      <w:pPr>
        <w:ind w:left="2123" w:hanging="360"/>
      </w:pPr>
      <w:rPr>
        <w:rFonts w:ascii="Symbol" w:hAnsi="Symbol" w:hint="default"/>
      </w:rPr>
    </w:lvl>
    <w:lvl w:ilvl="4" w:tplc="08090003" w:tentative="1">
      <w:start w:val="1"/>
      <w:numFmt w:val="bullet"/>
      <w:lvlText w:val="o"/>
      <w:lvlJc w:val="left"/>
      <w:pPr>
        <w:ind w:left="2843" w:hanging="360"/>
      </w:pPr>
      <w:rPr>
        <w:rFonts w:ascii="Courier New" w:hAnsi="Courier New" w:cs="Courier New" w:hint="default"/>
      </w:rPr>
    </w:lvl>
    <w:lvl w:ilvl="5" w:tplc="08090005" w:tentative="1">
      <w:start w:val="1"/>
      <w:numFmt w:val="bullet"/>
      <w:lvlText w:val=""/>
      <w:lvlJc w:val="left"/>
      <w:pPr>
        <w:ind w:left="3563" w:hanging="360"/>
      </w:pPr>
      <w:rPr>
        <w:rFonts w:ascii="Wingdings" w:hAnsi="Wingdings" w:hint="default"/>
      </w:rPr>
    </w:lvl>
    <w:lvl w:ilvl="6" w:tplc="08090001" w:tentative="1">
      <w:start w:val="1"/>
      <w:numFmt w:val="bullet"/>
      <w:lvlText w:val=""/>
      <w:lvlJc w:val="left"/>
      <w:pPr>
        <w:ind w:left="4283" w:hanging="360"/>
      </w:pPr>
      <w:rPr>
        <w:rFonts w:ascii="Symbol" w:hAnsi="Symbol" w:hint="default"/>
      </w:rPr>
    </w:lvl>
    <w:lvl w:ilvl="7" w:tplc="08090003" w:tentative="1">
      <w:start w:val="1"/>
      <w:numFmt w:val="bullet"/>
      <w:lvlText w:val="o"/>
      <w:lvlJc w:val="left"/>
      <w:pPr>
        <w:ind w:left="5003" w:hanging="360"/>
      </w:pPr>
      <w:rPr>
        <w:rFonts w:ascii="Courier New" w:hAnsi="Courier New" w:cs="Courier New" w:hint="default"/>
      </w:rPr>
    </w:lvl>
    <w:lvl w:ilvl="8" w:tplc="08090005" w:tentative="1">
      <w:start w:val="1"/>
      <w:numFmt w:val="bullet"/>
      <w:lvlText w:val=""/>
      <w:lvlJc w:val="left"/>
      <w:pPr>
        <w:ind w:left="5723" w:hanging="360"/>
      </w:pPr>
      <w:rPr>
        <w:rFonts w:ascii="Wingdings" w:hAnsi="Wingdings" w:hint="default"/>
      </w:rPr>
    </w:lvl>
  </w:abstractNum>
  <w:abstractNum w:abstractNumId="7" w15:restartNumberingAfterBreak="0">
    <w:nsid w:val="26BF324D"/>
    <w:multiLevelType w:val="hybridMultilevel"/>
    <w:tmpl w:val="888626D4"/>
    <w:lvl w:ilvl="0" w:tplc="FC085F54">
      <w:start w:val="3"/>
      <w:numFmt w:val="bullet"/>
      <w:lvlText w:val="-"/>
      <w:lvlJc w:val="left"/>
      <w:pPr>
        <w:ind w:left="-37" w:hanging="360"/>
      </w:pPr>
      <w:rPr>
        <w:rFonts w:ascii="Calibri" w:eastAsiaTheme="minorHAnsi" w:hAnsi="Calibri" w:cstheme="minorBidi" w:hint="default"/>
      </w:rPr>
    </w:lvl>
    <w:lvl w:ilvl="1" w:tplc="08090003" w:tentative="1">
      <w:start w:val="1"/>
      <w:numFmt w:val="bullet"/>
      <w:lvlText w:val="o"/>
      <w:lvlJc w:val="left"/>
      <w:pPr>
        <w:ind w:left="683" w:hanging="360"/>
      </w:pPr>
      <w:rPr>
        <w:rFonts w:ascii="Courier New" w:hAnsi="Courier New" w:cs="Courier New" w:hint="default"/>
      </w:rPr>
    </w:lvl>
    <w:lvl w:ilvl="2" w:tplc="08090005" w:tentative="1">
      <w:start w:val="1"/>
      <w:numFmt w:val="bullet"/>
      <w:lvlText w:val=""/>
      <w:lvlJc w:val="left"/>
      <w:pPr>
        <w:ind w:left="1403" w:hanging="360"/>
      </w:pPr>
      <w:rPr>
        <w:rFonts w:ascii="Wingdings" w:hAnsi="Wingdings" w:hint="default"/>
      </w:rPr>
    </w:lvl>
    <w:lvl w:ilvl="3" w:tplc="08090001" w:tentative="1">
      <w:start w:val="1"/>
      <w:numFmt w:val="bullet"/>
      <w:lvlText w:val=""/>
      <w:lvlJc w:val="left"/>
      <w:pPr>
        <w:ind w:left="2123" w:hanging="360"/>
      </w:pPr>
      <w:rPr>
        <w:rFonts w:ascii="Symbol" w:hAnsi="Symbol" w:hint="default"/>
      </w:rPr>
    </w:lvl>
    <w:lvl w:ilvl="4" w:tplc="08090003" w:tentative="1">
      <w:start w:val="1"/>
      <w:numFmt w:val="bullet"/>
      <w:lvlText w:val="o"/>
      <w:lvlJc w:val="left"/>
      <w:pPr>
        <w:ind w:left="2843" w:hanging="360"/>
      </w:pPr>
      <w:rPr>
        <w:rFonts w:ascii="Courier New" w:hAnsi="Courier New" w:cs="Courier New" w:hint="default"/>
      </w:rPr>
    </w:lvl>
    <w:lvl w:ilvl="5" w:tplc="08090005" w:tentative="1">
      <w:start w:val="1"/>
      <w:numFmt w:val="bullet"/>
      <w:lvlText w:val=""/>
      <w:lvlJc w:val="left"/>
      <w:pPr>
        <w:ind w:left="3563" w:hanging="360"/>
      </w:pPr>
      <w:rPr>
        <w:rFonts w:ascii="Wingdings" w:hAnsi="Wingdings" w:hint="default"/>
      </w:rPr>
    </w:lvl>
    <w:lvl w:ilvl="6" w:tplc="08090001" w:tentative="1">
      <w:start w:val="1"/>
      <w:numFmt w:val="bullet"/>
      <w:lvlText w:val=""/>
      <w:lvlJc w:val="left"/>
      <w:pPr>
        <w:ind w:left="4283" w:hanging="360"/>
      </w:pPr>
      <w:rPr>
        <w:rFonts w:ascii="Symbol" w:hAnsi="Symbol" w:hint="default"/>
      </w:rPr>
    </w:lvl>
    <w:lvl w:ilvl="7" w:tplc="08090003" w:tentative="1">
      <w:start w:val="1"/>
      <w:numFmt w:val="bullet"/>
      <w:lvlText w:val="o"/>
      <w:lvlJc w:val="left"/>
      <w:pPr>
        <w:ind w:left="5003" w:hanging="360"/>
      </w:pPr>
      <w:rPr>
        <w:rFonts w:ascii="Courier New" w:hAnsi="Courier New" w:cs="Courier New" w:hint="default"/>
      </w:rPr>
    </w:lvl>
    <w:lvl w:ilvl="8" w:tplc="08090005" w:tentative="1">
      <w:start w:val="1"/>
      <w:numFmt w:val="bullet"/>
      <w:lvlText w:val=""/>
      <w:lvlJc w:val="left"/>
      <w:pPr>
        <w:ind w:left="5723" w:hanging="360"/>
      </w:pPr>
      <w:rPr>
        <w:rFonts w:ascii="Wingdings" w:hAnsi="Wingdings" w:hint="default"/>
      </w:rPr>
    </w:lvl>
  </w:abstractNum>
  <w:abstractNum w:abstractNumId="8" w15:restartNumberingAfterBreak="0">
    <w:nsid w:val="2DE13B91"/>
    <w:multiLevelType w:val="hybridMultilevel"/>
    <w:tmpl w:val="AB3C8D42"/>
    <w:lvl w:ilvl="0" w:tplc="2A6CBC20">
      <w:start w:val="1"/>
      <w:numFmt w:val="decimal"/>
      <w:lvlText w:val="%1."/>
      <w:lvlJc w:val="left"/>
      <w:pPr>
        <w:ind w:left="-37" w:hanging="360"/>
      </w:pPr>
      <w:rPr>
        <w:rFonts w:ascii="Times New Roman" w:hAnsi="Times New Roman" w:hint="default"/>
        <w:color w:val="000000" w:themeColor="text1"/>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9" w15:restartNumberingAfterBreak="0">
    <w:nsid w:val="319B4DFE"/>
    <w:multiLevelType w:val="hybridMultilevel"/>
    <w:tmpl w:val="9146D83A"/>
    <w:lvl w:ilvl="0" w:tplc="D236FA36">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0" w15:restartNumberingAfterBreak="0">
    <w:nsid w:val="39274A13"/>
    <w:multiLevelType w:val="hybridMultilevel"/>
    <w:tmpl w:val="F550A72A"/>
    <w:lvl w:ilvl="0" w:tplc="15769F68">
      <w:start w:val="1"/>
      <w:numFmt w:val="lowerLetter"/>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1" w15:restartNumberingAfterBreak="0">
    <w:nsid w:val="41245601"/>
    <w:multiLevelType w:val="hybridMultilevel"/>
    <w:tmpl w:val="8FAA050E"/>
    <w:lvl w:ilvl="0" w:tplc="52CAAA0E">
      <w:start w:val="1"/>
      <w:numFmt w:val="decimal"/>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2" w15:restartNumberingAfterBreak="0">
    <w:nsid w:val="49E179C3"/>
    <w:multiLevelType w:val="hybridMultilevel"/>
    <w:tmpl w:val="F7CC17F4"/>
    <w:lvl w:ilvl="0" w:tplc="7624C0B2">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3" w15:restartNumberingAfterBreak="0">
    <w:nsid w:val="512537D6"/>
    <w:multiLevelType w:val="hybridMultilevel"/>
    <w:tmpl w:val="DA9A0100"/>
    <w:lvl w:ilvl="0" w:tplc="8C94A6BA">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4" w15:restartNumberingAfterBreak="0">
    <w:nsid w:val="52060944"/>
    <w:multiLevelType w:val="hybridMultilevel"/>
    <w:tmpl w:val="DCE24456"/>
    <w:lvl w:ilvl="0" w:tplc="7826BCF6">
      <w:start w:val="1"/>
      <w:numFmt w:val="bullet"/>
      <w:lvlText w:val=""/>
      <w:lvlJc w:val="left"/>
      <w:pPr>
        <w:ind w:left="-37" w:hanging="360"/>
      </w:pPr>
      <w:rPr>
        <w:rFonts w:ascii="Symbol" w:eastAsiaTheme="minorHAnsi" w:hAnsi="Symbol" w:cs="Times New Roman" w:hint="default"/>
        <w:b/>
      </w:rPr>
    </w:lvl>
    <w:lvl w:ilvl="1" w:tplc="04090003" w:tentative="1">
      <w:start w:val="1"/>
      <w:numFmt w:val="bullet"/>
      <w:lvlText w:val="o"/>
      <w:lvlJc w:val="left"/>
      <w:pPr>
        <w:ind w:left="683" w:hanging="360"/>
      </w:pPr>
      <w:rPr>
        <w:rFonts w:ascii="Courier New" w:hAnsi="Courier New" w:cs="Courier New" w:hint="default"/>
      </w:rPr>
    </w:lvl>
    <w:lvl w:ilvl="2" w:tplc="04090005" w:tentative="1">
      <w:start w:val="1"/>
      <w:numFmt w:val="bullet"/>
      <w:lvlText w:val=""/>
      <w:lvlJc w:val="left"/>
      <w:pPr>
        <w:ind w:left="1403" w:hanging="360"/>
      </w:pPr>
      <w:rPr>
        <w:rFonts w:ascii="Wingdings" w:hAnsi="Wingdings" w:hint="default"/>
      </w:rPr>
    </w:lvl>
    <w:lvl w:ilvl="3" w:tplc="04090001" w:tentative="1">
      <w:start w:val="1"/>
      <w:numFmt w:val="bullet"/>
      <w:lvlText w:val=""/>
      <w:lvlJc w:val="left"/>
      <w:pPr>
        <w:ind w:left="2123" w:hanging="360"/>
      </w:pPr>
      <w:rPr>
        <w:rFonts w:ascii="Symbol" w:hAnsi="Symbol" w:hint="default"/>
      </w:rPr>
    </w:lvl>
    <w:lvl w:ilvl="4" w:tplc="04090003" w:tentative="1">
      <w:start w:val="1"/>
      <w:numFmt w:val="bullet"/>
      <w:lvlText w:val="o"/>
      <w:lvlJc w:val="left"/>
      <w:pPr>
        <w:ind w:left="2843" w:hanging="360"/>
      </w:pPr>
      <w:rPr>
        <w:rFonts w:ascii="Courier New" w:hAnsi="Courier New" w:cs="Courier New" w:hint="default"/>
      </w:rPr>
    </w:lvl>
    <w:lvl w:ilvl="5" w:tplc="04090005" w:tentative="1">
      <w:start w:val="1"/>
      <w:numFmt w:val="bullet"/>
      <w:lvlText w:val=""/>
      <w:lvlJc w:val="left"/>
      <w:pPr>
        <w:ind w:left="3563" w:hanging="360"/>
      </w:pPr>
      <w:rPr>
        <w:rFonts w:ascii="Wingdings" w:hAnsi="Wingdings" w:hint="default"/>
      </w:rPr>
    </w:lvl>
    <w:lvl w:ilvl="6" w:tplc="04090001" w:tentative="1">
      <w:start w:val="1"/>
      <w:numFmt w:val="bullet"/>
      <w:lvlText w:val=""/>
      <w:lvlJc w:val="left"/>
      <w:pPr>
        <w:ind w:left="4283" w:hanging="360"/>
      </w:pPr>
      <w:rPr>
        <w:rFonts w:ascii="Symbol" w:hAnsi="Symbol" w:hint="default"/>
      </w:rPr>
    </w:lvl>
    <w:lvl w:ilvl="7" w:tplc="04090003" w:tentative="1">
      <w:start w:val="1"/>
      <w:numFmt w:val="bullet"/>
      <w:lvlText w:val="o"/>
      <w:lvlJc w:val="left"/>
      <w:pPr>
        <w:ind w:left="5003" w:hanging="360"/>
      </w:pPr>
      <w:rPr>
        <w:rFonts w:ascii="Courier New" w:hAnsi="Courier New" w:cs="Courier New" w:hint="default"/>
      </w:rPr>
    </w:lvl>
    <w:lvl w:ilvl="8" w:tplc="04090005" w:tentative="1">
      <w:start w:val="1"/>
      <w:numFmt w:val="bullet"/>
      <w:lvlText w:val=""/>
      <w:lvlJc w:val="left"/>
      <w:pPr>
        <w:ind w:left="5723" w:hanging="360"/>
      </w:pPr>
      <w:rPr>
        <w:rFonts w:ascii="Wingdings" w:hAnsi="Wingdings" w:hint="default"/>
      </w:rPr>
    </w:lvl>
  </w:abstractNum>
  <w:abstractNum w:abstractNumId="15" w15:restartNumberingAfterBreak="0">
    <w:nsid w:val="534D71D0"/>
    <w:multiLevelType w:val="hybridMultilevel"/>
    <w:tmpl w:val="7810A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2B5171"/>
    <w:multiLevelType w:val="hybridMultilevel"/>
    <w:tmpl w:val="0FAA73D4"/>
    <w:lvl w:ilvl="0" w:tplc="B414EF6E">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7" w15:restartNumberingAfterBreak="0">
    <w:nsid w:val="6EBF7296"/>
    <w:multiLevelType w:val="hybridMultilevel"/>
    <w:tmpl w:val="76F65BF2"/>
    <w:lvl w:ilvl="0" w:tplc="92BA6EA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C3575"/>
    <w:multiLevelType w:val="hybridMultilevel"/>
    <w:tmpl w:val="1F6E2BC8"/>
    <w:lvl w:ilvl="0" w:tplc="217AA652">
      <w:start w:val="1"/>
      <w:numFmt w:val="decimal"/>
      <w:lvlText w:val="%1."/>
      <w:lvlJc w:val="left"/>
      <w:pPr>
        <w:ind w:left="-37" w:hanging="36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abstractNum w:abstractNumId="19" w15:restartNumberingAfterBreak="0">
    <w:nsid w:val="76641CA5"/>
    <w:multiLevelType w:val="hybridMultilevel"/>
    <w:tmpl w:val="B58C2C1A"/>
    <w:lvl w:ilvl="0" w:tplc="3BCED49A">
      <w:start w:val="1"/>
      <w:numFmt w:val="decimal"/>
      <w:lvlText w:val="%1."/>
      <w:lvlJc w:val="left"/>
      <w:pPr>
        <w:ind w:left="720" w:hanging="360"/>
      </w:pPr>
      <w:rPr>
        <w:rFonts w:cstheme="minorBidi" w:hint="default"/>
        <w:b/>
        <w:color w:val="94165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E53F1F"/>
    <w:multiLevelType w:val="hybridMultilevel"/>
    <w:tmpl w:val="7C50A2F6"/>
    <w:lvl w:ilvl="0" w:tplc="6BF4CD96">
      <w:start w:val="1"/>
      <w:numFmt w:val="lowerRoman"/>
      <w:lvlText w:val="(%1)"/>
      <w:lvlJc w:val="left"/>
      <w:pPr>
        <w:ind w:left="323" w:hanging="720"/>
      </w:pPr>
      <w:rPr>
        <w:rFonts w:hint="default"/>
      </w:rPr>
    </w:lvl>
    <w:lvl w:ilvl="1" w:tplc="08090019" w:tentative="1">
      <w:start w:val="1"/>
      <w:numFmt w:val="lowerLetter"/>
      <w:lvlText w:val="%2."/>
      <w:lvlJc w:val="left"/>
      <w:pPr>
        <w:ind w:left="683" w:hanging="360"/>
      </w:pPr>
    </w:lvl>
    <w:lvl w:ilvl="2" w:tplc="0809001B" w:tentative="1">
      <w:start w:val="1"/>
      <w:numFmt w:val="lowerRoman"/>
      <w:lvlText w:val="%3."/>
      <w:lvlJc w:val="right"/>
      <w:pPr>
        <w:ind w:left="1403" w:hanging="180"/>
      </w:pPr>
    </w:lvl>
    <w:lvl w:ilvl="3" w:tplc="0809000F" w:tentative="1">
      <w:start w:val="1"/>
      <w:numFmt w:val="decimal"/>
      <w:lvlText w:val="%4."/>
      <w:lvlJc w:val="left"/>
      <w:pPr>
        <w:ind w:left="2123" w:hanging="360"/>
      </w:pPr>
    </w:lvl>
    <w:lvl w:ilvl="4" w:tplc="08090019" w:tentative="1">
      <w:start w:val="1"/>
      <w:numFmt w:val="lowerLetter"/>
      <w:lvlText w:val="%5."/>
      <w:lvlJc w:val="left"/>
      <w:pPr>
        <w:ind w:left="2843" w:hanging="360"/>
      </w:pPr>
    </w:lvl>
    <w:lvl w:ilvl="5" w:tplc="0809001B" w:tentative="1">
      <w:start w:val="1"/>
      <w:numFmt w:val="lowerRoman"/>
      <w:lvlText w:val="%6."/>
      <w:lvlJc w:val="right"/>
      <w:pPr>
        <w:ind w:left="3563" w:hanging="180"/>
      </w:pPr>
    </w:lvl>
    <w:lvl w:ilvl="6" w:tplc="0809000F" w:tentative="1">
      <w:start w:val="1"/>
      <w:numFmt w:val="decimal"/>
      <w:lvlText w:val="%7."/>
      <w:lvlJc w:val="left"/>
      <w:pPr>
        <w:ind w:left="4283" w:hanging="360"/>
      </w:pPr>
    </w:lvl>
    <w:lvl w:ilvl="7" w:tplc="08090019" w:tentative="1">
      <w:start w:val="1"/>
      <w:numFmt w:val="lowerLetter"/>
      <w:lvlText w:val="%8."/>
      <w:lvlJc w:val="left"/>
      <w:pPr>
        <w:ind w:left="5003" w:hanging="360"/>
      </w:pPr>
    </w:lvl>
    <w:lvl w:ilvl="8" w:tplc="0809001B" w:tentative="1">
      <w:start w:val="1"/>
      <w:numFmt w:val="lowerRoman"/>
      <w:lvlText w:val="%9."/>
      <w:lvlJc w:val="right"/>
      <w:pPr>
        <w:ind w:left="5723" w:hanging="180"/>
      </w:pPr>
    </w:lvl>
  </w:abstractNum>
  <w:num w:numId="1">
    <w:abstractNumId w:val="6"/>
  </w:num>
  <w:num w:numId="2">
    <w:abstractNumId w:val="11"/>
  </w:num>
  <w:num w:numId="3">
    <w:abstractNumId w:val="19"/>
  </w:num>
  <w:num w:numId="4">
    <w:abstractNumId w:val="8"/>
  </w:num>
  <w:num w:numId="5">
    <w:abstractNumId w:val="4"/>
  </w:num>
  <w:num w:numId="6">
    <w:abstractNumId w:val="18"/>
  </w:num>
  <w:num w:numId="7">
    <w:abstractNumId w:val="2"/>
  </w:num>
  <w:num w:numId="8">
    <w:abstractNumId w:val="20"/>
  </w:num>
  <w:num w:numId="9">
    <w:abstractNumId w:val="9"/>
  </w:num>
  <w:num w:numId="10">
    <w:abstractNumId w:val="12"/>
  </w:num>
  <w:num w:numId="11">
    <w:abstractNumId w:val="16"/>
  </w:num>
  <w:num w:numId="12">
    <w:abstractNumId w:val="13"/>
  </w:num>
  <w:num w:numId="13">
    <w:abstractNumId w:val="7"/>
  </w:num>
  <w:num w:numId="14">
    <w:abstractNumId w:val="5"/>
  </w:num>
  <w:num w:numId="15">
    <w:abstractNumId w:val="10"/>
  </w:num>
  <w:num w:numId="16">
    <w:abstractNumId w:val="0"/>
  </w:num>
  <w:num w:numId="17">
    <w:abstractNumId w:val="15"/>
  </w:num>
  <w:num w:numId="18">
    <w:abstractNumId w:val="1"/>
  </w:num>
  <w:num w:numId="19">
    <w:abstractNumId w:val="3"/>
  </w:num>
  <w:num w:numId="20">
    <w:abstractNumId w:val="17"/>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BE2"/>
    <w:rsid w:val="000043B4"/>
    <w:rsid w:val="000114F4"/>
    <w:rsid w:val="00014070"/>
    <w:rsid w:val="00020247"/>
    <w:rsid w:val="00023867"/>
    <w:rsid w:val="0002437A"/>
    <w:rsid w:val="0003248E"/>
    <w:rsid w:val="00033AF9"/>
    <w:rsid w:val="00033CE7"/>
    <w:rsid w:val="0003651D"/>
    <w:rsid w:val="000366AB"/>
    <w:rsid w:val="00041244"/>
    <w:rsid w:val="0004325A"/>
    <w:rsid w:val="00044DE0"/>
    <w:rsid w:val="00050FEA"/>
    <w:rsid w:val="00061B5A"/>
    <w:rsid w:val="00062BE6"/>
    <w:rsid w:val="00062F66"/>
    <w:rsid w:val="00063FC2"/>
    <w:rsid w:val="000664A2"/>
    <w:rsid w:val="00066525"/>
    <w:rsid w:val="0006670C"/>
    <w:rsid w:val="0006715C"/>
    <w:rsid w:val="00070B3D"/>
    <w:rsid w:val="00071E80"/>
    <w:rsid w:val="0008597E"/>
    <w:rsid w:val="00094075"/>
    <w:rsid w:val="00097E76"/>
    <w:rsid w:val="00097ECA"/>
    <w:rsid w:val="000A0A24"/>
    <w:rsid w:val="000A1F06"/>
    <w:rsid w:val="000A722E"/>
    <w:rsid w:val="000B3A65"/>
    <w:rsid w:val="000B6A12"/>
    <w:rsid w:val="000C262D"/>
    <w:rsid w:val="000C4C09"/>
    <w:rsid w:val="000C6615"/>
    <w:rsid w:val="000C787E"/>
    <w:rsid w:val="000D42CD"/>
    <w:rsid w:val="000D52B4"/>
    <w:rsid w:val="000E1471"/>
    <w:rsid w:val="000E31C3"/>
    <w:rsid w:val="000F0FCB"/>
    <w:rsid w:val="000F1F9A"/>
    <w:rsid w:val="000F20F2"/>
    <w:rsid w:val="000F60EC"/>
    <w:rsid w:val="001035EE"/>
    <w:rsid w:val="00104074"/>
    <w:rsid w:val="00104368"/>
    <w:rsid w:val="00107C63"/>
    <w:rsid w:val="00112748"/>
    <w:rsid w:val="001143ED"/>
    <w:rsid w:val="00114FF5"/>
    <w:rsid w:val="0011570C"/>
    <w:rsid w:val="00125087"/>
    <w:rsid w:val="0013261E"/>
    <w:rsid w:val="001341DF"/>
    <w:rsid w:val="00143C28"/>
    <w:rsid w:val="00145B6E"/>
    <w:rsid w:val="00147071"/>
    <w:rsid w:val="00150348"/>
    <w:rsid w:val="00152BE2"/>
    <w:rsid w:val="00153E94"/>
    <w:rsid w:val="00155281"/>
    <w:rsid w:val="00160242"/>
    <w:rsid w:val="00161EA5"/>
    <w:rsid w:val="00165EB6"/>
    <w:rsid w:val="001663EF"/>
    <w:rsid w:val="00166416"/>
    <w:rsid w:val="00167193"/>
    <w:rsid w:val="0017131C"/>
    <w:rsid w:val="001733E0"/>
    <w:rsid w:val="00177371"/>
    <w:rsid w:val="00186896"/>
    <w:rsid w:val="0018783B"/>
    <w:rsid w:val="00187C63"/>
    <w:rsid w:val="001923B1"/>
    <w:rsid w:val="00194603"/>
    <w:rsid w:val="001973AA"/>
    <w:rsid w:val="0019749B"/>
    <w:rsid w:val="001A191B"/>
    <w:rsid w:val="001A3712"/>
    <w:rsid w:val="001A7959"/>
    <w:rsid w:val="001B046D"/>
    <w:rsid w:val="001B25DC"/>
    <w:rsid w:val="001B532D"/>
    <w:rsid w:val="001B6616"/>
    <w:rsid w:val="001C0897"/>
    <w:rsid w:val="001C0BFA"/>
    <w:rsid w:val="001C1409"/>
    <w:rsid w:val="001D0B57"/>
    <w:rsid w:val="001D416A"/>
    <w:rsid w:val="001D4E40"/>
    <w:rsid w:val="001D6A83"/>
    <w:rsid w:val="001D771E"/>
    <w:rsid w:val="001E011B"/>
    <w:rsid w:val="001F4EB4"/>
    <w:rsid w:val="00201601"/>
    <w:rsid w:val="002072BD"/>
    <w:rsid w:val="002078C8"/>
    <w:rsid w:val="00210947"/>
    <w:rsid w:val="00210A35"/>
    <w:rsid w:val="0021629B"/>
    <w:rsid w:val="0023163B"/>
    <w:rsid w:val="00231A93"/>
    <w:rsid w:val="002322A7"/>
    <w:rsid w:val="00234AB4"/>
    <w:rsid w:val="00234B29"/>
    <w:rsid w:val="00236A0B"/>
    <w:rsid w:val="00241C04"/>
    <w:rsid w:val="00244CAF"/>
    <w:rsid w:val="002450DA"/>
    <w:rsid w:val="00250DC0"/>
    <w:rsid w:val="002525F5"/>
    <w:rsid w:val="00252F64"/>
    <w:rsid w:val="00253284"/>
    <w:rsid w:val="00254B1E"/>
    <w:rsid w:val="00255A0E"/>
    <w:rsid w:val="00260D68"/>
    <w:rsid w:val="0026548A"/>
    <w:rsid w:val="00265FF5"/>
    <w:rsid w:val="00266C8C"/>
    <w:rsid w:val="002743B1"/>
    <w:rsid w:val="00276552"/>
    <w:rsid w:val="00277AC6"/>
    <w:rsid w:val="00280963"/>
    <w:rsid w:val="00282998"/>
    <w:rsid w:val="00283060"/>
    <w:rsid w:val="0028724D"/>
    <w:rsid w:val="00290A59"/>
    <w:rsid w:val="00295329"/>
    <w:rsid w:val="002A300C"/>
    <w:rsid w:val="002A319B"/>
    <w:rsid w:val="002A52B4"/>
    <w:rsid w:val="002A7BBB"/>
    <w:rsid w:val="002B5312"/>
    <w:rsid w:val="002B7F28"/>
    <w:rsid w:val="002C22DC"/>
    <w:rsid w:val="002C2DC4"/>
    <w:rsid w:val="002C3017"/>
    <w:rsid w:val="002C3F7C"/>
    <w:rsid w:val="002D1937"/>
    <w:rsid w:val="002D74B2"/>
    <w:rsid w:val="002E316D"/>
    <w:rsid w:val="002E6093"/>
    <w:rsid w:val="002F262D"/>
    <w:rsid w:val="0030648D"/>
    <w:rsid w:val="00307119"/>
    <w:rsid w:val="00313DDC"/>
    <w:rsid w:val="003145B0"/>
    <w:rsid w:val="0031554A"/>
    <w:rsid w:val="003156A7"/>
    <w:rsid w:val="003161C8"/>
    <w:rsid w:val="00316787"/>
    <w:rsid w:val="00326318"/>
    <w:rsid w:val="00327081"/>
    <w:rsid w:val="003447BF"/>
    <w:rsid w:val="0034756B"/>
    <w:rsid w:val="003574BB"/>
    <w:rsid w:val="00363AE0"/>
    <w:rsid w:val="00365647"/>
    <w:rsid w:val="00365A8C"/>
    <w:rsid w:val="00367C78"/>
    <w:rsid w:val="00373B7B"/>
    <w:rsid w:val="003770B8"/>
    <w:rsid w:val="003775CD"/>
    <w:rsid w:val="003827E5"/>
    <w:rsid w:val="003851EB"/>
    <w:rsid w:val="003852DF"/>
    <w:rsid w:val="00386090"/>
    <w:rsid w:val="003864E8"/>
    <w:rsid w:val="003901A2"/>
    <w:rsid w:val="00390680"/>
    <w:rsid w:val="0039148E"/>
    <w:rsid w:val="00394ACB"/>
    <w:rsid w:val="003965D7"/>
    <w:rsid w:val="00397498"/>
    <w:rsid w:val="003A33E9"/>
    <w:rsid w:val="003B4025"/>
    <w:rsid w:val="003B4BA1"/>
    <w:rsid w:val="003C1421"/>
    <w:rsid w:val="003C2AED"/>
    <w:rsid w:val="003C57E6"/>
    <w:rsid w:val="003D1D6C"/>
    <w:rsid w:val="003D229D"/>
    <w:rsid w:val="003D3699"/>
    <w:rsid w:val="003E6971"/>
    <w:rsid w:val="003E6F72"/>
    <w:rsid w:val="003E7945"/>
    <w:rsid w:val="003F2DA5"/>
    <w:rsid w:val="004000C0"/>
    <w:rsid w:val="00405DD0"/>
    <w:rsid w:val="00405FEE"/>
    <w:rsid w:val="0040706B"/>
    <w:rsid w:val="00411CAB"/>
    <w:rsid w:val="00412F48"/>
    <w:rsid w:val="00413CC0"/>
    <w:rsid w:val="004218E6"/>
    <w:rsid w:val="00425931"/>
    <w:rsid w:val="00425B57"/>
    <w:rsid w:val="004271BC"/>
    <w:rsid w:val="004325DC"/>
    <w:rsid w:val="00432838"/>
    <w:rsid w:val="00432C85"/>
    <w:rsid w:val="00434DDB"/>
    <w:rsid w:val="00436672"/>
    <w:rsid w:val="0043731D"/>
    <w:rsid w:val="00440A61"/>
    <w:rsid w:val="00446B60"/>
    <w:rsid w:val="0045072E"/>
    <w:rsid w:val="00453C66"/>
    <w:rsid w:val="004555BB"/>
    <w:rsid w:val="004566D2"/>
    <w:rsid w:val="00457246"/>
    <w:rsid w:val="00461FA1"/>
    <w:rsid w:val="00466834"/>
    <w:rsid w:val="00476025"/>
    <w:rsid w:val="0047700D"/>
    <w:rsid w:val="004849CB"/>
    <w:rsid w:val="004A0951"/>
    <w:rsid w:val="004A1418"/>
    <w:rsid w:val="004A4215"/>
    <w:rsid w:val="004A4448"/>
    <w:rsid w:val="004A5FC3"/>
    <w:rsid w:val="004B2116"/>
    <w:rsid w:val="004B47CD"/>
    <w:rsid w:val="004B4A39"/>
    <w:rsid w:val="004C0470"/>
    <w:rsid w:val="004C074A"/>
    <w:rsid w:val="004C2BA7"/>
    <w:rsid w:val="004C77FD"/>
    <w:rsid w:val="004D1AC1"/>
    <w:rsid w:val="004D370E"/>
    <w:rsid w:val="004D3AE3"/>
    <w:rsid w:val="004E0AF7"/>
    <w:rsid w:val="004F4EF4"/>
    <w:rsid w:val="004F564E"/>
    <w:rsid w:val="004F5A07"/>
    <w:rsid w:val="004F7378"/>
    <w:rsid w:val="0050121B"/>
    <w:rsid w:val="00511EFA"/>
    <w:rsid w:val="00512185"/>
    <w:rsid w:val="00516A85"/>
    <w:rsid w:val="005234EE"/>
    <w:rsid w:val="005309FE"/>
    <w:rsid w:val="00530C32"/>
    <w:rsid w:val="005326A8"/>
    <w:rsid w:val="00533FC0"/>
    <w:rsid w:val="00540A09"/>
    <w:rsid w:val="005448F6"/>
    <w:rsid w:val="00550C1E"/>
    <w:rsid w:val="00554A67"/>
    <w:rsid w:val="005665AA"/>
    <w:rsid w:val="00566848"/>
    <w:rsid w:val="00570D61"/>
    <w:rsid w:val="00573281"/>
    <w:rsid w:val="00573529"/>
    <w:rsid w:val="0057650E"/>
    <w:rsid w:val="005765EC"/>
    <w:rsid w:val="00583075"/>
    <w:rsid w:val="005844CC"/>
    <w:rsid w:val="005876D8"/>
    <w:rsid w:val="00590EE3"/>
    <w:rsid w:val="0059290B"/>
    <w:rsid w:val="005974B1"/>
    <w:rsid w:val="005A2407"/>
    <w:rsid w:val="005A577D"/>
    <w:rsid w:val="005B26A4"/>
    <w:rsid w:val="005B412B"/>
    <w:rsid w:val="005B49AA"/>
    <w:rsid w:val="005B5674"/>
    <w:rsid w:val="005B7F57"/>
    <w:rsid w:val="005C6618"/>
    <w:rsid w:val="005C7BA8"/>
    <w:rsid w:val="005E1E34"/>
    <w:rsid w:val="005E1ED6"/>
    <w:rsid w:val="005E27E2"/>
    <w:rsid w:val="005E303B"/>
    <w:rsid w:val="005E3450"/>
    <w:rsid w:val="005E48F3"/>
    <w:rsid w:val="005F168D"/>
    <w:rsid w:val="005F2683"/>
    <w:rsid w:val="005F3BEC"/>
    <w:rsid w:val="005F6F05"/>
    <w:rsid w:val="0060181D"/>
    <w:rsid w:val="00601A4F"/>
    <w:rsid w:val="006022D3"/>
    <w:rsid w:val="00602333"/>
    <w:rsid w:val="00611799"/>
    <w:rsid w:val="00613439"/>
    <w:rsid w:val="0061385F"/>
    <w:rsid w:val="00620B49"/>
    <w:rsid w:val="00634EED"/>
    <w:rsid w:val="006362E3"/>
    <w:rsid w:val="00642684"/>
    <w:rsid w:val="006459EC"/>
    <w:rsid w:val="00645DA1"/>
    <w:rsid w:val="0064673F"/>
    <w:rsid w:val="00654738"/>
    <w:rsid w:val="00662E1A"/>
    <w:rsid w:val="006630A6"/>
    <w:rsid w:val="00670B55"/>
    <w:rsid w:val="00674FF2"/>
    <w:rsid w:val="006805BF"/>
    <w:rsid w:val="006836C9"/>
    <w:rsid w:val="0068451B"/>
    <w:rsid w:val="00684AD3"/>
    <w:rsid w:val="006930D9"/>
    <w:rsid w:val="00693939"/>
    <w:rsid w:val="00696282"/>
    <w:rsid w:val="006A123B"/>
    <w:rsid w:val="006B0974"/>
    <w:rsid w:val="006B0BCF"/>
    <w:rsid w:val="006B21E7"/>
    <w:rsid w:val="006B4416"/>
    <w:rsid w:val="006B5C0D"/>
    <w:rsid w:val="006C1D70"/>
    <w:rsid w:val="006C3751"/>
    <w:rsid w:val="006C64F4"/>
    <w:rsid w:val="006D4C8E"/>
    <w:rsid w:val="006D54CA"/>
    <w:rsid w:val="006F107B"/>
    <w:rsid w:val="006F1D68"/>
    <w:rsid w:val="006F62F3"/>
    <w:rsid w:val="006F71BA"/>
    <w:rsid w:val="00700C4B"/>
    <w:rsid w:val="00701F00"/>
    <w:rsid w:val="0070681B"/>
    <w:rsid w:val="00707728"/>
    <w:rsid w:val="007103B9"/>
    <w:rsid w:val="00712E99"/>
    <w:rsid w:val="00713BFA"/>
    <w:rsid w:val="007161FF"/>
    <w:rsid w:val="007164C1"/>
    <w:rsid w:val="007164D8"/>
    <w:rsid w:val="0072476A"/>
    <w:rsid w:val="00731068"/>
    <w:rsid w:val="00734E19"/>
    <w:rsid w:val="00736D3E"/>
    <w:rsid w:val="007371A3"/>
    <w:rsid w:val="007413CC"/>
    <w:rsid w:val="007454DE"/>
    <w:rsid w:val="00746F96"/>
    <w:rsid w:val="00747AB2"/>
    <w:rsid w:val="00751499"/>
    <w:rsid w:val="0075417D"/>
    <w:rsid w:val="00754863"/>
    <w:rsid w:val="00755502"/>
    <w:rsid w:val="00766F73"/>
    <w:rsid w:val="0076784A"/>
    <w:rsid w:val="00772C0B"/>
    <w:rsid w:val="0077309B"/>
    <w:rsid w:val="00773623"/>
    <w:rsid w:val="0077566D"/>
    <w:rsid w:val="00776884"/>
    <w:rsid w:val="00780C7A"/>
    <w:rsid w:val="00780EEC"/>
    <w:rsid w:val="00780F7B"/>
    <w:rsid w:val="00791D94"/>
    <w:rsid w:val="00792295"/>
    <w:rsid w:val="00793B23"/>
    <w:rsid w:val="007956E7"/>
    <w:rsid w:val="007958B4"/>
    <w:rsid w:val="00795D7E"/>
    <w:rsid w:val="0079700F"/>
    <w:rsid w:val="007978A1"/>
    <w:rsid w:val="007A2A52"/>
    <w:rsid w:val="007A6867"/>
    <w:rsid w:val="007B1C64"/>
    <w:rsid w:val="007B2E17"/>
    <w:rsid w:val="007B61C3"/>
    <w:rsid w:val="007C0739"/>
    <w:rsid w:val="007C2C0A"/>
    <w:rsid w:val="007C5EFC"/>
    <w:rsid w:val="007D091B"/>
    <w:rsid w:val="007D6886"/>
    <w:rsid w:val="007E1604"/>
    <w:rsid w:val="007E161D"/>
    <w:rsid w:val="007E5497"/>
    <w:rsid w:val="007E684D"/>
    <w:rsid w:val="007E771D"/>
    <w:rsid w:val="007F37ED"/>
    <w:rsid w:val="007F4108"/>
    <w:rsid w:val="007F48EE"/>
    <w:rsid w:val="007F64DD"/>
    <w:rsid w:val="00802211"/>
    <w:rsid w:val="008051DD"/>
    <w:rsid w:val="00810144"/>
    <w:rsid w:val="00813C58"/>
    <w:rsid w:val="00814ECF"/>
    <w:rsid w:val="00815577"/>
    <w:rsid w:val="00823F40"/>
    <w:rsid w:val="00825857"/>
    <w:rsid w:val="00831E97"/>
    <w:rsid w:val="00834B46"/>
    <w:rsid w:val="0084061B"/>
    <w:rsid w:val="008418D0"/>
    <w:rsid w:val="00841EEF"/>
    <w:rsid w:val="00843294"/>
    <w:rsid w:val="008438A4"/>
    <w:rsid w:val="00846F31"/>
    <w:rsid w:val="00861871"/>
    <w:rsid w:val="00863F4B"/>
    <w:rsid w:val="00865FBE"/>
    <w:rsid w:val="0086742A"/>
    <w:rsid w:val="0087559A"/>
    <w:rsid w:val="00876D36"/>
    <w:rsid w:val="00880A55"/>
    <w:rsid w:val="00881FB1"/>
    <w:rsid w:val="008912B2"/>
    <w:rsid w:val="00891F82"/>
    <w:rsid w:val="00892605"/>
    <w:rsid w:val="00893C62"/>
    <w:rsid w:val="00894FE9"/>
    <w:rsid w:val="0089582C"/>
    <w:rsid w:val="008A17FB"/>
    <w:rsid w:val="008A2CAA"/>
    <w:rsid w:val="008A436E"/>
    <w:rsid w:val="008A704E"/>
    <w:rsid w:val="008B3837"/>
    <w:rsid w:val="008B74E2"/>
    <w:rsid w:val="008C1190"/>
    <w:rsid w:val="008C1B0F"/>
    <w:rsid w:val="008D1B96"/>
    <w:rsid w:val="008D4C74"/>
    <w:rsid w:val="008D5679"/>
    <w:rsid w:val="008E019C"/>
    <w:rsid w:val="008E1228"/>
    <w:rsid w:val="008E2E78"/>
    <w:rsid w:val="008E43C4"/>
    <w:rsid w:val="008E6E81"/>
    <w:rsid w:val="008F42F1"/>
    <w:rsid w:val="0090243C"/>
    <w:rsid w:val="00903C71"/>
    <w:rsid w:val="00904227"/>
    <w:rsid w:val="00907D2D"/>
    <w:rsid w:val="00907D92"/>
    <w:rsid w:val="009101FA"/>
    <w:rsid w:val="009116FE"/>
    <w:rsid w:val="00925767"/>
    <w:rsid w:val="009264A9"/>
    <w:rsid w:val="00926DB0"/>
    <w:rsid w:val="00940506"/>
    <w:rsid w:val="00940794"/>
    <w:rsid w:val="00941725"/>
    <w:rsid w:val="00942081"/>
    <w:rsid w:val="00943C79"/>
    <w:rsid w:val="00945B5B"/>
    <w:rsid w:val="00954672"/>
    <w:rsid w:val="00955436"/>
    <w:rsid w:val="00961DEF"/>
    <w:rsid w:val="00962F81"/>
    <w:rsid w:val="00964E83"/>
    <w:rsid w:val="009652D0"/>
    <w:rsid w:val="00965683"/>
    <w:rsid w:val="00965A75"/>
    <w:rsid w:val="00967453"/>
    <w:rsid w:val="00970C7D"/>
    <w:rsid w:val="00976F5F"/>
    <w:rsid w:val="009777DB"/>
    <w:rsid w:val="00987569"/>
    <w:rsid w:val="0099561B"/>
    <w:rsid w:val="009A0FE2"/>
    <w:rsid w:val="009B3C45"/>
    <w:rsid w:val="009B3FFA"/>
    <w:rsid w:val="009B4F43"/>
    <w:rsid w:val="009B53F7"/>
    <w:rsid w:val="009C195D"/>
    <w:rsid w:val="009C1C16"/>
    <w:rsid w:val="009D3AEB"/>
    <w:rsid w:val="009E108A"/>
    <w:rsid w:val="009E7E37"/>
    <w:rsid w:val="009F0AC0"/>
    <w:rsid w:val="009F1211"/>
    <w:rsid w:val="009F12A2"/>
    <w:rsid w:val="009F1665"/>
    <w:rsid w:val="009F26D7"/>
    <w:rsid w:val="009F3EA2"/>
    <w:rsid w:val="00A00700"/>
    <w:rsid w:val="00A06545"/>
    <w:rsid w:val="00A15A13"/>
    <w:rsid w:val="00A2234E"/>
    <w:rsid w:val="00A24448"/>
    <w:rsid w:val="00A26087"/>
    <w:rsid w:val="00A26F56"/>
    <w:rsid w:val="00A27F31"/>
    <w:rsid w:val="00A305E8"/>
    <w:rsid w:val="00A31201"/>
    <w:rsid w:val="00A3393C"/>
    <w:rsid w:val="00A33C50"/>
    <w:rsid w:val="00A34B82"/>
    <w:rsid w:val="00A42864"/>
    <w:rsid w:val="00A4301B"/>
    <w:rsid w:val="00A4416A"/>
    <w:rsid w:val="00A5406C"/>
    <w:rsid w:val="00A553AB"/>
    <w:rsid w:val="00A565B4"/>
    <w:rsid w:val="00A626AA"/>
    <w:rsid w:val="00A65D3C"/>
    <w:rsid w:val="00A66802"/>
    <w:rsid w:val="00A7314F"/>
    <w:rsid w:val="00A759D0"/>
    <w:rsid w:val="00A761FE"/>
    <w:rsid w:val="00A7742F"/>
    <w:rsid w:val="00A7783E"/>
    <w:rsid w:val="00A836D9"/>
    <w:rsid w:val="00A917A3"/>
    <w:rsid w:val="00A92D51"/>
    <w:rsid w:val="00A9432E"/>
    <w:rsid w:val="00A95DC8"/>
    <w:rsid w:val="00A9734E"/>
    <w:rsid w:val="00AA0204"/>
    <w:rsid w:val="00AA1597"/>
    <w:rsid w:val="00AA3C46"/>
    <w:rsid w:val="00AB0FD6"/>
    <w:rsid w:val="00AB1FAD"/>
    <w:rsid w:val="00AB337E"/>
    <w:rsid w:val="00AB4295"/>
    <w:rsid w:val="00AB6BDA"/>
    <w:rsid w:val="00AB7D99"/>
    <w:rsid w:val="00AC1A31"/>
    <w:rsid w:val="00AD01CF"/>
    <w:rsid w:val="00AD2617"/>
    <w:rsid w:val="00AD2FF9"/>
    <w:rsid w:val="00AD4156"/>
    <w:rsid w:val="00AD6F07"/>
    <w:rsid w:val="00AE0D2D"/>
    <w:rsid w:val="00AE2162"/>
    <w:rsid w:val="00AE3B3B"/>
    <w:rsid w:val="00AF1E34"/>
    <w:rsid w:val="00B00034"/>
    <w:rsid w:val="00B03240"/>
    <w:rsid w:val="00B03EA8"/>
    <w:rsid w:val="00B100EA"/>
    <w:rsid w:val="00B11A22"/>
    <w:rsid w:val="00B1366B"/>
    <w:rsid w:val="00B13D40"/>
    <w:rsid w:val="00B15D1A"/>
    <w:rsid w:val="00B226BE"/>
    <w:rsid w:val="00B22A47"/>
    <w:rsid w:val="00B23F05"/>
    <w:rsid w:val="00B26918"/>
    <w:rsid w:val="00B30D35"/>
    <w:rsid w:val="00B317A7"/>
    <w:rsid w:val="00B32CA9"/>
    <w:rsid w:val="00B3516C"/>
    <w:rsid w:val="00B35437"/>
    <w:rsid w:val="00B35473"/>
    <w:rsid w:val="00B37687"/>
    <w:rsid w:val="00B4017B"/>
    <w:rsid w:val="00B45C5A"/>
    <w:rsid w:val="00B4606D"/>
    <w:rsid w:val="00B4651D"/>
    <w:rsid w:val="00B51686"/>
    <w:rsid w:val="00B53BF2"/>
    <w:rsid w:val="00B54348"/>
    <w:rsid w:val="00B57122"/>
    <w:rsid w:val="00B57E3F"/>
    <w:rsid w:val="00B64A96"/>
    <w:rsid w:val="00B64F1F"/>
    <w:rsid w:val="00B6647A"/>
    <w:rsid w:val="00B70056"/>
    <w:rsid w:val="00B7229B"/>
    <w:rsid w:val="00B74217"/>
    <w:rsid w:val="00B802A0"/>
    <w:rsid w:val="00B807A2"/>
    <w:rsid w:val="00B8351D"/>
    <w:rsid w:val="00B87F77"/>
    <w:rsid w:val="00B90ED1"/>
    <w:rsid w:val="00B9604A"/>
    <w:rsid w:val="00BA20BC"/>
    <w:rsid w:val="00BA2151"/>
    <w:rsid w:val="00BA246E"/>
    <w:rsid w:val="00BD566A"/>
    <w:rsid w:val="00BE3252"/>
    <w:rsid w:val="00BE41EA"/>
    <w:rsid w:val="00BE60B9"/>
    <w:rsid w:val="00BF35DD"/>
    <w:rsid w:val="00BF4B0F"/>
    <w:rsid w:val="00C06535"/>
    <w:rsid w:val="00C10CD1"/>
    <w:rsid w:val="00C14824"/>
    <w:rsid w:val="00C2038E"/>
    <w:rsid w:val="00C24F36"/>
    <w:rsid w:val="00C26601"/>
    <w:rsid w:val="00C30D8F"/>
    <w:rsid w:val="00C322D5"/>
    <w:rsid w:val="00C327F5"/>
    <w:rsid w:val="00C32C14"/>
    <w:rsid w:val="00C32DA6"/>
    <w:rsid w:val="00C33AD9"/>
    <w:rsid w:val="00C366B2"/>
    <w:rsid w:val="00C36DB8"/>
    <w:rsid w:val="00C37B36"/>
    <w:rsid w:val="00C412EC"/>
    <w:rsid w:val="00C41738"/>
    <w:rsid w:val="00C418AF"/>
    <w:rsid w:val="00C4272B"/>
    <w:rsid w:val="00C42A51"/>
    <w:rsid w:val="00C50816"/>
    <w:rsid w:val="00C53678"/>
    <w:rsid w:val="00C5399D"/>
    <w:rsid w:val="00C53EF2"/>
    <w:rsid w:val="00C700B9"/>
    <w:rsid w:val="00C80924"/>
    <w:rsid w:val="00C8240B"/>
    <w:rsid w:val="00C8612E"/>
    <w:rsid w:val="00C91E5E"/>
    <w:rsid w:val="00C92022"/>
    <w:rsid w:val="00C938C6"/>
    <w:rsid w:val="00C966B1"/>
    <w:rsid w:val="00C9702D"/>
    <w:rsid w:val="00CA1938"/>
    <w:rsid w:val="00CA22B4"/>
    <w:rsid w:val="00CA43C4"/>
    <w:rsid w:val="00CA6587"/>
    <w:rsid w:val="00CB0DD8"/>
    <w:rsid w:val="00CB19AD"/>
    <w:rsid w:val="00CB1E55"/>
    <w:rsid w:val="00CB2BD5"/>
    <w:rsid w:val="00CB5B1C"/>
    <w:rsid w:val="00CB6BD5"/>
    <w:rsid w:val="00CC1AA7"/>
    <w:rsid w:val="00CC1E45"/>
    <w:rsid w:val="00CD4CD7"/>
    <w:rsid w:val="00CE3069"/>
    <w:rsid w:val="00CE63FF"/>
    <w:rsid w:val="00CF2EB9"/>
    <w:rsid w:val="00CF374E"/>
    <w:rsid w:val="00CF5F2D"/>
    <w:rsid w:val="00D0006A"/>
    <w:rsid w:val="00D04628"/>
    <w:rsid w:val="00D059D6"/>
    <w:rsid w:val="00D105F8"/>
    <w:rsid w:val="00D1084F"/>
    <w:rsid w:val="00D12751"/>
    <w:rsid w:val="00D15622"/>
    <w:rsid w:val="00D17858"/>
    <w:rsid w:val="00D20736"/>
    <w:rsid w:val="00D233E3"/>
    <w:rsid w:val="00D26BE0"/>
    <w:rsid w:val="00D31CBC"/>
    <w:rsid w:val="00D31E32"/>
    <w:rsid w:val="00D33D89"/>
    <w:rsid w:val="00D45570"/>
    <w:rsid w:val="00D52D94"/>
    <w:rsid w:val="00D54895"/>
    <w:rsid w:val="00D551D7"/>
    <w:rsid w:val="00D62914"/>
    <w:rsid w:val="00D65695"/>
    <w:rsid w:val="00D65C37"/>
    <w:rsid w:val="00D6663A"/>
    <w:rsid w:val="00D70AF7"/>
    <w:rsid w:val="00D7298D"/>
    <w:rsid w:val="00D74AA9"/>
    <w:rsid w:val="00D75013"/>
    <w:rsid w:val="00D819E7"/>
    <w:rsid w:val="00D8369B"/>
    <w:rsid w:val="00D850B1"/>
    <w:rsid w:val="00D86C5E"/>
    <w:rsid w:val="00DA12FB"/>
    <w:rsid w:val="00DA4000"/>
    <w:rsid w:val="00DA53D9"/>
    <w:rsid w:val="00DA6144"/>
    <w:rsid w:val="00DB2A7F"/>
    <w:rsid w:val="00DC32E8"/>
    <w:rsid w:val="00DC5179"/>
    <w:rsid w:val="00DD154D"/>
    <w:rsid w:val="00DE2DDA"/>
    <w:rsid w:val="00DE4FB0"/>
    <w:rsid w:val="00DE7244"/>
    <w:rsid w:val="00DE7674"/>
    <w:rsid w:val="00DE781C"/>
    <w:rsid w:val="00DF205E"/>
    <w:rsid w:val="00DF2FD6"/>
    <w:rsid w:val="00E00CFD"/>
    <w:rsid w:val="00E00DEA"/>
    <w:rsid w:val="00E017E9"/>
    <w:rsid w:val="00E077A5"/>
    <w:rsid w:val="00E2137B"/>
    <w:rsid w:val="00E24AB1"/>
    <w:rsid w:val="00E26C29"/>
    <w:rsid w:val="00E3010E"/>
    <w:rsid w:val="00E33796"/>
    <w:rsid w:val="00E35136"/>
    <w:rsid w:val="00E410C2"/>
    <w:rsid w:val="00E45D36"/>
    <w:rsid w:val="00E467EA"/>
    <w:rsid w:val="00E51B9B"/>
    <w:rsid w:val="00E52FE3"/>
    <w:rsid w:val="00E643F9"/>
    <w:rsid w:val="00E662C3"/>
    <w:rsid w:val="00E6751F"/>
    <w:rsid w:val="00E76D48"/>
    <w:rsid w:val="00E77031"/>
    <w:rsid w:val="00E805ED"/>
    <w:rsid w:val="00E822A3"/>
    <w:rsid w:val="00E917DC"/>
    <w:rsid w:val="00E91D9C"/>
    <w:rsid w:val="00E95CF0"/>
    <w:rsid w:val="00EA0049"/>
    <w:rsid w:val="00EA1301"/>
    <w:rsid w:val="00EA1ED7"/>
    <w:rsid w:val="00EA2D1E"/>
    <w:rsid w:val="00EA3430"/>
    <w:rsid w:val="00EA7C6A"/>
    <w:rsid w:val="00EB03DB"/>
    <w:rsid w:val="00EB1334"/>
    <w:rsid w:val="00EB3AEB"/>
    <w:rsid w:val="00EB5704"/>
    <w:rsid w:val="00EC168D"/>
    <w:rsid w:val="00EC49AA"/>
    <w:rsid w:val="00EC4A6A"/>
    <w:rsid w:val="00ED0619"/>
    <w:rsid w:val="00ED23AF"/>
    <w:rsid w:val="00EE19F5"/>
    <w:rsid w:val="00EF0E14"/>
    <w:rsid w:val="00EF1E1A"/>
    <w:rsid w:val="00EF429B"/>
    <w:rsid w:val="00EF5FFD"/>
    <w:rsid w:val="00F02F38"/>
    <w:rsid w:val="00F06969"/>
    <w:rsid w:val="00F07287"/>
    <w:rsid w:val="00F07F09"/>
    <w:rsid w:val="00F10B0A"/>
    <w:rsid w:val="00F117A5"/>
    <w:rsid w:val="00F12CBF"/>
    <w:rsid w:val="00F2130C"/>
    <w:rsid w:val="00F21BC5"/>
    <w:rsid w:val="00F239DF"/>
    <w:rsid w:val="00F3028E"/>
    <w:rsid w:val="00F31714"/>
    <w:rsid w:val="00F32EEA"/>
    <w:rsid w:val="00F33568"/>
    <w:rsid w:val="00F45879"/>
    <w:rsid w:val="00F51DAA"/>
    <w:rsid w:val="00F51FAF"/>
    <w:rsid w:val="00F526BB"/>
    <w:rsid w:val="00F552A4"/>
    <w:rsid w:val="00F5622B"/>
    <w:rsid w:val="00F61A65"/>
    <w:rsid w:val="00F64C4D"/>
    <w:rsid w:val="00F66BF7"/>
    <w:rsid w:val="00F73C66"/>
    <w:rsid w:val="00F74AAA"/>
    <w:rsid w:val="00F74F72"/>
    <w:rsid w:val="00F772E6"/>
    <w:rsid w:val="00F830B7"/>
    <w:rsid w:val="00F8376E"/>
    <w:rsid w:val="00F83C9B"/>
    <w:rsid w:val="00F870AB"/>
    <w:rsid w:val="00FA06BB"/>
    <w:rsid w:val="00FA7518"/>
    <w:rsid w:val="00FB304B"/>
    <w:rsid w:val="00FC1D70"/>
    <w:rsid w:val="00FD2D54"/>
    <w:rsid w:val="00FD7D52"/>
    <w:rsid w:val="00FE02C2"/>
    <w:rsid w:val="00FE40BE"/>
    <w:rsid w:val="00FE52F4"/>
    <w:rsid w:val="00FF1098"/>
    <w:rsid w:val="00FF1169"/>
    <w:rsid w:val="00FF1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84BD4"/>
  <w15:docId w15:val="{7BA4D84C-B913-4444-A5D8-3F9BB1B1E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2A7"/>
    <w:pPr>
      <w:spacing w:after="0" w:line="240" w:lineRule="auto"/>
    </w:pPr>
    <w:rPr>
      <w:rFonts w:ascii="Times New Roman" w:hAnsi="Times New Roman" w:cs="Times New Roman"/>
      <w:sz w:val="24"/>
      <w:szCs w:val="24"/>
      <w:lang w:val="en-US"/>
    </w:rPr>
  </w:style>
  <w:style w:type="paragraph" w:styleId="Heading1">
    <w:name w:val="heading 1"/>
    <w:basedOn w:val="Normal"/>
    <w:next w:val="Normal"/>
    <w:link w:val="Heading1Char"/>
    <w:uiPriority w:val="9"/>
    <w:qFormat/>
    <w:rsid w:val="0089260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E6E81"/>
    <w:pPr>
      <w:spacing w:before="100" w:beforeAutospacing="1" w:after="100" w:afterAutospacing="1"/>
      <w:outlineLvl w:val="1"/>
    </w:pPr>
    <w:rPr>
      <w:rFonts w:eastAsia="Times New Roman"/>
      <w:b/>
      <w:bCs/>
      <w:sz w:val="36"/>
      <w:szCs w:val="36"/>
      <w:lang w:val="en-GB" w:eastAsia="en-GB"/>
    </w:rPr>
  </w:style>
  <w:style w:type="paragraph" w:styleId="Heading3">
    <w:name w:val="heading 3"/>
    <w:basedOn w:val="Normal"/>
    <w:next w:val="Normal"/>
    <w:link w:val="Heading3Char"/>
    <w:uiPriority w:val="9"/>
    <w:unhideWhenUsed/>
    <w:qFormat/>
    <w:rsid w:val="00405FE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2BE2"/>
    <w:rPr>
      <w:rFonts w:asciiTheme="minorHAnsi" w:hAnsiTheme="minorHAnsi" w:cstheme="minorBidi"/>
    </w:rPr>
  </w:style>
  <w:style w:type="character" w:customStyle="1" w:styleId="FootnoteTextChar">
    <w:name w:val="Footnote Text Char"/>
    <w:basedOn w:val="DefaultParagraphFont"/>
    <w:link w:val="FootnoteText"/>
    <w:uiPriority w:val="99"/>
    <w:rsid w:val="00152BE2"/>
    <w:rPr>
      <w:sz w:val="24"/>
      <w:szCs w:val="24"/>
      <w:lang w:val="en-US"/>
    </w:rPr>
  </w:style>
  <w:style w:type="character" w:styleId="FootnoteReference">
    <w:name w:val="footnote reference"/>
    <w:basedOn w:val="DefaultParagraphFont"/>
    <w:uiPriority w:val="99"/>
    <w:unhideWhenUsed/>
    <w:rsid w:val="00152BE2"/>
    <w:rPr>
      <w:vertAlign w:val="superscript"/>
    </w:rPr>
  </w:style>
  <w:style w:type="paragraph" w:styleId="ListParagraph">
    <w:name w:val="List Paragraph"/>
    <w:basedOn w:val="Normal"/>
    <w:uiPriority w:val="34"/>
    <w:qFormat/>
    <w:rsid w:val="00152BE2"/>
    <w:pPr>
      <w:ind w:left="720"/>
      <w:contextualSpacing/>
    </w:pPr>
    <w:rPr>
      <w:rFonts w:asciiTheme="minorHAnsi" w:hAnsiTheme="minorHAnsi" w:cstheme="minorBidi"/>
    </w:rPr>
  </w:style>
  <w:style w:type="paragraph" w:styleId="NormalWeb">
    <w:name w:val="Normal (Web)"/>
    <w:basedOn w:val="Normal"/>
    <w:uiPriority w:val="99"/>
    <w:unhideWhenUsed/>
    <w:rsid w:val="00152BE2"/>
    <w:pPr>
      <w:spacing w:before="100" w:beforeAutospacing="1" w:after="100" w:afterAutospacing="1"/>
    </w:pPr>
    <w:rPr>
      <w:rFonts w:eastAsia="Times New Roman"/>
      <w:lang w:val="en-GB" w:eastAsia="en-GB"/>
    </w:rPr>
  </w:style>
  <w:style w:type="paragraph" w:styleId="BalloonText">
    <w:name w:val="Balloon Text"/>
    <w:basedOn w:val="Normal"/>
    <w:link w:val="BalloonTextChar"/>
    <w:uiPriority w:val="99"/>
    <w:semiHidden/>
    <w:unhideWhenUsed/>
    <w:rsid w:val="007978A1"/>
    <w:rPr>
      <w:rFonts w:ascii="Tahoma" w:hAnsi="Tahoma" w:cs="Tahoma"/>
      <w:sz w:val="16"/>
      <w:szCs w:val="16"/>
    </w:rPr>
  </w:style>
  <w:style w:type="character" w:customStyle="1" w:styleId="BalloonTextChar">
    <w:name w:val="Balloon Text Char"/>
    <w:basedOn w:val="DefaultParagraphFont"/>
    <w:link w:val="BalloonText"/>
    <w:uiPriority w:val="99"/>
    <w:semiHidden/>
    <w:rsid w:val="007978A1"/>
    <w:rPr>
      <w:rFonts w:ascii="Tahoma" w:hAnsi="Tahoma" w:cs="Tahoma"/>
      <w:sz w:val="16"/>
      <w:szCs w:val="16"/>
      <w:lang w:val="en-US"/>
    </w:rPr>
  </w:style>
  <w:style w:type="table" w:styleId="TableGrid">
    <w:name w:val="Table Grid"/>
    <w:basedOn w:val="TableNormal"/>
    <w:uiPriority w:val="59"/>
    <w:rsid w:val="00F830B7"/>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E6E8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E6E81"/>
    <w:rPr>
      <w:color w:val="0000FF"/>
      <w:u w:val="single"/>
    </w:rPr>
  </w:style>
  <w:style w:type="paragraph" w:styleId="Header">
    <w:name w:val="header"/>
    <w:basedOn w:val="Normal"/>
    <w:link w:val="HeaderChar"/>
    <w:uiPriority w:val="99"/>
    <w:unhideWhenUsed/>
    <w:rsid w:val="008E6E81"/>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8E6E81"/>
    <w:rPr>
      <w:sz w:val="24"/>
      <w:szCs w:val="24"/>
      <w:lang w:val="en-US"/>
    </w:rPr>
  </w:style>
  <w:style w:type="paragraph" w:styleId="Footer">
    <w:name w:val="footer"/>
    <w:basedOn w:val="Normal"/>
    <w:link w:val="FooterChar"/>
    <w:uiPriority w:val="99"/>
    <w:unhideWhenUsed/>
    <w:rsid w:val="008E6E81"/>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8E6E81"/>
    <w:rPr>
      <w:sz w:val="24"/>
      <w:szCs w:val="24"/>
      <w:lang w:val="en-US"/>
    </w:rPr>
  </w:style>
  <w:style w:type="paragraph" w:customStyle="1" w:styleId="Default">
    <w:name w:val="Default"/>
    <w:rsid w:val="008E6E81"/>
    <w:pPr>
      <w:autoSpaceDE w:val="0"/>
      <w:autoSpaceDN w:val="0"/>
      <w:adjustRightInd w:val="0"/>
      <w:spacing w:after="0" w:line="240" w:lineRule="auto"/>
    </w:pPr>
    <w:rPr>
      <w:rFonts w:ascii="Georgia" w:hAnsi="Georgia" w:cs="Georgia"/>
      <w:color w:val="000000"/>
      <w:sz w:val="24"/>
      <w:szCs w:val="24"/>
    </w:rPr>
  </w:style>
  <w:style w:type="paragraph" w:styleId="EndnoteText">
    <w:name w:val="endnote text"/>
    <w:basedOn w:val="Normal"/>
    <w:link w:val="EndnoteTextChar"/>
    <w:uiPriority w:val="99"/>
    <w:unhideWhenUsed/>
    <w:rsid w:val="008E6E81"/>
    <w:rPr>
      <w:rFonts w:asciiTheme="minorHAnsi" w:hAnsiTheme="minorHAnsi" w:cstheme="minorBidi"/>
    </w:rPr>
  </w:style>
  <w:style w:type="character" w:customStyle="1" w:styleId="EndnoteTextChar">
    <w:name w:val="Endnote Text Char"/>
    <w:basedOn w:val="DefaultParagraphFont"/>
    <w:link w:val="EndnoteText"/>
    <w:uiPriority w:val="99"/>
    <w:rsid w:val="008E6E81"/>
    <w:rPr>
      <w:sz w:val="24"/>
      <w:szCs w:val="24"/>
      <w:lang w:val="en-US"/>
    </w:rPr>
  </w:style>
  <w:style w:type="character" w:styleId="EndnoteReference">
    <w:name w:val="endnote reference"/>
    <w:basedOn w:val="DefaultParagraphFont"/>
    <w:uiPriority w:val="99"/>
    <w:unhideWhenUsed/>
    <w:rsid w:val="008E6E81"/>
    <w:rPr>
      <w:vertAlign w:val="superscript"/>
    </w:rPr>
  </w:style>
  <w:style w:type="character" w:customStyle="1" w:styleId="apple-converted-space">
    <w:name w:val="apple-converted-space"/>
    <w:basedOn w:val="DefaultParagraphFont"/>
    <w:rsid w:val="008E6E81"/>
  </w:style>
  <w:style w:type="character" w:styleId="Strong">
    <w:name w:val="Strong"/>
    <w:basedOn w:val="DefaultParagraphFont"/>
    <w:uiPriority w:val="22"/>
    <w:qFormat/>
    <w:rsid w:val="008E6E81"/>
    <w:rPr>
      <w:b/>
      <w:bCs/>
    </w:rPr>
  </w:style>
  <w:style w:type="paragraph" w:styleId="Subtitle">
    <w:name w:val="Subtitle"/>
    <w:basedOn w:val="Normal"/>
    <w:next w:val="Normal"/>
    <w:link w:val="SubtitleChar"/>
    <w:uiPriority w:val="11"/>
    <w:qFormat/>
    <w:rsid w:val="008E6E8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E6E81"/>
    <w:rPr>
      <w:rFonts w:asciiTheme="majorHAnsi" w:eastAsiaTheme="majorEastAsia" w:hAnsiTheme="majorHAnsi" w:cstheme="majorBidi"/>
      <w:i/>
      <w:iCs/>
      <w:color w:val="4F81BD" w:themeColor="accent1"/>
      <w:spacing w:val="15"/>
      <w:sz w:val="24"/>
      <w:szCs w:val="24"/>
      <w:lang w:val="en-US"/>
    </w:rPr>
  </w:style>
  <w:style w:type="character" w:styleId="Emphasis">
    <w:name w:val="Emphasis"/>
    <w:basedOn w:val="DefaultParagraphFont"/>
    <w:uiPriority w:val="20"/>
    <w:qFormat/>
    <w:rsid w:val="008E6E81"/>
    <w:rPr>
      <w:b/>
      <w:bCs/>
      <w:i w:val="0"/>
      <w:iCs w:val="0"/>
    </w:rPr>
  </w:style>
  <w:style w:type="paragraph" w:customStyle="1" w:styleId="BISReference">
    <w:name w:val="BIS_Reference"/>
    <w:basedOn w:val="Normal"/>
    <w:rsid w:val="008E6E81"/>
    <w:pPr>
      <w:suppressAutoHyphens/>
      <w:ind w:left="432" w:hanging="432"/>
      <w:jc w:val="both"/>
    </w:pPr>
    <w:rPr>
      <w:rFonts w:ascii="Palatino Linotype" w:eastAsia="Times New Roman" w:hAnsi="Palatino Linotype"/>
      <w:sz w:val="20"/>
      <w:szCs w:val="20"/>
      <w:lang w:val="en-GB" w:eastAsia="ar-SA"/>
    </w:rPr>
  </w:style>
  <w:style w:type="character" w:customStyle="1" w:styleId="journal7">
    <w:name w:val="journal7"/>
    <w:basedOn w:val="DefaultParagraphFont"/>
    <w:rsid w:val="008E6E81"/>
    <w:rPr>
      <w:i/>
      <w:iCs/>
    </w:rPr>
  </w:style>
  <w:style w:type="character" w:styleId="CommentReference">
    <w:name w:val="annotation reference"/>
    <w:basedOn w:val="DefaultParagraphFont"/>
    <w:uiPriority w:val="99"/>
    <w:semiHidden/>
    <w:unhideWhenUsed/>
    <w:rsid w:val="00F02F38"/>
    <w:rPr>
      <w:sz w:val="16"/>
      <w:szCs w:val="16"/>
    </w:rPr>
  </w:style>
  <w:style w:type="paragraph" w:styleId="CommentText">
    <w:name w:val="annotation text"/>
    <w:basedOn w:val="Normal"/>
    <w:link w:val="CommentTextChar"/>
    <w:uiPriority w:val="99"/>
    <w:unhideWhenUsed/>
    <w:rsid w:val="00F02F38"/>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02F38"/>
    <w:rPr>
      <w:sz w:val="20"/>
      <w:szCs w:val="20"/>
      <w:lang w:val="en-US"/>
    </w:rPr>
  </w:style>
  <w:style w:type="paragraph" w:styleId="CommentSubject">
    <w:name w:val="annotation subject"/>
    <w:basedOn w:val="CommentText"/>
    <w:next w:val="CommentText"/>
    <w:link w:val="CommentSubjectChar"/>
    <w:uiPriority w:val="99"/>
    <w:semiHidden/>
    <w:unhideWhenUsed/>
    <w:rsid w:val="00F02F38"/>
    <w:rPr>
      <w:b/>
      <w:bCs/>
    </w:rPr>
  </w:style>
  <w:style w:type="character" w:customStyle="1" w:styleId="CommentSubjectChar">
    <w:name w:val="Comment Subject Char"/>
    <w:basedOn w:val="CommentTextChar"/>
    <w:link w:val="CommentSubject"/>
    <w:uiPriority w:val="99"/>
    <w:semiHidden/>
    <w:rsid w:val="00F02F38"/>
    <w:rPr>
      <w:b/>
      <w:bCs/>
      <w:sz w:val="20"/>
      <w:szCs w:val="20"/>
      <w:lang w:val="en-US"/>
    </w:rPr>
  </w:style>
  <w:style w:type="character" w:customStyle="1" w:styleId="Heading1Char">
    <w:name w:val="Heading 1 Char"/>
    <w:basedOn w:val="DefaultParagraphFont"/>
    <w:link w:val="Heading1"/>
    <w:uiPriority w:val="9"/>
    <w:rsid w:val="00892605"/>
    <w:rPr>
      <w:rFonts w:asciiTheme="majorHAnsi" w:eastAsiaTheme="majorEastAsia" w:hAnsiTheme="majorHAnsi" w:cstheme="majorBidi"/>
      <w:color w:val="365F91" w:themeColor="accent1" w:themeShade="BF"/>
      <w:sz w:val="32"/>
      <w:szCs w:val="32"/>
      <w:lang w:val="en-US"/>
    </w:rPr>
  </w:style>
  <w:style w:type="character" w:styleId="FollowedHyperlink">
    <w:name w:val="FollowedHyperlink"/>
    <w:basedOn w:val="DefaultParagraphFont"/>
    <w:uiPriority w:val="99"/>
    <w:semiHidden/>
    <w:unhideWhenUsed/>
    <w:rsid w:val="00F51DAA"/>
    <w:rPr>
      <w:color w:val="800080" w:themeColor="followedHyperlink"/>
      <w:u w:val="single"/>
    </w:rPr>
  </w:style>
  <w:style w:type="paragraph" w:styleId="Revision">
    <w:name w:val="Revision"/>
    <w:hidden/>
    <w:uiPriority w:val="99"/>
    <w:semiHidden/>
    <w:rsid w:val="00B30D35"/>
    <w:pPr>
      <w:spacing w:after="0" w:line="240" w:lineRule="auto"/>
    </w:pPr>
    <w:rPr>
      <w:rFonts w:ascii="Times New Roman" w:hAnsi="Times New Roman" w:cs="Times New Roman"/>
      <w:sz w:val="24"/>
      <w:szCs w:val="24"/>
      <w:lang w:val="en-US"/>
    </w:rPr>
  </w:style>
  <w:style w:type="character" w:customStyle="1" w:styleId="Heading3Char">
    <w:name w:val="Heading 3 Char"/>
    <w:basedOn w:val="DefaultParagraphFont"/>
    <w:link w:val="Heading3"/>
    <w:uiPriority w:val="9"/>
    <w:rsid w:val="00405FEE"/>
    <w:rPr>
      <w:rFonts w:asciiTheme="majorHAnsi" w:eastAsiaTheme="majorEastAsia" w:hAnsiTheme="majorHAnsi" w:cstheme="majorBidi"/>
      <w:color w:val="243F60" w:themeColor="accent1" w:themeShade="7F"/>
      <w:sz w:val="24"/>
      <w:szCs w:val="24"/>
      <w:lang w:val="en-US"/>
    </w:rPr>
  </w:style>
  <w:style w:type="character" w:customStyle="1" w:styleId="Date1">
    <w:name w:val="Date1"/>
    <w:basedOn w:val="DefaultParagraphFont"/>
    <w:rsid w:val="00405FEE"/>
  </w:style>
  <w:style w:type="character" w:customStyle="1" w:styleId="journal">
    <w:name w:val="journal"/>
    <w:basedOn w:val="DefaultParagraphFont"/>
    <w:rsid w:val="00405FEE"/>
  </w:style>
  <w:style w:type="character" w:customStyle="1" w:styleId="journalnumber">
    <w:name w:val="journalnumber"/>
    <w:basedOn w:val="DefaultParagraphFont"/>
    <w:rsid w:val="00405FEE"/>
  </w:style>
  <w:style w:type="character" w:customStyle="1" w:styleId="volume">
    <w:name w:val="volume"/>
    <w:basedOn w:val="DefaultParagraphFont"/>
    <w:rsid w:val="00405FEE"/>
  </w:style>
  <w:style w:type="character" w:customStyle="1" w:styleId="pages">
    <w:name w:val="pages"/>
    <w:basedOn w:val="DefaultParagraphFont"/>
    <w:rsid w:val="00405FEE"/>
  </w:style>
  <w:style w:type="character" w:customStyle="1" w:styleId="numberofpages">
    <w:name w:val="numberofpages"/>
    <w:basedOn w:val="DefaultParagraphFont"/>
    <w:rsid w:val="00405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889">
      <w:bodyDiv w:val="1"/>
      <w:marLeft w:val="0"/>
      <w:marRight w:val="0"/>
      <w:marTop w:val="0"/>
      <w:marBottom w:val="0"/>
      <w:divBdr>
        <w:top w:val="none" w:sz="0" w:space="0" w:color="auto"/>
        <w:left w:val="none" w:sz="0" w:space="0" w:color="auto"/>
        <w:bottom w:val="none" w:sz="0" w:space="0" w:color="auto"/>
        <w:right w:val="none" w:sz="0" w:space="0" w:color="auto"/>
      </w:divBdr>
    </w:div>
    <w:div w:id="55008897">
      <w:bodyDiv w:val="1"/>
      <w:marLeft w:val="0"/>
      <w:marRight w:val="0"/>
      <w:marTop w:val="0"/>
      <w:marBottom w:val="0"/>
      <w:divBdr>
        <w:top w:val="none" w:sz="0" w:space="0" w:color="auto"/>
        <w:left w:val="none" w:sz="0" w:space="0" w:color="auto"/>
        <w:bottom w:val="none" w:sz="0" w:space="0" w:color="auto"/>
        <w:right w:val="none" w:sz="0" w:space="0" w:color="auto"/>
      </w:divBdr>
    </w:div>
    <w:div w:id="103549227">
      <w:bodyDiv w:val="1"/>
      <w:marLeft w:val="0"/>
      <w:marRight w:val="0"/>
      <w:marTop w:val="0"/>
      <w:marBottom w:val="0"/>
      <w:divBdr>
        <w:top w:val="none" w:sz="0" w:space="0" w:color="auto"/>
        <w:left w:val="none" w:sz="0" w:space="0" w:color="auto"/>
        <w:bottom w:val="none" w:sz="0" w:space="0" w:color="auto"/>
        <w:right w:val="none" w:sz="0" w:space="0" w:color="auto"/>
      </w:divBdr>
    </w:div>
    <w:div w:id="108009007">
      <w:bodyDiv w:val="1"/>
      <w:marLeft w:val="0"/>
      <w:marRight w:val="0"/>
      <w:marTop w:val="0"/>
      <w:marBottom w:val="0"/>
      <w:divBdr>
        <w:top w:val="none" w:sz="0" w:space="0" w:color="auto"/>
        <w:left w:val="none" w:sz="0" w:space="0" w:color="auto"/>
        <w:bottom w:val="none" w:sz="0" w:space="0" w:color="auto"/>
        <w:right w:val="none" w:sz="0" w:space="0" w:color="auto"/>
      </w:divBdr>
    </w:div>
    <w:div w:id="150609671">
      <w:bodyDiv w:val="1"/>
      <w:marLeft w:val="0"/>
      <w:marRight w:val="0"/>
      <w:marTop w:val="0"/>
      <w:marBottom w:val="0"/>
      <w:divBdr>
        <w:top w:val="none" w:sz="0" w:space="0" w:color="auto"/>
        <w:left w:val="none" w:sz="0" w:space="0" w:color="auto"/>
        <w:bottom w:val="none" w:sz="0" w:space="0" w:color="auto"/>
        <w:right w:val="none" w:sz="0" w:space="0" w:color="auto"/>
      </w:divBdr>
    </w:div>
    <w:div w:id="393357578">
      <w:bodyDiv w:val="1"/>
      <w:marLeft w:val="0"/>
      <w:marRight w:val="0"/>
      <w:marTop w:val="0"/>
      <w:marBottom w:val="0"/>
      <w:divBdr>
        <w:top w:val="none" w:sz="0" w:space="0" w:color="auto"/>
        <w:left w:val="none" w:sz="0" w:space="0" w:color="auto"/>
        <w:bottom w:val="none" w:sz="0" w:space="0" w:color="auto"/>
        <w:right w:val="none" w:sz="0" w:space="0" w:color="auto"/>
      </w:divBdr>
    </w:div>
    <w:div w:id="446970099">
      <w:bodyDiv w:val="1"/>
      <w:marLeft w:val="0"/>
      <w:marRight w:val="0"/>
      <w:marTop w:val="0"/>
      <w:marBottom w:val="0"/>
      <w:divBdr>
        <w:top w:val="none" w:sz="0" w:space="0" w:color="auto"/>
        <w:left w:val="none" w:sz="0" w:space="0" w:color="auto"/>
        <w:bottom w:val="none" w:sz="0" w:space="0" w:color="auto"/>
        <w:right w:val="none" w:sz="0" w:space="0" w:color="auto"/>
      </w:divBdr>
    </w:div>
    <w:div w:id="541599686">
      <w:bodyDiv w:val="1"/>
      <w:marLeft w:val="0"/>
      <w:marRight w:val="0"/>
      <w:marTop w:val="0"/>
      <w:marBottom w:val="0"/>
      <w:divBdr>
        <w:top w:val="none" w:sz="0" w:space="0" w:color="auto"/>
        <w:left w:val="none" w:sz="0" w:space="0" w:color="auto"/>
        <w:bottom w:val="none" w:sz="0" w:space="0" w:color="auto"/>
        <w:right w:val="none" w:sz="0" w:space="0" w:color="auto"/>
      </w:divBdr>
    </w:div>
    <w:div w:id="806624598">
      <w:bodyDiv w:val="1"/>
      <w:marLeft w:val="0"/>
      <w:marRight w:val="0"/>
      <w:marTop w:val="0"/>
      <w:marBottom w:val="0"/>
      <w:divBdr>
        <w:top w:val="none" w:sz="0" w:space="0" w:color="auto"/>
        <w:left w:val="none" w:sz="0" w:space="0" w:color="auto"/>
        <w:bottom w:val="none" w:sz="0" w:space="0" w:color="auto"/>
        <w:right w:val="none" w:sz="0" w:space="0" w:color="auto"/>
      </w:divBdr>
    </w:div>
    <w:div w:id="861895536">
      <w:bodyDiv w:val="1"/>
      <w:marLeft w:val="0"/>
      <w:marRight w:val="0"/>
      <w:marTop w:val="0"/>
      <w:marBottom w:val="0"/>
      <w:divBdr>
        <w:top w:val="none" w:sz="0" w:space="0" w:color="auto"/>
        <w:left w:val="none" w:sz="0" w:space="0" w:color="auto"/>
        <w:bottom w:val="none" w:sz="0" w:space="0" w:color="auto"/>
        <w:right w:val="none" w:sz="0" w:space="0" w:color="auto"/>
      </w:divBdr>
    </w:div>
    <w:div w:id="980811891">
      <w:bodyDiv w:val="1"/>
      <w:marLeft w:val="0"/>
      <w:marRight w:val="0"/>
      <w:marTop w:val="0"/>
      <w:marBottom w:val="0"/>
      <w:divBdr>
        <w:top w:val="none" w:sz="0" w:space="0" w:color="auto"/>
        <w:left w:val="none" w:sz="0" w:space="0" w:color="auto"/>
        <w:bottom w:val="none" w:sz="0" w:space="0" w:color="auto"/>
        <w:right w:val="none" w:sz="0" w:space="0" w:color="auto"/>
      </w:divBdr>
    </w:div>
    <w:div w:id="1147741139">
      <w:bodyDiv w:val="1"/>
      <w:marLeft w:val="0"/>
      <w:marRight w:val="0"/>
      <w:marTop w:val="0"/>
      <w:marBottom w:val="0"/>
      <w:divBdr>
        <w:top w:val="none" w:sz="0" w:space="0" w:color="auto"/>
        <w:left w:val="none" w:sz="0" w:space="0" w:color="auto"/>
        <w:bottom w:val="none" w:sz="0" w:space="0" w:color="auto"/>
        <w:right w:val="none" w:sz="0" w:space="0" w:color="auto"/>
      </w:divBdr>
    </w:div>
    <w:div w:id="1149860952">
      <w:bodyDiv w:val="1"/>
      <w:marLeft w:val="0"/>
      <w:marRight w:val="0"/>
      <w:marTop w:val="0"/>
      <w:marBottom w:val="0"/>
      <w:divBdr>
        <w:top w:val="none" w:sz="0" w:space="0" w:color="auto"/>
        <w:left w:val="none" w:sz="0" w:space="0" w:color="auto"/>
        <w:bottom w:val="none" w:sz="0" w:space="0" w:color="auto"/>
        <w:right w:val="none" w:sz="0" w:space="0" w:color="auto"/>
      </w:divBdr>
    </w:div>
    <w:div w:id="1266575899">
      <w:bodyDiv w:val="1"/>
      <w:marLeft w:val="0"/>
      <w:marRight w:val="0"/>
      <w:marTop w:val="0"/>
      <w:marBottom w:val="0"/>
      <w:divBdr>
        <w:top w:val="none" w:sz="0" w:space="0" w:color="auto"/>
        <w:left w:val="none" w:sz="0" w:space="0" w:color="auto"/>
        <w:bottom w:val="none" w:sz="0" w:space="0" w:color="auto"/>
        <w:right w:val="none" w:sz="0" w:space="0" w:color="auto"/>
      </w:divBdr>
    </w:div>
    <w:div w:id="1343556772">
      <w:bodyDiv w:val="1"/>
      <w:marLeft w:val="0"/>
      <w:marRight w:val="0"/>
      <w:marTop w:val="0"/>
      <w:marBottom w:val="0"/>
      <w:divBdr>
        <w:top w:val="none" w:sz="0" w:space="0" w:color="auto"/>
        <w:left w:val="none" w:sz="0" w:space="0" w:color="auto"/>
        <w:bottom w:val="none" w:sz="0" w:space="0" w:color="auto"/>
        <w:right w:val="none" w:sz="0" w:space="0" w:color="auto"/>
      </w:divBdr>
    </w:div>
    <w:div w:id="1419474767">
      <w:bodyDiv w:val="1"/>
      <w:marLeft w:val="0"/>
      <w:marRight w:val="0"/>
      <w:marTop w:val="0"/>
      <w:marBottom w:val="0"/>
      <w:divBdr>
        <w:top w:val="none" w:sz="0" w:space="0" w:color="auto"/>
        <w:left w:val="none" w:sz="0" w:space="0" w:color="auto"/>
        <w:bottom w:val="none" w:sz="0" w:space="0" w:color="auto"/>
        <w:right w:val="none" w:sz="0" w:space="0" w:color="auto"/>
      </w:divBdr>
    </w:div>
    <w:div w:id="1465150347">
      <w:bodyDiv w:val="1"/>
      <w:marLeft w:val="0"/>
      <w:marRight w:val="0"/>
      <w:marTop w:val="0"/>
      <w:marBottom w:val="0"/>
      <w:divBdr>
        <w:top w:val="none" w:sz="0" w:space="0" w:color="auto"/>
        <w:left w:val="none" w:sz="0" w:space="0" w:color="auto"/>
        <w:bottom w:val="none" w:sz="0" w:space="0" w:color="auto"/>
        <w:right w:val="none" w:sz="0" w:space="0" w:color="auto"/>
      </w:divBdr>
    </w:div>
    <w:div w:id="1573808875">
      <w:bodyDiv w:val="1"/>
      <w:marLeft w:val="0"/>
      <w:marRight w:val="0"/>
      <w:marTop w:val="0"/>
      <w:marBottom w:val="0"/>
      <w:divBdr>
        <w:top w:val="none" w:sz="0" w:space="0" w:color="auto"/>
        <w:left w:val="none" w:sz="0" w:space="0" w:color="auto"/>
        <w:bottom w:val="none" w:sz="0" w:space="0" w:color="auto"/>
        <w:right w:val="none" w:sz="0" w:space="0" w:color="auto"/>
      </w:divBdr>
    </w:div>
    <w:div w:id="1614164456">
      <w:bodyDiv w:val="1"/>
      <w:marLeft w:val="0"/>
      <w:marRight w:val="0"/>
      <w:marTop w:val="0"/>
      <w:marBottom w:val="0"/>
      <w:divBdr>
        <w:top w:val="none" w:sz="0" w:space="0" w:color="auto"/>
        <w:left w:val="none" w:sz="0" w:space="0" w:color="auto"/>
        <w:bottom w:val="none" w:sz="0" w:space="0" w:color="auto"/>
        <w:right w:val="none" w:sz="0" w:space="0" w:color="auto"/>
      </w:divBdr>
    </w:div>
    <w:div w:id="1633291798">
      <w:bodyDiv w:val="1"/>
      <w:marLeft w:val="0"/>
      <w:marRight w:val="0"/>
      <w:marTop w:val="0"/>
      <w:marBottom w:val="0"/>
      <w:divBdr>
        <w:top w:val="none" w:sz="0" w:space="0" w:color="auto"/>
        <w:left w:val="none" w:sz="0" w:space="0" w:color="auto"/>
        <w:bottom w:val="none" w:sz="0" w:space="0" w:color="auto"/>
        <w:right w:val="none" w:sz="0" w:space="0" w:color="auto"/>
      </w:divBdr>
    </w:div>
    <w:div w:id="1642076892">
      <w:bodyDiv w:val="1"/>
      <w:marLeft w:val="0"/>
      <w:marRight w:val="0"/>
      <w:marTop w:val="0"/>
      <w:marBottom w:val="0"/>
      <w:divBdr>
        <w:top w:val="none" w:sz="0" w:space="0" w:color="auto"/>
        <w:left w:val="none" w:sz="0" w:space="0" w:color="auto"/>
        <w:bottom w:val="none" w:sz="0" w:space="0" w:color="auto"/>
        <w:right w:val="none" w:sz="0" w:space="0" w:color="auto"/>
      </w:divBdr>
    </w:div>
    <w:div w:id="1748071796">
      <w:bodyDiv w:val="1"/>
      <w:marLeft w:val="0"/>
      <w:marRight w:val="0"/>
      <w:marTop w:val="0"/>
      <w:marBottom w:val="0"/>
      <w:divBdr>
        <w:top w:val="none" w:sz="0" w:space="0" w:color="auto"/>
        <w:left w:val="none" w:sz="0" w:space="0" w:color="auto"/>
        <w:bottom w:val="none" w:sz="0" w:space="0" w:color="auto"/>
        <w:right w:val="none" w:sz="0" w:space="0" w:color="auto"/>
      </w:divBdr>
    </w:div>
    <w:div w:id="2042585513">
      <w:bodyDiv w:val="1"/>
      <w:marLeft w:val="0"/>
      <w:marRight w:val="0"/>
      <w:marTop w:val="0"/>
      <w:marBottom w:val="0"/>
      <w:divBdr>
        <w:top w:val="none" w:sz="0" w:space="0" w:color="auto"/>
        <w:left w:val="none" w:sz="0" w:space="0" w:color="auto"/>
        <w:bottom w:val="none" w:sz="0" w:space="0" w:color="auto"/>
        <w:right w:val="none" w:sz="0" w:space="0" w:color="auto"/>
      </w:divBdr>
    </w:div>
    <w:div w:id="20915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hyperlink" Target="https://www.gov.uk/government/news/number-of-people-claiming-jobseekers-allowance-falls-across-the-uk"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https://www.lloydsbankinggroup.com/globalassets/documents/media/press-releases/lloyds-bank/2015/150911-cost-of-private-schooling-final.pd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i.org/10.1017/S147474641800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gov.uk/government/collections/jobseekers-allowance-sanction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7331-C5F3-424D-A043-E8C92B24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13152</Words>
  <Characters>78627</Characters>
  <Application>Microsoft Office Word</Application>
  <DocSecurity>0</DocSecurity>
  <Lines>655</Lines>
  <Paragraphs>183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91596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Haagh</dc:creator>
  <cp:lastModifiedBy>Louise Haagh</cp:lastModifiedBy>
  <cp:revision>2</cp:revision>
  <cp:lastPrinted>2018-12-17T17:27:00Z</cp:lastPrinted>
  <dcterms:created xsi:type="dcterms:W3CDTF">2018-12-19T09:23:00Z</dcterms:created>
  <dcterms:modified xsi:type="dcterms:W3CDTF">2018-12-19T09:23:00Z</dcterms:modified>
</cp:coreProperties>
</file>