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12" w:space="0" w:color="808080"/>
        </w:tblBorders>
        <w:shd w:val="clear" w:color="auto" w:fill="8C8C8C"/>
        <w:tblLook w:val="01E0" w:firstRow="1" w:lastRow="1" w:firstColumn="1" w:lastColumn="1" w:noHBand="0" w:noVBand="0"/>
      </w:tblPr>
      <w:tblGrid>
        <w:gridCol w:w="6771"/>
        <w:gridCol w:w="3310"/>
      </w:tblGrid>
      <w:tr w:rsidR="00D9240C" w:rsidTr="00BF31B4">
        <w:tc>
          <w:tcPr>
            <w:tcW w:w="6771" w:type="dxa"/>
            <w:tcBorders>
              <w:bottom w:val="single" w:sz="12" w:space="0" w:color="808080"/>
            </w:tcBorders>
            <w:shd w:val="clear" w:color="auto" w:fill="auto"/>
          </w:tcPr>
          <w:p w:rsidR="00D9240C" w:rsidRDefault="00D9240C" w:rsidP="00D9240C"/>
        </w:tc>
        <w:tc>
          <w:tcPr>
            <w:tcW w:w="3310" w:type="dxa"/>
            <w:shd w:val="clear" w:color="auto" w:fill="8C8C8C"/>
          </w:tcPr>
          <w:p w:rsidR="00D9240C" w:rsidRPr="00BF31B4" w:rsidRDefault="003B7680" w:rsidP="00A50ADD">
            <w:pPr>
              <w:pStyle w:val="ColumnTitle"/>
              <w:rPr>
                <w:color w:val="FFFFFF"/>
              </w:rPr>
            </w:pPr>
            <w:r w:rsidRPr="00BF31B4">
              <w:rPr>
                <w:color w:val="FFFFFF"/>
              </w:rPr>
              <w:t>FULL PAPER</w:t>
            </w:r>
          </w:p>
        </w:tc>
      </w:tr>
    </w:tbl>
    <w:p w:rsidR="003C08E6" w:rsidRPr="00162883" w:rsidRDefault="00D62C8C" w:rsidP="003C08E6">
      <w:pPr>
        <w:pStyle w:val="ManuscriptID"/>
      </w:pPr>
      <w:r>
        <w:t>DOI: 10.1002/adsc</w:t>
      </w:r>
      <w:r w:rsidR="00915FA4" w:rsidRPr="00162883">
        <w:t>.20</w:t>
      </w:r>
      <w:r w:rsidR="00560782">
        <w:t>1</w:t>
      </w:r>
      <w:r w:rsidR="00DD6C06" w:rsidRPr="00B825F8">
        <w:rPr>
          <w:b w:val="0"/>
          <w:color w:val="FF0000"/>
        </w:rPr>
        <w:t>((</w:t>
      </w:r>
      <w:r w:rsidRPr="00B825F8">
        <w:rPr>
          <w:b w:val="0"/>
          <w:color w:val="FF0000"/>
        </w:rPr>
        <w:t>will b</w:t>
      </w:r>
      <w:r w:rsidR="00B825F8" w:rsidRPr="00B825F8">
        <w:rPr>
          <w:b w:val="0"/>
          <w:color w:val="FF0000"/>
        </w:rPr>
        <w:t>e filled in by the editorial st</w:t>
      </w:r>
      <w:r w:rsidRPr="00B825F8">
        <w:rPr>
          <w:b w:val="0"/>
          <w:color w:val="FF0000"/>
        </w:rPr>
        <w:t>aff</w:t>
      </w:r>
      <w:r w:rsidR="00FC63D2" w:rsidRPr="00B825F8">
        <w:rPr>
          <w:b w:val="0"/>
          <w:color w:val="FF0000"/>
        </w:rPr>
        <w:t>))</w:t>
      </w:r>
    </w:p>
    <w:p w:rsidR="00307C12" w:rsidRPr="00162883" w:rsidRDefault="00E523C2" w:rsidP="00474220">
      <w:pPr>
        <w:pStyle w:val="Title1"/>
      </w:pPr>
      <w:r w:rsidRPr="00FE39A8">
        <w:t>Influence of mesoporous silica properties on cyclic carbonate synthesis catalysed by supported aluminium(salen) complexes</w:t>
      </w:r>
    </w:p>
    <w:p w:rsidR="006479FE" w:rsidRPr="00162883" w:rsidRDefault="00E523C2" w:rsidP="006479FE">
      <w:pPr>
        <w:pStyle w:val="Authors"/>
      </w:pPr>
      <w:r w:rsidRPr="00FE39A8">
        <w:t>Patricia A. Carvalho,</w:t>
      </w:r>
      <w:r w:rsidRPr="00FE39A8">
        <w:rPr>
          <w:vertAlign w:val="superscript"/>
        </w:rPr>
        <w:t>a</w:t>
      </w:r>
      <w:r w:rsidRPr="00FE39A8">
        <w:t xml:space="preserve"> James W. Comerford,</w:t>
      </w:r>
      <w:r w:rsidRPr="00FE39A8">
        <w:rPr>
          <w:vertAlign w:val="superscript"/>
        </w:rPr>
        <w:t>b</w:t>
      </w:r>
      <w:r w:rsidRPr="00FE39A8">
        <w:t xml:space="preserve"> </w:t>
      </w:r>
      <w:r>
        <w:t xml:space="preserve">Katie </w:t>
      </w:r>
      <w:r w:rsidR="00232C07">
        <w:t xml:space="preserve">J. </w:t>
      </w:r>
      <w:r>
        <w:t>Lamb,</w:t>
      </w:r>
      <w:r w:rsidRPr="00FE39A8">
        <w:rPr>
          <w:vertAlign w:val="superscript"/>
        </w:rPr>
        <w:t>b</w:t>
      </w:r>
      <w:r w:rsidRPr="00FE39A8">
        <w:t xml:space="preserve"> Michael North*</w:t>
      </w:r>
      <w:r w:rsidRPr="00FE39A8">
        <w:rPr>
          <w:vertAlign w:val="superscript"/>
        </w:rPr>
        <w:t xml:space="preserve">b </w:t>
      </w:r>
      <w:r w:rsidRPr="00FE39A8">
        <w:t>and Paul S. Reiss</w:t>
      </w:r>
      <w:r w:rsidRPr="00FE39A8">
        <w:rPr>
          <w:vertAlign w:val="superscript"/>
        </w:rPr>
        <w:t>b</w:t>
      </w:r>
    </w:p>
    <w:p w:rsidR="00474220" w:rsidRDefault="0042259A" w:rsidP="00540C34">
      <w:pPr>
        <w:pStyle w:val="Address0"/>
        <w:tabs>
          <w:tab w:val="left" w:pos="284"/>
        </w:tabs>
        <w:rPr>
          <w:lang w:val="en-GB"/>
        </w:rPr>
      </w:pPr>
      <w:r w:rsidRPr="00540C34">
        <w:rPr>
          <w:vertAlign w:val="superscript"/>
          <w:lang w:val="en-GB"/>
        </w:rPr>
        <w:t>a</w:t>
      </w:r>
      <w:r>
        <w:rPr>
          <w:lang w:val="en-GB"/>
        </w:rPr>
        <w:tab/>
      </w:r>
      <w:r w:rsidR="00E523C2">
        <w:t>SINTEF Materials and Chemistry, P. O. Box 124, Blindern, 0314 Oslo, Norway.</w:t>
      </w:r>
    </w:p>
    <w:p w:rsidR="00126615" w:rsidRDefault="00126615" w:rsidP="00540C34">
      <w:pPr>
        <w:pStyle w:val="Address0"/>
        <w:tabs>
          <w:tab w:val="left" w:pos="284"/>
        </w:tabs>
        <w:rPr>
          <w:lang w:val="en-GB"/>
        </w:rPr>
      </w:pPr>
      <w:r w:rsidRPr="00126615">
        <w:rPr>
          <w:vertAlign w:val="superscript"/>
          <w:lang w:val="en-GB"/>
        </w:rPr>
        <w:t>b</w:t>
      </w:r>
      <w:r>
        <w:rPr>
          <w:lang w:val="en-GB"/>
        </w:rPr>
        <w:tab/>
      </w:r>
      <w:r w:rsidR="00E523C2">
        <w:t>Green Chemistry Centre of Excellence, Department of Chemistry, University of York , Heslington, York, YO10 5DD, UK. Tel +44 1904 324545. E-mail: michael.north@york.ac.uk.</w:t>
      </w:r>
    </w:p>
    <w:p w:rsidR="00A1368B" w:rsidRDefault="005702B8" w:rsidP="00474220">
      <w:pPr>
        <w:pStyle w:val="History"/>
        <w:rPr>
          <w:color w:val="FF0000"/>
          <w:lang w:val="en-GB"/>
        </w:rPr>
      </w:pPr>
      <w:r>
        <w:rPr>
          <w:lang w:val="en-GB"/>
        </w:rPr>
        <w:t>Received</w:t>
      </w:r>
      <w:r w:rsidR="00126615">
        <w:rPr>
          <w:lang w:val="en-GB"/>
        </w:rPr>
        <w:t>:</w:t>
      </w:r>
      <w:r w:rsidR="00474220" w:rsidRPr="00162883">
        <w:rPr>
          <w:lang w:val="en-GB"/>
        </w:rPr>
        <w:t xml:space="preserve"> </w:t>
      </w:r>
      <w:r w:rsidR="00474220" w:rsidRPr="00F44874">
        <w:rPr>
          <w:color w:val="FF0000"/>
          <w:lang w:val="en-GB"/>
        </w:rPr>
        <w:t>((</w:t>
      </w:r>
      <w:r w:rsidR="00162883" w:rsidRPr="00F44874">
        <w:rPr>
          <w:color w:val="FF0000"/>
          <w:lang w:val="en-GB"/>
        </w:rPr>
        <w:t xml:space="preserve">will be filled in by the </w:t>
      </w:r>
      <w:r w:rsidR="00916D11" w:rsidRPr="00F44874">
        <w:rPr>
          <w:color w:val="FF0000"/>
          <w:lang w:val="en-GB"/>
        </w:rPr>
        <w:t>editorial staff</w:t>
      </w:r>
      <w:r w:rsidR="00474220" w:rsidRPr="00F44874">
        <w:rPr>
          <w:color w:val="FF0000"/>
          <w:lang w:val="en-GB"/>
        </w:rPr>
        <w:t>))</w:t>
      </w:r>
    </w:p>
    <w:p w:rsidR="00A1368B" w:rsidRPr="00A1368B" w:rsidRDefault="00103532" w:rsidP="00474220">
      <w:pPr>
        <w:pStyle w:val="History"/>
        <w:rPr>
          <w:lang w:val="en-GB"/>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0" type="#_x0000_t75" style="position:absolute;margin-left:-22.1pt;margin-top:.3pt;width:17pt;height:14.4pt;z-index:-1" wrapcoords="-939 0 -939 20463 21600 20463 21600 0 -939 0" o:allowoverlap="f">
            <v:imagedata r:id="rId6" o:title=""/>
            <w10:wrap type="tight"/>
          </v:shape>
        </w:pict>
      </w:r>
      <w:r w:rsidR="007A3BE4" w:rsidRPr="007A3BE4">
        <w:rPr>
          <w:noProof/>
          <w:lang w:val="en-GB"/>
        </w:rPr>
        <w:t>Supporting information for this article is available on the WWW under http://dx.doi.org/10.1002/adsc.20</w:t>
      </w:r>
      <w:r w:rsidR="00560782">
        <w:rPr>
          <w:noProof/>
          <w:lang w:val="en-GB"/>
        </w:rPr>
        <w:t>1</w:t>
      </w:r>
      <w:r w:rsidR="007A3BE4" w:rsidRPr="007A3BE4">
        <w:rPr>
          <w:noProof/>
          <w:lang w:val="en-GB"/>
        </w:rPr>
        <w:t>######</w:t>
      </w:r>
      <w:r w:rsidR="00A1368B" w:rsidRPr="00A1368B">
        <w:rPr>
          <w:lang w:val="en-GB"/>
        </w:rPr>
        <w:t>.</w:t>
      </w:r>
    </w:p>
    <w:p w:rsidR="009D542F" w:rsidRDefault="009D542F" w:rsidP="007C6DA4">
      <w:pPr>
        <w:pStyle w:val="SupportingInformation"/>
        <w:sectPr w:rsidR="009D542F" w:rsidSect="00635F07">
          <w:footerReference w:type="even" r:id="rId7"/>
          <w:footerReference w:type="default" r:id="rId8"/>
          <w:pgSz w:w="11906" w:h="16838" w:code="9"/>
          <w:pgMar w:top="567" w:right="680" w:bottom="1225" w:left="1361" w:header="709" w:footer="709" w:gutter="0"/>
          <w:cols w:space="284"/>
          <w:docGrid w:linePitch="360"/>
        </w:sectPr>
      </w:pPr>
    </w:p>
    <w:tbl>
      <w:tblPr>
        <w:tblW w:w="10173"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5018"/>
        <w:gridCol w:w="5155"/>
      </w:tblGrid>
      <w:tr w:rsidR="00BB5F9A" w:rsidRPr="00BB5F9A">
        <w:tc>
          <w:tcPr>
            <w:tcW w:w="5018" w:type="dxa"/>
            <w:tcMar>
              <w:right w:w="0" w:type="dxa"/>
            </w:tcMar>
          </w:tcPr>
          <w:p w:rsidR="00BB5F9A" w:rsidRDefault="00BB5F9A" w:rsidP="00E523C2">
            <w:pPr>
              <w:pStyle w:val="Abstract"/>
            </w:pPr>
            <w:r w:rsidRPr="00126615">
              <w:rPr>
                <w:b/>
              </w:rPr>
              <w:t>Abstract.</w:t>
            </w:r>
            <w:r w:rsidRPr="00126615">
              <w:t xml:space="preserve"> </w:t>
            </w:r>
            <w:r w:rsidR="00E523C2" w:rsidRPr="00FE39A8">
              <w:t>By modification of pore size and morphology, pore-expanded variants of SBA-15 and KIT-6 have been utilised as mesoporous silica support</w:t>
            </w:r>
            <w:r w:rsidR="00E523C2">
              <w:t>s</w:t>
            </w:r>
            <w:r w:rsidR="00E523C2" w:rsidRPr="00FE39A8">
              <w:t xml:space="preserve"> for the immobilisation of a bimetallic aluminium-salen complex. The performance of the resulting heterogeneous catalysts in the synthesis of cyclic carbonates from carbon dioxide and terminal epoxides was assessed. </w:t>
            </w:r>
            <w:r w:rsidR="00E523C2">
              <w:t>S</w:t>
            </w:r>
            <w:r w:rsidR="00E523C2" w:rsidRPr="00FE39A8">
              <w:t>upport materials which retained higher pore volume and surface areas after catalyst immobilisation</w:t>
            </w:r>
          </w:p>
        </w:tc>
        <w:tc>
          <w:tcPr>
            <w:tcW w:w="5155" w:type="dxa"/>
            <w:tcMar>
              <w:left w:w="227" w:type="dxa"/>
            </w:tcMar>
          </w:tcPr>
          <w:p w:rsidR="00BB5F9A" w:rsidRPr="007B3129" w:rsidRDefault="00E523C2" w:rsidP="00BB5F9A">
            <w:pPr>
              <w:pStyle w:val="Abstract"/>
            </w:pPr>
            <w:r w:rsidRPr="00FE39A8">
              <w:t xml:space="preserve">demonstrated enhanced conversions to the desired cyclic carbonates. This was rationalised to be a consequence of the promotion of reactant mass transport through </w:t>
            </w:r>
            <w:r>
              <w:t>a</w:t>
            </w:r>
            <w:r w:rsidRPr="00FE39A8">
              <w:t xml:space="preserve"> less-inhibited </w:t>
            </w:r>
            <w:r>
              <w:t>pore structure.</w:t>
            </w:r>
          </w:p>
          <w:p w:rsidR="00BB5F9A" w:rsidRPr="00BB5F9A" w:rsidRDefault="00BB5F9A" w:rsidP="00E523C2">
            <w:pPr>
              <w:pStyle w:val="Keywords"/>
            </w:pPr>
            <w:r w:rsidRPr="00162883">
              <w:rPr>
                <w:b/>
              </w:rPr>
              <w:t>Keywords:</w:t>
            </w:r>
            <w:r w:rsidR="00920E39">
              <w:t xml:space="preserve"> </w:t>
            </w:r>
            <w:r w:rsidR="00E523C2">
              <w:t>Cyclic carbonate</w:t>
            </w:r>
            <w:r w:rsidRPr="00162883">
              <w:t xml:space="preserve">; </w:t>
            </w:r>
            <w:r w:rsidR="00E523C2">
              <w:t>Epoxide</w:t>
            </w:r>
            <w:r w:rsidRPr="00162883">
              <w:t xml:space="preserve">; </w:t>
            </w:r>
            <w:r w:rsidR="00E523C2">
              <w:t>Carbon dioxide</w:t>
            </w:r>
            <w:r w:rsidR="007E59E2">
              <w:t xml:space="preserve"> fixation</w:t>
            </w:r>
            <w:r w:rsidRPr="00162883">
              <w:t xml:space="preserve">; </w:t>
            </w:r>
            <w:r w:rsidR="00E523C2">
              <w:t>Aluminium(salen)</w:t>
            </w:r>
            <w:r w:rsidRPr="00162883">
              <w:t xml:space="preserve">; </w:t>
            </w:r>
            <w:r w:rsidR="00E523C2">
              <w:t>Mesop</w:t>
            </w:r>
            <w:r w:rsidR="00A22B0A">
              <w:t>o</w:t>
            </w:r>
            <w:r w:rsidR="00E523C2">
              <w:t>rous silica</w:t>
            </w:r>
            <w:r w:rsidR="007E59E2">
              <w:t>; Heterogeneous catalysis</w:t>
            </w:r>
          </w:p>
        </w:tc>
      </w:tr>
    </w:tbl>
    <w:p w:rsidR="00C26E57" w:rsidRPr="00162883" w:rsidRDefault="00C26E57" w:rsidP="00B22712">
      <w:pPr>
        <w:pStyle w:val="Keywords"/>
        <w:spacing w:after="240"/>
        <w:sectPr w:rsidR="00C26E57" w:rsidRPr="00162883" w:rsidSect="00635F07">
          <w:type w:val="continuous"/>
          <w:pgSz w:w="11906" w:h="16838" w:code="9"/>
          <w:pgMar w:top="1134" w:right="680" w:bottom="1225" w:left="1361" w:header="709" w:footer="709" w:gutter="0"/>
          <w:cols w:space="340"/>
          <w:docGrid w:linePitch="360"/>
        </w:sectPr>
      </w:pPr>
    </w:p>
    <w:p w:rsidR="00E97C4A" w:rsidRPr="00162883" w:rsidRDefault="00E97C4A" w:rsidP="00166D6D">
      <w:pPr>
        <w:pStyle w:val="Keywords"/>
        <w:spacing w:after="440"/>
      </w:pPr>
    </w:p>
    <w:p w:rsidR="006479FE" w:rsidRPr="00162883" w:rsidRDefault="006479FE" w:rsidP="00552F16">
      <w:pPr>
        <w:pStyle w:val="Keywords"/>
        <w:sectPr w:rsidR="006479FE" w:rsidRPr="00162883" w:rsidSect="00635F07">
          <w:type w:val="continuous"/>
          <w:pgSz w:w="11906" w:h="16838" w:code="9"/>
          <w:pgMar w:top="1134" w:right="680" w:bottom="1225" w:left="1361" w:header="709" w:footer="709" w:gutter="0"/>
          <w:cols w:space="284" w:equalWidth="0">
            <w:col w:w="10375" w:space="708"/>
          </w:cols>
          <w:docGrid w:linePitch="360"/>
        </w:sectPr>
      </w:pPr>
    </w:p>
    <w:p w:rsidR="0066216C" w:rsidRPr="00162883" w:rsidRDefault="00162883" w:rsidP="003237A1">
      <w:pPr>
        <w:pStyle w:val="H1"/>
        <w:spacing w:before="360"/>
      </w:pPr>
      <w:r w:rsidRPr="00162883">
        <w:t>Introduction</w:t>
      </w:r>
    </w:p>
    <w:p w:rsidR="005B0968" w:rsidRDefault="005B0968" w:rsidP="00AC7316">
      <w:pPr>
        <w:pStyle w:val="P1withoutIndendation"/>
        <w:rPr>
          <w:szCs w:val="22"/>
        </w:rPr>
      </w:pPr>
      <w:r w:rsidRPr="005B0968">
        <w:rPr>
          <w:szCs w:val="22"/>
        </w:rPr>
        <w:t>Carbon dioxide is an abundant, cheap, and non-toxic C</w:t>
      </w:r>
      <w:r w:rsidRPr="005B0968">
        <w:rPr>
          <w:szCs w:val="22"/>
          <w:vertAlign w:val="subscript"/>
        </w:rPr>
        <w:t>1</w:t>
      </w:r>
      <w:r w:rsidRPr="005B0968">
        <w:rPr>
          <w:szCs w:val="22"/>
        </w:rPr>
        <w:t xml:space="preserve"> building block whose direct chemical fixation into value-added products has received much attention in recent years.</w:t>
      </w:r>
      <w:r>
        <w:rPr>
          <w:szCs w:val="22"/>
          <w:vertAlign w:val="superscript"/>
        </w:rPr>
        <w:t>[</w:t>
      </w:r>
      <w:r w:rsidRPr="005B0968">
        <w:rPr>
          <w:szCs w:val="22"/>
          <w:vertAlign w:val="superscript"/>
        </w:rPr>
        <w:t>1</w:t>
      </w:r>
      <w:r>
        <w:rPr>
          <w:szCs w:val="22"/>
          <w:vertAlign w:val="superscript"/>
        </w:rPr>
        <w:t>]</w:t>
      </w:r>
      <w:r w:rsidRPr="005B0968">
        <w:rPr>
          <w:szCs w:val="22"/>
        </w:rPr>
        <w:t xml:space="preserve"> In particular, the 100% atom economical reaction of carbon dioxide with epoxides </w:t>
      </w:r>
      <w:r w:rsidRPr="005B0968">
        <w:rPr>
          <w:b/>
          <w:szCs w:val="22"/>
        </w:rPr>
        <w:t>1</w:t>
      </w:r>
      <w:r w:rsidRPr="005B0968">
        <w:rPr>
          <w:szCs w:val="22"/>
        </w:rPr>
        <w:t xml:space="preserve"> to produce cyclic carbonates </w:t>
      </w:r>
      <w:r w:rsidRPr="005B0968">
        <w:rPr>
          <w:b/>
          <w:szCs w:val="22"/>
        </w:rPr>
        <w:t>2</w:t>
      </w:r>
      <w:r w:rsidRPr="005B0968">
        <w:rPr>
          <w:szCs w:val="22"/>
        </w:rPr>
        <w:t xml:space="preserve"> has been performed commercially for over 50 years (Scheme 1).</w:t>
      </w:r>
      <w:r>
        <w:rPr>
          <w:szCs w:val="22"/>
          <w:vertAlign w:val="superscript"/>
        </w:rPr>
        <w:t>[</w:t>
      </w:r>
      <w:r w:rsidRPr="005B0968">
        <w:rPr>
          <w:szCs w:val="22"/>
          <w:vertAlign w:val="superscript"/>
        </w:rPr>
        <w:t>2</w:t>
      </w:r>
      <w:r>
        <w:rPr>
          <w:szCs w:val="22"/>
          <w:vertAlign w:val="superscript"/>
        </w:rPr>
        <w:t>]</w:t>
      </w:r>
      <w:r w:rsidRPr="005B0968">
        <w:rPr>
          <w:szCs w:val="22"/>
        </w:rPr>
        <w:t xml:space="preserve"> Cyclic carbonates have important applications including as electrolytes in lithium ion batteries,</w:t>
      </w:r>
      <w:r>
        <w:rPr>
          <w:szCs w:val="22"/>
          <w:vertAlign w:val="superscript"/>
        </w:rPr>
        <w:t>[</w:t>
      </w:r>
      <w:r w:rsidRPr="005B0968">
        <w:rPr>
          <w:szCs w:val="22"/>
          <w:vertAlign w:val="superscript"/>
        </w:rPr>
        <w:t>3</w:t>
      </w:r>
      <w:r>
        <w:rPr>
          <w:szCs w:val="22"/>
          <w:vertAlign w:val="superscript"/>
        </w:rPr>
        <w:t>]</w:t>
      </w:r>
      <w:r w:rsidRPr="005B0968">
        <w:rPr>
          <w:szCs w:val="22"/>
        </w:rPr>
        <w:t xml:space="preserve"> polar aprotic solvents,</w:t>
      </w:r>
      <w:r>
        <w:rPr>
          <w:szCs w:val="22"/>
          <w:vertAlign w:val="superscript"/>
        </w:rPr>
        <w:t>[</w:t>
      </w:r>
      <w:r w:rsidRPr="005B0968">
        <w:rPr>
          <w:szCs w:val="22"/>
          <w:vertAlign w:val="superscript"/>
        </w:rPr>
        <w:t>4</w:t>
      </w:r>
      <w:r>
        <w:rPr>
          <w:szCs w:val="22"/>
          <w:vertAlign w:val="superscript"/>
        </w:rPr>
        <w:t>]</w:t>
      </w:r>
      <w:r w:rsidRPr="005B0968">
        <w:rPr>
          <w:szCs w:val="22"/>
        </w:rPr>
        <w:t xml:space="preserve"> and as intermediates in organic synthesis.</w:t>
      </w:r>
      <w:r>
        <w:rPr>
          <w:szCs w:val="22"/>
          <w:vertAlign w:val="superscript"/>
        </w:rPr>
        <w:t>[</w:t>
      </w:r>
      <w:r w:rsidRPr="005B0968">
        <w:rPr>
          <w:szCs w:val="22"/>
          <w:vertAlign w:val="superscript"/>
        </w:rPr>
        <w:t>5</w:t>
      </w:r>
      <w:r>
        <w:rPr>
          <w:szCs w:val="22"/>
          <w:vertAlign w:val="superscript"/>
        </w:rPr>
        <w:t>]</w:t>
      </w:r>
      <w:r w:rsidRPr="005B0968">
        <w:rPr>
          <w:szCs w:val="22"/>
        </w:rPr>
        <w:t xml:space="preserve"> However, current commercial processes use quaternary ammonium or phosphonium salts as catalysts and these require the use of elevated temperatures and pressures.</w:t>
      </w:r>
      <w:r>
        <w:rPr>
          <w:szCs w:val="22"/>
          <w:vertAlign w:val="superscript"/>
        </w:rPr>
        <w:t>[</w:t>
      </w:r>
      <w:r w:rsidRPr="005B0968">
        <w:rPr>
          <w:szCs w:val="22"/>
          <w:vertAlign w:val="superscript"/>
        </w:rPr>
        <w:t>6</w:t>
      </w:r>
      <w:r>
        <w:rPr>
          <w:szCs w:val="22"/>
          <w:vertAlign w:val="superscript"/>
        </w:rPr>
        <w:t>]</w:t>
      </w:r>
      <w:r w:rsidRPr="005B0968">
        <w:rPr>
          <w:szCs w:val="22"/>
        </w:rPr>
        <w:t xml:space="preserve"> As a result, the </w:t>
      </w:r>
      <w:r>
        <w:rPr>
          <w:szCs w:val="22"/>
        </w:rPr>
        <w:t xml:space="preserve">commercial </w:t>
      </w:r>
      <w:r w:rsidRPr="005B0968">
        <w:rPr>
          <w:szCs w:val="22"/>
        </w:rPr>
        <w:t xml:space="preserve">synthesis </w:t>
      </w:r>
      <w:r>
        <w:rPr>
          <w:szCs w:val="22"/>
        </w:rPr>
        <w:t xml:space="preserve">of cyclic carbonates </w:t>
      </w:r>
      <w:r w:rsidRPr="005B0968">
        <w:rPr>
          <w:szCs w:val="22"/>
        </w:rPr>
        <w:t>is a net generator of carbon dioxide. To address this issue, various catalytic systems have been developed over the last decade which promote cyclic carbonate synthesis under ambient conditions.</w:t>
      </w:r>
      <w:r>
        <w:rPr>
          <w:szCs w:val="22"/>
          <w:vertAlign w:val="superscript"/>
        </w:rPr>
        <w:t>[</w:t>
      </w:r>
      <w:r w:rsidRPr="005B0968">
        <w:rPr>
          <w:szCs w:val="22"/>
          <w:vertAlign w:val="superscript"/>
        </w:rPr>
        <w:t>7-9</w:t>
      </w:r>
      <w:r>
        <w:rPr>
          <w:szCs w:val="22"/>
          <w:vertAlign w:val="superscript"/>
        </w:rPr>
        <w:t>]</w:t>
      </w:r>
      <w:r w:rsidRPr="005B0968">
        <w:rPr>
          <w:szCs w:val="22"/>
        </w:rPr>
        <w:t xml:space="preserve"> For example, our group reported that bimetallic aluminium(salen) complex </w:t>
      </w:r>
      <w:r w:rsidRPr="005B0968">
        <w:rPr>
          <w:b/>
          <w:szCs w:val="22"/>
        </w:rPr>
        <w:t>3</w:t>
      </w:r>
      <w:r w:rsidRPr="005B0968">
        <w:rPr>
          <w:szCs w:val="22"/>
        </w:rPr>
        <w:t xml:space="preserve"> would catalyse cyclic carbonate synthesis at room temperature and pressure in conjunction with a tetrabutylammonium bromide co-catalyst.</w:t>
      </w:r>
      <w:r>
        <w:rPr>
          <w:szCs w:val="22"/>
          <w:vertAlign w:val="superscript"/>
        </w:rPr>
        <w:t>[</w:t>
      </w:r>
      <w:r w:rsidRPr="005B0968">
        <w:rPr>
          <w:szCs w:val="22"/>
          <w:vertAlign w:val="superscript"/>
        </w:rPr>
        <w:t>10</w:t>
      </w:r>
      <w:r>
        <w:rPr>
          <w:szCs w:val="22"/>
          <w:vertAlign w:val="superscript"/>
        </w:rPr>
        <w:t>]</w:t>
      </w:r>
    </w:p>
    <w:p w:rsidR="00C03501" w:rsidRPr="005B0968" w:rsidRDefault="005B0968" w:rsidP="00C03501">
      <w:pPr>
        <w:pStyle w:val="P1withoutIndendation"/>
        <w:widowControl w:val="0"/>
        <w:ind w:firstLine="227"/>
        <w:rPr>
          <w:szCs w:val="22"/>
        </w:rPr>
      </w:pPr>
      <w:r w:rsidRPr="005B0968">
        <w:rPr>
          <w:szCs w:val="14"/>
          <w:lang w:val="en-GB"/>
        </w:rPr>
        <w:t>We have also previously reported the use of</w:t>
      </w:r>
      <w:r w:rsidRPr="005B0968">
        <w:rPr>
          <w:szCs w:val="22"/>
        </w:rPr>
        <w:t xml:space="preserve"> immobilised versions of complex </w:t>
      </w:r>
      <w:r w:rsidRPr="005B0968">
        <w:rPr>
          <w:b/>
          <w:szCs w:val="22"/>
        </w:rPr>
        <w:t>3</w:t>
      </w:r>
      <w:r w:rsidRPr="005B0968">
        <w:rPr>
          <w:szCs w:val="22"/>
        </w:rPr>
        <w:t xml:space="preserve"> as heterogeneous catalysts for cyclic carbonate synthesis (Figure 1). Of the various support materials investigated, amorphous silica was found to give the most active heterogeneous catalyst (</w:t>
      </w:r>
      <w:r w:rsidRPr="005B0968">
        <w:rPr>
          <w:b/>
          <w:szCs w:val="22"/>
        </w:rPr>
        <w:t>4</w:t>
      </w:r>
      <w:r w:rsidRPr="005B0968">
        <w:rPr>
          <w:szCs w:val="22"/>
        </w:rPr>
        <w:t xml:space="preserve">) which could convert propylene oxide </w:t>
      </w:r>
      <w:r w:rsidRPr="005B0968">
        <w:rPr>
          <w:b/>
          <w:szCs w:val="22"/>
        </w:rPr>
        <w:t xml:space="preserve">1a </w:t>
      </w:r>
      <w:r w:rsidRPr="005B0968">
        <w:rPr>
          <w:szCs w:val="22"/>
        </w:rPr>
        <w:t xml:space="preserve">into propylene carbonate </w:t>
      </w:r>
      <w:r w:rsidRPr="005B0968">
        <w:rPr>
          <w:b/>
          <w:szCs w:val="22"/>
        </w:rPr>
        <w:t>2a</w:t>
      </w:r>
      <w:r w:rsidRPr="005B0968">
        <w:rPr>
          <w:szCs w:val="22"/>
        </w:rPr>
        <w:t xml:space="preserve"> with</w:t>
      </w:r>
      <w:r w:rsidR="00C03501">
        <w:rPr>
          <w:szCs w:val="22"/>
        </w:rPr>
        <w:t xml:space="preserve"> </w:t>
      </w:r>
    </w:p>
    <w:p w:rsidR="005B0968" w:rsidRPr="001F38DA" w:rsidRDefault="002A2B2C" w:rsidP="00C03501">
      <w:pPr>
        <w:spacing w:before="360"/>
        <w:jc w:val="center"/>
        <w:rPr>
          <w:color w:val="FF0000"/>
          <w:sz w:val="18"/>
          <w:szCs w:val="20"/>
          <w:lang w:val="en-GB"/>
        </w:rPr>
      </w:pPr>
      <w:r>
        <w:object w:dxaOrig="3437" w:dyaOrig="1587">
          <v:shape id="_x0000_i1025" type="#_x0000_t75" style="width:129pt;height:59.7pt" o:ole="">
            <v:imagedata r:id="rId9" o:title=""/>
          </v:shape>
          <o:OLEObject Type="Embed" ProgID="ChemDraw.Document.6.0" ShapeID="_x0000_i1025" DrawAspect="Content" ObjectID="_1601902979" r:id="rId10"/>
        </w:object>
      </w:r>
    </w:p>
    <w:p w:rsidR="005B0968" w:rsidRPr="00CB052B" w:rsidRDefault="005B0968" w:rsidP="002A2B2C">
      <w:pPr>
        <w:pStyle w:val="SchemeCaption"/>
        <w:spacing w:before="0" w:after="240"/>
      </w:pPr>
      <w:r>
        <w:rPr>
          <w:b/>
        </w:rPr>
        <w:t>Scheme</w:t>
      </w:r>
      <w:r w:rsidRPr="005702B8">
        <w:rPr>
          <w:b/>
        </w:rPr>
        <w:t xml:space="preserve"> 1</w:t>
      </w:r>
      <w:r>
        <w:rPr>
          <w:b/>
        </w:rPr>
        <w:t>.</w:t>
      </w:r>
      <w:r>
        <w:t xml:space="preserve"> </w:t>
      </w:r>
      <w:r w:rsidRPr="00FE39A8">
        <w:t>Synthesis of cyclic carbonates from epoxides and CO</w:t>
      </w:r>
      <w:r w:rsidRPr="00FE39A8">
        <w:rPr>
          <w:vertAlign w:val="subscript"/>
        </w:rPr>
        <w:t>2</w:t>
      </w:r>
      <w:r>
        <w:t>.</w:t>
      </w:r>
    </w:p>
    <w:p w:rsidR="00CB052B" w:rsidRPr="001F38DA" w:rsidRDefault="00725DC3" w:rsidP="00C03501">
      <w:pPr>
        <w:spacing w:before="360"/>
        <w:jc w:val="center"/>
        <w:rPr>
          <w:color w:val="FF0000"/>
          <w:sz w:val="18"/>
          <w:szCs w:val="20"/>
          <w:lang w:val="en-GB"/>
        </w:rPr>
      </w:pPr>
      <w:r>
        <w:object w:dxaOrig="5727" w:dyaOrig="6567">
          <v:shape id="_x0000_i1026" type="#_x0000_t75" style="width:214.85pt;height:246.4pt" o:ole="">
            <v:imagedata r:id="rId11" o:title=""/>
          </v:shape>
          <o:OLEObject Type="Embed" ProgID="ChemDraw.Document.6.0" ShapeID="_x0000_i1026" DrawAspect="Content" ObjectID="_1601902980" r:id="rId12"/>
        </w:object>
      </w:r>
    </w:p>
    <w:p w:rsidR="00CB052B" w:rsidRPr="001B2823" w:rsidRDefault="00CB052B" w:rsidP="002A2B2C">
      <w:pPr>
        <w:pStyle w:val="FigureCaption"/>
        <w:spacing w:before="120" w:after="0"/>
        <w:rPr>
          <w:color w:val="FF0000"/>
        </w:rPr>
      </w:pPr>
      <w:r w:rsidRPr="001B2823">
        <w:rPr>
          <w:b/>
          <w:color w:val="FF0000"/>
        </w:rPr>
        <w:t>Figure 1.</w:t>
      </w:r>
      <w:r w:rsidRPr="001B2823">
        <w:rPr>
          <w:color w:val="FF0000"/>
        </w:rPr>
        <w:t xml:space="preserve"> </w:t>
      </w:r>
      <w:r w:rsidR="002A2B2C" w:rsidRPr="001B2823">
        <w:rPr>
          <w:rFonts w:cs="Calibri"/>
          <w:color w:val="FF0000"/>
        </w:rPr>
        <w:t>C</w:t>
      </w:r>
      <w:r w:rsidRPr="001B2823">
        <w:rPr>
          <w:rFonts w:cs="Calibri"/>
          <w:color w:val="FF0000"/>
        </w:rPr>
        <w:t xml:space="preserve">atalysts </w:t>
      </w:r>
      <w:r w:rsidR="002A2B2C" w:rsidRPr="001B2823">
        <w:rPr>
          <w:rFonts w:cs="Calibri"/>
          <w:b/>
          <w:color w:val="FF0000"/>
        </w:rPr>
        <w:t>3</w:t>
      </w:r>
      <w:r w:rsidRPr="001B2823">
        <w:rPr>
          <w:rFonts w:cs="Calibri"/>
          <w:b/>
          <w:color w:val="FF0000"/>
        </w:rPr>
        <w:t>-5</w:t>
      </w:r>
      <w:r w:rsidRPr="001B2823">
        <w:rPr>
          <w:color w:val="FF0000"/>
        </w:rPr>
        <w:t>.</w:t>
      </w:r>
    </w:p>
    <w:p w:rsidR="005B0968" w:rsidRPr="00C03501" w:rsidRDefault="002A2B2C" w:rsidP="00C03501">
      <w:pPr>
        <w:pStyle w:val="P1withoutIndendation"/>
        <w:widowControl w:val="0"/>
        <w:rPr>
          <w:szCs w:val="22"/>
        </w:rPr>
      </w:pPr>
      <w:r w:rsidRPr="005B0968">
        <w:rPr>
          <w:szCs w:val="22"/>
        </w:rPr>
        <w:lastRenderedPageBreak/>
        <w:t>86% conversion after 24 hours at 25 ˚C and 1 bar carbon dioxide pressure using 2.5 mol% of</w:t>
      </w:r>
      <w:r>
        <w:rPr>
          <w:szCs w:val="22"/>
        </w:rPr>
        <w:t xml:space="preserve"> </w:t>
      </w:r>
      <w:r w:rsidRPr="005B0968">
        <w:rPr>
          <w:szCs w:val="22"/>
        </w:rPr>
        <w:t>catalyst.</w:t>
      </w:r>
      <w:r>
        <w:rPr>
          <w:szCs w:val="22"/>
          <w:vertAlign w:val="superscript"/>
        </w:rPr>
        <w:t>[</w:t>
      </w:r>
      <w:r w:rsidRPr="005B0968">
        <w:rPr>
          <w:szCs w:val="22"/>
          <w:vertAlign w:val="superscript"/>
        </w:rPr>
        <w:t>11</w:t>
      </w:r>
      <w:r>
        <w:rPr>
          <w:szCs w:val="22"/>
          <w:vertAlign w:val="superscript"/>
        </w:rPr>
        <w:t>]</w:t>
      </w:r>
      <w:r w:rsidRPr="005B0968">
        <w:rPr>
          <w:szCs w:val="22"/>
        </w:rPr>
        <w:t xml:space="preserve"> This system has also been demonstrated </w:t>
      </w:r>
      <w:r w:rsidR="00CB052B" w:rsidRPr="005B0968">
        <w:rPr>
          <w:szCs w:val="22"/>
        </w:rPr>
        <w:t>to work effectively in a gas-phase flow reactor</w:t>
      </w:r>
      <w:r w:rsidR="00CB052B">
        <w:rPr>
          <w:szCs w:val="22"/>
          <w:vertAlign w:val="superscript"/>
        </w:rPr>
        <w:t>[</w:t>
      </w:r>
      <w:r w:rsidR="00CB052B" w:rsidRPr="005B0968">
        <w:rPr>
          <w:szCs w:val="22"/>
          <w:vertAlign w:val="superscript"/>
        </w:rPr>
        <w:t>12</w:t>
      </w:r>
      <w:r w:rsidR="00CB052B">
        <w:rPr>
          <w:szCs w:val="22"/>
          <w:vertAlign w:val="superscript"/>
        </w:rPr>
        <w:t>]</w:t>
      </w:r>
      <w:r w:rsidR="00CB052B" w:rsidRPr="005B0968">
        <w:rPr>
          <w:szCs w:val="22"/>
        </w:rPr>
        <w:t xml:space="preserve"> and with flue gas.</w:t>
      </w:r>
      <w:r w:rsidR="00CB052B">
        <w:rPr>
          <w:szCs w:val="22"/>
          <w:vertAlign w:val="superscript"/>
        </w:rPr>
        <w:t>[</w:t>
      </w:r>
      <w:hyperlink w:anchor="_ENREF_8" w:tooltip="North, 2011 #728" w:history="1">
        <w:r w:rsidR="00CB052B" w:rsidRPr="005B0968">
          <w:rPr>
            <w:szCs w:val="22"/>
            <w:vertAlign w:val="superscript"/>
          </w:rPr>
          <w:t>13</w:t>
        </w:r>
      </w:hyperlink>
      <w:r w:rsidR="00CB052B">
        <w:rPr>
          <w:szCs w:val="22"/>
          <w:vertAlign w:val="superscript"/>
        </w:rPr>
        <w:t>]</w:t>
      </w:r>
      <w:r w:rsidR="00CB052B" w:rsidRPr="005B0968">
        <w:rPr>
          <w:szCs w:val="22"/>
        </w:rPr>
        <w:t xml:space="preserve"> The influence of different amorphous silica supports and of the linker length on catalyst activity and lifetime were subsequently investigated.</w:t>
      </w:r>
      <w:r w:rsidR="00CB052B">
        <w:rPr>
          <w:szCs w:val="22"/>
          <w:vertAlign w:val="superscript"/>
        </w:rPr>
        <w:t>[</w:t>
      </w:r>
      <w:r w:rsidR="00CB052B" w:rsidRPr="005B0968">
        <w:rPr>
          <w:szCs w:val="22"/>
          <w:vertAlign w:val="superscript"/>
        </w:rPr>
        <w:t>14</w:t>
      </w:r>
      <w:r w:rsidR="00CB052B">
        <w:rPr>
          <w:szCs w:val="22"/>
          <w:vertAlign w:val="superscript"/>
        </w:rPr>
        <w:t>]</w:t>
      </w:r>
      <w:r w:rsidR="00CB052B" w:rsidRPr="005B0968">
        <w:rPr>
          <w:szCs w:val="22"/>
        </w:rPr>
        <w:t xml:space="preserve"> While the pore size of these amorphous systems had little effect on catalytic activity, smaller particle sizes were found to be beneficial for cyclic carbonate synthesis, indicating that the catalyst was supported on the surface of the silica particles. By changing from a three-carbon linker in catalyst </w:t>
      </w:r>
      <w:r w:rsidR="00CB052B" w:rsidRPr="005B0968">
        <w:rPr>
          <w:b/>
          <w:szCs w:val="22"/>
        </w:rPr>
        <w:t xml:space="preserve">4 </w:t>
      </w:r>
      <w:r w:rsidR="00CB052B" w:rsidRPr="005B0968">
        <w:rPr>
          <w:szCs w:val="22"/>
        </w:rPr>
        <w:t xml:space="preserve">to an eleven-carbon linker in catalyst </w:t>
      </w:r>
      <w:r w:rsidR="00CB052B" w:rsidRPr="005B0968">
        <w:rPr>
          <w:b/>
          <w:szCs w:val="22"/>
        </w:rPr>
        <w:t>5</w:t>
      </w:r>
      <w:r w:rsidR="00CB052B" w:rsidRPr="005B0968">
        <w:rPr>
          <w:szCs w:val="22"/>
        </w:rPr>
        <w:t>, higher catalyst loadings could be obtained, but the catalytic activity and stability were reduced.</w:t>
      </w:r>
    </w:p>
    <w:p w:rsidR="00CB052B" w:rsidRDefault="00CB052B" w:rsidP="00CB052B">
      <w:pPr>
        <w:pStyle w:val="P1withIndendation"/>
        <w:rPr>
          <w:rFonts w:cs="Calibri"/>
          <w:szCs w:val="22"/>
        </w:rPr>
      </w:pPr>
      <w:r w:rsidRPr="00CB052B">
        <w:rPr>
          <w:rFonts w:cs="Calibri"/>
          <w:szCs w:val="22"/>
        </w:rPr>
        <w:t>Amorphous silicas are cheap, commercially available and highly stable, but their disordered pore structures cause an inherent lack of control with respect to catalyst loading and the mass transport of reactants. Therefore, we decided to investigate the use of structured mesoporous silica materials as supports for catalyst immobilisation. Mesoporous silicas are attractive supports as they possess high surface areas, large pore volumes and diameters, and are extremely stable. In addition, their porosity can be tuned through modification of the synthe</w:t>
      </w:r>
      <w:r w:rsidR="00E94105">
        <w:rPr>
          <w:rFonts w:cs="Calibri"/>
          <w:szCs w:val="22"/>
        </w:rPr>
        <w:t>tic</w:t>
      </w:r>
      <w:r w:rsidRPr="00CB052B">
        <w:rPr>
          <w:rFonts w:cs="Calibri"/>
          <w:szCs w:val="22"/>
        </w:rPr>
        <w:t xml:space="preserve"> conditions, and the abundance of silanol groups on the silica surface promotes enhanced catalyst loading. In particular, mesoporous silica SBA-15 has been investigated in a host of applications.</w:t>
      </w:r>
      <w:r>
        <w:rPr>
          <w:rFonts w:cs="Calibri"/>
          <w:szCs w:val="22"/>
          <w:vertAlign w:val="superscript"/>
        </w:rPr>
        <w:t>[</w:t>
      </w:r>
      <w:r w:rsidRPr="00CB052B">
        <w:rPr>
          <w:rFonts w:cs="Calibri"/>
          <w:szCs w:val="22"/>
          <w:vertAlign w:val="superscript"/>
        </w:rPr>
        <w:t>15-19</w:t>
      </w:r>
      <w:r>
        <w:rPr>
          <w:rFonts w:cs="Calibri"/>
          <w:szCs w:val="22"/>
          <w:vertAlign w:val="superscript"/>
        </w:rPr>
        <w:t>]</w:t>
      </w:r>
      <w:r w:rsidRPr="00CB052B">
        <w:rPr>
          <w:rFonts w:cs="Calibri"/>
          <w:szCs w:val="22"/>
        </w:rPr>
        <w:t xml:space="preserve"> Its popularity is derived from its honeycomb-like porous structure; consisting of uniform, tubular channels. By altering the synthesis conditions, the dimensions of these channels can be enlarged through the use of micelle expanders, such as trimethylbenzene (TMB) or trisisopropylbenzene (TIPB).</w:t>
      </w:r>
      <w:r>
        <w:rPr>
          <w:rFonts w:cs="Calibri"/>
          <w:szCs w:val="22"/>
          <w:vertAlign w:val="superscript"/>
        </w:rPr>
        <w:t>[</w:t>
      </w:r>
      <w:r w:rsidRPr="00CB052B">
        <w:rPr>
          <w:rFonts w:cs="Calibri"/>
          <w:szCs w:val="22"/>
          <w:vertAlign w:val="superscript"/>
        </w:rPr>
        <w:t>20</w:t>
      </w:r>
      <w:r>
        <w:rPr>
          <w:rFonts w:cs="Calibri"/>
          <w:szCs w:val="22"/>
          <w:vertAlign w:val="superscript"/>
        </w:rPr>
        <w:t>]</w:t>
      </w:r>
      <w:r w:rsidRPr="00CB052B">
        <w:rPr>
          <w:rFonts w:cs="Calibri"/>
          <w:szCs w:val="22"/>
        </w:rPr>
        <w:t xml:space="preserve"> For cyclic carbonate synthesis, SBA-15 has previously been functionalised </w:t>
      </w:r>
      <w:r w:rsidRPr="00CB052B">
        <w:rPr>
          <w:rFonts w:cs="Calibri"/>
          <w:i/>
          <w:szCs w:val="22"/>
        </w:rPr>
        <w:t>via</w:t>
      </w:r>
      <w:r w:rsidRPr="00CB052B">
        <w:rPr>
          <w:rFonts w:cs="Calibri"/>
          <w:szCs w:val="22"/>
        </w:rPr>
        <w:t xml:space="preserve"> the introduction of metals,</w:t>
      </w:r>
      <w:r>
        <w:rPr>
          <w:rFonts w:cs="Calibri"/>
          <w:szCs w:val="22"/>
          <w:vertAlign w:val="superscript"/>
        </w:rPr>
        <w:t>[</w:t>
      </w:r>
      <w:r w:rsidRPr="00CB052B">
        <w:rPr>
          <w:rFonts w:cs="Calibri"/>
          <w:szCs w:val="22"/>
          <w:vertAlign w:val="superscript"/>
        </w:rPr>
        <w:t>21</w:t>
      </w:r>
      <w:r>
        <w:rPr>
          <w:rFonts w:cs="Calibri"/>
          <w:szCs w:val="22"/>
          <w:vertAlign w:val="superscript"/>
        </w:rPr>
        <w:t>]</w:t>
      </w:r>
      <w:r w:rsidRPr="00CB052B">
        <w:rPr>
          <w:rFonts w:cs="Calibri"/>
          <w:szCs w:val="22"/>
        </w:rPr>
        <w:t xml:space="preserve"> sulfonic acids</w:t>
      </w:r>
      <w:r>
        <w:rPr>
          <w:rFonts w:cs="Calibri"/>
          <w:szCs w:val="22"/>
          <w:vertAlign w:val="superscript"/>
        </w:rPr>
        <w:t>[</w:t>
      </w:r>
      <w:r w:rsidRPr="00CB052B">
        <w:rPr>
          <w:rFonts w:cs="Calibri"/>
          <w:szCs w:val="22"/>
          <w:vertAlign w:val="superscript"/>
        </w:rPr>
        <w:t>22</w:t>
      </w:r>
      <w:r>
        <w:rPr>
          <w:rFonts w:cs="Calibri"/>
          <w:szCs w:val="22"/>
          <w:vertAlign w:val="superscript"/>
        </w:rPr>
        <w:t>]</w:t>
      </w:r>
      <w:r w:rsidRPr="00CB052B">
        <w:rPr>
          <w:rFonts w:cs="Calibri"/>
          <w:szCs w:val="22"/>
        </w:rPr>
        <w:t xml:space="preserve"> or ionic liquids</w:t>
      </w:r>
      <w:r>
        <w:rPr>
          <w:rFonts w:cs="Calibri"/>
          <w:szCs w:val="22"/>
          <w:vertAlign w:val="superscript"/>
        </w:rPr>
        <w:t>[</w:t>
      </w:r>
      <w:r w:rsidRPr="00CB052B">
        <w:rPr>
          <w:rFonts w:cs="Calibri"/>
          <w:szCs w:val="22"/>
          <w:vertAlign w:val="superscript"/>
        </w:rPr>
        <w:t>23</w:t>
      </w:r>
      <w:r>
        <w:rPr>
          <w:rFonts w:cs="Calibri"/>
          <w:szCs w:val="22"/>
          <w:vertAlign w:val="superscript"/>
        </w:rPr>
        <w:t>]</w:t>
      </w:r>
      <w:r w:rsidRPr="00CB052B">
        <w:rPr>
          <w:rFonts w:cs="Calibri"/>
          <w:szCs w:val="22"/>
        </w:rPr>
        <w:t xml:space="preserve"> to generate heterogeneous catalysts. However, these systems require either an additional co-catalyst or high temperatures in order to promote the reaction between epoxides and carbon dioxide.</w:t>
      </w:r>
      <w:r w:rsidR="001B2823">
        <w:rPr>
          <w:rFonts w:cs="Calibri"/>
          <w:szCs w:val="22"/>
        </w:rPr>
        <w:t xml:space="preserve"> </w:t>
      </w:r>
      <w:r w:rsidR="001B2823" w:rsidRPr="001B2823">
        <w:rPr>
          <w:rFonts w:cs="Calibri"/>
          <w:color w:val="FF0000"/>
          <w:szCs w:val="22"/>
        </w:rPr>
        <w:t>Other solid supports have also been used to immobilise catalysts for cyclic carbonate synthesis.</w:t>
      </w:r>
      <w:r w:rsidR="001B2823" w:rsidRPr="001B2823">
        <w:rPr>
          <w:rFonts w:cs="Calibri"/>
          <w:color w:val="FF0000"/>
          <w:szCs w:val="22"/>
          <w:vertAlign w:val="superscript"/>
        </w:rPr>
        <w:t>[7-9,24-32]</w:t>
      </w:r>
      <w:r w:rsidRPr="00CB052B">
        <w:rPr>
          <w:rFonts w:cs="Calibri"/>
          <w:szCs w:val="22"/>
        </w:rPr>
        <w:t xml:space="preserve"> </w:t>
      </w:r>
    </w:p>
    <w:p w:rsidR="00CB052B" w:rsidRDefault="00CB052B" w:rsidP="00686B49">
      <w:pPr>
        <w:pStyle w:val="P1withIndendation"/>
        <w:widowControl w:val="0"/>
        <w:rPr>
          <w:rFonts w:cs="Calibri"/>
          <w:szCs w:val="22"/>
        </w:rPr>
      </w:pPr>
      <w:r w:rsidRPr="00CB052B">
        <w:rPr>
          <w:rFonts w:cs="Calibri"/>
          <w:szCs w:val="22"/>
        </w:rPr>
        <w:t xml:space="preserve">Due to the small size of the tethered functionality in these systems relative to the size of the mesopores in SBA-15 (6 nm), there has previously been no need to investigate the use of pore-expanded variants of SBA-15 for cyclic carbonate synthesis. However, in view of the relatively large size of the bimetallic aluminium(salen) complexes (1.7 nm longest dimension for </w:t>
      </w:r>
      <w:r w:rsidRPr="00CB052B">
        <w:rPr>
          <w:rFonts w:cs="Calibri"/>
          <w:b/>
          <w:szCs w:val="22"/>
        </w:rPr>
        <w:t>3</w:t>
      </w:r>
      <w:r w:rsidRPr="00CB052B">
        <w:rPr>
          <w:rFonts w:cs="Calibri"/>
          <w:szCs w:val="22"/>
        </w:rPr>
        <w:t>), immobilisation onto mesoporous silica supports possessing larger pores could improve access of the reactants to the catalytically active sites, and aid their mass transport through the pore structure. In addition to SBA-15 type materials, the mesoporous silica</w:t>
      </w:r>
      <w:r w:rsidRPr="00CB052B">
        <w:rPr>
          <w:rFonts w:cs="Calibri"/>
          <w:b/>
          <w:szCs w:val="22"/>
        </w:rPr>
        <w:t xml:space="preserve"> </w:t>
      </w:r>
      <w:r w:rsidRPr="00CB052B">
        <w:rPr>
          <w:rFonts w:cs="Calibri"/>
          <w:szCs w:val="22"/>
        </w:rPr>
        <w:t xml:space="preserve">KIT-6 is also an excellent candidate for catalyst immobilisation and has not been previously investigated for cyclic carbonate synthesis. In contrast to the 2D pore structure in </w:t>
      </w:r>
      <w:r w:rsidRPr="00CB052B">
        <w:rPr>
          <w:rFonts w:cs="Calibri"/>
          <w:szCs w:val="22"/>
        </w:rPr>
        <w:t>SBA-15, KIT-6 possesses an interconnected 3D cubic pore structure</w:t>
      </w:r>
      <w:r w:rsidR="00F34F73">
        <w:rPr>
          <w:rFonts w:cs="Calibri"/>
          <w:szCs w:val="22"/>
          <w:vertAlign w:val="superscript"/>
        </w:rPr>
        <w:t>[33</w:t>
      </w:r>
      <w:r>
        <w:rPr>
          <w:rFonts w:cs="Calibri"/>
          <w:szCs w:val="22"/>
          <w:vertAlign w:val="superscript"/>
        </w:rPr>
        <w:t>]</w:t>
      </w:r>
      <w:r w:rsidRPr="00CB052B">
        <w:rPr>
          <w:rFonts w:cs="Calibri"/>
          <w:szCs w:val="22"/>
        </w:rPr>
        <w:t xml:space="preserve"> and so allows the influence of pore morphology on catalysis to be investigated.</w:t>
      </w:r>
    </w:p>
    <w:p w:rsidR="002D0B17" w:rsidRPr="008261A3" w:rsidRDefault="00CB052B" w:rsidP="00CB052B">
      <w:pPr>
        <w:pStyle w:val="P1withIndendation"/>
      </w:pPr>
      <w:r w:rsidRPr="00CB052B">
        <w:rPr>
          <w:rFonts w:cs="Calibri"/>
          <w:szCs w:val="22"/>
        </w:rPr>
        <w:t>Herein, we report the use of mesoporous silica materials as supports for the immobilisation of a bimetallic aluminium(salen) complex, and their influence on catalyst loading and activity.</w:t>
      </w:r>
    </w:p>
    <w:p w:rsidR="0066216C" w:rsidRPr="00726F3A" w:rsidRDefault="00535FAA" w:rsidP="009815DF">
      <w:pPr>
        <w:pStyle w:val="H1"/>
      </w:pPr>
      <w:r>
        <w:t>Results and Discussion</w:t>
      </w:r>
    </w:p>
    <w:p w:rsidR="000403C9" w:rsidRDefault="000403C9" w:rsidP="005B6CF0">
      <w:pPr>
        <w:pStyle w:val="P1withoutIndendation"/>
        <w:rPr>
          <w:szCs w:val="22"/>
        </w:rPr>
      </w:pPr>
      <w:r w:rsidRPr="000403C9">
        <w:rPr>
          <w:szCs w:val="22"/>
        </w:rPr>
        <w:t xml:space="preserve">SBA-15 was prepared following the procedure of Kundu </w:t>
      </w:r>
      <w:r w:rsidRPr="000403C9">
        <w:rPr>
          <w:i/>
          <w:szCs w:val="22"/>
        </w:rPr>
        <w:t>et al</w:t>
      </w:r>
      <w:r w:rsidRPr="000403C9">
        <w:rPr>
          <w:szCs w:val="22"/>
        </w:rPr>
        <w:t>.,</w:t>
      </w:r>
      <w:r w:rsidRPr="000403C9">
        <w:rPr>
          <w:szCs w:val="22"/>
          <w:vertAlign w:val="superscript"/>
        </w:rPr>
        <w:t>[</w:t>
      </w:r>
      <w:r w:rsidR="00F34F73">
        <w:rPr>
          <w:szCs w:val="22"/>
          <w:vertAlign w:val="superscript"/>
        </w:rPr>
        <w:t>34</w:t>
      </w:r>
      <w:r w:rsidRPr="000403C9">
        <w:rPr>
          <w:szCs w:val="22"/>
          <w:vertAlign w:val="superscript"/>
        </w:rPr>
        <w:t>]</w:t>
      </w:r>
      <w:r w:rsidRPr="000403C9">
        <w:rPr>
          <w:szCs w:val="22"/>
        </w:rPr>
        <w:t xml:space="preserve"> using Pluronic P123 triblock copolymer as a structure directing agent and tetraethyl orthosilicate (TEOS) as a silicon source under mildly acidic conditions. The pore-expanded SBA-15 variants were obtained following the complementary procedure of Dacquin </w:t>
      </w:r>
      <w:r w:rsidRPr="000403C9">
        <w:rPr>
          <w:szCs w:val="22"/>
        </w:rPr>
        <w:br/>
      </w:r>
      <w:r w:rsidRPr="000403C9">
        <w:rPr>
          <w:i/>
          <w:szCs w:val="22"/>
        </w:rPr>
        <w:t>et al</w:t>
      </w:r>
      <w:r w:rsidRPr="000403C9">
        <w:rPr>
          <w:szCs w:val="22"/>
        </w:rPr>
        <w:t>.,</w:t>
      </w:r>
      <w:r w:rsidR="00F34F73">
        <w:rPr>
          <w:szCs w:val="22"/>
          <w:vertAlign w:val="superscript"/>
        </w:rPr>
        <w:t>[35</w:t>
      </w:r>
      <w:r w:rsidRPr="000403C9">
        <w:rPr>
          <w:szCs w:val="22"/>
          <w:vertAlign w:val="superscript"/>
        </w:rPr>
        <w:t>]</w:t>
      </w:r>
      <w:r w:rsidRPr="000403C9">
        <w:rPr>
          <w:szCs w:val="22"/>
        </w:rPr>
        <w:t xml:space="preserve"> whereby TMB was introduced as a micelle expander. Subsequently ageing the reaction mixture at 80 or 120 °C for 3 days resulted in the isolation of two pore-expanded SBA-15 materials (SBA-15-7 and SBA-15-10 respectively). KIT-6 was prepared following the procedure of Sun </w:t>
      </w:r>
      <w:r w:rsidRPr="000403C9">
        <w:rPr>
          <w:i/>
          <w:szCs w:val="22"/>
        </w:rPr>
        <w:t>et al</w:t>
      </w:r>
      <w:r w:rsidRPr="000403C9">
        <w:rPr>
          <w:szCs w:val="22"/>
        </w:rPr>
        <w:t>.,</w:t>
      </w:r>
      <w:r w:rsidR="00F34F73">
        <w:rPr>
          <w:szCs w:val="22"/>
          <w:vertAlign w:val="superscript"/>
        </w:rPr>
        <w:t>[36]</w:t>
      </w:r>
      <w:r w:rsidRPr="000403C9">
        <w:rPr>
          <w:szCs w:val="22"/>
        </w:rPr>
        <w:t xml:space="preserve"> with </w:t>
      </w:r>
      <w:r w:rsidRPr="000403C9">
        <w:rPr>
          <w:szCs w:val="22"/>
        </w:rPr>
        <w:br/>
      </w:r>
      <w:r w:rsidRPr="000403C9">
        <w:rPr>
          <w:i/>
          <w:szCs w:val="22"/>
        </w:rPr>
        <w:t>n</w:t>
      </w:r>
      <w:r w:rsidRPr="000403C9">
        <w:rPr>
          <w:szCs w:val="22"/>
        </w:rPr>
        <w:t>-butanol introduced as a co-solvent along with Pluronic P123 and TEOS. After isolation of the silica, the structure directing agent was removed from each material by calcination at 550 °C for 6 hours under an air flow. The successful preparation of each mesoporous silica material was confirmed by porosimetry, powder X-ray diffraction (PXRD), and transmission electron microscopy (TEM).</w:t>
      </w:r>
    </w:p>
    <w:p w:rsidR="00686B49" w:rsidRPr="001F38DA" w:rsidRDefault="002B2BB0" w:rsidP="00686B49">
      <w:pPr>
        <w:spacing w:before="360"/>
        <w:rPr>
          <w:color w:val="FF0000"/>
          <w:sz w:val="18"/>
          <w:szCs w:val="20"/>
          <w:lang w:val="en-GB"/>
        </w:rPr>
      </w:pPr>
      <w:r>
        <w:rPr>
          <w:color w:val="FF0000"/>
          <w:sz w:val="18"/>
          <w:szCs w:val="20"/>
          <w:lang w:val="en-GB"/>
        </w:rPr>
        <w:pict>
          <v:shape id="_x0000_i1027" type="#_x0000_t75" style="width:236pt;height:167.85pt">
            <v:imagedata r:id="rId13" o:title="Figure 2"/>
          </v:shape>
        </w:pict>
      </w:r>
    </w:p>
    <w:p w:rsidR="00686B49" w:rsidRPr="00686B49" w:rsidRDefault="00686B49" w:rsidP="00686B49">
      <w:pPr>
        <w:pStyle w:val="FigureCaption"/>
      </w:pPr>
      <w:r>
        <w:rPr>
          <w:b/>
        </w:rPr>
        <w:t>Figure</w:t>
      </w:r>
      <w:r w:rsidRPr="005702B8">
        <w:rPr>
          <w:b/>
        </w:rPr>
        <w:t xml:space="preserve"> </w:t>
      </w:r>
      <w:r>
        <w:rPr>
          <w:b/>
        </w:rPr>
        <w:t>2.</w:t>
      </w:r>
      <w:r w:rsidRPr="00C2552A">
        <w:t xml:space="preserve"> </w:t>
      </w:r>
      <w:r w:rsidRPr="00686B49">
        <w:rPr>
          <w:rFonts w:cs="Calibri"/>
        </w:rPr>
        <w:t>Pore-size distributions and (inset) N</w:t>
      </w:r>
      <w:r w:rsidRPr="00686B49">
        <w:rPr>
          <w:rFonts w:cs="Calibri"/>
          <w:vertAlign w:val="subscript"/>
        </w:rPr>
        <w:t>2</w:t>
      </w:r>
      <w:r w:rsidRPr="00686B49">
        <w:rPr>
          <w:rFonts w:cs="Calibri"/>
        </w:rPr>
        <w:t xml:space="preserve"> adsorption isotherms for (a) SBA-15; (b) SBA-15-7; (c) SBA-15-10 and (d) KIT-6. Adsorption and desorption isotherms are represented by closed and open symbols respectively</w:t>
      </w:r>
      <w:r w:rsidRPr="00C2552A">
        <w:t>.</w:t>
      </w:r>
    </w:p>
    <w:p w:rsidR="000403C9" w:rsidRDefault="000403C9" w:rsidP="005B6CF0">
      <w:pPr>
        <w:pStyle w:val="P1withIndendation"/>
        <w:rPr>
          <w:rFonts w:cs="Calibri"/>
          <w:szCs w:val="22"/>
        </w:rPr>
      </w:pPr>
      <w:r w:rsidRPr="000403C9">
        <w:rPr>
          <w:rFonts w:cs="Calibri"/>
          <w:szCs w:val="22"/>
        </w:rPr>
        <w:t xml:space="preserve">The nitrogen adsorption-desorption isotherms shown in Figure 2 </w:t>
      </w:r>
      <w:r w:rsidR="009B1062">
        <w:rPr>
          <w:rFonts w:cs="Calibri"/>
          <w:szCs w:val="22"/>
        </w:rPr>
        <w:t xml:space="preserve">(and Supporting Information Figures S1-S2) </w:t>
      </w:r>
      <w:r w:rsidRPr="000403C9">
        <w:rPr>
          <w:rFonts w:cs="Calibri"/>
          <w:szCs w:val="22"/>
        </w:rPr>
        <w:t>reveal that all the silica support materials exhibit Type IV isotherms with H1 hysteresis loops, which is characteristic of open cylindrical pores.</w:t>
      </w:r>
      <w:r>
        <w:rPr>
          <w:rFonts w:cs="Calibri"/>
          <w:szCs w:val="22"/>
          <w:vertAlign w:val="superscript"/>
        </w:rPr>
        <w:t>[</w:t>
      </w:r>
      <w:r w:rsidR="00F34F73">
        <w:rPr>
          <w:rFonts w:cs="Calibri"/>
          <w:szCs w:val="22"/>
          <w:vertAlign w:val="superscript"/>
        </w:rPr>
        <w:t>37</w:t>
      </w:r>
      <w:r>
        <w:rPr>
          <w:rFonts w:cs="Calibri"/>
          <w:szCs w:val="22"/>
          <w:vertAlign w:val="superscript"/>
        </w:rPr>
        <w:t>]</w:t>
      </w:r>
      <w:r w:rsidRPr="000403C9">
        <w:rPr>
          <w:rFonts w:cs="Calibri"/>
          <w:szCs w:val="22"/>
        </w:rPr>
        <w:t xml:space="preserve"> For the pore-expanded SBA-15 silicas, the hysteresis loop shifts to higher relative </w:t>
      </w:r>
    </w:p>
    <w:p w:rsidR="00686B49" w:rsidRDefault="00686B49" w:rsidP="00686B49">
      <w:pPr>
        <w:pStyle w:val="TableCaption"/>
        <w:rPr>
          <w:b/>
        </w:rPr>
        <w:sectPr w:rsidR="00686B49" w:rsidSect="00635F07">
          <w:type w:val="continuous"/>
          <w:pgSz w:w="11906" w:h="16838" w:code="9"/>
          <w:pgMar w:top="1134" w:right="680" w:bottom="1225" w:left="1361" w:header="709" w:footer="709" w:gutter="0"/>
          <w:cols w:num="2" w:space="340"/>
          <w:docGrid w:linePitch="360"/>
        </w:sectPr>
      </w:pPr>
    </w:p>
    <w:p w:rsidR="00686B49" w:rsidRPr="00C2552A" w:rsidRDefault="00686B49" w:rsidP="00C03501">
      <w:pPr>
        <w:pStyle w:val="TableCaption"/>
        <w:jc w:val="center"/>
      </w:pPr>
      <w:r w:rsidRPr="00162883">
        <w:rPr>
          <w:b/>
        </w:rPr>
        <w:lastRenderedPageBreak/>
        <w:t>Ta</w:t>
      </w:r>
      <w:r>
        <w:rPr>
          <w:b/>
        </w:rPr>
        <w:t>ble</w:t>
      </w:r>
      <w:r w:rsidRPr="00162883">
        <w:rPr>
          <w:b/>
        </w:rPr>
        <w:t xml:space="preserve"> 1</w:t>
      </w:r>
      <w:r>
        <w:rPr>
          <w:b/>
        </w:rPr>
        <w:t>.</w:t>
      </w:r>
      <w:r w:rsidRPr="00C2552A">
        <w:t xml:space="preserve"> </w:t>
      </w:r>
      <w:r w:rsidRPr="00686B49">
        <w:t xml:space="preserve">Structural properties of the mesoporous silica materials before and after immobilisation of complex </w:t>
      </w:r>
      <w:r w:rsidRPr="00686B49">
        <w:rPr>
          <w:b/>
        </w:rPr>
        <w:t>6</w:t>
      </w:r>
      <w:r w:rsidRPr="00686B49">
        <w:t>.</w:t>
      </w:r>
      <w:r w:rsidRPr="00686B49">
        <w:rPr>
          <w:vertAlign w:val="superscript"/>
        </w:rPr>
        <w:t>a)</w:t>
      </w:r>
    </w:p>
    <w:tbl>
      <w:tblPr>
        <w:tblW w:w="0" w:type="auto"/>
        <w:jc w:val="center"/>
        <w:tblLook w:val="01E0" w:firstRow="1" w:lastRow="1" w:firstColumn="1" w:lastColumn="1" w:noHBand="0" w:noVBand="0"/>
      </w:tblPr>
      <w:tblGrid>
        <w:gridCol w:w="661"/>
        <w:gridCol w:w="1305"/>
        <w:gridCol w:w="1963"/>
        <w:gridCol w:w="1233"/>
        <w:gridCol w:w="1434"/>
        <w:gridCol w:w="1522"/>
      </w:tblGrid>
      <w:tr w:rsidR="00686B49" w:rsidRPr="00BF31B4" w:rsidTr="00C03501">
        <w:trPr>
          <w:jc w:val="center"/>
        </w:trPr>
        <w:tc>
          <w:tcPr>
            <w:tcW w:w="0" w:type="auto"/>
            <w:tcBorders>
              <w:top w:val="single" w:sz="4" w:space="0" w:color="000000"/>
              <w:bottom w:val="single" w:sz="4" w:space="0" w:color="000000"/>
            </w:tcBorders>
          </w:tcPr>
          <w:p w:rsidR="00686B49" w:rsidRPr="00EA067A" w:rsidRDefault="00686B49" w:rsidP="00C03501">
            <w:pPr>
              <w:pStyle w:val="TableHead"/>
              <w:jc w:val="center"/>
            </w:pPr>
            <w:r>
              <w:t>Entry</w:t>
            </w:r>
          </w:p>
        </w:tc>
        <w:tc>
          <w:tcPr>
            <w:tcW w:w="0" w:type="auto"/>
            <w:tcBorders>
              <w:top w:val="single" w:sz="4" w:space="0" w:color="000000"/>
              <w:bottom w:val="single" w:sz="4" w:space="0" w:color="000000"/>
            </w:tcBorders>
          </w:tcPr>
          <w:p w:rsidR="00686B49" w:rsidRPr="00EA067A" w:rsidRDefault="00686B49" w:rsidP="00C03501">
            <w:pPr>
              <w:pStyle w:val="TableHead"/>
              <w:jc w:val="center"/>
            </w:pPr>
            <w:r>
              <w:t>Support</w:t>
            </w:r>
          </w:p>
        </w:tc>
        <w:tc>
          <w:tcPr>
            <w:tcW w:w="0" w:type="auto"/>
            <w:tcBorders>
              <w:top w:val="single" w:sz="4" w:space="0" w:color="000000"/>
              <w:bottom w:val="single" w:sz="4" w:space="0" w:color="000000"/>
            </w:tcBorders>
          </w:tcPr>
          <w:p w:rsidR="00686B49" w:rsidRPr="00686B49" w:rsidRDefault="00686B49" w:rsidP="00C03501">
            <w:pPr>
              <w:jc w:val="center"/>
              <w:rPr>
                <w:sz w:val="20"/>
                <w:szCs w:val="20"/>
                <w:vertAlign w:val="superscript"/>
              </w:rPr>
            </w:pPr>
            <w:r w:rsidRPr="00686B49">
              <w:rPr>
                <w:sz w:val="20"/>
                <w:szCs w:val="20"/>
              </w:rPr>
              <w:t xml:space="preserve">Surface </w:t>
            </w:r>
            <w:r w:rsidR="00BF17BB">
              <w:rPr>
                <w:sz w:val="20"/>
                <w:szCs w:val="20"/>
              </w:rPr>
              <w:t>a</w:t>
            </w:r>
            <w:r w:rsidRPr="00686B49">
              <w:rPr>
                <w:sz w:val="20"/>
                <w:szCs w:val="20"/>
              </w:rPr>
              <w:t>rea</w:t>
            </w:r>
            <w:r w:rsidRPr="00686B49">
              <w:rPr>
                <w:sz w:val="20"/>
                <w:szCs w:val="20"/>
                <w:vertAlign w:val="superscript"/>
              </w:rPr>
              <w:t>b</w:t>
            </w:r>
            <w:r>
              <w:rPr>
                <w:sz w:val="20"/>
                <w:szCs w:val="20"/>
                <w:vertAlign w:val="superscript"/>
              </w:rPr>
              <w:t xml:space="preserve">) </w:t>
            </w:r>
            <w:r w:rsidRPr="00686B49">
              <w:rPr>
                <w:sz w:val="20"/>
                <w:szCs w:val="20"/>
              </w:rPr>
              <w:t>(m</w:t>
            </w:r>
            <w:r w:rsidRPr="00686B49">
              <w:rPr>
                <w:sz w:val="20"/>
                <w:szCs w:val="20"/>
                <w:vertAlign w:val="superscript"/>
              </w:rPr>
              <w:t>2</w:t>
            </w:r>
            <w:r w:rsidRPr="00686B49">
              <w:rPr>
                <w:sz w:val="20"/>
                <w:szCs w:val="20"/>
              </w:rPr>
              <w:t xml:space="preserve"> g</w:t>
            </w:r>
            <w:r w:rsidRPr="00686B49">
              <w:rPr>
                <w:sz w:val="20"/>
                <w:szCs w:val="20"/>
                <w:vertAlign w:val="superscript"/>
              </w:rPr>
              <w:t>-1</w:t>
            </w:r>
            <w:r w:rsidRPr="00686B49">
              <w:rPr>
                <w:sz w:val="20"/>
                <w:szCs w:val="20"/>
              </w:rPr>
              <w:t>)</w:t>
            </w:r>
          </w:p>
        </w:tc>
        <w:tc>
          <w:tcPr>
            <w:tcW w:w="0" w:type="auto"/>
            <w:tcBorders>
              <w:top w:val="single" w:sz="4" w:space="0" w:color="000000"/>
              <w:bottom w:val="single" w:sz="4" w:space="0" w:color="000000"/>
            </w:tcBorders>
          </w:tcPr>
          <w:p w:rsidR="00686B49" w:rsidRDefault="00686B49" w:rsidP="00C03501">
            <w:pPr>
              <w:jc w:val="center"/>
              <w:rPr>
                <w:sz w:val="20"/>
                <w:szCs w:val="20"/>
              </w:rPr>
            </w:pPr>
            <w:r w:rsidRPr="00686B49">
              <w:rPr>
                <w:sz w:val="20"/>
                <w:szCs w:val="20"/>
              </w:rPr>
              <w:t xml:space="preserve">Pore </w:t>
            </w:r>
            <w:r w:rsidR="00BF17BB">
              <w:rPr>
                <w:sz w:val="20"/>
                <w:szCs w:val="20"/>
              </w:rPr>
              <w:t>v</w:t>
            </w:r>
            <w:r w:rsidRPr="00686B49">
              <w:rPr>
                <w:sz w:val="20"/>
                <w:szCs w:val="20"/>
              </w:rPr>
              <w:t>olume</w:t>
            </w:r>
          </w:p>
          <w:p w:rsidR="00686B49" w:rsidRPr="00686B49" w:rsidRDefault="00686B49" w:rsidP="00C03501">
            <w:pPr>
              <w:jc w:val="center"/>
              <w:rPr>
                <w:sz w:val="20"/>
                <w:szCs w:val="20"/>
              </w:rPr>
            </w:pPr>
            <w:r w:rsidRPr="00686B49">
              <w:rPr>
                <w:sz w:val="20"/>
                <w:szCs w:val="20"/>
              </w:rPr>
              <w:t>(cm</w:t>
            </w:r>
            <w:r w:rsidRPr="00686B49">
              <w:rPr>
                <w:sz w:val="20"/>
                <w:szCs w:val="20"/>
                <w:vertAlign w:val="superscript"/>
              </w:rPr>
              <w:t>3</w:t>
            </w:r>
            <w:r w:rsidRPr="00686B49">
              <w:rPr>
                <w:sz w:val="20"/>
                <w:szCs w:val="20"/>
              </w:rPr>
              <w:t xml:space="preserve"> g</w:t>
            </w:r>
            <w:r w:rsidRPr="00686B49">
              <w:rPr>
                <w:sz w:val="20"/>
                <w:szCs w:val="20"/>
                <w:vertAlign w:val="superscript"/>
              </w:rPr>
              <w:t>-1</w:t>
            </w:r>
            <w:r w:rsidRPr="00686B49">
              <w:rPr>
                <w:sz w:val="20"/>
                <w:szCs w:val="20"/>
              </w:rPr>
              <w:t>)</w:t>
            </w:r>
          </w:p>
        </w:tc>
        <w:tc>
          <w:tcPr>
            <w:tcW w:w="0" w:type="auto"/>
            <w:tcBorders>
              <w:top w:val="single" w:sz="4" w:space="0" w:color="000000"/>
              <w:bottom w:val="single" w:sz="4" w:space="0" w:color="000000"/>
            </w:tcBorders>
          </w:tcPr>
          <w:p w:rsidR="00686B49" w:rsidRPr="00686B49" w:rsidRDefault="00686B49" w:rsidP="00C03501">
            <w:pPr>
              <w:jc w:val="center"/>
              <w:rPr>
                <w:sz w:val="20"/>
                <w:szCs w:val="20"/>
              </w:rPr>
            </w:pPr>
            <w:r w:rsidRPr="00686B49">
              <w:rPr>
                <w:sz w:val="20"/>
                <w:szCs w:val="20"/>
              </w:rPr>
              <w:t xml:space="preserve">Pore </w:t>
            </w:r>
            <w:r w:rsidR="00BF17BB">
              <w:rPr>
                <w:sz w:val="20"/>
                <w:szCs w:val="20"/>
              </w:rPr>
              <w:t>d</w:t>
            </w:r>
            <w:r w:rsidRPr="00686B49">
              <w:rPr>
                <w:sz w:val="20"/>
                <w:szCs w:val="20"/>
              </w:rPr>
              <w:t>iameter</w:t>
            </w:r>
            <w:r w:rsidR="00BF17BB" w:rsidRPr="00BF17BB">
              <w:rPr>
                <w:sz w:val="20"/>
                <w:szCs w:val="20"/>
                <w:vertAlign w:val="superscript"/>
              </w:rPr>
              <w:t>c)</w:t>
            </w:r>
          </w:p>
          <w:p w:rsidR="00686B49" w:rsidRPr="00686B49" w:rsidRDefault="00686B49" w:rsidP="00C03501">
            <w:pPr>
              <w:jc w:val="center"/>
              <w:rPr>
                <w:sz w:val="20"/>
                <w:szCs w:val="20"/>
              </w:rPr>
            </w:pPr>
            <w:r w:rsidRPr="00686B49">
              <w:rPr>
                <w:sz w:val="20"/>
                <w:szCs w:val="20"/>
              </w:rPr>
              <w:t>(nm)</w:t>
            </w:r>
          </w:p>
        </w:tc>
        <w:tc>
          <w:tcPr>
            <w:tcW w:w="0" w:type="auto"/>
            <w:tcBorders>
              <w:top w:val="single" w:sz="4" w:space="0" w:color="000000"/>
              <w:bottom w:val="single" w:sz="4" w:space="0" w:color="000000"/>
            </w:tcBorders>
          </w:tcPr>
          <w:p w:rsidR="00686B49" w:rsidRPr="00686B49" w:rsidRDefault="00686B49" w:rsidP="00C03501">
            <w:pPr>
              <w:jc w:val="center"/>
              <w:rPr>
                <w:sz w:val="20"/>
                <w:szCs w:val="20"/>
              </w:rPr>
            </w:pPr>
            <w:r w:rsidRPr="00686B49">
              <w:rPr>
                <w:sz w:val="20"/>
                <w:szCs w:val="20"/>
              </w:rPr>
              <w:t xml:space="preserve">Catalyst </w:t>
            </w:r>
            <w:r w:rsidR="00BF17BB">
              <w:rPr>
                <w:sz w:val="20"/>
                <w:szCs w:val="20"/>
              </w:rPr>
              <w:t>l</w:t>
            </w:r>
            <w:r w:rsidRPr="00686B49">
              <w:rPr>
                <w:sz w:val="20"/>
                <w:szCs w:val="20"/>
              </w:rPr>
              <w:t>oading</w:t>
            </w:r>
          </w:p>
          <w:p w:rsidR="00686B49" w:rsidRPr="00686B49" w:rsidRDefault="00686B49" w:rsidP="00C03501">
            <w:pPr>
              <w:pStyle w:val="TableHead"/>
              <w:jc w:val="center"/>
              <w:rPr>
                <w:szCs w:val="20"/>
              </w:rPr>
            </w:pPr>
            <w:r w:rsidRPr="00686B49">
              <w:rPr>
                <w:szCs w:val="20"/>
              </w:rPr>
              <w:t>(mmol g</w:t>
            </w:r>
            <w:r w:rsidRPr="00686B49">
              <w:rPr>
                <w:szCs w:val="20"/>
                <w:vertAlign w:val="superscript"/>
              </w:rPr>
              <w:t>-1</w:t>
            </w:r>
            <w:r w:rsidRPr="00686B49">
              <w:rPr>
                <w:szCs w:val="20"/>
              </w:rPr>
              <w:t>)</w:t>
            </w:r>
          </w:p>
        </w:tc>
      </w:tr>
      <w:tr w:rsidR="00686B49" w:rsidRPr="00BF31B4" w:rsidTr="00C03501">
        <w:trPr>
          <w:jc w:val="center"/>
        </w:trPr>
        <w:tc>
          <w:tcPr>
            <w:tcW w:w="0" w:type="auto"/>
            <w:tcBorders>
              <w:top w:val="single" w:sz="4" w:space="0" w:color="000000"/>
            </w:tcBorders>
          </w:tcPr>
          <w:p w:rsidR="00686B49" w:rsidRPr="00BF31B4" w:rsidRDefault="00686B49" w:rsidP="00C03501">
            <w:pPr>
              <w:pStyle w:val="TableBody"/>
              <w:jc w:val="center"/>
              <w:rPr>
                <w:lang w:val="en-GB"/>
              </w:rPr>
            </w:pPr>
            <w:r>
              <w:rPr>
                <w:lang w:val="en-GB"/>
              </w:rPr>
              <w:t>1</w:t>
            </w:r>
          </w:p>
        </w:tc>
        <w:tc>
          <w:tcPr>
            <w:tcW w:w="0" w:type="auto"/>
            <w:tcBorders>
              <w:top w:val="single" w:sz="4" w:space="0" w:color="000000"/>
            </w:tcBorders>
            <w:vAlign w:val="center"/>
          </w:tcPr>
          <w:p w:rsidR="00686B49" w:rsidRPr="00686B49" w:rsidRDefault="00686B49" w:rsidP="00C03501">
            <w:pPr>
              <w:jc w:val="center"/>
              <w:rPr>
                <w:sz w:val="20"/>
                <w:szCs w:val="20"/>
              </w:rPr>
            </w:pPr>
            <w:r w:rsidRPr="00686B49">
              <w:rPr>
                <w:sz w:val="20"/>
                <w:szCs w:val="20"/>
              </w:rPr>
              <w:t>SBA-15</w:t>
            </w:r>
          </w:p>
        </w:tc>
        <w:tc>
          <w:tcPr>
            <w:tcW w:w="0" w:type="auto"/>
            <w:tcBorders>
              <w:top w:val="single" w:sz="4" w:space="0" w:color="000000"/>
            </w:tcBorders>
            <w:vAlign w:val="center"/>
          </w:tcPr>
          <w:p w:rsidR="00686B49" w:rsidRPr="00686B49" w:rsidRDefault="00686B49" w:rsidP="00C03501">
            <w:pPr>
              <w:jc w:val="center"/>
              <w:rPr>
                <w:sz w:val="20"/>
                <w:szCs w:val="20"/>
              </w:rPr>
            </w:pPr>
            <w:r w:rsidRPr="00686B49">
              <w:rPr>
                <w:sz w:val="20"/>
                <w:szCs w:val="20"/>
              </w:rPr>
              <w:t>1004</w:t>
            </w:r>
          </w:p>
        </w:tc>
        <w:tc>
          <w:tcPr>
            <w:tcW w:w="0" w:type="auto"/>
            <w:tcBorders>
              <w:top w:val="single" w:sz="4" w:space="0" w:color="000000"/>
            </w:tcBorders>
            <w:vAlign w:val="center"/>
          </w:tcPr>
          <w:p w:rsidR="00686B49" w:rsidRPr="00686B49" w:rsidRDefault="00686B49" w:rsidP="00C03501">
            <w:pPr>
              <w:jc w:val="center"/>
              <w:rPr>
                <w:sz w:val="20"/>
                <w:szCs w:val="20"/>
              </w:rPr>
            </w:pPr>
            <w:r w:rsidRPr="00686B49">
              <w:rPr>
                <w:sz w:val="20"/>
                <w:szCs w:val="20"/>
              </w:rPr>
              <w:t>1.18</w:t>
            </w:r>
          </w:p>
        </w:tc>
        <w:tc>
          <w:tcPr>
            <w:tcW w:w="0" w:type="auto"/>
            <w:tcBorders>
              <w:top w:val="single" w:sz="4" w:space="0" w:color="000000"/>
            </w:tcBorders>
            <w:vAlign w:val="center"/>
          </w:tcPr>
          <w:p w:rsidR="00686B49" w:rsidRPr="00686B49" w:rsidRDefault="00686B49" w:rsidP="00C03501">
            <w:pPr>
              <w:jc w:val="center"/>
              <w:rPr>
                <w:sz w:val="20"/>
                <w:szCs w:val="20"/>
              </w:rPr>
            </w:pPr>
            <w:r w:rsidRPr="00686B49">
              <w:rPr>
                <w:sz w:val="20"/>
                <w:szCs w:val="20"/>
              </w:rPr>
              <w:t>6.00</w:t>
            </w:r>
          </w:p>
        </w:tc>
        <w:tc>
          <w:tcPr>
            <w:tcW w:w="0" w:type="auto"/>
            <w:tcBorders>
              <w:top w:val="single" w:sz="4" w:space="0" w:color="000000"/>
            </w:tcBorders>
            <w:vAlign w:val="center"/>
          </w:tcPr>
          <w:p w:rsidR="00686B49" w:rsidRPr="00686B49" w:rsidRDefault="00686B49" w:rsidP="00C03501">
            <w:pPr>
              <w:jc w:val="center"/>
              <w:rPr>
                <w:sz w:val="20"/>
                <w:szCs w:val="20"/>
              </w:rPr>
            </w:pPr>
            <w:r w:rsidRPr="00686B49">
              <w:rPr>
                <w:sz w:val="20"/>
                <w:szCs w:val="20"/>
              </w:rPr>
              <w:t>-</w:t>
            </w:r>
          </w:p>
        </w:tc>
      </w:tr>
      <w:tr w:rsidR="00686B49" w:rsidRPr="00EA067A" w:rsidTr="00C03501">
        <w:trPr>
          <w:jc w:val="center"/>
        </w:trPr>
        <w:tc>
          <w:tcPr>
            <w:tcW w:w="0" w:type="auto"/>
          </w:tcPr>
          <w:p w:rsidR="00686B49" w:rsidRPr="00BF31B4" w:rsidRDefault="00686B49" w:rsidP="00C03501">
            <w:pPr>
              <w:pStyle w:val="TableBody"/>
              <w:jc w:val="center"/>
              <w:rPr>
                <w:lang w:val="en-GB"/>
              </w:rPr>
            </w:pPr>
            <w:r>
              <w:rPr>
                <w:lang w:val="en-GB"/>
              </w:rPr>
              <w:t>2</w:t>
            </w:r>
          </w:p>
        </w:tc>
        <w:tc>
          <w:tcPr>
            <w:tcW w:w="0" w:type="auto"/>
            <w:vAlign w:val="center"/>
          </w:tcPr>
          <w:p w:rsidR="00686B49" w:rsidRPr="00686B49" w:rsidRDefault="00686B49" w:rsidP="00C03501">
            <w:pPr>
              <w:jc w:val="center"/>
              <w:rPr>
                <w:sz w:val="20"/>
                <w:szCs w:val="20"/>
              </w:rPr>
            </w:pPr>
            <w:r w:rsidRPr="00686B49">
              <w:rPr>
                <w:sz w:val="20"/>
                <w:szCs w:val="20"/>
              </w:rPr>
              <w:t>SBA-15-</w:t>
            </w:r>
            <w:r w:rsidRPr="00686B49">
              <w:rPr>
                <w:b/>
                <w:sz w:val="20"/>
                <w:szCs w:val="20"/>
              </w:rPr>
              <w:t>7</w:t>
            </w:r>
          </w:p>
        </w:tc>
        <w:tc>
          <w:tcPr>
            <w:tcW w:w="0" w:type="auto"/>
            <w:vAlign w:val="center"/>
          </w:tcPr>
          <w:p w:rsidR="00686B49" w:rsidRPr="00686B49" w:rsidRDefault="00686B49" w:rsidP="00C03501">
            <w:pPr>
              <w:jc w:val="center"/>
              <w:rPr>
                <w:sz w:val="20"/>
                <w:szCs w:val="20"/>
              </w:rPr>
            </w:pPr>
            <w:r w:rsidRPr="00686B49">
              <w:rPr>
                <w:sz w:val="20"/>
                <w:szCs w:val="20"/>
              </w:rPr>
              <w:t>5</w:t>
            </w:r>
          </w:p>
        </w:tc>
        <w:tc>
          <w:tcPr>
            <w:tcW w:w="0" w:type="auto"/>
            <w:vAlign w:val="center"/>
          </w:tcPr>
          <w:p w:rsidR="00686B49" w:rsidRPr="00686B49" w:rsidRDefault="00686B49" w:rsidP="00C03501">
            <w:pPr>
              <w:jc w:val="center"/>
              <w:rPr>
                <w:sz w:val="20"/>
                <w:szCs w:val="20"/>
              </w:rPr>
            </w:pPr>
            <w:r w:rsidRPr="00686B49">
              <w:rPr>
                <w:sz w:val="20"/>
                <w:szCs w:val="20"/>
              </w:rPr>
              <w:t>0.01</w:t>
            </w:r>
          </w:p>
        </w:tc>
        <w:tc>
          <w:tcPr>
            <w:tcW w:w="0" w:type="auto"/>
            <w:vAlign w:val="center"/>
          </w:tcPr>
          <w:p w:rsidR="00686B49" w:rsidRPr="00686B49" w:rsidRDefault="00686B49" w:rsidP="00C03501">
            <w:pPr>
              <w:jc w:val="center"/>
              <w:rPr>
                <w:sz w:val="20"/>
                <w:szCs w:val="20"/>
              </w:rPr>
            </w:pPr>
            <w:r w:rsidRPr="00686B49">
              <w:rPr>
                <w:sz w:val="20"/>
                <w:szCs w:val="20"/>
              </w:rPr>
              <w:t>(N/A)</w:t>
            </w:r>
          </w:p>
        </w:tc>
        <w:tc>
          <w:tcPr>
            <w:tcW w:w="0" w:type="auto"/>
            <w:vAlign w:val="center"/>
          </w:tcPr>
          <w:p w:rsidR="00686B49" w:rsidRPr="00686B49" w:rsidRDefault="00686B49" w:rsidP="00C03501">
            <w:pPr>
              <w:jc w:val="center"/>
              <w:rPr>
                <w:sz w:val="20"/>
                <w:szCs w:val="20"/>
              </w:rPr>
            </w:pPr>
            <w:r w:rsidRPr="00686B49">
              <w:rPr>
                <w:sz w:val="20"/>
                <w:szCs w:val="20"/>
              </w:rPr>
              <w:t>0.42</w:t>
            </w:r>
          </w:p>
        </w:tc>
      </w:tr>
      <w:tr w:rsidR="00686B49" w:rsidRPr="00EA067A" w:rsidTr="00C03501">
        <w:trPr>
          <w:jc w:val="center"/>
        </w:trPr>
        <w:tc>
          <w:tcPr>
            <w:tcW w:w="0" w:type="auto"/>
          </w:tcPr>
          <w:p w:rsidR="00686B49" w:rsidRPr="00BF31B4" w:rsidRDefault="00686B49" w:rsidP="00C03501">
            <w:pPr>
              <w:pStyle w:val="TableBody"/>
              <w:jc w:val="center"/>
              <w:rPr>
                <w:lang w:val="en-GB"/>
              </w:rPr>
            </w:pPr>
            <w:r>
              <w:rPr>
                <w:lang w:val="en-GB"/>
              </w:rPr>
              <w:t>3</w:t>
            </w:r>
          </w:p>
        </w:tc>
        <w:tc>
          <w:tcPr>
            <w:tcW w:w="0" w:type="auto"/>
            <w:vAlign w:val="center"/>
          </w:tcPr>
          <w:p w:rsidR="00686B49" w:rsidRPr="00686B49" w:rsidRDefault="00686B49" w:rsidP="00C03501">
            <w:pPr>
              <w:jc w:val="center"/>
              <w:rPr>
                <w:sz w:val="20"/>
                <w:szCs w:val="20"/>
              </w:rPr>
            </w:pPr>
            <w:r w:rsidRPr="00686B49">
              <w:rPr>
                <w:sz w:val="20"/>
                <w:szCs w:val="20"/>
              </w:rPr>
              <w:t>SBA-15-7</w:t>
            </w:r>
          </w:p>
        </w:tc>
        <w:tc>
          <w:tcPr>
            <w:tcW w:w="0" w:type="auto"/>
            <w:vAlign w:val="center"/>
          </w:tcPr>
          <w:p w:rsidR="00686B49" w:rsidRPr="00686B49" w:rsidRDefault="00686B49" w:rsidP="00C03501">
            <w:pPr>
              <w:jc w:val="center"/>
              <w:rPr>
                <w:sz w:val="20"/>
                <w:szCs w:val="20"/>
              </w:rPr>
            </w:pPr>
            <w:r w:rsidRPr="00686B49">
              <w:rPr>
                <w:sz w:val="20"/>
                <w:szCs w:val="20"/>
              </w:rPr>
              <w:t>878</w:t>
            </w:r>
          </w:p>
        </w:tc>
        <w:tc>
          <w:tcPr>
            <w:tcW w:w="0" w:type="auto"/>
            <w:vAlign w:val="center"/>
          </w:tcPr>
          <w:p w:rsidR="00686B49" w:rsidRPr="00686B49" w:rsidRDefault="00686B49" w:rsidP="00C03501">
            <w:pPr>
              <w:jc w:val="center"/>
              <w:rPr>
                <w:sz w:val="20"/>
                <w:szCs w:val="20"/>
              </w:rPr>
            </w:pPr>
            <w:r w:rsidRPr="00686B49">
              <w:rPr>
                <w:sz w:val="20"/>
                <w:szCs w:val="20"/>
              </w:rPr>
              <w:t>1.87</w:t>
            </w:r>
          </w:p>
        </w:tc>
        <w:tc>
          <w:tcPr>
            <w:tcW w:w="0" w:type="auto"/>
            <w:vAlign w:val="center"/>
          </w:tcPr>
          <w:p w:rsidR="00686B49" w:rsidRPr="00686B49" w:rsidRDefault="00686B49" w:rsidP="00C03501">
            <w:pPr>
              <w:jc w:val="center"/>
              <w:rPr>
                <w:sz w:val="20"/>
                <w:szCs w:val="20"/>
              </w:rPr>
            </w:pPr>
            <w:r w:rsidRPr="00686B49">
              <w:rPr>
                <w:sz w:val="20"/>
                <w:szCs w:val="20"/>
              </w:rPr>
              <w:t>6.90</w:t>
            </w:r>
          </w:p>
        </w:tc>
        <w:tc>
          <w:tcPr>
            <w:tcW w:w="0" w:type="auto"/>
            <w:vAlign w:val="center"/>
          </w:tcPr>
          <w:p w:rsidR="00686B49" w:rsidRPr="00686B49" w:rsidRDefault="00686B49" w:rsidP="00C03501">
            <w:pPr>
              <w:jc w:val="center"/>
              <w:rPr>
                <w:sz w:val="20"/>
                <w:szCs w:val="20"/>
              </w:rPr>
            </w:pPr>
            <w:r w:rsidRPr="00686B49">
              <w:rPr>
                <w:sz w:val="20"/>
                <w:szCs w:val="20"/>
              </w:rPr>
              <w:t>-</w:t>
            </w:r>
          </w:p>
        </w:tc>
      </w:tr>
      <w:tr w:rsidR="00686B49" w:rsidRPr="00EA067A" w:rsidTr="00C03501">
        <w:trPr>
          <w:jc w:val="center"/>
        </w:trPr>
        <w:tc>
          <w:tcPr>
            <w:tcW w:w="0" w:type="auto"/>
          </w:tcPr>
          <w:p w:rsidR="00686B49" w:rsidRPr="00BF31B4" w:rsidRDefault="00686B49" w:rsidP="00C03501">
            <w:pPr>
              <w:pStyle w:val="TableBody"/>
              <w:jc w:val="center"/>
              <w:rPr>
                <w:lang w:val="en-GB"/>
              </w:rPr>
            </w:pPr>
            <w:r>
              <w:rPr>
                <w:lang w:val="en-GB"/>
              </w:rPr>
              <w:t>4</w:t>
            </w:r>
          </w:p>
        </w:tc>
        <w:tc>
          <w:tcPr>
            <w:tcW w:w="0" w:type="auto"/>
            <w:vAlign w:val="center"/>
          </w:tcPr>
          <w:p w:rsidR="00686B49" w:rsidRPr="00686B49" w:rsidRDefault="00686B49" w:rsidP="00C03501">
            <w:pPr>
              <w:jc w:val="center"/>
              <w:rPr>
                <w:sz w:val="20"/>
                <w:szCs w:val="20"/>
              </w:rPr>
            </w:pPr>
            <w:r w:rsidRPr="00686B49">
              <w:rPr>
                <w:sz w:val="20"/>
                <w:szCs w:val="20"/>
              </w:rPr>
              <w:t>SBA-15-7-</w:t>
            </w:r>
            <w:r w:rsidRPr="00686B49">
              <w:rPr>
                <w:b/>
                <w:sz w:val="20"/>
                <w:szCs w:val="20"/>
              </w:rPr>
              <w:t>7</w:t>
            </w:r>
          </w:p>
        </w:tc>
        <w:tc>
          <w:tcPr>
            <w:tcW w:w="0" w:type="auto"/>
            <w:vAlign w:val="center"/>
          </w:tcPr>
          <w:p w:rsidR="00686B49" w:rsidRPr="00686B49" w:rsidRDefault="00686B49" w:rsidP="00C03501">
            <w:pPr>
              <w:jc w:val="center"/>
              <w:rPr>
                <w:sz w:val="20"/>
                <w:szCs w:val="20"/>
              </w:rPr>
            </w:pPr>
            <w:r w:rsidRPr="00686B49">
              <w:rPr>
                <w:sz w:val="20"/>
                <w:szCs w:val="20"/>
              </w:rPr>
              <w:t>67</w:t>
            </w:r>
          </w:p>
        </w:tc>
        <w:tc>
          <w:tcPr>
            <w:tcW w:w="0" w:type="auto"/>
            <w:vAlign w:val="center"/>
          </w:tcPr>
          <w:p w:rsidR="00686B49" w:rsidRPr="00686B49" w:rsidRDefault="00686B49" w:rsidP="00C03501">
            <w:pPr>
              <w:jc w:val="center"/>
              <w:rPr>
                <w:sz w:val="20"/>
                <w:szCs w:val="20"/>
              </w:rPr>
            </w:pPr>
            <w:r w:rsidRPr="00686B49">
              <w:rPr>
                <w:sz w:val="20"/>
                <w:szCs w:val="20"/>
              </w:rPr>
              <w:t>0.23</w:t>
            </w:r>
          </w:p>
        </w:tc>
        <w:tc>
          <w:tcPr>
            <w:tcW w:w="0" w:type="auto"/>
            <w:vAlign w:val="center"/>
          </w:tcPr>
          <w:p w:rsidR="00686B49" w:rsidRPr="00686B49" w:rsidRDefault="00686B49" w:rsidP="00C03501">
            <w:pPr>
              <w:jc w:val="center"/>
              <w:rPr>
                <w:sz w:val="20"/>
                <w:szCs w:val="20"/>
              </w:rPr>
            </w:pPr>
            <w:r w:rsidRPr="00686B49">
              <w:rPr>
                <w:sz w:val="20"/>
                <w:szCs w:val="20"/>
              </w:rPr>
              <w:t>6.31</w:t>
            </w:r>
          </w:p>
        </w:tc>
        <w:tc>
          <w:tcPr>
            <w:tcW w:w="0" w:type="auto"/>
            <w:vAlign w:val="center"/>
          </w:tcPr>
          <w:p w:rsidR="00686B49" w:rsidRPr="00686B49" w:rsidRDefault="00686B49" w:rsidP="00C03501">
            <w:pPr>
              <w:jc w:val="center"/>
              <w:rPr>
                <w:sz w:val="20"/>
                <w:szCs w:val="20"/>
              </w:rPr>
            </w:pPr>
            <w:r w:rsidRPr="00686B49">
              <w:rPr>
                <w:sz w:val="20"/>
                <w:szCs w:val="20"/>
              </w:rPr>
              <w:t>0.35</w:t>
            </w:r>
          </w:p>
        </w:tc>
      </w:tr>
      <w:tr w:rsidR="00686B49" w:rsidRPr="00EA067A" w:rsidTr="00C03501">
        <w:trPr>
          <w:jc w:val="center"/>
        </w:trPr>
        <w:tc>
          <w:tcPr>
            <w:tcW w:w="0" w:type="auto"/>
          </w:tcPr>
          <w:p w:rsidR="00686B49" w:rsidRPr="00BF31B4" w:rsidRDefault="00686B49" w:rsidP="00C03501">
            <w:pPr>
              <w:pStyle w:val="TableBody"/>
              <w:jc w:val="center"/>
              <w:rPr>
                <w:lang w:val="en-GB"/>
              </w:rPr>
            </w:pPr>
            <w:r>
              <w:rPr>
                <w:lang w:val="en-GB"/>
              </w:rPr>
              <w:t>5</w:t>
            </w:r>
          </w:p>
        </w:tc>
        <w:tc>
          <w:tcPr>
            <w:tcW w:w="0" w:type="auto"/>
            <w:vAlign w:val="center"/>
          </w:tcPr>
          <w:p w:rsidR="00686B49" w:rsidRPr="00686B49" w:rsidRDefault="00686B49" w:rsidP="00C03501">
            <w:pPr>
              <w:jc w:val="center"/>
              <w:rPr>
                <w:sz w:val="20"/>
                <w:szCs w:val="20"/>
              </w:rPr>
            </w:pPr>
            <w:r w:rsidRPr="00686B49">
              <w:rPr>
                <w:sz w:val="20"/>
                <w:szCs w:val="20"/>
              </w:rPr>
              <w:t>SBA-15-10</w:t>
            </w:r>
          </w:p>
        </w:tc>
        <w:tc>
          <w:tcPr>
            <w:tcW w:w="0" w:type="auto"/>
            <w:vAlign w:val="center"/>
          </w:tcPr>
          <w:p w:rsidR="00686B49" w:rsidRPr="00686B49" w:rsidRDefault="00686B49" w:rsidP="00C03501">
            <w:pPr>
              <w:jc w:val="center"/>
              <w:rPr>
                <w:sz w:val="20"/>
                <w:szCs w:val="20"/>
              </w:rPr>
            </w:pPr>
            <w:r w:rsidRPr="00686B49">
              <w:rPr>
                <w:sz w:val="20"/>
                <w:szCs w:val="20"/>
              </w:rPr>
              <w:t>580</w:t>
            </w:r>
          </w:p>
        </w:tc>
        <w:tc>
          <w:tcPr>
            <w:tcW w:w="0" w:type="auto"/>
            <w:vAlign w:val="center"/>
          </w:tcPr>
          <w:p w:rsidR="00686B49" w:rsidRPr="00686B49" w:rsidRDefault="00686B49" w:rsidP="00C03501">
            <w:pPr>
              <w:jc w:val="center"/>
              <w:rPr>
                <w:sz w:val="20"/>
                <w:szCs w:val="20"/>
              </w:rPr>
            </w:pPr>
            <w:r w:rsidRPr="00686B49">
              <w:rPr>
                <w:sz w:val="20"/>
                <w:szCs w:val="20"/>
              </w:rPr>
              <w:t>1.99</w:t>
            </w:r>
          </w:p>
        </w:tc>
        <w:tc>
          <w:tcPr>
            <w:tcW w:w="0" w:type="auto"/>
            <w:vAlign w:val="center"/>
          </w:tcPr>
          <w:p w:rsidR="00686B49" w:rsidRPr="00686B49" w:rsidRDefault="00686B49" w:rsidP="00C03501">
            <w:pPr>
              <w:jc w:val="center"/>
              <w:rPr>
                <w:sz w:val="20"/>
                <w:szCs w:val="20"/>
              </w:rPr>
            </w:pPr>
            <w:r w:rsidRPr="00686B49">
              <w:rPr>
                <w:sz w:val="20"/>
                <w:szCs w:val="20"/>
              </w:rPr>
              <w:t>10.0</w:t>
            </w:r>
          </w:p>
        </w:tc>
        <w:tc>
          <w:tcPr>
            <w:tcW w:w="0" w:type="auto"/>
            <w:vAlign w:val="center"/>
          </w:tcPr>
          <w:p w:rsidR="00686B49" w:rsidRPr="00686B49" w:rsidRDefault="00686B49" w:rsidP="00C03501">
            <w:pPr>
              <w:jc w:val="center"/>
              <w:rPr>
                <w:sz w:val="20"/>
                <w:szCs w:val="20"/>
              </w:rPr>
            </w:pPr>
            <w:r w:rsidRPr="00686B49">
              <w:rPr>
                <w:sz w:val="20"/>
                <w:szCs w:val="20"/>
              </w:rPr>
              <w:t>-</w:t>
            </w:r>
          </w:p>
        </w:tc>
      </w:tr>
      <w:tr w:rsidR="00686B49" w:rsidRPr="00EA067A" w:rsidTr="00C03501">
        <w:trPr>
          <w:jc w:val="center"/>
        </w:trPr>
        <w:tc>
          <w:tcPr>
            <w:tcW w:w="0" w:type="auto"/>
          </w:tcPr>
          <w:p w:rsidR="00686B49" w:rsidRPr="00BF31B4" w:rsidRDefault="00686B49" w:rsidP="00C03501">
            <w:pPr>
              <w:pStyle w:val="TableBody"/>
              <w:jc w:val="center"/>
              <w:rPr>
                <w:lang w:val="en-GB"/>
              </w:rPr>
            </w:pPr>
            <w:r>
              <w:rPr>
                <w:lang w:val="en-GB"/>
              </w:rPr>
              <w:t>6</w:t>
            </w:r>
          </w:p>
        </w:tc>
        <w:tc>
          <w:tcPr>
            <w:tcW w:w="0" w:type="auto"/>
            <w:vAlign w:val="center"/>
          </w:tcPr>
          <w:p w:rsidR="00686B49" w:rsidRPr="00686B49" w:rsidRDefault="00686B49" w:rsidP="00C03501">
            <w:pPr>
              <w:jc w:val="center"/>
              <w:rPr>
                <w:sz w:val="20"/>
                <w:szCs w:val="20"/>
              </w:rPr>
            </w:pPr>
            <w:r w:rsidRPr="00686B49">
              <w:rPr>
                <w:sz w:val="20"/>
                <w:szCs w:val="20"/>
              </w:rPr>
              <w:t>SBA-15-10-</w:t>
            </w:r>
            <w:r w:rsidRPr="00686B49">
              <w:rPr>
                <w:b/>
                <w:sz w:val="20"/>
                <w:szCs w:val="20"/>
              </w:rPr>
              <w:t>7</w:t>
            </w:r>
          </w:p>
        </w:tc>
        <w:tc>
          <w:tcPr>
            <w:tcW w:w="0" w:type="auto"/>
            <w:vAlign w:val="center"/>
          </w:tcPr>
          <w:p w:rsidR="00686B49" w:rsidRPr="00686B49" w:rsidRDefault="00686B49" w:rsidP="00C03501">
            <w:pPr>
              <w:jc w:val="center"/>
              <w:rPr>
                <w:sz w:val="20"/>
                <w:szCs w:val="20"/>
              </w:rPr>
            </w:pPr>
            <w:r w:rsidRPr="00686B49">
              <w:rPr>
                <w:sz w:val="20"/>
                <w:szCs w:val="20"/>
              </w:rPr>
              <w:t>277</w:t>
            </w:r>
          </w:p>
        </w:tc>
        <w:tc>
          <w:tcPr>
            <w:tcW w:w="0" w:type="auto"/>
            <w:vAlign w:val="center"/>
          </w:tcPr>
          <w:p w:rsidR="00686B49" w:rsidRPr="00686B49" w:rsidRDefault="00686B49" w:rsidP="00C03501">
            <w:pPr>
              <w:jc w:val="center"/>
              <w:rPr>
                <w:sz w:val="20"/>
                <w:szCs w:val="20"/>
              </w:rPr>
            </w:pPr>
            <w:r w:rsidRPr="00686B49">
              <w:rPr>
                <w:sz w:val="20"/>
                <w:szCs w:val="20"/>
              </w:rPr>
              <w:t>0.86</w:t>
            </w:r>
          </w:p>
        </w:tc>
        <w:tc>
          <w:tcPr>
            <w:tcW w:w="0" w:type="auto"/>
            <w:vAlign w:val="center"/>
          </w:tcPr>
          <w:p w:rsidR="00686B49" w:rsidRPr="00686B49" w:rsidRDefault="00686B49" w:rsidP="00C03501">
            <w:pPr>
              <w:jc w:val="center"/>
              <w:rPr>
                <w:sz w:val="20"/>
                <w:szCs w:val="20"/>
              </w:rPr>
            </w:pPr>
            <w:r w:rsidRPr="00686B49">
              <w:rPr>
                <w:sz w:val="20"/>
                <w:szCs w:val="20"/>
              </w:rPr>
              <w:t>7.36</w:t>
            </w:r>
          </w:p>
        </w:tc>
        <w:tc>
          <w:tcPr>
            <w:tcW w:w="0" w:type="auto"/>
            <w:vAlign w:val="center"/>
          </w:tcPr>
          <w:p w:rsidR="00686B49" w:rsidRPr="00686B49" w:rsidRDefault="00686B49" w:rsidP="00C03501">
            <w:pPr>
              <w:jc w:val="center"/>
              <w:rPr>
                <w:sz w:val="20"/>
                <w:szCs w:val="20"/>
              </w:rPr>
            </w:pPr>
            <w:r w:rsidRPr="00686B49">
              <w:rPr>
                <w:sz w:val="20"/>
                <w:szCs w:val="20"/>
              </w:rPr>
              <w:t>0.33</w:t>
            </w:r>
          </w:p>
        </w:tc>
      </w:tr>
      <w:tr w:rsidR="00686B49" w:rsidRPr="00EA067A" w:rsidTr="00C03501">
        <w:trPr>
          <w:jc w:val="center"/>
        </w:trPr>
        <w:tc>
          <w:tcPr>
            <w:tcW w:w="0" w:type="auto"/>
          </w:tcPr>
          <w:p w:rsidR="00686B49" w:rsidRPr="00BF31B4" w:rsidRDefault="00686B49" w:rsidP="00C03501">
            <w:pPr>
              <w:pStyle w:val="TableBody"/>
              <w:jc w:val="center"/>
              <w:rPr>
                <w:lang w:val="en-GB"/>
              </w:rPr>
            </w:pPr>
            <w:r>
              <w:rPr>
                <w:lang w:val="en-GB"/>
              </w:rPr>
              <w:t>7</w:t>
            </w:r>
          </w:p>
        </w:tc>
        <w:tc>
          <w:tcPr>
            <w:tcW w:w="0" w:type="auto"/>
            <w:vAlign w:val="center"/>
          </w:tcPr>
          <w:p w:rsidR="00686B49" w:rsidRPr="00686B49" w:rsidRDefault="00686B49" w:rsidP="00C03501">
            <w:pPr>
              <w:jc w:val="center"/>
              <w:rPr>
                <w:sz w:val="20"/>
                <w:szCs w:val="20"/>
              </w:rPr>
            </w:pPr>
            <w:r w:rsidRPr="00686B49">
              <w:rPr>
                <w:sz w:val="20"/>
                <w:szCs w:val="20"/>
              </w:rPr>
              <w:t>KIT-6</w:t>
            </w:r>
          </w:p>
        </w:tc>
        <w:tc>
          <w:tcPr>
            <w:tcW w:w="0" w:type="auto"/>
            <w:vAlign w:val="center"/>
          </w:tcPr>
          <w:p w:rsidR="00686B49" w:rsidRPr="00686B49" w:rsidRDefault="00686B49" w:rsidP="00C03501">
            <w:pPr>
              <w:jc w:val="center"/>
              <w:rPr>
                <w:sz w:val="20"/>
                <w:szCs w:val="20"/>
              </w:rPr>
            </w:pPr>
            <w:r w:rsidRPr="00686B49">
              <w:rPr>
                <w:sz w:val="20"/>
                <w:szCs w:val="20"/>
              </w:rPr>
              <w:t>977</w:t>
            </w:r>
          </w:p>
        </w:tc>
        <w:tc>
          <w:tcPr>
            <w:tcW w:w="0" w:type="auto"/>
            <w:vAlign w:val="center"/>
          </w:tcPr>
          <w:p w:rsidR="00686B49" w:rsidRPr="00686B49" w:rsidRDefault="00686B49" w:rsidP="00C03501">
            <w:pPr>
              <w:jc w:val="center"/>
              <w:rPr>
                <w:sz w:val="20"/>
                <w:szCs w:val="20"/>
              </w:rPr>
            </w:pPr>
            <w:r w:rsidRPr="00686B49">
              <w:rPr>
                <w:sz w:val="20"/>
                <w:szCs w:val="20"/>
              </w:rPr>
              <w:t>1.30</w:t>
            </w:r>
          </w:p>
        </w:tc>
        <w:tc>
          <w:tcPr>
            <w:tcW w:w="0" w:type="auto"/>
            <w:vAlign w:val="center"/>
          </w:tcPr>
          <w:p w:rsidR="00686B49" w:rsidRPr="00686B49" w:rsidRDefault="00686B49" w:rsidP="00C03501">
            <w:pPr>
              <w:jc w:val="center"/>
              <w:rPr>
                <w:sz w:val="20"/>
                <w:szCs w:val="20"/>
              </w:rPr>
            </w:pPr>
            <w:r w:rsidRPr="00686B49">
              <w:rPr>
                <w:sz w:val="20"/>
                <w:szCs w:val="20"/>
              </w:rPr>
              <w:t>6.09</w:t>
            </w:r>
          </w:p>
        </w:tc>
        <w:tc>
          <w:tcPr>
            <w:tcW w:w="0" w:type="auto"/>
            <w:vAlign w:val="center"/>
          </w:tcPr>
          <w:p w:rsidR="00686B49" w:rsidRPr="00686B49" w:rsidRDefault="00686B49" w:rsidP="00C03501">
            <w:pPr>
              <w:jc w:val="center"/>
              <w:rPr>
                <w:sz w:val="20"/>
                <w:szCs w:val="20"/>
              </w:rPr>
            </w:pPr>
            <w:r w:rsidRPr="00686B49">
              <w:rPr>
                <w:sz w:val="20"/>
                <w:szCs w:val="20"/>
              </w:rPr>
              <w:t>-</w:t>
            </w:r>
          </w:p>
        </w:tc>
      </w:tr>
      <w:tr w:rsidR="00686B49" w:rsidRPr="00EA067A" w:rsidTr="00C03501">
        <w:trPr>
          <w:jc w:val="center"/>
        </w:trPr>
        <w:tc>
          <w:tcPr>
            <w:tcW w:w="0" w:type="auto"/>
          </w:tcPr>
          <w:p w:rsidR="00686B49" w:rsidRPr="00BF31B4" w:rsidRDefault="00686B49" w:rsidP="00C03501">
            <w:pPr>
              <w:pStyle w:val="TableBody"/>
              <w:jc w:val="center"/>
              <w:rPr>
                <w:lang w:val="en-GB"/>
              </w:rPr>
            </w:pPr>
            <w:r>
              <w:rPr>
                <w:lang w:val="en-GB"/>
              </w:rPr>
              <w:t>8</w:t>
            </w:r>
          </w:p>
        </w:tc>
        <w:tc>
          <w:tcPr>
            <w:tcW w:w="0" w:type="auto"/>
            <w:vAlign w:val="center"/>
          </w:tcPr>
          <w:p w:rsidR="00686B49" w:rsidRPr="00686B49" w:rsidRDefault="00686B49" w:rsidP="00C03501">
            <w:pPr>
              <w:jc w:val="center"/>
              <w:rPr>
                <w:sz w:val="20"/>
                <w:szCs w:val="20"/>
              </w:rPr>
            </w:pPr>
            <w:r w:rsidRPr="00686B49">
              <w:rPr>
                <w:sz w:val="20"/>
                <w:szCs w:val="20"/>
              </w:rPr>
              <w:t>KIT-6-</w:t>
            </w:r>
            <w:r w:rsidRPr="00686B49">
              <w:rPr>
                <w:b/>
                <w:sz w:val="20"/>
                <w:szCs w:val="20"/>
              </w:rPr>
              <w:t>7</w:t>
            </w:r>
          </w:p>
        </w:tc>
        <w:tc>
          <w:tcPr>
            <w:tcW w:w="0" w:type="auto"/>
            <w:vAlign w:val="center"/>
          </w:tcPr>
          <w:p w:rsidR="00686B49" w:rsidRPr="00686B49" w:rsidRDefault="00686B49" w:rsidP="00C03501">
            <w:pPr>
              <w:jc w:val="center"/>
              <w:rPr>
                <w:sz w:val="20"/>
                <w:szCs w:val="20"/>
              </w:rPr>
            </w:pPr>
            <w:r w:rsidRPr="00686B49">
              <w:rPr>
                <w:sz w:val="20"/>
                <w:szCs w:val="20"/>
              </w:rPr>
              <w:t>255</w:t>
            </w:r>
          </w:p>
        </w:tc>
        <w:tc>
          <w:tcPr>
            <w:tcW w:w="0" w:type="auto"/>
            <w:vAlign w:val="center"/>
          </w:tcPr>
          <w:p w:rsidR="00686B49" w:rsidRPr="00686B49" w:rsidRDefault="00686B49" w:rsidP="00C03501">
            <w:pPr>
              <w:jc w:val="center"/>
              <w:rPr>
                <w:sz w:val="20"/>
                <w:szCs w:val="20"/>
              </w:rPr>
            </w:pPr>
            <w:r w:rsidRPr="00686B49">
              <w:rPr>
                <w:sz w:val="20"/>
                <w:szCs w:val="20"/>
              </w:rPr>
              <w:t>0.30</w:t>
            </w:r>
          </w:p>
        </w:tc>
        <w:tc>
          <w:tcPr>
            <w:tcW w:w="0" w:type="auto"/>
            <w:vAlign w:val="center"/>
          </w:tcPr>
          <w:p w:rsidR="00686B49" w:rsidRPr="00686B49" w:rsidRDefault="00686B49" w:rsidP="00C03501">
            <w:pPr>
              <w:jc w:val="center"/>
              <w:rPr>
                <w:sz w:val="20"/>
                <w:szCs w:val="20"/>
              </w:rPr>
            </w:pPr>
            <w:r w:rsidRPr="00686B49">
              <w:rPr>
                <w:sz w:val="20"/>
                <w:szCs w:val="20"/>
              </w:rPr>
              <w:t>4.33</w:t>
            </w:r>
          </w:p>
        </w:tc>
        <w:tc>
          <w:tcPr>
            <w:tcW w:w="0" w:type="auto"/>
            <w:vAlign w:val="center"/>
          </w:tcPr>
          <w:p w:rsidR="00686B49" w:rsidRPr="00686B49" w:rsidRDefault="00686B49" w:rsidP="00C03501">
            <w:pPr>
              <w:jc w:val="center"/>
              <w:rPr>
                <w:sz w:val="20"/>
                <w:szCs w:val="20"/>
              </w:rPr>
            </w:pPr>
            <w:r w:rsidRPr="00686B49">
              <w:rPr>
                <w:sz w:val="20"/>
                <w:szCs w:val="20"/>
              </w:rPr>
              <w:t>0.39</w:t>
            </w:r>
          </w:p>
        </w:tc>
      </w:tr>
      <w:tr w:rsidR="00686B49" w:rsidRPr="00EA067A" w:rsidTr="00C03501">
        <w:trPr>
          <w:jc w:val="center"/>
        </w:trPr>
        <w:tc>
          <w:tcPr>
            <w:tcW w:w="0" w:type="auto"/>
            <w:tcBorders>
              <w:bottom w:val="single" w:sz="4" w:space="0" w:color="000000"/>
            </w:tcBorders>
          </w:tcPr>
          <w:p w:rsidR="00686B49" w:rsidRPr="00C2552A" w:rsidRDefault="00686B49" w:rsidP="00C03501">
            <w:pPr>
              <w:pStyle w:val="TableBody"/>
              <w:jc w:val="center"/>
            </w:pPr>
            <w:r>
              <w:t>9</w:t>
            </w:r>
          </w:p>
        </w:tc>
        <w:tc>
          <w:tcPr>
            <w:tcW w:w="0" w:type="auto"/>
            <w:tcBorders>
              <w:bottom w:val="single" w:sz="4" w:space="0" w:color="000000"/>
            </w:tcBorders>
            <w:vAlign w:val="center"/>
          </w:tcPr>
          <w:p w:rsidR="00686B49" w:rsidRPr="00686B49" w:rsidRDefault="00686B49" w:rsidP="00C03501">
            <w:pPr>
              <w:jc w:val="center"/>
              <w:rPr>
                <w:sz w:val="20"/>
                <w:szCs w:val="20"/>
              </w:rPr>
            </w:pPr>
            <w:r w:rsidRPr="00686B49">
              <w:rPr>
                <w:sz w:val="20"/>
                <w:szCs w:val="20"/>
              </w:rPr>
              <w:t>SA-</w:t>
            </w:r>
            <w:r w:rsidRPr="00686B49">
              <w:rPr>
                <w:b/>
                <w:sz w:val="20"/>
                <w:szCs w:val="20"/>
              </w:rPr>
              <w:t>7</w:t>
            </w:r>
            <w:r w:rsidRPr="00BF17BB">
              <w:rPr>
                <w:sz w:val="20"/>
                <w:szCs w:val="20"/>
                <w:vertAlign w:val="superscript"/>
              </w:rPr>
              <w:t>d</w:t>
            </w:r>
            <w:r w:rsidR="00BF17BB">
              <w:rPr>
                <w:sz w:val="20"/>
                <w:szCs w:val="20"/>
                <w:vertAlign w:val="superscript"/>
              </w:rPr>
              <w:t>)</w:t>
            </w:r>
          </w:p>
        </w:tc>
        <w:tc>
          <w:tcPr>
            <w:tcW w:w="0" w:type="auto"/>
            <w:tcBorders>
              <w:bottom w:val="single" w:sz="4" w:space="0" w:color="000000"/>
            </w:tcBorders>
            <w:vAlign w:val="center"/>
          </w:tcPr>
          <w:p w:rsidR="00686B49" w:rsidRPr="00686B49" w:rsidRDefault="00686B49" w:rsidP="00C03501">
            <w:pPr>
              <w:jc w:val="center"/>
              <w:rPr>
                <w:sz w:val="20"/>
                <w:szCs w:val="20"/>
              </w:rPr>
            </w:pPr>
            <w:r w:rsidRPr="00686B49">
              <w:rPr>
                <w:sz w:val="20"/>
                <w:szCs w:val="20"/>
              </w:rPr>
              <w:t>275</w:t>
            </w:r>
          </w:p>
        </w:tc>
        <w:tc>
          <w:tcPr>
            <w:tcW w:w="0" w:type="auto"/>
            <w:tcBorders>
              <w:bottom w:val="single" w:sz="4" w:space="0" w:color="000000"/>
            </w:tcBorders>
            <w:vAlign w:val="center"/>
          </w:tcPr>
          <w:p w:rsidR="00686B49" w:rsidRPr="00686B49" w:rsidRDefault="00686B49" w:rsidP="00C03501">
            <w:pPr>
              <w:jc w:val="center"/>
              <w:rPr>
                <w:sz w:val="20"/>
                <w:szCs w:val="20"/>
              </w:rPr>
            </w:pPr>
            <w:r w:rsidRPr="00686B49">
              <w:rPr>
                <w:sz w:val="20"/>
                <w:szCs w:val="20"/>
              </w:rPr>
              <w:t>0.37</w:t>
            </w:r>
          </w:p>
        </w:tc>
        <w:tc>
          <w:tcPr>
            <w:tcW w:w="0" w:type="auto"/>
            <w:tcBorders>
              <w:bottom w:val="single" w:sz="4" w:space="0" w:color="000000"/>
            </w:tcBorders>
            <w:vAlign w:val="center"/>
          </w:tcPr>
          <w:p w:rsidR="00686B49" w:rsidRPr="00686B49" w:rsidRDefault="00686B49" w:rsidP="00C03501">
            <w:pPr>
              <w:jc w:val="center"/>
              <w:rPr>
                <w:sz w:val="20"/>
                <w:szCs w:val="20"/>
              </w:rPr>
            </w:pPr>
            <w:r w:rsidRPr="00686B49">
              <w:rPr>
                <w:sz w:val="20"/>
                <w:szCs w:val="20"/>
              </w:rPr>
              <w:t>4.43</w:t>
            </w:r>
          </w:p>
        </w:tc>
        <w:tc>
          <w:tcPr>
            <w:tcW w:w="0" w:type="auto"/>
            <w:tcBorders>
              <w:bottom w:val="single" w:sz="4" w:space="0" w:color="000000"/>
            </w:tcBorders>
            <w:vAlign w:val="center"/>
          </w:tcPr>
          <w:p w:rsidR="00686B49" w:rsidRPr="00686B49" w:rsidRDefault="00686B49" w:rsidP="00C03501">
            <w:pPr>
              <w:jc w:val="center"/>
              <w:rPr>
                <w:sz w:val="20"/>
                <w:szCs w:val="20"/>
              </w:rPr>
            </w:pPr>
            <w:r w:rsidRPr="00686B49">
              <w:rPr>
                <w:sz w:val="20"/>
                <w:szCs w:val="20"/>
              </w:rPr>
              <w:t>0.13</w:t>
            </w:r>
          </w:p>
        </w:tc>
      </w:tr>
    </w:tbl>
    <w:p w:rsidR="00686B49" w:rsidRPr="00BF17BB" w:rsidRDefault="00686B49" w:rsidP="00686B49">
      <w:pPr>
        <w:pStyle w:val="TableFoot"/>
        <w:rPr>
          <w:szCs w:val="20"/>
        </w:rPr>
      </w:pPr>
      <w:r w:rsidRPr="00BF17BB">
        <w:rPr>
          <w:vertAlign w:val="superscript"/>
        </w:rPr>
        <w:t>a)</w:t>
      </w:r>
      <w:r w:rsidR="00BF17BB" w:rsidRPr="00BF17BB">
        <w:t xml:space="preserve"> Entries ending in -</w:t>
      </w:r>
      <w:r w:rsidR="00BF17BB" w:rsidRPr="00BF17BB">
        <w:rPr>
          <w:b/>
        </w:rPr>
        <w:t>7</w:t>
      </w:r>
      <w:r w:rsidR="00BF17BB" w:rsidRPr="00BF17BB">
        <w:t xml:space="preserve"> are after immobilisation of complex </w:t>
      </w:r>
      <w:r w:rsidR="00BF17BB" w:rsidRPr="00BF17BB">
        <w:rPr>
          <w:b/>
        </w:rPr>
        <w:t>6</w:t>
      </w:r>
      <w:r w:rsidR="00BF17BB" w:rsidRPr="00BF17BB">
        <w:t xml:space="preserve">. </w:t>
      </w:r>
      <w:r w:rsidR="00BF17BB" w:rsidRPr="00BF17BB">
        <w:rPr>
          <w:vertAlign w:val="superscript"/>
        </w:rPr>
        <w:t>b)</w:t>
      </w:r>
      <w:r w:rsidR="00BF17BB" w:rsidRPr="00BF17BB">
        <w:rPr>
          <w:i/>
        </w:rPr>
        <w:t xml:space="preserve"> </w:t>
      </w:r>
      <w:r w:rsidR="00BF17BB" w:rsidRPr="00BF17BB">
        <w:t xml:space="preserve">Calculated using the BET method. </w:t>
      </w:r>
      <w:r w:rsidR="00BF17BB" w:rsidRPr="00BF17BB">
        <w:rPr>
          <w:vertAlign w:val="superscript"/>
        </w:rPr>
        <w:t>c)</w:t>
      </w:r>
      <w:r w:rsidR="00BF17BB" w:rsidRPr="00BF17BB">
        <w:t xml:space="preserve"> Determined from the desorption branch of the isotherm. </w:t>
      </w:r>
      <w:r w:rsidR="00BF17BB" w:rsidRPr="00BF17BB">
        <w:rPr>
          <w:vertAlign w:val="superscript"/>
        </w:rPr>
        <w:t>d)</w:t>
      </w:r>
      <w:r w:rsidR="00BF17BB" w:rsidRPr="00BF17BB">
        <w:rPr>
          <w:i/>
          <w:vertAlign w:val="superscript"/>
        </w:rPr>
        <w:t xml:space="preserve"> </w:t>
      </w:r>
      <w:r w:rsidR="00BF17BB" w:rsidRPr="00BF17BB">
        <w:t xml:space="preserve">SA: synthesised using amorphous 3-chloropropyl functionalised silica purchased from </w:t>
      </w:r>
      <w:r w:rsidR="00BF17BB" w:rsidRPr="00BF17BB">
        <w:rPr>
          <w:rStyle w:val="RSCT05TableFootnotewithoutbottombarChar"/>
          <w:rFonts w:ascii="Times New Roman" w:eastAsia="MS Mincho" w:hAnsi="Times New Roman"/>
          <w:sz w:val="20"/>
          <w:szCs w:val="20"/>
        </w:rPr>
        <w:t>Sigma Aldrich.</w:t>
      </w:r>
    </w:p>
    <w:p w:rsidR="00686B49" w:rsidRPr="00BF17BB" w:rsidRDefault="00686B49" w:rsidP="005B6CF0">
      <w:pPr>
        <w:pStyle w:val="P1withIndendation"/>
        <w:rPr>
          <w:sz w:val="20"/>
          <w:szCs w:val="20"/>
        </w:rPr>
        <w:sectPr w:rsidR="00686B49" w:rsidRPr="00BF17BB" w:rsidSect="00686B49">
          <w:type w:val="continuous"/>
          <w:pgSz w:w="11906" w:h="16838" w:code="9"/>
          <w:pgMar w:top="1134" w:right="680" w:bottom="1225" w:left="1361" w:header="709" w:footer="709" w:gutter="0"/>
          <w:cols w:space="340"/>
          <w:docGrid w:linePitch="360"/>
        </w:sectPr>
      </w:pPr>
    </w:p>
    <w:p w:rsidR="009B4CA0" w:rsidRDefault="009B4CA0" w:rsidP="009B4CA0">
      <w:pPr>
        <w:pStyle w:val="P1withIndendation"/>
        <w:ind w:firstLine="0"/>
        <w:rPr>
          <w:rFonts w:cs="Calibri"/>
          <w:szCs w:val="22"/>
        </w:rPr>
      </w:pPr>
      <w:r w:rsidRPr="000403C9">
        <w:rPr>
          <w:rFonts w:cs="Calibri"/>
          <w:szCs w:val="22"/>
        </w:rPr>
        <w:t>pressures as the ageing temperature increases which is indicative of an increase in pore size.</w:t>
      </w:r>
      <w:r>
        <w:rPr>
          <w:rFonts w:cs="Calibri"/>
          <w:szCs w:val="22"/>
          <w:vertAlign w:val="superscript"/>
        </w:rPr>
        <w:t>[35]</w:t>
      </w:r>
      <w:r w:rsidRPr="000403C9">
        <w:rPr>
          <w:rFonts w:cs="Calibri"/>
          <w:szCs w:val="22"/>
          <w:vertAlign w:val="superscript"/>
        </w:rPr>
        <w:t xml:space="preserve"> </w:t>
      </w:r>
      <w:r w:rsidRPr="000403C9">
        <w:rPr>
          <w:rFonts w:cs="Calibri"/>
          <w:szCs w:val="22"/>
        </w:rPr>
        <w:t>Barrett-Joyner-Halenda (BJH) analysis on the desorption branch of the respective isotherms confirmed the successful fabrication of mesoporosity in these materials. Both SBA-15 and KIT-6 possess narrow pore size distributions (PSDs) and an average pore diameter of around 6 nm. The introduction of the TMB micelle expander during the synthesis of SBA-15 results in an increase in the average pore diameter, with SBA-15-7 and SBA-15-10 possessing average pore diameters of 7 nm and 10 nm respectively (Table 1), though the PSD is also noticeably broader. Expansion of the pores also results in an increase in pore volume (from 1.18 cm</w:t>
      </w:r>
      <w:r w:rsidRPr="000403C9">
        <w:rPr>
          <w:rFonts w:cs="Calibri"/>
          <w:szCs w:val="22"/>
          <w:vertAlign w:val="superscript"/>
        </w:rPr>
        <w:t>3</w:t>
      </w:r>
      <w:r w:rsidRPr="000403C9">
        <w:rPr>
          <w:rFonts w:cs="Calibri"/>
          <w:szCs w:val="22"/>
        </w:rPr>
        <w:t xml:space="preserve"> g</w:t>
      </w:r>
      <w:r w:rsidRPr="000403C9">
        <w:rPr>
          <w:rFonts w:cs="Calibri"/>
          <w:szCs w:val="22"/>
          <w:vertAlign w:val="superscript"/>
        </w:rPr>
        <w:t>-1</w:t>
      </w:r>
      <w:r w:rsidRPr="000403C9">
        <w:rPr>
          <w:rFonts w:cs="Calibri"/>
          <w:szCs w:val="22"/>
        </w:rPr>
        <w:t xml:space="preserve"> to 1.99 cm</w:t>
      </w:r>
      <w:r w:rsidRPr="000403C9">
        <w:rPr>
          <w:rFonts w:cs="Calibri"/>
          <w:szCs w:val="22"/>
          <w:vertAlign w:val="superscript"/>
        </w:rPr>
        <w:t>3</w:t>
      </w:r>
      <w:r w:rsidRPr="000403C9">
        <w:rPr>
          <w:rFonts w:cs="Calibri"/>
          <w:szCs w:val="22"/>
        </w:rPr>
        <w:t xml:space="preserve"> g</w:t>
      </w:r>
      <w:r w:rsidRPr="000403C9">
        <w:rPr>
          <w:rFonts w:cs="Calibri"/>
          <w:szCs w:val="22"/>
          <w:vertAlign w:val="superscript"/>
        </w:rPr>
        <w:t>-1</w:t>
      </w:r>
      <w:r w:rsidRPr="000403C9">
        <w:rPr>
          <w:rFonts w:cs="Calibri"/>
          <w:szCs w:val="22"/>
        </w:rPr>
        <w:t>), as well as a decrease in the apparent Brunauer-Emmett-Teller (BET) surface area (from 1004 m</w:t>
      </w:r>
      <w:r w:rsidRPr="000403C9">
        <w:rPr>
          <w:rFonts w:cs="Calibri"/>
          <w:szCs w:val="22"/>
          <w:vertAlign w:val="superscript"/>
        </w:rPr>
        <w:t>2</w:t>
      </w:r>
      <w:r w:rsidRPr="000403C9">
        <w:rPr>
          <w:rFonts w:cs="Calibri"/>
          <w:szCs w:val="22"/>
        </w:rPr>
        <w:t xml:space="preserve"> g</w:t>
      </w:r>
      <w:r w:rsidRPr="000403C9">
        <w:rPr>
          <w:rFonts w:cs="Calibri"/>
          <w:szCs w:val="22"/>
          <w:vertAlign w:val="superscript"/>
        </w:rPr>
        <w:t>-1</w:t>
      </w:r>
      <w:r w:rsidRPr="000403C9">
        <w:rPr>
          <w:rFonts w:cs="Calibri"/>
          <w:szCs w:val="22"/>
        </w:rPr>
        <w:t xml:space="preserve"> to 580 m</w:t>
      </w:r>
      <w:r w:rsidRPr="000403C9">
        <w:rPr>
          <w:rFonts w:cs="Calibri"/>
          <w:szCs w:val="22"/>
          <w:vertAlign w:val="superscript"/>
        </w:rPr>
        <w:t>2</w:t>
      </w:r>
      <w:r w:rsidRPr="000403C9">
        <w:rPr>
          <w:rFonts w:cs="Calibri"/>
          <w:szCs w:val="22"/>
        </w:rPr>
        <w:t xml:space="preserve"> g</w:t>
      </w:r>
      <w:r w:rsidRPr="000403C9">
        <w:rPr>
          <w:rFonts w:cs="Calibri"/>
          <w:szCs w:val="22"/>
          <w:vertAlign w:val="superscript"/>
        </w:rPr>
        <w:t>-1</w:t>
      </w:r>
      <w:r w:rsidRPr="000403C9">
        <w:rPr>
          <w:rFonts w:cs="Calibri"/>
          <w:szCs w:val="22"/>
        </w:rPr>
        <w:t>) on going from SBA-15 to SBA-15-10.</w:t>
      </w:r>
    </w:p>
    <w:p w:rsidR="00BF17BB" w:rsidRDefault="00BF17BB" w:rsidP="005B6CF0">
      <w:pPr>
        <w:pStyle w:val="P1withIndendation"/>
        <w:rPr>
          <w:rFonts w:cs="Calibri"/>
          <w:szCs w:val="22"/>
          <w:vertAlign w:val="superscript"/>
        </w:rPr>
      </w:pPr>
      <w:r w:rsidRPr="00BF17BB">
        <w:rPr>
          <w:rFonts w:cs="Calibri"/>
          <w:szCs w:val="22"/>
        </w:rPr>
        <w:t xml:space="preserve">SBA-15 displays characteristic (100), (110), and (200) diffraction peaks typical of the expected 2D </w:t>
      </w:r>
      <w:r w:rsidRPr="00BF17BB">
        <w:rPr>
          <w:rFonts w:cs="Calibri"/>
          <w:i/>
          <w:szCs w:val="22"/>
        </w:rPr>
        <w:t xml:space="preserve">p6mm </w:t>
      </w:r>
      <w:r>
        <w:rPr>
          <w:rFonts w:cs="Calibri"/>
          <w:szCs w:val="22"/>
        </w:rPr>
        <w:t xml:space="preserve">hexagonal structure </w:t>
      </w:r>
      <w:r w:rsidR="009B1062">
        <w:rPr>
          <w:rFonts w:cs="Calibri"/>
          <w:szCs w:val="22"/>
        </w:rPr>
        <w:t>(Supporting information</w:t>
      </w:r>
      <w:r w:rsidRPr="00BF17BB">
        <w:rPr>
          <w:rFonts w:cs="Calibri"/>
          <w:szCs w:val="22"/>
        </w:rPr>
        <w:t xml:space="preserve"> Figure S5). The (100) diffraction peak would be expected to shift to a lower angle as a result of an increase in pore diameter, and hence an increase in the unit cell parameter. However, for SBA-15-7 and SBA-15-10, the PXRD patterns are relatively ill-defined. This indicates that these materials possess a lower degree of order and correlates with their broad PSDs. The low angle PXRD pattern of KIT-6 shows a characteristic (211) diffraction peak which confirms that the material possesses the desired cubic </w:t>
      </w:r>
      <w:r w:rsidRPr="00BF17BB">
        <w:rPr>
          <w:rFonts w:cs="Calibri"/>
          <w:i/>
          <w:szCs w:val="22"/>
        </w:rPr>
        <w:t>Ia3d</w:t>
      </w:r>
      <w:r w:rsidRPr="00BF17BB">
        <w:rPr>
          <w:rFonts w:cs="Calibri"/>
          <w:szCs w:val="22"/>
        </w:rPr>
        <w:t xml:space="preserve"> s</w:t>
      </w:r>
      <w:r w:rsidR="009B1062">
        <w:rPr>
          <w:rFonts w:cs="Calibri"/>
          <w:szCs w:val="22"/>
        </w:rPr>
        <w:t>ymmetry (Supporting information</w:t>
      </w:r>
      <w:r w:rsidRPr="00BF17BB">
        <w:rPr>
          <w:rFonts w:cs="Calibri"/>
          <w:szCs w:val="22"/>
        </w:rPr>
        <w:t xml:space="preserve"> Figure S5).</w:t>
      </w:r>
      <w:r>
        <w:rPr>
          <w:rFonts w:cs="Calibri"/>
          <w:szCs w:val="22"/>
          <w:vertAlign w:val="superscript"/>
        </w:rPr>
        <w:t>[</w:t>
      </w:r>
      <w:r w:rsidR="00F34F73">
        <w:rPr>
          <w:rFonts w:cs="Calibri"/>
          <w:szCs w:val="22"/>
          <w:vertAlign w:val="superscript"/>
        </w:rPr>
        <w:t>33</w:t>
      </w:r>
      <w:r>
        <w:rPr>
          <w:rFonts w:cs="Calibri"/>
          <w:szCs w:val="22"/>
          <w:vertAlign w:val="superscript"/>
        </w:rPr>
        <w:t>]</w:t>
      </w:r>
    </w:p>
    <w:p w:rsidR="009B4CA0" w:rsidRDefault="00C03501" w:rsidP="009B4CA0">
      <w:pPr>
        <w:pStyle w:val="P1withIndendation"/>
        <w:rPr>
          <w:rFonts w:cs="Calibri"/>
          <w:szCs w:val="22"/>
        </w:rPr>
      </w:pPr>
      <w:r w:rsidRPr="00C03501">
        <w:rPr>
          <w:rFonts w:cs="Calibri"/>
          <w:szCs w:val="22"/>
        </w:rPr>
        <w:t>TEM imaging confirmed the observations from PXRD analysis. SBA-15 showed uniform, ordered mesopores arranged in a hexagona</w:t>
      </w:r>
      <w:r w:rsidR="009B1062">
        <w:rPr>
          <w:rFonts w:cs="Calibri"/>
          <w:szCs w:val="22"/>
        </w:rPr>
        <w:t>l array (Supporting information</w:t>
      </w:r>
      <w:r w:rsidRPr="00C03501">
        <w:rPr>
          <w:rFonts w:cs="Calibri"/>
          <w:szCs w:val="22"/>
        </w:rPr>
        <w:t xml:space="preserve"> Figure S6). However, SBA-15-7 and SBA-15-10 were found to consist of pores of different size, which is in line with their broader PSDs, as determined by porosimetry, and consistent with their lack of order in PXRD analysis. KIT-6, on the other hand, exhibits the desired 3D pore structure. The loss of periodicity in the pore-expanded mesoporous silicas was not problematic with respect to determining structure-property relationships, as the </w:t>
      </w:r>
    </w:p>
    <w:p w:rsidR="00896F75" w:rsidRPr="001F38DA" w:rsidRDefault="00162E6D" w:rsidP="009B4CA0">
      <w:pPr>
        <w:rPr>
          <w:color w:val="FF0000"/>
          <w:sz w:val="18"/>
          <w:szCs w:val="20"/>
          <w:lang w:val="en-GB"/>
        </w:rPr>
      </w:pPr>
      <w:r>
        <w:object w:dxaOrig="6435" w:dyaOrig="7585">
          <v:shape id="_x0000_i1038" type="#_x0000_t75" style="width:237.95pt;height:280.7pt" o:ole="">
            <v:imagedata r:id="rId14" o:title=""/>
          </v:shape>
          <o:OLEObject Type="Embed" ProgID="ChemDraw.Document.6.0" ShapeID="_x0000_i1038" DrawAspect="Content" ObjectID="_1601902981" r:id="rId15"/>
        </w:object>
      </w:r>
    </w:p>
    <w:p w:rsidR="00896F75" w:rsidRPr="008504E9" w:rsidRDefault="00896F75" w:rsidP="00DA69A4">
      <w:pPr>
        <w:pStyle w:val="SchemeCaption"/>
        <w:rPr>
          <w:color w:val="FF0000"/>
        </w:rPr>
      </w:pPr>
      <w:r w:rsidRPr="008504E9">
        <w:rPr>
          <w:b/>
          <w:color w:val="FF0000"/>
        </w:rPr>
        <w:t xml:space="preserve">Scheme </w:t>
      </w:r>
      <w:r w:rsidR="00C03501" w:rsidRPr="008504E9">
        <w:rPr>
          <w:b/>
          <w:color w:val="FF0000"/>
        </w:rPr>
        <w:t>2</w:t>
      </w:r>
      <w:r w:rsidRPr="008504E9">
        <w:rPr>
          <w:b/>
          <w:color w:val="FF0000"/>
        </w:rPr>
        <w:t>.</w:t>
      </w:r>
      <w:r w:rsidR="00CA51C2" w:rsidRPr="008504E9">
        <w:rPr>
          <w:color w:val="FF0000"/>
        </w:rPr>
        <w:t xml:space="preserve"> </w:t>
      </w:r>
      <w:r w:rsidR="00C03501" w:rsidRPr="008504E9">
        <w:rPr>
          <w:color w:val="FF0000"/>
        </w:rPr>
        <w:t>Preparation of mesoporous silica-supported catalysts</w:t>
      </w:r>
      <w:r w:rsidR="00CA51C2" w:rsidRPr="008504E9">
        <w:rPr>
          <w:color w:val="FF0000"/>
        </w:rPr>
        <w:t>.</w:t>
      </w:r>
    </w:p>
    <w:p w:rsidR="009B4CA0" w:rsidRPr="00C03501" w:rsidRDefault="009B4CA0" w:rsidP="009B4CA0">
      <w:pPr>
        <w:pStyle w:val="P1withIndendation"/>
        <w:ind w:firstLine="0"/>
        <w:rPr>
          <w:rFonts w:cs="Calibri"/>
          <w:szCs w:val="22"/>
        </w:rPr>
      </w:pPr>
      <w:r w:rsidRPr="00C03501">
        <w:rPr>
          <w:rFonts w:cs="Calibri"/>
          <w:szCs w:val="22"/>
        </w:rPr>
        <w:t>PSDs w</w:t>
      </w:r>
      <w:bookmarkStart w:id="0" w:name="_GoBack"/>
      <w:bookmarkEnd w:id="0"/>
      <w:r w:rsidRPr="00C03501">
        <w:rPr>
          <w:rFonts w:cs="Calibri"/>
          <w:szCs w:val="22"/>
        </w:rPr>
        <w:t>ere still statistically larger than that of standard SBA-15 and retained a degree of order in comparison to amorphous silica.</w:t>
      </w:r>
    </w:p>
    <w:p w:rsidR="003A04CD" w:rsidRDefault="009B4CA0" w:rsidP="009B4CA0">
      <w:pPr>
        <w:pStyle w:val="P1withIndendation"/>
        <w:rPr>
          <w:rFonts w:cs="Calibri"/>
          <w:szCs w:val="22"/>
          <w:vertAlign w:val="superscript"/>
        </w:rPr>
      </w:pPr>
      <w:r w:rsidRPr="00C03501">
        <w:rPr>
          <w:rFonts w:cs="Calibri"/>
          <w:szCs w:val="22"/>
        </w:rPr>
        <w:t xml:space="preserve">To covalently attach a bimetallic aluminium(salen) complex onto the silica surface, the mesoporous silica materials were functionalised with 3-chloropropyl chains. This was achieved by refluxing a suspension of the mesoporous silica and (3-chloropropyl)triethoxysilane (CPTES) in toluene (Scheme 2). The immobilised one-component mesoporous silica-supported catalysts were then prepared by first stirring complex </w:t>
      </w:r>
      <w:r w:rsidRPr="00C03501">
        <w:rPr>
          <w:rFonts w:cs="Calibri"/>
          <w:b/>
          <w:szCs w:val="22"/>
        </w:rPr>
        <w:t>6</w:t>
      </w:r>
      <w:r>
        <w:rPr>
          <w:rFonts w:cs="Calibri"/>
          <w:szCs w:val="22"/>
          <w:vertAlign w:val="superscript"/>
        </w:rPr>
        <w:t>[38]</w:t>
      </w:r>
      <w:r w:rsidRPr="00C03501">
        <w:rPr>
          <w:rFonts w:cs="Calibri"/>
          <w:b/>
          <w:szCs w:val="22"/>
        </w:rPr>
        <w:t xml:space="preserve"> </w:t>
      </w:r>
      <w:r w:rsidRPr="00C03501">
        <w:rPr>
          <w:rFonts w:cs="Calibri"/>
          <w:szCs w:val="22"/>
        </w:rPr>
        <w:t>and the 3-chloropropyl functionalised silica under reflux in acetonitrile. Once</w:t>
      </w:r>
      <w:r w:rsidRPr="003A04CD">
        <w:rPr>
          <w:rFonts w:cs="Calibri"/>
          <w:szCs w:val="22"/>
        </w:rPr>
        <w:t xml:space="preserve"> </w:t>
      </w:r>
      <w:r w:rsidRPr="00C03501">
        <w:rPr>
          <w:rFonts w:cs="Calibri"/>
          <w:szCs w:val="22"/>
        </w:rPr>
        <w:t>immobilisation was achieved, the</w:t>
      </w:r>
      <w:r>
        <w:rPr>
          <w:rFonts w:cs="Calibri"/>
          <w:szCs w:val="22"/>
        </w:rPr>
        <w:t xml:space="preserve"> </w:t>
      </w:r>
      <w:r w:rsidR="003A04CD" w:rsidRPr="00C03501">
        <w:rPr>
          <w:rFonts w:cs="Calibri"/>
          <w:szCs w:val="22"/>
        </w:rPr>
        <w:t xml:space="preserve">complex was quaternised using benzyl bromide and </w:t>
      </w:r>
      <w:r w:rsidR="003A04CD" w:rsidRPr="00C03501">
        <w:rPr>
          <w:rFonts w:cs="Calibri"/>
          <w:szCs w:val="22"/>
        </w:rPr>
        <w:lastRenderedPageBreak/>
        <w:t>tetrabutylammonium bromide (TBAB) to produce the desired immobilised one-component catalysts (</w:t>
      </w:r>
      <w:r w:rsidR="003A04CD" w:rsidRPr="00C03501">
        <w:rPr>
          <w:rFonts w:cs="Calibri"/>
          <w:b/>
          <w:szCs w:val="22"/>
        </w:rPr>
        <w:t>7</w:t>
      </w:r>
      <w:r w:rsidR="003A04CD" w:rsidRPr="00C03501">
        <w:rPr>
          <w:rFonts w:cs="Calibri"/>
          <w:szCs w:val="22"/>
        </w:rPr>
        <w:t>).</w:t>
      </w:r>
      <w:r w:rsidR="003A04CD">
        <w:rPr>
          <w:rFonts w:cs="Calibri"/>
          <w:szCs w:val="22"/>
          <w:vertAlign w:val="superscript"/>
        </w:rPr>
        <w:t>[</w:t>
      </w:r>
      <w:r w:rsidR="003A04CD" w:rsidRPr="00C03501">
        <w:rPr>
          <w:rFonts w:cs="Calibri"/>
          <w:szCs w:val="22"/>
          <w:vertAlign w:val="superscript"/>
        </w:rPr>
        <w:t>11</w:t>
      </w:r>
      <w:r w:rsidR="003A04CD">
        <w:rPr>
          <w:rFonts w:cs="Calibri"/>
          <w:szCs w:val="22"/>
          <w:vertAlign w:val="superscript"/>
        </w:rPr>
        <w:t>]</w:t>
      </w:r>
    </w:p>
    <w:p w:rsidR="003A04CD" w:rsidRDefault="003A04CD" w:rsidP="00C03501">
      <w:pPr>
        <w:pStyle w:val="P1withIndendation"/>
        <w:rPr>
          <w:rFonts w:cs="Calibri"/>
          <w:szCs w:val="22"/>
        </w:rPr>
      </w:pPr>
      <w:r w:rsidRPr="003A04CD">
        <w:rPr>
          <w:rFonts w:cs="Calibri"/>
          <w:szCs w:val="22"/>
        </w:rPr>
        <w:t>Immobilisation of the bimetallic aluminium(salen) complex onto the mesoporous silicas resulted in a significant change in the properties of these materials. The nitrogen adsorption-desorption isotherm of catalyst-loaded SBA-15 (SBA-15-</w:t>
      </w:r>
      <w:r w:rsidRPr="003A04CD">
        <w:rPr>
          <w:rFonts w:cs="Calibri"/>
          <w:b/>
          <w:szCs w:val="22"/>
        </w:rPr>
        <w:t>7</w:t>
      </w:r>
      <w:r w:rsidRPr="003A04CD">
        <w:rPr>
          <w:rFonts w:cs="Calibri"/>
          <w:szCs w:val="22"/>
        </w:rPr>
        <w:t>) demonstrates that it loses essentially all of its initial porosity as a consequence of the pores becoming blocked by the large bimetallic complex (Table 1, entry 2). In contrast, the pore-expanded mesoporous silica materials retain porosity following catalyst loading (Table 1, entries 4, 6 and 8) where the loss of some pore volume and surface area suggests that the complex is not only immobilised onto the external silica surface, but is also present within the pores. Interestingly, KIT-6 possesses a similar average pore diameter to SBA-15 (6.0-6.1 nm), however it retained a significant amount of pore volume (0.30 cm</w:t>
      </w:r>
      <w:r w:rsidRPr="003A04CD">
        <w:rPr>
          <w:rFonts w:cs="Calibri"/>
          <w:szCs w:val="22"/>
          <w:vertAlign w:val="superscript"/>
        </w:rPr>
        <w:t>3</w:t>
      </w:r>
      <w:r w:rsidRPr="003A04CD">
        <w:rPr>
          <w:rFonts w:cs="Calibri"/>
          <w:szCs w:val="22"/>
        </w:rPr>
        <w:t xml:space="preserve"> g</w:t>
      </w:r>
      <w:r w:rsidRPr="003A04CD">
        <w:rPr>
          <w:rFonts w:cs="Calibri"/>
          <w:szCs w:val="22"/>
          <w:vertAlign w:val="superscript"/>
        </w:rPr>
        <w:t>-1</w:t>
      </w:r>
      <w:r w:rsidRPr="003A04CD">
        <w:rPr>
          <w:rFonts w:cs="Calibri"/>
          <w:szCs w:val="22"/>
        </w:rPr>
        <w:t>) and surface area (255 m</w:t>
      </w:r>
      <w:r w:rsidRPr="003A04CD">
        <w:rPr>
          <w:rFonts w:cs="Calibri"/>
          <w:szCs w:val="22"/>
          <w:vertAlign w:val="superscript"/>
        </w:rPr>
        <w:t>2</w:t>
      </w:r>
      <w:r w:rsidRPr="003A04CD">
        <w:rPr>
          <w:rFonts w:cs="Calibri"/>
          <w:szCs w:val="22"/>
        </w:rPr>
        <w:t xml:space="preserve"> g</w:t>
      </w:r>
      <w:r w:rsidRPr="003A04CD">
        <w:rPr>
          <w:rFonts w:cs="Calibri"/>
          <w:szCs w:val="22"/>
          <w:vertAlign w:val="superscript"/>
        </w:rPr>
        <w:t>-1</w:t>
      </w:r>
      <w:r w:rsidRPr="003A04CD">
        <w:rPr>
          <w:rFonts w:cs="Calibri"/>
          <w:szCs w:val="22"/>
        </w:rPr>
        <w:t>) after</w:t>
      </w:r>
      <w:r w:rsidRPr="003A04CD">
        <w:rPr>
          <w:szCs w:val="22"/>
        </w:rPr>
        <w:t xml:space="preserve"> </w:t>
      </w:r>
      <w:r w:rsidRPr="003A04CD">
        <w:rPr>
          <w:rFonts w:cs="Calibri"/>
          <w:szCs w:val="22"/>
        </w:rPr>
        <w:t xml:space="preserve">catalyst loading. This can be rationalised on the basis that KIT-6 has 3D pore morphology which allows retention of porosity even with deposition of </w:t>
      </w:r>
      <w:r w:rsidRPr="003A04CD">
        <w:rPr>
          <w:rFonts w:cs="Calibri"/>
          <w:b/>
          <w:szCs w:val="22"/>
        </w:rPr>
        <w:t>6</w:t>
      </w:r>
      <w:r w:rsidRPr="003A04CD">
        <w:rPr>
          <w:rFonts w:cs="Calibri"/>
          <w:szCs w:val="22"/>
        </w:rPr>
        <w:t xml:space="preserve"> within the porous structure, as opposed to SBA-15’s 2D structure. </w:t>
      </w:r>
      <w:r w:rsidR="009B1062">
        <w:rPr>
          <w:rFonts w:cs="Calibri"/>
          <w:szCs w:val="22"/>
        </w:rPr>
        <w:t xml:space="preserve">SEM and </w:t>
      </w:r>
      <w:r w:rsidRPr="003A04CD">
        <w:rPr>
          <w:rFonts w:cs="Calibri"/>
          <w:szCs w:val="22"/>
        </w:rPr>
        <w:t>TEM imaging of the mesoporous silica-supported catalysts demonstrated that the mesostructure of each material was preserved after catalyst loading (Figure 3</w:t>
      </w:r>
      <w:r w:rsidR="009B1062">
        <w:rPr>
          <w:rFonts w:cs="Calibri"/>
          <w:szCs w:val="22"/>
        </w:rPr>
        <w:t xml:space="preserve"> and Supporting information Figures S7-8</w:t>
      </w:r>
      <w:r w:rsidRPr="003A04CD">
        <w:rPr>
          <w:rFonts w:cs="Calibri"/>
          <w:szCs w:val="22"/>
        </w:rPr>
        <w:t xml:space="preserve">). </w:t>
      </w:r>
    </w:p>
    <w:p w:rsidR="003A04CD" w:rsidRPr="001F38DA" w:rsidRDefault="00103532" w:rsidP="003A04CD">
      <w:pPr>
        <w:spacing w:before="360"/>
        <w:rPr>
          <w:color w:val="FF0000"/>
          <w:sz w:val="18"/>
          <w:szCs w:val="20"/>
          <w:lang w:val="en-GB"/>
        </w:rPr>
      </w:pPr>
      <w:r>
        <w:rPr>
          <w:color w:val="FF0000"/>
          <w:sz w:val="18"/>
          <w:szCs w:val="20"/>
          <w:lang w:val="en-GB"/>
        </w:rPr>
        <w:pict>
          <v:shape id="_x0000_i1029" type="#_x0000_t75" style="width:236.8pt;height:241.05pt">
            <v:imagedata r:id="rId16" o:title="Figure 3"/>
          </v:shape>
        </w:pict>
      </w:r>
    </w:p>
    <w:p w:rsidR="003A04CD" w:rsidRDefault="003A04CD" w:rsidP="003A04CD">
      <w:pPr>
        <w:pStyle w:val="FigureCaption"/>
      </w:pPr>
      <w:r>
        <w:rPr>
          <w:b/>
        </w:rPr>
        <w:t>Figure</w:t>
      </w:r>
      <w:r w:rsidRPr="005702B8">
        <w:rPr>
          <w:b/>
        </w:rPr>
        <w:t xml:space="preserve"> </w:t>
      </w:r>
      <w:r>
        <w:rPr>
          <w:b/>
        </w:rPr>
        <w:t>3.</w:t>
      </w:r>
      <w:r w:rsidRPr="00C2552A">
        <w:t xml:space="preserve"> </w:t>
      </w:r>
      <w:r w:rsidRPr="00FE39A8">
        <w:t>TEM images of catalyst-loaded (a) SBA-15</w:t>
      </w:r>
      <w:r>
        <w:t>-</w:t>
      </w:r>
      <w:r w:rsidRPr="00670184">
        <w:rPr>
          <w:b/>
        </w:rPr>
        <w:t>7</w:t>
      </w:r>
      <w:r w:rsidRPr="00FE39A8">
        <w:t>; (b) SBA-15-7</w:t>
      </w:r>
      <w:r>
        <w:t>-</w:t>
      </w:r>
      <w:r w:rsidRPr="00670184">
        <w:rPr>
          <w:b/>
        </w:rPr>
        <w:t>7</w:t>
      </w:r>
      <w:r w:rsidRPr="00FE39A8">
        <w:t>;</w:t>
      </w:r>
      <w:r>
        <w:t xml:space="preserve"> </w:t>
      </w:r>
      <w:r w:rsidRPr="00FE39A8">
        <w:t>(c) SBA-15-10</w:t>
      </w:r>
      <w:r>
        <w:t>-</w:t>
      </w:r>
      <w:r w:rsidRPr="00670184">
        <w:rPr>
          <w:b/>
        </w:rPr>
        <w:t>7</w:t>
      </w:r>
      <w:r>
        <w:t xml:space="preserve"> </w:t>
      </w:r>
      <w:r w:rsidRPr="00FE39A8">
        <w:t>and (d) KIT-6</w:t>
      </w:r>
      <w:r>
        <w:t>-</w:t>
      </w:r>
      <w:r w:rsidRPr="00670184">
        <w:rPr>
          <w:b/>
        </w:rPr>
        <w:t>7</w:t>
      </w:r>
      <w:r w:rsidRPr="00FE39A8">
        <w:t>.</w:t>
      </w:r>
    </w:p>
    <w:p w:rsidR="003A04CD" w:rsidRDefault="003A04CD" w:rsidP="003A04CD">
      <w:pPr>
        <w:pStyle w:val="P1withIndendation"/>
        <w:rPr>
          <w:rFonts w:cs="Calibri"/>
          <w:szCs w:val="22"/>
        </w:rPr>
      </w:pPr>
      <w:r w:rsidRPr="003A04CD">
        <w:rPr>
          <w:rFonts w:cs="Calibri"/>
          <w:szCs w:val="22"/>
        </w:rPr>
        <w:t>Diffuse reflectance infrared Fourier transform spectroscopy (DRIFTS) was performed on all silica materials before and after covalent attachment of the 3-chloropropyl chains and after catalyst immobilisation (Figu</w:t>
      </w:r>
      <w:r w:rsidR="009B1062">
        <w:rPr>
          <w:rFonts w:cs="Calibri"/>
          <w:szCs w:val="22"/>
        </w:rPr>
        <w:t>re 4 and Supporting information</w:t>
      </w:r>
      <w:r w:rsidRPr="003A04CD">
        <w:rPr>
          <w:rFonts w:cs="Calibri"/>
          <w:szCs w:val="22"/>
        </w:rPr>
        <w:t xml:space="preserve"> Figure</w:t>
      </w:r>
      <w:r w:rsidR="009B1062">
        <w:rPr>
          <w:rFonts w:cs="Calibri"/>
          <w:szCs w:val="22"/>
        </w:rPr>
        <w:t>s</w:t>
      </w:r>
      <w:r w:rsidRPr="003A04CD">
        <w:rPr>
          <w:rFonts w:cs="Calibri"/>
          <w:szCs w:val="22"/>
        </w:rPr>
        <w:t xml:space="preserve"> S9</w:t>
      </w:r>
      <w:r w:rsidR="009B1062">
        <w:rPr>
          <w:rFonts w:cs="Calibri"/>
          <w:szCs w:val="22"/>
        </w:rPr>
        <w:t>-S12</w:t>
      </w:r>
      <w:r w:rsidRPr="003A04CD">
        <w:rPr>
          <w:rFonts w:cs="Calibri"/>
          <w:szCs w:val="22"/>
        </w:rPr>
        <w:t xml:space="preserve">). All unfunctionalised silicas contained characteristic Si-O-Si stretching vibrations </w:t>
      </w:r>
      <w:r w:rsidRPr="003A04CD">
        <w:rPr>
          <w:rFonts w:cs="Calibri"/>
          <w:szCs w:val="22"/>
        </w:rPr>
        <w:t>at 1212–1088 cm</w:t>
      </w:r>
      <w:r w:rsidRPr="003A04CD">
        <w:rPr>
          <w:rFonts w:cs="Calibri"/>
          <w:szCs w:val="22"/>
          <w:vertAlign w:val="superscript"/>
        </w:rPr>
        <w:t>-1</w:t>
      </w:r>
      <w:r w:rsidRPr="003A04CD">
        <w:rPr>
          <w:rFonts w:cs="Calibri"/>
          <w:szCs w:val="22"/>
        </w:rPr>
        <w:t xml:space="preserve"> and 793 cm</w:t>
      </w:r>
      <w:r w:rsidRPr="003A04CD">
        <w:rPr>
          <w:rFonts w:cs="Calibri"/>
          <w:szCs w:val="22"/>
          <w:vertAlign w:val="superscript"/>
        </w:rPr>
        <w:t>-1</w:t>
      </w:r>
      <w:r w:rsidRPr="003A04CD">
        <w:rPr>
          <w:rFonts w:cs="Calibri"/>
          <w:szCs w:val="22"/>
        </w:rPr>
        <w:t>, in addition to bending and stretching vibrations of the Si-OH bond at 948 cm</w:t>
      </w:r>
      <w:r>
        <w:rPr>
          <w:rFonts w:cs="Calibri"/>
          <w:szCs w:val="22"/>
          <w:vertAlign w:val="superscript"/>
        </w:rPr>
        <w:noBreakHyphen/>
      </w:r>
      <w:r w:rsidRPr="003A04CD">
        <w:rPr>
          <w:rFonts w:cs="Calibri"/>
          <w:szCs w:val="22"/>
          <w:vertAlign w:val="superscript"/>
        </w:rPr>
        <w:t>1</w:t>
      </w:r>
      <w:r w:rsidRPr="003A04CD">
        <w:rPr>
          <w:rFonts w:cs="Calibri"/>
          <w:szCs w:val="22"/>
        </w:rPr>
        <w:t>.</w:t>
      </w:r>
      <w:r>
        <w:rPr>
          <w:rFonts w:cs="Calibri"/>
          <w:szCs w:val="22"/>
          <w:vertAlign w:val="superscript"/>
        </w:rPr>
        <w:t>[</w:t>
      </w:r>
      <w:r w:rsidR="00F34F73">
        <w:rPr>
          <w:rFonts w:cs="Calibri"/>
          <w:szCs w:val="22"/>
          <w:vertAlign w:val="superscript"/>
        </w:rPr>
        <w:t>39</w:t>
      </w:r>
      <w:r>
        <w:rPr>
          <w:rFonts w:cs="Calibri"/>
          <w:szCs w:val="22"/>
          <w:vertAlign w:val="superscript"/>
        </w:rPr>
        <w:t>]</w:t>
      </w:r>
      <w:r w:rsidRPr="003A04CD">
        <w:rPr>
          <w:rFonts w:cs="Calibri"/>
          <w:szCs w:val="22"/>
        </w:rPr>
        <w:t xml:space="preserve"> There are also prominent bands at 3800–2800 cm</w:t>
      </w:r>
      <w:r w:rsidRPr="003A04CD">
        <w:rPr>
          <w:rFonts w:cs="Calibri"/>
          <w:szCs w:val="22"/>
          <w:vertAlign w:val="superscript"/>
        </w:rPr>
        <w:t>-1</w:t>
      </w:r>
      <w:r w:rsidRPr="003A04CD">
        <w:rPr>
          <w:rFonts w:cs="Calibri"/>
          <w:szCs w:val="22"/>
        </w:rPr>
        <w:t xml:space="preserve"> and 1632 cm</w:t>
      </w:r>
      <w:r w:rsidRPr="003A04CD">
        <w:rPr>
          <w:rFonts w:cs="Calibri"/>
          <w:szCs w:val="22"/>
          <w:vertAlign w:val="superscript"/>
        </w:rPr>
        <w:t>-1</w:t>
      </w:r>
      <w:r w:rsidRPr="003A04CD">
        <w:rPr>
          <w:rFonts w:cs="Calibri"/>
          <w:szCs w:val="22"/>
        </w:rPr>
        <w:t>, which are indicative of residual water. Upon attachment of the 3-chloropropyl chains, these bands obscure any evidence of functionalisation. However, after catalyst</w:t>
      </w:r>
      <w:r w:rsidRPr="002474DF">
        <w:rPr>
          <w:rFonts w:cs="Calibri"/>
          <w:sz w:val="18"/>
          <w:szCs w:val="18"/>
        </w:rPr>
        <w:t xml:space="preserve"> </w:t>
      </w:r>
      <w:r w:rsidRPr="003A04CD">
        <w:rPr>
          <w:rFonts w:cs="Calibri"/>
          <w:szCs w:val="22"/>
        </w:rPr>
        <w:t>immobilisation, prominent C-H stretching and bending vibrations at 2958–2876 cm</w:t>
      </w:r>
      <w:r w:rsidRPr="003A04CD">
        <w:rPr>
          <w:rFonts w:cs="Calibri"/>
          <w:szCs w:val="22"/>
          <w:vertAlign w:val="superscript"/>
        </w:rPr>
        <w:t>-1</w:t>
      </w:r>
      <w:r w:rsidRPr="003A04CD">
        <w:rPr>
          <w:rFonts w:cs="Calibri"/>
          <w:szCs w:val="22"/>
        </w:rPr>
        <w:t xml:space="preserve"> and 1446 cm</w:t>
      </w:r>
      <w:r w:rsidRPr="003A04CD">
        <w:rPr>
          <w:rFonts w:cs="Calibri"/>
          <w:szCs w:val="22"/>
          <w:vertAlign w:val="superscript"/>
        </w:rPr>
        <w:t>-1</w:t>
      </w:r>
      <w:r w:rsidRPr="003A04CD">
        <w:rPr>
          <w:rFonts w:cs="Calibri"/>
          <w:szCs w:val="22"/>
        </w:rPr>
        <w:t xml:space="preserve"> respectively are observable, which confirms the successful attachment of the organic species.</w:t>
      </w:r>
      <w:r>
        <w:rPr>
          <w:rFonts w:cs="Calibri"/>
          <w:szCs w:val="22"/>
          <w:vertAlign w:val="superscript"/>
        </w:rPr>
        <w:t>[</w:t>
      </w:r>
      <w:r w:rsidR="00F34F73">
        <w:rPr>
          <w:rFonts w:cs="Calibri"/>
          <w:szCs w:val="22"/>
          <w:vertAlign w:val="superscript"/>
        </w:rPr>
        <w:t>40</w:t>
      </w:r>
      <w:r>
        <w:rPr>
          <w:rFonts w:cs="Calibri"/>
          <w:szCs w:val="22"/>
          <w:vertAlign w:val="superscript"/>
        </w:rPr>
        <w:t>]</w:t>
      </w:r>
    </w:p>
    <w:p w:rsidR="003A04CD" w:rsidRPr="001F38DA" w:rsidRDefault="00103532" w:rsidP="003A04CD">
      <w:pPr>
        <w:tabs>
          <w:tab w:val="left" w:pos="426"/>
        </w:tabs>
        <w:spacing w:before="360"/>
        <w:rPr>
          <w:color w:val="FF0000"/>
          <w:sz w:val="18"/>
          <w:szCs w:val="20"/>
          <w:lang w:val="en-GB"/>
        </w:rPr>
      </w:pPr>
      <w:r>
        <w:rPr>
          <w:color w:val="FF0000"/>
          <w:sz w:val="18"/>
          <w:szCs w:val="20"/>
          <w:lang w:val="en-GB"/>
        </w:rPr>
        <w:pict>
          <v:shape id="_x0000_i1030" type="#_x0000_t75" style="width:236.8pt;height:182.5pt">
            <v:imagedata r:id="rId17" o:title="Figure 4"/>
          </v:shape>
        </w:pict>
      </w:r>
    </w:p>
    <w:p w:rsidR="003A04CD" w:rsidRDefault="003A04CD" w:rsidP="003A04CD">
      <w:pPr>
        <w:pStyle w:val="FigureCaption"/>
      </w:pPr>
      <w:r>
        <w:rPr>
          <w:b/>
        </w:rPr>
        <w:t>Figure</w:t>
      </w:r>
      <w:r w:rsidRPr="005702B8">
        <w:rPr>
          <w:b/>
        </w:rPr>
        <w:t xml:space="preserve"> </w:t>
      </w:r>
      <w:r>
        <w:rPr>
          <w:b/>
        </w:rPr>
        <w:t>4.</w:t>
      </w:r>
      <w:r w:rsidRPr="00C2552A">
        <w:t xml:space="preserve"> </w:t>
      </w:r>
      <w:r w:rsidRPr="003A04CD">
        <w:rPr>
          <w:rFonts w:cs="Calibri"/>
        </w:rPr>
        <w:t xml:space="preserve">DRIFTS spectra of (a) bimetallic catalyst </w:t>
      </w:r>
      <w:r w:rsidRPr="003A04CD">
        <w:rPr>
          <w:rFonts w:cs="Calibri"/>
          <w:b/>
        </w:rPr>
        <w:t>6</w:t>
      </w:r>
      <w:r>
        <w:rPr>
          <w:rFonts w:cs="Calibri"/>
        </w:rPr>
        <w:t xml:space="preserve">; (b) SBA-15; </w:t>
      </w:r>
      <w:r w:rsidRPr="003A04CD">
        <w:rPr>
          <w:rFonts w:cs="Calibri"/>
        </w:rPr>
        <w:t>(c) 3-chloropropyl functionalised SBA-15 and (d) catalyst-loaded SBA-15</w:t>
      </w:r>
      <w:r w:rsidRPr="003A04CD">
        <w:rPr>
          <w:rFonts w:cs="Calibri"/>
          <w:b/>
        </w:rPr>
        <w:t>-7</w:t>
      </w:r>
      <w:r w:rsidRPr="003A04CD">
        <w:rPr>
          <w:rFonts w:cs="Calibri"/>
        </w:rPr>
        <w:t>.</w:t>
      </w:r>
    </w:p>
    <w:p w:rsidR="003A04CD" w:rsidRDefault="003A04CD" w:rsidP="00C03501">
      <w:pPr>
        <w:pStyle w:val="P1withIndendation"/>
        <w:rPr>
          <w:rFonts w:cs="Calibri"/>
          <w:szCs w:val="22"/>
        </w:rPr>
      </w:pPr>
      <w:r w:rsidRPr="003A04CD">
        <w:rPr>
          <w:rFonts w:cs="Calibri"/>
          <w:szCs w:val="22"/>
        </w:rPr>
        <w:t>The aluminium content of the mesoporous silica-supported catalysts was determined by inductively coupled plasma mass spectrometry (ICP-MS) analysis</w:t>
      </w:r>
      <w:r w:rsidR="009B1062">
        <w:rPr>
          <w:rFonts w:cs="Calibri"/>
          <w:szCs w:val="22"/>
        </w:rPr>
        <w:t xml:space="preserve"> (Supporting information Table S1)</w:t>
      </w:r>
      <w:r w:rsidRPr="003A04CD">
        <w:rPr>
          <w:rFonts w:cs="Calibri"/>
          <w:szCs w:val="22"/>
        </w:rPr>
        <w:t>. It can be seen from the data in Table 1</w:t>
      </w:r>
      <w:r w:rsidR="008825A7">
        <w:rPr>
          <w:rFonts w:cs="Calibri"/>
          <w:szCs w:val="22"/>
        </w:rPr>
        <w:t xml:space="preserve"> </w:t>
      </w:r>
      <w:r w:rsidR="008825A7" w:rsidRPr="008825A7">
        <w:rPr>
          <w:rFonts w:cs="Calibri"/>
          <w:color w:val="FF0000"/>
          <w:szCs w:val="22"/>
        </w:rPr>
        <w:t>and Table S1</w:t>
      </w:r>
      <w:r w:rsidR="008825A7">
        <w:rPr>
          <w:rFonts w:cs="Calibri"/>
          <w:szCs w:val="22"/>
        </w:rPr>
        <w:t xml:space="preserve"> </w:t>
      </w:r>
      <w:r w:rsidRPr="003A04CD">
        <w:rPr>
          <w:rFonts w:cs="Calibri"/>
          <w:szCs w:val="22"/>
        </w:rPr>
        <w:t>that the degree of aluminium loading correlates with the surface area initially possessed by the mesoporous silica materials, with SBA-15 possessing the highest aluminium loading (0.42 mmol g</w:t>
      </w:r>
      <w:r w:rsidRPr="003A04CD">
        <w:rPr>
          <w:rFonts w:cs="Calibri"/>
          <w:szCs w:val="22"/>
          <w:vertAlign w:val="superscript"/>
        </w:rPr>
        <w:t>-1</w:t>
      </w:r>
      <w:r w:rsidRPr="003A04CD">
        <w:rPr>
          <w:rFonts w:cs="Calibri"/>
          <w:szCs w:val="22"/>
        </w:rPr>
        <w:t>) and SBA-15-10 the lowest (0.33 mmol g</w:t>
      </w:r>
      <w:r w:rsidRPr="003A04CD">
        <w:rPr>
          <w:rFonts w:cs="Calibri"/>
          <w:szCs w:val="22"/>
          <w:vertAlign w:val="superscript"/>
        </w:rPr>
        <w:t>-1</w:t>
      </w:r>
      <w:r w:rsidRPr="003A04CD">
        <w:rPr>
          <w:rFonts w:cs="Calibri"/>
          <w:szCs w:val="22"/>
        </w:rPr>
        <w:t xml:space="preserve">). A commercial, amorphous 3-chloropropyl functionalised silica support (SA) with a similar pore size to non-expanded SBA-15 (entry 9, Table 1) was also included for comparison. SA possessed an average pore diameter of 6 nm before functionalisation with </w:t>
      </w:r>
      <w:r w:rsidRPr="003A04CD">
        <w:rPr>
          <w:rFonts w:cs="Calibri"/>
          <w:b/>
          <w:szCs w:val="22"/>
        </w:rPr>
        <w:t>6</w:t>
      </w:r>
      <w:r w:rsidR="009B1062">
        <w:rPr>
          <w:rFonts w:cs="Calibri"/>
          <w:b/>
          <w:szCs w:val="22"/>
        </w:rPr>
        <w:t xml:space="preserve"> </w:t>
      </w:r>
      <w:r w:rsidR="009B1062" w:rsidRPr="009B1062">
        <w:rPr>
          <w:rFonts w:cs="Calibri"/>
          <w:szCs w:val="22"/>
        </w:rPr>
        <w:t>(</w:t>
      </w:r>
      <w:r w:rsidR="009B1062">
        <w:rPr>
          <w:rFonts w:cs="Calibri"/>
          <w:szCs w:val="22"/>
        </w:rPr>
        <w:t>Supporting Information Figures S3-S4)</w:t>
      </w:r>
      <w:r w:rsidRPr="003A04CD">
        <w:rPr>
          <w:rFonts w:cs="Calibri"/>
          <w:szCs w:val="22"/>
        </w:rPr>
        <w:t>. Following the covalent attachment of the bimetallic complex, porosity was retained, but the catalyst loading (0.13 mmol g</w:t>
      </w:r>
      <w:r w:rsidRPr="003A04CD">
        <w:rPr>
          <w:rFonts w:cs="Calibri"/>
          <w:szCs w:val="22"/>
          <w:vertAlign w:val="superscript"/>
        </w:rPr>
        <w:t>-1</w:t>
      </w:r>
      <w:r w:rsidRPr="003A04CD">
        <w:rPr>
          <w:rFonts w:cs="Calibri"/>
          <w:szCs w:val="22"/>
        </w:rPr>
        <w:t>) was only one third that of the highest loading achieved for the structured mesoporous silica materials</w:t>
      </w:r>
      <w:r w:rsidR="009B1062">
        <w:rPr>
          <w:rFonts w:cs="Calibri"/>
          <w:szCs w:val="22"/>
        </w:rPr>
        <w:t xml:space="preserve"> (Supporting information Table S1)</w:t>
      </w:r>
      <w:r w:rsidRPr="003A04CD">
        <w:rPr>
          <w:rFonts w:cs="Calibri"/>
          <w:szCs w:val="22"/>
        </w:rPr>
        <w:t>. The lower loading capacity is most likely a result of the disordered nature of the amorphous pores in SA.</w:t>
      </w:r>
    </w:p>
    <w:p w:rsidR="002B2BB0" w:rsidRDefault="002B2BB0" w:rsidP="00084A4A">
      <w:pPr>
        <w:pStyle w:val="P1withIndendation"/>
        <w:rPr>
          <w:rFonts w:cs="Calibri"/>
          <w:color w:val="FF0000"/>
          <w:szCs w:val="22"/>
        </w:rPr>
      </w:pPr>
      <w:r w:rsidRPr="002B2BB0">
        <w:rPr>
          <w:rFonts w:cs="Calibri"/>
          <w:color w:val="FF0000"/>
          <w:szCs w:val="22"/>
        </w:rPr>
        <w:t>SBA-15-10 and SBA-15-10-</w:t>
      </w:r>
      <w:r w:rsidRPr="002B2BB0">
        <w:rPr>
          <w:rFonts w:cs="Calibri"/>
          <w:b/>
          <w:color w:val="FF0000"/>
          <w:szCs w:val="22"/>
        </w:rPr>
        <w:t>7</w:t>
      </w:r>
      <w:r w:rsidRPr="002B2BB0">
        <w:rPr>
          <w:rFonts w:cs="Calibri"/>
          <w:color w:val="FF0000"/>
          <w:szCs w:val="22"/>
        </w:rPr>
        <w:t xml:space="preserve"> were also analysed by </w:t>
      </w:r>
      <w:r w:rsidR="002D42B8" w:rsidRPr="002B2BB0">
        <w:rPr>
          <w:rFonts w:cs="Calibri"/>
          <w:color w:val="FF0000"/>
          <w:szCs w:val="22"/>
        </w:rPr>
        <w:t>solid-state</w:t>
      </w:r>
      <w:r w:rsidRPr="002B2BB0">
        <w:rPr>
          <w:rFonts w:cs="Calibri"/>
          <w:color w:val="FF0000"/>
          <w:szCs w:val="22"/>
        </w:rPr>
        <w:t xml:space="preserve"> </w:t>
      </w:r>
      <w:r w:rsidRPr="002B2BB0">
        <w:rPr>
          <w:rFonts w:cs="Calibri"/>
          <w:color w:val="FF0000"/>
          <w:szCs w:val="22"/>
          <w:vertAlign w:val="superscript"/>
        </w:rPr>
        <w:t>29</w:t>
      </w:r>
      <w:r w:rsidRPr="002B2BB0">
        <w:rPr>
          <w:rFonts w:cs="Calibri"/>
          <w:color w:val="FF0000"/>
          <w:szCs w:val="22"/>
        </w:rPr>
        <w:t xml:space="preserve">Si NMR and, for </w:t>
      </w:r>
      <w:r w:rsidRPr="002B2BB0">
        <w:rPr>
          <w:rFonts w:cs="Calibri"/>
          <w:color w:val="FF0000"/>
          <w:szCs w:val="22"/>
        </w:rPr>
        <w:t>SBA-15-10-</w:t>
      </w:r>
      <w:r w:rsidRPr="002B2BB0">
        <w:rPr>
          <w:rFonts w:cs="Calibri"/>
          <w:b/>
          <w:color w:val="FF0000"/>
          <w:szCs w:val="22"/>
        </w:rPr>
        <w:t>7</w:t>
      </w:r>
      <w:r w:rsidRPr="002B2BB0">
        <w:rPr>
          <w:rFonts w:cs="Calibri"/>
          <w:color w:val="FF0000"/>
          <w:szCs w:val="22"/>
        </w:rPr>
        <w:t xml:space="preserve">, </w:t>
      </w:r>
      <w:r w:rsidR="002D42B8" w:rsidRPr="002B2BB0">
        <w:rPr>
          <w:rFonts w:cs="Calibri"/>
          <w:color w:val="FF0000"/>
          <w:szCs w:val="22"/>
        </w:rPr>
        <w:t>solid-state</w:t>
      </w:r>
      <w:r w:rsidRPr="002B2BB0">
        <w:rPr>
          <w:rFonts w:cs="Calibri"/>
          <w:color w:val="FF0000"/>
          <w:szCs w:val="22"/>
        </w:rPr>
        <w:t xml:space="preserve"> </w:t>
      </w:r>
      <w:r w:rsidRPr="002B2BB0">
        <w:rPr>
          <w:rFonts w:cs="Calibri"/>
          <w:color w:val="FF0000"/>
          <w:szCs w:val="22"/>
          <w:vertAlign w:val="superscript"/>
        </w:rPr>
        <w:t>13</w:t>
      </w:r>
      <w:r w:rsidRPr="002B2BB0">
        <w:rPr>
          <w:rFonts w:cs="Calibri"/>
          <w:color w:val="FF0000"/>
          <w:szCs w:val="22"/>
        </w:rPr>
        <w:t xml:space="preserve">C NMR spectroscopy. The </w:t>
      </w:r>
      <w:r w:rsidRPr="002B2BB0">
        <w:rPr>
          <w:rFonts w:cs="Calibri"/>
          <w:color w:val="FF0000"/>
          <w:szCs w:val="22"/>
          <w:vertAlign w:val="superscript"/>
        </w:rPr>
        <w:t>29</w:t>
      </w:r>
      <w:r w:rsidRPr="002B2BB0">
        <w:rPr>
          <w:rFonts w:cs="Calibri"/>
          <w:color w:val="FF0000"/>
          <w:szCs w:val="22"/>
        </w:rPr>
        <w:t xml:space="preserve">Si spectrum of </w:t>
      </w:r>
      <w:r w:rsidRPr="002B2BB0">
        <w:rPr>
          <w:rFonts w:cs="Calibri"/>
          <w:color w:val="FF0000"/>
          <w:szCs w:val="22"/>
        </w:rPr>
        <w:t>SBA-15-10</w:t>
      </w:r>
      <w:r w:rsidRPr="002B2BB0">
        <w:rPr>
          <w:rFonts w:cs="Calibri"/>
          <w:color w:val="FF0000"/>
          <w:szCs w:val="22"/>
        </w:rPr>
        <w:t xml:space="preserve"> (Supporting information Figure S13)</w:t>
      </w:r>
      <w:r>
        <w:rPr>
          <w:rFonts w:cs="Calibri"/>
          <w:color w:val="FF0000"/>
          <w:szCs w:val="22"/>
        </w:rPr>
        <w:t xml:space="preserve"> showed the expected peaks</w:t>
      </w:r>
      <w:r w:rsidR="00C12339">
        <w:rPr>
          <w:rFonts w:cs="Calibri"/>
          <w:color w:val="FF0000"/>
          <w:szCs w:val="22"/>
        </w:rPr>
        <w:t xml:space="preserve"> corresponding to </w:t>
      </w:r>
      <w:r w:rsidR="00C12339" w:rsidRPr="00C12339">
        <w:rPr>
          <w:rFonts w:cs="Calibri"/>
          <w:b/>
          <w:color w:val="FF0000"/>
          <w:szCs w:val="22"/>
        </w:rPr>
        <w:t>Si</w:t>
      </w:r>
      <w:r w:rsidR="00C12339">
        <w:rPr>
          <w:rFonts w:cs="Calibri"/>
          <w:color w:val="FF0000"/>
          <w:szCs w:val="22"/>
        </w:rPr>
        <w:t>(OSi)</w:t>
      </w:r>
      <w:r w:rsidR="00C12339" w:rsidRPr="00C12339">
        <w:rPr>
          <w:rFonts w:cs="Calibri"/>
          <w:color w:val="FF0000"/>
          <w:szCs w:val="22"/>
          <w:vertAlign w:val="subscript"/>
        </w:rPr>
        <w:t>4</w:t>
      </w:r>
      <w:r w:rsidR="00C12339">
        <w:rPr>
          <w:rFonts w:cs="Calibri"/>
          <w:color w:val="FF0000"/>
          <w:szCs w:val="22"/>
        </w:rPr>
        <w:t xml:space="preserve"> </w:t>
      </w:r>
      <w:r w:rsidR="00C12339">
        <w:rPr>
          <w:rFonts w:cs="Calibri"/>
          <w:color w:val="FF0000"/>
          <w:szCs w:val="22"/>
        </w:rPr>
        <w:lastRenderedPageBreak/>
        <w:t>units at -1</w:t>
      </w:r>
      <w:r w:rsidR="00084A4A">
        <w:rPr>
          <w:rFonts w:cs="Calibri"/>
          <w:color w:val="FF0000"/>
          <w:szCs w:val="22"/>
        </w:rPr>
        <w:t>10</w:t>
      </w:r>
      <w:r w:rsidR="00C12339">
        <w:rPr>
          <w:rFonts w:cs="Calibri"/>
          <w:color w:val="FF0000"/>
          <w:szCs w:val="22"/>
        </w:rPr>
        <w:t xml:space="preserve"> ppm, </w:t>
      </w:r>
      <w:r w:rsidR="00C12339" w:rsidRPr="00C12339">
        <w:rPr>
          <w:rFonts w:cs="Calibri"/>
          <w:b/>
          <w:color w:val="FF0000"/>
          <w:szCs w:val="22"/>
        </w:rPr>
        <w:t>Si</w:t>
      </w:r>
      <w:r w:rsidR="00C12339">
        <w:rPr>
          <w:rFonts w:cs="Calibri"/>
          <w:color w:val="FF0000"/>
          <w:szCs w:val="22"/>
        </w:rPr>
        <w:t>(OH)(OSi)</w:t>
      </w:r>
      <w:r w:rsidR="00C12339" w:rsidRPr="00C12339">
        <w:rPr>
          <w:rFonts w:cs="Calibri"/>
          <w:color w:val="FF0000"/>
          <w:szCs w:val="22"/>
          <w:vertAlign w:val="subscript"/>
        </w:rPr>
        <w:t>3</w:t>
      </w:r>
      <w:r w:rsidR="00C12339">
        <w:rPr>
          <w:rFonts w:cs="Calibri"/>
          <w:color w:val="FF0000"/>
          <w:szCs w:val="22"/>
        </w:rPr>
        <w:t xml:space="preserve"> units at -100 ppm and </w:t>
      </w:r>
      <w:r w:rsidR="00C12339" w:rsidRPr="00C12339">
        <w:rPr>
          <w:rFonts w:cs="Calibri"/>
          <w:b/>
          <w:color w:val="FF0000"/>
          <w:szCs w:val="22"/>
        </w:rPr>
        <w:t>Si</w:t>
      </w:r>
      <w:r w:rsidR="00C12339">
        <w:rPr>
          <w:rFonts w:cs="Calibri"/>
          <w:color w:val="FF0000"/>
          <w:szCs w:val="22"/>
        </w:rPr>
        <w:t>(OH)</w:t>
      </w:r>
      <w:r w:rsidR="00C12339">
        <w:rPr>
          <w:rFonts w:cs="Calibri"/>
          <w:color w:val="FF0000"/>
          <w:szCs w:val="22"/>
          <w:vertAlign w:val="subscript"/>
        </w:rPr>
        <w:t>2</w:t>
      </w:r>
      <w:r w:rsidR="00C12339">
        <w:rPr>
          <w:rFonts w:cs="Calibri"/>
          <w:color w:val="FF0000"/>
          <w:szCs w:val="22"/>
        </w:rPr>
        <w:t>(OSi)</w:t>
      </w:r>
      <w:r w:rsidR="00C12339">
        <w:rPr>
          <w:rFonts w:cs="Calibri"/>
          <w:color w:val="FF0000"/>
          <w:szCs w:val="22"/>
          <w:vertAlign w:val="subscript"/>
        </w:rPr>
        <w:t>2</w:t>
      </w:r>
      <w:r w:rsidR="00C12339">
        <w:rPr>
          <w:rFonts w:cs="Calibri"/>
          <w:color w:val="FF0000"/>
          <w:szCs w:val="22"/>
        </w:rPr>
        <w:t xml:space="preserve"> units at -90 ppm.</w:t>
      </w:r>
      <w:r w:rsidR="00C12339">
        <w:rPr>
          <w:rFonts w:cs="Calibri"/>
          <w:color w:val="FF0000"/>
          <w:szCs w:val="22"/>
          <w:vertAlign w:val="superscript"/>
        </w:rPr>
        <w:t>[41]</w:t>
      </w:r>
      <w:r w:rsidR="009F4BE0">
        <w:rPr>
          <w:rFonts w:cs="Calibri"/>
          <w:color w:val="FF0000"/>
          <w:szCs w:val="22"/>
        </w:rPr>
        <w:t xml:space="preserve"> </w:t>
      </w:r>
      <w:r w:rsidR="00084A4A">
        <w:rPr>
          <w:rFonts w:cs="Calibri"/>
          <w:color w:val="FF0000"/>
          <w:szCs w:val="22"/>
        </w:rPr>
        <w:t xml:space="preserve">After attachment of the aluminium(salen) complex to give </w:t>
      </w:r>
      <w:r w:rsidR="00084A4A" w:rsidRPr="002B2BB0">
        <w:rPr>
          <w:rFonts w:cs="Calibri"/>
          <w:color w:val="FF0000"/>
          <w:szCs w:val="22"/>
        </w:rPr>
        <w:t>SBA-15-10-</w:t>
      </w:r>
      <w:r w:rsidR="00084A4A" w:rsidRPr="002B2BB0">
        <w:rPr>
          <w:rFonts w:cs="Calibri"/>
          <w:b/>
          <w:color w:val="FF0000"/>
          <w:szCs w:val="22"/>
        </w:rPr>
        <w:t>7</w:t>
      </w:r>
      <w:r w:rsidR="00084A4A">
        <w:rPr>
          <w:rFonts w:cs="Calibri"/>
          <w:color w:val="FF0000"/>
          <w:szCs w:val="22"/>
        </w:rPr>
        <w:t xml:space="preserve">, the spectrum underwent substantial changes </w:t>
      </w:r>
      <w:r w:rsidR="00084A4A" w:rsidRPr="002B2BB0">
        <w:rPr>
          <w:rFonts w:cs="Calibri"/>
          <w:color w:val="FF0000"/>
          <w:szCs w:val="22"/>
        </w:rPr>
        <w:t>(Supporting information Figure S1</w:t>
      </w:r>
      <w:r w:rsidR="00084A4A">
        <w:rPr>
          <w:rFonts w:cs="Calibri"/>
          <w:color w:val="FF0000"/>
          <w:szCs w:val="22"/>
        </w:rPr>
        <w:t>4</w:t>
      </w:r>
      <w:r w:rsidR="00084A4A" w:rsidRPr="002B2BB0">
        <w:rPr>
          <w:rFonts w:cs="Calibri"/>
          <w:color w:val="FF0000"/>
          <w:szCs w:val="22"/>
        </w:rPr>
        <w:t>)</w:t>
      </w:r>
      <w:r w:rsidR="00084A4A">
        <w:rPr>
          <w:rFonts w:cs="Calibri"/>
          <w:color w:val="FF0000"/>
          <w:szCs w:val="22"/>
        </w:rPr>
        <w:t xml:space="preserve">. The peak at -90 ppm corresponding to </w:t>
      </w:r>
      <w:r w:rsidR="00084A4A" w:rsidRPr="00C12339">
        <w:rPr>
          <w:rFonts w:cs="Calibri"/>
          <w:b/>
          <w:color w:val="FF0000"/>
          <w:szCs w:val="22"/>
        </w:rPr>
        <w:t>Si</w:t>
      </w:r>
      <w:r w:rsidR="00084A4A">
        <w:rPr>
          <w:rFonts w:cs="Calibri"/>
          <w:color w:val="FF0000"/>
          <w:szCs w:val="22"/>
        </w:rPr>
        <w:t>(OH)</w:t>
      </w:r>
      <w:r w:rsidR="00084A4A">
        <w:rPr>
          <w:rFonts w:cs="Calibri"/>
          <w:color w:val="FF0000"/>
          <w:szCs w:val="22"/>
          <w:vertAlign w:val="subscript"/>
        </w:rPr>
        <w:t>2</w:t>
      </w:r>
      <w:r w:rsidR="00084A4A">
        <w:rPr>
          <w:rFonts w:cs="Calibri"/>
          <w:color w:val="FF0000"/>
          <w:szCs w:val="22"/>
        </w:rPr>
        <w:t>(OSi)</w:t>
      </w:r>
      <w:r w:rsidR="00084A4A">
        <w:rPr>
          <w:rFonts w:cs="Calibri"/>
          <w:color w:val="FF0000"/>
          <w:szCs w:val="22"/>
          <w:vertAlign w:val="subscript"/>
        </w:rPr>
        <w:t>2</w:t>
      </w:r>
      <w:r w:rsidR="00084A4A">
        <w:rPr>
          <w:rFonts w:cs="Calibri"/>
          <w:color w:val="FF0000"/>
          <w:szCs w:val="22"/>
        </w:rPr>
        <w:t xml:space="preserve"> units</w:t>
      </w:r>
      <w:r w:rsidR="00084A4A">
        <w:rPr>
          <w:rFonts w:cs="Calibri"/>
          <w:color w:val="FF0000"/>
          <w:szCs w:val="22"/>
        </w:rPr>
        <w:t xml:space="preserve"> completely disappeared and the peak at -110 ppm </w:t>
      </w:r>
      <w:r w:rsidR="00084A4A">
        <w:rPr>
          <w:rFonts w:cs="Calibri"/>
          <w:color w:val="FF0000"/>
          <w:szCs w:val="22"/>
        </w:rPr>
        <w:t xml:space="preserve">corresponding to </w:t>
      </w:r>
      <w:r w:rsidR="00084A4A" w:rsidRPr="00C12339">
        <w:rPr>
          <w:rFonts w:cs="Calibri"/>
          <w:b/>
          <w:color w:val="FF0000"/>
          <w:szCs w:val="22"/>
        </w:rPr>
        <w:t>Si</w:t>
      </w:r>
      <w:r w:rsidR="00084A4A">
        <w:rPr>
          <w:rFonts w:cs="Calibri"/>
          <w:color w:val="FF0000"/>
          <w:szCs w:val="22"/>
        </w:rPr>
        <w:t>(OSi)</w:t>
      </w:r>
      <w:r w:rsidR="00084A4A" w:rsidRPr="00C12339">
        <w:rPr>
          <w:rFonts w:cs="Calibri"/>
          <w:color w:val="FF0000"/>
          <w:szCs w:val="22"/>
          <w:vertAlign w:val="subscript"/>
        </w:rPr>
        <w:t>4</w:t>
      </w:r>
      <w:r w:rsidR="00084A4A">
        <w:rPr>
          <w:rFonts w:cs="Calibri"/>
          <w:color w:val="FF0000"/>
          <w:szCs w:val="22"/>
        </w:rPr>
        <w:t xml:space="preserve"> units substantially increased in intensity relative to the peak at -100 ppm. In addition, two new peaks appeared at -65 ppm and -57 ppm which can be assigned to </w:t>
      </w:r>
      <w:r w:rsidR="00A22B1C">
        <w:rPr>
          <w:rFonts w:cs="Calibri"/>
          <w:color w:val="FF0000"/>
          <w:szCs w:val="22"/>
        </w:rPr>
        <w:t>C</w:t>
      </w:r>
      <w:r w:rsidR="00A22B1C" w:rsidRPr="00A22B1C">
        <w:rPr>
          <w:rFonts w:cs="Calibri"/>
          <w:b/>
          <w:color w:val="FF0000"/>
          <w:szCs w:val="22"/>
        </w:rPr>
        <w:t>Si</w:t>
      </w:r>
      <w:r w:rsidR="00A22B1C">
        <w:rPr>
          <w:rFonts w:cs="Calibri"/>
          <w:color w:val="FF0000"/>
          <w:szCs w:val="22"/>
        </w:rPr>
        <w:t>(OSi)</w:t>
      </w:r>
      <w:r w:rsidR="00A22B1C" w:rsidRPr="00A22B1C">
        <w:rPr>
          <w:rFonts w:cs="Calibri"/>
          <w:color w:val="FF0000"/>
          <w:szCs w:val="22"/>
          <w:vertAlign w:val="subscript"/>
        </w:rPr>
        <w:t>3</w:t>
      </w:r>
      <w:r w:rsidR="00A22B1C">
        <w:rPr>
          <w:rFonts w:cs="Calibri"/>
          <w:color w:val="FF0000"/>
          <w:szCs w:val="22"/>
        </w:rPr>
        <w:t xml:space="preserve"> and </w:t>
      </w:r>
      <w:r w:rsidR="00A22B1C">
        <w:rPr>
          <w:rFonts w:cs="Calibri"/>
          <w:color w:val="FF0000"/>
          <w:szCs w:val="22"/>
        </w:rPr>
        <w:t>C</w:t>
      </w:r>
      <w:r w:rsidR="00A22B1C" w:rsidRPr="00A22B1C">
        <w:rPr>
          <w:rFonts w:cs="Calibri"/>
          <w:b/>
          <w:color w:val="FF0000"/>
          <w:szCs w:val="22"/>
        </w:rPr>
        <w:t>Si</w:t>
      </w:r>
      <w:r w:rsidR="00A22B1C">
        <w:rPr>
          <w:rFonts w:cs="Calibri"/>
          <w:color w:val="FF0000"/>
          <w:szCs w:val="22"/>
        </w:rPr>
        <w:t>(O</w:t>
      </w:r>
      <w:r w:rsidR="00A22B1C" w:rsidRPr="00A22B1C">
        <w:rPr>
          <w:rFonts w:cs="Calibri"/>
          <w:color w:val="FF0000"/>
          <w:szCs w:val="22"/>
          <w:vertAlign w:val="subscript"/>
        </w:rPr>
        <w:t>2</w:t>
      </w:r>
      <w:r w:rsidR="00A22B1C">
        <w:rPr>
          <w:rFonts w:cs="Calibri"/>
          <w:color w:val="FF0000"/>
          <w:szCs w:val="22"/>
        </w:rPr>
        <w:t>Si</w:t>
      </w:r>
      <w:r w:rsidR="00A22B1C">
        <w:rPr>
          <w:rFonts w:cs="Calibri"/>
          <w:color w:val="FF0000"/>
          <w:szCs w:val="22"/>
        </w:rPr>
        <w:t>)(OSi) units respectively.</w:t>
      </w:r>
      <w:r w:rsidR="00A22B1C">
        <w:rPr>
          <w:rFonts w:cs="Calibri"/>
          <w:color w:val="FF0000"/>
          <w:szCs w:val="22"/>
          <w:vertAlign w:val="superscript"/>
        </w:rPr>
        <w:t>[42]</w:t>
      </w:r>
      <w:r w:rsidR="00A22B1C">
        <w:rPr>
          <w:rFonts w:cs="Calibri"/>
          <w:color w:val="FF0000"/>
          <w:szCs w:val="22"/>
        </w:rPr>
        <w:t xml:space="preserve"> This data clearly indicates the successful attachment of the linker to the silicon support.</w:t>
      </w:r>
    </w:p>
    <w:p w:rsidR="008825A7" w:rsidRDefault="008825A7" w:rsidP="00084A4A">
      <w:pPr>
        <w:pStyle w:val="P1withIndendation"/>
        <w:rPr>
          <w:rFonts w:cs="Calibri"/>
          <w:color w:val="FF0000"/>
          <w:szCs w:val="22"/>
        </w:rPr>
      </w:pPr>
      <w:r>
        <w:rPr>
          <w:rFonts w:cs="Calibri"/>
          <w:color w:val="FF0000"/>
          <w:szCs w:val="22"/>
        </w:rPr>
        <w:t xml:space="preserve">Based on the amounts of mesoporous silicon and CPTES used (see experimental section), the maximum </w:t>
      </w:r>
      <w:r w:rsidR="00FD1510">
        <w:rPr>
          <w:rFonts w:cs="Calibri"/>
          <w:color w:val="FF0000"/>
          <w:szCs w:val="22"/>
        </w:rPr>
        <w:t xml:space="preserve">catalyst loading achievable corresponds to one in every ten silicon atoms of the mesoporous support supporting a catalyst unit. </w:t>
      </w:r>
      <w:r w:rsidR="00FD1510">
        <w:rPr>
          <w:rFonts w:cs="Calibri"/>
          <w:color w:val="FF0000"/>
          <w:szCs w:val="22"/>
        </w:rPr>
        <w:t xml:space="preserve">This corresponds to an average 20 atom gap between functionalised silicon atoms. </w:t>
      </w:r>
      <w:r w:rsidR="00FD1510">
        <w:rPr>
          <w:rFonts w:cs="Calibri"/>
          <w:color w:val="FF0000"/>
          <w:szCs w:val="22"/>
        </w:rPr>
        <w:t xml:space="preserve">The </w:t>
      </w:r>
      <w:r w:rsidR="00FD1510" w:rsidRPr="00FD1510">
        <w:rPr>
          <w:rFonts w:cs="Calibri"/>
          <w:color w:val="FF0000"/>
          <w:szCs w:val="22"/>
          <w:vertAlign w:val="superscript"/>
        </w:rPr>
        <w:t>29</w:t>
      </w:r>
      <w:r w:rsidR="00FD1510">
        <w:rPr>
          <w:rFonts w:cs="Calibri"/>
          <w:color w:val="FF0000"/>
          <w:szCs w:val="22"/>
        </w:rPr>
        <w:t xml:space="preserve">Si peak intensities in Figure S14 are consistent with this analysis. In structure </w:t>
      </w:r>
      <w:r w:rsidR="00FD1510">
        <w:rPr>
          <w:rFonts w:cs="Calibri"/>
          <w:b/>
          <w:color w:val="FF0000"/>
          <w:szCs w:val="22"/>
        </w:rPr>
        <w:t>6</w:t>
      </w:r>
      <w:r w:rsidR="00FD1510">
        <w:rPr>
          <w:rFonts w:cs="Calibri"/>
          <w:color w:val="FF0000"/>
          <w:szCs w:val="22"/>
        </w:rPr>
        <w:t xml:space="preserve">, the shortest distance between two amino groups is 15 atoms and taking the propylsilyl linkers into account this gives a </w:t>
      </w:r>
      <w:r w:rsidR="002D42B8">
        <w:rPr>
          <w:rFonts w:cs="Calibri"/>
          <w:color w:val="FF0000"/>
          <w:szCs w:val="22"/>
        </w:rPr>
        <w:t xml:space="preserve">minimum of 23 atoms available to bridge between two functionalised sites on the mesoporous support. Thus, it is possible for catalyst units </w:t>
      </w:r>
      <w:r w:rsidR="002D42B8">
        <w:rPr>
          <w:rFonts w:cs="Calibri"/>
          <w:b/>
          <w:color w:val="FF0000"/>
          <w:szCs w:val="22"/>
        </w:rPr>
        <w:t>6</w:t>
      </w:r>
      <w:r w:rsidR="002D42B8">
        <w:rPr>
          <w:rFonts w:cs="Calibri"/>
          <w:color w:val="FF0000"/>
          <w:szCs w:val="22"/>
        </w:rPr>
        <w:t xml:space="preserve"> to be multiply attached to the silica support (Scheme 2).</w:t>
      </w:r>
    </w:p>
    <w:p w:rsidR="002D42B8" w:rsidRDefault="002D42B8" w:rsidP="00084A4A">
      <w:pPr>
        <w:pStyle w:val="P1withIndendation"/>
        <w:rPr>
          <w:rFonts w:cs="Calibri"/>
          <w:color w:val="FF0000"/>
          <w:szCs w:val="22"/>
        </w:rPr>
      </w:pPr>
      <w:r>
        <w:rPr>
          <w:rFonts w:cs="Calibri"/>
          <w:color w:val="FF0000"/>
          <w:szCs w:val="22"/>
        </w:rPr>
        <w:t xml:space="preserve">To obtain more information on the nature of immobilised catalyst </w:t>
      </w:r>
      <w:r>
        <w:rPr>
          <w:rFonts w:cs="Calibri"/>
          <w:b/>
          <w:color w:val="FF0000"/>
          <w:szCs w:val="22"/>
        </w:rPr>
        <w:t>7</w:t>
      </w:r>
      <w:r>
        <w:rPr>
          <w:rFonts w:cs="Calibri"/>
          <w:color w:val="FF0000"/>
          <w:szCs w:val="22"/>
        </w:rPr>
        <w:t xml:space="preserve">, </w:t>
      </w:r>
      <w:r w:rsidRPr="002B2BB0">
        <w:rPr>
          <w:rFonts w:cs="Calibri"/>
          <w:color w:val="FF0000"/>
          <w:szCs w:val="22"/>
        </w:rPr>
        <w:t>SBA-15-10-</w:t>
      </w:r>
      <w:r w:rsidRPr="002B2BB0">
        <w:rPr>
          <w:rFonts w:cs="Calibri"/>
          <w:b/>
          <w:color w:val="FF0000"/>
          <w:szCs w:val="22"/>
        </w:rPr>
        <w:t>7</w:t>
      </w:r>
      <w:r>
        <w:rPr>
          <w:rFonts w:cs="Calibri"/>
          <w:color w:val="FF0000"/>
          <w:szCs w:val="22"/>
        </w:rPr>
        <w:t xml:space="preserve"> was analysed by solid-state </w:t>
      </w:r>
      <w:r w:rsidRPr="002D42B8">
        <w:rPr>
          <w:rFonts w:cs="Calibri"/>
          <w:color w:val="FF0000"/>
          <w:szCs w:val="22"/>
          <w:vertAlign w:val="superscript"/>
        </w:rPr>
        <w:t>13</w:t>
      </w:r>
      <w:r>
        <w:rPr>
          <w:rFonts w:cs="Calibri"/>
          <w:color w:val="FF0000"/>
          <w:szCs w:val="22"/>
        </w:rPr>
        <w:t xml:space="preserve">C NMR spectroscopy </w:t>
      </w:r>
      <w:r w:rsidRPr="002B2BB0">
        <w:rPr>
          <w:rFonts w:cs="Calibri"/>
          <w:color w:val="FF0000"/>
          <w:szCs w:val="22"/>
        </w:rPr>
        <w:t>(Supporting information Figure S1</w:t>
      </w:r>
      <w:r>
        <w:rPr>
          <w:rFonts w:cs="Calibri"/>
          <w:color w:val="FF0000"/>
          <w:szCs w:val="22"/>
        </w:rPr>
        <w:t>5</w:t>
      </w:r>
      <w:r w:rsidRPr="002B2BB0">
        <w:rPr>
          <w:rFonts w:cs="Calibri"/>
          <w:color w:val="FF0000"/>
          <w:szCs w:val="22"/>
        </w:rPr>
        <w:t>)</w:t>
      </w:r>
      <w:r>
        <w:rPr>
          <w:rFonts w:cs="Calibri"/>
          <w:color w:val="FF0000"/>
          <w:szCs w:val="22"/>
        </w:rPr>
        <w:t>. This spectrum showed that the catalyst structure was intact with peaks corresponding to carbon atoms with aromatic rings, in tertiary butyl groups, in ethyl groups and adjacent to nitrogen atoms all clearly present. No peaks assignable to the linker units were visible</w:t>
      </w:r>
      <w:r w:rsidR="00F5406C">
        <w:rPr>
          <w:rFonts w:cs="Calibri"/>
          <w:color w:val="FF0000"/>
          <w:szCs w:val="22"/>
        </w:rPr>
        <w:t xml:space="preserve"> however</w:t>
      </w:r>
      <w:r>
        <w:rPr>
          <w:rFonts w:cs="Calibri"/>
          <w:color w:val="FF0000"/>
          <w:szCs w:val="22"/>
        </w:rPr>
        <w:t>.</w:t>
      </w:r>
    </w:p>
    <w:p w:rsidR="00F5406C" w:rsidRPr="001F38DA" w:rsidRDefault="00F5406C" w:rsidP="00F5406C">
      <w:pPr>
        <w:spacing w:before="360"/>
        <w:jc w:val="center"/>
        <w:rPr>
          <w:color w:val="FF0000"/>
          <w:sz w:val="18"/>
          <w:szCs w:val="20"/>
          <w:lang w:val="en-GB"/>
        </w:rPr>
      </w:pPr>
      <w:r>
        <w:object w:dxaOrig="4385" w:dyaOrig="2192">
          <v:shape id="_x0000_i1036" type="#_x0000_t75" style="width:164.8pt;height:82pt" o:ole="">
            <v:imagedata r:id="rId18" o:title=""/>
          </v:shape>
          <o:OLEObject Type="Embed" ProgID="ChemDraw.Document.6.0" ShapeID="_x0000_i1036" DrawAspect="Content" ObjectID="_1601902982" r:id="rId19"/>
        </w:object>
      </w:r>
    </w:p>
    <w:p w:rsidR="00F5406C" w:rsidRPr="00CB052B" w:rsidRDefault="00F5406C" w:rsidP="00F5406C">
      <w:pPr>
        <w:pStyle w:val="SchemeCaption"/>
        <w:spacing w:before="120"/>
      </w:pPr>
      <w:r>
        <w:rPr>
          <w:b/>
        </w:rPr>
        <w:t>Scheme</w:t>
      </w:r>
      <w:r w:rsidRPr="005702B8">
        <w:rPr>
          <w:b/>
        </w:rPr>
        <w:t xml:space="preserve"> </w:t>
      </w:r>
      <w:r>
        <w:rPr>
          <w:b/>
        </w:rPr>
        <w:t>3.</w:t>
      </w:r>
      <w:r>
        <w:t xml:space="preserve"> </w:t>
      </w:r>
      <w:r w:rsidRPr="00FE39A8">
        <w:t>Conversion of glycidol and its derivatives (</w:t>
      </w:r>
      <w:r w:rsidRPr="00FE39A8">
        <w:rPr>
          <w:b/>
        </w:rPr>
        <w:t>1b</w:t>
      </w:r>
      <w:r w:rsidRPr="00FE39A8">
        <w:t>-</w:t>
      </w:r>
      <w:r w:rsidRPr="00FE39A8">
        <w:rPr>
          <w:b/>
        </w:rPr>
        <w:t>f</w:t>
      </w:r>
      <w:r w:rsidRPr="00FE39A8">
        <w:t>) into the corresponding cyclic carbonates (</w:t>
      </w:r>
      <w:r w:rsidRPr="00FE39A8">
        <w:rPr>
          <w:b/>
        </w:rPr>
        <w:t>2b</w:t>
      </w:r>
      <w:r w:rsidRPr="00FE39A8">
        <w:t>-</w:t>
      </w:r>
      <w:r w:rsidRPr="00FE39A8">
        <w:rPr>
          <w:b/>
        </w:rPr>
        <w:t>f</w:t>
      </w:r>
      <w:r w:rsidRPr="00FE39A8">
        <w:t>)</w:t>
      </w:r>
      <w:r>
        <w:t>.</w:t>
      </w:r>
    </w:p>
    <w:p w:rsidR="00CF77CB" w:rsidRPr="00CF77CB" w:rsidRDefault="00CF77CB" w:rsidP="00C03501">
      <w:pPr>
        <w:pStyle w:val="P1withIndendation"/>
        <w:rPr>
          <w:rFonts w:cs="Calibri"/>
          <w:szCs w:val="22"/>
        </w:rPr>
      </w:pPr>
      <w:r w:rsidRPr="00CF77CB">
        <w:rPr>
          <w:rFonts w:cs="Calibri"/>
          <w:szCs w:val="22"/>
        </w:rPr>
        <w:t xml:space="preserve">Each mesoporous silica-supported complex was tested as a catalyst for the conversion of various epoxides into their corresponding cyclic carbonates. Initially, glycidol and its derivatives </w:t>
      </w:r>
      <w:r w:rsidRPr="00CF77CB">
        <w:rPr>
          <w:rFonts w:cs="Calibri"/>
          <w:b/>
          <w:szCs w:val="22"/>
        </w:rPr>
        <w:t>1b-f</w:t>
      </w:r>
      <w:r w:rsidRPr="00CF77CB">
        <w:rPr>
          <w:rFonts w:cs="Calibri"/>
          <w:szCs w:val="22"/>
        </w:rPr>
        <w:t xml:space="preserve"> were used as substrates (Scheme 3). Using 0.25 mol% (of supported bimetallic aluminium-complex) of each catalyst under mild conditions (50 ˚C and 1 bar carbon dioxide pressure) for 24 h was found to give good conversions of epoxides </w:t>
      </w:r>
      <w:r w:rsidRPr="00CF77CB">
        <w:rPr>
          <w:rFonts w:cs="Calibri"/>
          <w:b/>
          <w:szCs w:val="22"/>
        </w:rPr>
        <w:t xml:space="preserve">1b-f </w:t>
      </w:r>
      <w:r w:rsidRPr="00CF77CB">
        <w:rPr>
          <w:rFonts w:cs="Calibri"/>
          <w:szCs w:val="22"/>
        </w:rPr>
        <w:t xml:space="preserve">into cyclic carbonates </w:t>
      </w:r>
      <w:r w:rsidRPr="00CF77CB">
        <w:rPr>
          <w:rFonts w:cs="Calibri"/>
          <w:b/>
          <w:szCs w:val="22"/>
        </w:rPr>
        <w:t xml:space="preserve">2b-f </w:t>
      </w:r>
      <w:r w:rsidRPr="00CF77CB">
        <w:rPr>
          <w:rFonts w:cs="Calibri"/>
          <w:szCs w:val="22"/>
        </w:rPr>
        <w:t xml:space="preserve">(Table 2) and enabled the catalytic performance of the silica supported complexes to be compared. These conditions ensured that the </w:t>
      </w:r>
      <w:r w:rsidRPr="00CF77CB">
        <w:rPr>
          <w:rFonts w:cs="Calibri"/>
          <w:szCs w:val="22"/>
        </w:rPr>
        <w:t>theoretical number of potentially available active sites within each reaction system would be the same and hence any variation in catalytic performance between the different supports would be a function of their pore morphologies, rather than their catalyst loadings.</w:t>
      </w:r>
    </w:p>
    <w:p w:rsidR="00CF77CB" w:rsidRPr="00C2552A" w:rsidRDefault="00CF77CB" w:rsidP="00CF77CB">
      <w:pPr>
        <w:pStyle w:val="TableCaption"/>
      </w:pPr>
      <w:r w:rsidRPr="00162883">
        <w:rPr>
          <w:b/>
        </w:rPr>
        <w:t>Ta</w:t>
      </w:r>
      <w:r>
        <w:rPr>
          <w:b/>
        </w:rPr>
        <w:t>ble</w:t>
      </w:r>
      <w:r w:rsidRPr="00162883">
        <w:rPr>
          <w:b/>
        </w:rPr>
        <w:t xml:space="preserve"> </w:t>
      </w:r>
      <w:r>
        <w:rPr>
          <w:b/>
        </w:rPr>
        <w:t>2.</w:t>
      </w:r>
      <w:r w:rsidRPr="00C2552A">
        <w:t xml:space="preserve"> </w:t>
      </w:r>
      <w:r w:rsidRPr="00FE39A8">
        <w:t xml:space="preserve">Conversion of glycidol and its derivatives  </w:t>
      </w:r>
      <w:r w:rsidRPr="00FE39A8">
        <w:rPr>
          <w:b/>
        </w:rPr>
        <w:t xml:space="preserve">1b-f </w:t>
      </w:r>
      <w:r w:rsidRPr="00FE39A8">
        <w:t xml:space="preserve">into cyclic carbonates </w:t>
      </w:r>
      <w:r w:rsidRPr="00FE39A8">
        <w:rPr>
          <w:b/>
        </w:rPr>
        <w:t xml:space="preserve">2b-f </w:t>
      </w:r>
      <w:r w:rsidRPr="00FE39A8">
        <w:t>using mesopor</w:t>
      </w:r>
      <w:r>
        <w:t>ous silica-supported catalysts.</w:t>
      </w:r>
    </w:p>
    <w:tbl>
      <w:tblPr>
        <w:tblW w:w="0" w:type="auto"/>
        <w:tblLook w:val="01E0" w:firstRow="1" w:lastRow="1" w:firstColumn="1" w:lastColumn="1" w:noHBand="0" w:noVBand="0"/>
      </w:tblPr>
      <w:tblGrid>
        <w:gridCol w:w="961"/>
        <w:gridCol w:w="835"/>
        <w:gridCol w:w="909"/>
        <w:gridCol w:w="954"/>
        <w:gridCol w:w="735"/>
        <w:gridCol w:w="584"/>
      </w:tblGrid>
      <w:tr w:rsidR="00CF77CB" w:rsidRPr="00BF31B4" w:rsidTr="00CF77CB">
        <w:tc>
          <w:tcPr>
            <w:tcW w:w="0" w:type="auto"/>
            <w:vMerge w:val="restart"/>
            <w:tcBorders>
              <w:top w:val="single" w:sz="4" w:space="0" w:color="000000"/>
            </w:tcBorders>
            <w:vAlign w:val="center"/>
          </w:tcPr>
          <w:p w:rsidR="00CF77CB" w:rsidRPr="00EA067A" w:rsidRDefault="00CF77CB" w:rsidP="00CF77CB">
            <w:pPr>
              <w:pStyle w:val="TableHead"/>
              <w:jc w:val="center"/>
            </w:pPr>
            <w:r>
              <w:t>Substrate</w:t>
            </w:r>
          </w:p>
        </w:tc>
        <w:tc>
          <w:tcPr>
            <w:tcW w:w="0" w:type="auto"/>
            <w:gridSpan w:val="5"/>
            <w:tcBorders>
              <w:top w:val="single" w:sz="4" w:space="0" w:color="000000"/>
            </w:tcBorders>
            <w:vAlign w:val="center"/>
          </w:tcPr>
          <w:p w:rsidR="00CF77CB" w:rsidRPr="00EA067A" w:rsidRDefault="00CF77CB" w:rsidP="00CF77CB">
            <w:pPr>
              <w:pStyle w:val="TableHead"/>
              <w:jc w:val="center"/>
            </w:pPr>
            <w:r>
              <w:t>Conversion (%)</w:t>
            </w:r>
            <w:r w:rsidRPr="00CF77CB">
              <w:rPr>
                <w:vertAlign w:val="superscript"/>
              </w:rPr>
              <w:t>a)</w:t>
            </w:r>
          </w:p>
        </w:tc>
      </w:tr>
      <w:tr w:rsidR="00CF77CB" w:rsidRPr="00BF31B4" w:rsidTr="00CF77CB">
        <w:tc>
          <w:tcPr>
            <w:tcW w:w="0" w:type="auto"/>
            <w:vMerge/>
            <w:tcBorders>
              <w:bottom w:val="single" w:sz="4" w:space="0" w:color="000000"/>
            </w:tcBorders>
          </w:tcPr>
          <w:p w:rsidR="00CF77CB" w:rsidRDefault="00CF77CB" w:rsidP="00CF77CB">
            <w:pPr>
              <w:pStyle w:val="TableHead"/>
            </w:pPr>
          </w:p>
        </w:tc>
        <w:tc>
          <w:tcPr>
            <w:tcW w:w="0" w:type="auto"/>
            <w:tcBorders>
              <w:bottom w:val="single" w:sz="4" w:space="0" w:color="000000"/>
            </w:tcBorders>
          </w:tcPr>
          <w:p w:rsidR="00CF77CB" w:rsidRPr="00CF77CB" w:rsidRDefault="00CF77CB" w:rsidP="00CF77CB">
            <w:pPr>
              <w:jc w:val="center"/>
              <w:rPr>
                <w:sz w:val="20"/>
                <w:szCs w:val="20"/>
              </w:rPr>
            </w:pPr>
            <w:r w:rsidRPr="00CF77CB">
              <w:rPr>
                <w:sz w:val="20"/>
                <w:szCs w:val="20"/>
              </w:rPr>
              <w:t>SBA-15</w:t>
            </w:r>
            <w:r w:rsidRPr="00CF77CB">
              <w:rPr>
                <w:b/>
                <w:sz w:val="20"/>
                <w:szCs w:val="20"/>
              </w:rPr>
              <w:t>-7</w:t>
            </w:r>
          </w:p>
        </w:tc>
        <w:tc>
          <w:tcPr>
            <w:tcW w:w="0" w:type="auto"/>
            <w:tcBorders>
              <w:bottom w:val="single" w:sz="4" w:space="0" w:color="000000"/>
            </w:tcBorders>
          </w:tcPr>
          <w:p w:rsidR="00CF77CB" w:rsidRPr="00CF77CB" w:rsidRDefault="00CF77CB" w:rsidP="00CF77CB">
            <w:pPr>
              <w:jc w:val="center"/>
              <w:rPr>
                <w:sz w:val="20"/>
                <w:szCs w:val="20"/>
              </w:rPr>
            </w:pPr>
            <w:r w:rsidRPr="00CF77CB">
              <w:rPr>
                <w:sz w:val="20"/>
                <w:szCs w:val="20"/>
              </w:rPr>
              <w:t>SBA-15-7</w:t>
            </w:r>
            <w:r w:rsidRPr="00CF77CB">
              <w:rPr>
                <w:b/>
                <w:sz w:val="20"/>
                <w:szCs w:val="20"/>
              </w:rPr>
              <w:t>-7</w:t>
            </w:r>
          </w:p>
        </w:tc>
        <w:tc>
          <w:tcPr>
            <w:tcW w:w="0" w:type="auto"/>
            <w:tcBorders>
              <w:bottom w:val="single" w:sz="4" w:space="0" w:color="000000"/>
            </w:tcBorders>
          </w:tcPr>
          <w:p w:rsidR="00CF77CB" w:rsidRPr="00CF77CB" w:rsidRDefault="00CF77CB" w:rsidP="00CF77CB">
            <w:pPr>
              <w:jc w:val="center"/>
              <w:rPr>
                <w:sz w:val="20"/>
                <w:szCs w:val="20"/>
              </w:rPr>
            </w:pPr>
            <w:r w:rsidRPr="00CF77CB">
              <w:rPr>
                <w:sz w:val="20"/>
                <w:szCs w:val="20"/>
              </w:rPr>
              <w:t>SBA-15-10</w:t>
            </w:r>
            <w:r w:rsidRPr="00CF77CB">
              <w:rPr>
                <w:b/>
                <w:sz w:val="20"/>
                <w:szCs w:val="20"/>
              </w:rPr>
              <w:t>-7</w:t>
            </w:r>
          </w:p>
        </w:tc>
        <w:tc>
          <w:tcPr>
            <w:tcW w:w="0" w:type="auto"/>
            <w:tcBorders>
              <w:bottom w:val="single" w:sz="4" w:space="0" w:color="000000"/>
            </w:tcBorders>
          </w:tcPr>
          <w:p w:rsidR="00CF77CB" w:rsidRPr="00CF77CB" w:rsidRDefault="00CF77CB" w:rsidP="00CF77CB">
            <w:pPr>
              <w:jc w:val="center"/>
              <w:rPr>
                <w:sz w:val="20"/>
                <w:szCs w:val="20"/>
              </w:rPr>
            </w:pPr>
            <w:r w:rsidRPr="00CF77CB">
              <w:rPr>
                <w:sz w:val="20"/>
                <w:szCs w:val="20"/>
              </w:rPr>
              <w:t>KIT-6</w:t>
            </w:r>
            <w:r w:rsidRPr="00CF77CB">
              <w:rPr>
                <w:b/>
                <w:sz w:val="20"/>
                <w:szCs w:val="20"/>
              </w:rPr>
              <w:t>-7</w:t>
            </w:r>
          </w:p>
        </w:tc>
        <w:tc>
          <w:tcPr>
            <w:tcW w:w="0" w:type="auto"/>
            <w:tcBorders>
              <w:bottom w:val="single" w:sz="4" w:space="0" w:color="000000"/>
            </w:tcBorders>
          </w:tcPr>
          <w:p w:rsidR="00CF77CB" w:rsidRPr="00CF77CB" w:rsidRDefault="00CF77CB" w:rsidP="00CF77CB">
            <w:pPr>
              <w:jc w:val="center"/>
              <w:rPr>
                <w:sz w:val="20"/>
                <w:szCs w:val="20"/>
              </w:rPr>
            </w:pPr>
            <w:r w:rsidRPr="00CF77CB">
              <w:rPr>
                <w:sz w:val="20"/>
                <w:szCs w:val="20"/>
              </w:rPr>
              <w:t>SA</w:t>
            </w:r>
            <w:r w:rsidRPr="00CF77CB">
              <w:rPr>
                <w:b/>
                <w:sz w:val="20"/>
                <w:szCs w:val="20"/>
              </w:rPr>
              <w:t>-7</w:t>
            </w:r>
          </w:p>
        </w:tc>
      </w:tr>
      <w:tr w:rsidR="00CF77CB" w:rsidRPr="00BF31B4" w:rsidTr="00CF77CB">
        <w:tc>
          <w:tcPr>
            <w:tcW w:w="0" w:type="auto"/>
            <w:tcBorders>
              <w:top w:val="single" w:sz="4" w:space="0" w:color="000000"/>
            </w:tcBorders>
          </w:tcPr>
          <w:p w:rsidR="00CF77CB" w:rsidRPr="00CF77CB" w:rsidRDefault="00CF77CB" w:rsidP="00CF77CB">
            <w:pPr>
              <w:pStyle w:val="TableBody"/>
              <w:rPr>
                <w:b/>
                <w:lang w:val="en-GB"/>
              </w:rPr>
            </w:pPr>
            <w:r>
              <w:rPr>
                <w:b/>
                <w:lang w:val="en-GB"/>
              </w:rPr>
              <w:t>1b</w:t>
            </w:r>
          </w:p>
        </w:tc>
        <w:tc>
          <w:tcPr>
            <w:tcW w:w="0" w:type="auto"/>
            <w:tcBorders>
              <w:top w:val="single" w:sz="4" w:space="0" w:color="000000"/>
            </w:tcBorders>
          </w:tcPr>
          <w:p w:rsidR="00CF77CB" w:rsidRPr="00CF77CB" w:rsidRDefault="00CF77CB" w:rsidP="00CF77CB">
            <w:pPr>
              <w:jc w:val="center"/>
              <w:rPr>
                <w:sz w:val="20"/>
                <w:szCs w:val="20"/>
              </w:rPr>
            </w:pPr>
            <w:r w:rsidRPr="00CF77CB">
              <w:rPr>
                <w:sz w:val="20"/>
                <w:szCs w:val="20"/>
              </w:rPr>
              <w:t>42</w:t>
            </w:r>
          </w:p>
        </w:tc>
        <w:tc>
          <w:tcPr>
            <w:tcW w:w="0" w:type="auto"/>
            <w:tcBorders>
              <w:top w:val="single" w:sz="4" w:space="0" w:color="000000"/>
            </w:tcBorders>
          </w:tcPr>
          <w:p w:rsidR="00CF77CB" w:rsidRPr="00CF77CB" w:rsidRDefault="00CF77CB" w:rsidP="00CF77CB">
            <w:pPr>
              <w:jc w:val="center"/>
              <w:rPr>
                <w:sz w:val="20"/>
                <w:szCs w:val="20"/>
              </w:rPr>
            </w:pPr>
            <w:r w:rsidRPr="00CF77CB">
              <w:rPr>
                <w:sz w:val="20"/>
                <w:szCs w:val="20"/>
              </w:rPr>
              <w:t>43</w:t>
            </w:r>
          </w:p>
        </w:tc>
        <w:tc>
          <w:tcPr>
            <w:tcW w:w="0" w:type="auto"/>
            <w:tcBorders>
              <w:top w:val="single" w:sz="4" w:space="0" w:color="000000"/>
            </w:tcBorders>
          </w:tcPr>
          <w:p w:rsidR="00CF77CB" w:rsidRPr="00CF77CB" w:rsidRDefault="00CF77CB" w:rsidP="00CF77CB">
            <w:pPr>
              <w:jc w:val="center"/>
              <w:rPr>
                <w:sz w:val="20"/>
                <w:szCs w:val="20"/>
              </w:rPr>
            </w:pPr>
            <w:r w:rsidRPr="00CF77CB">
              <w:rPr>
                <w:sz w:val="20"/>
                <w:szCs w:val="20"/>
              </w:rPr>
              <w:t>53</w:t>
            </w:r>
          </w:p>
        </w:tc>
        <w:tc>
          <w:tcPr>
            <w:tcW w:w="0" w:type="auto"/>
            <w:tcBorders>
              <w:top w:val="single" w:sz="4" w:space="0" w:color="000000"/>
            </w:tcBorders>
          </w:tcPr>
          <w:p w:rsidR="00CF77CB" w:rsidRPr="00CF77CB" w:rsidRDefault="00CF77CB" w:rsidP="00CF77CB">
            <w:pPr>
              <w:jc w:val="center"/>
              <w:rPr>
                <w:sz w:val="20"/>
                <w:szCs w:val="20"/>
              </w:rPr>
            </w:pPr>
            <w:r w:rsidRPr="00CF77CB">
              <w:rPr>
                <w:sz w:val="20"/>
                <w:szCs w:val="20"/>
              </w:rPr>
              <w:t>46</w:t>
            </w:r>
          </w:p>
        </w:tc>
        <w:tc>
          <w:tcPr>
            <w:tcW w:w="0" w:type="auto"/>
            <w:tcBorders>
              <w:top w:val="single" w:sz="4" w:space="0" w:color="000000"/>
            </w:tcBorders>
          </w:tcPr>
          <w:p w:rsidR="00CF77CB" w:rsidRPr="00CF77CB" w:rsidRDefault="00CF77CB" w:rsidP="00CF77CB">
            <w:pPr>
              <w:jc w:val="center"/>
              <w:rPr>
                <w:sz w:val="20"/>
                <w:szCs w:val="20"/>
              </w:rPr>
            </w:pPr>
            <w:r w:rsidRPr="00CF77CB">
              <w:rPr>
                <w:sz w:val="20"/>
                <w:szCs w:val="20"/>
              </w:rPr>
              <w:t>43</w:t>
            </w:r>
          </w:p>
        </w:tc>
      </w:tr>
      <w:tr w:rsidR="00CF77CB" w:rsidRPr="00EA067A" w:rsidTr="00CF77CB">
        <w:tc>
          <w:tcPr>
            <w:tcW w:w="0" w:type="auto"/>
          </w:tcPr>
          <w:p w:rsidR="00CF77CB" w:rsidRPr="00CF77CB" w:rsidRDefault="00CF77CB" w:rsidP="00CF77CB">
            <w:pPr>
              <w:pStyle w:val="TableBody"/>
              <w:rPr>
                <w:b/>
                <w:lang w:val="en-GB"/>
              </w:rPr>
            </w:pPr>
            <w:r>
              <w:rPr>
                <w:b/>
                <w:lang w:val="en-GB"/>
              </w:rPr>
              <w:t>1c</w:t>
            </w:r>
          </w:p>
        </w:tc>
        <w:tc>
          <w:tcPr>
            <w:tcW w:w="0" w:type="auto"/>
          </w:tcPr>
          <w:p w:rsidR="00CF77CB" w:rsidRPr="00CF77CB" w:rsidRDefault="00CF77CB" w:rsidP="00CF77CB">
            <w:pPr>
              <w:jc w:val="center"/>
              <w:rPr>
                <w:sz w:val="20"/>
                <w:szCs w:val="20"/>
              </w:rPr>
            </w:pPr>
            <w:r w:rsidRPr="00CF77CB">
              <w:rPr>
                <w:sz w:val="20"/>
                <w:szCs w:val="20"/>
              </w:rPr>
              <w:t>47</w:t>
            </w:r>
          </w:p>
        </w:tc>
        <w:tc>
          <w:tcPr>
            <w:tcW w:w="0" w:type="auto"/>
          </w:tcPr>
          <w:p w:rsidR="00CF77CB" w:rsidRPr="00CF77CB" w:rsidRDefault="00CF77CB" w:rsidP="00CF77CB">
            <w:pPr>
              <w:jc w:val="center"/>
              <w:rPr>
                <w:sz w:val="20"/>
                <w:szCs w:val="20"/>
              </w:rPr>
            </w:pPr>
            <w:r w:rsidRPr="00CF77CB">
              <w:rPr>
                <w:sz w:val="20"/>
                <w:szCs w:val="20"/>
              </w:rPr>
              <w:t>45</w:t>
            </w:r>
          </w:p>
        </w:tc>
        <w:tc>
          <w:tcPr>
            <w:tcW w:w="0" w:type="auto"/>
          </w:tcPr>
          <w:p w:rsidR="00CF77CB" w:rsidRPr="00CF77CB" w:rsidRDefault="00CF77CB" w:rsidP="00CF77CB">
            <w:pPr>
              <w:jc w:val="center"/>
              <w:rPr>
                <w:sz w:val="20"/>
                <w:szCs w:val="20"/>
              </w:rPr>
            </w:pPr>
            <w:r w:rsidRPr="00CF77CB">
              <w:rPr>
                <w:sz w:val="20"/>
                <w:szCs w:val="20"/>
              </w:rPr>
              <w:t>49</w:t>
            </w:r>
          </w:p>
        </w:tc>
        <w:tc>
          <w:tcPr>
            <w:tcW w:w="0" w:type="auto"/>
          </w:tcPr>
          <w:p w:rsidR="00CF77CB" w:rsidRPr="00CF77CB" w:rsidRDefault="00CF77CB" w:rsidP="00CF77CB">
            <w:pPr>
              <w:jc w:val="center"/>
              <w:rPr>
                <w:sz w:val="20"/>
                <w:szCs w:val="20"/>
              </w:rPr>
            </w:pPr>
            <w:r w:rsidRPr="00CF77CB">
              <w:rPr>
                <w:sz w:val="20"/>
                <w:szCs w:val="20"/>
              </w:rPr>
              <w:t>54</w:t>
            </w:r>
          </w:p>
        </w:tc>
        <w:tc>
          <w:tcPr>
            <w:tcW w:w="0" w:type="auto"/>
          </w:tcPr>
          <w:p w:rsidR="00CF77CB" w:rsidRPr="00CF77CB" w:rsidRDefault="00CF77CB" w:rsidP="00CF77CB">
            <w:pPr>
              <w:jc w:val="center"/>
              <w:rPr>
                <w:sz w:val="20"/>
                <w:szCs w:val="20"/>
              </w:rPr>
            </w:pPr>
            <w:r w:rsidRPr="00CF77CB">
              <w:rPr>
                <w:sz w:val="20"/>
                <w:szCs w:val="20"/>
              </w:rPr>
              <w:t>45</w:t>
            </w:r>
          </w:p>
        </w:tc>
      </w:tr>
      <w:tr w:rsidR="00CF77CB" w:rsidRPr="00EA067A" w:rsidTr="00CF77CB">
        <w:tc>
          <w:tcPr>
            <w:tcW w:w="0" w:type="auto"/>
          </w:tcPr>
          <w:p w:rsidR="00CF77CB" w:rsidRPr="00CF77CB" w:rsidRDefault="00CF77CB" w:rsidP="00CF77CB">
            <w:pPr>
              <w:pStyle w:val="TableBody"/>
              <w:rPr>
                <w:b/>
                <w:lang w:val="en-GB"/>
              </w:rPr>
            </w:pPr>
            <w:r>
              <w:rPr>
                <w:b/>
                <w:lang w:val="en-GB"/>
              </w:rPr>
              <w:t>1d</w:t>
            </w:r>
          </w:p>
        </w:tc>
        <w:tc>
          <w:tcPr>
            <w:tcW w:w="0" w:type="auto"/>
          </w:tcPr>
          <w:p w:rsidR="00CF77CB" w:rsidRPr="00CF77CB" w:rsidRDefault="00CF77CB" w:rsidP="00CF77CB">
            <w:pPr>
              <w:jc w:val="center"/>
              <w:rPr>
                <w:sz w:val="20"/>
                <w:szCs w:val="20"/>
              </w:rPr>
            </w:pPr>
            <w:r w:rsidRPr="00CF77CB">
              <w:rPr>
                <w:sz w:val="20"/>
                <w:szCs w:val="20"/>
              </w:rPr>
              <w:t>62</w:t>
            </w:r>
          </w:p>
        </w:tc>
        <w:tc>
          <w:tcPr>
            <w:tcW w:w="0" w:type="auto"/>
          </w:tcPr>
          <w:p w:rsidR="00CF77CB" w:rsidRPr="00CF77CB" w:rsidRDefault="00CF77CB" w:rsidP="00CF77CB">
            <w:pPr>
              <w:jc w:val="center"/>
              <w:rPr>
                <w:sz w:val="20"/>
                <w:szCs w:val="20"/>
              </w:rPr>
            </w:pPr>
            <w:r w:rsidRPr="00CF77CB">
              <w:rPr>
                <w:sz w:val="20"/>
                <w:szCs w:val="20"/>
              </w:rPr>
              <w:t>63</w:t>
            </w:r>
          </w:p>
        </w:tc>
        <w:tc>
          <w:tcPr>
            <w:tcW w:w="0" w:type="auto"/>
          </w:tcPr>
          <w:p w:rsidR="00CF77CB" w:rsidRPr="00CF77CB" w:rsidRDefault="00CF77CB" w:rsidP="00CF77CB">
            <w:pPr>
              <w:jc w:val="center"/>
              <w:rPr>
                <w:sz w:val="20"/>
                <w:szCs w:val="20"/>
              </w:rPr>
            </w:pPr>
            <w:r w:rsidRPr="00CF77CB">
              <w:rPr>
                <w:sz w:val="20"/>
                <w:szCs w:val="20"/>
              </w:rPr>
              <w:t>80</w:t>
            </w:r>
          </w:p>
        </w:tc>
        <w:tc>
          <w:tcPr>
            <w:tcW w:w="0" w:type="auto"/>
          </w:tcPr>
          <w:p w:rsidR="00CF77CB" w:rsidRPr="00CF77CB" w:rsidRDefault="00CF77CB" w:rsidP="00CF77CB">
            <w:pPr>
              <w:jc w:val="center"/>
              <w:rPr>
                <w:sz w:val="20"/>
                <w:szCs w:val="20"/>
              </w:rPr>
            </w:pPr>
            <w:r w:rsidRPr="00CF77CB">
              <w:rPr>
                <w:sz w:val="20"/>
                <w:szCs w:val="20"/>
              </w:rPr>
              <w:t>76</w:t>
            </w:r>
          </w:p>
        </w:tc>
        <w:tc>
          <w:tcPr>
            <w:tcW w:w="0" w:type="auto"/>
          </w:tcPr>
          <w:p w:rsidR="00CF77CB" w:rsidRPr="00CF77CB" w:rsidRDefault="00CF77CB" w:rsidP="00CF77CB">
            <w:pPr>
              <w:jc w:val="center"/>
              <w:rPr>
                <w:sz w:val="20"/>
                <w:szCs w:val="20"/>
              </w:rPr>
            </w:pPr>
            <w:r w:rsidRPr="00CF77CB">
              <w:rPr>
                <w:sz w:val="20"/>
                <w:szCs w:val="20"/>
              </w:rPr>
              <w:t>65</w:t>
            </w:r>
          </w:p>
        </w:tc>
      </w:tr>
      <w:tr w:rsidR="00CF77CB" w:rsidRPr="00EA067A" w:rsidTr="00CF77CB">
        <w:tc>
          <w:tcPr>
            <w:tcW w:w="0" w:type="auto"/>
          </w:tcPr>
          <w:p w:rsidR="00CF77CB" w:rsidRPr="00CF77CB" w:rsidRDefault="00CF77CB" w:rsidP="00CF77CB">
            <w:pPr>
              <w:pStyle w:val="TableBody"/>
              <w:rPr>
                <w:b/>
                <w:lang w:val="en-GB"/>
              </w:rPr>
            </w:pPr>
            <w:r>
              <w:rPr>
                <w:b/>
                <w:lang w:val="en-GB"/>
              </w:rPr>
              <w:t>1e</w:t>
            </w:r>
          </w:p>
        </w:tc>
        <w:tc>
          <w:tcPr>
            <w:tcW w:w="0" w:type="auto"/>
          </w:tcPr>
          <w:p w:rsidR="00CF77CB" w:rsidRPr="00CF77CB" w:rsidRDefault="00CF77CB" w:rsidP="00CF77CB">
            <w:pPr>
              <w:jc w:val="center"/>
              <w:rPr>
                <w:sz w:val="20"/>
                <w:szCs w:val="20"/>
              </w:rPr>
            </w:pPr>
            <w:r w:rsidRPr="00CF77CB">
              <w:rPr>
                <w:sz w:val="20"/>
                <w:szCs w:val="20"/>
              </w:rPr>
              <w:t>57</w:t>
            </w:r>
          </w:p>
        </w:tc>
        <w:tc>
          <w:tcPr>
            <w:tcW w:w="0" w:type="auto"/>
          </w:tcPr>
          <w:p w:rsidR="00CF77CB" w:rsidRPr="00CF77CB" w:rsidRDefault="00CF77CB" w:rsidP="00CF77CB">
            <w:pPr>
              <w:jc w:val="center"/>
              <w:rPr>
                <w:sz w:val="20"/>
                <w:szCs w:val="20"/>
              </w:rPr>
            </w:pPr>
            <w:r w:rsidRPr="00CF77CB">
              <w:rPr>
                <w:sz w:val="20"/>
                <w:szCs w:val="20"/>
              </w:rPr>
              <w:t>63</w:t>
            </w:r>
          </w:p>
        </w:tc>
        <w:tc>
          <w:tcPr>
            <w:tcW w:w="0" w:type="auto"/>
          </w:tcPr>
          <w:p w:rsidR="00CF77CB" w:rsidRPr="00CF77CB" w:rsidRDefault="00CF77CB" w:rsidP="00CF77CB">
            <w:pPr>
              <w:jc w:val="center"/>
              <w:rPr>
                <w:sz w:val="20"/>
                <w:szCs w:val="20"/>
              </w:rPr>
            </w:pPr>
            <w:r w:rsidRPr="00CF77CB">
              <w:rPr>
                <w:sz w:val="20"/>
                <w:szCs w:val="20"/>
              </w:rPr>
              <w:t>76</w:t>
            </w:r>
          </w:p>
        </w:tc>
        <w:tc>
          <w:tcPr>
            <w:tcW w:w="0" w:type="auto"/>
          </w:tcPr>
          <w:p w:rsidR="00CF77CB" w:rsidRPr="00CF77CB" w:rsidRDefault="00CF77CB" w:rsidP="00CF77CB">
            <w:pPr>
              <w:jc w:val="center"/>
              <w:rPr>
                <w:sz w:val="20"/>
                <w:szCs w:val="20"/>
              </w:rPr>
            </w:pPr>
            <w:r w:rsidRPr="00CF77CB">
              <w:rPr>
                <w:sz w:val="20"/>
                <w:szCs w:val="20"/>
              </w:rPr>
              <w:t>71</w:t>
            </w:r>
          </w:p>
        </w:tc>
        <w:tc>
          <w:tcPr>
            <w:tcW w:w="0" w:type="auto"/>
          </w:tcPr>
          <w:p w:rsidR="00CF77CB" w:rsidRPr="00CF77CB" w:rsidRDefault="00CF77CB" w:rsidP="00CF77CB">
            <w:pPr>
              <w:jc w:val="center"/>
              <w:rPr>
                <w:sz w:val="20"/>
                <w:szCs w:val="20"/>
              </w:rPr>
            </w:pPr>
            <w:r w:rsidRPr="00CF77CB">
              <w:rPr>
                <w:sz w:val="20"/>
                <w:szCs w:val="20"/>
              </w:rPr>
              <w:t>58</w:t>
            </w:r>
          </w:p>
        </w:tc>
      </w:tr>
      <w:tr w:rsidR="00CF77CB" w:rsidRPr="00EA067A" w:rsidTr="00CF77CB">
        <w:tc>
          <w:tcPr>
            <w:tcW w:w="0" w:type="auto"/>
            <w:tcBorders>
              <w:bottom w:val="single" w:sz="4" w:space="0" w:color="000000"/>
            </w:tcBorders>
          </w:tcPr>
          <w:p w:rsidR="00CF77CB" w:rsidRPr="00CF77CB" w:rsidRDefault="00CF77CB" w:rsidP="00CF77CB">
            <w:pPr>
              <w:pStyle w:val="TableBody"/>
              <w:rPr>
                <w:b/>
              </w:rPr>
            </w:pPr>
            <w:r>
              <w:rPr>
                <w:b/>
              </w:rPr>
              <w:t>1f</w:t>
            </w:r>
          </w:p>
        </w:tc>
        <w:tc>
          <w:tcPr>
            <w:tcW w:w="0" w:type="auto"/>
            <w:tcBorders>
              <w:bottom w:val="single" w:sz="4" w:space="0" w:color="000000"/>
            </w:tcBorders>
          </w:tcPr>
          <w:p w:rsidR="00CF77CB" w:rsidRPr="00CF77CB" w:rsidRDefault="00CF77CB" w:rsidP="00CF77CB">
            <w:pPr>
              <w:jc w:val="center"/>
              <w:rPr>
                <w:sz w:val="20"/>
                <w:szCs w:val="20"/>
              </w:rPr>
            </w:pPr>
            <w:r w:rsidRPr="00CF77CB">
              <w:rPr>
                <w:sz w:val="20"/>
                <w:szCs w:val="20"/>
              </w:rPr>
              <w:t>10</w:t>
            </w:r>
          </w:p>
        </w:tc>
        <w:tc>
          <w:tcPr>
            <w:tcW w:w="0" w:type="auto"/>
            <w:tcBorders>
              <w:bottom w:val="single" w:sz="4" w:space="0" w:color="000000"/>
            </w:tcBorders>
          </w:tcPr>
          <w:p w:rsidR="00CF77CB" w:rsidRPr="00CF77CB" w:rsidRDefault="00CF77CB" w:rsidP="00CF77CB">
            <w:pPr>
              <w:jc w:val="center"/>
              <w:rPr>
                <w:sz w:val="20"/>
                <w:szCs w:val="20"/>
              </w:rPr>
            </w:pPr>
            <w:r w:rsidRPr="00CF77CB">
              <w:rPr>
                <w:sz w:val="20"/>
                <w:szCs w:val="20"/>
              </w:rPr>
              <w:t>25</w:t>
            </w:r>
          </w:p>
        </w:tc>
        <w:tc>
          <w:tcPr>
            <w:tcW w:w="0" w:type="auto"/>
            <w:tcBorders>
              <w:bottom w:val="single" w:sz="4" w:space="0" w:color="000000"/>
            </w:tcBorders>
          </w:tcPr>
          <w:p w:rsidR="00CF77CB" w:rsidRPr="006D26CF" w:rsidRDefault="00CF77CB" w:rsidP="00CF77CB">
            <w:pPr>
              <w:jc w:val="center"/>
              <w:rPr>
                <w:sz w:val="20"/>
                <w:szCs w:val="20"/>
                <w:vertAlign w:val="superscript"/>
              </w:rPr>
            </w:pPr>
            <w:r w:rsidRPr="00CF77CB">
              <w:rPr>
                <w:sz w:val="20"/>
                <w:szCs w:val="20"/>
              </w:rPr>
              <w:t>34</w:t>
            </w:r>
            <w:r w:rsidR="006D26CF">
              <w:rPr>
                <w:sz w:val="20"/>
                <w:szCs w:val="20"/>
              </w:rPr>
              <w:t xml:space="preserve"> </w:t>
            </w:r>
            <w:r w:rsidR="006D26CF" w:rsidRPr="006D26CF">
              <w:rPr>
                <w:color w:val="FF0000"/>
                <w:sz w:val="20"/>
                <w:szCs w:val="20"/>
              </w:rPr>
              <w:t>(51)</w:t>
            </w:r>
            <w:r w:rsidR="006D26CF" w:rsidRPr="006D26CF">
              <w:rPr>
                <w:color w:val="FF0000"/>
                <w:sz w:val="20"/>
                <w:szCs w:val="20"/>
                <w:vertAlign w:val="superscript"/>
              </w:rPr>
              <w:t>b)</w:t>
            </w:r>
          </w:p>
        </w:tc>
        <w:tc>
          <w:tcPr>
            <w:tcW w:w="0" w:type="auto"/>
            <w:tcBorders>
              <w:bottom w:val="single" w:sz="4" w:space="0" w:color="000000"/>
            </w:tcBorders>
          </w:tcPr>
          <w:p w:rsidR="00CF77CB" w:rsidRPr="00CF77CB" w:rsidRDefault="00CF77CB" w:rsidP="00CF77CB">
            <w:pPr>
              <w:jc w:val="center"/>
              <w:rPr>
                <w:sz w:val="20"/>
                <w:szCs w:val="20"/>
              </w:rPr>
            </w:pPr>
            <w:r w:rsidRPr="00CF77CB">
              <w:rPr>
                <w:sz w:val="20"/>
                <w:szCs w:val="20"/>
              </w:rPr>
              <w:t>19</w:t>
            </w:r>
          </w:p>
        </w:tc>
        <w:tc>
          <w:tcPr>
            <w:tcW w:w="0" w:type="auto"/>
            <w:tcBorders>
              <w:bottom w:val="single" w:sz="4" w:space="0" w:color="000000"/>
            </w:tcBorders>
          </w:tcPr>
          <w:p w:rsidR="00CF77CB" w:rsidRPr="00CF77CB" w:rsidRDefault="00CF77CB" w:rsidP="00CF77CB">
            <w:pPr>
              <w:jc w:val="center"/>
              <w:rPr>
                <w:sz w:val="20"/>
                <w:szCs w:val="20"/>
              </w:rPr>
            </w:pPr>
            <w:r w:rsidRPr="00CF77CB">
              <w:rPr>
                <w:sz w:val="20"/>
                <w:szCs w:val="20"/>
              </w:rPr>
              <w:t>15</w:t>
            </w:r>
          </w:p>
        </w:tc>
      </w:tr>
    </w:tbl>
    <w:p w:rsidR="00CF77CB" w:rsidRPr="006D26CF" w:rsidRDefault="00CF77CB" w:rsidP="00CF77CB">
      <w:pPr>
        <w:pStyle w:val="TableFoot"/>
      </w:pPr>
      <w:r>
        <w:rPr>
          <w:vertAlign w:val="superscript"/>
        </w:rPr>
        <w:t>a)</w:t>
      </w:r>
      <w:r>
        <w:t xml:space="preserve"> </w:t>
      </w:r>
      <w:r w:rsidRPr="00FE39A8">
        <w:t xml:space="preserve">Determined using </w:t>
      </w:r>
      <w:r w:rsidRPr="00FE39A8">
        <w:rPr>
          <w:vertAlign w:val="superscript"/>
        </w:rPr>
        <w:t>1</w:t>
      </w:r>
      <w:r w:rsidRPr="00FE39A8">
        <w:t>H NMR spectroscopy</w:t>
      </w:r>
      <w:r w:rsidRPr="00C2552A">
        <w:t>.</w:t>
      </w:r>
      <w:r w:rsidR="006D26CF">
        <w:t xml:space="preserve"> </w:t>
      </w:r>
      <w:r w:rsidR="006D26CF" w:rsidRPr="006D26CF">
        <w:rPr>
          <w:color w:val="FF0000"/>
          <w:vertAlign w:val="superscript"/>
        </w:rPr>
        <w:t>b)</w:t>
      </w:r>
      <w:r w:rsidR="006D26CF" w:rsidRPr="006D26CF">
        <w:rPr>
          <w:color w:val="FF0000"/>
        </w:rPr>
        <w:t xml:space="preserve"> At 100 </w:t>
      </w:r>
      <w:r w:rsidR="006D26CF" w:rsidRPr="006D26CF">
        <w:rPr>
          <w:color w:val="FF0000"/>
          <w:vertAlign w:val="superscript"/>
        </w:rPr>
        <w:t>o</w:t>
      </w:r>
      <w:r w:rsidR="006D26CF" w:rsidRPr="006D26CF">
        <w:rPr>
          <w:color w:val="FF0000"/>
        </w:rPr>
        <w:t>C.</w:t>
      </w:r>
    </w:p>
    <w:p w:rsidR="00CF77CB" w:rsidRDefault="00CF77CB" w:rsidP="00C03501">
      <w:pPr>
        <w:pStyle w:val="P1withIndendation"/>
        <w:rPr>
          <w:rFonts w:cs="Calibri"/>
          <w:szCs w:val="22"/>
        </w:rPr>
      </w:pPr>
      <w:r w:rsidRPr="00CF77CB">
        <w:rPr>
          <w:rFonts w:cs="Calibri"/>
          <w:szCs w:val="22"/>
        </w:rPr>
        <w:t xml:space="preserve">When comparing the </w:t>
      </w:r>
      <w:r w:rsidR="00F70A39" w:rsidRPr="00CF77CB">
        <w:rPr>
          <w:rFonts w:cs="Calibri"/>
          <w:szCs w:val="22"/>
        </w:rPr>
        <w:t>two-dimensional</w:t>
      </w:r>
      <w:r w:rsidRPr="00CF77CB">
        <w:rPr>
          <w:rFonts w:cs="Calibri"/>
          <w:szCs w:val="22"/>
        </w:rPr>
        <w:t xml:space="preserve"> SBA-15 supports, catalysts SBA-15-7-</w:t>
      </w:r>
      <w:r w:rsidRPr="00CF77CB">
        <w:rPr>
          <w:rFonts w:cs="Calibri"/>
          <w:b/>
          <w:szCs w:val="22"/>
        </w:rPr>
        <w:t>7</w:t>
      </w:r>
      <w:r w:rsidRPr="00CF77CB">
        <w:rPr>
          <w:rFonts w:cs="Calibri"/>
          <w:szCs w:val="22"/>
        </w:rPr>
        <w:t xml:space="preserve"> and SBA-15-10-</w:t>
      </w:r>
      <w:r w:rsidRPr="00CF77CB">
        <w:rPr>
          <w:rFonts w:cs="Calibri"/>
          <w:b/>
          <w:szCs w:val="22"/>
        </w:rPr>
        <w:t>7</w:t>
      </w:r>
      <w:r w:rsidRPr="00CF77CB">
        <w:rPr>
          <w:rFonts w:cs="Calibri"/>
          <w:szCs w:val="22"/>
        </w:rPr>
        <w:t xml:space="preserve"> show a small pore-size effect which lead to enhanced conversions with the larger substrates </w:t>
      </w:r>
      <w:r w:rsidRPr="00B76A2F">
        <w:rPr>
          <w:rFonts w:cs="Calibri"/>
          <w:b/>
          <w:color w:val="FF0000"/>
          <w:szCs w:val="22"/>
        </w:rPr>
        <w:t>1</w:t>
      </w:r>
      <w:r w:rsidR="00B76A2F" w:rsidRPr="00B76A2F">
        <w:rPr>
          <w:rFonts w:cs="Calibri"/>
          <w:b/>
          <w:color w:val="FF0000"/>
          <w:szCs w:val="22"/>
        </w:rPr>
        <w:t>d–</w:t>
      </w:r>
      <w:r w:rsidRPr="00B76A2F">
        <w:rPr>
          <w:rFonts w:cs="Calibri"/>
          <w:b/>
          <w:color w:val="FF0000"/>
          <w:szCs w:val="22"/>
        </w:rPr>
        <w:t>f</w:t>
      </w:r>
      <w:r w:rsidRPr="00CF77CB">
        <w:rPr>
          <w:rFonts w:cs="Calibri"/>
          <w:szCs w:val="22"/>
        </w:rPr>
        <w:t xml:space="preserve">. Non-template expanded SBA-15 lost virtually all of its porosity after the immobilisation of </w:t>
      </w:r>
      <w:r w:rsidRPr="00CF77CB">
        <w:rPr>
          <w:rFonts w:cs="Calibri"/>
          <w:b/>
          <w:szCs w:val="22"/>
        </w:rPr>
        <w:t xml:space="preserve">6 </w:t>
      </w:r>
      <w:r w:rsidRPr="00CF77CB">
        <w:rPr>
          <w:rFonts w:cs="Calibri"/>
          <w:szCs w:val="22"/>
        </w:rPr>
        <w:t>and as a result had no defined pore size (Table 1, entry 2). This suggests that the large majority of active sites responsible for the observed catalytic activity of SBA-15-</w:t>
      </w:r>
      <w:r w:rsidRPr="00CF77CB">
        <w:rPr>
          <w:rFonts w:cs="Calibri"/>
          <w:b/>
          <w:szCs w:val="22"/>
        </w:rPr>
        <w:t>7</w:t>
      </w:r>
      <w:r w:rsidRPr="00CF77CB">
        <w:rPr>
          <w:rFonts w:cs="Calibri"/>
          <w:szCs w:val="22"/>
        </w:rPr>
        <w:t xml:space="preserve"> are situated on the external surface of the support. In contrast, SBA-15-7-</w:t>
      </w:r>
      <w:r w:rsidRPr="00CF77CB">
        <w:rPr>
          <w:rFonts w:cs="Calibri"/>
          <w:b/>
          <w:szCs w:val="22"/>
        </w:rPr>
        <w:t>7</w:t>
      </w:r>
      <w:r w:rsidRPr="00CF77CB">
        <w:rPr>
          <w:rFonts w:cs="Calibri"/>
          <w:szCs w:val="22"/>
        </w:rPr>
        <w:t xml:space="preserve"> retained a small surface area and pore volume (Table 1, entry 4) and generally exhibited a slight increase in conversion of </w:t>
      </w:r>
      <w:r w:rsidRPr="00CF77CB">
        <w:rPr>
          <w:rFonts w:cs="Calibri"/>
          <w:b/>
          <w:szCs w:val="22"/>
        </w:rPr>
        <w:t xml:space="preserve">1b-f </w:t>
      </w:r>
      <w:r w:rsidRPr="00CF77CB">
        <w:rPr>
          <w:rFonts w:cs="Calibri"/>
          <w:szCs w:val="22"/>
        </w:rPr>
        <w:t xml:space="preserve">to </w:t>
      </w:r>
      <w:r w:rsidRPr="00CF77CB">
        <w:rPr>
          <w:rFonts w:cs="Calibri"/>
          <w:b/>
          <w:szCs w:val="22"/>
        </w:rPr>
        <w:t>2b-f</w:t>
      </w:r>
      <w:r w:rsidRPr="00CF77CB">
        <w:rPr>
          <w:rFonts w:cs="Calibri"/>
          <w:szCs w:val="22"/>
        </w:rPr>
        <w:t xml:space="preserve"> compared to SBA-15-</w:t>
      </w:r>
      <w:r w:rsidRPr="00CF77CB">
        <w:rPr>
          <w:rFonts w:cs="Calibri"/>
          <w:b/>
          <w:szCs w:val="22"/>
        </w:rPr>
        <w:t>7</w:t>
      </w:r>
      <w:r w:rsidRPr="00CF77CB">
        <w:rPr>
          <w:rFonts w:cs="Calibri"/>
          <w:szCs w:val="22"/>
        </w:rPr>
        <w:t>. This may be attributed to substrates being able to penetrate into the remaining porous network post-immobilisation and interact with catalyst supported within the pores, though it is likely that with such a low surface area and pore volume, diffusion though these pores will be somewhat limiting. SBA-15-10-</w:t>
      </w:r>
      <w:r w:rsidRPr="00CF77CB">
        <w:rPr>
          <w:rFonts w:cs="Calibri"/>
          <w:b/>
          <w:szCs w:val="22"/>
        </w:rPr>
        <w:t>7</w:t>
      </w:r>
      <w:r w:rsidRPr="00CF77CB">
        <w:rPr>
          <w:rFonts w:cs="Calibri"/>
          <w:szCs w:val="22"/>
        </w:rPr>
        <w:t xml:space="preserve"> retains almost half of its original surface area and pore volume, implying that a reasonable quantity of immobilised complex </w:t>
      </w:r>
      <w:r w:rsidRPr="00CF77CB">
        <w:rPr>
          <w:rFonts w:cs="Calibri"/>
          <w:b/>
          <w:szCs w:val="22"/>
        </w:rPr>
        <w:t>6</w:t>
      </w:r>
      <w:r w:rsidRPr="00CF77CB">
        <w:rPr>
          <w:rFonts w:cs="Calibri"/>
          <w:szCs w:val="22"/>
        </w:rPr>
        <w:t xml:space="preserve"> is distributed withi</w:t>
      </w:r>
      <w:r w:rsidR="003B0815">
        <w:rPr>
          <w:rFonts w:cs="Calibri"/>
          <w:szCs w:val="22"/>
        </w:rPr>
        <w:t>n the pore channels, though these retain</w:t>
      </w:r>
      <w:r w:rsidRPr="00CF77CB">
        <w:rPr>
          <w:rFonts w:cs="Calibri"/>
          <w:szCs w:val="22"/>
        </w:rPr>
        <w:t xml:space="preserve"> good pore diameters of 7 nm (Table 1, entry 6). As a consequence, substrates may diffuse in and out of the porous network with minimal hindrance and have increased accessibility to internal active sites allowing increased conversions to </w:t>
      </w:r>
      <w:r w:rsidRPr="00CF77CB">
        <w:rPr>
          <w:rFonts w:cs="Calibri"/>
          <w:b/>
          <w:szCs w:val="22"/>
        </w:rPr>
        <w:t>2b-f</w:t>
      </w:r>
      <w:r w:rsidRPr="00CF77CB">
        <w:rPr>
          <w:rFonts w:cs="Calibri"/>
          <w:szCs w:val="22"/>
        </w:rPr>
        <w:t xml:space="preserve"> compared with SBA-15-</w:t>
      </w:r>
      <w:r w:rsidRPr="00CF77CB">
        <w:rPr>
          <w:rFonts w:cs="Calibri"/>
          <w:b/>
          <w:szCs w:val="22"/>
        </w:rPr>
        <w:t>7</w:t>
      </w:r>
      <w:r w:rsidRPr="00CF77CB">
        <w:rPr>
          <w:rFonts w:cs="Calibri"/>
          <w:szCs w:val="22"/>
        </w:rPr>
        <w:t xml:space="preserve">. Epoxide </w:t>
      </w:r>
      <w:r w:rsidRPr="00CF77CB">
        <w:rPr>
          <w:rFonts w:cs="Calibri"/>
          <w:b/>
          <w:szCs w:val="22"/>
        </w:rPr>
        <w:t>1c</w:t>
      </w:r>
      <w:r w:rsidRPr="00CF77CB">
        <w:rPr>
          <w:rFonts w:cs="Calibri"/>
          <w:szCs w:val="22"/>
        </w:rPr>
        <w:t xml:space="preserve">, the smallest of the aprotic epoxides, showed the least difference in conversion to </w:t>
      </w:r>
      <w:r w:rsidRPr="00CF77CB">
        <w:rPr>
          <w:rFonts w:cs="Calibri"/>
          <w:b/>
          <w:szCs w:val="22"/>
        </w:rPr>
        <w:t>2c</w:t>
      </w:r>
      <w:r w:rsidRPr="00CF77CB">
        <w:rPr>
          <w:rFonts w:cs="Calibri"/>
          <w:szCs w:val="22"/>
        </w:rPr>
        <w:t xml:space="preserve"> across the catalyst series. The small size of this epoxide may facilitate its access to even hindered active sites within almost filled pores. Glycidol </w:t>
      </w:r>
      <w:r w:rsidRPr="00CF77CB">
        <w:rPr>
          <w:rFonts w:cs="Calibri"/>
          <w:b/>
          <w:szCs w:val="22"/>
        </w:rPr>
        <w:t>1b</w:t>
      </w:r>
      <w:r w:rsidR="00B76A2F">
        <w:rPr>
          <w:rFonts w:cs="Calibri"/>
          <w:szCs w:val="22"/>
        </w:rPr>
        <w:t xml:space="preserve">, </w:t>
      </w:r>
      <w:r w:rsidR="00B76A2F" w:rsidRPr="00B76A2F">
        <w:rPr>
          <w:rFonts w:cs="Calibri"/>
          <w:color w:val="FF0000"/>
          <w:szCs w:val="22"/>
        </w:rPr>
        <w:t xml:space="preserve">for which individual molecules are of a similar size to epoxide </w:t>
      </w:r>
      <w:r w:rsidR="00B76A2F" w:rsidRPr="00B76A2F">
        <w:rPr>
          <w:rFonts w:cs="Calibri"/>
          <w:b/>
          <w:color w:val="FF0000"/>
          <w:szCs w:val="22"/>
        </w:rPr>
        <w:t>1c</w:t>
      </w:r>
      <w:r w:rsidRPr="00CF77CB">
        <w:rPr>
          <w:rFonts w:cs="Calibri"/>
          <w:szCs w:val="22"/>
        </w:rPr>
        <w:t xml:space="preserve"> will be extensively intermolecularly hydrogen bonded (reactions were carried out under solvent free conditions) giving it a much greater apparent size</w:t>
      </w:r>
      <w:r w:rsidR="00B76A2F">
        <w:rPr>
          <w:rFonts w:cs="Calibri"/>
          <w:szCs w:val="22"/>
        </w:rPr>
        <w:t>.</w:t>
      </w:r>
      <w:r w:rsidR="003B0815">
        <w:rPr>
          <w:rFonts w:cs="Calibri"/>
          <w:szCs w:val="22"/>
        </w:rPr>
        <w:t xml:space="preserve"> </w:t>
      </w:r>
      <w:r w:rsidR="00B76A2F">
        <w:rPr>
          <w:rFonts w:cs="Calibri"/>
          <w:color w:val="FF0000"/>
          <w:szCs w:val="22"/>
        </w:rPr>
        <w:t>H</w:t>
      </w:r>
      <w:r w:rsidR="003B0815">
        <w:rPr>
          <w:rFonts w:cs="Calibri"/>
          <w:color w:val="FF0000"/>
          <w:szCs w:val="22"/>
        </w:rPr>
        <w:t xml:space="preserve">ence there is an 11% increase in conversion </w:t>
      </w:r>
      <w:r w:rsidR="00B76A2F">
        <w:rPr>
          <w:rFonts w:cs="Calibri"/>
          <w:color w:val="FF0000"/>
          <w:szCs w:val="22"/>
        </w:rPr>
        <w:t xml:space="preserve">for this substrate </w:t>
      </w:r>
      <w:r w:rsidR="003B0815">
        <w:rPr>
          <w:rFonts w:cs="Calibri"/>
          <w:color w:val="FF0000"/>
          <w:szCs w:val="22"/>
        </w:rPr>
        <w:t>between SBA-17-</w:t>
      </w:r>
      <w:r w:rsidR="003B0815" w:rsidRPr="003B0815">
        <w:rPr>
          <w:rFonts w:cs="Calibri"/>
          <w:b/>
          <w:color w:val="FF0000"/>
          <w:szCs w:val="22"/>
        </w:rPr>
        <w:t>7</w:t>
      </w:r>
      <w:r w:rsidR="003B0815">
        <w:rPr>
          <w:rFonts w:cs="Calibri"/>
          <w:color w:val="FF0000"/>
          <w:szCs w:val="22"/>
        </w:rPr>
        <w:t xml:space="preserve"> and SBA-15-10-</w:t>
      </w:r>
      <w:r w:rsidR="003B0815" w:rsidRPr="003B0815">
        <w:rPr>
          <w:rFonts w:cs="Calibri"/>
          <w:b/>
          <w:color w:val="FF0000"/>
          <w:szCs w:val="22"/>
        </w:rPr>
        <w:t>7</w:t>
      </w:r>
      <w:r w:rsidR="003B0815">
        <w:rPr>
          <w:rFonts w:cs="Calibri"/>
          <w:color w:val="FF0000"/>
          <w:szCs w:val="22"/>
        </w:rPr>
        <w:t xml:space="preserve"> (Table 2)</w:t>
      </w:r>
      <w:r w:rsidRPr="00CF77CB">
        <w:rPr>
          <w:rFonts w:cs="Calibri"/>
          <w:szCs w:val="22"/>
        </w:rPr>
        <w:t>.</w:t>
      </w:r>
    </w:p>
    <w:p w:rsidR="00F70A39" w:rsidRPr="00F70A39" w:rsidRDefault="00F70A39" w:rsidP="00E94105">
      <w:pPr>
        <w:pStyle w:val="NoSpacing"/>
        <w:spacing w:line="230" w:lineRule="exact"/>
        <w:ind w:firstLine="227"/>
        <w:jc w:val="both"/>
        <w:rPr>
          <w:rFonts w:ascii="Times New Roman" w:hAnsi="Times New Roman"/>
        </w:rPr>
      </w:pPr>
      <w:r w:rsidRPr="00F70A39">
        <w:rPr>
          <w:rFonts w:ascii="Times New Roman" w:hAnsi="Times New Roman"/>
        </w:rPr>
        <w:lastRenderedPageBreak/>
        <w:t>Conversions achieved by KIT-6-</w:t>
      </w:r>
      <w:r w:rsidRPr="00F70A39">
        <w:rPr>
          <w:rFonts w:ascii="Times New Roman" w:hAnsi="Times New Roman"/>
          <w:b/>
        </w:rPr>
        <w:t>7</w:t>
      </w:r>
      <w:r w:rsidRPr="00F70A39">
        <w:rPr>
          <w:rFonts w:ascii="Times New Roman" w:hAnsi="Times New Roman"/>
        </w:rPr>
        <w:t xml:space="preserve"> were found to be similar to those obtained using SBA-15-10-</w:t>
      </w:r>
      <w:r w:rsidRPr="00F70A39">
        <w:rPr>
          <w:rFonts w:ascii="Times New Roman" w:hAnsi="Times New Roman"/>
          <w:b/>
        </w:rPr>
        <w:t xml:space="preserve">7 </w:t>
      </w:r>
      <w:r w:rsidRPr="00F70A39">
        <w:rPr>
          <w:rFonts w:ascii="Times New Roman" w:hAnsi="Times New Roman"/>
        </w:rPr>
        <w:t xml:space="preserve">despite this supported catalyst having less than half of the pore volume and a smaller pore diameter of 4.3 nm (albeit with an overall similar surface area). This can be attributed to its three dimensional cubic pore structure, where substrates are able to enter the internal structure of the catalyst via multiple surfaces, rather than being limited to access </w:t>
      </w:r>
      <w:r w:rsidR="00E94105">
        <w:rPr>
          <w:rFonts w:ascii="Times New Roman" w:hAnsi="Times New Roman"/>
        </w:rPr>
        <w:t>through</w:t>
      </w:r>
      <w:r w:rsidRPr="00F70A39">
        <w:rPr>
          <w:rFonts w:ascii="Times New Roman" w:hAnsi="Times New Roman"/>
        </w:rPr>
        <w:t xml:space="preserve"> one plane as in the two dimensional SBA type supports.</w:t>
      </w:r>
    </w:p>
    <w:p w:rsidR="00F70A39" w:rsidRDefault="00F70A39" w:rsidP="00C03501">
      <w:pPr>
        <w:pStyle w:val="P1withIndendation"/>
        <w:rPr>
          <w:rFonts w:cs="Calibri"/>
          <w:szCs w:val="22"/>
        </w:rPr>
      </w:pPr>
      <w:r w:rsidRPr="00F70A39">
        <w:rPr>
          <w:rFonts w:cs="Calibri"/>
          <w:szCs w:val="22"/>
        </w:rPr>
        <w:t xml:space="preserve">Substrate </w:t>
      </w:r>
      <w:r w:rsidRPr="00F70A39">
        <w:rPr>
          <w:rFonts w:cs="Calibri"/>
          <w:b/>
          <w:szCs w:val="22"/>
        </w:rPr>
        <w:t>1f</w:t>
      </w:r>
      <w:r w:rsidRPr="00F70A39">
        <w:rPr>
          <w:rFonts w:cs="Calibri"/>
          <w:szCs w:val="22"/>
        </w:rPr>
        <w:t>, the largest of the glycidol derivatives gave the lowest conversions with all the silica supported catalysts (Table 2). This may suggest that the internal structure of the two- or</w:t>
      </w:r>
      <w:r w:rsidRPr="00F70A39">
        <w:rPr>
          <w:szCs w:val="22"/>
        </w:rPr>
        <w:t xml:space="preserve"> </w:t>
      </w:r>
      <w:r w:rsidRPr="00F70A39">
        <w:rPr>
          <w:rFonts w:cs="Calibri"/>
          <w:szCs w:val="22"/>
        </w:rPr>
        <w:t xml:space="preserve">three-dimensional pores has a negative impact on mass transport of large species within the channels. However, cyclic carbonate </w:t>
      </w:r>
      <w:r w:rsidRPr="00F70A39">
        <w:rPr>
          <w:rFonts w:cs="Calibri"/>
          <w:b/>
          <w:szCs w:val="22"/>
        </w:rPr>
        <w:t>2f</w:t>
      </w:r>
      <w:r w:rsidRPr="00F70A39">
        <w:rPr>
          <w:rFonts w:cs="Calibri"/>
          <w:szCs w:val="22"/>
        </w:rPr>
        <w:t xml:space="preserve"> has a melting point of 94 </w:t>
      </w:r>
      <w:r w:rsidRPr="00F70A39">
        <w:rPr>
          <w:rFonts w:cs="Calibri"/>
          <w:szCs w:val="22"/>
          <w:vertAlign w:val="superscript"/>
        </w:rPr>
        <w:t>o</w:t>
      </w:r>
      <w:r w:rsidRPr="00F70A39">
        <w:rPr>
          <w:rFonts w:cs="Calibri"/>
          <w:szCs w:val="22"/>
        </w:rPr>
        <w:t>C and this may lead to pore blockage at even low conversions.</w:t>
      </w:r>
      <w:r w:rsidR="006D26CF">
        <w:rPr>
          <w:rFonts w:cs="Calibri"/>
          <w:szCs w:val="22"/>
        </w:rPr>
        <w:t xml:space="preserve"> </w:t>
      </w:r>
      <w:r w:rsidR="006D26CF" w:rsidRPr="006D26CF">
        <w:rPr>
          <w:rFonts w:cs="Calibri"/>
          <w:color w:val="FF0000"/>
          <w:szCs w:val="22"/>
        </w:rPr>
        <w:t xml:space="preserve">Consistent with this, the conversion of epoxide </w:t>
      </w:r>
      <w:r w:rsidR="006D26CF" w:rsidRPr="006D26CF">
        <w:rPr>
          <w:rFonts w:cs="Calibri"/>
          <w:b/>
          <w:color w:val="FF0000"/>
          <w:szCs w:val="22"/>
        </w:rPr>
        <w:t>1f</w:t>
      </w:r>
      <w:r w:rsidR="006D26CF" w:rsidRPr="006D26CF">
        <w:rPr>
          <w:rFonts w:cs="Calibri"/>
          <w:color w:val="FF0000"/>
          <w:szCs w:val="22"/>
        </w:rPr>
        <w:t xml:space="preserve"> into cyclic carbonate </w:t>
      </w:r>
      <w:r w:rsidR="006D26CF" w:rsidRPr="006D26CF">
        <w:rPr>
          <w:rFonts w:cs="Calibri"/>
          <w:b/>
          <w:color w:val="FF0000"/>
          <w:szCs w:val="22"/>
        </w:rPr>
        <w:t>2f</w:t>
      </w:r>
      <w:r w:rsidR="006D26CF" w:rsidRPr="006D26CF">
        <w:rPr>
          <w:rFonts w:cs="Calibri"/>
          <w:color w:val="FF0000"/>
          <w:szCs w:val="22"/>
        </w:rPr>
        <w:t xml:space="preserve"> increased to 51% when the reaction was carried out at 100 </w:t>
      </w:r>
      <w:r w:rsidR="006D26CF" w:rsidRPr="006D26CF">
        <w:rPr>
          <w:rFonts w:cs="Calibri"/>
          <w:color w:val="FF0000"/>
          <w:szCs w:val="22"/>
          <w:vertAlign w:val="superscript"/>
        </w:rPr>
        <w:t>o</w:t>
      </w:r>
      <w:r w:rsidR="006D26CF" w:rsidRPr="006D26CF">
        <w:rPr>
          <w:rFonts w:cs="Calibri"/>
          <w:color w:val="FF0000"/>
          <w:szCs w:val="22"/>
        </w:rPr>
        <w:t>C.</w:t>
      </w:r>
      <w:r w:rsidR="006D26CF">
        <w:rPr>
          <w:rFonts w:cs="Calibri"/>
          <w:szCs w:val="22"/>
        </w:rPr>
        <w:t xml:space="preserve"> </w:t>
      </w:r>
    </w:p>
    <w:p w:rsidR="00787EAD" w:rsidRDefault="00787EAD" w:rsidP="00787EAD">
      <w:pPr>
        <w:pStyle w:val="P1withIndendation"/>
        <w:rPr>
          <w:rFonts w:cs="Calibri"/>
          <w:color w:val="000000"/>
          <w:szCs w:val="22"/>
        </w:rPr>
      </w:pPr>
      <w:r w:rsidRPr="00F70A39">
        <w:rPr>
          <w:rFonts w:cs="Calibri"/>
          <w:color w:val="000000"/>
          <w:szCs w:val="22"/>
        </w:rPr>
        <w:t xml:space="preserve">To further explore the effect of substrate size on conversion, the substrate scope was extended to epoxides </w:t>
      </w:r>
      <w:r w:rsidRPr="00F70A39">
        <w:rPr>
          <w:rFonts w:cs="Calibri"/>
          <w:b/>
          <w:color w:val="000000"/>
          <w:szCs w:val="22"/>
        </w:rPr>
        <w:t>1g-m</w:t>
      </w:r>
      <w:r w:rsidRPr="00F70A39">
        <w:rPr>
          <w:rFonts w:cs="Calibri"/>
          <w:color w:val="000000"/>
          <w:szCs w:val="22"/>
        </w:rPr>
        <w:t xml:space="preserve"> (Scheme 4). SBA-15-10-</w:t>
      </w:r>
      <w:r w:rsidRPr="00F70A39">
        <w:rPr>
          <w:rFonts w:cs="Calibri"/>
          <w:b/>
          <w:color w:val="000000"/>
          <w:szCs w:val="22"/>
        </w:rPr>
        <w:t>7</w:t>
      </w:r>
      <w:r w:rsidRPr="00F70A39">
        <w:rPr>
          <w:rFonts w:cs="Calibri"/>
          <w:color w:val="000000"/>
          <w:szCs w:val="22"/>
        </w:rPr>
        <w:t xml:space="preserve"> was found to be the best catalyst for each of substrates </w:t>
      </w:r>
      <w:r w:rsidRPr="00F70A39">
        <w:rPr>
          <w:rFonts w:cs="Calibri"/>
          <w:b/>
          <w:color w:val="000000"/>
          <w:szCs w:val="22"/>
        </w:rPr>
        <w:t>1g-l</w:t>
      </w:r>
      <w:r w:rsidRPr="00F70A39">
        <w:rPr>
          <w:rFonts w:cs="Calibri"/>
          <w:color w:val="000000"/>
          <w:szCs w:val="22"/>
        </w:rPr>
        <w:t xml:space="preserve"> (Table 3). For the halomethyl epoxides </w:t>
      </w:r>
      <w:r w:rsidRPr="00F70A39">
        <w:rPr>
          <w:rFonts w:cs="Calibri"/>
          <w:b/>
          <w:color w:val="000000"/>
          <w:szCs w:val="22"/>
        </w:rPr>
        <w:t>1g-i</w:t>
      </w:r>
      <w:r w:rsidRPr="00F70A39">
        <w:rPr>
          <w:rFonts w:cs="Calibri"/>
          <w:color w:val="000000"/>
          <w:szCs w:val="22"/>
        </w:rPr>
        <w:t>, the conversion increased from catalysts SBA-15-</w:t>
      </w:r>
      <w:r w:rsidRPr="00F70A39">
        <w:rPr>
          <w:rFonts w:cs="Calibri"/>
          <w:b/>
          <w:color w:val="000000"/>
          <w:szCs w:val="22"/>
        </w:rPr>
        <w:t>7</w:t>
      </w:r>
      <w:r w:rsidRPr="00F70A39">
        <w:rPr>
          <w:rFonts w:cs="Calibri"/>
          <w:color w:val="000000"/>
          <w:szCs w:val="22"/>
        </w:rPr>
        <w:t xml:space="preserve"> to SBA-15-7-</w:t>
      </w:r>
      <w:r w:rsidRPr="00F70A39">
        <w:rPr>
          <w:rFonts w:cs="Calibri"/>
          <w:b/>
          <w:color w:val="000000"/>
          <w:szCs w:val="22"/>
        </w:rPr>
        <w:t>7</w:t>
      </w:r>
      <w:r w:rsidRPr="00F70A39">
        <w:rPr>
          <w:rFonts w:cs="Calibri"/>
          <w:color w:val="000000"/>
          <w:szCs w:val="22"/>
        </w:rPr>
        <w:t xml:space="preserve"> to SBA-15-10-</w:t>
      </w:r>
      <w:r w:rsidRPr="00F70A39">
        <w:rPr>
          <w:rFonts w:cs="Calibri"/>
          <w:b/>
          <w:color w:val="000000"/>
          <w:szCs w:val="22"/>
        </w:rPr>
        <w:t>7</w:t>
      </w:r>
      <w:r w:rsidRPr="00F70A39">
        <w:rPr>
          <w:rFonts w:cs="Calibri"/>
          <w:color w:val="000000"/>
          <w:szCs w:val="22"/>
        </w:rPr>
        <w:t xml:space="preserve">, but the conversion also increased as the size of the epoxide increased from </w:t>
      </w:r>
      <w:r w:rsidRPr="00F70A39">
        <w:rPr>
          <w:rFonts w:cs="Calibri"/>
          <w:b/>
          <w:color w:val="000000"/>
          <w:szCs w:val="22"/>
        </w:rPr>
        <w:t xml:space="preserve">1g </w:t>
      </w:r>
      <w:r w:rsidRPr="00F70A39">
        <w:rPr>
          <w:rFonts w:cs="Calibri"/>
          <w:color w:val="000000"/>
          <w:szCs w:val="22"/>
        </w:rPr>
        <w:t xml:space="preserve">to </w:t>
      </w:r>
      <w:r w:rsidRPr="00F70A39">
        <w:rPr>
          <w:rFonts w:cs="Calibri"/>
          <w:b/>
          <w:color w:val="000000"/>
          <w:szCs w:val="22"/>
        </w:rPr>
        <w:t>1h</w:t>
      </w:r>
      <w:r w:rsidRPr="00F70A39">
        <w:rPr>
          <w:rFonts w:cs="Calibri"/>
          <w:color w:val="000000"/>
          <w:szCs w:val="22"/>
        </w:rPr>
        <w:t xml:space="preserve"> to </w:t>
      </w:r>
      <w:r w:rsidRPr="00F70A39">
        <w:rPr>
          <w:rFonts w:cs="Calibri"/>
          <w:b/>
          <w:color w:val="000000"/>
          <w:szCs w:val="22"/>
        </w:rPr>
        <w:t>1i</w:t>
      </w:r>
      <w:r w:rsidRPr="00F70A39">
        <w:rPr>
          <w:rFonts w:cs="Calibri"/>
          <w:color w:val="000000"/>
          <w:szCs w:val="22"/>
        </w:rPr>
        <w:t xml:space="preserve">. This suggests that for these small epoxides, size related access to active sites within </w:t>
      </w:r>
      <w:r>
        <w:rPr>
          <w:rFonts w:cs="Calibri"/>
          <w:color w:val="000000"/>
          <w:szCs w:val="22"/>
        </w:rPr>
        <w:t xml:space="preserve">the </w:t>
      </w:r>
      <w:r w:rsidRPr="00F70A39">
        <w:rPr>
          <w:rFonts w:cs="Calibri"/>
          <w:color w:val="000000"/>
          <w:szCs w:val="22"/>
        </w:rPr>
        <w:t xml:space="preserve">pores is not the dominant factor and the observed effects may be due to hydrophobicity increasing from </w:t>
      </w:r>
      <w:r w:rsidRPr="00F70A39">
        <w:rPr>
          <w:rFonts w:cs="Calibri"/>
          <w:b/>
          <w:color w:val="000000"/>
          <w:szCs w:val="22"/>
        </w:rPr>
        <w:t xml:space="preserve">1/2g </w:t>
      </w:r>
      <w:r w:rsidRPr="00F70A39">
        <w:rPr>
          <w:rFonts w:cs="Calibri"/>
          <w:color w:val="000000"/>
          <w:szCs w:val="22"/>
        </w:rPr>
        <w:t xml:space="preserve">to </w:t>
      </w:r>
      <w:r w:rsidRPr="00F70A39">
        <w:rPr>
          <w:rFonts w:cs="Calibri"/>
          <w:b/>
          <w:color w:val="000000"/>
          <w:szCs w:val="22"/>
        </w:rPr>
        <w:t>1/2h</w:t>
      </w:r>
      <w:r w:rsidRPr="00F70A39">
        <w:rPr>
          <w:rFonts w:cs="Calibri"/>
          <w:color w:val="000000"/>
          <w:szCs w:val="22"/>
        </w:rPr>
        <w:t xml:space="preserve"> to </w:t>
      </w:r>
      <w:r w:rsidRPr="00F70A39">
        <w:rPr>
          <w:rFonts w:cs="Calibri"/>
          <w:b/>
          <w:color w:val="000000"/>
          <w:szCs w:val="22"/>
        </w:rPr>
        <w:t>1/2i</w:t>
      </w:r>
      <w:r w:rsidRPr="00F70A39">
        <w:rPr>
          <w:rFonts w:cs="Calibri"/>
          <w:color w:val="000000"/>
          <w:szCs w:val="22"/>
        </w:rPr>
        <w:t xml:space="preserve"> resulting in product being more effectively repelled away from the silanol surface and thus clearing the catalytically active sites.</w:t>
      </w:r>
    </w:p>
    <w:p w:rsidR="00A04EF1" w:rsidRPr="001F38DA" w:rsidRDefault="00A04EF1" w:rsidP="00A04EF1">
      <w:pPr>
        <w:spacing w:before="240"/>
        <w:jc w:val="center"/>
        <w:rPr>
          <w:color w:val="FF0000"/>
          <w:sz w:val="18"/>
          <w:szCs w:val="20"/>
          <w:lang w:val="en-GB"/>
        </w:rPr>
      </w:pPr>
      <w:r>
        <w:object w:dxaOrig="4344" w:dyaOrig="2141">
          <v:shape id="_x0000_i1032" type="#_x0000_t75" style="width:162.85pt;height:80.1pt" o:ole="">
            <v:imagedata r:id="rId20" o:title=""/>
          </v:shape>
          <o:OLEObject Type="Embed" ProgID="ChemDraw.Document.6.0" ShapeID="_x0000_i1032" DrawAspect="Content" ObjectID="_1601902983" r:id="rId21"/>
        </w:object>
      </w:r>
    </w:p>
    <w:p w:rsidR="00A04EF1" w:rsidRPr="00A04EF1" w:rsidRDefault="00A04EF1" w:rsidP="00787EAD">
      <w:pPr>
        <w:pStyle w:val="SchemeCaption"/>
        <w:spacing w:before="120" w:after="360"/>
      </w:pPr>
      <w:r>
        <w:rPr>
          <w:b/>
        </w:rPr>
        <w:t>Scheme</w:t>
      </w:r>
      <w:r w:rsidRPr="005702B8">
        <w:rPr>
          <w:b/>
        </w:rPr>
        <w:t xml:space="preserve"> </w:t>
      </w:r>
      <w:r>
        <w:rPr>
          <w:b/>
        </w:rPr>
        <w:t>4.</w:t>
      </w:r>
      <w:r>
        <w:t xml:space="preserve"> </w:t>
      </w:r>
      <w:r w:rsidRPr="00FE39A8">
        <w:rPr>
          <w:rFonts w:cs="Arial"/>
        </w:rPr>
        <w:t xml:space="preserve">Conversion of epoxides </w:t>
      </w:r>
      <w:r w:rsidRPr="00FE39A8">
        <w:rPr>
          <w:rFonts w:cs="Arial"/>
          <w:b/>
        </w:rPr>
        <w:t>1g</w:t>
      </w:r>
      <w:r w:rsidRPr="00FE39A8">
        <w:rPr>
          <w:rFonts w:cs="Arial"/>
        </w:rPr>
        <w:t>-</w:t>
      </w:r>
      <w:r>
        <w:rPr>
          <w:rFonts w:cs="Arial"/>
          <w:b/>
        </w:rPr>
        <w:t>m</w:t>
      </w:r>
      <w:r w:rsidRPr="00FE39A8">
        <w:rPr>
          <w:rFonts w:cs="Arial"/>
        </w:rPr>
        <w:t xml:space="preserve"> into </w:t>
      </w:r>
      <w:r>
        <w:rPr>
          <w:rFonts w:cs="Arial"/>
        </w:rPr>
        <w:t xml:space="preserve">cyclic carbonates </w:t>
      </w:r>
      <w:r w:rsidRPr="00FE39A8">
        <w:rPr>
          <w:rFonts w:cs="Arial"/>
          <w:b/>
        </w:rPr>
        <w:t>2g</w:t>
      </w:r>
      <w:r w:rsidRPr="00FE39A8">
        <w:rPr>
          <w:rFonts w:cs="Arial"/>
        </w:rPr>
        <w:t>-</w:t>
      </w:r>
      <w:r>
        <w:rPr>
          <w:rFonts w:cs="Arial"/>
          <w:b/>
        </w:rPr>
        <w:t>m</w:t>
      </w:r>
      <w:r>
        <w:t>.</w:t>
      </w:r>
    </w:p>
    <w:p w:rsidR="00A04EF1" w:rsidRPr="00C2552A" w:rsidRDefault="00A04EF1" w:rsidP="00A04EF1">
      <w:pPr>
        <w:pStyle w:val="TableCaption"/>
      </w:pPr>
      <w:r w:rsidRPr="00162883">
        <w:rPr>
          <w:b/>
        </w:rPr>
        <w:t>Ta</w:t>
      </w:r>
      <w:r>
        <w:rPr>
          <w:b/>
        </w:rPr>
        <w:t>ble</w:t>
      </w:r>
      <w:r w:rsidRPr="00162883">
        <w:rPr>
          <w:b/>
        </w:rPr>
        <w:t xml:space="preserve"> </w:t>
      </w:r>
      <w:r>
        <w:rPr>
          <w:b/>
        </w:rPr>
        <w:t>3.</w:t>
      </w:r>
      <w:r w:rsidRPr="00C2552A">
        <w:t xml:space="preserve"> </w:t>
      </w:r>
      <w:r w:rsidRPr="00F70A39">
        <w:rPr>
          <w:rStyle w:val="RSCT02TabletitlewithouttopbarChar"/>
          <w:rFonts w:ascii="Times New Roman" w:eastAsia="MS Mincho" w:hAnsi="Times New Roman"/>
          <w:sz w:val="20"/>
          <w:szCs w:val="20"/>
        </w:rPr>
        <w:t xml:space="preserve">Conversion of epoxides </w:t>
      </w:r>
      <w:r w:rsidRPr="00F70A39">
        <w:rPr>
          <w:rStyle w:val="RSCT02TabletitlewithouttopbarChar"/>
          <w:rFonts w:ascii="Times New Roman" w:eastAsia="MS Mincho" w:hAnsi="Times New Roman"/>
          <w:b/>
          <w:sz w:val="20"/>
          <w:szCs w:val="20"/>
        </w:rPr>
        <w:t>1g-m</w:t>
      </w:r>
      <w:r w:rsidRPr="00F70A39">
        <w:rPr>
          <w:rStyle w:val="RSCT02TabletitlewithouttopbarChar"/>
          <w:rFonts w:ascii="Times New Roman" w:eastAsia="MS Mincho" w:hAnsi="Times New Roman"/>
          <w:sz w:val="20"/>
          <w:szCs w:val="20"/>
        </w:rPr>
        <w:t xml:space="preserve"> into cyclic carbonates </w:t>
      </w:r>
      <w:r w:rsidRPr="00F70A39">
        <w:rPr>
          <w:rStyle w:val="RSCT02TabletitlewithouttopbarChar"/>
          <w:rFonts w:ascii="Times New Roman" w:eastAsia="MS Mincho" w:hAnsi="Times New Roman"/>
          <w:b/>
          <w:sz w:val="20"/>
          <w:szCs w:val="20"/>
        </w:rPr>
        <w:t>2g-m</w:t>
      </w:r>
      <w:r w:rsidRPr="00F70A39">
        <w:rPr>
          <w:rStyle w:val="RSCT02TabletitlewithouttopbarChar"/>
          <w:rFonts w:ascii="Times New Roman" w:eastAsia="MS Mincho" w:hAnsi="Times New Roman"/>
          <w:sz w:val="20"/>
          <w:szCs w:val="20"/>
        </w:rPr>
        <w:t xml:space="preserve"> using mesoporous</w:t>
      </w:r>
      <w:r w:rsidRPr="00F70A39">
        <w:rPr>
          <w:szCs w:val="20"/>
        </w:rPr>
        <w:t xml:space="preserve"> silica</w:t>
      </w:r>
      <w:r w:rsidRPr="00FE39A8">
        <w:rPr>
          <w:rFonts w:cs="Arial"/>
        </w:rPr>
        <w:t>-supported catalysts</w:t>
      </w:r>
      <w:r>
        <w:t>.</w:t>
      </w:r>
    </w:p>
    <w:tbl>
      <w:tblPr>
        <w:tblW w:w="0" w:type="auto"/>
        <w:tblLook w:val="01E0" w:firstRow="1" w:lastRow="1" w:firstColumn="1" w:lastColumn="1" w:noHBand="0" w:noVBand="0"/>
      </w:tblPr>
      <w:tblGrid>
        <w:gridCol w:w="961"/>
        <w:gridCol w:w="835"/>
        <w:gridCol w:w="909"/>
        <w:gridCol w:w="954"/>
        <w:gridCol w:w="735"/>
        <w:gridCol w:w="584"/>
      </w:tblGrid>
      <w:tr w:rsidR="00A04EF1" w:rsidRPr="00BF31B4" w:rsidTr="00437776">
        <w:tc>
          <w:tcPr>
            <w:tcW w:w="0" w:type="auto"/>
            <w:vMerge w:val="restart"/>
            <w:tcBorders>
              <w:top w:val="single" w:sz="4" w:space="0" w:color="000000"/>
            </w:tcBorders>
            <w:vAlign w:val="center"/>
          </w:tcPr>
          <w:p w:rsidR="00A04EF1" w:rsidRPr="00EA067A" w:rsidRDefault="00A04EF1" w:rsidP="00437776">
            <w:pPr>
              <w:pStyle w:val="TableHead"/>
              <w:jc w:val="center"/>
            </w:pPr>
            <w:r>
              <w:t>Substrate</w:t>
            </w:r>
          </w:p>
        </w:tc>
        <w:tc>
          <w:tcPr>
            <w:tcW w:w="0" w:type="auto"/>
            <w:gridSpan w:val="5"/>
            <w:tcBorders>
              <w:top w:val="single" w:sz="4" w:space="0" w:color="000000"/>
            </w:tcBorders>
            <w:vAlign w:val="center"/>
          </w:tcPr>
          <w:p w:rsidR="00A04EF1" w:rsidRPr="00EA067A" w:rsidRDefault="00A04EF1" w:rsidP="00437776">
            <w:pPr>
              <w:pStyle w:val="TableHead"/>
              <w:jc w:val="center"/>
            </w:pPr>
            <w:r>
              <w:t>Conversion (%)</w:t>
            </w:r>
            <w:r w:rsidRPr="00CF77CB">
              <w:rPr>
                <w:vertAlign w:val="superscript"/>
              </w:rPr>
              <w:t>a)</w:t>
            </w:r>
          </w:p>
        </w:tc>
      </w:tr>
      <w:tr w:rsidR="00A04EF1" w:rsidRPr="00BF31B4" w:rsidTr="00437776">
        <w:tc>
          <w:tcPr>
            <w:tcW w:w="0" w:type="auto"/>
            <w:vMerge/>
            <w:tcBorders>
              <w:bottom w:val="single" w:sz="4" w:space="0" w:color="000000"/>
            </w:tcBorders>
          </w:tcPr>
          <w:p w:rsidR="00A04EF1" w:rsidRDefault="00A04EF1" w:rsidP="00437776">
            <w:pPr>
              <w:pStyle w:val="TableHead"/>
            </w:pPr>
          </w:p>
        </w:tc>
        <w:tc>
          <w:tcPr>
            <w:tcW w:w="0" w:type="auto"/>
            <w:tcBorders>
              <w:bottom w:val="single" w:sz="4" w:space="0" w:color="000000"/>
            </w:tcBorders>
          </w:tcPr>
          <w:p w:rsidR="00A04EF1" w:rsidRPr="00CF77CB" w:rsidRDefault="00A04EF1" w:rsidP="00437776">
            <w:pPr>
              <w:jc w:val="center"/>
              <w:rPr>
                <w:sz w:val="20"/>
                <w:szCs w:val="20"/>
              </w:rPr>
            </w:pPr>
            <w:r w:rsidRPr="00CF77CB">
              <w:rPr>
                <w:sz w:val="20"/>
                <w:szCs w:val="20"/>
              </w:rPr>
              <w:t>SBA-15</w:t>
            </w:r>
            <w:r w:rsidRPr="00CF77CB">
              <w:rPr>
                <w:b/>
                <w:sz w:val="20"/>
                <w:szCs w:val="20"/>
              </w:rPr>
              <w:t>-7</w:t>
            </w:r>
          </w:p>
        </w:tc>
        <w:tc>
          <w:tcPr>
            <w:tcW w:w="0" w:type="auto"/>
            <w:tcBorders>
              <w:bottom w:val="single" w:sz="4" w:space="0" w:color="000000"/>
            </w:tcBorders>
          </w:tcPr>
          <w:p w:rsidR="00A04EF1" w:rsidRPr="00CF77CB" w:rsidRDefault="00A04EF1" w:rsidP="00437776">
            <w:pPr>
              <w:jc w:val="center"/>
              <w:rPr>
                <w:sz w:val="20"/>
                <w:szCs w:val="20"/>
              </w:rPr>
            </w:pPr>
            <w:r w:rsidRPr="00CF77CB">
              <w:rPr>
                <w:sz w:val="20"/>
                <w:szCs w:val="20"/>
              </w:rPr>
              <w:t>SBA-15-7</w:t>
            </w:r>
            <w:r w:rsidRPr="00CF77CB">
              <w:rPr>
                <w:b/>
                <w:sz w:val="20"/>
                <w:szCs w:val="20"/>
              </w:rPr>
              <w:t>-7</w:t>
            </w:r>
          </w:p>
        </w:tc>
        <w:tc>
          <w:tcPr>
            <w:tcW w:w="0" w:type="auto"/>
            <w:tcBorders>
              <w:bottom w:val="single" w:sz="4" w:space="0" w:color="000000"/>
            </w:tcBorders>
          </w:tcPr>
          <w:p w:rsidR="00A04EF1" w:rsidRPr="00CF77CB" w:rsidRDefault="00A04EF1" w:rsidP="00437776">
            <w:pPr>
              <w:jc w:val="center"/>
              <w:rPr>
                <w:sz w:val="20"/>
                <w:szCs w:val="20"/>
              </w:rPr>
            </w:pPr>
            <w:r w:rsidRPr="00CF77CB">
              <w:rPr>
                <w:sz w:val="20"/>
                <w:szCs w:val="20"/>
              </w:rPr>
              <w:t>SBA-15-10</w:t>
            </w:r>
            <w:r w:rsidRPr="00CF77CB">
              <w:rPr>
                <w:b/>
                <w:sz w:val="20"/>
                <w:szCs w:val="20"/>
              </w:rPr>
              <w:t>-7</w:t>
            </w:r>
          </w:p>
        </w:tc>
        <w:tc>
          <w:tcPr>
            <w:tcW w:w="0" w:type="auto"/>
            <w:tcBorders>
              <w:bottom w:val="single" w:sz="4" w:space="0" w:color="000000"/>
            </w:tcBorders>
          </w:tcPr>
          <w:p w:rsidR="00A04EF1" w:rsidRPr="00CF77CB" w:rsidRDefault="00A04EF1" w:rsidP="00437776">
            <w:pPr>
              <w:jc w:val="center"/>
              <w:rPr>
                <w:sz w:val="20"/>
                <w:szCs w:val="20"/>
              </w:rPr>
            </w:pPr>
            <w:r w:rsidRPr="00CF77CB">
              <w:rPr>
                <w:sz w:val="20"/>
                <w:szCs w:val="20"/>
              </w:rPr>
              <w:t>KIT-6</w:t>
            </w:r>
            <w:r w:rsidRPr="00CF77CB">
              <w:rPr>
                <w:b/>
                <w:sz w:val="20"/>
                <w:szCs w:val="20"/>
              </w:rPr>
              <w:t>-7</w:t>
            </w:r>
          </w:p>
        </w:tc>
        <w:tc>
          <w:tcPr>
            <w:tcW w:w="0" w:type="auto"/>
            <w:tcBorders>
              <w:bottom w:val="single" w:sz="4" w:space="0" w:color="000000"/>
            </w:tcBorders>
          </w:tcPr>
          <w:p w:rsidR="00A04EF1" w:rsidRPr="00CF77CB" w:rsidRDefault="00A04EF1" w:rsidP="00437776">
            <w:pPr>
              <w:jc w:val="center"/>
              <w:rPr>
                <w:sz w:val="20"/>
                <w:szCs w:val="20"/>
              </w:rPr>
            </w:pPr>
            <w:r w:rsidRPr="00CF77CB">
              <w:rPr>
                <w:sz w:val="20"/>
                <w:szCs w:val="20"/>
              </w:rPr>
              <w:t>SA</w:t>
            </w:r>
            <w:r w:rsidRPr="00CF77CB">
              <w:rPr>
                <w:b/>
                <w:sz w:val="20"/>
                <w:szCs w:val="20"/>
              </w:rPr>
              <w:t>-7</w:t>
            </w:r>
          </w:p>
        </w:tc>
      </w:tr>
      <w:tr w:rsidR="00A04EF1" w:rsidRPr="00BF31B4" w:rsidTr="00437776">
        <w:tc>
          <w:tcPr>
            <w:tcW w:w="0" w:type="auto"/>
            <w:tcBorders>
              <w:top w:val="single" w:sz="4" w:space="0" w:color="000000"/>
            </w:tcBorders>
          </w:tcPr>
          <w:p w:rsidR="00A04EF1" w:rsidRPr="00CF77CB" w:rsidRDefault="00A04EF1" w:rsidP="00437776">
            <w:pPr>
              <w:pStyle w:val="TableBody"/>
              <w:rPr>
                <w:b/>
                <w:lang w:val="en-GB"/>
              </w:rPr>
            </w:pPr>
            <w:r>
              <w:rPr>
                <w:b/>
                <w:lang w:val="en-GB"/>
              </w:rPr>
              <w:t>1g</w:t>
            </w:r>
          </w:p>
        </w:tc>
        <w:tc>
          <w:tcPr>
            <w:tcW w:w="0" w:type="auto"/>
            <w:tcBorders>
              <w:top w:val="single" w:sz="4" w:space="0" w:color="000000"/>
            </w:tcBorders>
          </w:tcPr>
          <w:p w:rsidR="00A04EF1" w:rsidRPr="00F70A39" w:rsidRDefault="00A04EF1" w:rsidP="00437776">
            <w:pPr>
              <w:jc w:val="center"/>
              <w:rPr>
                <w:sz w:val="20"/>
                <w:szCs w:val="20"/>
              </w:rPr>
            </w:pPr>
            <w:r w:rsidRPr="00F70A39">
              <w:rPr>
                <w:sz w:val="20"/>
                <w:szCs w:val="20"/>
              </w:rPr>
              <w:t>23</w:t>
            </w:r>
          </w:p>
        </w:tc>
        <w:tc>
          <w:tcPr>
            <w:tcW w:w="0" w:type="auto"/>
            <w:tcBorders>
              <w:top w:val="single" w:sz="4" w:space="0" w:color="000000"/>
            </w:tcBorders>
          </w:tcPr>
          <w:p w:rsidR="00A04EF1" w:rsidRPr="00F70A39" w:rsidRDefault="00A04EF1" w:rsidP="00437776">
            <w:pPr>
              <w:jc w:val="center"/>
              <w:rPr>
                <w:sz w:val="20"/>
                <w:szCs w:val="20"/>
              </w:rPr>
            </w:pPr>
            <w:r w:rsidRPr="00F70A39">
              <w:rPr>
                <w:sz w:val="20"/>
                <w:szCs w:val="20"/>
              </w:rPr>
              <w:t>29</w:t>
            </w:r>
          </w:p>
        </w:tc>
        <w:tc>
          <w:tcPr>
            <w:tcW w:w="0" w:type="auto"/>
            <w:tcBorders>
              <w:top w:val="single" w:sz="4" w:space="0" w:color="000000"/>
            </w:tcBorders>
          </w:tcPr>
          <w:p w:rsidR="00A04EF1" w:rsidRPr="00F70A39" w:rsidRDefault="00A04EF1" w:rsidP="00437776">
            <w:pPr>
              <w:jc w:val="center"/>
              <w:rPr>
                <w:sz w:val="20"/>
                <w:szCs w:val="20"/>
              </w:rPr>
            </w:pPr>
            <w:r w:rsidRPr="00F70A39">
              <w:rPr>
                <w:sz w:val="20"/>
                <w:szCs w:val="20"/>
              </w:rPr>
              <w:t>37</w:t>
            </w:r>
          </w:p>
        </w:tc>
        <w:tc>
          <w:tcPr>
            <w:tcW w:w="0" w:type="auto"/>
            <w:tcBorders>
              <w:top w:val="single" w:sz="4" w:space="0" w:color="000000"/>
            </w:tcBorders>
          </w:tcPr>
          <w:p w:rsidR="00A04EF1" w:rsidRPr="00F70A39" w:rsidRDefault="00A04EF1" w:rsidP="00437776">
            <w:pPr>
              <w:jc w:val="center"/>
              <w:rPr>
                <w:sz w:val="20"/>
                <w:szCs w:val="20"/>
              </w:rPr>
            </w:pPr>
            <w:r w:rsidRPr="00F70A39">
              <w:rPr>
                <w:sz w:val="20"/>
                <w:szCs w:val="20"/>
              </w:rPr>
              <w:t>31</w:t>
            </w:r>
          </w:p>
        </w:tc>
        <w:tc>
          <w:tcPr>
            <w:tcW w:w="0" w:type="auto"/>
            <w:tcBorders>
              <w:top w:val="single" w:sz="4" w:space="0" w:color="000000"/>
            </w:tcBorders>
          </w:tcPr>
          <w:p w:rsidR="00A04EF1" w:rsidRPr="00F70A39" w:rsidRDefault="00A04EF1" w:rsidP="00437776">
            <w:pPr>
              <w:jc w:val="center"/>
              <w:rPr>
                <w:sz w:val="20"/>
                <w:szCs w:val="20"/>
              </w:rPr>
            </w:pPr>
            <w:r w:rsidRPr="00F70A39">
              <w:rPr>
                <w:sz w:val="20"/>
                <w:szCs w:val="20"/>
              </w:rPr>
              <w:t>24</w:t>
            </w:r>
          </w:p>
        </w:tc>
      </w:tr>
      <w:tr w:rsidR="00A04EF1" w:rsidRPr="00EA067A" w:rsidTr="00437776">
        <w:tc>
          <w:tcPr>
            <w:tcW w:w="0" w:type="auto"/>
          </w:tcPr>
          <w:p w:rsidR="00A04EF1" w:rsidRPr="00CF77CB" w:rsidRDefault="00A04EF1" w:rsidP="00437776">
            <w:pPr>
              <w:pStyle w:val="TableBody"/>
              <w:rPr>
                <w:b/>
                <w:lang w:val="en-GB"/>
              </w:rPr>
            </w:pPr>
            <w:r>
              <w:rPr>
                <w:b/>
                <w:lang w:val="en-GB"/>
              </w:rPr>
              <w:t>1h</w:t>
            </w:r>
          </w:p>
        </w:tc>
        <w:tc>
          <w:tcPr>
            <w:tcW w:w="0" w:type="auto"/>
          </w:tcPr>
          <w:p w:rsidR="00A04EF1" w:rsidRPr="00F70A39" w:rsidRDefault="00A04EF1" w:rsidP="00437776">
            <w:pPr>
              <w:jc w:val="center"/>
              <w:rPr>
                <w:sz w:val="20"/>
                <w:szCs w:val="20"/>
              </w:rPr>
            </w:pPr>
            <w:r w:rsidRPr="00F70A39">
              <w:rPr>
                <w:sz w:val="20"/>
                <w:szCs w:val="20"/>
              </w:rPr>
              <w:t>31</w:t>
            </w:r>
          </w:p>
        </w:tc>
        <w:tc>
          <w:tcPr>
            <w:tcW w:w="0" w:type="auto"/>
          </w:tcPr>
          <w:p w:rsidR="00A04EF1" w:rsidRPr="00F70A39" w:rsidRDefault="00A04EF1" w:rsidP="00437776">
            <w:pPr>
              <w:jc w:val="center"/>
              <w:rPr>
                <w:sz w:val="20"/>
                <w:szCs w:val="20"/>
              </w:rPr>
            </w:pPr>
            <w:r w:rsidRPr="00F70A39">
              <w:rPr>
                <w:sz w:val="20"/>
                <w:szCs w:val="20"/>
              </w:rPr>
              <w:t>50</w:t>
            </w:r>
          </w:p>
        </w:tc>
        <w:tc>
          <w:tcPr>
            <w:tcW w:w="0" w:type="auto"/>
          </w:tcPr>
          <w:p w:rsidR="00A04EF1" w:rsidRPr="00F70A39" w:rsidRDefault="00A04EF1" w:rsidP="00437776">
            <w:pPr>
              <w:jc w:val="center"/>
              <w:rPr>
                <w:sz w:val="20"/>
                <w:szCs w:val="20"/>
              </w:rPr>
            </w:pPr>
            <w:r w:rsidRPr="00F70A39">
              <w:rPr>
                <w:sz w:val="20"/>
                <w:szCs w:val="20"/>
              </w:rPr>
              <w:t>63</w:t>
            </w:r>
          </w:p>
        </w:tc>
        <w:tc>
          <w:tcPr>
            <w:tcW w:w="0" w:type="auto"/>
          </w:tcPr>
          <w:p w:rsidR="00A04EF1" w:rsidRPr="00F70A39" w:rsidRDefault="00A04EF1" w:rsidP="00437776">
            <w:pPr>
              <w:jc w:val="center"/>
              <w:rPr>
                <w:sz w:val="20"/>
                <w:szCs w:val="20"/>
              </w:rPr>
            </w:pPr>
            <w:r w:rsidRPr="00F70A39">
              <w:rPr>
                <w:sz w:val="20"/>
                <w:szCs w:val="20"/>
              </w:rPr>
              <w:t>51</w:t>
            </w:r>
          </w:p>
        </w:tc>
        <w:tc>
          <w:tcPr>
            <w:tcW w:w="0" w:type="auto"/>
          </w:tcPr>
          <w:p w:rsidR="00A04EF1" w:rsidRPr="00F70A39" w:rsidRDefault="00A04EF1" w:rsidP="00437776">
            <w:pPr>
              <w:jc w:val="center"/>
              <w:rPr>
                <w:sz w:val="20"/>
                <w:szCs w:val="20"/>
              </w:rPr>
            </w:pPr>
            <w:r w:rsidRPr="00F70A39">
              <w:rPr>
                <w:sz w:val="20"/>
                <w:szCs w:val="20"/>
              </w:rPr>
              <w:t>39</w:t>
            </w:r>
          </w:p>
        </w:tc>
      </w:tr>
      <w:tr w:rsidR="00A04EF1" w:rsidRPr="00EA067A" w:rsidTr="00437776">
        <w:tc>
          <w:tcPr>
            <w:tcW w:w="0" w:type="auto"/>
          </w:tcPr>
          <w:p w:rsidR="00A04EF1" w:rsidRPr="00CF77CB" w:rsidRDefault="00A04EF1" w:rsidP="00437776">
            <w:pPr>
              <w:pStyle w:val="TableBody"/>
              <w:rPr>
                <w:b/>
                <w:lang w:val="en-GB"/>
              </w:rPr>
            </w:pPr>
            <w:r>
              <w:rPr>
                <w:b/>
                <w:lang w:val="en-GB"/>
              </w:rPr>
              <w:t>1i</w:t>
            </w:r>
          </w:p>
        </w:tc>
        <w:tc>
          <w:tcPr>
            <w:tcW w:w="0" w:type="auto"/>
          </w:tcPr>
          <w:p w:rsidR="00A04EF1" w:rsidRPr="00F70A39" w:rsidRDefault="00A04EF1" w:rsidP="00437776">
            <w:pPr>
              <w:jc w:val="center"/>
              <w:rPr>
                <w:sz w:val="20"/>
                <w:szCs w:val="20"/>
              </w:rPr>
            </w:pPr>
            <w:r w:rsidRPr="00F70A39">
              <w:rPr>
                <w:sz w:val="20"/>
                <w:szCs w:val="20"/>
              </w:rPr>
              <w:t>52</w:t>
            </w:r>
          </w:p>
        </w:tc>
        <w:tc>
          <w:tcPr>
            <w:tcW w:w="0" w:type="auto"/>
          </w:tcPr>
          <w:p w:rsidR="00A04EF1" w:rsidRPr="00F70A39" w:rsidRDefault="00A04EF1" w:rsidP="00437776">
            <w:pPr>
              <w:jc w:val="center"/>
              <w:rPr>
                <w:sz w:val="20"/>
                <w:szCs w:val="20"/>
              </w:rPr>
            </w:pPr>
            <w:r w:rsidRPr="00F70A39">
              <w:rPr>
                <w:sz w:val="20"/>
                <w:szCs w:val="20"/>
              </w:rPr>
              <w:t>60</w:t>
            </w:r>
          </w:p>
        </w:tc>
        <w:tc>
          <w:tcPr>
            <w:tcW w:w="0" w:type="auto"/>
          </w:tcPr>
          <w:p w:rsidR="00A04EF1" w:rsidRPr="00F70A39" w:rsidRDefault="00A04EF1" w:rsidP="00437776">
            <w:pPr>
              <w:jc w:val="center"/>
              <w:rPr>
                <w:sz w:val="20"/>
                <w:szCs w:val="20"/>
              </w:rPr>
            </w:pPr>
            <w:r w:rsidRPr="00F70A39">
              <w:rPr>
                <w:sz w:val="20"/>
                <w:szCs w:val="20"/>
              </w:rPr>
              <w:t>80</w:t>
            </w:r>
          </w:p>
        </w:tc>
        <w:tc>
          <w:tcPr>
            <w:tcW w:w="0" w:type="auto"/>
          </w:tcPr>
          <w:p w:rsidR="00A04EF1" w:rsidRPr="00F70A39" w:rsidRDefault="00A04EF1" w:rsidP="00437776">
            <w:pPr>
              <w:jc w:val="center"/>
              <w:rPr>
                <w:sz w:val="20"/>
                <w:szCs w:val="20"/>
              </w:rPr>
            </w:pPr>
            <w:r w:rsidRPr="00F70A39">
              <w:rPr>
                <w:sz w:val="20"/>
                <w:szCs w:val="20"/>
              </w:rPr>
              <w:t>67</w:t>
            </w:r>
          </w:p>
        </w:tc>
        <w:tc>
          <w:tcPr>
            <w:tcW w:w="0" w:type="auto"/>
          </w:tcPr>
          <w:p w:rsidR="00A04EF1" w:rsidRPr="00F70A39" w:rsidRDefault="00A04EF1" w:rsidP="00437776">
            <w:pPr>
              <w:jc w:val="center"/>
              <w:rPr>
                <w:sz w:val="20"/>
                <w:szCs w:val="20"/>
              </w:rPr>
            </w:pPr>
            <w:r w:rsidRPr="00F70A39">
              <w:rPr>
                <w:sz w:val="20"/>
                <w:szCs w:val="20"/>
              </w:rPr>
              <w:t>65</w:t>
            </w:r>
          </w:p>
        </w:tc>
      </w:tr>
      <w:tr w:rsidR="00A04EF1" w:rsidRPr="00EA067A" w:rsidTr="00437776">
        <w:tc>
          <w:tcPr>
            <w:tcW w:w="0" w:type="auto"/>
          </w:tcPr>
          <w:p w:rsidR="00A04EF1" w:rsidRPr="00CF77CB" w:rsidRDefault="00A04EF1" w:rsidP="00437776">
            <w:pPr>
              <w:pStyle w:val="TableBody"/>
              <w:rPr>
                <w:b/>
                <w:lang w:val="en-GB"/>
              </w:rPr>
            </w:pPr>
            <w:r>
              <w:rPr>
                <w:b/>
                <w:lang w:val="en-GB"/>
              </w:rPr>
              <w:t>1j</w:t>
            </w:r>
          </w:p>
        </w:tc>
        <w:tc>
          <w:tcPr>
            <w:tcW w:w="0" w:type="auto"/>
          </w:tcPr>
          <w:p w:rsidR="00A04EF1" w:rsidRPr="00F70A39" w:rsidRDefault="00A04EF1" w:rsidP="00437776">
            <w:pPr>
              <w:jc w:val="center"/>
              <w:rPr>
                <w:sz w:val="20"/>
                <w:szCs w:val="20"/>
              </w:rPr>
            </w:pPr>
            <w:r w:rsidRPr="00F70A39">
              <w:rPr>
                <w:sz w:val="20"/>
                <w:szCs w:val="20"/>
              </w:rPr>
              <w:t>22</w:t>
            </w:r>
          </w:p>
        </w:tc>
        <w:tc>
          <w:tcPr>
            <w:tcW w:w="0" w:type="auto"/>
          </w:tcPr>
          <w:p w:rsidR="00A04EF1" w:rsidRPr="00F70A39" w:rsidRDefault="00A04EF1" w:rsidP="00437776">
            <w:pPr>
              <w:jc w:val="center"/>
              <w:rPr>
                <w:sz w:val="20"/>
                <w:szCs w:val="20"/>
              </w:rPr>
            </w:pPr>
            <w:r w:rsidRPr="00F70A39">
              <w:rPr>
                <w:sz w:val="20"/>
                <w:szCs w:val="20"/>
              </w:rPr>
              <w:t>24</w:t>
            </w:r>
          </w:p>
        </w:tc>
        <w:tc>
          <w:tcPr>
            <w:tcW w:w="0" w:type="auto"/>
          </w:tcPr>
          <w:p w:rsidR="00A04EF1" w:rsidRPr="00F70A39" w:rsidRDefault="00A04EF1" w:rsidP="00437776">
            <w:pPr>
              <w:jc w:val="center"/>
              <w:rPr>
                <w:sz w:val="20"/>
                <w:szCs w:val="20"/>
              </w:rPr>
            </w:pPr>
            <w:r w:rsidRPr="00F70A39">
              <w:rPr>
                <w:sz w:val="20"/>
                <w:szCs w:val="20"/>
              </w:rPr>
              <w:t>29</w:t>
            </w:r>
            <w:r>
              <w:rPr>
                <w:sz w:val="20"/>
                <w:szCs w:val="20"/>
              </w:rPr>
              <w:t xml:space="preserve"> </w:t>
            </w:r>
            <w:r w:rsidRPr="006D26CF">
              <w:rPr>
                <w:color w:val="FF0000"/>
                <w:sz w:val="20"/>
                <w:szCs w:val="20"/>
              </w:rPr>
              <w:t>(31)</w:t>
            </w:r>
            <w:r w:rsidRPr="006D26CF">
              <w:rPr>
                <w:color w:val="FF0000"/>
                <w:sz w:val="20"/>
                <w:szCs w:val="20"/>
                <w:vertAlign w:val="superscript"/>
              </w:rPr>
              <w:t>b)</w:t>
            </w:r>
          </w:p>
        </w:tc>
        <w:tc>
          <w:tcPr>
            <w:tcW w:w="0" w:type="auto"/>
          </w:tcPr>
          <w:p w:rsidR="00A04EF1" w:rsidRPr="00F70A39" w:rsidRDefault="00A04EF1" w:rsidP="00437776">
            <w:pPr>
              <w:jc w:val="center"/>
              <w:rPr>
                <w:sz w:val="20"/>
                <w:szCs w:val="20"/>
              </w:rPr>
            </w:pPr>
            <w:r w:rsidRPr="00F70A39">
              <w:rPr>
                <w:sz w:val="20"/>
                <w:szCs w:val="20"/>
              </w:rPr>
              <w:t>25</w:t>
            </w:r>
          </w:p>
        </w:tc>
        <w:tc>
          <w:tcPr>
            <w:tcW w:w="0" w:type="auto"/>
          </w:tcPr>
          <w:p w:rsidR="00A04EF1" w:rsidRPr="00F70A39" w:rsidRDefault="00A04EF1" w:rsidP="00437776">
            <w:pPr>
              <w:jc w:val="center"/>
              <w:rPr>
                <w:sz w:val="20"/>
                <w:szCs w:val="20"/>
              </w:rPr>
            </w:pPr>
            <w:r w:rsidRPr="00F70A39">
              <w:rPr>
                <w:sz w:val="20"/>
                <w:szCs w:val="20"/>
              </w:rPr>
              <w:t>21</w:t>
            </w:r>
          </w:p>
        </w:tc>
      </w:tr>
      <w:tr w:rsidR="00A04EF1" w:rsidRPr="00EA067A" w:rsidTr="00437776">
        <w:tc>
          <w:tcPr>
            <w:tcW w:w="0" w:type="auto"/>
          </w:tcPr>
          <w:p w:rsidR="00A04EF1" w:rsidRDefault="00A04EF1" w:rsidP="00437776">
            <w:pPr>
              <w:pStyle w:val="TableBody"/>
              <w:rPr>
                <w:b/>
                <w:lang w:val="en-GB"/>
              </w:rPr>
            </w:pPr>
            <w:r>
              <w:rPr>
                <w:b/>
                <w:lang w:val="en-GB"/>
              </w:rPr>
              <w:t>1k</w:t>
            </w:r>
          </w:p>
        </w:tc>
        <w:tc>
          <w:tcPr>
            <w:tcW w:w="0" w:type="auto"/>
          </w:tcPr>
          <w:p w:rsidR="00A04EF1" w:rsidRPr="00F70A39" w:rsidRDefault="00A04EF1" w:rsidP="00437776">
            <w:pPr>
              <w:jc w:val="center"/>
              <w:rPr>
                <w:sz w:val="20"/>
                <w:szCs w:val="20"/>
              </w:rPr>
            </w:pPr>
            <w:r w:rsidRPr="00F70A39">
              <w:rPr>
                <w:sz w:val="20"/>
                <w:szCs w:val="20"/>
              </w:rPr>
              <w:t>9</w:t>
            </w:r>
          </w:p>
        </w:tc>
        <w:tc>
          <w:tcPr>
            <w:tcW w:w="0" w:type="auto"/>
          </w:tcPr>
          <w:p w:rsidR="00A04EF1" w:rsidRPr="00F70A39" w:rsidRDefault="00A04EF1" w:rsidP="00437776">
            <w:pPr>
              <w:jc w:val="center"/>
              <w:rPr>
                <w:sz w:val="20"/>
                <w:szCs w:val="20"/>
              </w:rPr>
            </w:pPr>
            <w:r w:rsidRPr="00F70A39">
              <w:rPr>
                <w:sz w:val="20"/>
                <w:szCs w:val="20"/>
              </w:rPr>
              <w:t>13</w:t>
            </w:r>
          </w:p>
        </w:tc>
        <w:tc>
          <w:tcPr>
            <w:tcW w:w="0" w:type="auto"/>
          </w:tcPr>
          <w:p w:rsidR="00A04EF1" w:rsidRPr="00F70A39" w:rsidRDefault="00A04EF1" w:rsidP="00437776">
            <w:pPr>
              <w:jc w:val="center"/>
              <w:rPr>
                <w:sz w:val="20"/>
                <w:szCs w:val="20"/>
              </w:rPr>
            </w:pPr>
            <w:r w:rsidRPr="00F70A39">
              <w:rPr>
                <w:sz w:val="20"/>
                <w:szCs w:val="20"/>
              </w:rPr>
              <w:t>19</w:t>
            </w:r>
            <w:r>
              <w:rPr>
                <w:sz w:val="20"/>
                <w:szCs w:val="20"/>
              </w:rPr>
              <w:t xml:space="preserve"> </w:t>
            </w:r>
            <w:r w:rsidRPr="006D26CF">
              <w:rPr>
                <w:color w:val="FF0000"/>
                <w:sz w:val="20"/>
                <w:szCs w:val="20"/>
              </w:rPr>
              <w:t>(58)</w:t>
            </w:r>
            <w:r w:rsidRPr="006D26CF">
              <w:rPr>
                <w:color w:val="FF0000"/>
                <w:sz w:val="20"/>
                <w:szCs w:val="20"/>
                <w:vertAlign w:val="superscript"/>
              </w:rPr>
              <w:t>b)</w:t>
            </w:r>
          </w:p>
        </w:tc>
        <w:tc>
          <w:tcPr>
            <w:tcW w:w="0" w:type="auto"/>
          </w:tcPr>
          <w:p w:rsidR="00A04EF1" w:rsidRPr="00F70A39" w:rsidRDefault="00A04EF1" w:rsidP="00437776">
            <w:pPr>
              <w:jc w:val="center"/>
              <w:rPr>
                <w:sz w:val="20"/>
                <w:szCs w:val="20"/>
              </w:rPr>
            </w:pPr>
            <w:r w:rsidRPr="00F70A39">
              <w:rPr>
                <w:sz w:val="20"/>
                <w:szCs w:val="20"/>
              </w:rPr>
              <w:t>10</w:t>
            </w:r>
          </w:p>
        </w:tc>
        <w:tc>
          <w:tcPr>
            <w:tcW w:w="0" w:type="auto"/>
          </w:tcPr>
          <w:p w:rsidR="00A04EF1" w:rsidRPr="00F70A39" w:rsidRDefault="00A04EF1" w:rsidP="00437776">
            <w:pPr>
              <w:jc w:val="center"/>
              <w:rPr>
                <w:sz w:val="20"/>
                <w:szCs w:val="20"/>
              </w:rPr>
            </w:pPr>
            <w:r w:rsidRPr="00F70A39">
              <w:rPr>
                <w:sz w:val="20"/>
                <w:szCs w:val="20"/>
              </w:rPr>
              <w:t>12</w:t>
            </w:r>
          </w:p>
        </w:tc>
      </w:tr>
      <w:tr w:rsidR="00A04EF1" w:rsidRPr="00EA067A" w:rsidTr="00437776">
        <w:tc>
          <w:tcPr>
            <w:tcW w:w="0" w:type="auto"/>
          </w:tcPr>
          <w:p w:rsidR="00A04EF1" w:rsidRDefault="00A04EF1" w:rsidP="00437776">
            <w:pPr>
              <w:pStyle w:val="TableBody"/>
              <w:rPr>
                <w:b/>
                <w:lang w:val="en-GB"/>
              </w:rPr>
            </w:pPr>
            <w:r>
              <w:rPr>
                <w:b/>
                <w:lang w:val="en-GB"/>
              </w:rPr>
              <w:t>1l</w:t>
            </w:r>
          </w:p>
        </w:tc>
        <w:tc>
          <w:tcPr>
            <w:tcW w:w="0" w:type="auto"/>
          </w:tcPr>
          <w:p w:rsidR="00A04EF1" w:rsidRPr="00F70A39" w:rsidRDefault="00A04EF1" w:rsidP="00437776">
            <w:pPr>
              <w:jc w:val="center"/>
              <w:rPr>
                <w:sz w:val="20"/>
                <w:szCs w:val="20"/>
              </w:rPr>
            </w:pPr>
            <w:r w:rsidRPr="00F70A39">
              <w:rPr>
                <w:sz w:val="20"/>
                <w:szCs w:val="20"/>
              </w:rPr>
              <w:t>5</w:t>
            </w:r>
          </w:p>
        </w:tc>
        <w:tc>
          <w:tcPr>
            <w:tcW w:w="0" w:type="auto"/>
          </w:tcPr>
          <w:p w:rsidR="00A04EF1" w:rsidRPr="00F70A39" w:rsidRDefault="00A04EF1" w:rsidP="00437776">
            <w:pPr>
              <w:jc w:val="center"/>
              <w:rPr>
                <w:sz w:val="20"/>
                <w:szCs w:val="20"/>
              </w:rPr>
            </w:pPr>
            <w:r w:rsidRPr="00F70A39">
              <w:rPr>
                <w:sz w:val="20"/>
                <w:szCs w:val="20"/>
              </w:rPr>
              <w:t>10</w:t>
            </w:r>
          </w:p>
        </w:tc>
        <w:tc>
          <w:tcPr>
            <w:tcW w:w="0" w:type="auto"/>
          </w:tcPr>
          <w:p w:rsidR="00A04EF1" w:rsidRPr="00F70A39" w:rsidRDefault="00A04EF1" w:rsidP="00437776">
            <w:pPr>
              <w:jc w:val="center"/>
              <w:rPr>
                <w:sz w:val="20"/>
                <w:szCs w:val="20"/>
              </w:rPr>
            </w:pPr>
            <w:r w:rsidRPr="00F70A39">
              <w:rPr>
                <w:sz w:val="20"/>
                <w:szCs w:val="20"/>
              </w:rPr>
              <w:t>18</w:t>
            </w:r>
          </w:p>
        </w:tc>
        <w:tc>
          <w:tcPr>
            <w:tcW w:w="0" w:type="auto"/>
          </w:tcPr>
          <w:p w:rsidR="00A04EF1" w:rsidRPr="00F70A39" w:rsidRDefault="00A04EF1" w:rsidP="00437776">
            <w:pPr>
              <w:jc w:val="center"/>
              <w:rPr>
                <w:sz w:val="20"/>
                <w:szCs w:val="20"/>
              </w:rPr>
            </w:pPr>
            <w:r w:rsidRPr="00F70A39">
              <w:rPr>
                <w:sz w:val="20"/>
                <w:szCs w:val="20"/>
              </w:rPr>
              <w:t>7</w:t>
            </w:r>
          </w:p>
        </w:tc>
        <w:tc>
          <w:tcPr>
            <w:tcW w:w="0" w:type="auto"/>
          </w:tcPr>
          <w:p w:rsidR="00A04EF1" w:rsidRPr="00F70A39" w:rsidRDefault="00A04EF1" w:rsidP="00437776">
            <w:pPr>
              <w:jc w:val="center"/>
              <w:rPr>
                <w:sz w:val="20"/>
                <w:szCs w:val="20"/>
              </w:rPr>
            </w:pPr>
            <w:r w:rsidRPr="00F70A39">
              <w:rPr>
                <w:sz w:val="20"/>
                <w:szCs w:val="20"/>
              </w:rPr>
              <w:t>11</w:t>
            </w:r>
          </w:p>
        </w:tc>
      </w:tr>
      <w:tr w:rsidR="00A04EF1" w:rsidRPr="00EA067A" w:rsidTr="00437776">
        <w:tc>
          <w:tcPr>
            <w:tcW w:w="0" w:type="auto"/>
            <w:tcBorders>
              <w:bottom w:val="single" w:sz="4" w:space="0" w:color="000000"/>
            </w:tcBorders>
          </w:tcPr>
          <w:p w:rsidR="00A04EF1" w:rsidRPr="00CF77CB" w:rsidRDefault="00A04EF1" w:rsidP="00437776">
            <w:pPr>
              <w:pStyle w:val="TableBody"/>
              <w:rPr>
                <w:b/>
              </w:rPr>
            </w:pPr>
            <w:r>
              <w:rPr>
                <w:b/>
              </w:rPr>
              <w:t>1m</w:t>
            </w:r>
          </w:p>
        </w:tc>
        <w:tc>
          <w:tcPr>
            <w:tcW w:w="0" w:type="auto"/>
            <w:tcBorders>
              <w:bottom w:val="single" w:sz="4" w:space="0" w:color="000000"/>
            </w:tcBorders>
          </w:tcPr>
          <w:p w:rsidR="00A04EF1" w:rsidRPr="00F70A39" w:rsidRDefault="00A04EF1" w:rsidP="00437776">
            <w:pPr>
              <w:jc w:val="center"/>
              <w:rPr>
                <w:sz w:val="20"/>
                <w:szCs w:val="20"/>
              </w:rPr>
            </w:pPr>
            <w:r w:rsidRPr="00F70A39">
              <w:rPr>
                <w:sz w:val="20"/>
                <w:szCs w:val="20"/>
              </w:rPr>
              <w:t>&lt;1</w:t>
            </w:r>
          </w:p>
        </w:tc>
        <w:tc>
          <w:tcPr>
            <w:tcW w:w="0" w:type="auto"/>
            <w:tcBorders>
              <w:bottom w:val="single" w:sz="4" w:space="0" w:color="000000"/>
            </w:tcBorders>
          </w:tcPr>
          <w:p w:rsidR="00A04EF1" w:rsidRPr="00F70A39" w:rsidRDefault="00A04EF1" w:rsidP="00437776">
            <w:pPr>
              <w:jc w:val="center"/>
              <w:rPr>
                <w:sz w:val="20"/>
                <w:szCs w:val="20"/>
              </w:rPr>
            </w:pPr>
            <w:r w:rsidRPr="00F70A39">
              <w:rPr>
                <w:sz w:val="20"/>
                <w:szCs w:val="20"/>
              </w:rPr>
              <w:t>1</w:t>
            </w:r>
          </w:p>
        </w:tc>
        <w:tc>
          <w:tcPr>
            <w:tcW w:w="0" w:type="auto"/>
            <w:tcBorders>
              <w:bottom w:val="single" w:sz="4" w:space="0" w:color="000000"/>
            </w:tcBorders>
          </w:tcPr>
          <w:p w:rsidR="00A04EF1" w:rsidRPr="00F70A39" w:rsidRDefault="00A04EF1" w:rsidP="00437776">
            <w:pPr>
              <w:jc w:val="center"/>
              <w:rPr>
                <w:sz w:val="20"/>
                <w:szCs w:val="20"/>
              </w:rPr>
            </w:pPr>
            <w:r w:rsidRPr="00F70A39">
              <w:rPr>
                <w:sz w:val="20"/>
                <w:szCs w:val="20"/>
              </w:rPr>
              <w:t>1</w:t>
            </w:r>
          </w:p>
        </w:tc>
        <w:tc>
          <w:tcPr>
            <w:tcW w:w="0" w:type="auto"/>
            <w:tcBorders>
              <w:bottom w:val="single" w:sz="4" w:space="0" w:color="000000"/>
            </w:tcBorders>
          </w:tcPr>
          <w:p w:rsidR="00A04EF1" w:rsidRPr="00F70A39" w:rsidRDefault="00A04EF1" w:rsidP="00437776">
            <w:pPr>
              <w:jc w:val="center"/>
              <w:rPr>
                <w:sz w:val="20"/>
                <w:szCs w:val="20"/>
              </w:rPr>
            </w:pPr>
            <w:r w:rsidRPr="00F70A39">
              <w:rPr>
                <w:sz w:val="20"/>
                <w:szCs w:val="20"/>
              </w:rPr>
              <w:t>3</w:t>
            </w:r>
          </w:p>
        </w:tc>
        <w:tc>
          <w:tcPr>
            <w:tcW w:w="0" w:type="auto"/>
            <w:tcBorders>
              <w:bottom w:val="single" w:sz="4" w:space="0" w:color="000000"/>
            </w:tcBorders>
          </w:tcPr>
          <w:p w:rsidR="00A04EF1" w:rsidRPr="00F70A39" w:rsidRDefault="00A04EF1" w:rsidP="00437776">
            <w:pPr>
              <w:jc w:val="center"/>
              <w:rPr>
                <w:sz w:val="20"/>
                <w:szCs w:val="20"/>
              </w:rPr>
            </w:pPr>
            <w:r w:rsidRPr="00F70A39">
              <w:rPr>
                <w:sz w:val="20"/>
                <w:szCs w:val="20"/>
              </w:rPr>
              <w:t>1</w:t>
            </w:r>
          </w:p>
        </w:tc>
      </w:tr>
    </w:tbl>
    <w:p w:rsidR="00A04EF1" w:rsidRDefault="00A04EF1" w:rsidP="00A04EF1">
      <w:pPr>
        <w:pStyle w:val="TableFoot"/>
      </w:pPr>
      <w:r>
        <w:rPr>
          <w:vertAlign w:val="superscript"/>
        </w:rPr>
        <w:t>a)</w:t>
      </w:r>
      <w:r>
        <w:t xml:space="preserve"> </w:t>
      </w:r>
      <w:r w:rsidRPr="00FE39A8">
        <w:t xml:space="preserve">Determined using </w:t>
      </w:r>
      <w:r w:rsidRPr="00FE39A8">
        <w:rPr>
          <w:vertAlign w:val="superscript"/>
        </w:rPr>
        <w:t>1</w:t>
      </w:r>
      <w:r w:rsidRPr="00FE39A8">
        <w:t>H NMR spectroscopy</w:t>
      </w:r>
      <w:r w:rsidRPr="00C2552A">
        <w:t>.</w:t>
      </w:r>
      <w:r w:rsidRPr="006D26CF">
        <w:rPr>
          <w:color w:val="FF0000"/>
          <w:vertAlign w:val="superscript"/>
        </w:rPr>
        <w:t xml:space="preserve"> b)</w:t>
      </w:r>
      <w:r w:rsidRPr="006D26CF">
        <w:rPr>
          <w:color w:val="FF0000"/>
        </w:rPr>
        <w:t xml:space="preserve"> At 100 </w:t>
      </w:r>
      <w:r w:rsidRPr="006D26CF">
        <w:rPr>
          <w:color w:val="FF0000"/>
          <w:vertAlign w:val="superscript"/>
        </w:rPr>
        <w:t>o</w:t>
      </w:r>
      <w:r w:rsidRPr="006D26CF">
        <w:rPr>
          <w:color w:val="FF0000"/>
        </w:rPr>
        <w:t>C.</w:t>
      </w:r>
    </w:p>
    <w:p w:rsidR="00A04EF1" w:rsidRDefault="00A04EF1" w:rsidP="00A04EF1">
      <w:pPr>
        <w:pStyle w:val="P1withIndendation"/>
        <w:rPr>
          <w:rFonts w:cs="Calibri"/>
          <w:szCs w:val="22"/>
        </w:rPr>
      </w:pPr>
      <w:r w:rsidRPr="0063757A">
        <w:rPr>
          <w:rFonts w:cs="Calibri"/>
          <w:color w:val="FF0000"/>
          <w:szCs w:val="22"/>
        </w:rPr>
        <w:t xml:space="preserve">Aromatic epoxides </w:t>
      </w:r>
      <w:r w:rsidRPr="0063757A">
        <w:rPr>
          <w:rFonts w:cs="Calibri"/>
          <w:b/>
          <w:color w:val="FF0000"/>
          <w:szCs w:val="22"/>
        </w:rPr>
        <w:t>1j/k</w:t>
      </w:r>
      <w:r w:rsidRPr="0063757A">
        <w:rPr>
          <w:rFonts w:cs="Calibri"/>
          <w:color w:val="FF0000"/>
          <w:szCs w:val="22"/>
        </w:rPr>
        <w:t xml:space="preserve"> give cyclic carbonates </w:t>
      </w:r>
      <w:r w:rsidRPr="0063757A">
        <w:rPr>
          <w:rFonts w:cs="Calibri"/>
          <w:b/>
          <w:color w:val="FF0000"/>
          <w:szCs w:val="22"/>
        </w:rPr>
        <w:t>2j/k</w:t>
      </w:r>
      <w:r w:rsidRPr="0063757A">
        <w:rPr>
          <w:rFonts w:cs="Calibri"/>
          <w:color w:val="FF0000"/>
          <w:szCs w:val="22"/>
        </w:rPr>
        <w:t xml:space="preserve"> which have melting points at or above the reaction temperature (49-51 </w:t>
      </w:r>
      <w:r w:rsidRPr="0063757A">
        <w:rPr>
          <w:rFonts w:cs="Calibri"/>
          <w:color w:val="FF0000"/>
          <w:szCs w:val="22"/>
          <w:vertAlign w:val="superscript"/>
        </w:rPr>
        <w:t>o</w:t>
      </w:r>
      <w:r w:rsidRPr="0063757A">
        <w:rPr>
          <w:rFonts w:cs="Calibri"/>
          <w:color w:val="FF0000"/>
          <w:szCs w:val="22"/>
        </w:rPr>
        <w:t xml:space="preserve">C for </w:t>
      </w:r>
      <w:r w:rsidRPr="0063757A">
        <w:rPr>
          <w:rFonts w:cs="Calibri"/>
          <w:b/>
          <w:color w:val="FF0000"/>
          <w:szCs w:val="22"/>
        </w:rPr>
        <w:t>2j</w:t>
      </w:r>
      <w:r w:rsidRPr="0063757A">
        <w:rPr>
          <w:rFonts w:cs="Calibri"/>
          <w:color w:val="FF0000"/>
          <w:szCs w:val="22"/>
        </w:rPr>
        <w:t xml:space="preserve"> and 67-69 </w:t>
      </w:r>
      <w:r w:rsidRPr="0063757A">
        <w:rPr>
          <w:rFonts w:cs="Calibri"/>
          <w:color w:val="FF0000"/>
          <w:szCs w:val="22"/>
          <w:vertAlign w:val="superscript"/>
        </w:rPr>
        <w:t>o</w:t>
      </w:r>
      <w:r w:rsidRPr="0063757A">
        <w:rPr>
          <w:rFonts w:cs="Calibri"/>
          <w:color w:val="FF0000"/>
          <w:szCs w:val="22"/>
        </w:rPr>
        <w:t xml:space="preserve">C for </w:t>
      </w:r>
      <w:r w:rsidRPr="0063757A">
        <w:rPr>
          <w:rFonts w:cs="Calibri"/>
          <w:b/>
          <w:color w:val="FF0000"/>
          <w:szCs w:val="22"/>
        </w:rPr>
        <w:t>2k</w:t>
      </w:r>
      <w:r w:rsidRPr="0063757A">
        <w:rPr>
          <w:rFonts w:cs="Calibri"/>
          <w:color w:val="FF0000"/>
          <w:szCs w:val="22"/>
        </w:rPr>
        <w:t xml:space="preserve">). The conversion of styrene oxide </w:t>
      </w:r>
      <w:r w:rsidRPr="0063757A">
        <w:rPr>
          <w:rFonts w:cs="Calibri"/>
          <w:b/>
          <w:color w:val="FF0000"/>
          <w:szCs w:val="22"/>
        </w:rPr>
        <w:t xml:space="preserve">1j </w:t>
      </w:r>
      <w:r w:rsidRPr="0063757A">
        <w:rPr>
          <w:rFonts w:cs="Calibri"/>
          <w:color w:val="FF0000"/>
          <w:szCs w:val="22"/>
        </w:rPr>
        <w:t xml:space="preserve">into styrene carbonate </w:t>
      </w:r>
      <w:r w:rsidRPr="0063757A">
        <w:rPr>
          <w:rFonts w:cs="Calibri"/>
          <w:b/>
          <w:color w:val="FF0000"/>
          <w:szCs w:val="22"/>
        </w:rPr>
        <w:t xml:space="preserve">1k </w:t>
      </w:r>
      <w:r w:rsidRPr="0063757A">
        <w:rPr>
          <w:rFonts w:cs="Calibri"/>
          <w:color w:val="FF0000"/>
          <w:szCs w:val="22"/>
        </w:rPr>
        <w:t xml:space="preserve">barely changed on increasing the reaction temperature to 100 </w:t>
      </w:r>
      <w:r w:rsidRPr="0063757A">
        <w:rPr>
          <w:rFonts w:cs="Calibri"/>
          <w:color w:val="FF0000"/>
          <w:szCs w:val="22"/>
          <w:vertAlign w:val="superscript"/>
        </w:rPr>
        <w:t>o</w:t>
      </w:r>
      <w:r w:rsidRPr="0063757A">
        <w:rPr>
          <w:rFonts w:cs="Calibri"/>
          <w:color w:val="FF0000"/>
          <w:szCs w:val="22"/>
        </w:rPr>
        <w:t xml:space="preserve">C, whilst the conversion of epoxide </w:t>
      </w:r>
      <w:r w:rsidRPr="0063757A">
        <w:rPr>
          <w:rFonts w:cs="Calibri"/>
          <w:b/>
          <w:color w:val="FF0000"/>
          <w:szCs w:val="22"/>
        </w:rPr>
        <w:t>1k</w:t>
      </w:r>
      <w:r w:rsidRPr="0063757A">
        <w:rPr>
          <w:rFonts w:cs="Calibri"/>
          <w:color w:val="FF0000"/>
          <w:szCs w:val="22"/>
        </w:rPr>
        <w:t xml:space="preserve"> into </w:t>
      </w:r>
      <w:r w:rsidRPr="0063757A">
        <w:rPr>
          <w:rFonts w:cs="Calibri"/>
          <w:b/>
          <w:color w:val="FF0000"/>
          <w:szCs w:val="22"/>
        </w:rPr>
        <w:t xml:space="preserve">2k </w:t>
      </w:r>
      <w:r w:rsidRPr="0063757A">
        <w:rPr>
          <w:rFonts w:cs="Calibri"/>
          <w:color w:val="FF0000"/>
          <w:szCs w:val="22"/>
        </w:rPr>
        <w:t>increased three-fold.</w:t>
      </w:r>
      <w:r>
        <w:rPr>
          <w:rFonts w:cs="Calibri"/>
          <w:color w:val="000000"/>
          <w:szCs w:val="22"/>
        </w:rPr>
        <w:t xml:space="preserve"> </w:t>
      </w:r>
      <w:r w:rsidRPr="0063757A">
        <w:rPr>
          <w:rFonts w:cs="Calibri"/>
          <w:szCs w:val="22"/>
        </w:rPr>
        <w:t>Long</w:t>
      </w:r>
      <w:r w:rsidRPr="00F70A39">
        <w:rPr>
          <w:rFonts w:cs="Calibri"/>
          <w:szCs w:val="22"/>
        </w:rPr>
        <w:t xml:space="preserve"> chain aliphatic epoxides </w:t>
      </w:r>
      <w:r w:rsidRPr="00F70A39">
        <w:rPr>
          <w:rFonts w:cs="Calibri"/>
          <w:b/>
          <w:szCs w:val="22"/>
        </w:rPr>
        <w:t xml:space="preserve">1l/m </w:t>
      </w:r>
      <w:r w:rsidRPr="00F70A39">
        <w:rPr>
          <w:rFonts w:cs="Calibri"/>
          <w:szCs w:val="22"/>
        </w:rPr>
        <w:t>gave the lowest conversions which may be attributed to the size of the epoxide preventing access to catalyst within pores along with the non-polar aliphatic chain being repelled by the polar, silica-supported catalysts.</w:t>
      </w:r>
    </w:p>
    <w:p w:rsidR="00787EAD" w:rsidRPr="00787EAD" w:rsidRDefault="00787EAD" w:rsidP="00787EAD">
      <w:pPr>
        <w:pStyle w:val="P1withIndendation"/>
        <w:rPr>
          <w:szCs w:val="22"/>
        </w:rPr>
      </w:pPr>
      <w:r w:rsidRPr="006D334C">
        <w:rPr>
          <w:szCs w:val="22"/>
        </w:rPr>
        <w:t xml:space="preserve">A catalyst reusability study was conducted </w:t>
      </w:r>
      <w:r>
        <w:rPr>
          <w:szCs w:val="22"/>
        </w:rPr>
        <w:t>using</w:t>
      </w:r>
      <w:r w:rsidRPr="006D334C">
        <w:rPr>
          <w:szCs w:val="22"/>
        </w:rPr>
        <w:t xml:space="preserve"> the best-performing mesoporous silica-supported catalyst (SBA-15-10-</w:t>
      </w:r>
      <w:r w:rsidRPr="006D334C">
        <w:rPr>
          <w:b/>
          <w:szCs w:val="22"/>
        </w:rPr>
        <w:t>7</w:t>
      </w:r>
      <w:r w:rsidRPr="006D334C">
        <w:rPr>
          <w:szCs w:val="22"/>
        </w:rPr>
        <w:t>) and one of the most reactive epoxides (</w:t>
      </w:r>
      <w:r w:rsidRPr="006D334C">
        <w:rPr>
          <w:b/>
          <w:szCs w:val="22"/>
        </w:rPr>
        <w:t>1d</w:t>
      </w:r>
      <w:r w:rsidRPr="006D334C">
        <w:rPr>
          <w:szCs w:val="22"/>
        </w:rPr>
        <w:t>: butyl glycidyl ether). Performing each run using 1 mol% of catalyst at 25 °C and 1 bar carbon dioxide pressure for 24 h demonstrated the ability of SBA-15-10-</w:t>
      </w:r>
      <w:r w:rsidRPr="006D334C">
        <w:rPr>
          <w:b/>
          <w:szCs w:val="22"/>
        </w:rPr>
        <w:t>7</w:t>
      </w:r>
      <w:r w:rsidRPr="006D334C">
        <w:rPr>
          <w:szCs w:val="22"/>
        </w:rPr>
        <w:t xml:space="preserve"> to catalyse the formation of cyclic carbonates over successive runs, even at ambient conditions (Figure 5). After each reaction, the catalyst was isolated by centrifugation in order to minimise any loss of material. SBA-15-10-</w:t>
      </w:r>
      <w:r w:rsidRPr="006D334C">
        <w:rPr>
          <w:b/>
          <w:szCs w:val="22"/>
        </w:rPr>
        <w:t>7</w:t>
      </w:r>
      <w:r w:rsidRPr="006D334C">
        <w:rPr>
          <w:szCs w:val="22"/>
        </w:rPr>
        <w:t xml:space="preserve"> was found to slowly deactivate and lose its activity over successive catalytic cycles, which is in line with the use of other silica-supported catalysts previously prepared and used within the group.</w:t>
      </w:r>
      <w:r>
        <w:rPr>
          <w:szCs w:val="22"/>
          <w:vertAlign w:val="superscript"/>
        </w:rPr>
        <w:t>[</w:t>
      </w:r>
      <w:hyperlink w:anchor="_ENREF_6" w:tooltip="Melendez, 2011 #708" w:history="1">
        <w:r w:rsidRPr="006D334C">
          <w:rPr>
            <w:szCs w:val="22"/>
          </w:rPr>
          <w:fldChar w:fldCharType="begin"/>
        </w:r>
        <w:r w:rsidRPr="006D334C">
          <w:rPr>
            <w:szCs w:val="22"/>
          </w:rPr>
          <w:instrText xml:space="preserve"> ADDIN EN.CITE &lt;EndNote&gt;&lt;Cite&gt;&lt;Author&gt;Melendez&lt;/Author&gt;&lt;Year&gt;2011&lt;/Year&gt;&lt;RecNum&gt;708&lt;/RecNum&gt;&lt;DisplayText&gt;&lt;style face="superscript"&gt;6&lt;/style&gt;&lt;/DisplayText&gt;&lt;record&gt;&lt;rec-number&gt;708&lt;/rec-number&gt;&lt;foreign-keys&gt;&lt;key app="EN" db-id="5r22rpvs8zsxz1epxwcvsfvgeedas5sevrwa"&gt;708&lt;/key&gt;&lt;/foreign-keys&gt;&lt;ref-type name="Journal Article"&gt;17&lt;/ref-type&gt;&lt;contributors&gt;&lt;authors&gt;&lt;author&gt;Melendez, Jaisiel&lt;/author&gt;&lt;author&gt;North, Michael&lt;/author&gt;&lt;author&gt;Villuendas, Pedro&lt;/author&gt;&lt;author&gt;Young, Carl&lt;/author&gt;&lt;/authors&gt;&lt;/contributors&gt;&lt;titles&gt;&lt;title&gt;One-component bimetallic aluminium(salen)-based catalysts for cyclic carbonate synthesis and their immobilization&lt;/title&gt;&lt;secondary-title&gt;Dalton Transactions&lt;/secondary-title&gt;&lt;/titles&gt;&lt;periodical&gt;&lt;full-title&gt;Dalton Transactions&lt;/full-title&gt;&lt;/periodical&gt;&lt;pages&gt;3885-3902&lt;/pages&gt;&lt;volume&gt;40&lt;/volume&gt;&lt;number&gt;15&lt;/number&gt;&lt;dates&gt;&lt;year&gt;2011&lt;/year&gt;&lt;/dates&gt;&lt;publisher&gt;The Royal Society of Chemistry&lt;/publisher&gt;&lt;isbn&gt;1477-9226&lt;/isbn&gt;&lt;work-type&gt;10.1039/C0DT01196G&lt;/work-type&gt;&lt;urls&gt;&lt;related-urls&gt;&lt;url&gt;http://dx.doi.org/10.1039/C0DT01196G&lt;/url&gt;&lt;/related-urls&gt;&lt;/urls&gt;&lt;electronic-resource-num&gt;10.1039/C0DT01196G&lt;/electronic-resource-num&gt;&lt;/record&gt;&lt;/Cite&gt;&lt;/EndNote&gt;</w:instrText>
        </w:r>
        <w:r w:rsidRPr="006D334C">
          <w:rPr>
            <w:szCs w:val="22"/>
          </w:rPr>
          <w:fldChar w:fldCharType="separate"/>
        </w:r>
        <w:r w:rsidRPr="006D334C">
          <w:rPr>
            <w:noProof/>
            <w:szCs w:val="22"/>
            <w:vertAlign w:val="superscript"/>
          </w:rPr>
          <w:t>6</w:t>
        </w:r>
        <w:r w:rsidRPr="006D334C">
          <w:rPr>
            <w:szCs w:val="22"/>
          </w:rPr>
          <w:fldChar w:fldCharType="end"/>
        </w:r>
      </w:hyperlink>
      <w:r w:rsidRPr="006D334C">
        <w:rPr>
          <w:szCs w:val="22"/>
          <w:vertAlign w:val="superscript"/>
        </w:rPr>
        <w:t>]</w:t>
      </w:r>
      <w:r w:rsidRPr="006D334C">
        <w:rPr>
          <w:szCs w:val="22"/>
        </w:rPr>
        <w:t xml:space="preserve"> This deactivation has </w:t>
      </w:r>
      <w:r w:rsidRPr="00420950">
        <w:rPr>
          <w:color w:val="FF0000"/>
          <w:szCs w:val="22"/>
        </w:rPr>
        <w:t>previously</w:t>
      </w:r>
      <w:r>
        <w:rPr>
          <w:szCs w:val="22"/>
        </w:rPr>
        <w:t xml:space="preserve"> </w:t>
      </w:r>
      <w:r w:rsidRPr="006D334C">
        <w:rPr>
          <w:szCs w:val="22"/>
        </w:rPr>
        <w:t>been demonstrated to be a result of dequaternisation of the ammonium groups within the supported catalyst</w:t>
      </w:r>
      <w:r w:rsidRPr="00420950">
        <w:rPr>
          <w:color w:val="FF0000"/>
          <w:szCs w:val="22"/>
        </w:rPr>
        <w:t>.</w:t>
      </w:r>
      <w:r w:rsidRPr="00420950">
        <w:rPr>
          <w:color w:val="FF0000"/>
          <w:szCs w:val="22"/>
          <w:vertAlign w:val="superscript"/>
        </w:rPr>
        <w:t>[</w:t>
      </w:r>
      <w:r>
        <w:rPr>
          <w:color w:val="FF0000"/>
          <w:szCs w:val="22"/>
          <w:vertAlign w:val="superscript"/>
        </w:rPr>
        <w:t>11,12,14</w:t>
      </w:r>
      <w:r w:rsidRPr="00420950">
        <w:rPr>
          <w:color w:val="FF0000"/>
          <w:szCs w:val="22"/>
          <w:vertAlign w:val="superscript"/>
        </w:rPr>
        <w:t>]</w:t>
      </w:r>
      <w:r w:rsidRPr="00420950">
        <w:rPr>
          <w:color w:val="FF0000"/>
          <w:szCs w:val="22"/>
        </w:rPr>
        <w:t xml:space="preserve"> In line with this, after </w:t>
      </w:r>
      <w:r>
        <w:rPr>
          <w:color w:val="FF0000"/>
          <w:szCs w:val="22"/>
        </w:rPr>
        <w:t>use</w:t>
      </w:r>
      <w:r w:rsidRPr="00420950">
        <w:rPr>
          <w:color w:val="FF0000"/>
          <w:szCs w:val="22"/>
        </w:rPr>
        <w:t xml:space="preserve"> 5, SBA-15-10-</w:t>
      </w:r>
      <w:r w:rsidRPr="00420950">
        <w:rPr>
          <w:b/>
          <w:color w:val="FF0000"/>
          <w:szCs w:val="22"/>
        </w:rPr>
        <w:t>7</w:t>
      </w:r>
      <w:r w:rsidRPr="00420950">
        <w:rPr>
          <w:color w:val="FF0000"/>
          <w:szCs w:val="22"/>
        </w:rPr>
        <w:t xml:space="preserve"> was reactivated by treatment with benzyl bromide and its catalytic activity was fully restored.</w:t>
      </w:r>
    </w:p>
    <w:p w:rsidR="00A764C1" w:rsidRPr="001F38DA" w:rsidRDefault="002B2BB0" w:rsidP="00A764C1">
      <w:pPr>
        <w:tabs>
          <w:tab w:val="left" w:pos="426"/>
        </w:tabs>
        <w:spacing w:before="360"/>
        <w:rPr>
          <w:color w:val="FF0000"/>
          <w:sz w:val="18"/>
          <w:szCs w:val="20"/>
          <w:lang w:val="en-GB"/>
        </w:rPr>
      </w:pPr>
      <w:r>
        <w:pict>
          <v:shape id="_x0000_i1033" type="#_x0000_t75" style="width:237.95pt;height:158.25pt">
            <v:imagedata r:id="rId22" o:title=""/>
          </v:shape>
        </w:pict>
      </w:r>
    </w:p>
    <w:p w:rsidR="00A764C1" w:rsidRDefault="00A764C1" w:rsidP="00A764C1">
      <w:pPr>
        <w:pStyle w:val="FigureCaption"/>
      </w:pPr>
      <w:r>
        <w:rPr>
          <w:b/>
        </w:rPr>
        <w:t>Figure</w:t>
      </w:r>
      <w:r w:rsidRPr="005702B8">
        <w:rPr>
          <w:b/>
        </w:rPr>
        <w:t xml:space="preserve"> </w:t>
      </w:r>
      <w:r>
        <w:rPr>
          <w:b/>
        </w:rPr>
        <w:t>5.</w:t>
      </w:r>
      <w:r w:rsidRPr="00C2552A">
        <w:t xml:space="preserve"> </w:t>
      </w:r>
      <w:r w:rsidRPr="006D334C">
        <w:rPr>
          <w:rFonts w:cs="Calibri"/>
        </w:rPr>
        <w:t>Reusablity study of SBA-15-10</w:t>
      </w:r>
      <w:r w:rsidRPr="00140E2D">
        <w:rPr>
          <w:rFonts w:cs="Calibri"/>
          <w:b/>
        </w:rPr>
        <w:t>-7</w:t>
      </w:r>
      <w:r w:rsidRPr="006D334C">
        <w:rPr>
          <w:rFonts w:cs="Calibri"/>
        </w:rPr>
        <w:t xml:space="preserve">. Conditions: </w:t>
      </w:r>
      <w:r w:rsidRPr="006D334C">
        <w:rPr>
          <w:rFonts w:cs="Calibri"/>
          <w:b/>
        </w:rPr>
        <w:t>1d</w:t>
      </w:r>
      <w:r>
        <w:rPr>
          <w:rFonts w:cs="Calibri"/>
        </w:rPr>
        <w:t xml:space="preserve"> </w:t>
      </w:r>
      <w:r w:rsidRPr="006D334C">
        <w:rPr>
          <w:rFonts w:cs="Calibri"/>
        </w:rPr>
        <w:t>(3.30 mmol), SBA-15-10-</w:t>
      </w:r>
      <w:r w:rsidRPr="006D334C">
        <w:rPr>
          <w:rFonts w:cs="Calibri"/>
          <w:b/>
        </w:rPr>
        <w:t>7</w:t>
      </w:r>
      <w:r w:rsidRPr="006D334C">
        <w:rPr>
          <w:rFonts w:cs="Calibri"/>
        </w:rPr>
        <w:t xml:space="preserve"> (1 mol%), 25 °C, 1 bar, 24 </w:t>
      </w:r>
      <w:r>
        <w:rPr>
          <w:rFonts w:cs="Calibri"/>
        </w:rPr>
        <w:t xml:space="preserve">h. </w:t>
      </w:r>
      <w:r w:rsidRPr="00A764C1">
        <w:rPr>
          <w:rFonts w:cs="Calibri"/>
          <w:color w:val="FF0000"/>
        </w:rPr>
        <w:t>Use 6 was after the catalyst had been reactivated.</w:t>
      </w:r>
    </w:p>
    <w:p w:rsidR="00535FAA" w:rsidRPr="00726F3A" w:rsidRDefault="00535FAA" w:rsidP="00535FAA">
      <w:pPr>
        <w:pStyle w:val="H1"/>
      </w:pPr>
      <w:r>
        <w:t>Conclusion</w:t>
      </w:r>
    </w:p>
    <w:p w:rsidR="006D334C" w:rsidRDefault="006D334C" w:rsidP="00535FAA">
      <w:pPr>
        <w:pStyle w:val="P1withoutIndendation"/>
      </w:pPr>
      <w:r w:rsidRPr="00FE39A8">
        <w:t>Pore-expanded v</w:t>
      </w:r>
      <w:r>
        <w:t>ariants of SBA-15 and KIT-6 have been</w:t>
      </w:r>
      <w:r w:rsidRPr="00FE39A8">
        <w:t xml:space="preserve"> </w:t>
      </w:r>
      <w:r>
        <w:t>used to prepare</w:t>
      </w:r>
      <w:r w:rsidRPr="00FE39A8">
        <w:t xml:space="preserve"> four novel heterogeneous </w:t>
      </w:r>
      <w:r>
        <w:t>bimetallic aluminium(</w:t>
      </w:r>
      <w:r w:rsidRPr="00FE39A8">
        <w:t>salen</w:t>
      </w:r>
      <w:r>
        <w:t>) complexes</w:t>
      </w:r>
      <w:r w:rsidRPr="00FE39A8">
        <w:t>. Each material wa</w:t>
      </w:r>
      <w:r>
        <w:t>s analysed for to its</w:t>
      </w:r>
      <w:r w:rsidRPr="00FE39A8">
        <w:t xml:space="preserve"> ability to catalyse cyclic carbonate synthesis from the reaction of </w:t>
      </w:r>
      <w:r>
        <w:t>carbon dioxide with</w:t>
      </w:r>
      <w:r w:rsidRPr="00FE39A8">
        <w:t xml:space="preserve"> epoxides. Over a broad substrate range, </w:t>
      </w:r>
      <w:r w:rsidRPr="00FE39A8">
        <w:lastRenderedPageBreak/>
        <w:t>it was found that the structured mesoporous silica supports which retained a greater degree of porosity and wider pore openings upon catalyst immobilisation, resulted in better conversions to the desired cyclic carbonates</w:t>
      </w:r>
      <w:r>
        <w:t xml:space="preserve"> and also outperformed</w:t>
      </w:r>
      <w:r w:rsidRPr="00FE39A8">
        <w:t xml:space="preserve"> an analogous amorphous silica support. The enhanced activity was rationalised to be a consequence of increased reactant accessibility to active sites</w:t>
      </w:r>
      <w:r>
        <w:t xml:space="preserve"> immobilised within the pores</w:t>
      </w:r>
      <w:r w:rsidRPr="00FE39A8">
        <w:t>. This study also demonstrated that KIT-6 can be used as a mesoporous silica support. Interest in its utilisation has grown over recent years, and it has been investigated in a variety of applications.</w:t>
      </w:r>
      <w:r>
        <w:rPr>
          <w:vertAlign w:val="superscript"/>
        </w:rPr>
        <w:t>[</w:t>
      </w:r>
      <w:hyperlink w:anchor="_ENREF_25" w:tooltip="Lebed, 2011 #739" w:history="1">
        <w:r w:rsidRPr="00FE39A8">
          <w:fldChar w:fldCharType="begin">
            <w:fldData xml:space="preserve">PEVuZE5vdGU+PENpdGU+PEF1dGhvcj5MZWJlZDwvQXV0aG9yPjxZZWFyPjIwMTE8L1llYXI+PFJl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</w:fldData>
          </w:fldChar>
        </w:r>
        <w:r w:rsidRPr="00FE39A8">
          <w:instrText xml:space="preserve"> ADDIN EN.CITE </w:instrText>
        </w:r>
        <w:r w:rsidRPr="00FE39A8">
          <w:fldChar w:fldCharType="begin">
            <w:fldData xml:space="preserve">PEVuZE5vdGU+PENpdGU+PEF1dGhvcj5MZWJlZDwvQXV0aG9yPjxZZWFyPjIwMTE8L1llYXI+PFJl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</w:fldData>
          </w:fldChar>
        </w:r>
        <w:r w:rsidRPr="00FE39A8">
          <w:instrText xml:space="preserve"> ADDIN EN.CITE.DATA </w:instrText>
        </w:r>
        <w:r w:rsidRPr="00FE39A8">
          <w:fldChar w:fldCharType="end"/>
        </w:r>
        <w:r w:rsidRPr="00FE39A8">
          <w:fldChar w:fldCharType="separate"/>
        </w:r>
        <w:r w:rsidR="00EF084C">
          <w:rPr>
            <w:noProof/>
            <w:vertAlign w:val="superscript"/>
          </w:rPr>
          <w:t>34</w:t>
        </w:r>
        <w:r w:rsidRPr="00FE39A8">
          <w:rPr>
            <w:noProof/>
            <w:vertAlign w:val="superscript"/>
          </w:rPr>
          <w:t>-</w:t>
        </w:r>
        <w:r w:rsidR="00EF084C">
          <w:rPr>
            <w:noProof/>
            <w:vertAlign w:val="superscript"/>
          </w:rPr>
          <w:t>36</w:t>
        </w:r>
        <w:r w:rsidRPr="00FE39A8">
          <w:fldChar w:fldCharType="end"/>
        </w:r>
      </w:hyperlink>
      <w:r w:rsidRPr="006D334C">
        <w:rPr>
          <w:vertAlign w:val="superscript"/>
        </w:rPr>
        <w:t>]</w:t>
      </w:r>
      <w:r w:rsidRPr="00FE39A8">
        <w:t xml:space="preserve"> Therefore, future studies could involve the use of pore-expanded variants of KIT-6 to further investigate the effect of porosity retention</w:t>
      </w:r>
      <w:r>
        <w:t xml:space="preserve"> on catalytic activity</w:t>
      </w:r>
      <w:r w:rsidRPr="00FE39A8">
        <w:t>.</w:t>
      </w:r>
    </w:p>
    <w:p w:rsidR="00F30344" w:rsidRDefault="00F30344" w:rsidP="00F30344">
      <w:pPr>
        <w:pStyle w:val="H1"/>
      </w:pPr>
      <w:r>
        <w:t>Experimental Section</w:t>
      </w:r>
    </w:p>
    <w:p w:rsidR="006D334C" w:rsidRDefault="006D334C" w:rsidP="00F30344">
      <w:pPr>
        <w:pStyle w:val="ExperimentalSection"/>
        <w:rPr>
          <w:rFonts w:cs="Calibri"/>
          <w:szCs w:val="20"/>
        </w:rPr>
      </w:pPr>
      <w:r w:rsidRPr="006D334C">
        <w:rPr>
          <w:rFonts w:cs="Calibri"/>
          <w:szCs w:val="20"/>
        </w:rPr>
        <w:t xml:space="preserve">All reagents were commercially available (Alfa Aesar, Sigma Aldrich, TCI) and were used as received. Carbon dioxide </w:t>
      </w:r>
      <w:r>
        <w:rPr>
          <w:rFonts w:cs="Calibri"/>
          <w:szCs w:val="20"/>
        </w:rPr>
        <w:t xml:space="preserve">and nitrogen </w:t>
      </w:r>
      <w:r w:rsidRPr="006D334C">
        <w:rPr>
          <w:rFonts w:cs="Calibri"/>
          <w:szCs w:val="20"/>
        </w:rPr>
        <w:t>gas</w:t>
      </w:r>
      <w:r>
        <w:rPr>
          <w:rFonts w:cs="Calibri"/>
          <w:szCs w:val="20"/>
        </w:rPr>
        <w:t>es were</w:t>
      </w:r>
      <w:r w:rsidRPr="006D334C">
        <w:rPr>
          <w:rFonts w:cs="Calibri"/>
          <w:szCs w:val="20"/>
        </w:rPr>
        <w:t xml:space="preserve"> purchased from BOC gases. </w:t>
      </w:r>
    </w:p>
    <w:p w:rsidR="006D334C" w:rsidRDefault="006D334C" w:rsidP="00F30344">
      <w:pPr>
        <w:pStyle w:val="ExperimentalSection"/>
        <w:rPr>
          <w:rFonts w:cs="Calibri"/>
          <w:szCs w:val="20"/>
        </w:rPr>
      </w:pPr>
      <w:r w:rsidRPr="006D334C">
        <w:rPr>
          <w:rFonts w:cs="Calibri"/>
          <w:szCs w:val="20"/>
        </w:rPr>
        <w:t xml:space="preserve">Porosimetry of both unloaded and loaded mesoporous silica materials was performed on a Micromeritics ASAP 2020 volumetric adsorption analyser. The unloaded silica materials and loaded silica materials were degassed offline at 413 K and 353 K respectively for 10 h under dynamic vacuum (20 mmHg) before analysis. </w:t>
      </w:r>
      <w:r>
        <w:rPr>
          <w:rFonts w:cs="Calibri"/>
          <w:szCs w:val="20"/>
        </w:rPr>
        <w:t>Nitrogen</w:t>
      </w:r>
      <w:r w:rsidRPr="006D334C">
        <w:rPr>
          <w:rFonts w:cs="Calibri"/>
          <w:szCs w:val="20"/>
        </w:rPr>
        <w:t xml:space="preserve"> adsorption isotherms were performed at 77 K and 1 bar. Surface areas were calculated using the BET method over the range </w:t>
      </w:r>
      <w:r w:rsidRPr="006D334C">
        <w:rPr>
          <w:rFonts w:cs="Calibri"/>
          <w:i/>
          <w:szCs w:val="20"/>
        </w:rPr>
        <w:t>P</w:t>
      </w:r>
      <w:r w:rsidRPr="006D334C">
        <w:rPr>
          <w:rFonts w:cs="Calibri"/>
          <w:szCs w:val="20"/>
        </w:rPr>
        <w:t>/</w:t>
      </w:r>
      <w:r w:rsidRPr="006D334C">
        <w:rPr>
          <w:rFonts w:cs="Calibri"/>
          <w:i/>
          <w:szCs w:val="20"/>
        </w:rPr>
        <w:t>P</w:t>
      </w:r>
      <w:r w:rsidRPr="006D334C">
        <w:rPr>
          <w:rFonts w:cs="Calibri"/>
          <w:szCs w:val="20"/>
          <w:vertAlign w:val="subscript"/>
        </w:rPr>
        <w:t>0</w:t>
      </w:r>
      <w:r>
        <w:rPr>
          <w:rFonts w:cs="Calibri"/>
          <w:szCs w:val="20"/>
        </w:rPr>
        <w:t xml:space="preserve"> = 0.06–</w:t>
      </w:r>
      <w:r w:rsidRPr="006D334C">
        <w:rPr>
          <w:rFonts w:cs="Calibri"/>
          <w:szCs w:val="20"/>
        </w:rPr>
        <w:t xml:space="preserve">0.20. PSDs were calculated using the BJH model applied to the desorption branch of the isotherm. Total pore volumes were evaluated at </w:t>
      </w:r>
      <w:r w:rsidRPr="006D334C">
        <w:rPr>
          <w:rFonts w:cs="Calibri"/>
          <w:i/>
          <w:szCs w:val="20"/>
        </w:rPr>
        <w:t>P</w:t>
      </w:r>
      <w:r w:rsidRPr="006D334C">
        <w:rPr>
          <w:rFonts w:cs="Calibri"/>
          <w:szCs w:val="20"/>
        </w:rPr>
        <w:t>/</w:t>
      </w:r>
      <w:r w:rsidRPr="006D334C">
        <w:rPr>
          <w:rFonts w:cs="Calibri"/>
          <w:i/>
          <w:szCs w:val="20"/>
        </w:rPr>
        <w:t>P</w:t>
      </w:r>
      <w:r w:rsidRPr="006D334C">
        <w:rPr>
          <w:rFonts w:cs="Calibri"/>
          <w:szCs w:val="20"/>
          <w:vertAlign w:val="subscript"/>
        </w:rPr>
        <w:t>0</w:t>
      </w:r>
      <w:r w:rsidRPr="006D334C">
        <w:rPr>
          <w:rFonts w:cs="Calibri"/>
          <w:szCs w:val="20"/>
        </w:rPr>
        <w:t xml:space="preserve"> = 0.98. </w:t>
      </w:r>
    </w:p>
    <w:p w:rsidR="006D334C" w:rsidRDefault="006D334C" w:rsidP="00F30344">
      <w:pPr>
        <w:pStyle w:val="ExperimentalSection"/>
        <w:rPr>
          <w:rFonts w:cs="Calibri"/>
          <w:szCs w:val="20"/>
        </w:rPr>
      </w:pPr>
      <w:r w:rsidRPr="006D334C">
        <w:rPr>
          <w:rFonts w:cs="Calibri"/>
          <w:szCs w:val="20"/>
        </w:rPr>
        <w:t xml:space="preserve">PXRD patterns were collected on a Rigaku Intelligent X-ray Diffraction system with </w:t>
      </w:r>
      <w:r w:rsidRPr="006D334C">
        <w:rPr>
          <w:rFonts w:cs="Calibri"/>
          <w:szCs w:val="20"/>
          <w:lang w:val="en-US"/>
        </w:rPr>
        <w:t>Ge-monochromated</w:t>
      </w:r>
      <w:r w:rsidRPr="006D334C">
        <w:rPr>
          <w:rFonts w:cs="Calibri"/>
          <w:szCs w:val="20"/>
        </w:rPr>
        <w:t xml:space="preserve"> Cu-</w:t>
      </w:r>
      <w:r w:rsidRPr="006D334C">
        <w:rPr>
          <w:rFonts w:cs="Calibri"/>
          <w:i/>
          <w:szCs w:val="20"/>
        </w:rPr>
        <w:t xml:space="preserve">Kα </w:t>
      </w:r>
      <w:r w:rsidRPr="006D334C">
        <w:rPr>
          <w:rFonts w:cs="Calibri"/>
          <w:szCs w:val="20"/>
        </w:rPr>
        <w:t>(1.54 Å) radiation. Unloaded mesoporous silica materials were loaded onto a glass slide equipped with a sample well of 0.5 mm depth. Low angle XRD scans were scanned over the 2</w:t>
      </w:r>
      <w:r w:rsidRPr="006D334C">
        <w:rPr>
          <w:rFonts w:cs="Calibri"/>
          <w:i/>
          <w:szCs w:val="20"/>
        </w:rPr>
        <w:t>θ</w:t>
      </w:r>
      <w:r>
        <w:rPr>
          <w:rFonts w:cs="Calibri"/>
          <w:szCs w:val="20"/>
        </w:rPr>
        <w:t xml:space="preserve"> range of </w:t>
      </w:r>
      <w:r w:rsidRPr="006D334C">
        <w:rPr>
          <w:rFonts w:cs="Calibri"/>
          <w:szCs w:val="20"/>
        </w:rPr>
        <w:t>0.2–3° with a step size of 0.01° and scan speed of 0.002° s</w:t>
      </w:r>
      <w:r w:rsidRPr="006D334C">
        <w:rPr>
          <w:rFonts w:cs="Calibri"/>
          <w:szCs w:val="20"/>
          <w:vertAlign w:val="superscript"/>
        </w:rPr>
        <w:t>-1</w:t>
      </w:r>
      <w:r w:rsidRPr="006D334C">
        <w:rPr>
          <w:rFonts w:cs="Calibri"/>
          <w:szCs w:val="20"/>
        </w:rPr>
        <w:t xml:space="preserve">. </w:t>
      </w:r>
    </w:p>
    <w:p w:rsidR="006D334C" w:rsidRDefault="006D334C" w:rsidP="00F30344">
      <w:pPr>
        <w:pStyle w:val="ExperimentalSection"/>
        <w:rPr>
          <w:rFonts w:cs="Calibri"/>
          <w:szCs w:val="20"/>
        </w:rPr>
      </w:pPr>
      <w:r w:rsidRPr="006D334C">
        <w:rPr>
          <w:rFonts w:cs="Calibri"/>
          <w:szCs w:val="20"/>
        </w:rPr>
        <w:t xml:space="preserve">TEM imaging was performed using an FEI Titan G2 60-300 microscope equipped with a DCOR probe Cs-aberration corrector operating at 300 kV. The samples were suspended in iso-propanol and deposited on Cu grids with Lacey carbon membranes prior to observation. SEM imaging was performed using an FEI NOVA NanoSEM 650 microscope using secondary electron detectors. The samples were deposited on carbon tape and coated with carbon prior to observation. </w:t>
      </w:r>
    </w:p>
    <w:p w:rsidR="006D334C" w:rsidRDefault="006D334C" w:rsidP="00F30344">
      <w:pPr>
        <w:pStyle w:val="ExperimentalSection"/>
        <w:rPr>
          <w:rFonts w:cs="Calibri"/>
          <w:szCs w:val="20"/>
        </w:rPr>
      </w:pPr>
      <w:r>
        <w:rPr>
          <w:rFonts w:cs="Calibri"/>
          <w:szCs w:val="20"/>
          <w:shd w:val="clear" w:color="auto" w:fill="FFFFFF"/>
        </w:rPr>
        <w:t>T</w:t>
      </w:r>
      <w:r w:rsidRPr="006D334C">
        <w:rPr>
          <w:rFonts w:cs="Calibri"/>
          <w:szCs w:val="20"/>
          <w:shd w:val="clear" w:color="auto" w:fill="FFFFFF"/>
        </w:rPr>
        <w:t xml:space="preserve">he aluminium metal concentration of the loaded mesoporous silica </w:t>
      </w:r>
      <w:r w:rsidRPr="006D334C">
        <w:rPr>
          <w:rFonts w:cs="Calibri"/>
          <w:szCs w:val="20"/>
        </w:rPr>
        <w:t>materials</w:t>
      </w:r>
      <w:r>
        <w:rPr>
          <w:rFonts w:cs="Calibri"/>
          <w:szCs w:val="20"/>
        </w:rPr>
        <w:t xml:space="preserve"> was determined using</w:t>
      </w:r>
      <w:r w:rsidRPr="006D334C">
        <w:rPr>
          <w:rFonts w:cs="Calibri"/>
          <w:szCs w:val="20"/>
          <w:shd w:val="clear" w:color="auto" w:fill="FFFFFF"/>
        </w:rPr>
        <w:t xml:space="preserve"> ICP-MS </w:t>
      </w:r>
      <w:r>
        <w:rPr>
          <w:rFonts w:cs="Calibri"/>
          <w:szCs w:val="20"/>
          <w:shd w:val="clear" w:color="auto" w:fill="FFFFFF"/>
        </w:rPr>
        <w:t>on an</w:t>
      </w:r>
      <w:r w:rsidRPr="006D334C">
        <w:rPr>
          <w:rFonts w:cs="Calibri"/>
          <w:szCs w:val="20"/>
          <w:shd w:val="clear" w:color="auto" w:fill="FFFFFF"/>
        </w:rPr>
        <w:t xml:space="preserve"> Agilent 7700x Series </w:t>
      </w:r>
      <w:r>
        <w:rPr>
          <w:rFonts w:cs="Calibri"/>
          <w:szCs w:val="20"/>
          <w:shd w:val="clear" w:color="auto" w:fill="FFFFFF"/>
        </w:rPr>
        <w:t xml:space="preserve">instrument </w:t>
      </w:r>
      <w:r w:rsidRPr="006D334C">
        <w:rPr>
          <w:rFonts w:cs="Calibri"/>
          <w:szCs w:val="20"/>
          <w:shd w:val="clear" w:color="auto" w:fill="FFFFFF"/>
        </w:rPr>
        <w:t>fitted with standard Ni sample and skimmer cones and coupled to a mass spectrometer. The samples were run in He mode. The sample introduction line was rinsed for 60 seconds between samples using 5% HCl and 2% HNO</w:t>
      </w:r>
      <w:r w:rsidRPr="006D334C">
        <w:rPr>
          <w:rFonts w:cs="Calibri"/>
          <w:szCs w:val="20"/>
          <w:shd w:val="clear" w:color="auto" w:fill="FFFFFF"/>
          <w:vertAlign w:val="subscript"/>
        </w:rPr>
        <w:t>3</w:t>
      </w:r>
      <w:r w:rsidRPr="006D334C">
        <w:rPr>
          <w:rFonts w:cs="Calibri"/>
          <w:szCs w:val="20"/>
          <w:shd w:val="clear" w:color="auto" w:fill="FFFFFF"/>
        </w:rPr>
        <w:t xml:space="preserve">, and for </w:t>
      </w:r>
      <w:r w:rsidRPr="006D334C">
        <w:rPr>
          <w:rFonts w:cs="Calibri"/>
          <w:szCs w:val="20"/>
          <w:shd w:val="clear" w:color="auto" w:fill="FFFFFF"/>
        </w:rPr>
        <w:br/>
        <w:t xml:space="preserve">30 seconds for each sample. The sample uptake was set for </w:t>
      </w:r>
      <w:r w:rsidRPr="006D334C">
        <w:rPr>
          <w:rFonts w:cs="Calibri"/>
          <w:szCs w:val="20"/>
          <w:shd w:val="clear" w:color="auto" w:fill="FFFFFF"/>
        </w:rPr>
        <w:br/>
        <w:t xml:space="preserve">60 seconds and left to stabilise for 40 seconds. </w:t>
      </w:r>
      <w:r w:rsidRPr="006D334C">
        <w:rPr>
          <w:rFonts w:cs="Calibri"/>
          <w:szCs w:val="20"/>
        </w:rPr>
        <w:t>Prior to analysis, each mesoporous silica-supported catalyst (0.01 g) was added to a glass vial containing HNO</w:t>
      </w:r>
      <w:r w:rsidRPr="006D334C">
        <w:rPr>
          <w:rFonts w:cs="Calibri"/>
          <w:szCs w:val="20"/>
          <w:vertAlign w:val="subscript"/>
        </w:rPr>
        <w:t>3</w:t>
      </w:r>
      <w:r w:rsidRPr="006D334C">
        <w:rPr>
          <w:rFonts w:cs="Calibri"/>
          <w:szCs w:val="20"/>
        </w:rPr>
        <w:t xml:space="preserve"> (≥69.0%, </w:t>
      </w:r>
      <w:r w:rsidRPr="006D334C">
        <w:rPr>
          <w:rFonts w:cs="Calibri"/>
          <w:i/>
          <w:szCs w:val="20"/>
        </w:rPr>
        <w:t>Trace</w:t>
      </w:r>
      <w:r w:rsidRPr="006D334C">
        <w:rPr>
          <w:rFonts w:cs="Calibri"/>
          <w:szCs w:val="20"/>
        </w:rPr>
        <w:t>SELECT</w:t>
      </w:r>
      <w:r w:rsidRPr="006D334C">
        <w:rPr>
          <w:rFonts w:cs="Calibri"/>
          <w:szCs w:val="20"/>
          <w:vertAlign w:val="superscript"/>
        </w:rPr>
        <w:t>®</w:t>
      </w:r>
      <w:r w:rsidRPr="006D334C">
        <w:rPr>
          <w:rFonts w:cs="Calibri"/>
          <w:szCs w:val="20"/>
        </w:rPr>
        <w:t xml:space="preserve">, 5 mL) and subsequently stirred at 373 K for 3 h. After cooling to room temperature, the mixture was diluted to 100 mL using ultrapure water. </w:t>
      </w:r>
    </w:p>
    <w:p w:rsidR="00140E2D" w:rsidRDefault="006D334C" w:rsidP="00F30344">
      <w:pPr>
        <w:pStyle w:val="ExperimentalSection"/>
        <w:rPr>
          <w:rFonts w:cs="Calibri"/>
          <w:szCs w:val="20"/>
        </w:rPr>
      </w:pPr>
      <w:r w:rsidRPr="006D334C">
        <w:rPr>
          <w:rFonts w:cs="Calibri"/>
          <w:szCs w:val="20"/>
        </w:rPr>
        <w:t>DRIFTS analysis of both unloaded and loaded mesoporous silica materials was performed using a Bruker Equinox 55 using a resolution of 2 cm</w:t>
      </w:r>
      <w:r w:rsidRPr="006D334C">
        <w:rPr>
          <w:rFonts w:cs="Calibri"/>
          <w:szCs w:val="20"/>
          <w:vertAlign w:val="superscript"/>
        </w:rPr>
        <w:t>−1</w:t>
      </w:r>
      <w:r w:rsidRPr="006D334C">
        <w:rPr>
          <w:rFonts w:cs="Calibri"/>
          <w:szCs w:val="20"/>
        </w:rPr>
        <w:t xml:space="preserve"> and a KBr dilution of 10:1. </w:t>
      </w:r>
    </w:p>
    <w:p w:rsidR="00787EAD" w:rsidRPr="006C3DBC" w:rsidRDefault="006D334C" w:rsidP="00787EAD">
      <w:pPr>
        <w:pStyle w:val="ExperimentalSection"/>
        <w:rPr>
          <w:rFonts w:cs="Calibri"/>
          <w:color w:val="FF0000"/>
          <w:szCs w:val="20"/>
        </w:rPr>
      </w:pPr>
      <w:r w:rsidRPr="006C3DBC">
        <w:rPr>
          <w:rFonts w:cs="Calibri"/>
          <w:color w:val="FF0000"/>
          <w:szCs w:val="20"/>
        </w:rPr>
        <w:t>Solution</w:t>
      </w:r>
      <w:r w:rsidR="006C3DBC" w:rsidRPr="006C3DBC">
        <w:rPr>
          <w:rFonts w:cs="Calibri"/>
          <w:color w:val="FF0000"/>
          <w:szCs w:val="20"/>
        </w:rPr>
        <w:t xml:space="preserve"> state</w:t>
      </w:r>
      <w:r w:rsidRPr="006C3DBC">
        <w:rPr>
          <w:rFonts w:cs="Calibri"/>
          <w:color w:val="FF0000"/>
          <w:szCs w:val="20"/>
        </w:rPr>
        <w:t xml:space="preserve"> </w:t>
      </w:r>
      <w:r w:rsidRPr="006C3DBC">
        <w:rPr>
          <w:rFonts w:cs="Calibri"/>
          <w:color w:val="FF0000"/>
          <w:szCs w:val="20"/>
          <w:vertAlign w:val="superscript"/>
        </w:rPr>
        <w:t>1</w:t>
      </w:r>
      <w:r w:rsidRPr="006C3DBC">
        <w:rPr>
          <w:rFonts w:cs="Calibri"/>
          <w:color w:val="FF0000"/>
          <w:szCs w:val="20"/>
        </w:rPr>
        <w:t xml:space="preserve">H </w:t>
      </w:r>
      <w:r w:rsidR="006C3DBC" w:rsidRPr="006C3DBC">
        <w:rPr>
          <w:rFonts w:cs="Calibri"/>
          <w:color w:val="FF0000"/>
          <w:szCs w:val="20"/>
        </w:rPr>
        <w:t xml:space="preserve">and </w:t>
      </w:r>
      <w:r w:rsidR="006C3DBC" w:rsidRPr="006C3DBC">
        <w:rPr>
          <w:rFonts w:cs="Calibri"/>
          <w:color w:val="FF0000"/>
          <w:szCs w:val="20"/>
          <w:vertAlign w:val="superscript"/>
        </w:rPr>
        <w:t>13</w:t>
      </w:r>
      <w:r w:rsidR="006C3DBC" w:rsidRPr="006C3DBC">
        <w:rPr>
          <w:rFonts w:cs="Calibri"/>
          <w:color w:val="FF0000"/>
          <w:szCs w:val="20"/>
        </w:rPr>
        <w:t xml:space="preserve">C </w:t>
      </w:r>
      <w:r w:rsidRPr="006C3DBC">
        <w:rPr>
          <w:rFonts w:cs="Calibri"/>
          <w:color w:val="FF0000"/>
          <w:szCs w:val="20"/>
        </w:rPr>
        <w:t xml:space="preserve">NMR spectra were recorded at 400 </w:t>
      </w:r>
      <w:r w:rsidR="006C3DBC" w:rsidRPr="006C3DBC">
        <w:rPr>
          <w:rFonts w:cs="Calibri"/>
          <w:color w:val="FF0000"/>
          <w:szCs w:val="20"/>
        </w:rPr>
        <w:t xml:space="preserve">and 100 </w:t>
      </w:r>
      <w:r w:rsidRPr="006C3DBC">
        <w:rPr>
          <w:rFonts w:cs="Calibri"/>
          <w:color w:val="FF0000"/>
          <w:szCs w:val="20"/>
        </w:rPr>
        <w:t xml:space="preserve">MHz </w:t>
      </w:r>
      <w:r w:rsidR="006C3DBC" w:rsidRPr="006C3DBC">
        <w:rPr>
          <w:rFonts w:cs="Calibri"/>
          <w:color w:val="FF0000"/>
          <w:szCs w:val="20"/>
        </w:rPr>
        <w:t xml:space="preserve">respectively </w:t>
      </w:r>
      <w:r w:rsidRPr="006C3DBC">
        <w:rPr>
          <w:rFonts w:cs="Calibri"/>
          <w:color w:val="FF0000"/>
          <w:szCs w:val="20"/>
        </w:rPr>
        <w:t>using a Jeol Oxford 400 Spectrometer. Chemical shifts are reported in ppm (</w:t>
      </w:r>
      <w:r w:rsidRPr="006C3DBC">
        <w:rPr>
          <w:rFonts w:cs="Calibri"/>
          <w:i/>
          <w:color w:val="FF0000"/>
          <w:szCs w:val="20"/>
        </w:rPr>
        <w:t>δ</w:t>
      </w:r>
      <w:r w:rsidRPr="006C3DBC">
        <w:rPr>
          <w:rFonts w:cs="Calibri"/>
          <w:color w:val="FF0000"/>
          <w:szCs w:val="20"/>
        </w:rPr>
        <w:t>) reference</w:t>
      </w:r>
      <w:r w:rsidR="006C3DBC" w:rsidRPr="006C3DBC">
        <w:rPr>
          <w:rFonts w:cs="Calibri"/>
          <w:color w:val="FF0000"/>
          <w:szCs w:val="20"/>
        </w:rPr>
        <w:t>d</w:t>
      </w:r>
      <w:r w:rsidRPr="006C3DBC">
        <w:rPr>
          <w:rFonts w:cs="Calibri"/>
          <w:color w:val="FF0000"/>
          <w:szCs w:val="20"/>
        </w:rPr>
        <w:t xml:space="preserve"> to </w:t>
      </w:r>
      <w:r w:rsidR="006C3DBC" w:rsidRPr="006C3DBC">
        <w:rPr>
          <w:rFonts w:cs="Calibri"/>
          <w:color w:val="FF0000"/>
          <w:szCs w:val="20"/>
        </w:rPr>
        <w:t>CHCl</w:t>
      </w:r>
      <w:r w:rsidR="006C3DBC" w:rsidRPr="006C3DBC">
        <w:rPr>
          <w:rFonts w:cs="Calibri"/>
          <w:color w:val="FF0000"/>
          <w:szCs w:val="20"/>
          <w:vertAlign w:val="subscript"/>
        </w:rPr>
        <w:t>3</w:t>
      </w:r>
      <w:r w:rsidR="006C3DBC" w:rsidRPr="006C3DBC">
        <w:rPr>
          <w:rFonts w:cs="Calibri"/>
          <w:color w:val="FF0000"/>
          <w:szCs w:val="20"/>
        </w:rPr>
        <w:t xml:space="preserve"> (7.26 ppm) and CDCl</w:t>
      </w:r>
      <w:r w:rsidR="006C3DBC" w:rsidRPr="006C3DBC">
        <w:rPr>
          <w:rFonts w:cs="Calibri"/>
          <w:color w:val="FF0000"/>
          <w:szCs w:val="20"/>
          <w:vertAlign w:val="subscript"/>
        </w:rPr>
        <w:t>3</w:t>
      </w:r>
      <w:r w:rsidR="006C3DBC" w:rsidRPr="006C3DBC">
        <w:rPr>
          <w:rFonts w:cs="Calibri"/>
          <w:color w:val="FF0000"/>
          <w:szCs w:val="20"/>
        </w:rPr>
        <w:t xml:space="preserve"> (77.16 ppm)</w:t>
      </w:r>
      <w:r w:rsidR="006C3DBC" w:rsidRPr="006C3DBC">
        <w:rPr>
          <w:rFonts w:cs="Calibri"/>
          <w:color w:val="FF0000"/>
          <w:szCs w:val="20"/>
          <w:vertAlign w:val="superscript"/>
        </w:rPr>
        <w:t xml:space="preserve"> </w:t>
      </w:r>
      <w:r w:rsidR="006C3DBC" w:rsidRPr="006C3DBC">
        <w:rPr>
          <w:rFonts w:cs="Calibri"/>
          <w:color w:val="FF0000"/>
          <w:szCs w:val="20"/>
        </w:rPr>
        <w:t xml:space="preserve">for </w:t>
      </w:r>
      <w:r w:rsidR="006C3DBC" w:rsidRPr="006C3DBC">
        <w:rPr>
          <w:rFonts w:cs="Calibri"/>
          <w:color w:val="FF0000"/>
          <w:szCs w:val="20"/>
          <w:vertAlign w:val="superscript"/>
        </w:rPr>
        <w:t>1</w:t>
      </w:r>
      <w:r w:rsidR="006C3DBC" w:rsidRPr="006C3DBC">
        <w:rPr>
          <w:rFonts w:cs="Calibri"/>
          <w:color w:val="FF0000"/>
          <w:szCs w:val="20"/>
        </w:rPr>
        <w:t xml:space="preserve">H and </w:t>
      </w:r>
      <w:r w:rsidR="006C3DBC" w:rsidRPr="006C3DBC">
        <w:rPr>
          <w:rFonts w:cs="Calibri"/>
          <w:color w:val="FF0000"/>
          <w:szCs w:val="20"/>
          <w:vertAlign w:val="superscript"/>
        </w:rPr>
        <w:t>13</w:t>
      </w:r>
      <w:r w:rsidR="006C3DBC" w:rsidRPr="006C3DBC">
        <w:rPr>
          <w:rFonts w:cs="Calibri"/>
          <w:color w:val="FF0000"/>
          <w:szCs w:val="20"/>
        </w:rPr>
        <w:t>C spectra respectively</w:t>
      </w:r>
      <w:r w:rsidRPr="006C3DBC">
        <w:rPr>
          <w:rFonts w:cs="Calibri"/>
          <w:color w:val="FF0000"/>
          <w:szCs w:val="20"/>
        </w:rPr>
        <w:t>.</w:t>
      </w:r>
      <w:r w:rsidR="00626290">
        <w:rPr>
          <w:rFonts w:cs="Calibri"/>
          <w:color w:val="FF0000"/>
          <w:szCs w:val="20"/>
        </w:rPr>
        <w:t xml:space="preserve"> </w:t>
      </w:r>
      <w:r w:rsidR="00787EAD" w:rsidRPr="00787EAD">
        <w:rPr>
          <w:rFonts w:cs="Calibri"/>
          <w:color w:val="FF0000"/>
          <w:szCs w:val="20"/>
        </w:rPr>
        <w:t>Solid-state NMR spectra were recorded on a Bruker Avance</w:t>
      </w:r>
      <w:r w:rsidR="00787EAD">
        <w:rPr>
          <w:rFonts w:cs="Calibri"/>
          <w:color w:val="FF0000"/>
          <w:szCs w:val="20"/>
        </w:rPr>
        <w:t xml:space="preserve"> </w:t>
      </w:r>
      <w:r w:rsidR="00787EAD" w:rsidRPr="00787EAD">
        <w:rPr>
          <w:rFonts w:cs="Calibri"/>
          <w:color w:val="FF0000"/>
          <w:szCs w:val="20"/>
        </w:rPr>
        <w:t>400 spectrometer operating at</w:t>
      </w:r>
      <w:r w:rsidR="00787EAD">
        <w:rPr>
          <w:rFonts w:cs="Calibri"/>
          <w:color w:val="FF0000"/>
          <w:szCs w:val="20"/>
        </w:rPr>
        <w:t xml:space="preserve"> 400, 100 and 79.5</w:t>
      </w:r>
      <w:r w:rsidR="00787EAD" w:rsidRPr="00787EAD">
        <w:rPr>
          <w:rFonts w:cs="Calibri"/>
          <w:color w:val="FF0000"/>
          <w:szCs w:val="20"/>
        </w:rPr>
        <w:t xml:space="preserve"> MHz for </w:t>
      </w:r>
      <w:r w:rsidR="00787EAD" w:rsidRPr="00787EAD">
        <w:rPr>
          <w:rFonts w:cs="Calibri"/>
          <w:color w:val="FF0000"/>
          <w:szCs w:val="20"/>
          <w:vertAlign w:val="superscript"/>
        </w:rPr>
        <w:t>1</w:t>
      </w:r>
      <w:r w:rsidR="00787EAD" w:rsidRPr="00787EAD">
        <w:rPr>
          <w:rFonts w:cs="Calibri"/>
          <w:color w:val="FF0000"/>
          <w:szCs w:val="20"/>
        </w:rPr>
        <w:t xml:space="preserve">H, </w:t>
      </w:r>
      <w:r w:rsidR="00787EAD" w:rsidRPr="00787EAD">
        <w:rPr>
          <w:rFonts w:cs="Calibri"/>
          <w:color w:val="FF0000"/>
          <w:szCs w:val="20"/>
          <w:vertAlign w:val="superscript"/>
        </w:rPr>
        <w:t>13</w:t>
      </w:r>
      <w:r w:rsidR="00787EAD" w:rsidRPr="00787EAD">
        <w:rPr>
          <w:rFonts w:cs="Calibri"/>
          <w:color w:val="FF0000"/>
          <w:szCs w:val="20"/>
        </w:rPr>
        <w:t xml:space="preserve">C, and </w:t>
      </w:r>
      <w:r w:rsidR="00787EAD" w:rsidRPr="00787EAD">
        <w:rPr>
          <w:rFonts w:cs="Calibri"/>
          <w:color w:val="FF0000"/>
          <w:szCs w:val="20"/>
          <w:vertAlign w:val="superscript"/>
        </w:rPr>
        <w:t>29</w:t>
      </w:r>
      <w:r w:rsidR="00787EAD" w:rsidRPr="00787EAD">
        <w:rPr>
          <w:rFonts w:cs="Calibri"/>
          <w:color w:val="FF0000"/>
          <w:szCs w:val="20"/>
        </w:rPr>
        <w:t xml:space="preserve">Si, respectively. </w:t>
      </w:r>
      <w:r w:rsidR="00787EAD">
        <w:rPr>
          <w:rFonts w:cs="Calibri"/>
          <w:color w:val="FF0000"/>
          <w:szCs w:val="20"/>
        </w:rPr>
        <w:t>C</w:t>
      </w:r>
      <w:r w:rsidR="00626290">
        <w:rPr>
          <w:rFonts w:cs="Calibri"/>
          <w:color w:val="FF0000"/>
          <w:szCs w:val="20"/>
        </w:rPr>
        <w:t xml:space="preserve">ross-polarization </w:t>
      </w:r>
      <w:r w:rsidR="00787EAD" w:rsidRPr="00787EAD">
        <w:rPr>
          <w:rFonts w:cs="Calibri"/>
          <w:color w:val="FF0000"/>
          <w:szCs w:val="20"/>
        </w:rPr>
        <w:t>MAS</w:t>
      </w:r>
      <w:r w:rsidR="00787EAD">
        <w:rPr>
          <w:rFonts w:cs="Calibri"/>
          <w:color w:val="FF0000"/>
          <w:szCs w:val="20"/>
        </w:rPr>
        <w:t xml:space="preserve"> </w:t>
      </w:r>
      <w:r w:rsidR="00787EAD" w:rsidRPr="00787EAD">
        <w:rPr>
          <w:rFonts w:cs="Calibri"/>
          <w:color w:val="FF0000"/>
          <w:szCs w:val="20"/>
        </w:rPr>
        <w:t xml:space="preserve">spectra were recorded </w:t>
      </w:r>
      <w:r w:rsidR="00787EAD">
        <w:rPr>
          <w:rFonts w:cs="Calibri"/>
          <w:color w:val="FF0000"/>
          <w:szCs w:val="20"/>
        </w:rPr>
        <w:t>at 296 K and a spin-rate of 9 kHz</w:t>
      </w:r>
      <w:r w:rsidR="00787EAD" w:rsidRPr="00787EAD">
        <w:rPr>
          <w:rFonts w:cs="Calibri"/>
          <w:color w:val="FF0000"/>
          <w:szCs w:val="20"/>
        </w:rPr>
        <w:t>.</w:t>
      </w:r>
      <w:r w:rsidR="00626290">
        <w:rPr>
          <w:rFonts w:cs="Calibri"/>
          <w:color w:val="FF0000"/>
          <w:szCs w:val="20"/>
        </w:rPr>
        <w:t xml:space="preserve"> </w:t>
      </w:r>
      <w:r w:rsidR="00626290" w:rsidRPr="00626290">
        <w:rPr>
          <w:rFonts w:cs="Calibri"/>
          <w:color w:val="FF0000"/>
          <w:szCs w:val="20"/>
          <w:vertAlign w:val="superscript"/>
        </w:rPr>
        <w:t>13</w:t>
      </w:r>
      <w:r w:rsidR="00626290">
        <w:rPr>
          <w:rFonts w:cs="Calibri"/>
          <w:color w:val="FF0000"/>
          <w:szCs w:val="20"/>
        </w:rPr>
        <w:t xml:space="preserve">C spectra were externally referenced to adamantine whilst </w:t>
      </w:r>
      <w:r w:rsidR="00626290" w:rsidRPr="00626290">
        <w:rPr>
          <w:rFonts w:cs="Calibri"/>
          <w:color w:val="FF0000"/>
          <w:szCs w:val="20"/>
          <w:vertAlign w:val="superscript"/>
        </w:rPr>
        <w:t>29</w:t>
      </w:r>
      <w:r w:rsidR="00626290">
        <w:rPr>
          <w:rFonts w:cs="Calibri"/>
          <w:color w:val="FF0000"/>
          <w:szCs w:val="20"/>
        </w:rPr>
        <w:t>Si spectra were externally referenced to o</w:t>
      </w:r>
      <w:r w:rsidR="00626290" w:rsidRPr="00626290">
        <w:rPr>
          <w:rFonts w:cs="Calibri"/>
          <w:color w:val="FF0000"/>
          <w:szCs w:val="20"/>
        </w:rPr>
        <w:t>ctakis(trimethylsiloxy)silsesquioxane</w:t>
      </w:r>
      <w:r w:rsidR="00626290">
        <w:rPr>
          <w:rFonts w:cs="Calibri"/>
          <w:color w:val="FF0000"/>
          <w:szCs w:val="20"/>
        </w:rPr>
        <w:t xml:space="preserve"> (Q8M8).</w:t>
      </w:r>
    </w:p>
    <w:p w:rsidR="00140E2D" w:rsidRDefault="00140E2D" w:rsidP="00F30344">
      <w:pPr>
        <w:pStyle w:val="ExperimentalSection"/>
        <w:rPr>
          <w:rFonts w:cs="Calibri"/>
          <w:szCs w:val="20"/>
        </w:rPr>
      </w:pPr>
      <w:r w:rsidRPr="00140E2D">
        <w:rPr>
          <w:rFonts w:cs="Calibri"/>
          <w:b/>
          <w:szCs w:val="20"/>
        </w:rPr>
        <w:t xml:space="preserve">Synthesis of SBA-15. </w:t>
      </w:r>
      <w:r w:rsidRPr="00140E2D">
        <w:rPr>
          <w:rFonts w:cs="Calibri"/>
          <w:szCs w:val="20"/>
        </w:rPr>
        <w:t>A 250 mL round-bottom flask was charged with Pluronic P-123 (2.00 g) and a mixture of distilled water (15 mL) and 2 M HCl (60 mL). After stirring at 40 °C for 4 h to ensure complete dissolution, TEOS (4.25 g) was added dropwise and the resulting reaction mixture was left to stir at 40 °C for 24 h. After this time, the white suspension was left to stand at 100 °C for 24 h. The solid product was collected by Büchner filtration, washed with distilled water (100 mL) and dried under vacuum for 6 h. The isolated solid was calcined statically in ambient air at 550 °C (heating ramp rate of 2 °C/min) for 5 h to yield SBA-15 as a powdery white solid.</w:t>
      </w:r>
    </w:p>
    <w:p w:rsidR="00140E2D" w:rsidRDefault="00140E2D" w:rsidP="00F30344">
      <w:pPr>
        <w:pStyle w:val="ExperimentalSection"/>
        <w:rPr>
          <w:rFonts w:cs="Calibri"/>
          <w:szCs w:val="20"/>
        </w:rPr>
      </w:pPr>
      <w:r w:rsidRPr="00140E2D">
        <w:rPr>
          <w:rFonts w:cs="Calibri"/>
          <w:b/>
          <w:szCs w:val="20"/>
        </w:rPr>
        <w:t>Synthesis of SBA-15-7 and SBA-15-10.</w:t>
      </w:r>
      <w:r w:rsidRPr="00140E2D">
        <w:rPr>
          <w:rFonts w:cs="Calibri"/>
          <w:szCs w:val="20"/>
        </w:rPr>
        <w:t xml:space="preserve"> A 250 mL round-bottom flask was charged with Pluronic P-123 (2.00 g) and a mixture of distilled water (52 mL) and 37% HCl (10 mL). After stirring at 25 °C for 2 h to ensure complete dissolution, TMB (2.00 g) was added in one portion and the stirring continued for 2 h. TEOS (4.30 g) was added dropwise and the resulting reaction mixture was left to stir at 35 °C for 24 h. After this time, the white suspension was left to stand at 80–120 °C for 72 h. The solid product was collected by Büchner filtration, washed with distilled water (100 mL) and dried under vacuum for 6 h. The isolated solid was calcined statically in ambient air at 550 °C (heating ramp rate of 2 °C/min) for 5 h to yield </w:t>
      </w:r>
      <w:r w:rsidRPr="00140E2D">
        <w:rPr>
          <w:rFonts w:cs="Calibri"/>
          <w:szCs w:val="20"/>
        </w:rPr>
        <w:br/>
        <w:t>SBA-15-7 or SBA-15-10 as a powdery white solid.</w:t>
      </w:r>
    </w:p>
    <w:p w:rsidR="00140E2D" w:rsidRDefault="00140E2D" w:rsidP="00F30344">
      <w:pPr>
        <w:pStyle w:val="ExperimentalSection"/>
        <w:rPr>
          <w:szCs w:val="20"/>
        </w:rPr>
      </w:pPr>
      <w:r w:rsidRPr="00140E2D">
        <w:rPr>
          <w:b/>
          <w:szCs w:val="20"/>
        </w:rPr>
        <w:t>Synthesis of KIT-6.</w:t>
      </w:r>
      <w:r w:rsidRPr="00140E2D">
        <w:rPr>
          <w:szCs w:val="20"/>
        </w:rPr>
        <w:t xml:space="preserve"> A 250 mL round-bottom flask was charged with Pluronic P-123 (3.00 g) and a mixture of distilled water (108 mL) and 37% HCl (4.90 mL). After stirring at 35 °C for 4 h to ensure complete dissolution, </w:t>
      </w:r>
      <w:r w:rsidRPr="00140E2D">
        <w:rPr>
          <w:i/>
          <w:szCs w:val="20"/>
        </w:rPr>
        <w:t>n</w:t>
      </w:r>
      <w:r w:rsidRPr="00140E2D">
        <w:rPr>
          <w:szCs w:val="20"/>
        </w:rPr>
        <w:t>-butanol (3.00 g) was added in one portion and the stirring continued for 1 h. TEOS (6.40 g) was added dropwise and the resulting reaction mixture was left to stir at 35 °C for 24 h. After this time, the white suspension was left to stand at 100 °C for 24 h. The solid product was collected by Büchner filtration and dried under high vacuum at 60 °C for 12 h. The isolated solid was calcined statically in ambient air at 550 °C (heating ramp rate of 2 °C/min) for 6 h to yield KIT-6 as a powdery white solid.</w:t>
      </w:r>
    </w:p>
    <w:p w:rsidR="00140E2D" w:rsidRDefault="00140E2D" w:rsidP="00F30344">
      <w:pPr>
        <w:pStyle w:val="ExperimentalSection"/>
        <w:rPr>
          <w:rFonts w:cs="Calibri"/>
          <w:szCs w:val="20"/>
        </w:rPr>
      </w:pPr>
      <w:r w:rsidRPr="00140E2D">
        <w:rPr>
          <w:rFonts w:cs="Calibri"/>
          <w:b/>
          <w:szCs w:val="20"/>
        </w:rPr>
        <w:t>General synthesis of 3-chloropropyl functionalised silica</w:t>
      </w:r>
      <w:r>
        <w:rPr>
          <w:rFonts w:cs="Calibri"/>
          <w:szCs w:val="20"/>
        </w:rPr>
        <w:t xml:space="preserve">. </w:t>
      </w:r>
      <w:r w:rsidRPr="00140E2D">
        <w:rPr>
          <w:rFonts w:cs="Calibri"/>
          <w:szCs w:val="20"/>
        </w:rPr>
        <w:t>In a 50 mL round-bottom flask, calcined mesoporous silica (0.50 g) was suspended in anhydrous toluene</w:t>
      </w:r>
      <w:r>
        <w:rPr>
          <w:rFonts w:cs="Calibri"/>
          <w:szCs w:val="20"/>
        </w:rPr>
        <w:t xml:space="preserve"> (30 mL). With stirring, CPTES </w:t>
      </w:r>
      <w:r w:rsidRPr="00140E2D">
        <w:rPr>
          <w:rFonts w:cs="Calibri"/>
          <w:szCs w:val="20"/>
        </w:rPr>
        <w:t xml:space="preserve">(0.29 g, 1.20 mmol) was directly added to the reaction mixture, which was heated under reflux (115 °C) for 16 h under a nitrogen atmosphere. After this time, the reaction mixture was allowed to cool to rt. The solid product was isolated </w:t>
      </w:r>
      <w:r w:rsidRPr="00140E2D">
        <w:rPr>
          <w:rFonts w:cs="Calibri"/>
          <w:i/>
          <w:szCs w:val="20"/>
        </w:rPr>
        <w:t>via</w:t>
      </w:r>
      <w:r w:rsidRPr="00140E2D">
        <w:rPr>
          <w:rFonts w:cs="Calibri"/>
          <w:szCs w:val="20"/>
        </w:rPr>
        <w:t xml:space="preserve"> sintered funnel and washed suc</w:t>
      </w:r>
      <w:r>
        <w:rPr>
          <w:rFonts w:cs="Calibri"/>
          <w:szCs w:val="20"/>
        </w:rPr>
        <w:t xml:space="preserve">cessively with toluene (10 mL), </w:t>
      </w:r>
      <w:r w:rsidRPr="00140E2D">
        <w:rPr>
          <w:rFonts w:cs="Calibri"/>
          <w:szCs w:val="20"/>
        </w:rPr>
        <w:t>CH</w:t>
      </w:r>
      <w:r w:rsidRPr="00140E2D">
        <w:rPr>
          <w:rFonts w:cs="Calibri"/>
          <w:szCs w:val="20"/>
          <w:vertAlign w:val="subscript"/>
        </w:rPr>
        <w:t>2</w:t>
      </w:r>
      <w:r w:rsidRPr="00140E2D">
        <w:rPr>
          <w:rFonts w:cs="Calibri"/>
          <w:szCs w:val="20"/>
        </w:rPr>
        <w:t>Cl</w:t>
      </w:r>
      <w:r w:rsidRPr="00140E2D">
        <w:rPr>
          <w:rFonts w:cs="Calibri"/>
          <w:szCs w:val="20"/>
          <w:vertAlign w:val="subscript"/>
        </w:rPr>
        <w:t>2</w:t>
      </w:r>
      <w:r w:rsidRPr="00140E2D">
        <w:rPr>
          <w:rFonts w:cs="Calibri"/>
          <w:szCs w:val="20"/>
        </w:rPr>
        <w:t xml:space="preserve"> (10 mL), and Et</w:t>
      </w:r>
      <w:r w:rsidRPr="00140E2D">
        <w:rPr>
          <w:rFonts w:cs="Calibri"/>
          <w:szCs w:val="20"/>
          <w:vertAlign w:val="subscript"/>
        </w:rPr>
        <w:t>2</w:t>
      </w:r>
      <w:r w:rsidRPr="00140E2D">
        <w:rPr>
          <w:rFonts w:cs="Calibri"/>
          <w:szCs w:val="20"/>
        </w:rPr>
        <w:t>O (10 mL). The isolated solid was dried under high vacuum at rt for 12 h to yield the 3-chloropropyl functionalised silica as a powdery white solid.</w:t>
      </w:r>
    </w:p>
    <w:p w:rsidR="00140E2D" w:rsidRPr="00140E2D" w:rsidRDefault="00140E2D" w:rsidP="00F30344">
      <w:pPr>
        <w:pStyle w:val="ExperimentalSection"/>
        <w:rPr>
          <w:rFonts w:cs="Calibri"/>
          <w:szCs w:val="20"/>
        </w:rPr>
      </w:pPr>
      <w:r w:rsidRPr="00140E2D">
        <w:rPr>
          <w:rFonts w:cs="Calibri"/>
          <w:b/>
          <w:szCs w:val="20"/>
        </w:rPr>
        <w:t>General preparation of bimetallic aluminium-salen catalyst functionalised silica.</w:t>
      </w:r>
      <w:r w:rsidRPr="00140E2D">
        <w:rPr>
          <w:rFonts w:cs="Calibri"/>
          <w:szCs w:val="20"/>
        </w:rPr>
        <w:t xml:space="preserve"> A 50 mL round-bottom flask was charged with 3-chloropropyl functionalised silica (0.25 g), </w:t>
      </w:r>
      <w:r w:rsidRPr="00140E2D">
        <w:rPr>
          <w:rFonts w:cs="Calibri"/>
          <w:b/>
          <w:szCs w:val="20"/>
        </w:rPr>
        <w:t>3</w:t>
      </w:r>
      <w:r w:rsidRPr="00140E2D">
        <w:rPr>
          <w:rFonts w:cs="Calibri"/>
          <w:szCs w:val="20"/>
        </w:rPr>
        <w:t xml:space="preserve"> (0.24 g) and MeCN (20 mL). With stirring, the reaction mixture was heated under reflux (86 °C) for 16 h. </w:t>
      </w:r>
      <w:r w:rsidRPr="00140E2D">
        <w:rPr>
          <w:rFonts w:cs="Calibri"/>
          <w:szCs w:val="20"/>
        </w:rPr>
        <w:lastRenderedPageBreak/>
        <w:t xml:space="preserve">After this time, the reaction mixture was allowed to cool to rt. The solid product was isolated </w:t>
      </w:r>
      <w:r w:rsidRPr="00140E2D">
        <w:rPr>
          <w:rFonts w:cs="Calibri"/>
          <w:i/>
          <w:szCs w:val="20"/>
        </w:rPr>
        <w:t>via</w:t>
      </w:r>
      <w:r w:rsidRPr="00140E2D">
        <w:rPr>
          <w:rFonts w:cs="Calibri"/>
          <w:szCs w:val="20"/>
        </w:rPr>
        <w:t xml:space="preserve"> sintered funnel and washed with EtOAc (2 × 10 mL). The isolated solid was transferred to a 50 mL round-bottom flask and BnBr (0.28 g), TBAB (0.36 g) and MeCN (20 mL) were added. The reaction mixture was heated under reflux (86 °C) with stirring for 16 h. After this time, the reaction mixture was allowed to cool to rt. The solid product was isolated </w:t>
      </w:r>
      <w:r w:rsidRPr="00140E2D">
        <w:rPr>
          <w:rFonts w:cs="Calibri"/>
          <w:i/>
          <w:szCs w:val="20"/>
        </w:rPr>
        <w:t>via</w:t>
      </w:r>
      <w:r w:rsidRPr="00140E2D">
        <w:rPr>
          <w:rFonts w:cs="Calibri"/>
          <w:szCs w:val="20"/>
        </w:rPr>
        <w:t xml:space="preserve"> sintered funnel filtration and washed with EtOAc</w:t>
      </w:r>
      <w:r w:rsidR="00D67A93">
        <w:rPr>
          <w:rFonts w:cs="Calibri"/>
          <w:szCs w:val="20"/>
        </w:rPr>
        <w:t xml:space="preserve"> </w:t>
      </w:r>
      <w:r>
        <w:rPr>
          <w:rFonts w:cs="Calibri"/>
          <w:szCs w:val="20"/>
        </w:rPr>
        <w:t>(2×</w:t>
      </w:r>
      <w:r w:rsidR="00D67A93">
        <w:rPr>
          <w:rFonts w:cs="Calibri"/>
          <w:szCs w:val="20"/>
        </w:rPr>
        <w:t xml:space="preserve">10 mL) </w:t>
      </w:r>
      <w:r w:rsidRPr="00140E2D">
        <w:rPr>
          <w:rFonts w:cs="Calibri"/>
          <w:szCs w:val="20"/>
        </w:rPr>
        <w:t>to yield the bimetallic aluminium-salen catalyst functionalised silica as a powdery orange solid.</w:t>
      </w:r>
    </w:p>
    <w:p w:rsidR="00140E2D" w:rsidRPr="00E1594C" w:rsidRDefault="00140E2D" w:rsidP="00F30344">
      <w:pPr>
        <w:pStyle w:val="ExperimentalSection"/>
        <w:rPr>
          <w:rFonts w:cs="Calibri"/>
          <w:color w:val="000000"/>
        </w:rPr>
      </w:pPr>
      <w:r w:rsidRPr="00140E2D">
        <w:rPr>
          <w:rFonts w:cs="Calibri"/>
          <w:b/>
          <w:szCs w:val="20"/>
        </w:rPr>
        <w:t>General procedure for catalyst screening.</w:t>
      </w:r>
      <w:r w:rsidRPr="00140E2D">
        <w:rPr>
          <w:rFonts w:cs="Calibri"/>
          <w:szCs w:val="20"/>
        </w:rPr>
        <w:t xml:space="preserve"> A glass vial was charged with mesoporous silica-supported catalyst (0.25 mol%) and an epoxide (3.30 mmol), sealed and purged with CO</w:t>
      </w:r>
      <w:r w:rsidRPr="00140E2D">
        <w:rPr>
          <w:rFonts w:cs="Calibri"/>
          <w:szCs w:val="20"/>
          <w:vertAlign w:val="subscript"/>
        </w:rPr>
        <w:t>2</w:t>
      </w:r>
      <w:r w:rsidRPr="00140E2D">
        <w:rPr>
          <w:rFonts w:cs="Calibri"/>
          <w:szCs w:val="20"/>
        </w:rPr>
        <w:t>, and then placed in a pre-heated DrySyn</w:t>
      </w:r>
      <w:r w:rsidRPr="00140E2D">
        <w:rPr>
          <w:rFonts w:cs="Calibri"/>
          <w:szCs w:val="20"/>
          <w:vertAlign w:val="superscript"/>
        </w:rPr>
        <w:t>®</w:t>
      </w:r>
      <w:r w:rsidRPr="00140E2D">
        <w:rPr>
          <w:rFonts w:cs="Calibri"/>
          <w:szCs w:val="20"/>
        </w:rPr>
        <w:t xml:space="preserve"> heating block. A balloon filled with CO</w:t>
      </w:r>
      <w:r w:rsidRPr="00140E2D">
        <w:rPr>
          <w:rFonts w:cs="Calibri"/>
          <w:szCs w:val="20"/>
          <w:vertAlign w:val="subscript"/>
        </w:rPr>
        <w:t>2</w:t>
      </w:r>
      <w:r w:rsidRPr="00140E2D">
        <w:rPr>
          <w:rFonts w:cs="Calibri"/>
          <w:szCs w:val="20"/>
        </w:rPr>
        <w:t xml:space="preserve"> was attached and the reaction mixture was gently stirred at 50</w:t>
      </w:r>
      <w:r w:rsidR="00A04EF1">
        <w:rPr>
          <w:rFonts w:cs="Calibri"/>
          <w:szCs w:val="20"/>
        </w:rPr>
        <w:t xml:space="preserve"> </w:t>
      </w:r>
      <w:r w:rsidR="00A04EF1" w:rsidRPr="00A04EF1">
        <w:rPr>
          <w:rFonts w:cs="Calibri"/>
          <w:color w:val="FF0000"/>
          <w:szCs w:val="20"/>
        </w:rPr>
        <w:t>or 100</w:t>
      </w:r>
      <w:r w:rsidRPr="00140E2D">
        <w:rPr>
          <w:rFonts w:cs="Calibri"/>
          <w:szCs w:val="20"/>
        </w:rPr>
        <w:t xml:space="preserve"> ˚C for 24 h. After this time, the reaction mixture was allowed to cool to rt. Conversions were determined </w:t>
      </w:r>
      <w:r>
        <w:rPr>
          <w:rFonts w:cs="Calibri"/>
          <w:szCs w:val="20"/>
        </w:rPr>
        <w:t>by</w:t>
      </w:r>
      <w:r w:rsidRPr="00140E2D">
        <w:rPr>
          <w:rFonts w:cs="Calibri"/>
          <w:szCs w:val="20"/>
        </w:rPr>
        <w:t xml:space="preserve"> </w:t>
      </w:r>
      <w:r w:rsidRPr="00140E2D">
        <w:rPr>
          <w:rFonts w:cs="Calibri"/>
          <w:szCs w:val="20"/>
          <w:vertAlign w:val="superscript"/>
        </w:rPr>
        <w:t>1</w:t>
      </w:r>
      <w:r w:rsidRPr="00140E2D">
        <w:rPr>
          <w:rFonts w:cs="Calibri"/>
          <w:szCs w:val="20"/>
        </w:rPr>
        <w:t>H NMR spectroscopy</w:t>
      </w:r>
      <w:r>
        <w:rPr>
          <w:rFonts w:cs="Calibri"/>
          <w:szCs w:val="20"/>
        </w:rPr>
        <w:t xml:space="preserve"> of the reaction </w:t>
      </w:r>
      <w:r w:rsidRPr="00DB08CC">
        <w:rPr>
          <w:rFonts w:cs="Calibri"/>
          <w:color w:val="000000"/>
          <w:szCs w:val="20"/>
        </w:rPr>
        <w:t xml:space="preserve">mixture. When good conversions were obtained using </w:t>
      </w:r>
      <w:r w:rsidRPr="00DB08CC">
        <w:rPr>
          <w:rFonts w:cs="Calibri"/>
          <w:color w:val="000000"/>
        </w:rPr>
        <w:t>SBA-15-10</w:t>
      </w:r>
      <w:r w:rsidRPr="00DB08CC">
        <w:rPr>
          <w:rFonts w:cs="Calibri"/>
          <w:b/>
          <w:color w:val="000000"/>
        </w:rPr>
        <w:t>-7</w:t>
      </w:r>
      <w:r w:rsidRPr="00DB08CC">
        <w:rPr>
          <w:rFonts w:cs="Calibri"/>
          <w:color w:val="000000"/>
        </w:rPr>
        <w:t xml:space="preserve"> catalyst, the reaction mixture was purified </w:t>
      </w:r>
      <w:r w:rsidR="00E1594C">
        <w:rPr>
          <w:rFonts w:cs="Calibri"/>
          <w:color w:val="000000"/>
        </w:rPr>
        <w:t xml:space="preserve">by column chromatography on silica gel, eluting first with hexane:EtOAc 5:1, then hexane:EtOAc 1:1 and finally with just EtOAc </w:t>
      </w:r>
      <w:r w:rsidRPr="00DB08CC">
        <w:rPr>
          <w:rFonts w:cs="Calibri"/>
          <w:color w:val="000000"/>
        </w:rPr>
        <w:t xml:space="preserve">to give the pure cyclic </w:t>
      </w:r>
      <w:r w:rsidRPr="00F5558B">
        <w:rPr>
          <w:rFonts w:cs="Calibri"/>
          <w:color w:val="FF0000"/>
        </w:rPr>
        <w:t>carbonate</w:t>
      </w:r>
      <w:r w:rsidR="00E1594C" w:rsidRPr="00F5558B">
        <w:rPr>
          <w:rFonts w:cs="Calibri"/>
          <w:color w:val="FF0000"/>
        </w:rPr>
        <w:t>s</w:t>
      </w:r>
      <w:r w:rsidRPr="00F5558B">
        <w:rPr>
          <w:rFonts w:cs="Calibri"/>
          <w:color w:val="FF0000"/>
        </w:rPr>
        <w:t xml:space="preserve"> </w:t>
      </w:r>
      <w:r w:rsidRPr="00F5558B">
        <w:rPr>
          <w:rFonts w:cs="Calibri"/>
          <w:b/>
          <w:color w:val="FF0000"/>
        </w:rPr>
        <w:t>2</w:t>
      </w:r>
      <w:r w:rsidR="00F5558B">
        <w:rPr>
          <w:rFonts w:cs="Calibri"/>
          <w:b/>
          <w:color w:val="FF0000"/>
        </w:rPr>
        <w:t>b-m</w:t>
      </w:r>
      <w:r w:rsidRPr="00F5558B">
        <w:rPr>
          <w:rFonts w:cs="Calibri"/>
          <w:color w:val="FF0000"/>
        </w:rPr>
        <w:t>.</w:t>
      </w:r>
      <w:r w:rsidR="00F5558B">
        <w:rPr>
          <w:rFonts w:cs="Calibri"/>
          <w:color w:val="FF0000"/>
          <w:vertAlign w:val="superscript"/>
        </w:rPr>
        <w:t>[4</w:t>
      </w:r>
      <w:r w:rsidR="00C12339">
        <w:rPr>
          <w:rFonts w:cs="Calibri"/>
          <w:color w:val="FF0000"/>
          <w:vertAlign w:val="superscript"/>
        </w:rPr>
        <w:t>2</w:t>
      </w:r>
      <w:r w:rsidR="00F5558B">
        <w:rPr>
          <w:rFonts w:cs="Calibri"/>
          <w:color w:val="FF0000"/>
          <w:vertAlign w:val="superscript"/>
        </w:rPr>
        <w:t>-4</w:t>
      </w:r>
      <w:r w:rsidR="00C12339">
        <w:rPr>
          <w:rFonts w:cs="Calibri"/>
          <w:color w:val="FF0000"/>
          <w:vertAlign w:val="superscript"/>
        </w:rPr>
        <w:t>9</w:t>
      </w:r>
      <w:r w:rsidR="00F5558B">
        <w:rPr>
          <w:rFonts w:cs="Calibri"/>
          <w:color w:val="FF0000"/>
          <w:vertAlign w:val="superscript"/>
        </w:rPr>
        <w:t>]</w:t>
      </w:r>
      <w:r w:rsidRPr="00F5558B">
        <w:rPr>
          <w:rFonts w:cs="Calibri"/>
          <w:color w:val="FF0000"/>
        </w:rPr>
        <w:t xml:space="preserve"> </w:t>
      </w:r>
      <w:r w:rsidR="00F5558B" w:rsidRPr="00F5558B">
        <w:rPr>
          <w:rFonts w:cs="Calibri"/>
          <w:color w:val="FF0000"/>
        </w:rPr>
        <w:t>Characterising data and copies of</w:t>
      </w:r>
      <w:r w:rsidRPr="00F5558B">
        <w:rPr>
          <w:rFonts w:cs="Calibri"/>
          <w:color w:val="FF0000"/>
        </w:rPr>
        <w:t xml:space="preserve"> spectra </w:t>
      </w:r>
      <w:r w:rsidR="00F5558B" w:rsidRPr="00F5558B">
        <w:rPr>
          <w:rFonts w:cs="Calibri"/>
          <w:color w:val="FF0000"/>
        </w:rPr>
        <w:t>for</w:t>
      </w:r>
      <w:r w:rsidRPr="00F5558B">
        <w:rPr>
          <w:rFonts w:cs="Calibri"/>
          <w:color w:val="FF0000"/>
        </w:rPr>
        <w:t xml:space="preserve"> compounds </w:t>
      </w:r>
      <w:r w:rsidRPr="00F5558B">
        <w:rPr>
          <w:rFonts w:cs="Calibri"/>
          <w:b/>
          <w:color w:val="FF0000"/>
        </w:rPr>
        <w:t>2</w:t>
      </w:r>
      <w:r w:rsidR="00F5558B">
        <w:rPr>
          <w:rFonts w:cs="Calibri"/>
          <w:b/>
          <w:color w:val="FF0000"/>
        </w:rPr>
        <w:t>b-m</w:t>
      </w:r>
      <w:r w:rsidRPr="00F5558B">
        <w:rPr>
          <w:rFonts w:cs="Calibri"/>
          <w:color w:val="FF0000"/>
        </w:rPr>
        <w:t xml:space="preserve"> are given in the supporting information.</w:t>
      </w:r>
    </w:p>
    <w:p w:rsidR="00F30344" w:rsidRPr="00D67A93" w:rsidRDefault="0093682F" w:rsidP="00D67A93">
      <w:pPr>
        <w:pStyle w:val="ExperimentalSection"/>
        <w:rPr>
          <w:color w:val="FF0000"/>
          <w:szCs w:val="20"/>
        </w:rPr>
      </w:pPr>
      <w:r w:rsidRPr="0093682F">
        <w:rPr>
          <w:rFonts w:cs="Calibri"/>
          <w:b/>
          <w:szCs w:val="20"/>
        </w:rPr>
        <w:t xml:space="preserve">General procedure for reusability study. </w:t>
      </w:r>
      <w:r w:rsidRPr="0093682F">
        <w:rPr>
          <w:rFonts w:cs="Calibri"/>
          <w:szCs w:val="20"/>
        </w:rPr>
        <w:t>A glass vial was charged with catalyst-loaded SBA-15-10</w:t>
      </w:r>
      <w:r>
        <w:rPr>
          <w:rFonts w:cs="Calibri"/>
          <w:szCs w:val="20"/>
        </w:rPr>
        <w:t>-</w:t>
      </w:r>
      <w:r>
        <w:rPr>
          <w:rFonts w:cs="Calibri"/>
          <w:b/>
          <w:szCs w:val="20"/>
        </w:rPr>
        <w:t>7</w:t>
      </w:r>
      <w:r w:rsidRPr="0093682F">
        <w:rPr>
          <w:rFonts w:cs="Calibri"/>
          <w:szCs w:val="20"/>
        </w:rPr>
        <w:t xml:space="preserve"> (1 mol%) and butyl glycidyl ether</w:t>
      </w:r>
      <w:r>
        <w:rPr>
          <w:rFonts w:cs="Calibri"/>
          <w:szCs w:val="20"/>
        </w:rPr>
        <w:t xml:space="preserve"> </w:t>
      </w:r>
      <w:r>
        <w:rPr>
          <w:rFonts w:cs="Calibri"/>
          <w:b/>
          <w:szCs w:val="20"/>
        </w:rPr>
        <w:t>1d</w:t>
      </w:r>
      <w:r w:rsidRPr="0093682F">
        <w:rPr>
          <w:rFonts w:cs="Calibri"/>
          <w:szCs w:val="20"/>
        </w:rPr>
        <w:t xml:space="preserve"> (3.30 mmol), sealed and purged with CO</w:t>
      </w:r>
      <w:r w:rsidRPr="0093682F">
        <w:rPr>
          <w:rFonts w:cs="Calibri"/>
          <w:szCs w:val="20"/>
          <w:vertAlign w:val="subscript"/>
        </w:rPr>
        <w:t>2</w:t>
      </w:r>
      <w:r w:rsidRPr="0093682F">
        <w:rPr>
          <w:rFonts w:cs="Calibri"/>
          <w:szCs w:val="20"/>
        </w:rPr>
        <w:t>, and then placed in a pre-heated DrySyn</w:t>
      </w:r>
      <w:r w:rsidRPr="0093682F">
        <w:rPr>
          <w:rFonts w:cs="Calibri"/>
          <w:szCs w:val="20"/>
          <w:vertAlign w:val="superscript"/>
        </w:rPr>
        <w:t>®</w:t>
      </w:r>
      <w:r w:rsidRPr="0093682F">
        <w:rPr>
          <w:rFonts w:cs="Calibri"/>
          <w:szCs w:val="20"/>
        </w:rPr>
        <w:t xml:space="preserve"> heating block. A balloon filled with CO</w:t>
      </w:r>
      <w:r w:rsidRPr="0093682F">
        <w:rPr>
          <w:rFonts w:cs="Calibri"/>
          <w:szCs w:val="20"/>
          <w:vertAlign w:val="subscript"/>
        </w:rPr>
        <w:t>2</w:t>
      </w:r>
      <w:r w:rsidRPr="0093682F">
        <w:rPr>
          <w:rFonts w:cs="Calibri"/>
          <w:szCs w:val="20"/>
        </w:rPr>
        <w:t xml:space="preserve"> was attached and the reaction mixture was gently stirred at 25 ˚C for 24 h. After this time, the reaction mixture was diluted with EtOAc (3 mL) and the washings were isolated and separated by centrifugation, and then concentrated to dryness under vacuum. </w:t>
      </w:r>
      <w:r w:rsidRPr="00140E2D">
        <w:rPr>
          <w:rFonts w:cs="Calibri"/>
          <w:szCs w:val="20"/>
        </w:rPr>
        <w:t xml:space="preserve">Conversions were determined </w:t>
      </w:r>
      <w:r>
        <w:rPr>
          <w:rFonts w:cs="Calibri"/>
          <w:szCs w:val="20"/>
        </w:rPr>
        <w:t>by</w:t>
      </w:r>
      <w:r w:rsidRPr="00140E2D">
        <w:rPr>
          <w:rFonts w:cs="Calibri"/>
          <w:szCs w:val="20"/>
        </w:rPr>
        <w:t xml:space="preserve"> </w:t>
      </w:r>
      <w:r w:rsidRPr="00140E2D">
        <w:rPr>
          <w:rFonts w:cs="Calibri"/>
          <w:szCs w:val="20"/>
          <w:vertAlign w:val="superscript"/>
        </w:rPr>
        <w:t>1</w:t>
      </w:r>
      <w:r w:rsidRPr="00140E2D">
        <w:rPr>
          <w:rFonts w:cs="Calibri"/>
          <w:szCs w:val="20"/>
        </w:rPr>
        <w:t>H NMR spectroscopy</w:t>
      </w:r>
      <w:r>
        <w:rPr>
          <w:rFonts w:cs="Calibri"/>
          <w:szCs w:val="20"/>
        </w:rPr>
        <w:t xml:space="preserve"> of the residue</w:t>
      </w:r>
      <w:r w:rsidRPr="00140E2D">
        <w:rPr>
          <w:rFonts w:cs="Calibri"/>
          <w:szCs w:val="20"/>
        </w:rPr>
        <w:t>.</w:t>
      </w:r>
      <w:r w:rsidR="00501612" w:rsidRPr="002474DF">
        <w:rPr>
          <w:rFonts w:cs="Calibri"/>
          <w:sz w:val="18"/>
          <w:szCs w:val="18"/>
        </w:rPr>
        <w:t xml:space="preserve"> </w:t>
      </w:r>
      <w:r w:rsidR="00501612" w:rsidRPr="00501612">
        <w:rPr>
          <w:rFonts w:cs="Calibri"/>
          <w:szCs w:val="20"/>
        </w:rPr>
        <w:t>The isolated catalyst was dried under vacuum and then re-used directly in the next run.</w:t>
      </w:r>
      <w:r w:rsidR="00D67A93">
        <w:rPr>
          <w:rFonts w:cs="Calibri"/>
          <w:szCs w:val="20"/>
        </w:rPr>
        <w:t xml:space="preserve"> </w:t>
      </w:r>
      <w:r w:rsidR="00D67A93" w:rsidRPr="00D67A93">
        <w:rPr>
          <w:rFonts w:cs="Calibri"/>
          <w:color w:val="FF0000"/>
          <w:szCs w:val="20"/>
        </w:rPr>
        <w:t>After 5 uses</w:t>
      </w:r>
      <w:r w:rsidR="00D67A93">
        <w:rPr>
          <w:rFonts w:cs="Calibri"/>
          <w:color w:val="FF0000"/>
          <w:szCs w:val="20"/>
        </w:rPr>
        <w:t>, the catalyst (200 mg), benzyl bromide (</w:t>
      </w:r>
      <w:r w:rsidR="0068436C">
        <w:rPr>
          <w:rFonts w:cs="Calibri"/>
          <w:color w:val="FF0000"/>
          <w:szCs w:val="20"/>
        </w:rPr>
        <w:t>144</w:t>
      </w:r>
      <w:r w:rsidR="00D67A93">
        <w:rPr>
          <w:rFonts w:cs="Calibri"/>
          <w:color w:val="FF0000"/>
          <w:szCs w:val="20"/>
        </w:rPr>
        <w:t xml:space="preserve"> mg) and TBAB (50 mg) were added to MeCN (5 mL) and </w:t>
      </w:r>
      <w:r w:rsidR="00D67A93" w:rsidRPr="00D67A93">
        <w:rPr>
          <w:rFonts w:cs="Calibri"/>
          <w:color w:val="FF0000"/>
          <w:szCs w:val="20"/>
        </w:rPr>
        <w:t xml:space="preserve">heated under reflux (86 °C) with stirring for </w:t>
      </w:r>
      <w:r w:rsidR="00D67A93">
        <w:rPr>
          <w:rFonts w:cs="Calibri"/>
          <w:color w:val="FF0000"/>
          <w:szCs w:val="20"/>
        </w:rPr>
        <w:t xml:space="preserve">2 </w:t>
      </w:r>
      <w:r w:rsidR="00D67A93" w:rsidRPr="00D67A93">
        <w:rPr>
          <w:rFonts w:cs="Calibri"/>
          <w:color w:val="FF0000"/>
          <w:szCs w:val="20"/>
        </w:rPr>
        <w:t xml:space="preserve">days. After this time, the reaction mixture was allowed to cool to rt. The solid product was isolated </w:t>
      </w:r>
      <w:r w:rsidR="00D67A93" w:rsidRPr="00D67A93">
        <w:rPr>
          <w:rFonts w:cs="Calibri"/>
          <w:i/>
          <w:color w:val="FF0000"/>
          <w:szCs w:val="20"/>
        </w:rPr>
        <w:t>via</w:t>
      </w:r>
      <w:r w:rsidR="00D67A93" w:rsidRPr="00D67A93">
        <w:rPr>
          <w:rFonts w:cs="Calibri"/>
          <w:color w:val="FF0000"/>
          <w:szCs w:val="20"/>
        </w:rPr>
        <w:t xml:space="preserve"> sintered funnel filtration, washed with EtOAc (2×10 mL) to give the reactivated catalyst as a beige solid.</w:t>
      </w:r>
    </w:p>
    <w:p w:rsidR="00FE3E06" w:rsidRPr="00C2552A" w:rsidRDefault="00FE3E06" w:rsidP="00FE3E06">
      <w:pPr>
        <w:pStyle w:val="H1"/>
      </w:pPr>
      <w:r>
        <w:t>Acknowledgements</w:t>
      </w:r>
    </w:p>
    <w:p w:rsidR="00FE3E06" w:rsidRDefault="0093682F" w:rsidP="00FE3E06">
      <w:pPr>
        <w:pStyle w:val="Acknowledgements"/>
      </w:pPr>
      <w:r w:rsidRPr="00501612">
        <w:rPr>
          <w:szCs w:val="18"/>
        </w:rPr>
        <w:t>We gratefully acknowledge financial support from the European Union Seventh Framework Programme FP7–NMP–2012 under grant agree</w:t>
      </w:r>
      <w:r w:rsidR="00626290">
        <w:rPr>
          <w:szCs w:val="18"/>
        </w:rPr>
        <w:t xml:space="preserve">ment number 309497. We thank </w:t>
      </w:r>
      <w:r w:rsidRPr="00501612">
        <w:rPr>
          <w:szCs w:val="18"/>
        </w:rPr>
        <w:t>Jon Sincla</w:t>
      </w:r>
      <w:r w:rsidR="00626290">
        <w:rPr>
          <w:szCs w:val="18"/>
        </w:rPr>
        <w:t xml:space="preserve">ir (University of York) for </w:t>
      </w:r>
      <w:r w:rsidRPr="00501612">
        <w:rPr>
          <w:szCs w:val="18"/>
        </w:rPr>
        <w:t xml:space="preserve">help </w:t>
      </w:r>
      <w:r w:rsidR="0068436C">
        <w:rPr>
          <w:szCs w:val="18"/>
        </w:rPr>
        <w:t>with</w:t>
      </w:r>
      <w:r w:rsidRPr="00501612">
        <w:rPr>
          <w:szCs w:val="18"/>
        </w:rPr>
        <w:t xml:space="preserve"> powder X-ray diffraction</w:t>
      </w:r>
      <w:r w:rsidR="00626290">
        <w:rPr>
          <w:szCs w:val="18"/>
        </w:rPr>
        <w:t xml:space="preserve"> </w:t>
      </w:r>
      <w:r w:rsidR="00626290" w:rsidRPr="00626290">
        <w:rPr>
          <w:color w:val="FF0000"/>
          <w:szCs w:val="18"/>
        </w:rPr>
        <w:t>and Heather Fish (</w:t>
      </w:r>
      <w:r w:rsidR="00626290" w:rsidRPr="00626290">
        <w:rPr>
          <w:color w:val="FF0000"/>
          <w:szCs w:val="18"/>
        </w:rPr>
        <w:t>University of York</w:t>
      </w:r>
      <w:r w:rsidR="00626290" w:rsidRPr="00626290">
        <w:rPr>
          <w:color w:val="FF0000"/>
          <w:szCs w:val="18"/>
        </w:rPr>
        <w:t>) for help with solid state NMR</w:t>
      </w:r>
      <w:r w:rsidRPr="00501612">
        <w:rPr>
          <w:szCs w:val="18"/>
        </w:rPr>
        <w:t>.</w:t>
      </w:r>
    </w:p>
    <w:p w:rsidR="00FE3E06" w:rsidRPr="00804120" w:rsidRDefault="00FE3E06" w:rsidP="00FE3E06">
      <w:pPr>
        <w:pStyle w:val="H1"/>
      </w:pPr>
      <w:r>
        <w:t>References</w:t>
      </w:r>
    </w:p>
    <w:p w:rsidR="00501612" w:rsidRDefault="00763D77" w:rsidP="005553B8">
      <w:pPr>
        <w:pStyle w:val="References"/>
        <w:rPr>
          <w:rFonts w:cs="AdvMYR4"/>
          <w:szCs w:val="20"/>
        </w:rPr>
      </w:pPr>
      <w:r w:rsidRPr="005D7F17">
        <w:t>[1]</w:t>
      </w:r>
      <w:r w:rsidR="00501612">
        <w:tab/>
      </w:r>
      <w:r w:rsidR="00501612" w:rsidRPr="00501612">
        <w:rPr>
          <w:rFonts w:cs="AdvMYR4I"/>
          <w:szCs w:val="20"/>
        </w:rPr>
        <w:t xml:space="preserve">Carbon Dioxide as Chemical Feedstock </w:t>
      </w:r>
      <w:r w:rsidR="00501612" w:rsidRPr="00501612">
        <w:rPr>
          <w:rFonts w:cs="AdvMYR4"/>
          <w:szCs w:val="20"/>
        </w:rPr>
        <w:t>(</w:t>
      </w:r>
      <w:r w:rsidR="00501612">
        <w:rPr>
          <w:rFonts w:cs="AdvMYR4"/>
          <w:szCs w:val="20"/>
        </w:rPr>
        <w:t>Ed.: M. Aresta), Wiley-</w:t>
      </w:r>
      <w:r w:rsidR="00501612" w:rsidRPr="00501612">
        <w:rPr>
          <w:rFonts w:cs="AdvMYR4"/>
          <w:szCs w:val="20"/>
        </w:rPr>
        <w:t xml:space="preserve">VCH, Weinheim, </w:t>
      </w:r>
      <w:r w:rsidR="00501612" w:rsidRPr="00501612">
        <w:rPr>
          <w:rFonts w:cs="AdvMYR6"/>
          <w:b/>
          <w:szCs w:val="20"/>
        </w:rPr>
        <w:t>2010</w:t>
      </w:r>
      <w:r w:rsidR="00501612">
        <w:rPr>
          <w:rFonts w:cs="AdvMYR4"/>
          <w:szCs w:val="20"/>
        </w:rPr>
        <w:t>, 1–</w:t>
      </w:r>
      <w:r w:rsidR="00501612" w:rsidRPr="00501612">
        <w:rPr>
          <w:rFonts w:cs="AdvMYR4"/>
          <w:szCs w:val="20"/>
        </w:rPr>
        <w:t>375.</w:t>
      </w:r>
    </w:p>
    <w:p w:rsidR="00501612" w:rsidRDefault="00501612" w:rsidP="005553B8">
      <w:pPr>
        <w:pStyle w:val="References"/>
        <w:rPr>
          <w:rFonts w:cs="Calibri"/>
          <w:noProof/>
          <w:szCs w:val="20"/>
        </w:rPr>
      </w:pPr>
      <w:r>
        <w:rPr>
          <w:rFonts w:cs="AdvMYR4"/>
          <w:szCs w:val="20"/>
        </w:rPr>
        <w:t>[2]</w:t>
      </w:r>
      <w:r>
        <w:rPr>
          <w:rFonts w:cs="AdvMYR4"/>
          <w:szCs w:val="20"/>
        </w:rPr>
        <w:tab/>
      </w:r>
      <w:r w:rsidRPr="00501612">
        <w:rPr>
          <w:rFonts w:cs="Calibri"/>
          <w:noProof/>
          <w:szCs w:val="20"/>
        </w:rPr>
        <w:t xml:space="preserve">W. J. Peppel, </w:t>
      </w:r>
      <w:r w:rsidRPr="00501612">
        <w:rPr>
          <w:rFonts w:cs="Calibri"/>
          <w:i/>
          <w:noProof/>
          <w:szCs w:val="20"/>
        </w:rPr>
        <w:t>Ind. Eng. Chem.</w:t>
      </w:r>
      <w:r w:rsidRPr="00501612">
        <w:rPr>
          <w:rFonts w:cs="Calibri"/>
          <w:noProof/>
          <w:szCs w:val="20"/>
        </w:rPr>
        <w:t xml:space="preserve"> </w:t>
      </w:r>
      <w:r w:rsidRPr="00501612">
        <w:rPr>
          <w:rFonts w:cs="Calibri"/>
          <w:b/>
          <w:noProof/>
          <w:szCs w:val="20"/>
        </w:rPr>
        <w:t>1958</w:t>
      </w:r>
      <w:r w:rsidRPr="00501612">
        <w:rPr>
          <w:rFonts w:cs="Calibri"/>
          <w:noProof/>
          <w:szCs w:val="20"/>
        </w:rPr>
        <w:t xml:space="preserve">, </w:t>
      </w:r>
      <w:r w:rsidRPr="00501612">
        <w:rPr>
          <w:rFonts w:cs="Calibri"/>
          <w:i/>
          <w:noProof/>
          <w:szCs w:val="20"/>
        </w:rPr>
        <w:t>50</w:t>
      </w:r>
      <w:r w:rsidRPr="00501612">
        <w:rPr>
          <w:rFonts w:cs="Calibri"/>
          <w:noProof/>
          <w:szCs w:val="20"/>
        </w:rPr>
        <w:t>, 767</w:t>
      </w:r>
      <w:r>
        <w:rPr>
          <w:rFonts w:cs="Calibri"/>
          <w:noProof/>
          <w:szCs w:val="20"/>
        </w:rPr>
        <w:t>–</w:t>
      </w:r>
      <w:r w:rsidRPr="00501612">
        <w:rPr>
          <w:rFonts w:cs="Calibri"/>
          <w:noProof/>
          <w:szCs w:val="20"/>
        </w:rPr>
        <w:t>770.</w:t>
      </w:r>
    </w:p>
    <w:p w:rsidR="00501612" w:rsidRDefault="00501612" w:rsidP="005553B8">
      <w:pPr>
        <w:pStyle w:val="References"/>
        <w:rPr>
          <w:rFonts w:cs="AdvMYR4"/>
          <w:szCs w:val="20"/>
        </w:rPr>
      </w:pPr>
      <w:r>
        <w:rPr>
          <w:rFonts w:cs="Calibri"/>
          <w:noProof/>
          <w:szCs w:val="20"/>
        </w:rPr>
        <w:t>[3]</w:t>
      </w:r>
      <w:r>
        <w:rPr>
          <w:rFonts w:cs="Calibri"/>
          <w:noProof/>
          <w:szCs w:val="20"/>
        </w:rPr>
        <w:tab/>
      </w:r>
      <w:r w:rsidRPr="00501612">
        <w:rPr>
          <w:rFonts w:cs="AdvMYR4"/>
          <w:szCs w:val="20"/>
        </w:rPr>
        <w:t xml:space="preserve">K. Xu, </w:t>
      </w:r>
      <w:r w:rsidRPr="00501612">
        <w:rPr>
          <w:rFonts w:cs="AdvMYR4I"/>
          <w:i/>
          <w:szCs w:val="20"/>
        </w:rPr>
        <w:t>Chem. Rev</w:t>
      </w:r>
      <w:r w:rsidRPr="00501612">
        <w:rPr>
          <w:rFonts w:cs="AdvMYR4I"/>
          <w:szCs w:val="20"/>
        </w:rPr>
        <w:t xml:space="preserve">. </w:t>
      </w:r>
      <w:r w:rsidRPr="00501612">
        <w:rPr>
          <w:rFonts w:cs="AdvMYR6"/>
          <w:b/>
          <w:szCs w:val="20"/>
        </w:rPr>
        <w:t>2004</w:t>
      </w:r>
      <w:r w:rsidRPr="00501612">
        <w:rPr>
          <w:rFonts w:cs="AdvMYR4"/>
          <w:szCs w:val="20"/>
        </w:rPr>
        <w:t xml:space="preserve">, </w:t>
      </w:r>
      <w:r w:rsidRPr="00501612">
        <w:rPr>
          <w:rFonts w:cs="AdvMYR4I"/>
          <w:i/>
          <w:szCs w:val="20"/>
        </w:rPr>
        <w:t>104</w:t>
      </w:r>
      <w:r>
        <w:rPr>
          <w:rFonts w:cs="AdvMYR4"/>
          <w:szCs w:val="20"/>
        </w:rPr>
        <w:t>, 4303</w:t>
      </w:r>
      <w:r w:rsidRPr="00501612">
        <w:rPr>
          <w:rFonts w:cs="AdvMYR4"/>
          <w:szCs w:val="20"/>
        </w:rPr>
        <w:t>–4417.</w:t>
      </w:r>
    </w:p>
    <w:p w:rsidR="00501612" w:rsidRDefault="00501612" w:rsidP="005553B8">
      <w:pPr>
        <w:pStyle w:val="References"/>
        <w:rPr>
          <w:rFonts w:cs="AdvMYR4"/>
          <w:szCs w:val="20"/>
        </w:rPr>
      </w:pPr>
      <w:r>
        <w:rPr>
          <w:rFonts w:cs="AdvMYR4"/>
          <w:szCs w:val="20"/>
        </w:rPr>
        <w:t>[4]</w:t>
      </w:r>
      <w:r>
        <w:rPr>
          <w:rFonts w:cs="AdvMYR4"/>
          <w:szCs w:val="20"/>
        </w:rPr>
        <w:tab/>
      </w:r>
      <w:r w:rsidRPr="00501612">
        <w:rPr>
          <w:rFonts w:cs="AdvMYR4"/>
          <w:szCs w:val="20"/>
        </w:rPr>
        <w:t xml:space="preserve">B. Schaffner, F. Schaffner, S. P. Verevkin, A. Borner, </w:t>
      </w:r>
      <w:r w:rsidRPr="00501612">
        <w:rPr>
          <w:rFonts w:cs="AdvMYR4I"/>
          <w:i/>
          <w:szCs w:val="20"/>
        </w:rPr>
        <w:t>Chem. Rev</w:t>
      </w:r>
      <w:r w:rsidRPr="00501612">
        <w:rPr>
          <w:rFonts w:cs="AdvMYR4I"/>
          <w:szCs w:val="20"/>
        </w:rPr>
        <w:t>.</w:t>
      </w:r>
      <w:r>
        <w:rPr>
          <w:rFonts w:cs="AdvMYR4I"/>
          <w:szCs w:val="20"/>
        </w:rPr>
        <w:t xml:space="preserve"> </w:t>
      </w:r>
      <w:r w:rsidRPr="00501612">
        <w:rPr>
          <w:rFonts w:cs="AdvMYR6"/>
          <w:b/>
          <w:szCs w:val="20"/>
        </w:rPr>
        <w:t>2010</w:t>
      </w:r>
      <w:r w:rsidRPr="00501612">
        <w:rPr>
          <w:rFonts w:cs="AdvMYR4"/>
          <w:szCs w:val="20"/>
        </w:rPr>
        <w:t xml:space="preserve">, </w:t>
      </w:r>
      <w:r w:rsidRPr="00501612">
        <w:rPr>
          <w:rFonts w:cs="AdvMYR4I"/>
          <w:i/>
          <w:szCs w:val="20"/>
        </w:rPr>
        <w:t>110</w:t>
      </w:r>
      <w:r>
        <w:rPr>
          <w:rFonts w:cs="AdvMYR4"/>
          <w:szCs w:val="20"/>
        </w:rPr>
        <w:t>, 4554</w:t>
      </w:r>
      <w:r w:rsidRPr="00501612">
        <w:rPr>
          <w:rFonts w:cs="AdvMYR4"/>
          <w:szCs w:val="20"/>
        </w:rPr>
        <w:t>–4581.</w:t>
      </w:r>
    </w:p>
    <w:p w:rsidR="00501612" w:rsidRDefault="00501612" w:rsidP="005553B8">
      <w:pPr>
        <w:pStyle w:val="References"/>
        <w:rPr>
          <w:rFonts w:cs="AdvMYR4"/>
          <w:szCs w:val="20"/>
        </w:rPr>
      </w:pPr>
      <w:r>
        <w:rPr>
          <w:rFonts w:cs="AdvMYR4"/>
          <w:szCs w:val="20"/>
        </w:rPr>
        <w:t>[5]</w:t>
      </w:r>
      <w:r>
        <w:rPr>
          <w:rFonts w:cs="AdvMYR4"/>
          <w:szCs w:val="20"/>
        </w:rPr>
        <w:tab/>
      </w:r>
      <w:r w:rsidRPr="00501612">
        <w:rPr>
          <w:rFonts w:cs="AdvMYR4"/>
          <w:szCs w:val="20"/>
        </w:rPr>
        <w:t xml:space="preserve">A. A. G. Shaikh, S. Sivaram, </w:t>
      </w:r>
      <w:r w:rsidRPr="00501612">
        <w:rPr>
          <w:rFonts w:cs="AdvMYR4I"/>
          <w:i/>
          <w:szCs w:val="20"/>
        </w:rPr>
        <w:t>Chem. Rev</w:t>
      </w:r>
      <w:r w:rsidRPr="00501612">
        <w:rPr>
          <w:rFonts w:cs="AdvMYR4I"/>
          <w:szCs w:val="20"/>
        </w:rPr>
        <w:t xml:space="preserve">. </w:t>
      </w:r>
      <w:r w:rsidRPr="00501612">
        <w:rPr>
          <w:rFonts w:cs="AdvMYR6"/>
          <w:b/>
          <w:szCs w:val="20"/>
        </w:rPr>
        <w:t>1996</w:t>
      </w:r>
      <w:r w:rsidRPr="00501612">
        <w:rPr>
          <w:rFonts w:cs="AdvMYR4"/>
          <w:szCs w:val="20"/>
        </w:rPr>
        <w:t xml:space="preserve">, </w:t>
      </w:r>
      <w:r w:rsidRPr="00501612">
        <w:rPr>
          <w:rFonts w:cs="AdvMYR4I"/>
          <w:i/>
          <w:szCs w:val="20"/>
        </w:rPr>
        <w:t>96</w:t>
      </w:r>
      <w:r>
        <w:rPr>
          <w:rFonts w:cs="AdvMYR4"/>
          <w:szCs w:val="20"/>
        </w:rPr>
        <w:t>, 951</w:t>
      </w:r>
      <w:r w:rsidRPr="00501612">
        <w:rPr>
          <w:rFonts w:cs="AdvMYR4"/>
          <w:szCs w:val="20"/>
        </w:rPr>
        <w:t>–976.</w:t>
      </w:r>
    </w:p>
    <w:p w:rsidR="00501612" w:rsidRDefault="00501612" w:rsidP="005553B8">
      <w:pPr>
        <w:pStyle w:val="References"/>
        <w:rPr>
          <w:rFonts w:cs="Calibri"/>
          <w:noProof/>
          <w:szCs w:val="20"/>
        </w:rPr>
      </w:pPr>
      <w:r>
        <w:rPr>
          <w:rFonts w:cs="AdvMYR4"/>
          <w:szCs w:val="20"/>
        </w:rPr>
        <w:t>[6]</w:t>
      </w:r>
      <w:r>
        <w:rPr>
          <w:rFonts w:cs="AdvMYR4"/>
          <w:szCs w:val="20"/>
        </w:rPr>
        <w:tab/>
      </w:r>
      <w:r w:rsidRPr="00501612">
        <w:rPr>
          <w:szCs w:val="20"/>
        </w:rPr>
        <w:t>S. Fukuoka, M. Kawamura, K. Komiya, M. Tojo, H. Hachiya, K. Hasegawa, M. Am</w:t>
      </w:r>
      <w:r>
        <w:rPr>
          <w:szCs w:val="20"/>
        </w:rPr>
        <w:t>inaka, H. Okamoto, I. Fukawa,</w:t>
      </w:r>
      <w:r w:rsidRPr="00501612">
        <w:rPr>
          <w:szCs w:val="20"/>
        </w:rPr>
        <w:t xml:space="preserve"> S. Konno, </w:t>
      </w:r>
      <w:r w:rsidRPr="00501612">
        <w:rPr>
          <w:i/>
          <w:szCs w:val="20"/>
        </w:rPr>
        <w:t>Green Chem</w:t>
      </w:r>
      <w:r>
        <w:rPr>
          <w:szCs w:val="20"/>
        </w:rPr>
        <w:t>.</w:t>
      </w:r>
      <w:r w:rsidRPr="00501612">
        <w:rPr>
          <w:szCs w:val="20"/>
        </w:rPr>
        <w:t xml:space="preserve"> </w:t>
      </w:r>
      <w:r w:rsidRPr="00501612">
        <w:rPr>
          <w:b/>
          <w:szCs w:val="20"/>
        </w:rPr>
        <w:t>2003</w:t>
      </w:r>
      <w:r w:rsidRPr="00501612">
        <w:rPr>
          <w:szCs w:val="20"/>
        </w:rPr>
        <w:t xml:space="preserve">, </w:t>
      </w:r>
      <w:r w:rsidRPr="00501612">
        <w:rPr>
          <w:i/>
          <w:szCs w:val="20"/>
        </w:rPr>
        <w:t>5</w:t>
      </w:r>
      <w:r w:rsidRPr="00501612">
        <w:rPr>
          <w:szCs w:val="20"/>
        </w:rPr>
        <w:t>, 497–507</w:t>
      </w:r>
      <w:r w:rsidRPr="00501612">
        <w:rPr>
          <w:rFonts w:cs="Calibri"/>
          <w:noProof/>
          <w:szCs w:val="20"/>
        </w:rPr>
        <w:t>.</w:t>
      </w:r>
    </w:p>
    <w:p w:rsidR="00501612" w:rsidRDefault="00501612" w:rsidP="005553B8">
      <w:pPr>
        <w:pStyle w:val="References"/>
        <w:rPr>
          <w:rFonts w:cs="Calibri"/>
          <w:noProof/>
          <w:szCs w:val="20"/>
        </w:rPr>
      </w:pPr>
      <w:r>
        <w:rPr>
          <w:rFonts w:cs="Calibri"/>
          <w:noProof/>
          <w:szCs w:val="20"/>
        </w:rPr>
        <w:t>[7]</w:t>
      </w:r>
      <w:r>
        <w:rPr>
          <w:rFonts w:cs="Calibri"/>
          <w:noProof/>
          <w:szCs w:val="20"/>
        </w:rPr>
        <w:tab/>
      </w:r>
      <w:r w:rsidRPr="00501612">
        <w:rPr>
          <w:rFonts w:cs="Calibri"/>
          <w:noProof/>
          <w:szCs w:val="20"/>
        </w:rPr>
        <w:t>J. W. Comerfor</w:t>
      </w:r>
      <w:r>
        <w:rPr>
          <w:rFonts w:cs="Calibri"/>
          <w:noProof/>
          <w:szCs w:val="20"/>
        </w:rPr>
        <w:t>d, I. D. V. Ingram, M. North,</w:t>
      </w:r>
      <w:r w:rsidRPr="00501612">
        <w:rPr>
          <w:rFonts w:cs="Calibri"/>
          <w:noProof/>
          <w:szCs w:val="20"/>
        </w:rPr>
        <w:t xml:space="preserve"> X. Wu, </w:t>
      </w:r>
      <w:r w:rsidRPr="00501612">
        <w:rPr>
          <w:rFonts w:cs="Calibri"/>
          <w:i/>
          <w:noProof/>
          <w:szCs w:val="20"/>
        </w:rPr>
        <w:t>Green Chem.</w:t>
      </w:r>
      <w:r w:rsidRPr="00501612">
        <w:rPr>
          <w:rFonts w:cs="Calibri"/>
          <w:noProof/>
          <w:szCs w:val="20"/>
        </w:rPr>
        <w:t xml:space="preserve"> </w:t>
      </w:r>
      <w:r w:rsidRPr="00501612">
        <w:rPr>
          <w:rFonts w:cs="Calibri"/>
          <w:b/>
          <w:noProof/>
          <w:szCs w:val="20"/>
        </w:rPr>
        <w:t>2015</w:t>
      </w:r>
      <w:r w:rsidRPr="00501612">
        <w:rPr>
          <w:rFonts w:cs="Calibri"/>
          <w:noProof/>
          <w:szCs w:val="20"/>
        </w:rPr>
        <w:t xml:space="preserve">, </w:t>
      </w:r>
      <w:r w:rsidRPr="00501612">
        <w:rPr>
          <w:rFonts w:cs="Calibri"/>
          <w:i/>
          <w:noProof/>
          <w:szCs w:val="20"/>
        </w:rPr>
        <w:t>17</w:t>
      </w:r>
      <w:r w:rsidRPr="00501612">
        <w:rPr>
          <w:rFonts w:cs="Calibri"/>
          <w:noProof/>
          <w:szCs w:val="20"/>
        </w:rPr>
        <w:t>, 1966</w:t>
      </w:r>
      <w:r>
        <w:rPr>
          <w:rFonts w:cs="Calibri"/>
          <w:noProof/>
          <w:szCs w:val="20"/>
        </w:rPr>
        <w:t>–</w:t>
      </w:r>
      <w:r w:rsidRPr="00501612">
        <w:rPr>
          <w:rFonts w:cs="Calibri"/>
          <w:noProof/>
          <w:szCs w:val="20"/>
        </w:rPr>
        <w:t>1987.</w:t>
      </w:r>
    </w:p>
    <w:p w:rsidR="00501612" w:rsidRDefault="00501612" w:rsidP="005553B8">
      <w:pPr>
        <w:pStyle w:val="References"/>
        <w:rPr>
          <w:rFonts w:cs="Calibri"/>
          <w:noProof/>
          <w:szCs w:val="20"/>
        </w:rPr>
      </w:pPr>
      <w:r>
        <w:rPr>
          <w:rFonts w:cs="Calibri"/>
          <w:noProof/>
          <w:szCs w:val="20"/>
        </w:rPr>
        <w:t>[8]</w:t>
      </w:r>
      <w:r>
        <w:rPr>
          <w:rFonts w:cs="Calibri"/>
          <w:noProof/>
          <w:szCs w:val="20"/>
        </w:rPr>
        <w:tab/>
        <w:t>C. Martín, G. Fiorani,</w:t>
      </w:r>
      <w:r w:rsidRPr="00501612">
        <w:rPr>
          <w:rFonts w:cs="Calibri"/>
          <w:noProof/>
          <w:szCs w:val="20"/>
        </w:rPr>
        <w:t xml:space="preserve"> A. W. Kleij, </w:t>
      </w:r>
      <w:r>
        <w:rPr>
          <w:rFonts w:cs="Calibri"/>
          <w:i/>
          <w:noProof/>
          <w:szCs w:val="20"/>
        </w:rPr>
        <w:t>ACS Catal.</w:t>
      </w:r>
      <w:r w:rsidRPr="00501612">
        <w:rPr>
          <w:rFonts w:cs="Calibri"/>
          <w:noProof/>
          <w:szCs w:val="20"/>
        </w:rPr>
        <w:t xml:space="preserve"> </w:t>
      </w:r>
      <w:r w:rsidRPr="00501612">
        <w:rPr>
          <w:rFonts w:cs="Calibri"/>
          <w:b/>
          <w:noProof/>
          <w:szCs w:val="20"/>
        </w:rPr>
        <w:t>2015</w:t>
      </w:r>
      <w:r w:rsidRPr="00501612">
        <w:rPr>
          <w:rFonts w:cs="Calibri"/>
          <w:noProof/>
          <w:szCs w:val="20"/>
        </w:rPr>
        <w:t xml:space="preserve">, </w:t>
      </w:r>
      <w:r w:rsidRPr="00501612">
        <w:rPr>
          <w:rFonts w:cs="Calibri"/>
          <w:i/>
          <w:noProof/>
          <w:szCs w:val="20"/>
        </w:rPr>
        <w:t>5</w:t>
      </w:r>
      <w:r w:rsidRPr="00501612">
        <w:rPr>
          <w:rFonts w:cs="Calibri"/>
          <w:noProof/>
          <w:szCs w:val="20"/>
        </w:rPr>
        <w:t>, 1353</w:t>
      </w:r>
      <w:r>
        <w:rPr>
          <w:rFonts w:cs="Calibri"/>
          <w:noProof/>
          <w:szCs w:val="20"/>
        </w:rPr>
        <w:t>–</w:t>
      </w:r>
      <w:r w:rsidRPr="00501612">
        <w:rPr>
          <w:rFonts w:cs="Calibri"/>
          <w:noProof/>
          <w:szCs w:val="20"/>
        </w:rPr>
        <w:t>1370.</w:t>
      </w:r>
    </w:p>
    <w:p w:rsidR="00501612" w:rsidRDefault="00501612" w:rsidP="005553B8">
      <w:pPr>
        <w:pStyle w:val="References"/>
        <w:rPr>
          <w:rFonts w:cs="Calibri"/>
          <w:noProof/>
          <w:szCs w:val="20"/>
        </w:rPr>
      </w:pPr>
      <w:r>
        <w:rPr>
          <w:rFonts w:cs="Calibri"/>
          <w:noProof/>
          <w:szCs w:val="20"/>
        </w:rPr>
        <w:t>[9]</w:t>
      </w:r>
      <w:r>
        <w:rPr>
          <w:rFonts w:cs="Calibri"/>
          <w:noProof/>
          <w:sz w:val="18"/>
          <w:szCs w:val="18"/>
        </w:rPr>
        <w:tab/>
      </w:r>
      <w:r>
        <w:rPr>
          <w:rFonts w:cs="Calibri"/>
          <w:noProof/>
          <w:szCs w:val="20"/>
        </w:rPr>
        <w:t>G. Fiorani, W. Guo,</w:t>
      </w:r>
      <w:r w:rsidRPr="00501612">
        <w:rPr>
          <w:rFonts w:cs="Calibri"/>
          <w:noProof/>
          <w:szCs w:val="20"/>
        </w:rPr>
        <w:t xml:space="preserve"> A. W. Kleij, </w:t>
      </w:r>
      <w:r w:rsidRPr="00501612">
        <w:rPr>
          <w:rFonts w:cs="Calibri"/>
          <w:i/>
          <w:noProof/>
          <w:szCs w:val="20"/>
        </w:rPr>
        <w:t>Green Chem.</w:t>
      </w:r>
      <w:r w:rsidRPr="00501612">
        <w:rPr>
          <w:rFonts w:cs="Calibri"/>
          <w:noProof/>
          <w:szCs w:val="20"/>
        </w:rPr>
        <w:t xml:space="preserve"> </w:t>
      </w:r>
      <w:r w:rsidRPr="00501612">
        <w:rPr>
          <w:rFonts w:cs="Calibri"/>
          <w:b/>
          <w:noProof/>
          <w:szCs w:val="20"/>
        </w:rPr>
        <w:t>2015</w:t>
      </w:r>
      <w:r w:rsidRPr="00501612">
        <w:rPr>
          <w:rFonts w:cs="Calibri"/>
          <w:noProof/>
          <w:szCs w:val="20"/>
        </w:rPr>
        <w:t xml:space="preserve">, </w:t>
      </w:r>
      <w:r w:rsidRPr="00501612">
        <w:rPr>
          <w:rFonts w:cs="Calibri"/>
          <w:i/>
          <w:noProof/>
          <w:szCs w:val="20"/>
        </w:rPr>
        <w:t>17</w:t>
      </w:r>
      <w:r w:rsidRPr="00501612">
        <w:rPr>
          <w:rFonts w:cs="Calibri"/>
          <w:noProof/>
          <w:szCs w:val="20"/>
        </w:rPr>
        <w:t>, 1375</w:t>
      </w:r>
      <w:r>
        <w:rPr>
          <w:rFonts w:cs="Calibri"/>
          <w:noProof/>
          <w:szCs w:val="20"/>
        </w:rPr>
        <w:t>–</w:t>
      </w:r>
      <w:r w:rsidRPr="00501612">
        <w:rPr>
          <w:rFonts w:cs="Calibri"/>
          <w:noProof/>
          <w:szCs w:val="20"/>
        </w:rPr>
        <w:t>1389.</w:t>
      </w:r>
    </w:p>
    <w:p w:rsidR="00501612" w:rsidRDefault="00501612" w:rsidP="00EF084C">
      <w:pPr>
        <w:pStyle w:val="References"/>
        <w:ind w:left="420" w:hanging="420"/>
        <w:rPr>
          <w:rFonts w:cs="Calibri"/>
          <w:noProof/>
          <w:szCs w:val="20"/>
        </w:rPr>
      </w:pPr>
      <w:r>
        <w:rPr>
          <w:rFonts w:cs="Calibri"/>
          <w:noProof/>
          <w:szCs w:val="20"/>
        </w:rPr>
        <w:t>[10]</w:t>
      </w:r>
      <w:r>
        <w:rPr>
          <w:rFonts w:cs="Calibri"/>
          <w:noProof/>
          <w:sz w:val="18"/>
          <w:szCs w:val="18"/>
        </w:rPr>
        <w:tab/>
      </w:r>
      <w:r>
        <w:rPr>
          <w:rFonts w:cs="Calibri"/>
          <w:noProof/>
          <w:szCs w:val="20"/>
        </w:rPr>
        <w:t xml:space="preserve">M. North, </w:t>
      </w:r>
      <w:r w:rsidRPr="00501612">
        <w:rPr>
          <w:rFonts w:cs="Calibri"/>
          <w:noProof/>
          <w:szCs w:val="20"/>
        </w:rPr>
        <w:t xml:space="preserve">R. Pasquale, </w:t>
      </w:r>
      <w:r w:rsidRPr="00501612">
        <w:rPr>
          <w:rFonts w:cs="Calibri"/>
          <w:i/>
          <w:noProof/>
          <w:szCs w:val="20"/>
        </w:rPr>
        <w:t>Angew. Chem. Int. Ed.</w:t>
      </w:r>
      <w:r w:rsidRPr="00501612">
        <w:rPr>
          <w:rFonts w:cs="Calibri"/>
          <w:noProof/>
          <w:szCs w:val="20"/>
        </w:rPr>
        <w:t xml:space="preserve"> </w:t>
      </w:r>
      <w:r w:rsidRPr="00501612">
        <w:rPr>
          <w:rFonts w:cs="Calibri"/>
          <w:b/>
          <w:noProof/>
          <w:szCs w:val="20"/>
        </w:rPr>
        <w:t>2009</w:t>
      </w:r>
      <w:r w:rsidRPr="00501612">
        <w:rPr>
          <w:rFonts w:cs="Calibri"/>
          <w:noProof/>
          <w:szCs w:val="20"/>
        </w:rPr>
        <w:t xml:space="preserve">, </w:t>
      </w:r>
      <w:r w:rsidRPr="00501612">
        <w:rPr>
          <w:rFonts w:cs="Calibri"/>
          <w:i/>
          <w:noProof/>
          <w:szCs w:val="20"/>
        </w:rPr>
        <w:t>48</w:t>
      </w:r>
      <w:r w:rsidRPr="00501612">
        <w:rPr>
          <w:rFonts w:cs="Calibri"/>
          <w:noProof/>
          <w:szCs w:val="20"/>
        </w:rPr>
        <w:t>, 2946</w:t>
      </w:r>
      <w:r>
        <w:rPr>
          <w:rFonts w:cs="Calibri"/>
          <w:noProof/>
          <w:szCs w:val="20"/>
        </w:rPr>
        <w:t>–</w:t>
      </w:r>
      <w:r w:rsidRPr="00501612">
        <w:rPr>
          <w:rFonts w:cs="Calibri"/>
          <w:noProof/>
          <w:szCs w:val="20"/>
        </w:rPr>
        <w:t>2948.</w:t>
      </w:r>
    </w:p>
    <w:p w:rsidR="00501612" w:rsidRDefault="00501612" w:rsidP="00EF084C">
      <w:pPr>
        <w:pStyle w:val="References"/>
        <w:ind w:left="420" w:hanging="420"/>
        <w:rPr>
          <w:rFonts w:cs="Calibri"/>
          <w:noProof/>
          <w:szCs w:val="20"/>
        </w:rPr>
      </w:pPr>
      <w:r>
        <w:rPr>
          <w:rFonts w:cs="Calibri"/>
          <w:noProof/>
          <w:szCs w:val="20"/>
        </w:rPr>
        <w:t>[11]</w:t>
      </w:r>
      <w:r>
        <w:rPr>
          <w:rFonts w:cs="Calibri"/>
          <w:noProof/>
          <w:szCs w:val="20"/>
        </w:rPr>
        <w:tab/>
      </w:r>
      <w:r w:rsidRPr="00501612">
        <w:rPr>
          <w:rFonts w:cs="Calibri"/>
          <w:noProof/>
          <w:szCs w:val="20"/>
        </w:rPr>
        <w:t>J. Melendez, M. North, P. Villu</w:t>
      </w:r>
      <w:r>
        <w:rPr>
          <w:rFonts w:cs="Calibri"/>
          <w:noProof/>
          <w:szCs w:val="20"/>
        </w:rPr>
        <w:t>endas,</w:t>
      </w:r>
      <w:r w:rsidRPr="00501612">
        <w:rPr>
          <w:rFonts w:cs="Calibri"/>
          <w:noProof/>
          <w:szCs w:val="20"/>
        </w:rPr>
        <w:t xml:space="preserve"> C. Young, </w:t>
      </w:r>
      <w:r w:rsidRPr="00501612">
        <w:rPr>
          <w:rFonts w:cs="Calibri"/>
          <w:i/>
          <w:noProof/>
          <w:szCs w:val="20"/>
        </w:rPr>
        <w:t>Dalton Trans</w:t>
      </w:r>
      <w:r>
        <w:rPr>
          <w:rFonts w:cs="Calibri"/>
          <w:i/>
          <w:noProof/>
          <w:szCs w:val="20"/>
        </w:rPr>
        <w:t>.</w:t>
      </w:r>
      <w:r w:rsidRPr="00501612">
        <w:rPr>
          <w:rFonts w:cs="Calibri"/>
          <w:noProof/>
          <w:szCs w:val="20"/>
        </w:rPr>
        <w:t xml:space="preserve"> </w:t>
      </w:r>
      <w:r w:rsidRPr="00501612">
        <w:rPr>
          <w:rFonts w:cs="Calibri"/>
          <w:b/>
          <w:noProof/>
          <w:szCs w:val="20"/>
        </w:rPr>
        <w:t>2011</w:t>
      </w:r>
      <w:r w:rsidRPr="00501612">
        <w:rPr>
          <w:rFonts w:cs="Calibri"/>
          <w:noProof/>
          <w:szCs w:val="20"/>
        </w:rPr>
        <w:t xml:space="preserve">, </w:t>
      </w:r>
      <w:r w:rsidRPr="00501612">
        <w:rPr>
          <w:rFonts w:cs="Calibri"/>
          <w:i/>
          <w:noProof/>
          <w:szCs w:val="20"/>
        </w:rPr>
        <w:t>40</w:t>
      </w:r>
      <w:r w:rsidRPr="00501612">
        <w:rPr>
          <w:rFonts w:cs="Calibri"/>
          <w:noProof/>
          <w:szCs w:val="20"/>
        </w:rPr>
        <w:t>, 3885</w:t>
      </w:r>
      <w:r>
        <w:rPr>
          <w:rFonts w:cs="Calibri"/>
          <w:noProof/>
          <w:szCs w:val="20"/>
        </w:rPr>
        <w:t>–</w:t>
      </w:r>
      <w:r w:rsidRPr="00501612">
        <w:rPr>
          <w:rFonts w:cs="Calibri"/>
          <w:noProof/>
          <w:szCs w:val="20"/>
        </w:rPr>
        <w:t>3902.</w:t>
      </w:r>
    </w:p>
    <w:p w:rsidR="00501612" w:rsidRDefault="00501612" w:rsidP="00EF084C">
      <w:pPr>
        <w:pStyle w:val="References"/>
        <w:ind w:left="420" w:hanging="420"/>
        <w:rPr>
          <w:rFonts w:cs="Calibri"/>
          <w:noProof/>
          <w:szCs w:val="20"/>
        </w:rPr>
      </w:pPr>
      <w:r>
        <w:rPr>
          <w:rFonts w:cs="Calibri"/>
          <w:noProof/>
          <w:szCs w:val="20"/>
        </w:rPr>
        <w:t>[12]</w:t>
      </w:r>
      <w:r>
        <w:rPr>
          <w:rFonts w:cs="Calibri"/>
          <w:noProof/>
          <w:szCs w:val="20"/>
        </w:rPr>
        <w:tab/>
        <w:t>M. North, P. Villuendas,</w:t>
      </w:r>
      <w:r w:rsidRPr="00501612">
        <w:rPr>
          <w:rFonts w:cs="Calibri"/>
          <w:noProof/>
          <w:szCs w:val="20"/>
        </w:rPr>
        <w:t xml:space="preserve"> C. Young, </w:t>
      </w:r>
      <w:r w:rsidRPr="00501612">
        <w:rPr>
          <w:rFonts w:cs="Calibri"/>
          <w:i/>
          <w:noProof/>
          <w:szCs w:val="20"/>
        </w:rPr>
        <w:t>Chem. Eur. J.</w:t>
      </w:r>
      <w:r w:rsidRPr="00501612">
        <w:rPr>
          <w:rFonts w:cs="Calibri"/>
          <w:noProof/>
          <w:szCs w:val="20"/>
        </w:rPr>
        <w:t xml:space="preserve"> </w:t>
      </w:r>
      <w:r w:rsidRPr="00501612">
        <w:rPr>
          <w:rFonts w:cs="Calibri"/>
          <w:b/>
          <w:noProof/>
          <w:szCs w:val="20"/>
        </w:rPr>
        <w:t>2009</w:t>
      </w:r>
      <w:r w:rsidRPr="00501612">
        <w:rPr>
          <w:rFonts w:cs="Calibri"/>
          <w:noProof/>
          <w:szCs w:val="20"/>
        </w:rPr>
        <w:t xml:space="preserve">, </w:t>
      </w:r>
      <w:r w:rsidRPr="00501612">
        <w:rPr>
          <w:rFonts w:cs="Calibri"/>
          <w:i/>
          <w:noProof/>
          <w:szCs w:val="20"/>
        </w:rPr>
        <w:t>15</w:t>
      </w:r>
      <w:r w:rsidRPr="00501612">
        <w:rPr>
          <w:rFonts w:cs="Calibri"/>
          <w:noProof/>
          <w:szCs w:val="20"/>
        </w:rPr>
        <w:t>, 11454</w:t>
      </w:r>
      <w:r w:rsidR="002F3505">
        <w:rPr>
          <w:rFonts w:cs="Calibri"/>
          <w:noProof/>
          <w:szCs w:val="20"/>
        </w:rPr>
        <w:t>–</w:t>
      </w:r>
      <w:r w:rsidRPr="00501612">
        <w:rPr>
          <w:rFonts w:cs="Calibri"/>
          <w:noProof/>
          <w:szCs w:val="20"/>
        </w:rPr>
        <w:t>11457.</w:t>
      </w:r>
    </w:p>
    <w:p w:rsidR="002F3505" w:rsidRDefault="002F3505" w:rsidP="00EF084C">
      <w:pPr>
        <w:pStyle w:val="References"/>
        <w:ind w:left="372" w:hanging="372"/>
        <w:rPr>
          <w:rFonts w:cs="Calibri"/>
          <w:noProof/>
          <w:szCs w:val="20"/>
        </w:rPr>
      </w:pPr>
      <w:r>
        <w:rPr>
          <w:rFonts w:cs="Calibri"/>
          <w:noProof/>
          <w:szCs w:val="20"/>
        </w:rPr>
        <w:t>[13]</w:t>
      </w:r>
      <w:r>
        <w:rPr>
          <w:rFonts w:cs="Calibri"/>
          <w:noProof/>
          <w:szCs w:val="20"/>
        </w:rPr>
        <w:tab/>
        <w:t>M. North, B. Wang,</w:t>
      </w:r>
      <w:r w:rsidRPr="002F3505">
        <w:rPr>
          <w:rFonts w:cs="Calibri"/>
          <w:noProof/>
          <w:szCs w:val="20"/>
        </w:rPr>
        <w:t xml:space="preserve"> C. Young, </w:t>
      </w:r>
      <w:r w:rsidRPr="002F3505">
        <w:rPr>
          <w:rFonts w:cs="Calibri"/>
          <w:i/>
          <w:noProof/>
          <w:szCs w:val="20"/>
        </w:rPr>
        <w:t>Energy Env. Sci.</w:t>
      </w:r>
      <w:r w:rsidRPr="002F3505">
        <w:rPr>
          <w:rFonts w:cs="Calibri"/>
          <w:noProof/>
          <w:szCs w:val="20"/>
        </w:rPr>
        <w:t xml:space="preserve"> </w:t>
      </w:r>
      <w:r w:rsidRPr="002F3505">
        <w:rPr>
          <w:rFonts w:cs="Calibri"/>
          <w:b/>
          <w:noProof/>
          <w:szCs w:val="20"/>
        </w:rPr>
        <w:t>2011</w:t>
      </w:r>
      <w:r w:rsidRPr="002F3505">
        <w:rPr>
          <w:rFonts w:cs="Calibri"/>
          <w:noProof/>
          <w:szCs w:val="20"/>
        </w:rPr>
        <w:t xml:space="preserve">, </w:t>
      </w:r>
      <w:r w:rsidRPr="002F3505">
        <w:rPr>
          <w:rFonts w:cs="Calibri"/>
          <w:i/>
          <w:noProof/>
          <w:szCs w:val="20"/>
        </w:rPr>
        <w:t>4</w:t>
      </w:r>
      <w:r w:rsidRPr="002F3505">
        <w:rPr>
          <w:rFonts w:cs="Calibri"/>
          <w:noProof/>
          <w:szCs w:val="20"/>
        </w:rPr>
        <w:t>, 4163</w:t>
      </w:r>
      <w:r>
        <w:rPr>
          <w:rFonts w:cs="Calibri"/>
          <w:noProof/>
          <w:szCs w:val="20"/>
        </w:rPr>
        <w:t>–</w:t>
      </w:r>
      <w:r w:rsidRPr="002F3505">
        <w:rPr>
          <w:rFonts w:cs="Calibri"/>
          <w:noProof/>
          <w:szCs w:val="20"/>
        </w:rPr>
        <w:t>4170.</w:t>
      </w:r>
    </w:p>
    <w:p w:rsidR="002F3505" w:rsidRDefault="00EF084C" w:rsidP="00EF084C">
      <w:pPr>
        <w:pStyle w:val="References"/>
        <w:ind w:left="372" w:hanging="372"/>
        <w:rPr>
          <w:rFonts w:cs="Calibri"/>
          <w:noProof/>
          <w:szCs w:val="20"/>
        </w:rPr>
      </w:pPr>
      <w:r>
        <w:rPr>
          <w:rFonts w:cs="Calibri"/>
          <w:noProof/>
          <w:szCs w:val="20"/>
        </w:rPr>
        <w:t>[14]</w:t>
      </w:r>
      <w:r>
        <w:rPr>
          <w:rFonts w:cs="Calibri"/>
          <w:noProof/>
          <w:szCs w:val="20"/>
        </w:rPr>
        <w:tab/>
      </w:r>
      <w:r w:rsidR="002F3505">
        <w:rPr>
          <w:rFonts w:cs="Calibri"/>
          <w:noProof/>
          <w:szCs w:val="20"/>
        </w:rPr>
        <w:t>M. North,</w:t>
      </w:r>
      <w:r w:rsidR="002F3505" w:rsidRPr="002F3505">
        <w:rPr>
          <w:rFonts w:cs="Calibri"/>
          <w:noProof/>
          <w:szCs w:val="20"/>
        </w:rPr>
        <w:t xml:space="preserve"> P. Villuendas, </w:t>
      </w:r>
      <w:r w:rsidR="002F3505" w:rsidRPr="002F3505">
        <w:rPr>
          <w:rFonts w:cs="Calibri"/>
          <w:i/>
          <w:noProof/>
          <w:szCs w:val="20"/>
        </w:rPr>
        <w:t>ChemCatChem</w:t>
      </w:r>
      <w:r w:rsidR="002F3505" w:rsidRPr="002F3505">
        <w:rPr>
          <w:rFonts w:cs="Calibri"/>
          <w:noProof/>
          <w:szCs w:val="20"/>
        </w:rPr>
        <w:t xml:space="preserve"> </w:t>
      </w:r>
      <w:r w:rsidR="002F3505" w:rsidRPr="002F3505">
        <w:rPr>
          <w:rFonts w:cs="Calibri"/>
          <w:b/>
          <w:noProof/>
          <w:szCs w:val="20"/>
        </w:rPr>
        <w:t>2012</w:t>
      </w:r>
      <w:r w:rsidR="002F3505" w:rsidRPr="002F3505">
        <w:rPr>
          <w:rFonts w:cs="Calibri"/>
          <w:noProof/>
          <w:szCs w:val="20"/>
        </w:rPr>
        <w:t xml:space="preserve">, </w:t>
      </w:r>
      <w:r w:rsidR="002F3505" w:rsidRPr="002F3505">
        <w:rPr>
          <w:rFonts w:cs="Calibri"/>
          <w:i/>
          <w:noProof/>
          <w:szCs w:val="20"/>
        </w:rPr>
        <w:t>4</w:t>
      </w:r>
      <w:r>
        <w:rPr>
          <w:rFonts w:cs="Calibri"/>
          <w:noProof/>
          <w:szCs w:val="20"/>
        </w:rPr>
        <w:t xml:space="preserve">, </w:t>
      </w:r>
      <w:r w:rsidR="002F3505" w:rsidRPr="002F3505">
        <w:rPr>
          <w:rFonts w:cs="Calibri"/>
          <w:noProof/>
          <w:szCs w:val="20"/>
        </w:rPr>
        <w:t>789</w:t>
      </w:r>
      <w:r w:rsidR="002F3505">
        <w:rPr>
          <w:rFonts w:cs="Calibri"/>
          <w:noProof/>
          <w:szCs w:val="20"/>
        </w:rPr>
        <w:t>–</w:t>
      </w:r>
      <w:r w:rsidR="002F3505" w:rsidRPr="002F3505">
        <w:rPr>
          <w:rFonts w:cs="Calibri"/>
          <w:noProof/>
          <w:szCs w:val="20"/>
        </w:rPr>
        <w:t>794.</w:t>
      </w:r>
    </w:p>
    <w:p w:rsidR="002F3505" w:rsidRDefault="00EF084C" w:rsidP="00EF084C">
      <w:pPr>
        <w:pStyle w:val="References"/>
        <w:ind w:left="372" w:hanging="372"/>
        <w:rPr>
          <w:rFonts w:cs="Calibri"/>
          <w:noProof/>
          <w:szCs w:val="20"/>
        </w:rPr>
      </w:pPr>
      <w:r>
        <w:rPr>
          <w:rFonts w:cs="Calibri"/>
          <w:noProof/>
          <w:szCs w:val="20"/>
        </w:rPr>
        <w:t>[15]</w:t>
      </w:r>
      <w:r>
        <w:rPr>
          <w:rFonts w:cs="Calibri"/>
          <w:noProof/>
          <w:szCs w:val="20"/>
        </w:rPr>
        <w:tab/>
      </w:r>
      <w:r w:rsidR="002F3505">
        <w:rPr>
          <w:rFonts w:cs="Calibri"/>
          <w:noProof/>
          <w:szCs w:val="20"/>
        </w:rPr>
        <w:t>N. Hiyoshi, K. Yogo,</w:t>
      </w:r>
      <w:r w:rsidR="002F3505" w:rsidRPr="002F3505">
        <w:rPr>
          <w:rFonts w:cs="Calibri"/>
          <w:noProof/>
          <w:szCs w:val="20"/>
        </w:rPr>
        <w:t xml:space="preserve"> T. Yashima, </w:t>
      </w:r>
      <w:r>
        <w:rPr>
          <w:rFonts w:cs="Calibri"/>
          <w:i/>
          <w:noProof/>
          <w:szCs w:val="20"/>
        </w:rPr>
        <w:t xml:space="preserve">Micro. Meso. </w:t>
      </w:r>
      <w:r w:rsidR="002F3505" w:rsidRPr="002F3505">
        <w:rPr>
          <w:rFonts w:cs="Calibri"/>
          <w:i/>
          <w:noProof/>
          <w:szCs w:val="20"/>
        </w:rPr>
        <w:t>Mater.</w:t>
      </w:r>
      <w:r w:rsidR="002F3505" w:rsidRPr="002F3505">
        <w:rPr>
          <w:rFonts w:cs="Calibri"/>
          <w:noProof/>
          <w:szCs w:val="20"/>
        </w:rPr>
        <w:t xml:space="preserve"> </w:t>
      </w:r>
      <w:r w:rsidR="002F3505" w:rsidRPr="002F3505">
        <w:rPr>
          <w:rFonts w:cs="Calibri"/>
          <w:b/>
          <w:noProof/>
          <w:szCs w:val="20"/>
        </w:rPr>
        <w:t>2005</w:t>
      </w:r>
      <w:r w:rsidR="002F3505" w:rsidRPr="002F3505">
        <w:rPr>
          <w:rFonts w:cs="Calibri"/>
          <w:noProof/>
          <w:szCs w:val="20"/>
        </w:rPr>
        <w:t xml:space="preserve">, </w:t>
      </w:r>
      <w:r w:rsidR="002F3505" w:rsidRPr="002F3505">
        <w:rPr>
          <w:rFonts w:cs="Calibri"/>
          <w:i/>
          <w:noProof/>
          <w:szCs w:val="20"/>
        </w:rPr>
        <w:t>84</w:t>
      </w:r>
      <w:r w:rsidR="002F3505" w:rsidRPr="002F3505">
        <w:rPr>
          <w:rFonts w:cs="Calibri"/>
          <w:noProof/>
          <w:szCs w:val="20"/>
        </w:rPr>
        <w:t>, 357</w:t>
      </w:r>
      <w:r w:rsidR="002F3505">
        <w:rPr>
          <w:rFonts w:cs="Calibri"/>
          <w:noProof/>
          <w:szCs w:val="20"/>
        </w:rPr>
        <w:t>–</w:t>
      </w:r>
      <w:r w:rsidR="002F3505" w:rsidRPr="002F3505">
        <w:rPr>
          <w:rFonts w:cs="Calibri"/>
          <w:noProof/>
          <w:szCs w:val="20"/>
        </w:rPr>
        <w:t>365.</w:t>
      </w:r>
    </w:p>
    <w:p w:rsidR="002F3505" w:rsidRDefault="00EF084C" w:rsidP="00EF084C">
      <w:pPr>
        <w:pStyle w:val="References"/>
        <w:ind w:left="372" w:hanging="372"/>
        <w:rPr>
          <w:rFonts w:cs="Calibri"/>
          <w:noProof/>
          <w:szCs w:val="20"/>
        </w:rPr>
      </w:pPr>
      <w:r>
        <w:rPr>
          <w:rFonts w:cs="Calibri"/>
          <w:noProof/>
          <w:szCs w:val="20"/>
        </w:rPr>
        <w:t>[16]</w:t>
      </w:r>
      <w:r>
        <w:rPr>
          <w:rFonts w:cs="Calibri"/>
          <w:noProof/>
          <w:szCs w:val="20"/>
        </w:rPr>
        <w:tab/>
      </w:r>
      <w:r w:rsidR="002F3505" w:rsidRPr="002F3505">
        <w:rPr>
          <w:rFonts w:cs="Calibri"/>
          <w:noProof/>
          <w:szCs w:val="20"/>
        </w:rPr>
        <w:t xml:space="preserve">R. K. Zeidan, S.-J. Hwang and M. E. Davis, </w:t>
      </w:r>
      <w:r w:rsidR="002F3505" w:rsidRPr="002F3505">
        <w:rPr>
          <w:rFonts w:cs="Calibri"/>
          <w:i/>
          <w:noProof/>
          <w:szCs w:val="20"/>
        </w:rPr>
        <w:t>Angew. Chem. Int. Ed.</w:t>
      </w:r>
      <w:r w:rsidR="002F3505" w:rsidRPr="002F3505">
        <w:rPr>
          <w:rFonts w:cs="Calibri"/>
          <w:noProof/>
          <w:szCs w:val="20"/>
        </w:rPr>
        <w:t xml:space="preserve"> </w:t>
      </w:r>
      <w:r w:rsidR="002F3505" w:rsidRPr="002F3505">
        <w:rPr>
          <w:rFonts w:cs="Calibri"/>
          <w:b/>
          <w:noProof/>
          <w:szCs w:val="20"/>
        </w:rPr>
        <w:t>2006</w:t>
      </w:r>
      <w:r w:rsidR="002F3505" w:rsidRPr="002F3505">
        <w:rPr>
          <w:rFonts w:cs="Calibri"/>
          <w:noProof/>
          <w:szCs w:val="20"/>
        </w:rPr>
        <w:t xml:space="preserve">, </w:t>
      </w:r>
      <w:r w:rsidR="002F3505" w:rsidRPr="002F3505">
        <w:rPr>
          <w:rFonts w:cs="Calibri"/>
          <w:i/>
          <w:noProof/>
          <w:szCs w:val="20"/>
        </w:rPr>
        <w:t>45</w:t>
      </w:r>
      <w:r w:rsidR="002F3505" w:rsidRPr="002F3505">
        <w:rPr>
          <w:rFonts w:cs="Calibri"/>
          <w:noProof/>
          <w:szCs w:val="20"/>
        </w:rPr>
        <w:t>, 6332</w:t>
      </w:r>
      <w:r w:rsidR="002F3505">
        <w:rPr>
          <w:rFonts w:cs="Calibri"/>
          <w:noProof/>
          <w:szCs w:val="20"/>
        </w:rPr>
        <w:t>–</w:t>
      </w:r>
      <w:r w:rsidR="002F3505" w:rsidRPr="002F3505">
        <w:rPr>
          <w:rFonts w:cs="Calibri"/>
          <w:noProof/>
          <w:szCs w:val="20"/>
        </w:rPr>
        <w:t>6335.</w:t>
      </w:r>
    </w:p>
    <w:p w:rsidR="002F3505" w:rsidRDefault="00EF084C" w:rsidP="00EF084C">
      <w:pPr>
        <w:pStyle w:val="References"/>
        <w:ind w:left="372" w:hanging="372"/>
        <w:rPr>
          <w:rFonts w:cs="Calibri"/>
          <w:noProof/>
          <w:szCs w:val="20"/>
        </w:rPr>
      </w:pPr>
      <w:r>
        <w:rPr>
          <w:rFonts w:cs="Calibri"/>
          <w:noProof/>
          <w:szCs w:val="20"/>
        </w:rPr>
        <w:t>[17]</w:t>
      </w:r>
      <w:r>
        <w:rPr>
          <w:rFonts w:cs="Calibri"/>
          <w:noProof/>
          <w:szCs w:val="20"/>
        </w:rPr>
        <w:tab/>
      </w:r>
      <w:r w:rsidR="002F3505">
        <w:rPr>
          <w:rFonts w:cs="Calibri"/>
          <w:noProof/>
          <w:szCs w:val="20"/>
        </w:rPr>
        <w:t>Z. Zhou,</w:t>
      </w:r>
      <w:r w:rsidR="002F3505" w:rsidRPr="002F3505">
        <w:rPr>
          <w:rFonts w:cs="Calibri"/>
          <w:noProof/>
          <w:szCs w:val="20"/>
        </w:rPr>
        <w:t xml:space="preserve"> M. Hartmann, </w:t>
      </w:r>
      <w:r w:rsidR="002F3505" w:rsidRPr="002F3505">
        <w:rPr>
          <w:rFonts w:cs="Calibri"/>
          <w:i/>
          <w:noProof/>
          <w:szCs w:val="20"/>
        </w:rPr>
        <w:t>Chem. Soc. Rev.</w:t>
      </w:r>
      <w:r w:rsidR="002F3505" w:rsidRPr="002F3505">
        <w:rPr>
          <w:rFonts w:cs="Calibri"/>
          <w:noProof/>
          <w:szCs w:val="20"/>
        </w:rPr>
        <w:t xml:space="preserve"> </w:t>
      </w:r>
      <w:r w:rsidR="002F3505" w:rsidRPr="002F3505">
        <w:rPr>
          <w:rFonts w:cs="Calibri"/>
          <w:b/>
          <w:noProof/>
          <w:szCs w:val="20"/>
        </w:rPr>
        <w:t>2013</w:t>
      </w:r>
      <w:r w:rsidR="002F3505" w:rsidRPr="002F3505">
        <w:rPr>
          <w:rFonts w:cs="Calibri"/>
          <w:noProof/>
          <w:szCs w:val="20"/>
        </w:rPr>
        <w:t xml:space="preserve">, </w:t>
      </w:r>
      <w:r w:rsidR="002F3505" w:rsidRPr="002F3505">
        <w:rPr>
          <w:rFonts w:cs="Calibri"/>
          <w:i/>
          <w:noProof/>
          <w:szCs w:val="20"/>
        </w:rPr>
        <w:t>42</w:t>
      </w:r>
      <w:r w:rsidR="002F3505" w:rsidRPr="002F3505">
        <w:rPr>
          <w:rFonts w:cs="Calibri"/>
          <w:noProof/>
          <w:szCs w:val="20"/>
        </w:rPr>
        <w:t>, 3894</w:t>
      </w:r>
      <w:r w:rsidR="002F3505">
        <w:rPr>
          <w:rFonts w:cs="Calibri"/>
          <w:noProof/>
          <w:szCs w:val="20"/>
        </w:rPr>
        <w:t>–</w:t>
      </w:r>
      <w:r w:rsidR="002F3505" w:rsidRPr="002F3505">
        <w:rPr>
          <w:rFonts w:cs="Calibri"/>
          <w:noProof/>
          <w:szCs w:val="20"/>
        </w:rPr>
        <w:t>3912.</w:t>
      </w:r>
    </w:p>
    <w:p w:rsidR="002F3505" w:rsidRPr="002F3505" w:rsidRDefault="00EF084C" w:rsidP="00EF084C">
      <w:pPr>
        <w:pStyle w:val="References"/>
        <w:ind w:left="372" w:hanging="372"/>
        <w:rPr>
          <w:rFonts w:cs="Calibri"/>
          <w:noProof/>
          <w:szCs w:val="20"/>
        </w:rPr>
      </w:pPr>
      <w:r>
        <w:rPr>
          <w:rFonts w:cs="Calibri"/>
          <w:noProof/>
          <w:szCs w:val="20"/>
        </w:rPr>
        <w:t>[18]</w:t>
      </w:r>
      <w:r>
        <w:rPr>
          <w:rFonts w:cs="Calibri"/>
          <w:noProof/>
          <w:szCs w:val="20"/>
        </w:rPr>
        <w:tab/>
      </w:r>
      <w:r w:rsidR="002F3505" w:rsidRPr="002F3505">
        <w:rPr>
          <w:rFonts w:cs="Calibri"/>
          <w:noProof/>
          <w:szCs w:val="20"/>
        </w:rPr>
        <w:t>V. Fathi V</w:t>
      </w:r>
      <w:r w:rsidR="002F3505">
        <w:rPr>
          <w:rFonts w:cs="Calibri"/>
          <w:noProof/>
          <w:szCs w:val="20"/>
        </w:rPr>
        <w:t>avsari, G. Mohammadi Ziarani,</w:t>
      </w:r>
      <w:r w:rsidR="002F3505" w:rsidRPr="002F3505">
        <w:rPr>
          <w:rFonts w:cs="Calibri"/>
          <w:noProof/>
          <w:szCs w:val="20"/>
        </w:rPr>
        <w:t xml:space="preserve"> A. Badiei, </w:t>
      </w:r>
      <w:r w:rsidR="002F3505" w:rsidRPr="002F3505">
        <w:rPr>
          <w:rFonts w:cs="Calibri"/>
          <w:i/>
          <w:noProof/>
          <w:szCs w:val="20"/>
        </w:rPr>
        <w:t>RSC Advances</w:t>
      </w:r>
      <w:r w:rsidR="002F3505" w:rsidRPr="002F3505">
        <w:rPr>
          <w:rFonts w:cs="Calibri"/>
          <w:noProof/>
          <w:szCs w:val="20"/>
        </w:rPr>
        <w:t xml:space="preserve"> </w:t>
      </w:r>
      <w:r w:rsidR="002F3505" w:rsidRPr="002F3505">
        <w:rPr>
          <w:rFonts w:cs="Calibri"/>
          <w:b/>
          <w:noProof/>
          <w:szCs w:val="20"/>
        </w:rPr>
        <w:t>2015</w:t>
      </w:r>
      <w:r w:rsidR="002F3505" w:rsidRPr="002F3505">
        <w:rPr>
          <w:rFonts w:cs="Calibri"/>
          <w:noProof/>
          <w:szCs w:val="20"/>
        </w:rPr>
        <w:t xml:space="preserve">, </w:t>
      </w:r>
      <w:r w:rsidR="002F3505" w:rsidRPr="002F3505">
        <w:rPr>
          <w:rFonts w:cs="Calibri"/>
          <w:i/>
          <w:noProof/>
          <w:szCs w:val="20"/>
        </w:rPr>
        <w:t>5</w:t>
      </w:r>
      <w:r w:rsidR="002F3505" w:rsidRPr="002F3505">
        <w:rPr>
          <w:rFonts w:cs="Calibri"/>
          <w:noProof/>
          <w:szCs w:val="20"/>
        </w:rPr>
        <w:t>, 91686</w:t>
      </w:r>
      <w:r w:rsidR="002F3505">
        <w:rPr>
          <w:rFonts w:cs="Calibri"/>
          <w:noProof/>
          <w:szCs w:val="20"/>
        </w:rPr>
        <w:t>–</w:t>
      </w:r>
      <w:r w:rsidR="002F3505" w:rsidRPr="002F3505">
        <w:rPr>
          <w:rFonts w:cs="Calibri"/>
          <w:noProof/>
          <w:szCs w:val="20"/>
        </w:rPr>
        <w:t>91707.</w:t>
      </w:r>
    </w:p>
    <w:p w:rsidR="002F3505" w:rsidRDefault="00EF084C" w:rsidP="00EF084C">
      <w:pPr>
        <w:pStyle w:val="References"/>
        <w:ind w:left="372" w:hanging="372"/>
        <w:rPr>
          <w:rFonts w:cs="Calibri"/>
          <w:noProof/>
          <w:szCs w:val="20"/>
        </w:rPr>
      </w:pPr>
      <w:r>
        <w:rPr>
          <w:rFonts w:cs="Calibri"/>
          <w:noProof/>
          <w:szCs w:val="20"/>
        </w:rPr>
        <w:t>[19]</w:t>
      </w:r>
      <w:r>
        <w:rPr>
          <w:rFonts w:cs="Calibri"/>
          <w:noProof/>
          <w:szCs w:val="20"/>
        </w:rPr>
        <w:tab/>
      </w:r>
      <w:r>
        <w:rPr>
          <w:rFonts w:cs="Calibri"/>
          <w:noProof/>
          <w:szCs w:val="20"/>
        </w:rPr>
        <w:tab/>
      </w:r>
      <w:r w:rsidR="002F3505" w:rsidRPr="002F3505">
        <w:rPr>
          <w:rFonts w:cs="Calibri"/>
          <w:noProof/>
          <w:szCs w:val="20"/>
        </w:rPr>
        <w:t xml:space="preserve">J. W. Comerford, T. J. Farmer, D. J. Macquarrie, S. W. Breeden, J. H. Clark, </w:t>
      </w:r>
      <w:r w:rsidR="002F3505" w:rsidRPr="002F3505">
        <w:rPr>
          <w:rFonts w:cs="Calibri"/>
          <w:i/>
          <w:noProof/>
          <w:szCs w:val="20"/>
        </w:rPr>
        <w:t>Arkivoc</w:t>
      </w:r>
      <w:r w:rsidR="002F3505" w:rsidRPr="002F3505">
        <w:rPr>
          <w:rFonts w:cs="Calibri"/>
          <w:noProof/>
          <w:szCs w:val="20"/>
        </w:rPr>
        <w:t xml:space="preserve"> </w:t>
      </w:r>
      <w:r w:rsidR="002F3505" w:rsidRPr="002F3505">
        <w:rPr>
          <w:rFonts w:cs="Calibri"/>
          <w:b/>
          <w:noProof/>
          <w:szCs w:val="20"/>
        </w:rPr>
        <w:t>2012</w:t>
      </w:r>
      <w:r w:rsidR="002F3505" w:rsidRPr="002F3505">
        <w:rPr>
          <w:rFonts w:cs="Calibri"/>
          <w:noProof/>
          <w:szCs w:val="20"/>
        </w:rPr>
        <w:t xml:space="preserve">, </w:t>
      </w:r>
      <w:r w:rsidR="002F3505" w:rsidRPr="002F3505">
        <w:rPr>
          <w:rFonts w:cs="Calibri"/>
          <w:i/>
          <w:noProof/>
          <w:szCs w:val="20"/>
        </w:rPr>
        <w:t>7</w:t>
      </w:r>
      <w:r w:rsidR="002F3505" w:rsidRPr="002F3505">
        <w:rPr>
          <w:rFonts w:cs="Calibri"/>
          <w:noProof/>
          <w:szCs w:val="20"/>
        </w:rPr>
        <w:t>, 282</w:t>
      </w:r>
      <w:r w:rsidR="002F3505">
        <w:rPr>
          <w:rFonts w:cs="Calibri"/>
          <w:noProof/>
          <w:szCs w:val="20"/>
        </w:rPr>
        <w:t>–</w:t>
      </w:r>
      <w:r w:rsidR="002F3505" w:rsidRPr="002F3505">
        <w:rPr>
          <w:rFonts w:cs="Calibri"/>
          <w:noProof/>
          <w:szCs w:val="20"/>
        </w:rPr>
        <w:t>293.</w:t>
      </w:r>
    </w:p>
    <w:p w:rsidR="002F3505" w:rsidRDefault="002F3505" w:rsidP="005553B8">
      <w:pPr>
        <w:pStyle w:val="References"/>
        <w:rPr>
          <w:rFonts w:cs="Calibri"/>
          <w:noProof/>
          <w:szCs w:val="20"/>
        </w:rPr>
      </w:pPr>
      <w:r>
        <w:rPr>
          <w:rFonts w:cs="Calibri"/>
          <w:noProof/>
          <w:szCs w:val="20"/>
        </w:rPr>
        <w:t xml:space="preserve">[20] </w:t>
      </w:r>
      <w:r w:rsidRPr="002F3505">
        <w:rPr>
          <w:rFonts w:cs="Calibri"/>
          <w:noProof/>
          <w:szCs w:val="20"/>
        </w:rPr>
        <w:t xml:space="preserve">M. Kruk, </w:t>
      </w:r>
      <w:r w:rsidRPr="002F3505">
        <w:rPr>
          <w:rFonts w:cs="Calibri"/>
          <w:i/>
          <w:noProof/>
          <w:szCs w:val="20"/>
        </w:rPr>
        <w:t>Acc. Chem. Res.</w:t>
      </w:r>
      <w:r w:rsidRPr="002F3505">
        <w:rPr>
          <w:rFonts w:cs="Calibri"/>
          <w:noProof/>
          <w:szCs w:val="20"/>
        </w:rPr>
        <w:t xml:space="preserve"> </w:t>
      </w:r>
      <w:r w:rsidRPr="002F3505">
        <w:rPr>
          <w:rFonts w:cs="Calibri"/>
          <w:b/>
          <w:noProof/>
          <w:szCs w:val="20"/>
        </w:rPr>
        <w:t>2012</w:t>
      </w:r>
      <w:r w:rsidRPr="002F3505">
        <w:rPr>
          <w:rFonts w:cs="Calibri"/>
          <w:noProof/>
          <w:szCs w:val="20"/>
        </w:rPr>
        <w:t xml:space="preserve">, </w:t>
      </w:r>
      <w:r w:rsidRPr="002F3505">
        <w:rPr>
          <w:rFonts w:cs="Calibri"/>
          <w:i/>
          <w:noProof/>
          <w:szCs w:val="20"/>
        </w:rPr>
        <w:t>45</w:t>
      </w:r>
      <w:r w:rsidRPr="002F3505">
        <w:rPr>
          <w:rFonts w:cs="Calibri"/>
          <w:noProof/>
          <w:szCs w:val="20"/>
        </w:rPr>
        <w:t>, 1678</w:t>
      </w:r>
      <w:r>
        <w:rPr>
          <w:rFonts w:cs="Calibri"/>
          <w:noProof/>
          <w:szCs w:val="20"/>
        </w:rPr>
        <w:t>–</w:t>
      </w:r>
      <w:r w:rsidRPr="002F3505">
        <w:rPr>
          <w:rFonts w:cs="Calibri"/>
          <w:noProof/>
          <w:szCs w:val="20"/>
        </w:rPr>
        <w:t>1687.</w:t>
      </w:r>
    </w:p>
    <w:p w:rsidR="002F3505" w:rsidRDefault="00EF084C" w:rsidP="00EF084C">
      <w:pPr>
        <w:pStyle w:val="References"/>
        <w:ind w:left="420" w:hanging="420"/>
        <w:rPr>
          <w:rFonts w:cs="Calibri"/>
          <w:noProof/>
          <w:szCs w:val="20"/>
        </w:rPr>
      </w:pPr>
      <w:r>
        <w:rPr>
          <w:rFonts w:cs="Calibri"/>
          <w:noProof/>
          <w:szCs w:val="20"/>
        </w:rPr>
        <w:t>[21]</w:t>
      </w:r>
      <w:r>
        <w:rPr>
          <w:rFonts w:cs="Calibri"/>
          <w:noProof/>
          <w:szCs w:val="20"/>
        </w:rPr>
        <w:tab/>
      </w:r>
      <w:r w:rsidR="002F3505" w:rsidRPr="002F3505">
        <w:rPr>
          <w:rFonts w:cs="Calibri"/>
          <w:noProof/>
          <w:szCs w:val="20"/>
        </w:rPr>
        <w:t>M. Liu, B. Li</w:t>
      </w:r>
      <w:r w:rsidR="002F3505">
        <w:rPr>
          <w:rFonts w:cs="Calibri"/>
          <w:noProof/>
          <w:szCs w:val="20"/>
        </w:rPr>
        <w:t>u, L. Liang, F. Wang, L. Shi,</w:t>
      </w:r>
      <w:r w:rsidR="002F3505" w:rsidRPr="002F3505">
        <w:rPr>
          <w:rFonts w:cs="Calibri"/>
          <w:noProof/>
          <w:szCs w:val="20"/>
        </w:rPr>
        <w:t xml:space="preserve"> J. Sun, </w:t>
      </w:r>
      <w:r w:rsidR="002F3505" w:rsidRPr="002F3505">
        <w:rPr>
          <w:rFonts w:cs="Calibri"/>
          <w:i/>
          <w:noProof/>
          <w:szCs w:val="20"/>
        </w:rPr>
        <w:t>J. Mol. Cat. A: Chem.</w:t>
      </w:r>
      <w:r w:rsidR="002F3505" w:rsidRPr="002F3505">
        <w:rPr>
          <w:rFonts w:cs="Calibri"/>
          <w:noProof/>
          <w:szCs w:val="20"/>
        </w:rPr>
        <w:t xml:space="preserve"> </w:t>
      </w:r>
      <w:r w:rsidR="002F3505" w:rsidRPr="002F3505">
        <w:rPr>
          <w:rFonts w:cs="Calibri"/>
          <w:b/>
          <w:noProof/>
          <w:szCs w:val="20"/>
        </w:rPr>
        <w:t>2016</w:t>
      </w:r>
      <w:r w:rsidR="002F3505" w:rsidRPr="002F3505">
        <w:rPr>
          <w:rFonts w:cs="Calibri"/>
          <w:noProof/>
          <w:szCs w:val="20"/>
        </w:rPr>
        <w:t>, 418–419, 78</w:t>
      </w:r>
      <w:r w:rsidR="002F3505">
        <w:rPr>
          <w:rFonts w:cs="Calibri"/>
          <w:noProof/>
          <w:szCs w:val="20"/>
        </w:rPr>
        <w:t>–</w:t>
      </w:r>
      <w:r w:rsidR="002F3505" w:rsidRPr="002F3505">
        <w:rPr>
          <w:rFonts w:cs="Calibri"/>
          <w:noProof/>
          <w:szCs w:val="20"/>
        </w:rPr>
        <w:t>85.</w:t>
      </w:r>
    </w:p>
    <w:p w:rsidR="002F3505" w:rsidRDefault="00EF084C" w:rsidP="00EF084C">
      <w:pPr>
        <w:pStyle w:val="References"/>
        <w:ind w:left="372" w:hanging="372"/>
        <w:rPr>
          <w:rFonts w:cs="Calibri"/>
          <w:noProof/>
          <w:szCs w:val="20"/>
        </w:rPr>
      </w:pPr>
      <w:r>
        <w:rPr>
          <w:rFonts w:cs="Calibri"/>
          <w:noProof/>
          <w:szCs w:val="20"/>
        </w:rPr>
        <w:t>[22]</w:t>
      </w:r>
      <w:r>
        <w:rPr>
          <w:rFonts w:cs="Calibri"/>
          <w:noProof/>
          <w:szCs w:val="20"/>
        </w:rPr>
        <w:tab/>
      </w:r>
      <w:r w:rsidR="002F3505" w:rsidRPr="002F3505">
        <w:rPr>
          <w:rFonts w:cs="Calibri"/>
          <w:noProof/>
          <w:szCs w:val="20"/>
        </w:rPr>
        <w:t xml:space="preserve">S. Ravi, R. Roshan, J. </w:t>
      </w:r>
      <w:r w:rsidR="002F3505">
        <w:rPr>
          <w:rFonts w:cs="Calibri"/>
          <w:noProof/>
          <w:szCs w:val="20"/>
        </w:rPr>
        <w:t>Tharun, A. C. Kathalikkattil,</w:t>
      </w:r>
      <w:r w:rsidR="002F3505" w:rsidRPr="002F3505">
        <w:rPr>
          <w:rFonts w:cs="Calibri"/>
          <w:noProof/>
          <w:szCs w:val="20"/>
        </w:rPr>
        <w:t xml:space="preserve"> D. W. Park, </w:t>
      </w:r>
      <w:r w:rsidR="002F3505" w:rsidRPr="002F3505">
        <w:rPr>
          <w:rFonts w:cs="Calibri"/>
          <w:i/>
          <w:noProof/>
          <w:szCs w:val="20"/>
        </w:rPr>
        <w:t>J. CO</w:t>
      </w:r>
      <w:r w:rsidR="002F3505" w:rsidRPr="002F3505">
        <w:rPr>
          <w:rFonts w:cs="Calibri"/>
          <w:i/>
          <w:noProof/>
          <w:szCs w:val="20"/>
          <w:vertAlign w:val="subscript"/>
        </w:rPr>
        <w:t>2</w:t>
      </w:r>
      <w:r w:rsidR="002F3505" w:rsidRPr="002F3505">
        <w:rPr>
          <w:rFonts w:cs="Calibri"/>
          <w:i/>
          <w:noProof/>
          <w:szCs w:val="20"/>
        </w:rPr>
        <w:t xml:space="preserve"> Utilization</w:t>
      </w:r>
      <w:r w:rsidR="002F3505" w:rsidRPr="002F3505">
        <w:rPr>
          <w:rFonts w:cs="Calibri"/>
          <w:noProof/>
          <w:szCs w:val="20"/>
        </w:rPr>
        <w:t xml:space="preserve"> </w:t>
      </w:r>
      <w:r w:rsidR="002F3505" w:rsidRPr="002F3505">
        <w:rPr>
          <w:rFonts w:cs="Calibri"/>
          <w:b/>
          <w:noProof/>
          <w:szCs w:val="20"/>
        </w:rPr>
        <w:t>2015</w:t>
      </w:r>
      <w:r w:rsidR="002F3505" w:rsidRPr="002F3505">
        <w:rPr>
          <w:rFonts w:cs="Calibri"/>
          <w:noProof/>
          <w:szCs w:val="20"/>
        </w:rPr>
        <w:t xml:space="preserve">, </w:t>
      </w:r>
      <w:r w:rsidR="002F3505" w:rsidRPr="002F3505">
        <w:rPr>
          <w:rFonts w:cs="Calibri"/>
          <w:i/>
          <w:noProof/>
          <w:szCs w:val="20"/>
        </w:rPr>
        <w:t>10</w:t>
      </w:r>
      <w:r w:rsidR="002F3505" w:rsidRPr="002F3505">
        <w:rPr>
          <w:rFonts w:cs="Calibri"/>
          <w:noProof/>
          <w:szCs w:val="20"/>
        </w:rPr>
        <w:t>, 88</w:t>
      </w:r>
      <w:r w:rsidR="002F3505">
        <w:rPr>
          <w:rFonts w:cs="Calibri"/>
          <w:noProof/>
          <w:szCs w:val="20"/>
        </w:rPr>
        <w:t>–</w:t>
      </w:r>
      <w:r w:rsidR="002F3505" w:rsidRPr="002F3505">
        <w:rPr>
          <w:rFonts w:cs="Calibri"/>
          <w:noProof/>
          <w:szCs w:val="20"/>
        </w:rPr>
        <w:t>94.</w:t>
      </w:r>
    </w:p>
    <w:p w:rsidR="002F3505" w:rsidRDefault="00EF084C" w:rsidP="00EF084C">
      <w:pPr>
        <w:pStyle w:val="References"/>
        <w:ind w:left="372" w:hanging="372"/>
        <w:rPr>
          <w:rFonts w:cs="Calibri"/>
          <w:noProof/>
          <w:szCs w:val="20"/>
        </w:rPr>
      </w:pPr>
      <w:r>
        <w:rPr>
          <w:rFonts w:cs="Calibri"/>
          <w:noProof/>
          <w:szCs w:val="20"/>
        </w:rPr>
        <w:t>[23]</w:t>
      </w:r>
      <w:r>
        <w:rPr>
          <w:rFonts w:cs="Calibri"/>
          <w:noProof/>
          <w:szCs w:val="20"/>
        </w:rPr>
        <w:tab/>
      </w:r>
      <w:r w:rsidR="002F3505">
        <w:rPr>
          <w:rFonts w:cs="Calibri"/>
          <w:noProof/>
          <w:szCs w:val="20"/>
        </w:rPr>
        <w:t>L. Han, S.-W. Park,</w:t>
      </w:r>
      <w:r w:rsidR="002F3505" w:rsidRPr="002F3505">
        <w:rPr>
          <w:rFonts w:cs="Calibri"/>
          <w:noProof/>
          <w:szCs w:val="20"/>
        </w:rPr>
        <w:t xml:space="preserve"> D.-W. Park, </w:t>
      </w:r>
      <w:r w:rsidR="002F3505" w:rsidRPr="002F3505">
        <w:rPr>
          <w:rFonts w:cs="Calibri"/>
          <w:i/>
          <w:noProof/>
          <w:szCs w:val="20"/>
        </w:rPr>
        <w:t>Energy Env. Sci.</w:t>
      </w:r>
      <w:r w:rsidR="002F3505" w:rsidRPr="002F3505">
        <w:rPr>
          <w:rFonts w:cs="Calibri"/>
          <w:noProof/>
          <w:szCs w:val="20"/>
        </w:rPr>
        <w:t xml:space="preserve"> </w:t>
      </w:r>
      <w:r w:rsidR="002F3505" w:rsidRPr="002F3505">
        <w:rPr>
          <w:rFonts w:cs="Calibri"/>
          <w:b/>
          <w:noProof/>
          <w:szCs w:val="20"/>
        </w:rPr>
        <w:t>2009</w:t>
      </w:r>
      <w:r w:rsidR="002F3505" w:rsidRPr="002F3505">
        <w:rPr>
          <w:rFonts w:cs="Calibri"/>
          <w:noProof/>
          <w:szCs w:val="20"/>
        </w:rPr>
        <w:t xml:space="preserve">, </w:t>
      </w:r>
      <w:r w:rsidR="002F3505" w:rsidRPr="002F3505">
        <w:rPr>
          <w:rFonts w:cs="Calibri"/>
          <w:i/>
          <w:noProof/>
          <w:szCs w:val="20"/>
        </w:rPr>
        <w:t>2</w:t>
      </w:r>
      <w:r w:rsidR="002F3505" w:rsidRPr="002F3505">
        <w:rPr>
          <w:rFonts w:cs="Calibri"/>
          <w:noProof/>
          <w:szCs w:val="20"/>
        </w:rPr>
        <w:t>, 1286</w:t>
      </w:r>
      <w:r w:rsidR="002F3505">
        <w:rPr>
          <w:rFonts w:cs="Calibri"/>
          <w:noProof/>
          <w:szCs w:val="20"/>
        </w:rPr>
        <w:t>–</w:t>
      </w:r>
      <w:r w:rsidR="002F3505" w:rsidRPr="002F3505">
        <w:rPr>
          <w:rFonts w:cs="Calibri"/>
          <w:noProof/>
          <w:szCs w:val="20"/>
        </w:rPr>
        <w:t>1292.</w:t>
      </w:r>
    </w:p>
    <w:p w:rsidR="001B2823" w:rsidRPr="00F34F73" w:rsidRDefault="001B2823" w:rsidP="007A492A">
      <w:pPr>
        <w:pStyle w:val="References"/>
        <w:ind w:left="420" w:hanging="420"/>
        <w:rPr>
          <w:rFonts w:cs="Calibri"/>
          <w:noProof/>
          <w:color w:val="FF0000"/>
          <w:szCs w:val="20"/>
        </w:rPr>
      </w:pPr>
      <w:r w:rsidRPr="001B2823">
        <w:rPr>
          <w:rFonts w:cs="Calibri"/>
          <w:noProof/>
          <w:color w:val="FF0000"/>
          <w:szCs w:val="20"/>
        </w:rPr>
        <w:t>[24]</w:t>
      </w:r>
      <w:r>
        <w:rPr>
          <w:rFonts w:cs="Calibri"/>
          <w:noProof/>
          <w:color w:val="FF0000"/>
          <w:szCs w:val="20"/>
        </w:rPr>
        <w:tab/>
      </w:r>
      <w:r w:rsidR="007A492A" w:rsidRPr="00F34F73">
        <w:rPr>
          <w:color w:val="FF0000"/>
        </w:rPr>
        <w:t xml:space="preserve">T. Takahashi, T. Watahiki, S. Kitazume, H. Yasuda, T. Sakakura, </w:t>
      </w:r>
      <w:r w:rsidR="007A492A" w:rsidRPr="00F34F73">
        <w:rPr>
          <w:i/>
          <w:color w:val="FF0000"/>
        </w:rPr>
        <w:t>Chem. Commun.</w:t>
      </w:r>
      <w:r w:rsidR="007A492A" w:rsidRPr="00F34F73">
        <w:rPr>
          <w:color w:val="FF0000"/>
        </w:rPr>
        <w:t xml:space="preserve"> </w:t>
      </w:r>
      <w:r w:rsidR="007A492A" w:rsidRPr="00F34F73">
        <w:rPr>
          <w:b/>
          <w:color w:val="FF0000"/>
        </w:rPr>
        <w:t>2006</w:t>
      </w:r>
      <w:r w:rsidR="007A492A" w:rsidRPr="00F34F73">
        <w:rPr>
          <w:color w:val="FF0000"/>
        </w:rPr>
        <w:t>, 1664–1666.</w:t>
      </w:r>
    </w:p>
    <w:p w:rsidR="001B2823" w:rsidRPr="00F34F73" w:rsidRDefault="001B2823" w:rsidP="007A492A">
      <w:pPr>
        <w:pStyle w:val="References"/>
        <w:ind w:left="420" w:hanging="420"/>
        <w:rPr>
          <w:rFonts w:cs="Calibri"/>
          <w:noProof/>
          <w:color w:val="FF0000"/>
          <w:szCs w:val="20"/>
        </w:rPr>
      </w:pPr>
      <w:r w:rsidRPr="00F34F73">
        <w:rPr>
          <w:rFonts w:cs="Calibri"/>
          <w:noProof/>
          <w:color w:val="FF0000"/>
          <w:szCs w:val="20"/>
        </w:rPr>
        <w:t>[25]</w:t>
      </w:r>
      <w:r w:rsidR="007A492A" w:rsidRPr="00F34F73">
        <w:rPr>
          <w:rFonts w:cs="Calibri"/>
          <w:noProof/>
          <w:color w:val="FF0000"/>
          <w:szCs w:val="20"/>
        </w:rPr>
        <w:tab/>
      </w:r>
      <w:r w:rsidR="007A492A" w:rsidRPr="00F34F73">
        <w:rPr>
          <w:rFonts w:cs="Calibri"/>
          <w:noProof/>
          <w:color w:val="FF0000"/>
          <w:szCs w:val="20"/>
        </w:rPr>
        <w:tab/>
      </w:r>
      <w:r w:rsidR="007A492A" w:rsidRPr="00F34F73">
        <w:rPr>
          <w:color w:val="FF0000"/>
        </w:rPr>
        <w:t xml:space="preserve">Y. Xie, K. Ding, Z. Liu, J. Li, G. An, R. Tao, Z. Sun, Z. Yang, </w:t>
      </w:r>
      <w:r w:rsidR="007A492A" w:rsidRPr="00F34F73">
        <w:rPr>
          <w:i/>
          <w:color w:val="FF0000"/>
        </w:rPr>
        <w:t>Chem. Eur. J.</w:t>
      </w:r>
      <w:r w:rsidR="007A492A" w:rsidRPr="00F34F73">
        <w:rPr>
          <w:color w:val="FF0000"/>
        </w:rPr>
        <w:t xml:space="preserve"> </w:t>
      </w:r>
      <w:r w:rsidR="007A492A" w:rsidRPr="00F34F73">
        <w:rPr>
          <w:b/>
          <w:color w:val="FF0000"/>
        </w:rPr>
        <w:t>2010</w:t>
      </w:r>
      <w:r w:rsidR="007A492A" w:rsidRPr="00F34F73">
        <w:rPr>
          <w:color w:val="FF0000"/>
        </w:rPr>
        <w:t xml:space="preserve">, </w:t>
      </w:r>
      <w:r w:rsidR="007A492A" w:rsidRPr="00F34F73">
        <w:rPr>
          <w:i/>
          <w:color w:val="FF0000"/>
        </w:rPr>
        <w:t>16</w:t>
      </w:r>
      <w:r w:rsidR="007A492A" w:rsidRPr="00F34F73">
        <w:rPr>
          <w:color w:val="FF0000"/>
        </w:rPr>
        <w:t>, 6687–6692.</w:t>
      </w:r>
    </w:p>
    <w:p w:rsidR="001B2823" w:rsidRPr="001B2823" w:rsidRDefault="001B2823" w:rsidP="007A492A">
      <w:pPr>
        <w:pStyle w:val="References"/>
        <w:ind w:left="420" w:hanging="420"/>
        <w:rPr>
          <w:rFonts w:cs="Calibri"/>
          <w:noProof/>
          <w:color w:val="FF0000"/>
          <w:szCs w:val="20"/>
        </w:rPr>
      </w:pPr>
      <w:r w:rsidRPr="001B2823">
        <w:rPr>
          <w:rFonts w:cs="Calibri"/>
          <w:noProof/>
          <w:color w:val="FF0000"/>
          <w:szCs w:val="20"/>
        </w:rPr>
        <w:t>[26]</w:t>
      </w:r>
      <w:r w:rsidR="007A492A">
        <w:rPr>
          <w:rFonts w:cs="Calibri"/>
          <w:noProof/>
          <w:color w:val="FF0000"/>
          <w:szCs w:val="20"/>
        </w:rPr>
        <w:tab/>
      </w:r>
      <w:r w:rsidR="007A492A" w:rsidRPr="00F34F73">
        <w:rPr>
          <w:rFonts w:cs="Calibri"/>
          <w:noProof/>
          <w:color w:val="FF0000"/>
          <w:szCs w:val="20"/>
        </w:rPr>
        <w:tab/>
      </w:r>
      <w:r w:rsidR="007A492A" w:rsidRPr="00F34F73">
        <w:rPr>
          <w:color w:val="FF0000"/>
        </w:rPr>
        <w:t xml:space="preserve">T. Ema, Y. Miyazaki, T. Taniguchi, J. Takada, </w:t>
      </w:r>
      <w:r w:rsidR="007A492A" w:rsidRPr="00F34F73">
        <w:rPr>
          <w:i/>
          <w:color w:val="FF0000"/>
        </w:rPr>
        <w:t>Green Chem.</w:t>
      </w:r>
      <w:r w:rsidR="007A492A" w:rsidRPr="00F34F73">
        <w:rPr>
          <w:color w:val="FF0000"/>
        </w:rPr>
        <w:t xml:space="preserve"> </w:t>
      </w:r>
      <w:r w:rsidR="007A492A" w:rsidRPr="00F34F73">
        <w:rPr>
          <w:b/>
          <w:color w:val="FF0000"/>
        </w:rPr>
        <w:t>2013</w:t>
      </w:r>
      <w:r w:rsidR="007A492A" w:rsidRPr="00F34F73">
        <w:rPr>
          <w:color w:val="FF0000"/>
        </w:rPr>
        <w:t xml:space="preserve">, </w:t>
      </w:r>
      <w:r w:rsidR="007A492A" w:rsidRPr="00F34F73">
        <w:rPr>
          <w:i/>
          <w:color w:val="FF0000"/>
        </w:rPr>
        <w:t>15</w:t>
      </w:r>
      <w:r w:rsidR="007A492A" w:rsidRPr="00F34F73">
        <w:rPr>
          <w:color w:val="FF0000"/>
        </w:rPr>
        <w:t>, 2485–2492.</w:t>
      </w:r>
    </w:p>
    <w:p w:rsidR="001B2823" w:rsidRPr="00F34F73" w:rsidRDefault="001B2823" w:rsidP="007A492A">
      <w:pPr>
        <w:pStyle w:val="References"/>
        <w:ind w:left="372" w:hanging="372"/>
        <w:rPr>
          <w:rFonts w:cs="Calibri"/>
          <w:noProof/>
          <w:color w:val="FF0000"/>
          <w:szCs w:val="20"/>
        </w:rPr>
      </w:pPr>
      <w:r w:rsidRPr="001B2823">
        <w:rPr>
          <w:rFonts w:cs="Calibri"/>
          <w:noProof/>
          <w:color w:val="FF0000"/>
          <w:szCs w:val="20"/>
        </w:rPr>
        <w:t>[</w:t>
      </w:r>
      <w:r w:rsidRPr="00F34F73">
        <w:rPr>
          <w:rFonts w:cs="Calibri"/>
          <w:noProof/>
          <w:color w:val="FF0000"/>
          <w:szCs w:val="20"/>
        </w:rPr>
        <w:t>27]</w:t>
      </w:r>
      <w:r w:rsidR="007A492A" w:rsidRPr="00F34F73">
        <w:rPr>
          <w:rFonts w:cs="Calibri"/>
          <w:noProof/>
          <w:color w:val="FF0000"/>
          <w:szCs w:val="20"/>
        </w:rPr>
        <w:tab/>
      </w:r>
      <w:r w:rsidR="007A492A" w:rsidRPr="00F34F73">
        <w:rPr>
          <w:rFonts w:cs="Calibri"/>
          <w:noProof/>
          <w:color w:val="FF0000"/>
          <w:szCs w:val="20"/>
        </w:rPr>
        <w:tab/>
      </w:r>
      <w:r w:rsidR="007A492A" w:rsidRPr="00F34F73">
        <w:rPr>
          <w:color w:val="FF0000"/>
        </w:rPr>
        <w:t xml:space="preserve">U. R. Seo, Y. K. Chung, </w:t>
      </w:r>
      <w:r w:rsidR="007A492A" w:rsidRPr="00F34F73">
        <w:rPr>
          <w:i/>
          <w:color w:val="FF0000"/>
        </w:rPr>
        <w:t>Adv. Synth. Catal.</w:t>
      </w:r>
      <w:r w:rsidR="007A492A" w:rsidRPr="00F34F73">
        <w:rPr>
          <w:color w:val="FF0000"/>
        </w:rPr>
        <w:t xml:space="preserve"> </w:t>
      </w:r>
      <w:r w:rsidR="007A492A" w:rsidRPr="00F34F73">
        <w:rPr>
          <w:b/>
          <w:color w:val="FF0000"/>
        </w:rPr>
        <w:t>2014</w:t>
      </w:r>
      <w:r w:rsidR="007A492A" w:rsidRPr="00F34F73">
        <w:rPr>
          <w:color w:val="FF0000"/>
        </w:rPr>
        <w:t xml:space="preserve">, </w:t>
      </w:r>
      <w:r w:rsidR="007A492A" w:rsidRPr="00F34F73">
        <w:rPr>
          <w:i/>
          <w:color w:val="FF0000"/>
        </w:rPr>
        <w:t>356</w:t>
      </w:r>
      <w:r w:rsidR="007A492A" w:rsidRPr="00F34F73">
        <w:rPr>
          <w:color w:val="FF0000"/>
        </w:rPr>
        <w:t>, 1955–1961.</w:t>
      </w:r>
    </w:p>
    <w:p w:rsidR="001B2823" w:rsidRPr="00F34F73" w:rsidRDefault="001B2823" w:rsidP="007A492A">
      <w:pPr>
        <w:pStyle w:val="References"/>
        <w:ind w:left="372" w:hanging="372"/>
        <w:rPr>
          <w:rFonts w:cs="Calibri"/>
          <w:noProof/>
          <w:color w:val="FF0000"/>
          <w:szCs w:val="20"/>
        </w:rPr>
      </w:pPr>
      <w:r w:rsidRPr="00F34F73">
        <w:rPr>
          <w:rFonts w:cs="Calibri"/>
          <w:noProof/>
          <w:color w:val="FF0000"/>
          <w:szCs w:val="20"/>
        </w:rPr>
        <w:t>[28]</w:t>
      </w:r>
      <w:r w:rsidR="007A492A" w:rsidRPr="00F34F73">
        <w:rPr>
          <w:rFonts w:cs="Calibri"/>
          <w:noProof/>
          <w:color w:val="FF0000"/>
          <w:szCs w:val="20"/>
        </w:rPr>
        <w:tab/>
      </w:r>
      <w:r w:rsidR="007A492A" w:rsidRPr="00F34F73">
        <w:rPr>
          <w:color w:val="FF0000"/>
        </w:rPr>
        <w:t xml:space="preserve">W. Zhang, Q. Wang, H. Wu, P. Wu, M. He, </w:t>
      </w:r>
      <w:r w:rsidR="007A492A" w:rsidRPr="00F34F73">
        <w:rPr>
          <w:i/>
          <w:color w:val="FF0000"/>
        </w:rPr>
        <w:t>Green Chem.</w:t>
      </w:r>
      <w:r w:rsidR="007A492A" w:rsidRPr="00F34F73">
        <w:rPr>
          <w:color w:val="FF0000"/>
        </w:rPr>
        <w:t xml:space="preserve"> </w:t>
      </w:r>
      <w:r w:rsidR="007A492A" w:rsidRPr="00F34F73">
        <w:rPr>
          <w:b/>
          <w:color w:val="FF0000"/>
        </w:rPr>
        <w:t>2014</w:t>
      </w:r>
      <w:r w:rsidR="007A492A" w:rsidRPr="00F34F73">
        <w:rPr>
          <w:color w:val="FF0000"/>
        </w:rPr>
        <w:t xml:space="preserve">, </w:t>
      </w:r>
      <w:r w:rsidR="007A492A" w:rsidRPr="00F34F73">
        <w:rPr>
          <w:i/>
          <w:color w:val="FF0000"/>
        </w:rPr>
        <w:t>16</w:t>
      </w:r>
      <w:r w:rsidR="007A492A" w:rsidRPr="00F34F73">
        <w:rPr>
          <w:color w:val="FF0000"/>
        </w:rPr>
        <w:t>, 4767–4774.</w:t>
      </w:r>
    </w:p>
    <w:p w:rsidR="001B2823" w:rsidRPr="00F34F73" w:rsidRDefault="001B2823" w:rsidP="007A492A">
      <w:pPr>
        <w:pStyle w:val="References"/>
        <w:ind w:left="372" w:hanging="372"/>
        <w:rPr>
          <w:rFonts w:cs="Calibri"/>
          <w:noProof/>
          <w:color w:val="FF0000"/>
          <w:szCs w:val="20"/>
        </w:rPr>
      </w:pPr>
      <w:r w:rsidRPr="00F34F73">
        <w:rPr>
          <w:rFonts w:cs="Calibri"/>
          <w:noProof/>
          <w:color w:val="FF0000"/>
          <w:szCs w:val="20"/>
        </w:rPr>
        <w:t>[29]</w:t>
      </w:r>
      <w:r w:rsidR="007A492A" w:rsidRPr="00F34F73">
        <w:rPr>
          <w:rFonts w:cs="Calibri"/>
          <w:noProof/>
          <w:color w:val="FF0000"/>
          <w:szCs w:val="20"/>
        </w:rPr>
        <w:tab/>
      </w:r>
      <w:r w:rsidR="007A492A" w:rsidRPr="00F34F73">
        <w:rPr>
          <w:color w:val="FF0000"/>
        </w:rPr>
        <w:t xml:space="preserve">B. Chatelet, L. Joucla, J.-P. Dutasta, A. Martinez, V. Dufaud, </w:t>
      </w:r>
      <w:r w:rsidR="007A492A" w:rsidRPr="00F34F73">
        <w:rPr>
          <w:i/>
          <w:color w:val="FF0000"/>
        </w:rPr>
        <w:t>J. Mater. Chem. A</w:t>
      </w:r>
      <w:r w:rsidR="007A492A" w:rsidRPr="00F34F73">
        <w:rPr>
          <w:color w:val="FF0000"/>
        </w:rPr>
        <w:t xml:space="preserve"> </w:t>
      </w:r>
      <w:r w:rsidR="007A492A" w:rsidRPr="00F34F73">
        <w:rPr>
          <w:b/>
          <w:color w:val="FF0000"/>
        </w:rPr>
        <w:t>2014</w:t>
      </w:r>
      <w:r w:rsidR="007A492A" w:rsidRPr="00F34F73">
        <w:rPr>
          <w:color w:val="FF0000"/>
        </w:rPr>
        <w:t xml:space="preserve">, </w:t>
      </w:r>
      <w:r w:rsidR="007A492A" w:rsidRPr="00F34F73">
        <w:rPr>
          <w:i/>
          <w:color w:val="FF0000"/>
        </w:rPr>
        <w:t>2</w:t>
      </w:r>
      <w:r w:rsidR="007A492A" w:rsidRPr="00F34F73">
        <w:rPr>
          <w:color w:val="FF0000"/>
        </w:rPr>
        <w:t>, 14164–14172.</w:t>
      </w:r>
    </w:p>
    <w:p w:rsidR="001B2823" w:rsidRPr="00F34F73" w:rsidRDefault="001B2823" w:rsidP="00F34F73">
      <w:pPr>
        <w:pStyle w:val="References"/>
        <w:ind w:left="372" w:hanging="372"/>
        <w:rPr>
          <w:rFonts w:cs="Calibri"/>
          <w:noProof/>
          <w:color w:val="FF0000"/>
          <w:szCs w:val="20"/>
        </w:rPr>
      </w:pPr>
      <w:r w:rsidRPr="00F34F73">
        <w:rPr>
          <w:rFonts w:cs="Calibri"/>
          <w:noProof/>
          <w:color w:val="FF0000"/>
          <w:szCs w:val="20"/>
        </w:rPr>
        <w:lastRenderedPageBreak/>
        <w:t>[30]</w:t>
      </w:r>
      <w:r w:rsidR="007A492A" w:rsidRPr="00F34F73">
        <w:rPr>
          <w:rFonts w:cs="Calibri"/>
          <w:noProof/>
          <w:color w:val="FF0000"/>
          <w:szCs w:val="20"/>
        </w:rPr>
        <w:tab/>
      </w:r>
      <w:r w:rsidR="007A492A" w:rsidRPr="00F34F73">
        <w:rPr>
          <w:color w:val="FF0000"/>
        </w:rPr>
        <w:t>S. Verma, R. I. Kureshy, T. Roy, M. Kumar, A. Das, N.-ul H. Khan, S. H.R. Abdi, H. C. Bajaj,</w:t>
      </w:r>
      <w:r w:rsidR="00F34F73" w:rsidRPr="00F34F73">
        <w:rPr>
          <w:color w:val="FF0000"/>
        </w:rPr>
        <w:t xml:space="preserve"> </w:t>
      </w:r>
      <w:r w:rsidR="00F34F73" w:rsidRPr="00F34F73">
        <w:rPr>
          <w:i/>
          <w:color w:val="FF0000"/>
        </w:rPr>
        <w:t>Catal. Commun.</w:t>
      </w:r>
      <w:r w:rsidR="00F34F73" w:rsidRPr="00F34F73">
        <w:rPr>
          <w:color w:val="FF0000"/>
        </w:rPr>
        <w:t xml:space="preserve"> </w:t>
      </w:r>
      <w:r w:rsidR="00F34F73" w:rsidRPr="00F34F73">
        <w:rPr>
          <w:b/>
          <w:color w:val="FF0000"/>
        </w:rPr>
        <w:t>2015</w:t>
      </w:r>
      <w:r w:rsidR="00F34F73" w:rsidRPr="00F34F73">
        <w:rPr>
          <w:color w:val="FF0000"/>
        </w:rPr>
        <w:t xml:space="preserve">, </w:t>
      </w:r>
      <w:r w:rsidR="00F34F73" w:rsidRPr="00F34F73">
        <w:rPr>
          <w:i/>
          <w:color w:val="FF0000"/>
        </w:rPr>
        <w:t>61</w:t>
      </w:r>
      <w:r w:rsidR="00F34F73" w:rsidRPr="00F34F73">
        <w:rPr>
          <w:color w:val="FF0000"/>
        </w:rPr>
        <w:t>, 78–82.</w:t>
      </w:r>
    </w:p>
    <w:p w:rsidR="001B2823" w:rsidRPr="00F34F73" w:rsidRDefault="001B2823" w:rsidP="00F34F73">
      <w:pPr>
        <w:pStyle w:val="References"/>
        <w:ind w:left="372" w:hanging="372"/>
        <w:rPr>
          <w:rFonts w:cs="Calibri"/>
          <w:noProof/>
          <w:color w:val="FF0000"/>
          <w:szCs w:val="20"/>
        </w:rPr>
      </w:pPr>
      <w:r w:rsidRPr="00F34F73">
        <w:rPr>
          <w:rFonts w:cs="Calibri"/>
          <w:noProof/>
          <w:color w:val="FF0000"/>
          <w:szCs w:val="20"/>
        </w:rPr>
        <w:t>[31]</w:t>
      </w:r>
      <w:r w:rsidR="00F34F73" w:rsidRPr="00F34F73">
        <w:rPr>
          <w:rFonts w:cs="Calibri"/>
          <w:noProof/>
          <w:color w:val="FF0000"/>
          <w:szCs w:val="20"/>
        </w:rPr>
        <w:tab/>
      </w:r>
      <w:r w:rsidR="00F34F73" w:rsidRPr="00F34F73">
        <w:rPr>
          <w:color w:val="FF0000"/>
        </w:rPr>
        <w:t>J. Steinbauer, L. Longwitz, M. Frank, J. Epping, U. Kragl, T. Werner,</w:t>
      </w:r>
      <w:r w:rsidR="00F34F73" w:rsidRPr="00F34F73">
        <w:rPr>
          <w:i/>
          <w:color w:val="FF0000"/>
        </w:rPr>
        <w:t xml:space="preserve"> Green Chem.</w:t>
      </w:r>
      <w:r w:rsidR="00F34F73" w:rsidRPr="00F34F73">
        <w:rPr>
          <w:color w:val="FF0000"/>
        </w:rPr>
        <w:t xml:space="preserve"> </w:t>
      </w:r>
      <w:r w:rsidR="00F34F73" w:rsidRPr="00F34F73">
        <w:rPr>
          <w:b/>
          <w:color w:val="FF0000"/>
        </w:rPr>
        <w:t>2017</w:t>
      </w:r>
      <w:r w:rsidR="00F34F73" w:rsidRPr="00F34F73">
        <w:rPr>
          <w:color w:val="FF0000"/>
        </w:rPr>
        <w:t xml:space="preserve">, </w:t>
      </w:r>
      <w:r w:rsidR="00F34F73" w:rsidRPr="00F34F73">
        <w:rPr>
          <w:i/>
          <w:color w:val="FF0000"/>
        </w:rPr>
        <w:t>19</w:t>
      </w:r>
      <w:r w:rsidR="00F34F73" w:rsidRPr="00F34F73">
        <w:rPr>
          <w:color w:val="FF0000"/>
        </w:rPr>
        <w:t>, 4435–4445.</w:t>
      </w:r>
    </w:p>
    <w:p w:rsidR="001B2823" w:rsidRPr="00F34F73" w:rsidRDefault="001B2823" w:rsidP="005553B8">
      <w:pPr>
        <w:pStyle w:val="References"/>
        <w:rPr>
          <w:rFonts w:cs="Calibri"/>
          <w:noProof/>
          <w:color w:val="FF0000"/>
          <w:szCs w:val="20"/>
        </w:rPr>
      </w:pPr>
      <w:r w:rsidRPr="00F34F73">
        <w:rPr>
          <w:rFonts w:cs="Calibri"/>
          <w:noProof/>
          <w:color w:val="FF0000"/>
          <w:szCs w:val="20"/>
        </w:rPr>
        <w:t>[32]</w:t>
      </w:r>
      <w:r w:rsidR="00F34F73" w:rsidRPr="00F34F73">
        <w:rPr>
          <w:rFonts w:cs="Calibri"/>
          <w:noProof/>
          <w:color w:val="FF0000"/>
          <w:szCs w:val="20"/>
        </w:rPr>
        <w:tab/>
      </w:r>
      <w:r w:rsidR="00F34F73" w:rsidRPr="00F34F73">
        <w:rPr>
          <w:color w:val="FF0000"/>
        </w:rPr>
        <w:t>M. H. Kim, T. Song, U. R. Seo, J. E. Park, K. Cho, S. M. Lee, H. J. Kim, Y.-J. Ko, Y. K. Chung, S. U. Son,</w:t>
      </w:r>
      <w:r w:rsidR="00F34F73" w:rsidRPr="00F34F73">
        <w:rPr>
          <w:i/>
          <w:color w:val="FF0000"/>
        </w:rPr>
        <w:t xml:space="preserve"> J. Mater. Chem. A</w:t>
      </w:r>
      <w:r w:rsidR="00F34F73" w:rsidRPr="00F34F73">
        <w:rPr>
          <w:color w:val="FF0000"/>
        </w:rPr>
        <w:t xml:space="preserve"> </w:t>
      </w:r>
      <w:r w:rsidR="00F34F73" w:rsidRPr="00F34F73">
        <w:rPr>
          <w:b/>
          <w:color w:val="FF0000"/>
        </w:rPr>
        <w:t>2017</w:t>
      </w:r>
      <w:r w:rsidR="00F34F73" w:rsidRPr="00F34F73">
        <w:rPr>
          <w:color w:val="FF0000"/>
        </w:rPr>
        <w:t xml:space="preserve">, </w:t>
      </w:r>
      <w:r w:rsidR="00F34F73" w:rsidRPr="00F34F73">
        <w:rPr>
          <w:i/>
          <w:color w:val="FF0000"/>
        </w:rPr>
        <w:t>5</w:t>
      </w:r>
      <w:r w:rsidR="00F34F73" w:rsidRPr="00F34F73">
        <w:rPr>
          <w:color w:val="FF0000"/>
        </w:rPr>
        <w:t>, 23612–23619.</w:t>
      </w:r>
    </w:p>
    <w:p w:rsidR="002F3505" w:rsidRDefault="00EF084C" w:rsidP="00EF084C">
      <w:pPr>
        <w:pStyle w:val="References"/>
        <w:ind w:left="420" w:hanging="420"/>
        <w:rPr>
          <w:rFonts w:cs="Calibri"/>
          <w:noProof/>
          <w:szCs w:val="20"/>
        </w:rPr>
      </w:pPr>
      <w:r>
        <w:rPr>
          <w:rFonts w:cs="Calibri"/>
          <w:noProof/>
          <w:szCs w:val="20"/>
        </w:rPr>
        <w:t>[33]</w:t>
      </w:r>
      <w:r>
        <w:rPr>
          <w:rFonts w:cs="Calibri"/>
          <w:noProof/>
          <w:szCs w:val="20"/>
        </w:rPr>
        <w:tab/>
      </w:r>
      <w:r w:rsidR="002F3505" w:rsidRPr="002F3505">
        <w:rPr>
          <w:rFonts w:cs="Calibri"/>
          <w:noProof/>
          <w:szCs w:val="20"/>
        </w:rPr>
        <w:t xml:space="preserve">A. Vinu, N. Gokulakrishnan, V. V. Balasubramanian, S. </w:t>
      </w:r>
      <w:r w:rsidR="002F3505">
        <w:rPr>
          <w:rFonts w:cs="Calibri"/>
          <w:noProof/>
          <w:szCs w:val="20"/>
        </w:rPr>
        <w:t>Alam, M. P. Kapoor, K. Ariga,</w:t>
      </w:r>
      <w:r w:rsidR="002F3505" w:rsidRPr="002F3505">
        <w:rPr>
          <w:rFonts w:cs="Calibri"/>
          <w:noProof/>
          <w:szCs w:val="20"/>
        </w:rPr>
        <w:t xml:space="preserve"> T. Mori, </w:t>
      </w:r>
      <w:r w:rsidR="002F3505" w:rsidRPr="002F3505">
        <w:rPr>
          <w:rFonts w:cs="Calibri"/>
          <w:i/>
          <w:noProof/>
          <w:szCs w:val="20"/>
        </w:rPr>
        <w:t>Chem. Eur. J.</w:t>
      </w:r>
      <w:r w:rsidR="002F3505" w:rsidRPr="002F3505">
        <w:rPr>
          <w:rFonts w:cs="Calibri"/>
          <w:noProof/>
          <w:szCs w:val="20"/>
        </w:rPr>
        <w:t xml:space="preserve"> </w:t>
      </w:r>
      <w:r w:rsidR="002F3505" w:rsidRPr="002F3505">
        <w:rPr>
          <w:rFonts w:cs="Calibri"/>
          <w:b/>
          <w:noProof/>
          <w:szCs w:val="20"/>
        </w:rPr>
        <w:t>2008</w:t>
      </w:r>
      <w:r w:rsidR="002F3505" w:rsidRPr="002F3505">
        <w:rPr>
          <w:rFonts w:cs="Calibri"/>
          <w:noProof/>
          <w:szCs w:val="20"/>
        </w:rPr>
        <w:t xml:space="preserve">, </w:t>
      </w:r>
      <w:r w:rsidR="002F3505" w:rsidRPr="002F3505">
        <w:rPr>
          <w:rFonts w:cs="Calibri"/>
          <w:i/>
          <w:noProof/>
          <w:szCs w:val="20"/>
        </w:rPr>
        <w:t>14</w:t>
      </w:r>
      <w:r w:rsidR="002F3505" w:rsidRPr="002F3505">
        <w:rPr>
          <w:rFonts w:cs="Calibri"/>
          <w:noProof/>
          <w:szCs w:val="20"/>
        </w:rPr>
        <w:t>, 11529</w:t>
      </w:r>
      <w:r w:rsidR="002F3505">
        <w:rPr>
          <w:rFonts w:cs="Calibri"/>
          <w:noProof/>
          <w:szCs w:val="20"/>
        </w:rPr>
        <w:t>–</w:t>
      </w:r>
      <w:r w:rsidR="002F3505" w:rsidRPr="002F3505">
        <w:rPr>
          <w:rFonts w:cs="Calibri"/>
          <w:noProof/>
          <w:szCs w:val="20"/>
        </w:rPr>
        <w:t>11538.</w:t>
      </w:r>
    </w:p>
    <w:p w:rsidR="002F3505" w:rsidRDefault="002F3505" w:rsidP="00EF084C">
      <w:pPr>
        <w:pStyle w:val="References"/>
        <w:ind w:left="420" w:hanging="420"/>
        <w:rPr>
          <w:rFonts w:cs="Calibri"/>
          <w:noProof/>
          <w:szCs w:val="20"/>
        </w:rPr>
      </w:pPr>
      <w:r>
        <w:rPr>
          <w:rFonts w:cs="Calibri"/>
          <w:noProof/>
          <w:szCs w:val="20"/>
        </w:rPr>
        <w:t>[</w:t>
      </w:r>
      <w:r w:rsidR="00EF084C">
        <w:rPr>
          <w:rFonts w:cs="Calibri"/>
          <w:noProof/>
          <w:szCs w:val="20"/>
        </w:rPr>
        <w:t>34]</w:t>
      </w:r>
      <w:r w:rsidR="00EF084C">
        <w:rPr>
          <w:rFonts w:cs="Calibri"/>
          <w:noProof/>
          <w:szCs w:val="20"/>
        </w:rPr>
        <w:tab/>
      </w:r>
      <w:r>
        <w:rPr>
          <w:rFonts w:cs="Calibri"/>
          <w:noProof/>
          <w:szCs w:val="20"/>
        </w:rPr>
        <w:t>S. K. Kundu, J. Mondal,</w:t>
      </w:r>
      <w:r w:rsidRPr="002F3505">
        <w:rPr>
          <w:rFonts w:cs="Calibri"/>
          <w:noProof/>
          <w:szCs w:val="20"/>
        </w:rPr>
        <w:t xml:space="preserve"> A. Bhaumik, </w:t>
      </w:r>
      <w:r w:rsidRPr="002F3505">
        <w:rPr>
          <w:rFonts w:cs="Calibri"/>
          <w:i/>
          <w:noProof/>
          <w:szCs w:val="20"/>
        </w:rPr>
        <w:t>Dalton Trans.</w:t>
      </w:r>
      <w:r w:rsidRPr="002F3505">
        <w:rPr>
          <w:rFonts w:cs="Calibri"/>
          <w:noProof/>
          <w:szCs w:val="20"/>
        </w:rPr>
        <w:t xml:space="preserve"> </w:t>
      </w:r>
      <w:r w:rsidRPr="002F3505">
        <w:rPr>
          <w:rFonts w:cs="Calibri"/>
          <w:b/>
          <w:noProof/>
          <w:szCs w:val="20"/>
        </w:rPr>
        <w:t>2013</w:t>
      </w:r>
      <w:r w:rsidRPr="002F3505">
        <w:rPr>
          <w:rFonts w:cs="Calibri"/>
          <w:noProof/>
          <w:szCs w:val="20"/>
        </w:rPr>
        <w:t xml:space="preserve">, </w:t>
      </w:r>
      <w:r w:rsidRPr="002F3505">
        <w:rPr>
          <w:rFonts w:cs="Calibri"/>
          <w:i/>
          <w:noProof/>
          <w:szCs w:val="20"/>
        </w:rPr>
        <w:t>42</w:t>
      </w:r>
      <w:r w:rsidRPr="002F3505">
        <w:rPr>
          <w:rFonts w:cs="Calibri"/>
          <w:noProof/>
          <w:szCs w:val="20"/>
        </w:rPr>
        <w:t>, 10515</w:t>
      </w:r>
      <w:r>
        <w:rPr>
          <w:rFonts w:cs="Calibri"/>
          <w:noProof/>
          <w:szCs w:val="20"/>
        </w:rPr>
        <w:t>–</w:t>
      </w:r>
      <w:r w:rsidRPr="002F3505">
        <w:rPr>
          <w:rFonts w:cs="Calibri"/>
          <w:noProof/>
          <w:szCs w:val="20"/>
        </w:rPr>
        <w:t>10524.</w:t>
      </w:r>
    </w:p>
    <w:p w:rsidR="002F3505" w:rsidRDefault="002F3505" w:rsidP="00EF084C">
      <w:pPr>
        <w:pStyle w:val="References"/>
        <w:ind w:left="420" w:hanging="420"/>
        <w:rPr>
          <w:rFonts w:cs="Calibri"/>
          <w:noProof/>
          <w:szCs w:val="20"/>
        </w:rPr>
      </w:pPr>
      <w:r>
        <w:rPr>
          <w:rFonts w:cs="Calibri"/>
          <w:noProof/>
          <w:szCs w:val="20"/>
        </w:rPr>
        <w:t>[</w:t>
      </w:r>
      <w:r w:rsidR="00EF084C">
        <w:rPr>
          <w:rFonts w:cs="Calibri"/>
          <w:noProof/>
          <w:szCs w:val="20"/>
        </w:rPr>
        <w:t>35]</w:t>
      </w:r>
      <w:r w:rsidR="00EF084C">
        <w:rPr>
          <w:rFonts w:cs="Calibri"/>
          <w:noProof/>
          <w:szCs w:val="20"/>
        </w:rPr>
        <w:tab/>
      </w:r>
      <w:r w:rsidRPr="002F3505">
        <w:rPr>
          <w:rFonts w:cs="Calibri"/>
          <w:noProof/>
          <w:szCs w:val="20"/>
        </w:rPr>
        <w:t xml:space="preserve">J. P. </w:t>
      </w:r>
      <w:r>
        <w:rPr>
          <w:rFonts w:cs="Calibri"/>
          <w:noProof/>
          <w:szCs w:val="20"/>
        </w:rPr>
        <w:t>Dacquin, A. F. Lee, C. Pirez,</w:t>
      </w:r>
      <w:r w:rsidRPr="002F3505">
        <w:rPr>
          <w:rFonts w:cs="Calibri"/>
          <w:noProof/>
          <w:szCs w:val="20"/>
        </w:rPr>
        <w:t xml:space="preserve"> K. Wilson, </w:t>
      </w:r>
      <w:r w:rsidRPr="002F3505">
        <w:rPr>
          <w:rFonts w:cs="Calibri"/>
          <w:i/>
          <w:noProof/>
          <w:szCs w:val="20"/>
        </w:rPr>
        <w:t>Chem. Commun.</w:t>
      </w:r>
      <w:r w:rsidRPr="002F3505">
        <w:rPr>
          <w:rFonts w:cs="Calibri"/>
          <w:noProof/>
          <w:szCs w:val="20"/>
        </w:rPr>
        <w:t xml:space="preserve"> </w:t>
      </w:r>
      <w:r w:rsidRPr="002F3505">
        <w:rPr>
          <w:rFonts w:cs="Calibri"/>
          <w:b/>
          <w:noProof/>
          <w:szCs w:val="20"/>
        </w:rPr>
        <w:t>2012</w:t>
      </w:r>
      <w:r w:rsidRPr="002F3505">
        <w:rPr>
          <w:rFonts w:cs="Calibri"/>
          <w:noProof/>
          <w:szCs w:val="20"/>
        </w:rPr>
        <w:t xml:space="preserve">, </w:t>
      </w:r>
      <w:r w:rsidRPr="002F3505">
        <w:rPr>
          <w:rFonts w:cs="Calibri"/>
          <w:i/>
          <w:noProof/>
          <w:szCs w:val="20"/>
        </w:rPr>
        <w:t>48</w:t>
      </w:r>
      <w:r w:rsidRPr="002F3505">
        <w:rPr>
          <w:rFonts w:cs="Calibri"/>
          <w:noProof/>
          <w:szCs w:val="20"/>
        </w:rPr>
        <w:t>, 212</w:t>
      </w:r>
      <w:r>
        <w:rPr>
          <w:rFonts w:cs="Calibri"/>
          <w:noProof/>
          <w:szCs w:val="20"/>
        </w:rPr>
        <w:t>–</w:t>
      </w:r>
      <w:r w:rsidRPr="002F3505">
        <w:rPr>
          <w:rFonts w:cs="Calibri"/>
          <w:noProof/>
          <w:szCs w:val="20"/>
        </w:rPr>
        <w:t>214.</w:t>
      </w:r>
    </w:p>
    <w:p w:rsidR="002F3505" w:rsidRDefault="002F3505" w:rsidP="00EF084C">
      <w:pPr>
        <w:pStyle w:val="References"/>
        <w:ind w:left="420" w:hanging="420"/>
        <w:rPr>
          <w:rFonts w:cs="Calibri"/>
          <w:noProof/>
          <w:szCs w:val="20"/>
        </w:rPr>
      </w:pPr>
      <w:r>
        <w:rPr>
          <w:rFonts w:cs="Calibri"/>
          <w:noProof/>
          <w:szCs w:val="20"/>
        </w:rPr>
        <w:t>[</w:t>
      </w:r>
      <w:r w:rsidR="00EF084C">
        <w:rPr>
          <w:rFonts w:cs="Calibri"/>
          <w:noProof/>
          <w:szCs w:val="20"/>
        </w:rPr>
        <w:t>36</w:t>
      </w:r>
      <w:r>
        <w:rPr>
          <w:rFonts w:cs="Calibri"/>
          <w:noProof/>
          <w:szCs w:val="20"/>
        </w:rPr>
        <w:t>]</w:t>
      </w:r>
      <w:r w:rsidR="00EF084C">
        <w:rPr>
          <w:rFonts w:cs="Calibri"/>
          <w:noProof/>
          <w:sz w:val="18"/>
          <w:szCs w:val="18"/>
        </w:rPr>
        <w:tab/>
      </w:r>
      <w:r w:rsidRPr="002F3505">
        <w:rPr>
          <w:rFonts w:cs="Calibri"/>
          <w:noProof/>
          <w:szCs w:val="20"/>
        </w:rPr>
        <w:t>J. Sun, Q. Kan, Z. Li, G.</w:t>
      </w:r>
      <w:r w:rsidR="00172830">
        <w:rPr>
          <w:rFonts w:cs="Calibri"/>
          <w:noProof/>
          <w:szCs w:val="20"/>
        </w:rPr>
        <w:t xml:space="preserve"> Yu, H. Liu, X. Yang, Q. Huo,</w:t>
      </w:r>
      <w:r w:rsidRPr="002F3505">
        <w:rPr>
          <w:rFonts w:cs="Calibri"/>
          <w:noProof/>
          <w:szCs w:val="20"/>
        </w:rPr>
        <w:t xml:space="preserve"> J. Guan, </w:t>
      </w:r>
      <w:r w:rsidRPr="002F3505">
        <w:rPr>
          <w:rFonts w:cs="Calibri"/>
          <w:i/>
          <w:noProof/>
          <w:szCs w:val="20"/>
        </w:rPr>
        <w:t>RSC Advances</w:t>
      </w:r>
      <w:r w:rsidRPr="002F3505">
        <w:rPr>
          <w:rFonts w:cs="Calibri"/>
          <w:noProof/>
          <w:szCs w:val="20"/>
        </w:rPr>
        <w:t xml:space="preserve"> </w:t>
      </w:r>
      <w:r w:rsidRPr="00172830">
        <w:rPr>
          <w:rFonts w:cs="Calibri"/>
          <w:b/>
          <w:noProof/>
          <w:szCs w:val="20"/>
        </w:rPr>
        <w:t>2014</w:t>
      </w:r>
      <w:r w:rsidRPr="002F3505">
        <w:rPr>
          <w:rFonts w:cs="Calibri"/>
          <w:noProof/>
          <w:szCs w:val="20"/>
        </w:rPr>
        <w:t xml:space="preserve">, </w:t>
      </w:r>
      <w:r w:rsidRPr="00172830">
        <w:rPr>
          <w:rFonts w:cs="Calibri"/>
          <w:i/>
          <w:noProof/>
          <w:szCs w:val="20"/>
        </w:rPr>
        <w:t>4</w:t>
      </w:r>
      <w:r w:rsidRPr="002F3505">
        <w:rPr>
          <w:rFonts w:cs="Calibri"/>
          <w:noProof/>
          <w:szCs w:val="20"/>
        </w:rPr>
        <w:t>, 2310</w:t>
      </w:r>
      <w:r w:rsidR="00172830">
        <w:rPr>
          <w:rFonts w:cs="Calibri"/>
          <w:noProof/>
          <w:szCs w:val="20"/>
        </w:rPr>
        <w:t>–</w:t>
      </w:r>
      <w:r w:rsidRPr="002F3505">
        <w:rPr>
          <w:rFonts w:cs="Calibri"/>
          <w:noProof/>
          <w:szCs w:val="20"/>
        </w:rPr>
        <w:t>2317.</w:t>
      </w:r>
    </w:p>
    <w:p w:rsidR="002F3505" w:rsidRDefault="002F3505" w:rsidP="00EF084C">
      <w:pPr>
        <w:pStyle w:val="References"/>
        <w:ind w:left="372" w:hanging="372"/>
        <w:rPr>
          <w:rFonts w:cs="Calibri"/>
          <w:noProof/>
          <w:szCs w:val="20"/>
        </w:rPr>
      </w:pPr>
      <w:r>
        <w:rPr>
          <w:rFonts w:cs="Calibri"/>
          <w:noProof/>
          <w:szCs w:val="20"/>
        </w:rPr>
        <w:t>[</w:t>
      </w:r>
      <w:r w:rsidR="00EF084C">
        <w:rPr>
          <w:rFonts w:cs="Calibri"/>
          <w:noProof/>
          <w:szCs w:val="20"/>
        </w:rPr>
        <w:t>37</w:t>
      </w:r>
      <w:r>
        <w:rPr>
          <w:rFonts w:cs="Calibri"/>
          <w:noProof/>
          <w:szCs w:val="20"/>
        </w:rPr>
        <w:t>]</w:t>
      </w:r>
      <w:r w:rsidR="00EF084C">
        <w:rPr>
          <w:rFonts w:cs="Calibri"/>
          <w:noProof/>
          <w:sz w:val="18"/>
          <w:szCs w:val="18"/>
        </w:rPr>
        <w:tab/>
      </w:r>
      <w:r w:rsidR="00172830" w:rsidRPr="00172830">
        <w:rPr>
          <w:rFonts w:cs="Calibri"/>
          <w:noProof/>
          <w:szCs w:val="20"/>
        </w:rPr>
        <w:t xml:space="preserve">M. Thommes, K. Kaneko, A. V. Neimark, J. P. Oliver, F. Rodriguez-Reinoso, J. Rouquerol, K. S. W. Sing, </w:t>
      </w:r>
      <w:r w:rsidR="00172830" w:rsidRPr="00172830">
        <w:rPr>
          <w:rFonts w:cs="Calibri"/>
          <w:i/>
          <w:noProof/>
          <w:szCs w:val="20"/>
        </w:rPr>
        <w:t>Pure Appl. Chem</w:t>
      </w:r>
      <w:r w:rsidR="00172830">
        <w:rPr>
          <w:rFonts w:cs="Calibri"/>
          <w:noProof/>
          <w:szCs w:val="20"/>
        </w:rPr>
        <w:t>.</w:t>
      </w:r>
      <w:r w:rsidR="00172830" w:rsidRPr="00172830">
        <w:rPr>
          <w:rFonts w:cs="Calibri"/>
          <w:noProof/>
          <w:szCs w:val="20"/>
        </w:rPr>
        <w:t xml:space="preserve"> </w:t>
      </w:r>
      <w:r w:rsidR="00172830" w:rsidRPr="00172830">
        <w:rPr>
          <w:rFonts w:cs="Calibri"/>
          <w:b/>
          <w:noProof/>
          <w:szCs w:val="20"/>
        </w:rPr>
        <w:t>2015</w:t>
      </w:r>
      <w:r w:rsidR="00172830" w:rsidRPr="00172830">
        <w:rPr>
          <w:rFonts w:cs="Calibri"/>
          <w:noProof/>
          <w:szCs w:val="20"/>
        </w:rPr>
        <w:t xml:space="preserve">, </w:t>
      </w:r>
      <w:r w:rsidR="00172830" w:rsidRPr="00172830">
        <w:rPr>
          <w:rFonts w:cs="Calibri"/>
          <w:i/>
          <w:noProof/>
          <w:szCs w:val="20"/>
        </w:rPr>
        <w:t>87</w:t>
      </w:r>
      <w:r w:rsidR="00172830" w:rsidRPr="00172830">
        <w:rPr>
          <w:rFonts w:cs="Calibri"/>
          <w:noProof/>
          <w:szCs w:val="20"/>
        </w:rPr>
        <w:t>, 1051</w:t>
      </w:r>
      <w:r w:rsidR="00172830">
        <w:rPr>
          <w:rFonts w:cs="Calibri"/>
          <w:noProof/>
          <w:szCs w:val="20"/>
        </w:rPr>
        <w:t>–</w:t>
      </w:r>
      <w:r w:rsidR="00172830" w:rsidRPr="00172830">
        <w:rPr>
          <w:rFonts w:cs="Calibri"/>
          <w:noProof/>
          <w:szCs w:val="20"/>
        </w:rPr>
        <w:t>1069.</w:t>
      </w:r>
    </w:p>
    <w:p w:rsidR="002F3505" w:rsidRDefault="002F3505" w:rsidP="00EF084C">
      <w:pPr>
        <w:pStyle w:val="References"/>
        <w:ind w:left="420" w:hanging="420"/>
        <w:rPr>
          <w:rFonts w:cs="Calibri"/>
          <w:noProof/>
          <w:szCs w:val="20"/>
        </w:rPr>
      </w:pPr>
      <w:r>
        <w:rPr>
          <w:rFonts w:cs="Calibri"/>
          <w:noProof/>
          <w:szCs w:val="20"/>
        </w:rPr>
        <w:t>[</w:t>
      </w:r>
      <w:r w:rsidR="00EF084C">
        <w:rPr>
          <w:rFonts w:cs="Calibri"/>
          <w:noProof/>
          <w:szCs w:val="20"/>
        </w:rPr>
        <w:t>38</w:t>
      </w:r>
      <w:r>
        <w:rPr>
          <w:rFonts w:cs="Calibri"/>
          <w:noProof/>
          <w:szCs w:val="20"/>
        </w:rPr>
        <w:t>]</w:t>
      </w:r>
      <w:r w:rsidR="00EF084C">
        <w:rPr>
          <w:rFonts w:cs="Calibri"/>
          <w:noProof/>
          <w:szCs w:val="20"/>
        </w:rPr>
        <w:tab/>
      </w:r>
      <w:r w:rsidR="00EF084C">
        <w:rPr>
          <w:rFonts w:cs="Calibri"/>
          <w:noProof/>
          <w:sz w:val="18"/>
          <w:szCs w:val="18"/>
        </w:rPr>
        <w:tab/>
      </w:r>
      <w:r w:rsidR="00172830">
        <w:rPr>
          <w:rFonts w:cs="Calibri"/>
          <w:noProof/>
          <w:szCs w:val="20"/>
        </w:rPr>
        <w:t>J. Melendez, M. North,</w:t>
      </w:r>
      <w:r w:rsidR="00172830" w:rsidRPr="00172830">
        <w:rPr>
          <w:rFonts w:cs="Calibri"/>
          <w:noProof/>
          <w:szCs w:val="20"/>
        </w:rPr>
        <w:t xml:space="preserve"> P. Villuendas, </w:t>
      </w:r>
      <w:r w:rsidR="00172830" w:rsidRPr="00172830">
        <w:rPr>
          <w:rFonts w:cs="Calibri"/>
          <w:i/>
          <w:noProof/>
          <w:szCs w:val="20"/>
        </w:rPr>
        <w:t>Chem. Commun</w:t>
      </w:r>
      <w:r w:rsidR="00172830">
        <w:rPr>
          <w:rFonts w:cs="Calibri"/>
          <w:noProof/>
          <w:szCs w:val="20"/>
        </w:rPr>
        <w:t>.</w:t>
      </w:r>
      <w:r w:rsidR="00172830" w:rsidRPr="00172830">
        <w:rPr>
          <w:rFonts w:cs="Calibri"/>
          <w:noProof/>
          <w:szCs w:val="20"/>
        </w:rPr>
        <w:t xml:space="preserve"> </w:t>
      </w:r>
      <w:r w:rsidR="00172830" w:rsidRPr="00172830">
        <w:rPr>
          <w:rFonts w:cs="Calibri"/>
          <w:b/>
          <w:noProof/>
          <w:szCs w:val="20"/>
        </w:rPr>
        <w:t>2009</w:t>
      </w:r>
      <w:r w:rsidR="00172830" w:rsidRPr="00172830">
        <w:rPr>
          <w:rFonts w:cs="Calibri"/>
          <w:noProof/>
          <w:szCs w:val="20"/>
        </w:rPr>
        <w:t>, 2577</w:t>
      </w:r>
      <w:r w:rsidR="00172830">
        <w:rPr>
          <w:rFonts w:cs="Calibri"/>
          <w:noProof/>
          <w:szCs w:val="20"/>
        </w:rPr>
        <w:t>–</w:t>
      </w:r>
      <w:r w:rsidR="00172830" w:rsidRPr="00172830">
        <w:rPr>
          <w:rFonts w:cs="Calibri"/>
          <w:noProof/>
          <w:szCs w:val="20"/>
        </w:rPr>
        <w:t>2579.</w:t>
      </w:r>
    </w:p>
    <w:p w:rsidR="002F3505" w:rsidRDefault="002F3505" w:rsidP="00EF084C">
      <w:pPr>
        <w:pStyle w:val="References"/>
        <w:ind w:left="420" w:hanging="420"/>
        <w:rPr>
          <w:rFonts w:cs="Calibri"/>
          <w:noProof/>
          <w:szCs w:val="20"/>
        </w:rPr>
      </w:pPr>
      <w:r>
        <w:rPr>
          <w:rFonts w:cs="Calibri"/>
          <w:noProof/>
          <w:szCs w:val="20"/>
        </w:rPr>
        <w:t>[3</w:t>
      </w:r>
      <w:r w:rsidR="00EF084C">
        <w:rPr>
          <w:rFonts w:cs="Calibri"/>
          <w:noProof/>
          <w:szCs w:val="20"/>
        </w:rPr>
        <w:t>9</w:t>
      </w:r>
      <w:r>
        <w:rPr>
          <w:rFonts w:cs="Calibri"/>
          <w:noProof/>
          <w:szCs w:val="20"/>
        </w:rPr>
        <w:t>]</w:t>
      </w:r>
      <w:r w:rsidR="00EF084C">
        <w:rPr>
          <w:rFonts w:cs="Calibri"/>
          <w:noProof/>
          <w:szCs w:val="20"/>
        </w:rPr>
        <w:tab/>
      </w:r>
      <w:r w:rsidR="00172830" w:rsidRPr="00172830">
        <w:rPr>
          <w:rFonts w:cs="Calibri"/>
          <w:noProof/>
          <w:szCs w:val="20"/>
        </w:rPr>
        <w:t>X. Chen, J. Jiang, F. Yan, S. Tia</w:t>
      </w:r>
      <w:r w:rsidR="00172830">
        <w:rPr>
          <w:rFonts w:cs="Calibri"/>
          <w:noProof/>
          <w:szCs w:val="20"/>
        </w:rPr>
        <w:t>n,</w:t>
      </w:r>
      <w:r w:rsidR="00172830" w:rsidRPr="00172830">
        <w:rPr>
          <w:rFonts w:cs="Calibri"/>
          <w:noProof/>
          <w:szCs w:val="20"/>
        </w:rPr>
        <w:t xml:space="preserve"> K. Li, </w:t>
      </w:r>
      <w:r w:rsidR="00172830" w:rsidRPr="00172830">
        <w:rPr>
          <w:rFonts w:cs="Calibri"/>
          <w:i/>
          <w:noProof/>
          <w:szCs w:val="20"/>
        </w:rPr>
        <w:t>RSC Advances</w:t>
      </w:r>
      <w:r w:rsidR="00172830" w:rsidRPr="00172830">
        <w:rPr>
          <w:rFonts w:cs="Calibri"/>
          <w:noProof/>
          <w:szCs w:val="20"/>
        </w:rPr>
        <w:t xml:space="preserve"> </w:t>
      </w:r>
      <w:r w:rsidR="00172830" w:rsidRPr="00172830">
        <w:rPr>
          <w:rFonts w:cs="Calibri"/>
          <w:b/>
          <w:noProof/>
          <w:szCs w:val="20"/>
        </w:rPr>
        <w:t>2014</w:t>
      </w:r>
      <w:r w:rsidR="00172830" w:rsidRPr="00172830">
        <w:rPr>
          <w:rFonts w:cs="Calibri"/>
          <w:noProof/>
          <w:szCs w:val="20"/>
        </w:rPr>
        <w:t xml:space="preserve">, </w:t>
      </w:r>
      <w:r w:rsidR="00172830" w:rsidRPr="00172830">
        <w:rPr>
          <w:rFonts w:cs="Calibri"/>
          <w:i/>
          <w:noProof/>
          <w:szCs w:val="20"/>
        </w:rPr>
        <w:t>4</w:t>
      </w:r>
      <w:r w:rsidR="00172830" w:rsidRPr="00172830">
        <w:rPr>
          <w:rFonts w:cs="Calibri"/>
          <w:noProof/>
          <w:szCs w:val="20"/>
        </w:rPr>
        <w:t>, 8703</w:t>
      </w:r>
      <w:r w:rsidR="00172830">
        <w:rPr>
          <w:rFonts w:cs="Calibri"/>
          <w:noProof/>
          <w:szCs w:val="20"/>
        </w:rPr>
        <w:t>–</w:t>
      </w:r>
      <w:r w:rsidR="00172830" w:rsidRPr="00172830">
        <w:rPr>
          <w:rFonts w:cs="Calibri"/>
          <w:noProof/>
          <w:szCs w:val="20"/>
        </w:rPr>
        <w:t>8710.</w:t>
      </w:r>
    </w:p>
    <w:p w:rsidR="00916D11" w:rsidRDefault="00EF084C" w:rsidP="00EF084C">
      <w:pPr>
        <w:pStyle w:val="References"/>
        <w:ind w:left="420" w:hanging="420"/>
        <w:rPr>
          <w:rFonts w:cs="Calibri"/>
          <w:noProof/>
          <w:szCs w:val="20"/>
        </w:rPr>
      </w:pPr>
      <w:r>
        <w:rPr>
          <w:rFonts w:cs="Calibri"/>
          <w:noProof/>
          <w:szCs w:val="20"/>
        </w:rPr>
        <w:t>[40</w:t>
      </w:r>
      <w:r w:rsidR="002F3505">
        <w:rPr>
          <w:rFonts w:cs="Calibri"/>
          <w:noProof/>
          <w:szCs w:val="20"/>
        </w:rPr>
        <w:t>]</w:t>
      </w:r>
      <w:r>
        <w:rPr>
          <w:rFonts w:cs="Calibri"/>
          <w:noProof/>
          <w:szCs w:val="20"/>
        </w:rPr>
        <w:tab/>
      </w:r>
      <w:r w:rsidR="00172830" w:rsidRPr="00172830">
        <w:rPr>
          <w:rFonts w:cs="Calibri"/>
          <w:noProof/>
          <w:szCs w:val="20"/>
        </w:rPr>
        <w:t xml:space="preserve">S. Roy, P. Bhanja, </w:t>
      </w:r>
      <w:r w:rsidR="00172830">
        <w:rPr>
          <w:rFonts w:cs="Calibri"/>
          <w:noProof/>
          <w:szCs w:val="20"/>
        </w:rPr>
        <w:t>S. Safikul Islam, A. Bhaumik,</w:t>
      </w:r>
      <w:r w:rsidR="00172830" w:rsidRPr="00172830">
        <w:rPr>
          <w:rFonts w:cs="Calibri"/>
          <w:noProof/>
          <w:szCs w:val="20"/>
        </w:rPr>
        <w:t xml:space="preserve"> S. Manirul Islam, </w:t>
      </w:r>
      <w:r w:rsidR="00172830" w:rsidRPr="00172830">
        <w:rPr>
          <w:rFonts w:cs="Calibri"/>
          <w:i/>
          <w:noProof/>
          <w:szCs w:val="20"/>
        </w:rPr>
        <w:t>Chem. Commun.</w:t>
      </w:r>
      <w:r w:rsidR="00172830" w:rsidRPr="00172830">
        <w:rPr>
          <w:rFonts w:cs="Calibri"/>
          <w:noProof/>
          <w:szCs w:val="20"/>
        </w:rPr>
        <w:t xml:space="preserve"> </w:t>
      </w:r>
      <w:r w:rsidR="00172830" w:rsidRPr="00172830">
        <w:rPr>
          <w:rFonts w:cs="Calibri"/>
          <w:b/>
          <w:noProof/>
          <w:szCs w:val="20"/>
        </w:rPr>
        <w:t>2016</w:t>
      </w:r>
      <w:r w:rsidR="00172830" w:rsidRPr="00172830">
        <w:rPr>
          <w:rFonts w:cs="Calibri"/>
          <w:noProof/>
          <w:szCs w:val="20"/>
        </w:rPr>
        <w:t xml:space="preserve">, </w:t>
      </w:r>
      <w:r w:rsidR="00172830" w:rsidRPr="00172830">
        <w:rPr>
          <w:rFonts w:cs="Calibri"/>
          <w:i/>
          <w:noProof/>
          <w:szCs w:val="20"/>
        </w:rPr>
        <w:t>52</w:t>
      </w:r>
      <w:r w:rsidR="00172830" w:rsidRPr="00172830">
        <w:rPr>
          <w:rFonts w:cs="Calibri"/>
          <w:noProof/>
          <w:szCs w:val="20"/>
        </w:rPr>
        <w:t>, 1871</w:t>
      </w:r>
      <w:r w:rsidR="00172830">
        <w:rPr>
          <w:rFonts w:cs="Calibri"/>
          <w:noProof/>
          <w:szCs w:val="20"/>
        </w:rPr>
        <w:t>–</w:t>
      </w:r>
      <w:r w:rsidR="00172830" w:rsidRPr="00172830">
        <w:rPr>
          <w:rFonts w:cs="Calibri"/>
          <w:noProof/>
          <w:szCs w:val="20"/>
        </w:rPr>
        <w:t>1874.</w:t>
      </w:r>
    </w:p>
    <w:p w:rsidR="00C12339" w:rsidRPr="009F4BE0" w:rsidRDefault="00F5558B" w:rsidP="00C12339">
      <w:pPr>
        <w:pStyle w:val="References"/>
        <w:ind w:left="420" w:hanging="420"/>
        <w:rPr>
          <w:rFonts w:cs="Calibri"/>
          <w:noProof/>
          <w:color w:val="FF0000"/>
          <w:szCs w:val="20"/>
        </w:rPr>
      </w:pPr>
      <w:r w:rsidRPr="00F5558B">
        <w:rPr>
          <w:rFonts w:cs="Calibri"/>
          <w:noProof/>
          <w:color w:val="FF0000"/>
          <w:szCs w:val="20"/>
        </w:rPr>
        <w:t>[</w:t>
      </w:r>
      <w:r w:rsidRPr="00CA54DB">
        <w:rPr>
          <w:rFonts w:cs="Calibri"/>
          <w:noProof/>
          <w:color w:val="FF0000"/>
          <w:szCs w:val="20"/>
        </w:rPr>
        <w:t>41]</w:t>
      </w:r>
      <w:r w:rsidR="00A6157E" w:rsidRPr="00CA54DB">
        <w:rPr>
          <w:rFonts w:cs="Calibri"/>
          <w:noProof/>
          <w:color w:val="FF0000"/>
          <w:szCs w:val="20"/>
        </w:rPr>
        <w:tab/>
      </w:r>
      <w:r w:rsidR="009F4BE0">
        <w:rPr>
          <w:rFonts w:cs="Calibri"/>
          <w:noProof/>
          <w:color w:val="FF0000"/>
          <w:szCs w:val="20"/>
        </w:rPr>
        <w:t xml:space="preserve">D. W. Sindorf, G. E. Maciel, </w:t>
      </w:r>
      <w:r w:rsidR="009F4BE0">
        <w:rPr>
          <w:rFonts w:cs="Calibri"/>
          <w:i/>
          <w:noProof/>
          <w:color w:val="FF0000"/>
          <w:szCs w:val="20"/>
        </w:rPr>
        <w:t>J. Am. Chem. Soc.</w:t>
      </w:r>
      <w:r w:rsidR="009F4BE0">
        <w:rPr>
          <w:rFonts w:cs="Calibri"/>
          <w:noProof/>
          <w:color w:val="FF0000"/>
          <w:szCs w:val="20"/>
        </w:rPr>
        <w:t xml:space="preserve"> </w:t>
      </w:r>
      <w:r w:rsidR="009F4BE0">
        <w:rPr>
          <w:rFonts w:cs="Calibri"/>
          <w:b/>
          <w:noProof/>
          <w:color w:val="FF0000"/>
          <w:szCs w:val="20"/>
        </w:rPr>
        <w:t>1983</w:t>
      </w:r>
      <w:r w:rsidR="009F4BE0">
        <w:rPr>
          <w:rFonts w:cs="Calibri"/>
          <w:noProof/>
          <w:color w:val="FF0000"/>
          <w:szCs w:val="20"/>
        </w:rPr>
        <w:t xml:space="preserve">, </w:t>
      </w:r>
      <w:r w:rsidR="009F4BE0">
        <w:rPr>
          <w:rFonts w:cs="Calibri"/>
          <w:i/>
          <w:noProof/>
          <w:color w:val="FF0000"/>
          <w:szCs w:val="20"/>
        </w:rPr>
        <w:t>105</w:t>
      </w:r>
      <w:r w:rsidR="009F4BE0">
        <w:rPr>
          <w:rFonts w:cs="Calibri"/>
          <w:noProof/>
          <w:color w:val="FF0000"/>
          <w:szCs w:val="20"/>
        </w:rPr>
        <w:t>, 3767–3776.</w:t>
      </w:r>
    </w:p>
    <w:p w:rsidR="00F5558B" w:rsidRPr="00CA54DB" w:rsidRDefault="00C12339" w:rsidP="00EF084C">
      <w:pPr>
        <w:pStyle w:val="References"/>
        <w:ind w:left="420" w:hanging="420"/>
        <w:rPr>
          <w:rFonts w:cs="Calibri"/>
          <w:noProof/>
          <w:color w:val="FF0000"/>
          <w:szCs w:val="20"/>
        </w:rPr>
      </w:pPr>
      <w:r>
        <w:rPr>
          <w:color w:val="FF0000"/>
        </w:rPr>
        <w:t>[42]</w:t>
      </w:r>
      <w:r>
        <w:rPr>
          <w:color w:val="FF0000"/>
        </w:rPr>
        <w:tab/>
      </w:r>
      <w:r w:rsidR="00A6157E" w:rsidRPr="00CA54DB">
        <w:rPr>
          <w:color w:val="FF0000"/>
        </w:rPr>
        <w:t xml:space="preserve">J. A. Castro-Osma, M. North, X. Wu, </w:t>
      </w:r>
      <w:r w:rsidR="00A6157E" w:rsidRPr="00CA54DB">
        <w:rPr>
          <w:i/>
          <w:color w:val="FF0000"/>
        </w:rPr>
        <w:t>Chem. Eur. J.</w:t>
      </w:r>
      <w:r w:rsidR="00A6157E" w:rsidRPr="00CA54DB">
        <w:rPr>
          <w:color w:val="FF0000"/>
        </w:rPr>
        <w:t xml:space="preserve"> </w:t>
      </w:r>
      <w:r w:rsidR="00A6157E" w:rsidRPr="00CA54DB">
        <w:rPr>
          <w:b/>
          <w:color w:val="FF0000"/>
        </w:rPr>
        <w:t>2014</w:t>
      </w:r>
      <w:r w:rsidR="00A6157E" w:rsidRPr="00CA54DB">
        <w:rPr>
          <w:color w:val="FF0000"/>
        </w:rPr>
        <w:t xml:space="preserve">, </w:t>
      </w:r>
      <w:r w:rsidR="00A6157E" w:rsidRPr="00CA54DB">
        <w:rPr>
          <w:i/>
          <w:color w:val="FF0000"/>
        </w:rPr>
        <w:t>20</w:t>
      </w:r>
      <w:r w:rsidR="00A6157E" w:rsidRPr="00CA54DB">
        <w:rPr>
          <w:color w:val="FF0000"/>
        </w:rPr>
        <w:t>, 15005–15008.</w:t>
      </w:r>
    </w:p>
    <w:p w:rsidR="00F5558B" w:rsidRPr="00CA54DB" w:rsidRDefault="00F5558B" w:rsidP="00EF084C">
      <w:pPr>
        <w:pStyle w:val="References"/>
        <w:ind w:left="420" w:hanging="420"/>
        <w:rPr>
          <w:rFonts w:cs="Calibri"/>
          <w:noProof/>
          <w:color w:val="FF0000"/>
          <w:szCs w:val="20"/>
        </w:rPr>
      </w:pPr>
      <w:r w:rsidRPr="00CA54DB">
        <w:rPr>
          <w:rFonts w:cs="Calibri"/>
          <w:noProof/>
          <w:color w:val="FF0000"/>
          <w:szCs w:val="20"/>
        </w:rPr>
        <w:t>[4</w:t>
      </w:r>
      <w:r w:rsidR="00C12339">
        <w:rPr>
          <w:rFonts w:cs="Calibri"/>
          <w:noProof/>
          <w:color w:val="FF0000"/>
          <w:szCs w:val="20"/>
        </w:rPr>
        <w:t>3</w:t>
      </w:r>
      <w:r w:rsidRPr="00CA54DB">
        <w:rPr>
          <w:rFonts w:cs="Calibri"/>
          <w:noProof/>
          <w:color w:val="FF0000"/>
          <w:szCs w:val="20"/>
        </w:rPr>
        <w:t>]</w:t>
      </w:r>
      <w:r w:rsidR="00A6157E" w:rsidRPr="00CA54DB">
        <w:rPr>
          <w:rFonts w:cs="Calibri"/>
          <w:noProof/>
          <w:color w:val="FF0000"/>
          <w:szCs w:val="20"/>
        </w:rPr>
        <w:tab/>
      </w:r>
      <w:r w:rsidR="00A6157E" w:rsidRPr="00CA54DB">
        <w:rPr>
          <w:color w:val="FF0000"/>
        </w:rPr>
        <w:t xml:space="preserve">C. J. Whiteoak, E. Martin, M. M. Belmonte, J. Benet-Buchholz, A. W. Kleij, </w:t>
      </w:r>
      <w:r w:rsidR="00A6157E" w:rsidRPr="00CA54DB">
        <w:rPr>
          <w:i/>
          <w:color w:val="FF0000"/>
        </w:rPr>
        <w:t>Adv. Synth. Catal.</w:t>
      </w:r>
      <w:r w:rsidR="00A6157E" w:rsidRPr="00CA54DB">
        <w:rPr>
          <w:color w:val="FF0000"/>
        </w:rPr>
        <w:t xml:space="preserve"> </w:t>
      </w:r>
      <w:r w:rsidR="00A6157E" w:rsidRPr="00CA54DB">
        <w:rPr>
          <w:b/>
          <w:color w:val="FF0000"/>
        </w:rPr>
        <w:t>2012</w:t>
      </w:r>
      <w:r w:rsidR="00A6157E" w:rsidRPr="00CA54DB">
        <w:rPr>
          <w:color w:val="FF0000"/>
        </w:rPr>
        <w:t xml:space="preserve">, </w:t>
      </w:r>
      <w:r w:rsidR="00A6157E" w:rsidRPr="00CA54DB">
        <w:rPr>
          <w:i/>
          <w:color w:val="FF0000"/>
        </w:rPr>
        <w:t>354</w:t>
      </w:r>
      <w:r w:rsidR="00A6157E" w:rsidRPr="00CA54DB">
        <w:rPr>
          <w:color w:val="FF0000"/>
        </w:rPr>
        <w:t>, 469–476.</w:t>
      </w:r>
    </w:p>
    <w:p w:rsidR="00F5558B" w:rsidRPr="00CA54DB" w:rsidRDefault="00F5558B" w:rsidP="00EF084C">
      <w:pPr>
        <w:pStyle w:val="References"/>
        <w:ind w:left="420" w:hanging="420"/>
        <w:rPr>
          <w:rFonts w:cs="Calibri"/>
          <w:noProof/>
          <w:color w:val="FF0000"/>
          <w:szCs w:val="20"/>
        </w:rPr>
      </w:pPr>
      <w:r w:rsidRPr="00CA54DB">
        <w:rPr>
          <w:rFonts w:cs="Calibri"/>
          <w:noProof/>
          <w:color w:val="FF0000"/>
          <w:szCs w:val="20"/>
        </w:rPr>
        <w:t>[4</w:t>
      </w:r>
      <w:r w:rsidR="00C12339">
        <w:rPr>
          <w:rFonts w:cs="Calibri"/>
          <w:noProof/>
          <w:color w:val="FF0000"/>
          <w:szCs w:val="20"/>
        </w:rPr>
        <w:t>4</w:t>
      </w:r>
      <w:r w:rsidRPr="00CA54DB">
        <w:rPr>
          <w:rFonts w:cs="Calibri"/>
          <w:noProof/>
          <w:color w:val="FF0000"/>
          <w:szCs w:val="20"/>
        </w:rPr>
        <w:t>]</w:t>
      </w:r>
      <w:r w:rsidR="00A6157E" w:rsidRPr="00CA54DB">
        <w:rPr>
          <w:rFonts w:cs="Calibri"/>
          <w:noProof/>
          <w:color w:val="FF0000"/>
          <w:szCs w:val="20"/>
        </w:rPr>
        <w:tab/>
      </w:r>
      <w:r w:rsidR="00A6157E" w:rsidRPr="00CA54DB">
        <w:rPr>
          <w:color w:val="FF0000"/>
        </w:rPr>
        <w:t xml:space="preserve">L. Zhou, Y. Liu, Z. He, Y. Luo, F. Zhou, E. Yu, Z. Hou, W. Eli, </w:t>
      </w:r>
      <w:r w:rsidR="00A6157E" w:rsidRPr="00CA54DB">
        <w:rPr>
          <w:i/>
          <w:color w:val="FF0000"/>
        </w:rPr>
        <w:t>J. Chem. Res.</w:t>
      </w:r>
      <w:r w:rsidR="00A6157E" w:rsidRPr="00CA54DB">
        <w:rPr>
          <w:color w:val="FF0000"/>
        </w:rPr>
        <w:t xml:space="preserve"> </w:t>
      </w:r>
      <w:r w:rsidR="00A6157E" w:rsidRPr="00CA54DB">
        <w:rPr>
          <w:b/>
          <w:color w:val="FF0000"/>
        </w:rPr>
        <w:t>2013</w:t>
      </w:r>
      <w:r w:rsidR="00A6157E" w:rsidRPr="00CA54DB">
        <w:rPr>
          <w:color w:val="FF0000"/>
        </w:rPr>
        <w:t xml:space="preserve">, </w:t>
      </w:r>
      <w:r w:rsidR="00A6157E" w:rsidRPr="00CA54DB">
        <w:rPr>
          <w:i/>
          <w:color w:val="FF0000"/>
        </w:rPr>
        <w:t>37</w:t>
      </w:r>
      <w:r w:rsidR="00A6157E" w:rsidRPr="00CA54DB">
        <w:rPr>
          <w:color w:val="FF0000"/>
        </w:rPr>
        <w:t>, 102–104.</w:t>
      </w:r>
    </w:p>
    <w:p w:rsidR="00F5558B" w:rsidRPr="00CA54DB" w:rsidRDefault="00F5558B" w:rsidP="00EF084C">
      <w:pPr>
        <w:pStyle w:val="References"/>
        <w:ind w:left="420" w:hanging="420"/>
        <w:rPr>
          <w:rFonts w:cs="Calibri"/>
          <w:noProof/>
          <w:color w:val="FF0000"/>
          <w:szCs w:val="20"/>
        </w:rPr>
      </w:pPr>
      <w:r w:rsidRPr="00CA54DB">
        <w:rPr>
          <w:rFonts w:cs="Calibri"/>
          <w:noProof/>
          <w:color w:val="FF0000"/>
          <w:szCs w:val="20"/>
        </w:rPr>
        <w:t>[4</w:t>
      </w:r>
      <w:r w:rsidR="00C12339">
        <w:rPr>
          <w:rFonts w:cs="Calibri"/>
          <w:noProof/>
          <w:color w:val="FF0000"/>
          <w:szCs w:val="20"/>
        </w:rPr>
        <w:t>5</w:t>
      </w:r>
      <w:r w:rsidRPr="00CA54DB">
        <w:rPr>
          <w:rFonts w:cs="Calibri"/>
          <w:noProof/>
          <w:color w:val="FF0000"/>
          <w:szCs w:val="20"/>
        </w:rPr>
        <w:t>]</w:t>
      </w:r>
      <w:r w:rsidR="00A6157E" w:rsidRPr="00CA54DB">
        <w:rPr>
          <w:rFonts w:cs="Calibri"/>
          <w:noProof/>
          <w:color w:val="FF0000"/>
          <w:szCs w:val="20"/>
        </w:rPr>
        <w:tab/>
      </w:r>
      <w:r w:rsidR="00A6157E" w:rsidRPr="00CA54DB">
        <w:rPr>
          <w:color w:val="FF0000"/>
        </w:rPr>
        <w:t xml:space="preserve">D. Zhao, X.-H. Liu, J.-H. Guo, H.-J. Xu, Y. Zhao, Y. Lu, W.-Y. Sun, </w:t>
      </w:r>
      <w:r w:rsidR="00A6157E" w:rsidRPr="00CA54DB">
        <w:rPr>
          <w:i/>
          <w:color w:val="FF0000"/>
        </w:rPr>
        <w:t>Inorg. Chem.</w:t>
      </w:r>
      <w:r w:rsidR="00A6157E" w:rsidRPr="00CA54DB">
        <w:rPr>
          <w:color w:val="FF0000"/>
        </w:rPr>
        <w:t xml:space="preserve"> </w:t>
      </w:r>
      <w:r w:rsidR="00A6157E" w:rsidRPr="00CA54DB">
        <w:rPr>
          <w:b/>
          <w:color w:val="FF0000"/>
        </w:rPr>
        <w:t>2018</w:t>
      </w:r>
      <w:r w:rsidR="00A6157E" w:rsidRPr="00CA54DB">
        <w:rPr>
          <w:color w:val="FF0000"/>
        </w:rPr>
        <w:t xml:space="preserve">, </w:t>
      </w:r>
      <w:r w:rsidR="00A6157E" w:rsidRPr="00CA54DB">
        <w:rPr>
          <w:i/>
          <w:color w:val="FF0000"/>
        </w:rPr>
        <w:t>57</w:t>
      </w:r>
      <w:r w:rsidR="00A6157E" w:rsidRPr="00CA54DB">
        <w:rPr>
          <w:color w:val="FF0000"/>
        </w:rPr>
        <w:t>, 2695−2704.</w:t>
      </w:r>
    </w:p>
    <w:p w:rsidR="00F5558B" w:rsidRPr="00CA54DB" w:rsidRDefault="00F5558B" w:rsidP="00EF084C">
      <w:pPr>
        <w:pStyle w:val="References"/>
        <w:ind w:left="420" w:hanging="420"/>
        <w:rPr>
          <w:rFonts w:cs="Calibri"/>
          <w:noProof/>
          <w:color w:val="FF0000"/>
          <w:szCs w:val="20"/>
        </w:rPr>
      </w:pPr>
      <w:r w:rsidRPr="00CA54DB">
        <w:rPr>
          <w:rFonts w:cs="Calibri"/>
          <w:noProof/>
          <w:color w:val="FF0000"/>
          <w:szCs w:val="20"/>
        </w:rPr>
        <w:t>[4</w:t>
      </w:r>
      <w:r w:rsidR="00C12339">
        <w:rPr>
          <w:rFonts w:cs="Calibri"/>
          <w:noProof/>
          <w:color w:val="FF0000"/>
          <w:szCs w:val="20"/>
        </w:rPr>
        <w:t>6</w:t>
      </w:r>
      <w:r w:rsidRPr="00CA54DB">
        <w:rPr>
          <w:rFonts w:cs="Calibri"/>
          <w:noProof/>
          <w:color w:val="FF0000"/>
          <w:szCs w:val="20"/>
        </w:rPr>
        <w:t>]</w:t>
      </w:r>
      <w:r w:rsidR="00A6157E" w:rsidRPr="00CA54DB">
        <w:rPr>
          <w:color w:val="FF0000"/>
        </w:rPr>
        <w:t xml:space="preserve"> J. A. Castro-Osma, M. North, X. Wu, </w:t>
      </w:r>
      <w:r w:rsidR="00A6157E" w:rsidRPr="00CA54DB">
        <w:rPr>
          <w:i/>
          <w:color w:val="FF0000"/>
        </w:rPr>
        <w:t>Chem. Eur. J.</w:t>
      </w:r>
      <w:r w:rsidR="00A6157E" w:rsidRPr="00CA54DB">
        <w:rPr>
          <w:color w:val="FF0000"/>
        </w:rPr>
        <w:t xml:space="preserve"> </w:t>
      </w:r>
      <w:r w:rsidR="00A6157E" w:rsidRPr="00CA54DB">
        <w:rPr>
          <w:b/>
          <w:color w:val="FF0000"/>
        </w:rPr>
        <w:t>2016</w:t>
      </w:r>
      <w:r w:rsidR="00A6157E" w:rsidRPr="00CA54DB">
        <w:rPr>
          <w:color w:val="FF0000"/>
        </w:rPr>
        <w:t xml:space="preserve">, </w:t>
      </w:r>
      <w:r w:rsidR="00A6157E" w:rsidRPr="00CA54DB">
        <w:rPr>
          <w:i/>
          <w:color w:val="FF0000"/>
        </w:rPr>
        <w:t>22</w:t>
      </w:r>
      <w:r w:rsidR="00A6157E" w:rsidRPr="00CA54DB">
        <w:rPr>
          <w:color w:val="FF0000"/>
        </w:rPr>
        <w:t>, 2100–2107.</w:t>
      </w:r>
    </w:p>
    <w:p w:rsidR="00F5558B" w:rsidRPr="00CA54DB" w:rsidRDefault="00F5558B" w:rsidP="00A6157E">
      <w:pPr>
        <w:pStyle w:val="References"/>
        <w:ind w:left="420" w:hanging="420"/>
        <w:rPr>
          <w:rFonts w:cs="Calibri"/>
          <w:noProof/>
          <w:color w:val="FF0000"/>
          <w:szCs w:val="20"/>
        </w:rPr>
      </w:pPr>
      <w:r w:rsidRPr="00CA54DB">
        <w:rPr>
          <w:rFonts w:cs="Calibri"/>
          <w:noProof/>
          <w:color w:val="FF0000"/>
          <w:szCs w:val="20"/>
        </w:rPr>
        <w:t>[4</w:t>
      </w:r>
      <w:r w:rsidR="00C12339">
        <w:rPr>
          <w:rFonts w:cs="Calibri"/>
          <w:noProof/>
          <w:color w:val="FF0000"/>
          <w:szCs w:val="20"/>
        </w:rPr>
        <w:t>7</w:t>
      </w:r>
      <w:r w:rsidRPr="00CA54DB">
        <w:rPr>
          <w:rFonts w:cs="Calibri"/>
          <w:noProof/>
          <w:color w:val="FF0000"/>
          <w:szCs w:val="20"/>
        </w:rPr>
        <w:t>]</w:t>
      </w:r>
      <w:r w:rsidR="00A6157E" w:rsidRPr="00CA54DB">
        <w:rPr>
          <w:rFonts w:cs="Calibri"/>
          <w:noProof/>
          <w:color w:val="FF0000"/>
          <w:szCs w:val="20"/>
        </w:rPr>
        <w:tab/>
      </w:r>
      <w:r w:rsidR="00CF157E">
        <w:rPr>
          <w:rFonts w:cs="Calibri"/>
          <w:noProof/>
          <w:color w:val="FF0000"/>
          <w:szCs w:val="20"/>
        </w:rPr>
        <w:tab/>
      </w:r>
      <w:r w:rsidR="00A6157E" w:rsidRPr="00CA54DB">
        <w:rPr>
          <w:color w:val="FF0000"/>
        </w:rPr>
        <w:t xml:space="preserve">M. K. Nielsen, C. R. Ugaz, W. Li, A. G. Doyle, </w:t>
      </w:r>
      <w:r w:rsidR="00A6157E" w:rsidRPr="00CA54DB">
        <w:rPr>
          <w:i/>
          <w:color w:val="FF0000"/>
        </w:rPr>
        <w:t>J. Am. Chem. Soc.</w:t>
      </w:r>
      <w:r w:rsidR="00A6157E" w:rsidRPr="00CA54DB">
        <w:rPr>
          <w:color w:val="FF0000"/>
        </w:rPr>
        <w:t xml:space="preserve"> </w:t>
      </w:r>
      <w:r w:rsidR="00A6157E" w:rsidRPr="00CA54DB">
        <w:rPr>
          <w:b/>
          <w:color w:val="FF0000"/>
        </w:rPr>
        <w:t>2015</w:t>
      </w:r>
      <w:r w:rsidR="00A6157E" w:rsidRPr="00CA54DB">
        <w:rPr>
          <w:color w:val="FF0000"/>
        </w:rPr>
        <w:t xml:space="preserve">, </w:t>
      </w:r>
      <w:r w:rsidR="00A6157E" w:rsidRPr="00CA54DB">
        <w:rPr>
          <w:i/>
          <w:color w:val="FF0000"/>
        </w:rPr>
        <w:t>137</w:t>
      </w:r>
      <w:r w:rsidR="00A6157E" w:rsidRPr="00CA54DB">
        <w:rPr>
          <w:color w:val="FF0000"/>
        </w:rPr>
        <w:t>, 9571−9574.</w:t>
      </w:r>
    </w:p>
    <w:p w:rsidR="00F5558B" w:rsidRPr="00CA54DB" w:rsidRDefault="00F5558B" w:rsidP="00A6157E">
      <w:pPr>
        <w:pStyle w:val="References"/>
        <w:ind w:left="420" w:hanging="420"/>
        <w:rPr>
          <w:rFonts w:cs="Calibri"/>
          <w:noProof/>
          <w:color w:val="FF0000"/>
          <w:szCs w:val="20"/>
        </w:rPr>
      </w:pPr>
      <w:r w:rsidRPr="00CA54DB">
        <w:rPr>
          <w:rFonts w:cs="Calibri"/>
          <w:noProof/>
          <w:color w:val="FF0000"/>
          <w:szCs w:val="20"/>
        </w:rPr>
        <w:t>[4</w:t>
      </w:r>
      <w:r w:rsidR="00C12339">
        <w:rPr>
          <w:rFonts w:cs="Calibri"/>
          <w:noProof/>
          <w:color w:val="FF0000"/>
          <w:szCs w:val="20"/>
        </w:rPr>
        <w:t>8</w:t>
      </w:r>
      <w:r w:rsidRPr="00CA54DB">
        <w:rPr>
          <w:rFonts w:cs="Calibri"/>
          <w:noProof/>
          <w:color w:val="FF0000"/>
          <w:szCs w:val="20"/>
        </w:rPr>
        <w:t>]</w:t>
      </w:r>
      <w:r w:rsidR="00A6157E" w:rsidRPr="00CA54DB">
        <w:rPr>
          <w:rFonts w:cs="Calibri"/>
          <w:noProof/>
          <w:color w:val="FF0000"/>
          <w:szCs w:val="20"/>
        </w:rPr>
        <w:tab/>
      </w:r>
      <w:r w:rsidR="00A6157E" w:rsidRPr="00CA54DB">
        <w:rPr>
          <w:color w:val="FF0000"/>
        </w:rPr>
        <w:t xml:space="preserve">J. A. Castro-Osma, K. J. Lamb, M. North, </w:t>
      </w:r>
      <w:r w:rsidR="00A6157E" w:rsidRPr="00CA54DB">
        <w:rPr>
          <w:i/>
          <w:color w:val="FF0000"/>
        </w:rPr>
        <w:t>ACS Catal.</w:t>
      </w:r>
      <w:r w:rsidR="00A6157E" w:rsidRPr="00CA54DB">
        <w:rPr>
          <w:color w:val="FF0000"/>
        </w:rPr>
        <w:t xml:space="preserve"> </w:t>
      </w:r>
      <w:r w:rsidR="00A6157E" w:rsidRPr="00CA54DB">
        <w:rPr>
          <w:b/>
          <w:color w:val="FF0000"/>
        </w:rPr>
        <w:t>2016</w:t>
      </w:r>
      <w:r w:rsidR="00A6157E" w:rsidRPr="00CA54DB">
        <w:rPr>
          <w:color w:val="FF0000"/>
        </w:rPr>
        <w:t xml:space="preserve">, </w:t>
      </w:r>
      <w:r w:rsidR="00A6157E" w:rsidRPr="00CA54DB">
        <w:rPr>
          <w:i/>
          <w:color w:val="FF0000"/>
        </w:rPr>
        <w:t>6</w:t>
      </w:r>
      <w:r w:rsidR="00A6157E" w:rsidRPr="00CA54DB">
        <w:rPr>
          <w:color w:val="FF0000"/>
        </w:rPr>
        <w:t>, 5012−5025.</w:t>
      </w:r>
    </w:p>
    <w:p w:rsidR="00F5558B" w:rsidRPr="00CA54DB" w:rsidRDefault="00F5558B" w:rsidP="00EF084C">
      <w:pPr>
        <w:pStyle w:val="References"/>
        <w:ind w:left="420" w:hanging="420"/>
        <w:rPr>
          <w:color w:val="FF0000"/>
          <w:szCs w:val="20"/>
        </w:rPr>
      </w:pPr>
      <w:r w:rsidRPr="00CA54DB">
        <w:rPr>
          <w:rFonts w:cs="Calibri"/>
          <w:noProof/>
          <w:color w:val="FF0000"/>
          <w:szCs w:val="20"/>
        </w:rPr>
        <w:t>[4</w:t>
      </w:r>
      <w:r w:rsidR="00C12339">
        <w:rPr>
          <w:rFonts w:cs="Calibri"/>
          <w:noProof/>
          <w:color w:val="FF0000"/>
          <w:szCs w:val="20"/>
        </w:rPr>
        <w:t>9</w:t>
      </w:r>
      <w:r w:rsidRPr="00CA54DB">
        <w:rPr>
          <w:rFonts w:cs="Calibri"/>
          <w:noProof/>
          <w:color w:val="FF0000"/>
          <w:szCs w:val="20"/>
        </w:rPr>
        <w:t>]</w:t>
      </w:r>
      <w:r w:rsidR="00A6157E" w:rsidRPr="00CA54DB">
        <w:rPr>
          <w:rFonts w:cs="Calibri"/>
          <w:noProof/>
          <w:color w:val="FF0000"/>
          <w:szCs w:val="20"/>
        </w:rPr>
        <w:tab/>
      </w:r>
      <w:r w:rsidR="00A6157E" w:rsidRPr="00CA54DB">
        <w:rPr>
          <w:color w:val="FF0000"/>
        </w:rPr>
        <w:t xml:space="preserve">Y. A. Rulev, Z. T. Gugkaeva, A. V. Lokutova, V. I. Maleev, A. S. Peregudov, X. Wu, M. North, Y. N. Belokon, </w:t>
      </w:r>
      <w:r w:rsidR="00A6157E" w:rsidRPr="00CA54DB">
        <w:rPr>
          <w:i/>
          <w:color w:val="FF0000"/>
        </w:rPr>
        <w:t>ChemSusChem</w:t>
      </w:r>
      <w:r w:rsidR="00A6157E" w:rsidRPr="00CA54DB">
        <w:rPr>
          <w:color w:val="FF0000"/>
        </w:rPr>
        <w:t xml:space="preserve"> </w:t>
      </w:r>
      <w:r w:rsidR="00A6157E" w:rsidRPr="00CA54DB">
        <w:rPr>
          <w:b/>
          <w:color w:val="FF0000"/>
        </w:rPr>
        <w:t>2017</w:t>
      </w:r>
      <w:r w:rsidR="00A6157E" w:rsidRPr="00CA54DB">
        <w:rPr>
          <w:color w:val="FF0000"/>
        </w:rPr>
        <w:t xml:space="preserve">, </w:t>
      </w:r>
      <w:r w:rsidR="00A6157E" w:rsidRPr="00CA54DB">
        <w:rPr>
          <w:i/>
          <w:color w:val="FF0000"/>
        </w:rPr>
        <w:t>10</w:t>
      </w:r>
      <w:r w:rsidR="00CA54DB" w:rsidRPr="00CA54DB">
        <w:rPr>
          <w:color w:val="FF0000"/>
        </w:rPr>
        <w:t>, 1152–</w:t>
      </w:r>
      <w:r w:rsidR="00A6157E" w:rsidRPr="00CA54DB">
        <w:rPr>
          <w:color w:val="FF0000"/>
        </w:rPr>
        <w:t>1159</w:t>
      </w:r>
      <w:r w:rsidR="00CA54DB" w:rsidRPr="00CA54DB">
        <w:rPr>
          <w:color w:val="FF0000"/>
        </w:rPr>
        <w:t>.</w:t>
      </w:r>
    </w:p>
    <w:p w:rsidR="00764F01" w:rsidRPr="006722A0" w:rsidRDefault="00764F01" w:rsidP="00EF26EB">
      <w:pPr>
        <w:rPr>
          <w:lang w:val="en-GB"/>
        </w:rPr>
      </w:pPr>
    </w:p>
    <w:p w:rsidR="00F7230C" w:rsidRPr="006722A0" w:rsidRDefault="00F7230C" w:rsidP="00EF26EB">
      <w:pPr>
        <w:rPr>
          <w:lang w:val="en-GB"/>
        </w:rPr>
        <w:sectPr w:rsidR="00F7230C" w:rsidRPr="006722A0" w:rsidSect="00635F07">
          <w:type w:val="continuous"/>
          <w:pgSz w:w="11906" w:h="16838" w:code="9"/>
          <w:pgMar w:top="1134" w:right="680" w:bottom="1225" w:left="1361" w:header="709" w:footer="709" w:gutter="0"/>
          <w:cols w:num="2" w:space="340"/>
          <w:docGrid w:linePitch="360"/>
        </w:sectPr>
      </w:pPr>
    </w:p>
    <w:p w:rsidR="004E0174" w:rsidRDefault="004E0174" w:rsidP="00E76CD4">
      <w:pPr>
        <w:rPr>
          <w:lang w:val="en-GB"/>
        </w:rPr>
        <w:sectPr w:rsidR="004E0174" w:rsidSect="00635F07">
          <w:type w:val="continuous"/>
          <w:pgSz w:w="11906" w:h="16838" w:code="9"/>
          <w:pgMar w:top="1191" w:right="680" w:bottom="1225" w:left="1361" w:header="709" w:footer="709" w:gutter="0"/>
          <w:cols w:num="2" w:space="284"/>
          <w:docGrid w:linePitch="360"/>
        </w:sectPr>
      </w:pPr>
    </w:p>
    <w:tbl>
      <w:tblPr>
        <w:tblW w:w="9866" w:type="dxa"/>
        <w:tblLayout w:type="fixed"/>
        <w:tblLook w:val="01E0" w:firstRow="1" w:lastRow="1" w:firstColumn="1" w:lastColumn="1" w:noHBand="0" w:noVBand="0"/>
      </w:tblPr>
      <w:tblGrid>
        <w:gridCol w:w="2093"/>
        <w:gridCol w:w="2693"/>
        <w:gridCol w:w="284"/>
        <w:gridCol w:w="4796"/>
      </w:tblGrid>
      <w:tr w:rsidR="003A47FA" w:rsidRPr="000D0065">
        <w:tc>
          <w:tcPr>
            <w:tcW w:w="2093" w:type="dxa"/>
            <w:tcBorders>
              <w:bottom w:val="single" w:sz="12" w:space="0" w:color="808080"/>
            </w:tcBorders>
            <w:shd w:val="clear" w:color="auto" w:fill="808080"/>
          </w:tcPr>
          <w:p w:rsidR="003A47FA" w:rsidRDefault="003B7680" w:rsidP="00761868">
            <w:pPr>
              <w:pStyle w:val="SubjectHeadingTOC"/>
            </w:pPr>
            <w:r>
              <w:lastRenderedPageBreak/>
              <w:t>FULL PAPER</w:t>
            </w:r>
          </w:p>
        </w:tc>
        <w:tc>
          <w:tcPr>
            <w:tcW w:w="2693" w:type="dxa"/>
            <w:tcBorders>
              <w:bottom w:val="single" w:sz="12" w:space="0" w:color="808080"/>
            </w:tcBorders>
            <w:shd w:val="clear" w:color="auto" w:fill="auto"/>
          </w:tcPr>
          <w:p w:rsidR="003A47FA" w:rsidRDefault="003A47FA" w:rsidP="00761868">
            <w:pPr>
              <w:pStyle w:val="SubjectHeadingTOC"/>
            </w:pPr>
          </w:p>
        </w:tc>
        <w:tc>
          <w:tcPr>
            <w:tcW w:w="284" w:type="dxa"/>
            <w:tcBorders>
              <w:bottom w:val="single" w:sz="12" w:space="0" w:color="808080"/>
            </w:tcBorders>
            <w:shd w:val="clear" w:color="auto" w:fill="auto"/>
            <w:vAlign w:val="center"/>
          </w:tcPr>
          <w:p w:rsidR="003A47FA" w:rsidRPr="00BF7112" w:rsidRDefault="003A47FA" w:rsidP="00BF7112">
            <w:pPr>
              <w:rPr>
                <w:sz w:val="18"/>
              </w:rPr>
            </w:pPr>
          </w:p>
        </w:tc>
        <w:tc>
          <w:tcPr>
            <w:tcW w:w="4796" w:type="dxa"/>
            <w:tcBorders>
              <w:bottom w:val="single" w:sz="12" w:space="0" w:color="808080"/>
            </w:tcBorders>
            <w:shd w:val="clear" w:color="auto" w:fill="auto"/>
            <w:vAlign w:val="center"/>
          </w:tcPr>
          <w:p w:rsidR="003A47FA" w:rsidRPr="00BF7112" w:rsidRDefault="003A47FA" w:rsidP="00BF7112">
            <w:pPr>
              <w:rPr>
                <w:sz w:val="18"/>
              </w:rPr>
            </w:pPr>
          </w:p>
        </w:tc>
      </w:tr>
      <w:tr w:rsidR="006E0F6A" w:rsidRPr="00A70B86">
        <w:tc>
          <w:tcPr>
            <w:tcW w:w="4786" w:type="dxa"/>
            <w:gridSpan w:val="2"/>
            <w:tcBorders>
              <w:top w:val="single" w:sz="12" w:space="0" w:color="808080"/>
            </w:tcBorders>
            <w:shd w:val="clear" w:color="auto" w:fill="auto"/>
          </w:tcPr>
          <w:p w:rsidR="006E0F6A" w:rsidRPr="00954442" w:rsidRDefault="00642595" w:rsidP="00BF7112">
            <w:pPr>
              <w:pStyle w:val="TitleTOC"/>
            </w:pPr>
            <w:r w:rsidRPr="00FE39A8">
              <w:t>Influence of mesoporous silica properties on cyclic carbonate synthesis catalysed by supported aluminium(salen) complexes</w:t>
            </w:r>
          </w:p>
        </w:tc>
        <w:tc>
          <w:tcPr>
            <w:tcW w:w="284" w:type="dxa"/>
            <w:vMerge w:val="restart"/>
            <w:tcBorders>
              <w:top w:val="single" w:sz="12" w:space="0" w:color="808080"/>
            </w:tcBorders>
            <w:shd w:val="clear" w:color="auto" w:fill="auto"/>
          </w:tcPr>
          <w:p w:rsidR="006E0F6A" w:rsidRPr="00A70B86" w:rsidRDefault="006E0F6A" w:rsidP="00761868">
            <w:pPr>
              <w:rPr>
                <w:lang w:val="en-GB"/>
              </w:rPr>
            </w:pPr>
          </w:p>
        </w:tc>
        <w:tc>
          <w:tcPr>
            <w:tcW w:w="4796" w:type="dxa"/>
            <w:vMerge w:val="restart"/>
            <w:tcBorders>
              <w:top w:val="single" w:sz="12" w:space="0" w:color="808080"/>
            </w:tcBorders>
            <w:shd w:val="clear" w:color="auto" w:fill="auto"/>
            <w:vAlign w:val="center"/>
          </w:tcPr>
          <w:p w:rsidR="006E0F6A" w:rsidRPr="00EA58B5" w:rsidRDefault="00232C07" w:rsidP="006E0F6A">
            <w:pPr>
              <w:jc w:val="center"/>
              <w:rPr>
                <w:sz w:val="22"/>
                <w:lang w:val="en-GB"/>
              </w:rPr>
            </w:pPr>
            <w:r>
              <w:object w:dxaOrig="6356" w:dyaOrig="3298">
                <v:shape id="_x0000_i1034" type="#_x0000_t75" style="width:228.7pt;height:118.6pt" o:ole="">
                  <v:imagedata r:id="rId23" o:title=""/>
                </v:shape>
                <o:OLEObject Type="Embed" ProgID="ChemDraw.Document.6.0" ShapeID="_x0000_i1034" DrawAspect="Content" ObjectID="_1601902984" r:id="rId24"/>
              </w:object>
            </w:r>
          </w:p>
        </w:tc>
      </w:tr>
      <w:tr w:rsidR="006E0F6A" w:rsidRPr="00B31134">
        <w:trPr>
          <w:trHeight w:val="805"/>
        </w:trPr>
        <w:tc>
          <w:tcPr>
            <w:tcW w:w="4786" w:type="dxa"/>
            <w:gridSpan w:val="2"/>
            <w:vAlign w:val="center"/>
          </w:tcPr>
          <w:p w:rsidR="006E0F6A" w:rsidRPr="00EA58B5" w:rsidRDefault="00B825F8" w:rsidP="00BF7112">
            <w:pPr>
              <w:rPr>
                <w:sz w:val="22"/>
                <w:lang w:val="en-GB"/>
              </w:rPr>
            </w:pPr>
            <w:r w:rsidRPr="00EA58B5">
              <w:rPr>
                <w:i/>
                <w:sz w:val="22"/>
                <w:lang w:val="en-GB"/>
              </w:rPr>
              <w:t>Adv. Synth. Catal.</w:t>
            </w:r>
            <w:r w:rsidRPr="00EA58B5">
              <w:rPr>
                <w:sz w:val="22"/>
                <w:lang w:val="en-GB"/>
              </w:rPr>
              <w:t xml:space="preserve"> </w:t>
            </w:r>
            <w:r>
              <w:rPr>
                <w:b/>
                <w:sz w:val="22"/>
                <w:lang w:val="en-GB"/>
              </w:rPr>
              <w:t>Year</w:t>
            </w:r>
            <w:r w:rsidRPr="00EA58B5">
              <w:rPr>
                <w:sz w:val="22"/>
                <w:lang w:val="en-GB"/>
              </w:rPr>
              <w:t xml:space="preserve">, </w:t>
            </w:r>
            <w:r>
              <w:rPr>
                <w:i/>
                <w:sz w:val="22"/>
                <w:lang w:val="en-GB"/>
              </w:rPr>
              <w:t>Volume</w:t>
            </w:r>
            <w:r w:rsidRPr="00EA58B5">
              <w:rPr>
                <w:sz w:val="22"/>
                <w:lang w:val="en-GB"/>
              </w:rPr>
              <w:t>, Page – Page</w:t>
            </w:r>
          </w:p>
        </w:tc>
        <w:tc>
          <w:tcPr>
            <w:tcW w:w="284" w:type="dxa"/>
            <w:vMerge/>
            <w:shd w:val="clear" w:color="auto" w:fill="auto"/>
          </w:tcPr>
          <w:p w:rsidR="006E0F6A" w:rsidRPr="00B31134" w:rsidRDefault="006E0F6A" w:rsidP="00761868">
            <w:pPr>
              <w:rPr>
                <w:lang w:val="en-GB"/>
              </w:rPr>
            </w:pPr>
          </w:p>
        </w:tc>
        <w:tc>
          <w:tcPr>
            <w:tcW w:w="4796" w:type="dxa"/>
            <w:vMerge/>
            <w:shd w:val="clear" w:color="auto" w:fill="auto"/>
          </w:tcPr>
          <w:p w:rsidR="006E0F6A" w:rsidRPr="00B31134" w:rsidRDefault="006E0F6A" w:rsidP="00761868">
            <w:pPr>
              <w:rPr>
                <w:lang w:val="en-GB"/>
              </w:rPr>
            </w:pPr>
          </w:p>
        </w:tc>
      </w:tr>
      <w:tr w:rsidR="006E0F6A" w:rsidRPr="00B31134">
        <w:trPr>
          <w:trHeight w:val="1069"/>
        </w:trPr>
        <w:tc>
          <w:tcPr>
            <w:tcW w:w="4786" w:type="dxa"/>
            <w:gridSpan w:val="2"/>
            <w:tcBorders>
              <w:bottom w:val="single" w:sz="8" w:space="0" w:color="808080"/>
            </w:tcBorders>
          </w:tcPr>
          <w:p w:rsidR="006E0F6A" w:rsidRPr="00C8558C" w:rsidRDefault="00642595" w:rsidP="00BF7112">
            <w:pPr>
              <w:pStyle w:val="AuthorsTOC"/>
            </w:pPr>
            <w:r w:rsidRPr="00FE39A8">
              <w:t xml:space="preserve">Patricia A. Carvalho, James W. Comerford, </w:t>
            </w:r>
            <w:r>
              <w:t>Katie</w:t>
            </w:r>
            <w:r w:rsidR="00232C07">
              <w:t xml:space="preserve"> J.</w:t>
            </w:r>
            <w:r>
              <w:t xml:space="preserve"> Lamb,</w:t>
            </w:r>
            <w:r w:rsidRPr="00FE39A8">
              <w:t xml:space="preserve"> Michael North*</w:t>
            </w:r>
            <w:r w:rsidRPr="00FE39A8">
              <w:rPr>
                <w:vertAlign w:val="superscript"/>
              </w:rPr>
              <w:t xml:space="preserve"> </w:t>
            </w:r>
            <w:r w:rsidRPr="00FE39A8">
              <w:t>and Paul S. Reiss</w:t>
            </w:r>
          </w:p>
        </w:tc>
        <w:tc>
          <w:tcPr>
            <w:tcW w:w="284" w:type="dxa"/>
            <w:vMerge/>
            <w:tcBorders>
              <w:bottom w:val="single" w:sz="8" w:space="0" w:color="808080"/>
            </w:tcBorders>
            <w:shd w:val="clear" w:color="auto" w:fill="auto"/>
          </w:tcPr>
          <w:p w:rsidR="006E0F6A" w:rsidRPr="00B31134" w:rsidRDefault="006E0F6A" w:rsidP="00761868">
            <w:pPr>
              <w:rPr>
                <w:lang w:val="en-GB"/>
              </w:rPr>
            </w:pPr>
          </w:p>
        </w:tc>
        <w:tc>
          <w:tcPr>
            <w:tcW w:w="4796" w:type="dxa"/>
            <w:vMerge/>
            <w:tcBorders>
              <w:bottom w:val="single" w:sz="8" w:space="0" w:color="808080"/>
            </w:tcBorders>
            <w:shd w:val="clear" w:color="auto" w:fill="auto"/>
          </w:tcPr>
          <w:p w:rsidR="006E0F6A" w:rsidRPr="00B31134" w:rsidRDefault="006E0F6A" w:rsidP="00761868">
            <w:pPr>
              <w:rPr>
                <w:lang w:val="en-GB"/>
              </w:rPr>
            </w:pPr>
          </w:p>
        </w:tc>
      </w:tr>
    </w:tbl>
    <w:p w:rsidR="009815DF" w:rsidRPr="004E0174" w:rsidRDefault="009815DF" w:rsidP="00E76CD4">
      <w:pPr>
        <w:rPr>
          <w:lang w:val="en-GB"/>
        </w:rPr>
      </w:pPr>
    </w:p>
    <w:sectPr w:rsidR="009815DF" w:rsidRPr="004E0174" w:rsidSect="00635F07">
      <w:pgSz w:w="11906" w:h="16838" w:code="9"/>
      <w:pgMar w:top="1191" w:right="680" w:bottom="1225" w:left="1361" w:header="709" w:footer="709" w:gutter="0"/>
      <w:cols w:space="284" w:equalWidth="0">
        <w:col w:w="1037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532" w:rsidRDefault="00103532" w:rsidP="00BF31B4">
      <w:r>
        <w:separator/>
      </w:r>
    </w:p>
  </w:endnote>
  <w:endnote w:type="continuationSeparator" w:id="0">
    <w:p w:rsidR="00103532" w:rsidRDefault="00103532" w:rsidP="00BF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vMYR4">
    <w:panose1 w:val="00000000000000000000"/>
    <w:charset w:val="00"/>
    <w:family w:val="auto"/>
    <w:notTrueType/>
    <w:pitch w:val="default"/>
    <w:sig w:usb0="00000003" w:usb1="00000000" w:usb2="00000000" w:usb3="00000000" w:csb0="00000001" w:csb1="00000000"/>
  </w:font>
  <w:font w:name="AdvMYR4I">
    <w:panose1 w:val="00000000000000000000"/>
    <w:charset w:val="00"/>
    <w:family w:val="auto"/>
    <w:notTrueType/>
    <w:pitch w:val="default"/>
    <w:sig w:usb0="00000003" w:usb1="00000000" w:usb2="00000000" w:usb3="00000000" w:csb0="00000001" w:csb1="00000000"/>
  </w:font>
  <w:font w:name="AdvMYR6">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15" w:rsidRDefault="003B0815" w:rsidP="00A044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0815" w:rsidRDefault="003B0815" w:rsidP="009724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815" w:rsidRDefault="003B0815" w:rsidP="00A044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04E9">
      <w:rPr>
        <w:rStyle w:val="PageNumber"/>
        <w:noProof/>
      </w:rPr>
      <w:t>3</w:t>
    </w:r>
    <w:r>
      <w:rPr>
        <w:rStyle w:val="PageNumber"/>
      </w:rPr>
      <w:fldChar w:fldCharType="end"/>
    </w:r>
  </w:p>
  <w:p w:rsidR="003B0815" w:rsidRDefault="003B0815" w:rsidP="009724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532" w:rsidRDefault="00103532">
      <w:r>
        <w:separator/>
      </w:r>
    </w:p>
  </w:footnote>
  <w:footnote w:type="continuationSeparator" w:id="0">
    <w:p w:rsidR="00103532" w:rsidRDefault="00103532" w:rsidP="00BF3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hyphenationZone w:val="425"/>
  <w:drawingGridHorizontalSpacing w:val="255"/>
  <w:displayHorizontalDrawingGridEvery w:val="2"/>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3C2"/>
    <w:rsid w:val="0000214A"/>
    <w:rsid w:val="00002312"/>
    <w:rsid w:val="0000457A"/>
    <w:rsid w:val="00010410"/>
    <w:rsid w:val="00011D51"/>
    <w:rsid w:val="00022DB4"/>
    <w:rsid w:val="00025E27"/>
    <w:rsid w:val="00033C26"/>
    <w:rsid w:val="00033D1A"/>
    <w:rsid w:val="00033F43"/>
    <w:rsid w:val="00036490"/>
    <w:rsid w:val="000403C9"/>
    <w:rsid w:val="0004091A"/>
    <w:rsid w:val="00042BF0"/>
    <w:rsid w:val="00045AB9"/>
    <w:rsid w:val="0005096E"/>
    <w:rsid w:val="0005140E"/>
    <w:rsid w:val="00055485"/>
    <w:rsid w:val="0006281D"/>
    <w:rsid w:val="00063E0F"/>
    <w:rsid w:val="0006489B"/>
    <w:rsid w:val="0006694D"/>
    <w:rsid w:val="000669E3"/>
    <w:rsid w:val="00066B8E"/>
    <w:rsid w:val="00070B55"/>
    <w:rsid w:val="00070E0D"/>
    <w:rsid w:val="00077560"/>
    <w:rsid w:val="0008077D"/>
    <w:rsid w:val="00084A4A"/>
    <w:rsid w:val="00092B16"/>
    <w:rsid w:val="0009539C"/>
    <w:rsid w:val="00095C2F"/>
    <w:rsid w:val="000A37F3"/>
    <w:rsid w:val="000A77DC"/>
    <w:rsid w:val="000B6DF3"/>
    <w:rsid w:val="000C1DBD"/>
    <w:rsid w:val="000C53F1"/>
    <w:rsid w:val="000D70F8"/>
    <w:rsid w:val="000D75B7"/>
    <w:rsid w:val="000D7701"/>
    <w:rsid w:val="000E0CEA"/>
    <w:rsid w:val="000E0EC4"/>
    <w:rsid w:val="000E1C81"/>
    <w:rsid w:val="000E5FDC"/>
    <w:rsid w:val="000F29A4"/>
    <w:rsid w:val="000F2EA1"/>
    <w:rsid w:val="000F36F2"/>
    <w:rsid w:val="000F5BD1"/>
    <w:rsid w:val="000F5C29"/>
    <w:rsid w:val="000F5EDD"/>
    <w:rsid w:val="000F7847"/>
    <w:rsid w:val="00103532"/>
    <w:rsid w:val="001037A1"/>
    <w:rsid w:val="00103EF7"/>
    <w:rsid w:val="00104119"/>
    <w:rsid w:val="00105F97"/>
    <w:rsid w:val="001158DE"/>
    <w:rsid w:val="00120F2E"/>
    <w:rsid w:val="001237B3"/>
    <w:rsid w:val="0012381E"/>
    <w:rsid w:val="00126615"/>
    <w:rsid w:val="001322FF"/>
    <w:rsid w:val="0013316F"/>
    <w:rsid w:val="001348CD"/>
    <w:rsid w:val="0014043E"/>
    <w:rsid w:val="00140E2D"/>
    <w:rsid w:val="00141356"/>
    <w:rsid w:val="00143551"/>
    <w:rsid w:val="00143B89"/>
    <w:rsid w:val="001475BF"/>
    <w:rsid w:val="00152179"/>
    <w:rsid w:val="00152E6D"/>
    <w:rsid w:val="00155FB7"/>
    <w:rsid w:val="00157C67"/>
    <w:rsid w:val="0016203E"/>
    <w:rsid w:val="00162883"/>
    <w:rsid w:val="00162E6D"/>
    <w:rsid w:val="001639AE"/>
    <w:rsid w:val="00166BEB"/>
    <w:rsid w:val="00166D41"/>
    <w:rsid w:val="00166D6D"/>
    <w:rsid w:val="001678B6"/>
    <w:rsid w:val="00170600"/>
    <w:rsid w:val="00172830"/>
    <w:rsid w:val="001732A4"/>
    <w:rsid w:val="001800AA"/>
    <w:rsid w:val="0018165B"/>
    <w:rsid w:val="00184380"/>
    <w:rsid w:val="00186601"/>
    <w:rsid w:val="0019014F"/>
    <w:rsid w:val="00194818"/>
    <w:rsid w:val="00194A21"/>
    <w:rsid w:val="00195619"/>
    <w:rsid w:val="00196DEB"/>
    <w:rsid w:val="00197F42"/>
    <w:rsid w:val="001A0D55"/>
    <w:rsid w:val="001A3120"/>
    <w:rsid w:val="001A39AE"/>
    <w:rsid w:val="001A438D"/>
    <w:rsid w:val="001B2823"/>
    <w:rsid w:val="001B3A2A"/>
    <w:rsid w:val="001C21E3"/>
    <w:rsid w:val="001C26A7"/>
    <w:rsid w:val="001D0615"/>
    <w:rsid w:val="001D1155"/>
    <w:rsid w:val="001D13EA"/>
    <w:rsid w:val="001D216B"/>
    <w:rsid w:val="001D29CA"/>
    <w:rsid w:val="001D54CA"/>
    <w:rsid w:val="001E164A"/>
    <w:rsid w:val="001F16EF"/>
    <w:rsid w:val="001F1A2D"/>
    <w:rsid w:val="001F38DA"/>
    <w:rsid w:val="001F4235"/>
    <w:rsid w:val="001F4EE4"/>
    <w:rsid w:val="001F52E5"/>
    <w:rsid w:val="00206387"/>
    <w:rsid w:val="00212929"/>
    <w:rsid w:val="00213D0E"/>
    <w:rsid w:val="002151F1"/>
    <w:rsid w:val="00222D97"/>
    <w:rsid w:val="0022537E"/>
    <w:rsid w:val="0022582C"/>
    <w:rsid w:val="002322DA"/>
    <w:rsid w:val="00232C07"/>
    <w:rsid w:val="00232C14"/>
    <w:rsid w:val="0023373F"/>
    <w:rsid w:val="002362C7"/>
    <w:rsid w:val="00241D85"/>
    <w:rsid w:val="00242E54"/>
    <w:rsid w:val="002433F0"/>
    <w:rsid w:val="002458B1"/>
    <w:rsid w:val="002474DF"/>
    <w:rsid w:val="00260EDA"/>
    <w:rsid w:val="00261387"/>
    <w:rsid w:val="00261882"/>
    <w:rsid w:val="002631AD"/>
    <w:rsid w:val="00264C3C"/>
    <w:rsid w:val="00265DCA"/>
    <w:rsid w:val="00266E8F"/>
    <w:rsid w:val="002702BC"/>
    <w:rsid w:val="0027068B"/>
    <w:rsid w:val="0028157F"/>
    <w:rsid w:val="002862E3"/>
    <w:rsid w:val="00287256"/>
    <w:rsid w:val="00287B32"/>
    <w:rsid w:val="0029719C"/>
    <w:rsid w:val="002A0CE2"/>
    <w:rsid w:val="002A2B2C"/>
    <w:rsid w:val="002A36FA"/>
    <w:rsid w:val="002A4CB6"/>
    <w:rsid w:val="002A561E"/>
    <w:rsid w:val="002A69D1"/>
    <w:rsid w:val="002B22BA"/>
    <w:rsid w:val="002B25E2"/>
    <w:rsid w:val="002B2BB0"/>
    <w:rsid w:val="002B7CA9"/>
    <w:rsid w:val="002D04AC"/>
    <w:rsid w:val="002D0B17"/>
    <w:rsid w:val="002D17E2"/>
    <w:rsid w:val="002D24CB"/>
    <w:rsid w:val="002D42B8"/>
    <w:rsid w:val="002D5148"/>
    <w:rsid w:val="002E066F"/>
    <w:rsid w:val="002E0856"/>
    <w:rsid w:val="002E2CA8"/>
    <w:rsid w:val="002F0269"/>
    <w:rsid w:val="002F17FB"/>
    <w:rsid w:val="002F3505"/>
    <w:rsid w:val="002F6A4C"/>
    <w:rsid w:val="002F73A5"/>
    <w:rsid w:val="003006A7"/>
    <w:rsid w:val="00301167"/>
    <w:rsid w:val="00301D1E"/>
    <w:rsid w:val="00303E9E"/>
    <w:rsid w:val="00303FBE"/>
    <w:rsid w:val="003079D2"/>
    <w:rsid w:val="00307C12"/>
    <w:rsid w:val="003116F4"/>
    <w:rsid w:val="00312ED2"/>
    <w:rsid w:val="0032048F"/>
    <w:rsid w:val="003219A5"/>
    <w:rsid w:val="00322D02"/>
    <w:rsid w:val="00322E1F"/>
    <w:rsid w:val="003237A1"/>
    <w:rsid w:val="00323AAE"/>
    <w:rsid w:val="00323FC3"/>
    <w:rsid w:val="00325147"/>
    <w:rsid w:val="003254D1"/>
    <w:rsid w:val="00325516"/>
    <w:rsid w:val="003275FF"/>
    <w:rsid w:val="0033054D"/>
    <w:rsid w:val="00331B1E"/>
    <w:rsid w:val="00331B5E"/>
    <w:rsid w:val="00333FAD"/>
    <w:rsid w:val="0033586B"/>
    <w:rsid w:val="00336A5A"/>
    <w:rsid w:val="003403BB"/>
    <w:rsid w:val="00340A08"/>
    <w:rsid w:val="003447D7"/>
    <w:rsid w:val="00354B57"/>
    <w:rsid w:val="00357897"/>
    <w:rsid w:val="00364753"/>
    <w:rsid w:val="00364A2A"/>
    <w:rsid w:val="003657B6"/>
    <w:rsid w:val="00366676"/>
    <w:rsid w:val="00370309"/>
    <w:rsid w:val="003717D2"/>
    <w:rsid w:val="00374851"/>
    <w:rsid w:val="00375415"/>
    <w:rsid w:val="00376F37"/>
    <w:rsid w:val="0038506F"/>
    <w:rsid w:val="00390DD7"/>
    <w:rsid w:val="00396BE2"/>
    <w:rsid w:val="003A04CD"/>
    <w:rsid w:val="003A47FA"/>
    <w:rsid w:val="003A6AC4"/>
    <w:rsid w:val="003B04BA"/>
    <w:rsid w:val="003B0815"/>
    <w:rsid w:val="003B0FC4"/>
    <w:rsid w:val="003B11FB"/>
    <w:rsid w:val="003B70C8"/>
    <w:rsid w:val="003B7680"/>
    <w:rsid w:val="003C08E6"/>
    <w:rsid w:val="003C109A"/>
    <w:rsid w:val="003C134A"/>
    <w:rsid w:val="003C1CCA"/>
    <w:rsid w:val="003C2972"/>
    <w:rsid w:val="003C2C9C"/>
    <w:rsid w:val="003D0F51"/>
    <w:rsid w:val="003E0441"/>
    <w:rsid w:val="003E54CD"/>
    <w:rsid w:val="003E7319"/>
    <w:rsid w:val="003F2556"/>
    <w:rsid w:val="003F50D4"/>
    <w:rsid w:val="0040080D"/>
    <w:rsid w:val="0040270E"/>
    <w:rsid w:val="00403876"/>
    <w:rsid w:val="004062B1"/>
    <w:rsid w:val="004070B6"/>
    <w:rsid w:val="004072DD"/>
    <w:rsid w:val="00414412"/>
    <w:rsid w:val="00415971"/>
    <w:rsid w:val="00416B05"/>
    <w:rsid w:val="00420950"/>
    <w:rsid w:val="0042259A"/>
    <w:rsid w:val="00422AFE"/>
    <w:rsid w:val="00423593"/>
    <w:rsid w:val="00424978"/>
    <w:rsid w:val="0042545B"/>
    <w:rsid w:val="00427CBD"/>
    <w:rsid w:val="00431151"/>
    <w:rsid w:val="00432307"/>
    <w:rsid w:val="00436338"/>
    <w:rsid w:val="00437B5A"/>
    <w:rsid w:val="00444E3C"/>
    <w:rsid w:val="00445D5C"/>
    <w:rsid w:val="004465F9"/>
    <w:rsid w:val="004466B0"/>
    <w:rsid w:val="00454A2D"/>
    <w:rsid w:val="004609E1"/>
    <w:rsid w:val="00460C28"/>
    <w:rsid w:val="00461BD2"/>
    <w:rsid w:val="00462A09"/>
    <w:rsid w:val="00462DEC"/>
    <w:rsid w:val="004657E8"/>
    <w:rsid w:val="00467E99"/>
    <w:rsid w:val="00470790"/>
    <w:rsid w:val="00473029"/>
    <w:rsid w:val="00473EE4"/>
    <w:rsid w:val="00474220"/>
    <w:rsid w:val="00477B4C"/>
    <w:rsid w:val="00477B99"/>
    <w:rsid w:val="00485C84"/>
    <w:rsid w:val="00486215"/>
    <w:rsid w:val="0048630D"/>
    <w:rsid w:val="004921CF"/>
    <w:rsid w:val="004951DE"/>
    <w:rsid w:val="004A0BA8"/>
    <w:rsid w:val="004A4084"/>
    <w:rsid w:val="004A489D"/>
    <w:rsid w:val="004A4A2E"/>
    <w:rsid w:val="004A4CD0"/>
    <w:rsid w:val="004A73A8"/>
    <w:rsid w:val="004A75D5"/>
    <w:rsid w:val="004A771F"/>
    <w:rsid w:val="004B004E"/>
    <w:rsid w:val="004B0589"/>
    <w:rsid w:val="004B1783"/>
    <w:rsid w:val="004B65AE"/>
    <w:rsid w:val="004B7661"/>
    <w:rsid w:val="004C1836"/>
    <w:rsid w:val="004C2834"/>
    <w:rsid w:val="004C2FAC"/>
    <w:rsid w:val="004C3CC9"/>
    <w:rsid w:val="004C471F"/>
    <w:rsid w:val="004C5F41"/>
    <w:rsid w:val="004C6D04"/>
    <w:rsid w:val="004D090A"/>
    <w:rsid w:val="004D1755"/>
    <w:rsid w:val="004D31C6"/>
    <w:rsid w:val="004D4293"/>
    <w:rsid w:val="004D5ABB"/>
    <w:rsid w:val="004E0174"/>
    <w:rsid w:val="004E3F83"/>
    <w:rsid w:val="004E4A53"/>
    <w:rsid w:val="004E4DFF"/>
    <w:rsid w:val="004E4F8B"/>
    <w:rsid w:val="004E74F4"/>
    <w:rsid w:val="004F0129"/>
    <w:rsid w:val="004F257F"/>
    <w:rsid w:val="00501612"/>
    <w:rsid w:val="00501639"/>
    <w:rsid w:val="00501EFF"/>
    <w:rsid w:val="0050277D"/>
    <w:rsid w:val="0050689B"/>
    <w:rsid w:val="005068AA"/>
    <w:rsid w:val="00506EDB"/>
    <w:rsid w:val="00511093"/>
    <w:rsid w:val="00512A8E"/>
    <w:rsid w:val="00520422"/>
    <w:rsid w:val="0052085F"/>
    <w:rsid w:val="00523DA2"/>
    <w:rsid w:val="0052404D"/>
    <w:rsid w:val="00530284"/>
    <w:rsid w:val="00532EB7"/>
    <w:rsid w:val="0053418A"/>
    <w:rsid w:val="00535FAA"/>
    <w:rsid w:val="00537F36"/>
    <w:rsid w:val="00540C34"/>
    <w:rsid w:val="00541205"/>
    <w:rsid w:val="005433DE"/>
    <w:rsid w:val="0054420E"/>
    <w:rsid w:val="005472E5"/>
    <w:rsid w:val="0055057E"/>
    <w:rsid w:val="005505CC"/>
    <w:rsid w:val="00550B0C"/>
    <w:rsid w:val="0055113D"/>
    <w:rsid w:val="00552F16"/>
    <w:rsid w:val="005551F3"/>
    <w:rsid w:val="005553B8"/>
    <w:rsid w:val="00556A65"/>
    <w:rsid w:val="00560782"/>
    <w:rsid w:val="00561C0E"/>
    <w:rsid w:val="00567C18"/>
    <w:rsid w:val="005702B8"/>
    <w:rsid w:val="005735B3"/>
    <w:rsid w:val="005801F0"/>
    <w:rsid w:val="005826CC"/>
    <w:rsid w:val="005839B9"/>
    <w:rsid w:val="00586DF8"/>
    <w:rsid w:val="00591AB8"/>
    <w:rsid w:val="00591F99"/>
    <w:rsid w:val="0059418C"/>
    <w:rsid w:val="00597954"/>
    <w:rsid w:val="005A4CE7"/>
    <w:rsid w:val="005B0968"/>
    <w:rsid w:val="005B10C2"/>
    <w:rsid w:val="005B3509"/>
    <w:rsid w:val="005B3DCF"/>
    <w:rsid w:val="005B430B"/>
    <w:rsid w:val="005B5A1C"/>
    <w:rsid w:val="005B5D4F"/>
    <w:rsid w:val="005B6716"/>
    <w:rsid w:val="005B6C80"/>
    <w:rsid w:val="005B6CF0"/>
    <w:rsid w:val="005C4F38"/>
    <w:rsid w:val="005C5196"/>
    <w:rsid w:val="005D43FD"/>
    <w:rsid w:val="005D65E6"/>
    <w:rsid w:val="005D7F17"/>
    <w:rsid w:val="005F19CB"/>
    <w:rsid w:val="006011C8"/>
    <w:rsid w:val="00601EB0"/>
    <w:rsid w:val="006024FD"/>
    <w:rsid w:val="0060310C"/>
    <w:rsid w:val="00605FAC"/>
    <w:rsid w:val="006200AB"/>
    <w:rsid w:val="00620450"/>
    <w:rsid w:val="00620911"/>
    <w:rsid w:val="00620C61"/>
    <w:rsid w:val="00626290"/>
    <w:rsid w:val="00627F57"/>
    <w:rsid w:val="00635F07"/>
    <w:rsid w:val="0063757A"/>
    <w:rsid w:val="00642595"/>
    <w:rsid w:val="00647525"/>
    <w:rsid w:val="006479FE"/>
    <w:rsid w:val="00654E17"/>
    <w:rsid w:val="0066216C"/>
    <w:rsid w:val="006675EA"/>
    <w:rsid w:val="00671E1E"/>
    <w:rsid w:val="006722A0"/>
    <w:rsid w:val="006724B9"/>
    <w:rsid w:val="00672587"/>
    <w:rsid w:val="0067512C"/>
    <w:rsid w:val="00677AB5"/>
    <w:rsid w:val="006812E2"/>
    <w:rsid w:val="00681A96"/>
    <w:rsid w:val="0068436C"/>
    <w:rsid w:val="00685DA5"/>
    <w:rsid w:val="00686B49"/>
    <w:rsid w:val="00694EC1"/>
    <w:rsid w:val="006956E5"/>
    <w:rsid w:val="0069644B"/>
    <w:rsid w:val="006976AD"/>
    <w:rsid w:val="00697E3B"/>
    <w:rsid w:val="006A6116"/>
    <w:rsid w:val="006A7E4F"/>
    <w:rsid w:val="006B02E9"/>
    <w:rsid w:val="006B369F"/>
    <w:rsid w:val="006B4DC6"/>
    <w:rsid w:val="006B4E8D"/>
    <w:rsid w:val="006B5DE9"/>
    <w:rsid w:val="006B6806"/>
    <w:rsid w:val="006B72C2"/>
    <w:rsid w:val="006C2DBE"/>
    <w:rsid w:val="006C3DBC"/>
    <w:rsid w:val="006C5C46"/>
    <w:rsid w:val="006C5F03"/>
    <w:rsid w:val="006C6BFE"/>
    <w:rsid w:val="006C6D39"/>
    <w:rsid w:val="006C7F18"/>
    <w:rsid w:val="006D02C0"/>
    <w:rsid w:val="006D184F"/>
    <w:rsid w:val="006D2377"/>
    <w:rsid w:val="006D26CF"/>
    <w:rsid w:val="006D2D7B"/>
    <w:rsid w:val="006D334C"/>
    <w:rsid w:val="006D3595"/>
    <w:rsid w:val="006D4C2A"/>
    <w:rsid w:val="006D6793"/>
    <w:rsid w:val="006E0463"/>
    <w:rsid w:val="006E0F6A"/>
    <w:rsid w:val="006E5BEA"/>
    <w:rsid w:val="006F0EB7"/>
    <w:rsid w:val="00700F72"/>
    <w:rsid w:val="00701830"/>
    <w:rsid w:val="00702F63"/>
    <w:rsid w:val="00711E9D"/>
    <w:rsid w:val="007130CE"/>
    <w:rsid w:val="00714DB9"/>
    <w:rsid w:val="00714DC9"/>
    <w:rsid w:val="007155CA"/>
    <w:rsid w:val="0071700B"/>
    <w:rsid w:val="00717BD5"/>
    <w:rsid w:val="00720FED"/>
    <w:rsid w:val="007249D7"/>
    <w:rsid w:val="007252DA"/>
    <w:rsid w:val="00725DC3"/>
    <w:rsid w:val="00726F3A"/>
    <w:rsid w:val="00732798"/>
    <w:rsid w:val="00734C2E"/>
    <w:rsid w:val="0073604B"/>
    <w:rsid w:val="00737264"/>
    <w:rsid w:val="00740CE1"/>
    <w:rsid w:val="00741B47"/>
    <w:rsid w:val="00746C0D"/>
    <w:rsid w:val="00750326"/>
    <w:rsid w:val="00757401"/>
    <w:rsid w:val="00757673"/>
    <w:rsid w:val="007576FA"/>
    <w:rsid w:val="00757C71"/>
    <w:rsid w:val="00761868"/>
    <w:rsid w:val="00763D77"/>
    <w:rsid w:val="00763EDE"/>
    <w:rsid w:val="00764F01"/>
    <w:rsid w:val="00765C4D"/>
    <w:rsid w:val="00773D16"/>
    <w:rsid w:val="007740A8"/>
    <w:rsid w:val="00775C8A"/>
    <w:rsid w:val="00775F73"/>
    <w:rsid w:val="007812B6"/>
    <w:rsid w:val="007815C4"/>
    <w:rsid w:val="00783FBE"/>
    <w:rsid w:val="0078628B"/>
    <w:rsid w:val="0078784C"/>
    <w:rsid w:val="00787EAD"/>
    <w:rsid w:val="00790DEC"/>
    <w:rsid w:val="00792C75"/>
    <w:rsid w:val="007958BF"/>
    <w:rsid w:val="007A129A"/>
    <w:rsid w:val="007A3BE4"/>
    <w:rsid w:val="007A492A"/>
    <w:rsid w:val="007A7E01"/>
    <w:rsid w:val="007B4F3C"/>
    <w:rsid w:val="007B6A97"/>
    <w:rsid w:val="007C2ED5"/>
    <w:rsid w:val="007C3D60"/>
    <w:rsid w:val="007C672F"/>
    <w:rsid w:val="007C6DA4"/>
    <w:rsid w:val="007D0701"/>
    <w:rsid w:val="007D3ECA"/>
    <w:rsid w:val="007D48FF"/>
    <w:rsid w:val="007D5C77"/>
    <w:rsid w:val="007E2CB8"/>
    <w:rsid w:val="007E3308"/>
    <w:rsid w:val="007E52D5"/>
    <w:rsid w:val="007E59E2"/>
    <w:rsid w:val="007E6725"/>
    <w:rsid w:val="007E7187"/>
    <w:rsid w:val="007F00BA"/>
    <w:rsid w:val="007F0BEC"/>
    <w:rsid w:val="007F46F6"/>
    <w:rsid w:val="007F5CB7"/>
    <w:rsid w:val="007F66E6"/>
    <w:rsid w:val="007F68CC"/>
    <w:rsid w:val="007F7EBE"/>
    <w:rsid w:val="00804822"/>
    <w:rsid w:val="00805CCE"/>
    <w:rsid w:val="00813005"/>
    <w:rsid w:val="00813FEF"/>
    <w:rsid w:val="008249B7"/>
    <w:rsid w:val="008261A3"/>
    <w:rsid w:val="00826879"/>
    <w:rsid w:val="008272FD"/>
    <w:rsid w:val="00827A4E"/>
    <w:rsid w:val="00832891"/>
    <w:rsid w:val="008339A8"/>
    <w:rsid w:val="00836959"/>
    <w:rsid w:val="00847D4E"/>
    <w:rsid w:val="008504E9"/>
    <w:rsid w:val="00851D03"/>
    <w:rsid w:val="008536CE"/>
    <w:rsid w:val="00855988"/>
    <w:rsid w:val="00856832"/>
    <w:rsid w:val="00860C40"/>
    <w:rsid w:val="00862A5B"/>
    <w:rsid w:val="00862D4C"/>
    <w:rsid w:val="00865C7C"/>
    <w:rsid w:val="00870558"/>
    <w:rsid w:val="0087175C"/>
    <w:rsid w:val="00873E64"/>
    <w:rsid w:val="00875FFC"/>
    <w:rsid w:val="008773A8"/>
    <w:rsid w:val="00881AB9"/>
    <w:rsid w:val="008825A7"/>
    <w:rsid w:val="00886901"/>
    <w:rsid w:val="008935DC"/>
    <w:rsid w:val="00896608"/>
    <w:rsid w:val="00896F75"/>
    <w:rsid w:val="008A75A2"/>
    <w:rsid w:val="008C0905"/>
    <w:rsid w:val="008C1BF5"/>
    <w:rsid w:val="008C26A3"/>
    <w:rsid w:val="008C4A56"/>
    <w:rsid w:val="008D05CC"/>
    <w:rsid w:val="008D306F"/>
    <w:rsid w:val="008D3912"/>
    <w:rsid w:val="008E4C32"/>
    <w:rsid w:val="008F3789"/>
    <w:rsid w:val="008F5663"/>
    <w:rsid w:val="008F6D3F"/>
    <w:rsid w:val="008F71A1"/>
    <w:rsid w:val="008F7FE1"/>
    <w:rsid w:val="00900B9E"/>
    <w:rsid w:val="00901A45"/>
    <w:rsid w:val="00902AF3"/>
    <w:rsid w:val="009061C2"/>
    <w:rsid w:val="0090739B"/>
    <w:rsid w:val="00915FA4"/>
    <w:rsid w:val="00916477"/>
    <w:rsid w:val="00916C81"/>
    <w:rsid w:val="00916D11"/>
    <w:rsid w:val="0091781B"/>
    <w:rsid w:val="009179FB"/>
    <w:rsid w:val="009203FD"/>
    <w:rsid w:val="00920E39"/>
    <w:rsid w:val="009264DF"/>
    <w:rsid w:val="00931274"/>
    <w:rsid w:val="0093682F"/>
    <w:rsid w:val="00941003"/>
    <w:rsid w:val="009425B3"/>
    <w:rsid w:val="00945BF2"/>
    <w:rsid w:val="0094711E"/>
    <w:rsid w:val="00952951"/>
    <w:rsid w:val="00953A07"/>
    <w:rsid w:val="00954442"/>
    <w:rsid w:val="00957398"/>
    <w:rsid w:val="0096219B"/>
    <w:rsid w:val="00963289"/>
    <w:rsid w:val="009658DA"/>
    <w:rsid w:val="0096675F"/>
    <w:rsid w:val="00966884"/>
    <w:rsid w:val="00970132"/>
    <w:rsid w:val="00971D8C"/>
    <w:rsid w:val="00972425"/>
    <w:rsid w:val="009733F5"/>
    <w:rsid w:val="00975695"/>
    <w:rsid w:val="009815DF"/>
    <w:rsid w:val="0098683C"/>
    <w:rsid w:val="009923A9"/>
    <w:rsid w:val="009964CD"/>
    <w:rsid w:val="00997637"/>
    <w:rsid w:val="009A27D2"/>
    <w:rsid w:val="009B1062"/>
    <w:rsid w:val="009B4CA0"/>
    <w:rsid w:val="009B5513"/>
    <w:rsid w:val="009B626F"/>
    <w:rsid w:val="009B7251"/>
    <w:rsid w:val="009C0ABF"/>
    <w:rsid w:val="009D14CA"/>
    <w:rsid w:val="009D3661"/>
    <w:rsid w:val="009D542F"/>
    <w:rsid w:val="009D5757"/>
    <w:rsid w:val="009E1383"/>
    <w:rsid w:val="009E1D78"/>
    <w:rsid w:val="009E2F7A"/>
    <w:rsid w:val="009E5B17"/>
    <w:rsid w:val="009E78B5"/>
    <w:rsid w:val="009E798E"/>
    <w:rsid w:val="009F1127"/>
    <w:rsid w:val="009F4BE0"/>
    <w:rsid w:val="009F6FBF"/>
    <w:rsid w:val="009F70DC"/>
    <w:rsid w:val="00A02C15"/>
    <w:rsid w:val="00A0349A"/>
    <w:rsid w:val="00A04427"/>
    <w:rsid w:val="00A04B91"/>
    <w:rsid w:val="00A04EF1"/>
    <w:rsid w:val="00A069E1"/>
    <w:rsid w:val="00A1019C"/>
    <w:rsid w:val="00A10638"/>
    <w:rsid w:val="00A11648"/>
    <w:rsid w:val="00A1368B"/>
    <w:rsid w:val="00A1523F"/>
    <w:rsid w:val="00A2029A"/>
    <w:rsid w:val="00A22B0A"/>
    <w:rsid w:val="00A22B1C"/>
    <w:rsid w:val="00A24878"/>
    <w:rsid w:val="00A26E89"/>
    <w:rsid w:val="00A30DC0"/>
    <w:rsid w:val="00A32D0C"/>
    <w:rsid w:val="00A3587B"/>
    <w:rsid w:val="00A41956"/>
    <w:rsid w:val="00A43EB3"/>
    <w:rsid w:val="00A46F6F"/>
    <w:rsid w:val="00A47DD9"/>
    <w:rsid w:val="00A50ADD"/>
    <w:rsid w:val="00A50FB9"/>
    <w:rsid w:val="00A51F4E"/>
    <w:rsid w:val="00A5397B"/>
    <w:rsid w:val="00A54DA6"/>
    <w:rsid w:val="00A6116D"/>
    <w:rsid w:val="00A6157E"/>
    <w:rsid w:val="00A6502C"/>
    <w:rsid w:val="00A71C73"/>
    <w:rsid w:val="00A72188"/>
    <w:rsid w:val="00A734EF"/>
    <w:rsid w:val="00A737D3"/>
    <w:rsid w:val="00A73873"/>
    <w:rsid w:val="00A764C1"/>
    <w:rsid w:val="00A8041F"/>
    <w:rsid w:val="00A8062A"/>
    <w:rsid w:val="00A807A5"/>
    <w:rsid w:val="00A842F8"/>
    <w:rsid w:val="00A87B0A"/>
    <w:rsid w:val="00A93198"/>
    <w:rsid w:val="00A9668D"/>
    <w:rsid w:val="00A97137"/>
    <w:rsid w:val="00AA1BF0"/>
    <w:rsid w:val="00AA4441"/>
    <w:rsid w:val="00AA4727"/>
    <w:rsid w:val="00AA5045"/>
    <w:rsid w:val="00AA73FE"/>
    <w:rsid w:val="00AB14AF"/>
    <w:rsid w:val="00AC390C"/>
    <w:rsid w:val="00AC51F3"/>
    <w:rsid w:val="00AC532F"/>
    <w:rsid w:val="00AC710B"/>
    <w:rsid w:val="00AC7316"/>
    <w:rsid w:val="00AD0B89"/>
    <w:rsid w:val="00AD47D4"/>
    <w:rsid w:val="00AD62D8"/>
    <w:rsid w:val="00AE1546"/>
    <w:rsid w:val="00AE33D9"/>
    <w:rsid w:val="00AE7A63"/>
    <w:rsid w:val="00AF267E"/>
    <w:rsid w:val="00AF627C"/>
    <w:rsid w:val="00AF7CE1"/>
    <w:rsid w:val="00B00E7C"/>
    <w:rsid w:val="00B011E3"/>
    <w:rsid w:val="00B03934"/>
    <w:rsid w:val="00B048B1"/>
    <w:rsid w:val="00B12C6B"/>
    <w:rsid w:val="00B13276"/>
    <w:rsid w:val="00B139D9"/>
    <w:rsid w:val="00B22712"/>
    <w:rsid w:val="00B22DD8"/>
    <w:rsid w:val="00B26826"/>
    <w:rsid w:val="00B31D15"/>
    <w:rsid w:val="00B31D8E"/>
    <w:rsid w:val="00B351C5"/>
    <w:rsid w:val="00B437D7"/>
    <w:rsid w:val="00B43C10"/>
    <w:rsid w:val="00B46744"/>
    <w:rsid w:val="00B477DB"/>
    <w:rsid w:val="00B5050B"/>
    <w:rsid w:val="00B50EBF"/>
    <w:rsid w:val="00B52C51"/>
    <w:rsid w:val="00B53ED3"/>
    <w:rsid w:val="00B54E3D"/>
    <w:rsid w:val="00B55214"/>
    <w:rsid w:val="00B63231"/>
    <w:rsid w:val="00B64AEB"/>
    <w:rsid w:val="00B64D08"/>
    <w:rsid w:val="00B70A39"/>
    <w:rsid w:val="00B72EEE"/>
    <w:rsid w:val="00B767FE"/>
    <w:rsid w:val="00B76A2F"/>
    <w:rsid w:val="00B76F72"/>
    <w:rsid w:val="00B809B1"/>
    <w:rsid w:val="00B824F1"/>
    <w:rsid w:val="00B825F8"/>
    <w:rsid w:val="00B84526"/>
    <w:rsid w:val="00B87183"/>
    <w:rsid w:val="00B92AD4"/>
    <w:rsid w:val="00BA4263"/>
    <w:rsid w:val="00BB1819"/>
    <w:rsid w:val="00BB4EBA"/>
    <w:rsid w:val="00BB5DA9"/>
    <w:rsid w:val="00BB5F9A"/>
    <w:rsid w:val="00BC014F"/>
    <w:rsid w:val="00BD61A7"/>
    <w:rsid w:val="00BE114C"/>
    <w:rsid w:val="00BF03A9"/>
    <w:rsid w:val="00BF0F57"/>
    <w:rsid w:val="00BF17BB"/>
    <w:rsid w:val="00BF31B4"/>
    <w:rsid w:val="00BF7112"/>
    <w:rsid w:val="00C00948"/>
    <w:rsid w:val="00C03501"/>
    <w:rsid w:val="00C06CDB"/>
    <w:rsid w:val="00C06D0F"/>
    <w:rsid w:val="00C070FB"/>
    <w:rsid w:val="00C12339"/>
    <w:rsid w:val="00C13799"/>
    <w:rsid w:val="00C2460C"/>
    <w:rsid w:val="00C2552A"/>
    <w:rsid w:val="00C26E57"/>
    <w:rsid w:val="00C27C70"/>
    <w:rsid w:val="00C308BE"/>
    <w:rsid w:val="00C31F5F"/>
    <w:rsid w:val="00C40FD8"/>
    <w:rsid w:val="00C41733"/>
    <w:rsid w:val="00C462C4"/>
    <w:rsid w:val="00C55A65"/>
    <w:rsid w:val="00C60C71"/>
    <w:rsid w:val="00C632B3"/>
    <w:rsid w:val="00C63B7C"/>
    <w:rsid w:val="00C700D4"/>
    <w:rsid w:val="00C70D48"/>
    <w:rsid w:val="00C77158"/>
    <w:rsid w:val="00C77DFE"/>
    <w:rsid w:val="00C8558C"/>
    <w:rsid w:val="00C86EF5"/>
    <w:rsid w:val="00C90A57"/>
    <w:rsid w:val="00C92120"/>
    <w:rsid w:val="00C966DA"/>
    <w:rsid w:val="00C976B2"/>
    <w:rsid w:val="00CA0D89"/>
    <w:rsid w:val="00CA1213"/>
    <w:rsid w:val="00CA3607"/>
    <w:rsid w:val="00CA51C2"/>
    <w:rsid w:val="00CA54DB"/>
    <w:rsid w:val="00CA72F1"/>
    <w:rsid w:val="00CB052B"/>
    <w:rsid w:val="00CB1807"/>
    <w:rsid w:val="00CB2DCB"/>
    <w:rsid w:val="00CB4591"/>
    <w:rsid w:val="00CC0473"/>
    <w:rsid w:val="00CC3ED1"/>
    <w:rsid w:val="00CC4988"/>
    <w:rsid w:val="00CD66D5"/>
    <w:rsid w:val="00CE0A40"/>
    <w:rsid w:val="00CE1852"/>
    <w:rsid w:val="00CE2946"/>
    <w:rsid w:val="00CE4329"/>
    <w:rsid w:val="00CF157E"/>
    <w:rsid w:val="00CF7619"/>
    <w:rsid w:val="00CF77CB"/>
    <w:rsid w:val="00D00EA0"/>
    <w:rsid w:val="00D01A50"/>
    <w:rsid w:val="00D05D33"/>
    <w:rsid w:val="00D160F3"/>
    <w:rsid w:val="00D17B72"/>
    <w:rsid w:val="00D201E6"/>
    <w:rsid w:val="00D20FFB"/>
    <w:rsid w:val="00D23118"/>
    <w:rsid w:val="00D3261D"/>
    <w:rsid w:val="00D33A08"/>
    <w:rsid w:val="00D35F06"/>
    <w:rsid w:val="00D36226"/>
    <w:rsid w:val="00D41515"/>
    <w:rsid w:val="00D455D4"/>
    <w:rsid w:val="00D46DC4"/>
    <w:rsid w:val="00D5062B"/>
    <w:rsid w:val="00D5575F"/>
    <w:rsid w:val="00D601BA"/>
    <w:rsid w:val="00D60633"/>
    <w:rsid w:val="00D620FF"/>
    <w:rsid w:val="00D62C8C"/>
    <w:rsid w:val="00D63E1C"/>
    <w:rsid w:val="00D65A90"/>
    <w:rsid w:val="00D65BF3"/>
    <w:rsid w:val="00D67A93"/>
    <w:rsid w:val="00D73D35"/>
    <w:rsid w:val="00D74C34"/>
    <w:rsid w:val="00D7538E"/>
    <w:rsid w:val="00D7679A"/>
    <w:rsid w:val="00D76A3B"/>
    <w:rsid w:val="00D7762F"/>
    <w:rsid w:val="00D83505"/>
    <w:rsid w:val="00D91D07"/>
    <w:rsid w:val="00D9240C"/>
    <w:rsid w:val="00DA69A4"/>
    <w:rsid w:val="00DB08CC"/>
    <w:rsid w:val="00DC273F"/>
    <w:rsid w:val="00DC38B8"/>
    <w:rsid w:val="00DC4475"/>
    <w:rsid w:val="00DC475E"/>
    <w:rsid w:val="00DC58C0"/>
    <w:rsid w:val="00DD6C06"/>
    <w:rsid w:val="00DE11A5"/>
    <w:rsid w:val="00DE25A0"/>
    <w:rsid w:val="00DE3BB6"/>
    <w:rsid w:val="00DE4E91"/>
    <w:rsid w:val="00DF39D2"/>
    <w:rsid w:val="00DF56A7"/>
    <w:rsid w:val="00E01912"/>
    <w:rsid w:val="00E04749"/>
    <w:rsid w:val="00E06E54"/>
    <w:rsid w:val="00E07A22"/>
    <w:rsid w:val="00E1594C"/>
    <w:rsid w:val="00E21911"/>
    <w:rsid w:val="00E231CD"/>
    <w:rsid w:val="00E2417A"/>
    <w:rsid w:val="00E2526F"/>
    <w:rsid w:val="00E25B4B"/>
    <w:rsid w:val="00E26437"/>
    <w:rsid w:val="00E37F4B"/>
    <w:rsid w:val="00E411A9"/>
    <w:rsid w:val="00E4387D"/>
    <w:rsid w:val="00E43A22"/>
    <w:rsid w:val="00E476AC"/>
    <w:rsid w:val="00E523C2"/>
    <w:rsid w:val="00E5325E"/>
    <w:rsid w:val="00E54CEB"/>
    <w:rsid w:val="00E557D7"/>
    <w:rsid w:val="00E55E85"/>
    <w:rsid w:val="00E560EA"/>
    <w:rsid w:val="00E62588"/>
    <w:rsid w:val="00E6313E"/>
    <w:rsid w:val="00E7396A"/>
    <w:rsid w:val="00E73FD6"/>
    <w:rsid w:val="00E74EFA"/>
    <w:rsid w:val="00E76CD4"/>
    <w:rsid w:val="00E86CF4"/>
    <w:rsid w:val="00E91C1D"/>
    <w:rsid w:val="00E924B7"/>
    <w:rsid w:val="00E94105"/>
    <w:rsid w:val="00E94476"/>
    <w:rsid w:val="00E97C4A"/>
    <w:rsid w:val="00EA067A"/>
    <w:rsid w:val="00EA1A26"/>
    <w:rsid w:val="00EA2F92"/>
    <w:rsid w:val="00EA58B5"/>
    <w:rsid w:val="00EA5A23"/>
    <w:rsid w:val="00EA7141"/>
    <w:rsid w:val="00EB5774"/>
    <w:rsid w:val="00EB6169"/>
    <w:rsid w:val="00EB64CF"/>
    <w:rsid w:val="00EB74A3"/>
    <w:rsid w:val="00EC1F3E"/>
    <w:rsid w:val="00EC65CA"/>
    <w:rsid w:val="00ED2C01"/>
    <w:rsid w:val="00ED7B9C"/>
    <w:rsid w:val="00EE3131"/>
    <w:rsid w:val="00EF084C"/>
    <w:rsid w:val="00EF0F49"/>
    <w:rsid w:val="00EF26EB"/>
    <w:rsid w:val="00EF291C"/>
    <w:rsid w:val="00EF584E"/>
    <w:rsid w:val="00EF724C"/>
    <w:rsid w:val="00F014BA"/>
    <w:rsid w:val="00F02583"/>
    <w:rsid w:val="00F0478E"/>
    <w:rsid w:val="00F0753B"/>
    <w:rsid w:val="00F14A3D"/>
    <w:rsid w:val="00F1565A"/>
    <w:rsid w:val="00F156C3"/>
    <w:rsid w:val="00F2461B"/>
    <w:rsid w:val="00F25E14"/>
    <w:rsid w:val="00F30344"/>
    <w:rsid w:val="00F34A2F"/>
    <w:rsid w:val="00F34F73"/>
    <w:rsid w:val="00F444F7"/>
    <w:rsid w:val="00F44874"/>
    <w:rsid w:val="00F462EB"/>
    <w:rsid w:val="00F50082"/>
    <w:rsid w:val="00F519C6"/>
    <w:rsid w:val="00F5406C"/>
    <w:rsid w:val="00F55497"/>
    <w:rsid w:val="00F5558B"/>
    <w:rsid w:val="00F56075"/>
    <w:rsid w:val="00F57A5E"/>
    <w:rsid w:val="00F62599"/>
    <w:rsid w:val="00F62C3C"/>
    <w:rsid w:val="00F63B47"/>
    <w:rsid w:val="00F64602"/>
    <w:rsid w:val="00F65701"/>
    <w:rsid w:val="00F70A1B"/>
    <w:rsid w:val="00F70A39"/>
    <w:rsid w:val="00F7230C"/>
    <w:rsid w:val="00F74C22"/>
    <w:rsid w:val="00F80B2F"/>
    <w:rsid w:val="00F81D1A"/>
    <w:rsid w:val="00F84389"/>
    <w:rsid w:val="00F851EC"/>
    <w:rsid w:val="00F86B1F"/>
    <w:rsid w:val="00F87AF0"/>
    <w:rsid w:val="00F96F1F"/>
    <w:rsid w:val="00FA0025"/>
    <w:rsid w:val="00FA0E7F"/>
    <w:rsid w:val="00FA24B0"/>
    <w:rsid w:val="00FA2DE7"/>
    <w:rsid w:val="00FA4314"/>
    <w:rsid w:val="00FA45BB"/>
    <w:rsid w:val="00FA5099"/>
    <w:rsid w:val="00FA5817"/>
    <w:rsid w:val="00FA72FD"/>
    <w:rsid w:val="00FB04B7"/>
    <w:rsid w:val="00FB4A20"/>
    <w:rsid w:val="00FB698B"/>
    <w:rsid w:val="00FC2F44"/>
    <w:rsid w:val="00FC63D2"/>
    <w:rsid w:val="00FD1510"/>
    <w:rsid w:val="00FD30D6"/>
    <w:rsid w:val="00FD6378"/>
    <w:rsid w:val="00FE1A3F"/>
    <w:rsid w:val="00FE2612"/>
    <w:rsid w:val="00FE2DE8"/>
    <w:rsid w:val="00FE3E06"/>
    <w:rsid w:val="00FF018B"/>
    <w:rsid w:val="00FF0708"/>
    <w:rsid w:val="00FF0CF2"/>
    <w:rsid w:val="00FF170B"/>
    <w:rsid w:val="00FF3038"/>
    <w:rsid w:val="00FF432E"/>
    <w:rsid w:val="00FF47AC"/>
    <w:rsid w:val="00FF7048"/>
    <w:rsid w:val="00FF7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362394BD"/>
  <w15:docId w15:val="{7A57148D-F544-4068-AC86-9E26F03B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de-DE" w:eastAsia="ja-JP"/>
    </w:rPr>
  </w:style>
  <w:style w:type="paragraph" w:styleId="Heading1">
    <w:name w:val="heading 1"/>
    <w:basedOn w:val="Normal"/>
    <w:link w:val="Heading1Char"/>
    <w:uiPriority w:val="9"/>
    <w:qFormat/>
    <w:rsid w:val="00626290"/>
    <w:pPr>
      <w:spacing w:before="100" w:beforeAutospacing="1" w:after="100" w:afterAutospacing="1"/>
      <w:outlineLvl w:val="0"/>
    </w:pPr>
    <w:rPr>
      <w:rFonts w:eastAsia="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German">
    <w:name w:val="TitleGerman"/>
    <w:basedOn w:val="Normal"/>
    <w:next w:val="Normal"/>
    <w:rsid w:val="0042259A"/>
    <w:pPr>
      <w:spacing w:before="200" w:after="120" w:line="300" w:lineRule="exact"/>
    </w:pPr>
    <w:rPr>
      <w:b/>
      <w:sz w:val="28"/>
      <w:szCs w:val="28"/>
    </w:rPr>
  </w:style>
  <w:style w:type="paragraph" w:customStyle="1" w:styleId="Authors">
    <w:name w:val="Authors"/>
    <w:basedOn w:val="Normal"/>
    <w:rsid w:val="00D41515"/>
    <w:pPr>
      <w:spacing w:before="360" w:after="240" w:line="260" w:lineRule="exact"/>
    </w:pPr>
    <w:rPr>
      <w:sz w:val="28"/>
      <w:lang w:val="en-GB"/>
    </w:rPr>
  </w:style>
  <w:style w:type="paragraph" w:customStyle="1" w:styleId="Dedication">
    <w:name w:val="Dedication"/>
    <w:basedOn w:val="Normal"/>
    <w:rsid w:val="009D14CA"/>
    <w:pPr>
      <w:spacing w:before="230" w:after="460" w:line="230" w:lineRule="exact"/>
      <w:contextualSpacing/>
    </w:pPr>
    <w:rPr>
      <w:i/>
      <w:sz w:val="18"/>
    </w:rPr>
  </w:style>
  <w:style w:type="paragraph" w:customStyle="1" w:styleId="P1withoutIndendation">
    <w:name w:val="P1_without_Indendation"/>
    <w:basedOn w:val="Normal"/>
    <w:rsid w:val="00DC475E"/>
    <w:pPr>
      <w:spacing w:line="230" w:lineRule="exact"/>
      <w:jc w:val="both"/>
    </w:pPr>
    <w:rPr>
      <w:sz w:val="22"/>
    </w:rPr>
  </w:style>
  <w:style w:type="paragraph" w:customStyle="1" w:styleId="History">
    <w:name w:val="History"/>
    <w:basedOn w:val="Normal"/>
    <w:rsid w:val="009E1383"/>
    <w:pPr>
      <w:spacing w:before="240" w:after="240" w:line="180" w:lineRule="exact"/>
    </w:pPr>
    <w:rPr>
      <w:sz w:val="20"/>
      <w:szCs w:val="16"/>
    </w:rPr>
  </w:style>
  <w:style w:type="paragraph" w:styleId="FootnoteText">
    <w:name w:val="footnote text"/>
    <w:basedOn w:val="Normal"/>
    <w:semiHidden/>
    <w:rsid w:val="00F62599"/>
    <w:rPr>
      <w:sz w:val="20"/>
      <w:szCs w:val="20"/>
    </w:rPr>
  </w:style>
  <w:style w:type="character" w:styleId="FootnoteReference">
    <w:name w:val="footnote reference"/>
    <w:semiHidden/>
    <w:rsid w:val="00F62599"/>
    <w:rPr>
      <w:vertAlign w:val="superscript"/>
    </w:rPr>
  </w:style>
  <w:style w:type="paragraph" w:customStyle="1" w:styleId="Address">
    <w:name w:val="*Address"/>
    <w:basedOn w:val="FootnoteText"/>
    <w:rsid w:val="00002312"/>
    <w:pPr>
      <w:spacing w:before="230" w:line="200" w:lineRule="exact"/>
    </w:pPr>
    <w:rPr>
      <w:rFonts w:ascii="Arial" w:hAnsi="Arial"/>
      <w:sz w:val="16"/>
    </w:rPr>
  </w:style>
  <w:style w:type="paragraph" w:customStyle="1" w:styleId="SupportingInformation">
    <w:name w:val="SupportingInformation"/>
    <w:basedOn w:val="Address"/>
    <w:rsid w:val="009E1383"/>
    <w:pPr>
      <w:spacing w:before="120" w:after="360" w:line="180" w:lineRule="exact"/>
    </w:pPr>
    <w:rPr>
      <w:rFonts w:ascii="Times New Roman" w:hAnsi="Times New Roman"/>
      <w:sz w:val="20"/>
      <w:szCs w:val="14"/>
      <w:lang w:val="en-GB"/>
    </w:rPr>
  </w:style>
  <w:style w:type="paragraph" w:customStyle="1" w:styleId="References">
    <w:name w:val="References"/>
    <w:basedOn w:val="Normal"/>
    <w:rsid w:val="00DC475E"/>
    <w:pPr>
      <w:spacing w:after="120" w:line="230" w:lineRule="exact"/>
      <w:ind w:left="284" w:hanging="284"/>
      <w:jc w:val="both"/>
    </w:pPr>
    <w:rPr>
      <w:sz w:val="20"/>
      <w:szCs w:val="14"/>
      <w:lang w:val="en-GB"/>
    </w:rPr>
  </w:style>
  <w:style w:type="paragraph" w:customStyle="1" w:styleId="ColumnTitle">
    <w:name w:val="ColumnTitle"/>
    <w:basedOn w:val="Normal"/>
    <w:rsid w:val="009E1383"/>
    <w:pPr>
      <w:ind w:right="113"/>
      <w:jc w:val="right"/>
    </w:pPr>
    <w:rPr>
      <w:rFonts w:cs="Arial"/>
      <w:b/>
      <w:color w:val="000000"/>
      <w:spacing w:val="10"/>
      <w:w w:val="110"/>
      <w:sz w:val="40"/>
      <w:szCs w:val="36"/>
      <w:lang w:val="en-GB"/>
    </w:rPr>
  </w:style>
  <w:style w:type="paragraph" w:customStyle="1" w:styleId="ExperimentalSection">
    <w:name w:val="ExperimentalSection"/>
    <w:basedOn w:val="Normal"/>
    <w:rsid w:val="00F30344"/>
    <w:pPr>
      <w:spacing w:after="240" w:line="180" w:lineRule="exact"/>
      <w:jc w:val="both"/>
    </w:pPr>
    <w:rPr>
      <w:sz w:val="20"/>
      <w:szCs w:val="14"/>
      <w:lang w:val="en-GB"/>
    </w:rPr>
  </w:style>
  <w:style w:type="paragraph" w:customStyle="1" w:styleId="HExperimentalSection">
    <w:name w:val="HExperimental_Section"/>
    <w:basedOn w:val="Normal"/>
    <w:rsid w:val="00591F99"/>
    <w:pPr>
      <w:spacing w:before="460" w:after="230" w:line="230" w:lineRule="atLeast"/>
    </w:pPr>
    <w:rPr>
      <w:b/>
      <w:sz w:val="20"/>
      <w:szCs w:val="20"/>
    </w:rPr>
  </w:style>
  <w:style w:type="paragraph" w:customStyle="1" w:styleId="SchemeCaption">
    <w:name w:val="SchemeCaption"/>
    <w:basedOn w:val="Normal"/>
    <w:rsid w:val="00DC475E"/>
    <w:pPr>
      <w:spacing w:before="230" w:after="460" w:line="230" w:lineRule="exact"/>
      <w:jc w:val="both"/>
    </w:pPr>
    <w:rPr>
      <w:sz w:val="20"/>
      <w:szCs w:val="14"/>
      <w:lang w:val="en-GB"/>
    </w:rPr>
  </w:style>
  <w:style w:type="paragraph" w:customStyle="1" w:styleId="FigureCaption">
    <w:name w:val="FigureCaption"/>
    <w:basedOn w:val="Normal"/>
    <w:rsid w:val="00DC475E"/>
    <w:pPr>
      <w:spacing w:before="230" w:after="460" w:line="230" w:lineRule="exact"/>
      <w:jc w:val="both"/>
    </w:pPr>
    <w:rPr>
      <w:sz w:val="20"/>
      <w:szCs w:val="14"/>
      <w:lang w:val="en-GB"/>
    </w:rPr>
  </w:style>
  <w:style w:type="paragraph" w:customStyle="1" w:styleId="TableCaption">
    <w:name w:val="TableCaption"/>
    <w:basedOn w:val="Normal"/>
    <w:rsid w:val="004A4084"/>
    <w:pPr>
      <w:spacing w:before="230" w:after="120" w:line="200" w:lineRule="exact"/>
      <w:jc w:val="both"/>
    </w:pPr>
    <w:rPr>
      <w:sz w:val="20"/>
      <w:szCs w:val="14"/>
      <w:lang w:val="en-GB"/>
    </w:rPr>
  </w:style>
  <w:style w:type="paragraph" w:customStyle="1" w:styleId="TableHead">
    <w:name w:val="TableHead"/>
    <w:basedOn w:val="TableCaption"/>
    <w:rsid w:val="00591F99"/>
    <w:pPr>
      <w:spacing w:before="50" w:after="50"/>
    </w:pPr>
  </w:style>
  <w:style w:type="paragraph" w:customStyle="1" w:styleId="TableBody">
    <w:name w:val="TableBody"/>
    <w:basedOn w:val="Normal"/>
    <w:qFormat/>
    <w:rsid w:val="00560782"/>
    <w:pPr>
      <w:spacing w:line="230" w:lineRule="atLeast"/>
    </w:pPr>
    <w:rPr>
      <w:sz w:val="20"/>
    </w:rPr>
  </w:style>
  <w:style w:type="paragraph" w:customStyle="1" w:styleId="TableFoot">
    <w:name w:val="TableFoot"/>
    <w:basedOn w:val="Normal"/>
    <w:rsid w:val="004A4084"/>
    <w:pPr>
      <w:spacing w:after="460" w:line="230" w:lineRule="exact"/>
      <w:jc w:val="both"/>
    </w:pPr>
    <w:rPr>
      <w:sz w:val="20"/>
      <w:szCs w:val="14"/>
      <w:lang w:val="en-GB"/>
    </w:rPr>
  </w:style>
  <w:style w:type="table" w:styleId="TableGrid">
    <w:name w:val="Table Grid"/>
    <w:basedOn w:val="TableNormal"/>
    <w:rsid w:val="00EA0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words">
    <w:name w:val="Keywords"/>
    <w:basedOn w:val="Normal"/>
    <w:rsid w:val="009E1383"/>
    <w:pPr>
      <w:spacing w:before="240" w:after="120" w:line="220" w:lineRule="exact"/>
    </w:pPr>
    <w:rPr>
      <w:sz w:val="20"/>
      <w:szCs w:val="20"/>
      <w:lang w:val="en-GB"/>
    </w:rPr>
  </w:style>
  <w:style w:type="paragraph" w:customStyle="1" w:styleId="ManuscriptID">
    <w:name w:val="ManuscriptID"/>
    <w:basedOn w:val="Normal"/>
    <w:rsid w:val="00D41515"/>
    <w:pPr>
      <w:spacing w:before="360" w:after="120" w:line="230" w:lineRule="exact"/>
      <w:jc w:val="right"/>
    </w:pPr>
    <w:rPr>
      <w:b/>
      <w:sz w:val="20"/>
      <w:szCs w:val="15"/>
      <w:lang w:val="en-GB"/>
    </w:rPr>
  </w:style>
  <w:style w:type="paragraph" w:customStyle="1" w:styleId="AuthorsTOC">
    <w:name w:val="Authors_TOC"/>
    <w:basedOn w:val="Normal"/>
    <w:rsid w:val="00F30344"/>
    <w:pPr>
      <w:spacing w:before="120" w:after="60" w:line="220" w:lineRule="exact"/>
    </w:pPr>
    <w:rPr>
      <w:sz w:val="22"/>
      <w:szCs w:val="20"/>
      <w:lang w:val="en-GB"/>
    </w:rPr>
  </w:style>
  <w:style w:type="paragraph" w:customStyle="1" w:styleId="ColumnTitleTOC">
    <w:name w:val="ColumnTitle_TOC"/>
    <w:basedOn w:val="Normal"/>
    <w:rsid w:val="007D3ECA"/>
    <w:pPr>
      <w:spacing w:before="120" w:after="60"/>
      <w:jc w:val="right"/>
    </w:pPr>
    <w:rPr>
      <w:rFonts w:cs="Arial"/>
      <w:b/>
      <w:color w:val="008080"/>
      <w:sz w:val="18"/>
      <w:szCs w:val="16"/>
      <w:lang w:val="en-GB"/>
    </w:rPr>
  </w:style>
  <w:style w:type="paragraph" w:customStyle="1" w:styleId="TableOfContentText">
    <w:name w:val="TableOfContentText"/>
    <w:basedOn w:val="Normal"/>
    <w:rsid w:val="007D3ECA"/>
    <w:pPr>
      <w:spacing w:before="120" w:line="220" w:lineRule="exact"/>
    </w:pPr>
    <w:rPr>
      <w:color w:val="000000"/>
      <w:sz w:val="18"/>
    </w:rPr>
  </w:style>
  <w:style w:type="character" w:styleId="Hyperlink">
    <w:name w:val="Hyperlink"/>
    <w:rsid w:val="00740CE1"/>
    <w:rPr>
      <w:color w:val="0000FF"/>
      <w:u w:val="single"/>
    </w:rPr>
  </w:style>
  <w:style w:type="paragraph" w:customStyle="1" w:styleId="P1withIndendation">
    <w:name w:val="P1_with_Indendation"/>
    <w:basedOn w:val="TableCaption"/>
    <w:rsid w:val="004A4084"/>
    <w:pPr>
      <w:spacing w:before="0" w:after="0" w:line="230" w:lineRule="exact"/>
      <w:ind w:firstLine="227"/>
    </w:pPr>
    <w:rPr>
      <w:sz w:val="22"/>
    </w:rPr>
  </w:style>
  <w:style w:type="paragraph" w:customStyle="1" w:styleId="LeadIn">
    <w:name w:val="LeadIn"/>
    <w:basedOn w:val="Normal"/>
    <w:rsid w:val="009B7251"/>
    <w:pPr>
      <w:spacing w:after="460" w:line="280" w:lineRule="exact"/>
    </w:pPr>
    <w:rPr>
      <w:i/>
      <w:sz w:val="22"/>
      <w:szCs w:val="22"/>
      <w:lang w:val="en-GB"/>
    </w:rPr>
  </w:style>
  <w:style w:type="paragraph" w:customStyle="1" w:styleId="H1">
    <w:name w:val="H1"/>
    <w:basedOn w:val="Normal"/>
    <w:rsid w:val="003237A1"/>
    <w:pPr>
      <w:spacing w:before="480" w:after="230" w:line="220" w:lineRule="exact"/>
    </w:pPr>
    <w:rPr>
      <w:b/>
      <w:sz w:val="28"/>
      <w:lang w:val="en-GB"/>
    </w:rPr>
  </w:style>
  <w:style w:type="paragraph" w:customStyle="1" w:styleId="H2">
    <w:name w:val="H2"/>
    <w:basedOn w:val="H1"/>
    <w:rsid w:val="00790DEC"/>
    <w:pPr>
      <w:spacing w:before="230"/>
    </w:pPr>
    <w:rPr>
      <w:i/>
      <w:sz w:val="18"/>
    </w:rPr>
  </w:style>
  <w:style w:type="paragraph" w:customStyle="1" w:styleId="H3">
    <w:name w:val="H3"/>
    <w:basedOn w:val="H2"/>
    <w:rsid w:val="00077560"/>
    <w:rPr>
      <w:b w:val="0"/>
    </w:rPr>
  </w:style>
  <w:style w:type="paragraph" w:customStyle="1" w:styleId="H4">
    <w:name w:val="H4"/>
    <w:basedOn w:val="H3"/>
    <w:rsid w:val="00EA5A23"/>
  </w:style>
  <w:style w:type="paragraph" w:customStyle="1" w:styleId="H5">
    <w:name w:val="H5"/>
    <w:basedOn w:val="H4"/>
    <w:rsid w:val="00B64D08"/>
  </w:style>
  <w:style w:type="paragraph" w:customStyle="1" w:styleId="Biography">
    <w:name w:val="Biography"/>
    <w:basedOn w:val="TableFoot"/>
    <w:rsid w:val="007A3BE4"/>
    <w:pPr>
      <w:spacing w:before="200" w:after="200" w:line="200" w:lineRule="exact"/>
    </w:pPr>
    <w:rPr>
      <w:i/>
    </w:rPr>
  </w:style>
  <w:style w:type="paragraph" w:styleId="Caption">
    <w:name w:val="caption"/>
    <w:basedOn w:val="Normal"/>
    <w:next w:val="Normal"/>
    <w:qFormat/>
    <w:rsid w:val="004D31C6"/>
    <w:pPr>
      <w:spacing w:before="120" w:after="120"/>
    </w:pPr>
    <w:rPr>
      <w:b/>
      <w:bCs/>
      <w:sz w:val="20"/>
      <w:szCs w:val="20"/>
    </w:rPr>
  </w:style>
  <w:style w:type="paragraph" w:styleId="Footer">
    <w:name w:val="footer"/>
    <w:basedOn w:val="Normal"/>
    <w:rsid w:val="00972425"/>
    <w:pPr>
      <w:tabs>
        <w:tab w:val="center" w:pos="4536"/>
        <w:tab w:val="right" w:pos="9072"/>
      </w:tabs>
    </w:pPr>
  </w:style>
  <w:style w:type="character" w:styleId="PageNumber">
    <w:name w:val="page number"/>
    <w:basedOn w:val="DefaultParagraphFont"/>
    <w:rsid w:val="00972425"/>
  </w:style>
  <w:style w:type="paragraph" w:customStyle="1" w:styleId="Abstract">
    <w:name w:val="Abstract"/>
    <w:basedOn w:val="Normal"/>
    <w:rsid w:val="009E1383"/>
    <w:pPr>
      <w:spacing w:line="220" w:lineRule="exact"/>
      <w:jc w:val="both"/>
    </w:pPr>
    <w:rPr>
      <w:sz w:val="20"/>
      <w:szCs w:val="20"/>
      <w:lang w:val="en-GB"/>
    </w:rPr>
  </w:style>
  <w:style w:type="paragraph" w:customStyle="1" w:styleId="HAcknowledgements">
    <w:name w:val="HAcknowledgements"/>
    <w:basedOn w:val="H1"/>
    <w:autoRedefine/>
    <w:rsid w:val="00184380"/>
  </w:style>
  <w:style w:type="paragraph" w:customStyle="1" w:styleId="Acknowledgements">
    <w:name w:val="Acknowledgements"/>
    <w:basedOn w:val="ExperimentalSection"/>
    <w:rsid w:val="00DC475E"/>
    <w:pPr>
      <w:spacing w:before="240" w:after="480"/>
    </w:pPr>
    <w:rPr>
      <w:i/>
      <w:sz w:val="18"/>
    </w:rPr>
  </w:style>
  <w:style w:type="paragraph" w:customStyle="1" w:styleId="TitleTOC">
    <w:name w:val="Title_TOC"/>
    <w:basedOn w:val="AuthorsTOC"/>
    <w:rsid w:val="00EA58B5"/>
    <w:pPr>
      <w:spacing w:before="240"/>
    </w:pPr>
  </w:style>
  <w:style w:type="paragraph" w:customStyle="1" w:styleId="KeywordsTOC">
    <w:name w:val="Keywords_TOC"/>
    <w:basedOn w:val="Keywords"/>
    <w:rsid w:val="007D3ECA"/>
    <w:pPr>
      <w:framePr w:hSpace="141" w:wrap="around" w:hAnchor="text" w:y="673"/>
      <w:spacing w:after="0"/>
    </w:pPr>
    <w:rPr>
      <w:b/>
      <w:sz w:val="18"/>
      <w:szCs w:val="24"/>
    </w:rPr>
  </w:style>
  <w:style w:type="paragraph" w:customStyle="1" w:styleId="Title1">
    <w:name w:val="Title1"/>
    <w:basedOn w:val="TitleGerman"/>
    <w:rsid w:val="00D41515"/>
    <w:rPr>
      <w:sz w:val="36"/>
      <w:lang w:val="en-GB"/>
    </w:rPr>
  </w:style>
  <w:style w:type="paragraph" w:customStyle="1" w:styleId="Address0">
    <w:name w:val="Address"/>
    <w:basedOn w:val="Normal"/>
    <w:rsid w:val="00D41515"/>
    <w:pPr>
      <w:ind w:left="284" w:hanging="284"/>
    </w:pPr>
    <w:rPr>
      <w:sz w:val="20"/>
    </w:rPr>
  </w:style>
  <w:style w:type="paragraph" w:customStyle="1" w:styleId="SubjectHeadingTOC">
    <w:name w:val="SubjectHeading_TOC"/>
    <w:basedOn w:val="Normal"/>
    <w:rsid w:val="00EA58B5"/>
    <w:pPr>
      <w:spacing w:before="60" w:after="60" w:line="230" w:lineRule="exact"/>
    </w:pPr>
    <w:rPr>
      <w:b/>
      <w:color w:val="FFFFFF"/>
      <w:sz w:val="28"/>
      <w:szCs w:val="18"/>
      <w:lang w:val="en-GB"/>
    </w:rPr>
  </w:style>
  <w:style w:type="paragraph" w:customStyle="1" w:styleId="BiographySpacer">
    <w:name w:val="BiographySpacer"/>
    <w:basedOn w:val="Normal"/>
    <w:rsid w:val="00792C75"/>
    <w:rPr>
      <w:noProof/>
      <w:sz w:val="12"/>
    </w:rPr>
  </w:style>
  <w:style w:type="paragraph" w:styleId="Header">
    <w:name w:val="header"/>
    <w:basedOn w:val="Normal"/>
    <w:link w:val="HeaderChar"/>
    <w:uiPriority w:val="99"/>
    <w:semiHidden/>
    <w:unhideWhenUsed/>
    <w:rsid w:val="00560782"/>
    <w:pPr>
      <w:tabs>
        <w:tab w:val="center" w:pos="4703"/>
        <w:tab w:val="right" w:pos="9406"/>
      </w:tabs>
    </w:pPr>
  </w:style>
  <w:style w:type="character" w:customStyle="1" w:styleId="HeaderChar">
    <w:name w:val="Header Char"/>
    <w:link w:val="Header"/>
    <w:uiPriority w:val="99"/>
    <w:semiHidden/>
    <w:rsid w:val="00560782"/>
    <w:rPr>
      <w:sz w:val="24"/>
      <w:szCs w:val="24"/>
      <w:lang w:val="de-DE" w:eastAsia="ja-JP" w:bidi="ar-SA"/>
    </w:rPr>
  </w:style>
  <w:style w:type="paragraph" w:customStyle="1" w:styleId="RSCI02FigureSchemeChartwithtopbar">
    <w:name w:val="RSC I02 Figure/Scheme/Chart with top bar"/>
    <w:basedOn w:val="Normal"/>
    <w:link w:val="RSCI02FigureSchemeChartwithtopbarChar"/>
    <w:qFormat/>
    <w:rsid w:val="00686B49"/>
    <w:pPr>
      <w:pBdr>
        <w:top w:val="single" w:sz="12" w:space="5" w:color="999999"/>
      </w:pBdr>
      <w:spacing w:before="120" w:after="40"/>
      <w:jc w:val="both"/>
    </w:pPr>
    <w:rPr>
      <w:rFonts w:ascii="Calibri" w:eastAsia="Calibri" w:hAnsi="Calibri"/>
      <w:w w:val="108"/>
      <w:sz w:val="14"/>
      <w:szCs w:val="18"/>
      <w:lang w:val="en-GB" w:eastAsia="en-US"/>
    </w:rPr>
  </w:style>
  <w:style w:type="character" w:customStyle="1" w:styleId="RSCI02FigureSchemeChartwithtopbarChar">
    <w:name w:val="RSC I02 Figure/Scheme/Chart with top bar Char"/>
    <w:link w:val="RSCI02FigureSchemeChartwithtopbar"/>
    <w:rsid w:val="00686B49"/>
    <w:rPr>
      <w:rFonts w:ascii="Calibri" w:eastAsia="Calibri" w:hAnsi="Calibri"/>
      <w:w w:val="108"/>
      <w:sz w:val="14"/>
      <w:szCs w:val="18"/>
      <w:lang w:eastAsia="en-US"/>
    </w:rPr>
  </w:style>
  <w:style w:type="paragraph" w:customStyle="1" w:styleId="RSCT05TableFootnotewithoutbottombar">
    <w:name w:val="RSC T05 Table Footnote without bottom bar"/>
    <w:basedOn w:val="Normal"/>
    <w:link w:val="RSCT05TableFootnotewithoutbottombarChar"/>
    <w:qFormat/>
    <w:rsid w:val="00BF17BB"/>
    <w:pPr>
      <w:keepLines/>
      <w:spacing w:before="120" w:after="160" w:line="200" w:lineRule="exact"/>
      <w:jc w:val="both"/>
    </w:pPr>
    <w:rPr>
      <w:rFonts w:ascii="Calibri" w:eastAsia="Times New Roman" w:hAnsi="Calibri"/>
      <w:sz w:val="15"/>
      <w:szCs w:val="20"/>
      <w:lang w:val="en-GB" w:eastAsia="en-GB"/>
    </w:rPr>
  </w:style>
  <w:style w:type="character" w:customStyle="1" w:styleId="RSCT05TableFootnotewithoutbottombarChar">
    <w:name w:val="RSC T05 Table Footnote without bottom bar Char"/>
    <w:link w:val="RSCT05TableFootnotewithoutbottombar"/>
    <w:rsid w:val="00BF17BB"/>
    <w:rPr>
      <w:rFonts w:ascii="Calibri" w:eastAsia="Times New Roman" w:hAnsi="Calibri"/>
      <w:sz w:val="15"/>
    </w:rPr>
  </w:style>
  <w:style w:type="paragraph" w:styleId="NoSpacing">
    <w:name w:val="No Spacing"/>
    <w:uiPriority w:val="1"/>
    <w:rsid w:val="00F70A39"/>
    <w:rPr>
      <w:rFonts w:ascii="Calibri" w:eastAsia="Calibri" w:hAnsi="Calibri"/>
      <w:sz w:val="22"/>
      <w:szCs w:val="22"/>
      <w:lang w:eastAsia="en-US"/>
    </w:rPr>
  </w:style>
  <w:style w:type="paragraph" w:customStyle="1" w:styleId="RSCT02Tabletitlewithouttopbar">
    <w:name w:val="RSC T02 Table title without top bar"/>
    <w:basedOn w:val="Normal"/>
    <w:link w:val="RSCT02TabletitlewithouttopbarChar"/>
    <w:qFormat/>
    <w:rsid w:val="00F70A39"/>
    <w:pPr>
      <w:keepNext/>
      <w:keepLines/>
      <w:pBdr>
        <w:bottom w:val="single" w:sz="6" w:space="1" w:color="auto"/>
      </w:pBdr>
      <w:spacing w:before="120" w:after="120" w:line="200" w:lineRule="exact"/>
      <w:jc w:val="both"/>
    </w:pPr>
    <w:rPr>
      <w:rFonts w:ascii="Calibri" w:eastAsia="Times New Roman" w:hAnsi="Calibri"/>
      <w:sz w:val="14"/>
      <w:szCs w:val="20"/>
      <w:lang w:val="en-GB" w:eastAsia="en-GB"/>
    </w:rPr>
  </w:style>
  <w:style w:type="character" w:customStyle="1" w:styleId="RSCT02TabletitlewithouttopbarChar">
    <w:name w:val="RSC T02 Table title without top bar Char"/>
    <w:link w:val="RSCT02Tabletitlewithouttopbar"/>
    <w:rsid w:val="00F70A39"/>
    <w:rPr>
      <w:rFonts w:ascii="Calibri" w:eastAsia="Times New Roman" w:hAnsi="Calibri"/>
      <w:sz w:val="14"/>
    </w:rPr>
  </w:style>
  <w:style w:type="character" w:customStyle="1" w:styleId="Heading1Char">
    <w:name w:val="Heading 1 Char"/>
    <w:link w:val="Heading1"/>
    <w:uiPriority w:val="9"/>
    <w:rsid w:val="00626290"/>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029368">
      <w:bodyDiv w:val="1"/>
      <w:marLeft w:val="0"/>
      <w:marRight w:val="0"/>
      <w:marTop w:val="0"/>
      <w:marBottom w:val="0"/>
      <w:divBdr>
        <w:top w:val="none" w:sz="0" w:space="0" w:color="auto"/>
        <w:left w:val="none" w:sz="0" w:space="0" w:color="auto"/>
        <w:bottom w:val="none" w:sz="0" w:space="0" w:color="auto"/>
        <w:right w:val="none" w:sz="0" w:space="0" w:color="auto"/>
      </w:divBdr>
    </w:div>
    <w:div w:id="209662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oleObject" Target="embeddings/oleObject5.bin"/><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9.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3.emf"/><Relationship Id="rId24" Type="http://schemas.openxmlformats.org/officeDocument/2006/relationships/oleObject" Target="embeddings/oleObject6.bin"/><Relationship Id="rId5"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1.emf"/><Relationship Id="rId10" Type="http://schemas.openxmlformats.org/officeDocument/2006/relationships/oleObject" Target="embeddings/oleObject1.bin"/><Relationship Id="rId19" Type="http://schemas.openxmlformats.org/officeDocument/2006/relationships/oleObject" Target="embeddings/oleObject4.bin"/><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703\York%202017\papers%20in%20preparation\Paul%20paper%20deadline%2014%20sept\AdvSynCat\2258_full_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2258_full_paper.dot</Template>
  <TotalTime>467</TotalTime>
  <Pages>10</Pages>
  <Words>6224</Words>
  <Characters>35482</Characters>
  <Application>Microsoft Office Word</Application>
  <DocSecurity>0</DocSecurity>
  <Lines>295</Lines>
  <Paragraphs>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((Title))</vt:lpstr>
      <vt:lpstr>((Title))</vt:lpstr>
    </vt:vector>
  </TitlesOfParts>
  <Company>WILEY-VCH Verlag GmbH &amp; Co. KGaA</Company>
  <LinksUpToDate>false</LinksUpToDate>
  <CharactersWithSpaces>41623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Michael North</dc:creator>
  <cp:keywords/>
  <dc:description/>
  <cp:lastModifiedBy>Michael North</cp:lastModifiedBy>
  <cp:revision>37</cp:revision>
  <cp:lastPrinted>2008-04-01T14:55:00Z</cp:lastPrinted>
  <dcterms:created xsi:type="dcterms:W3CDTF">2018-08-20T11:16:00Z</dcterms:created>
  <dcterms:modified xsi:type="dcterms:W3CDTF">2018-10-24T15:16:00Z</dcterms:modified>
</cp:coreProperties>
</file>