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CF3AB" w14:textId="67F76659" w:rsidR="001C1E73" w:rsidRDefault="00895073" w:rsidP="00895073">
      <w:pPr>
        <w:pStyle w:val="Title"/>
      </w:pPr>
      <w:bookmarkStart w:id="0" w:name="_GoBack"/>
      <w:bookmarkEnd w:id="0"/>
      <w:r>
        <w:t>Supplementary information</w:t>
      </w:r>
    </w:p>
    <w:p w14:paraId="0AD9390C" w14:textId="2CC9399C" w:rsidR="002F3EA4" w:rsidRDefault="002F3EA4" w:rsidP="00602EF5">
      <w:pPr>
        <w:pStyle w:val="Subtitle"/>
        <w:rPr>
          <w:lang w:val="en-US"/>
        </w:rPr>
      </w:pPr>
      <w:r>
        <w:rPr>
          <w:lang w:val="en-US"/>
        </w:rPr>
        <w:t>Energy planning tools for low carbon transitions: an example of a multicriteria spatial planning tool for district heating</w:t>
      </w:r>
    </w:p>
    <w:p w14:paraId="4A6E483E" w14:textId="0F678C27" w:rsidR="002F3EA4" w:rsidRDefault="002F3EA4" w:rsidP="00602EF5">
      <w:pPr>
        <w:rPr>
          <w:color w:val="000080"/>
          <w:vertAlign w:val="superscript"/>
          <w:lang w:val="en-US"/>
        </w:rPr>
      </w:pPr>
      <w:r>
        <w:rPr>
          <w:lang w:val="en-US"/>
        </w:rPr>
        <w:t>Ruth E. Bush</w:t>
      </w:r>
      <w:r w:rsidRPr="00602EF5">
        <w:rPr>
          <w:color w:val="000080"/>
          <w:vertAlign w:val="superscript"/>
          <w:lang w:val="en-US"/>
        </w:rPr>
        <w:t>a</w:t>
      </w:r>
      <w:r w:rsidRPr="00602EF5">
        <w:rPr>
          <w:vertAlign w:val="superscript"/>
          <w:lang w:val="en-US"/>
        </w:rPr>
        <w:t>,</w:t>
      </w:r>
      <w:r w:rsidRPr="00602EF5">
        <w:rPr>
          <w:color w:val="000080"/>
          <w:vertAlign w:val="superscript"/>
          <w:lang w:val="en-US"/>
        </w:rPr>
        <w:t>b</w:t>
      </w:r>
      <w:r>
        <w:rPr>
          <w:color w:val="0000FF"/>
          <w:lang w:val="en-US"/>
        </w:rPr>
        <w:t xml:space="preserve">_ </w:t>
      </w:r>
      <w:r>
        <w:rPr>
          <w:lang w:val="en-US"/>
        </w:rPr>
        <w:t>and Catherine S.E. Bale</w:t>
      </w:r>
      <w:r w:rsidRPr="00602EF5">
        <w:rPr>
          <w:color w:val="000080"/>
          <w:vertAlign w:val="superscript"/>
          <w:lang w:val="en-US"/>
        </w:rPr>
        <w:t>c</w:t>
      </w:r>
      <w:r w:rsidRPr="00602EF5">
        <w:rPr>
          <w:vertAlign w:val="superscript"/>
          <w:lang w:val="en-US"/>
        </w:rPr>
        <w:t>,</w:t>
      </w:r>
      <w:r w:rsidRPr="00602EF5">
        <w:rPr>
          <w:color w:val="000080"/>
          <w:vertAlign w:val="superscript"/>
          <w:lang w:val="en-US"/>
        </w:rPr>
        <w:t>d</w:t>
      </w:r>
    </w:p>
    <w:p w14:paraId="03D65CEB" w14:textId="77777777" w:rsidR="002F3EA4" w:rsidRPr="00EE3CB4" w:rsidRDefault="002F3EA4" w:rsidP="00EE3CB4">
      <w:pPr>
        <w:spacing w:before="0" w:after="0" w:line="240" w:lineRule="auto"/>
        <w:rPr>
          <w:sz w:val="20"/>
          <w:szCs w:val="20"/>
          <w:lang w:val="en-US"/>
        </w:rPr>
      </w:pPr>
      <w:r w:rsidRPr="00EE3CB4">
        <w:rPr>
          <w:sz w:val="20"/>
          <w:szCs w:val="20"/>
          <w:vertAlign w:val="superscript"/>
          <w:lang w:val="en-US"/>
        </w:rPr>
        <w:t>a</w:t>
      </w:r>
      <w:r w:rsidRPr="00EE3CB4">
        <w:rPr>
          <w:sz w:val="20"/>
          <w:szCs w:val="20"/>
          <w:lang w:val="en-US"/>
        </w:rPr>
        <w:t>Doctoral Training Centre for Low Carbon Technologies, University of Leeds, Leeds, UK;</w:t>
      </w:r>
    </w:p>
    <w:p w14:paraId="39B5ECBC" w14:textId="77777777" w:rsidR="00602EF5" w:rsidRPr="00EE3CB4" w:rsidRDefault="002F3EA4" w:rsidP="00EE3CB4">
      <w:pPr>
        <w:spacing w:before="0" w:after="0" w:line="240" w:lineRule="auto"/>
        <w:rPr>
          <w:sz w:val="20"/>
          <w:szCs w:val="20"/>
          <w:lang w:val="en-US"/>
        </w:rPr>
      </w:pPr>
      <w:r w:rsidRPr="00EE3CB4">
        <w:rPr>
          <w:sz w:val="20"/>
          <w:szCs w:val="20"/>
          <w:vertAlign w:val="superscript"/>
          <w:lang w:val="en-US"/>
        </w:rPr>
        <w:t>b</w:t>
      </w:r>
      <w:r w:rsidRPr="00EE3CB4">
        <w:rPr>
          <w:sz w:val="20"/>
          <w:szCs w:val="20"/>
          <w:lang w:val="en-US"/>
        </w:rPr>
        <w:t xml:space="preserve">School of Social and Political Science, University of Edinburgh, Edinburgh, UK; </w:t>
      </w:r>
    </w:p>
    <w:p w14:paraId="702BEF26" w14:textId="77777777" w:rsidR="00602EF5" w:rsidRPr="00EE3CB4" w:rsidRDefault="002F3EA4" w:rsidP="00EE3CB4">
      <w:pPr>
        <w:spacing w:before="0" w:after="0" w:line="240" w:lineRule="auto"/>
        <w:rPr>
          <w:sz w:val="20"/>
          <w:szCs w:val="20"/>
          <w:lang w:val="en-US"/>
        </w:rPr>
      </w:pPr>
      <w:r w:rsidRPr="00EE3CB4">
        <w:rPr>
          <w:sz w:val="20"/>
          <w:szCs w:val="20"/>
          <w:vertAlign w:val="superscript"/>
          <w:lang w:val="en-US"/>
        </w:rPr>
        <w:t>c</w:t>
      </w:r>
      <w:r w:rsidRPr="00EE3CB4">
        <w:rPr>
          <w:sz w:val="20"/>
          <w:szCs w:val="20"/>
          <w:lang w:val="en-US"/>
        </w:rPr>
        <w:t>School of</w:t>
      </w:r>
      <w:r w:rsidR="00602EF5" w:rsidRPr="00EE3CB4">
        <w:rPr>
          <w:sz w:val="20"/>
          <w:szCs w:val="20"/>
          <w:lang w:val="en-US"/>
        </w:rPr>
        <w:t xml:space="preserve"> </w:t>
      </w:r>
      <w:r w:rsidRPr="00EE3CB4">
        <w:rPr>
          <w:sz w:val="20"/>
          <w:szCs w:val="20"/>
          <w:lang w:val="en-US"/>
        </w:rPr>
        <w:t xml:space="preserve">Chemical and Process Engineering, University of Leeds, Leeds, UK; </w:t>
      </w:r>
    </w:p>
    <w:p w14:paraId="191E4478" w14:textId="6BD8E06A" w:rsidR="002F3EA4" w:rsidRDefault="002F3EA4" w:rsidP="00EE3CB4">
      <w:pPr>
        <w:spacing w:before="0" w:after="0" w:line="240" w:lineRule="auto"/>
        <w:rPr>
          <w:sz w:val="20"/>
          <w:szCs w:val="20"/>
          <w:lang w:val="en-US"/>
        </w:rPr>
      </w:pPr>
      <w:r w:rsidRPr="00EE3CB4">
        <w:rPr>
          <w:sz w:val="20"/>
          <w:szCs w:val="20"/>
          <w:vertAlign w:val="superscript"/>
          <w:lang w:val="en-US"/>
        </w:rPr>
        <w:t>d</w:t>
      </w:r>
      <w:r w:rsidRPr="00EE3CB4">
        <w:rPr>
          <w:sz w:val="20"/>
          <w:szCs w:val="20"/>
          <w:lang w:val="en-US"/>
        </w:rPr>
        <w:t>Sustainability Research</w:t>
      </w:r>
      <w:r w:rsidR="00602EF5" w:rsidRPr="00EE3CB4">
        <w:rPr>
          <w:sz w:val="20"/>
          <w:szCs w:val="20"/>
          <w:lang w:val="en-US"/>
        </w:rPr>
        <w:t xml:space="preserve"> </w:t>
      </w:r>
      <w:r w:rsidRPr="00EE3CB4">
        <w:rPr>
          <w:sz w:val="20"/>
          <w:szCs w:val="20"/>
          <w:lang w:val="en-US"/>
        </w:rPr>
        <w:t>Institute, School of Earth and Environment, University of Leeds, Leeds, UK</w:t>
      </w:r>
    </w:p>
    <w:p w14:paraId="7A26299B" w14:textId="25171D1D" w:rsidR="008916A0" w:rsidRDefault="008916A0" w:rsidP="00EE3CB4">
      <w:pPr>
        <w:spacing w:before="0" w:after="0" w:line="240" w:lineRule="auto"/>
        <w:rPr>
          <w:sz w:val="20"/>
          <w:szCs w:val="20"/>
          <w:lang w:val="en-US"/>
        </w:rPr>
      </w:pPr>
    </w:p>
    <w:p w14:paraId="5032A519" w14:textId="77777777" w:rsidR="008916A0" w:rsidRPr="008916A0" w:rsidRDefault="008916A0" w:rsidP="008916A0">
      <w:pPr>
        <w:spacing w:line="240" w:lineRule="auto"/>
        <w:rPr>
          <w:sz w:val="20"/>
          <w:szCs w:val="20"/>
          <w:lang w:val="en-US"/>
        </w:rPr>
      </w:pPr>
      <w:r w:rsidRPr="008916A0">
        <w:rPr>
          <w:sz w:val="20"/>
          <w:szCs w:val="20"/>
          <w:lang w:val="en-US"/>
        </w:rPr>
        <w:t>Journal of Environmental Planning and Management, 2018</w:t>
      </w:r>
      <w:r>
        <w:rPr>
          <w:sz w:val="20"/>
          <w:szCs w:val="20"/>
          <w:lang w:val="en-US"/>
        </w:rPr>
        <w:t xml:space="preserve"> </w:t>
      </w:r>
      <w:r w:rsidRPr="008916A0">
        <w:rPr>
          <w:sz w:val="20"/>
          <w:szCs w:val="20"/>
          <w:lang w:val="en-US"/>
        </w:rPr>
        <w:t xml:space="preserve">Vol. 0, No. 0, 1–25, </w:t>
      </w:r>
      <w:hyperlink r:id="rId8" w:history="1">
        <w:r w:rsidRPr="0082386C">
          <w:rPr>
            <w:rStyle w:val="Hyperlink"/>
            <w:sz w:val="20"/>
            <w:szCs w:val="20"/>
            <w:lang w:val="en-US"/>
          </w:rPr>
          <w:t>https://doi.org/10.1080/09640568.2018.1536605</w:t>
        </w:r>
      </w:hyperlink>
      <w:r w:rsidRPr="008916A0">
        <w:rPr>
          <w:sz w:val="20"/>
          <w:szCs w:val="20"/>
          <w:lang w:val="en-US"/>
        </w:rPr>
        <w:t xml:space="preserve"> </w:t>
      </w:r>
    </w:p>
    <w:p w14:paraId="02C4BA7B" w14:textId="77777777" w:rsidR="008916A0" w:rsidRPr="00EE3CB4" w:rsidRDefault="008916A0" w:rsidP="00EE3CB4">
      <w:pPr>
        <w:spacing w:before="0" w:after="0" w:line="240" w:lineRule="auto"/>
        <w:rPr>
          <w:sz w:val="20"/>
          <w:szCs w:val="20"/>
        </w:rPr>
      </w:pPr>
    </w:p>
    <w:p w14:paraId="2BBE30BC" w14:textId="7B8E527A" w:rsidR="00C83059" w:rsidRDefault="008D68B1" w:rsidP="00C83059">
      <w:pPr>
        <w:pStyle w:val="Heading1"/>
      </w:pPr>
      <w:r>
        <w:t>M</w:t>
      </w:r>
      <w:r w:rsidR="00C83059">
        <w:t>ethod for calculating the score of each census super output area in the Leeds Heat Planning Tool</w:t>
      </w:r>
    </w:p>
    <w:p w14:paraId="0745F1CB" w14:textId="458458C9" w:rsidR="001772F0" w:rsidRDefault="00C83059" w:rsidP="00C83059">
      <w:r>
        <w:t xml:space="preserve">The following </w:t>
      </w:r>
      <w:r w:rsidR="001772F0">
        <w:t>supplementary material</w:t>
      </w:r>
      <w:r>
        <w:t xml:space="preserve"> </w:t>
      </w:r>
      <w:r w:rsidR="001772F0">
        <w:t>details</w:t>
      </w:r>
      <w:r>
        <w:t xml:space="preserve"> the methods used for </w:t>
      </w:r>
      <w:r w:rsidR="001772F0">
        <w:t xml:space="preserve">building the Leeds Heat Planning Tool. This includes the publically available data that was used in the tool, the approach to </w:t>
      </w:r>
      <w:r>
        <w:t>p</w:t>
      </w:r>
      <w:r w:rsidR="001772F0">
        <w:t xml:space="preserve">rocessing data </w:t>
      </w:r>
      <w:r>
        <w:t xml:space="preserve">and calculating a score for each </w:t>
      </w:r>
      <w:r w:rsidR="001772F0">
        <w:t>local</w:t>
      </w:r>
      <w:r>
        <w:t xml:space="preserve"> area based upon the weighting assigned to criteria by the user.</w:t>
      </w:r>
    </w:p>
    <w:p w14:paraId="17B174D6" w14:textId="77777777" w:rsidR="001772F0" w:rsidRDefault="001772F0" w:rsidP="001772F0">
      <w:pPr>
        <w:pStyle w:val="Heading2"/>
      </w:pPr>
      <w:r>
        <w:t>Data sets</w:t>
      </w:r>
    </w:p>
    <w:p w14:paraId="3A67CCC1" w14:textId="4F0D3BFA" w:rsidR="001772F0" w:rsidRDefault="001772F0" w:rsidP="001772F0">
      <w:r>
        <w:t>Table 1 details the data sets that were incorporated into the Leeds Heat Planning Tool for use by local government officers in district heating planning activities. The data sets are classified by techno-economic criteria, governance criteria and social criteria.</w:t>
      </w:r>
    </w:p>
    <w:p w14:paraId="0DDBF582" w14:textId="47EBA065" w:rsidR="001772F0" w:rsidRDefault="001772F0" w:rsidP="001772F0">
      <w:r>
        <w:t>Notable areas where data was not publically available consisted of:</w:t>
      </w:r>
    </w:p>
    <w:p w14:paraId="4A6645CE" w14:textId="77777777" w:rsidR="001772F0" w:rsidRDefault="001772F0" w:rsidP="001772F0">
      <w:pPr>
        <w:pStyle w:val="ListParagraph"/>
        <w:numPr>
          <w:ilvl w:val="0"/>
          <w:numId w:val="2"/>
        </w:numPr>
      </w:pPr>
      <w:r>
        <w:t xml:space="preserve">Potential heat sources (other than existing CHP plants), </w:t>
      </w:r>
    </w:p>
    <w:p w14:paraId="5FB7EAF2" w14:textId="68C1A864" w:rsidR="001772F0" w:rsidRDefault="001772F0" w:rsidP="001772F0">
      <w:pPr>
        <w:pStyle w:val="ListParagraph"/>
        <w:numPr>
          <w:ilvl w:val="0"/>
          <w:numId w:val="2"/>
        </w:numPr>
      </w:pPr>
      <w:r>
        <w:t xml:space="preserve">Non-domestic buildings, in particular, large heat demands such as hospitals or swimming pools. </w:t>
      </w:r>
    </w:p>
    <w:p w14:paraId="2DBD35EF" w14:textId="69C8451A" w:rsidR="0055045D" w:rsidRDefault="001772F0" w:rsidP="001772F0">
      <w:r>
        <w:t xml:space="preserve">The tool provides an opportunity for users to add their own information to these areas where they deem it relevant, using post codes to indicate location. </w:t>
      </w:r>
    </w:p>
    <w:p w14:paraId="430FD8D4" w14:textId="77777777" w:rsidR="0055045D" w:rsidRDefault="0055045D">
      <w:pPr>
        <w:spacing w:before="0" w:after="0" w:line="240" w:lineRule="auto"/>
      </w:pPr>
      <w:r>
        <w:br w:type="page"/>
      </w:r>
    </w:p>
    <w:p w14:paraId="4ECADA81" w14:textId="523CB89D" w:rsidR="001772F0" w:rsidRDefault="001772F0" w:rsidP="001772F0">
      <w:pPr>
        <w:pStyle w:val="Caption"/>
        <w:keepNext/>
      </w:pPr>
      <w:r>
        <w:lastRenderedPageBreak/>
        <w:t>Table 1: Data sets included within the Leeds Heat Planning Tool</w:t>
      </w:r>
      <w:r>
        <w:rPr>
          <w:noProof/>
        </w:rPr>
        <w:t xml:space="preserve"> to represent techno-economic, social and governance indicators relevant to district heating development.</w:t>
      </w:r>
    </w:p>
    <w:tbl>
      <w:tblPr>
        <w:tblW w:w="5000" w:type="pct"/>
        <w:tblBorders>
          <w:top w:val="single" w:sz="8" w:space="0" w:color="auto"/>
          <w:bottom w:val="single" w:sz="8" w:space="0" w:color="auto"/>
        </w:tblBorders>
        <w:tblLayout w:type="fixed"/>
        <w:tblLook w:val="04A0" w:firstRow="1" w:lastRow="0" w:firstColumn="1" w:lastColumn="0" w:noHBand="0" w:noVBand="1"/>
      </w:tblPr>
      <w:tblGrid>
        <w:gridCol w:w="388"/>
        <w:gridCol w:w="3631"/>
        <w:gridCol w:w="5001"/>
      </w:tblGrid>
      <w:tr w:rsidR="001772F0" w:rsidRPr="0062579F" w14:paraId="652F72FC" w14:textId="77777777" w:rsidTr="001772F0">
        <w:trPr>
          <w:trHeight w:val="349"/>
        </w:trPr>
        <w:tc>
          <w:tcPr>
            <w:tcW w:w="215" w:type="pct"/>
            <w:tcBorders>
              <w:top w:val="single" w:sz="8" w:space="0" w:color="000000"/>
              <w:bottom w:val="single" w:sz="8" w:space="0" w:color="000000"/>
            </w:tcBorders>
            <w:shd w:val="clear" w:color="auto" w:fill="auto"/>
          </w:tcPr>
          <w:p w14:paraId="572D680B" w14:textId="77777777" w:rsidR="001772F0" w:rsidRPr="00341A16" w:rsidRDefault="001772F0" w:rsidP="001017B7">
            <w:pPr>
              <w:spacing w:line="240" w:lineRule="auto"/>
              <w:rPr>
                <w:sz w:val="20"/>
                <w:szCs w:val="20"/>
              </w:rPr>
            </w:pPr>
          </w:p>
        </w:tc>
        <w:tc>
          <w:tcPr>
            <w:tcW w:w="2013" w:type="pct"/>
            <w:tcBorders>
              <w:top w:val="single" w:sz="8" w:space="0" w:color="000000"/>
              <w:bottom w:val="single" w:sz="8" w:space="0" w:color="000000"/>
            </w:tcBorders>
            <w:shd w:val="clear" w:color="auto" w:fill="auto"/>
            <w:hideMark/>
          </w:tcPr>
          <w:p w14:paraId="03FD5E64" w14:textId="77777777" w:rsidR="001772F0" w:rsidRPr="00341A16" w:rsidRDefault="001772F0" w:rsidP="001772F0">
            <w:pPr>
              <w:spacing w:before="0" w:after="0" w:line="240" w:lineRule="auto"/>
              <w:rPr>
                <w:sz w:val="20"/>
                <w:szCs w:val="20"/>
              </w:rPr>
            </w:pPr>
            <w:r w:rsidRPr="00341A16">
              <w:rPr>
                <w:sz w:val="20"/>
                <w:szCs w:val="20"/>
              </w:rPr>
              <w:t>Data category</w:t>
            </w:r>
          </w:p>
        </w:tc>
        <w:tc>
          <w:tcPr>
            <w:tcW w:w="2773" w:type="pct"/>
            <w:tcBorders>
              <w:top w:val="single" w:sz="8" w:space="0" w:color="000000"/>
              <w:bottom w:val="single" w:sz="8" w:space="0" w:color="000000"/>
            </w:tcBorders>
            <w:shd w:val="clear" w:color="auto" w:fill="auto"/>
            <w:noWrap/>
            <w:hideMark/>
          </w:tcPr>
          <w:p w14:paraId="2A1AE77D" w14:textId="77777777" w:rsidR="001772F0" w:rsidRPr="00341A16" w:rsidRDefault="001772F0" w:rsidP="001772F0">
            <w:pPr>
              <w:spacing w:before="0" w:after="0" w:line="240" w:lineRule="auto"/>
              <w:rPr>
                <w:sz w:val="20"/>
                <w:szCs w:val="20"/>
              </w:rPr>
            </w:pPr>
            <w:r w:rsidRPr="00341A16">
              <w:rPr>
                <w:sz w:val="20"/>
                <w:szCs w:val="20"/>
              </w:rPr>
              <w:t>Data source</w:t>
            </w:r>
          </w:p>
        </w:tc>
      </w:tr>
      <w:tr w:rsidR="001772F0" w:rsidRPr="0062579F" w14:paraId="6B80DAA2" w14:textId="77777777" w:rsidTr="001772F0">
        <w:trPr>
          <w:trHeight w:val="300"/>
        </w:trPr>
        <w:tc>
          <w:tcPr>
            <w:tcW w:w="215" w:type="pct"/>
            <w:vMerge w:val="restart"/>
            <w:tcBorders>
              <w:top w:val="single" w:sz="8" w:space="0" w:color="000000"/>
              <w:bottom w:val="nil"/>
            </w:tcBorders>
            <w:shd w:val="clear" w:color="auto" w:fill="auto"/>
            <w:textDirection w:val="btLr"/>
          </w:tcPr>
          <w:p w14:paraId="685B1FCF" w14:textId="77777777" w:rsidR="001772F0" w:rsidRPr="00341A16" w:rsidRDefault="001772F0" w:rsidP="001772F0">
            <w:pPr>
              <w:spacing w:before="0" w:after="0" w:line="240" w:lineRule="auto"/>
              <w:jc w:val="center"/>
              <w:rPr>
                <w:sz w:val="20"/>
                <w:szCs w:val="20"/>
              </w:rPr>
            </w:pPr>
            <w:r w:rsidRPr="00341A16">
              <w:rPr>
                <w:sz w:val="20"/>
                <w:szCs w:val="20"/>
              </w:rPr>
              <w:t>Techno-economic</w:t>
            </w:r>
          </w:p>
        </w:tc>
        <w:tc>
          <w:tcPr>
            <w:tcW w:w="2013" w:type="pct"/>
            <w:tcBorders>
              <w:top w:val="single" w:sz="8" w:space="0" w:color="000000"/>
              <w:bottom w:val="nil"/>
            </w:tcBorders>
            <w:shd w:val="clear" w:color="auto" w:fill="auto"/>
            <w:hideMark/>
          </w:tcPr>
          <w:p w14:paraId="0AE0487B" w14:textId="77777777" w:rsidR="001772F0" w:rsidRPr="00341A16" w:rsidRDefault="001772F0" w:rsidP="001772F0">
            <w:pPr>
              <w:spacing w:before="0" w:after="0" w:line="240" w:lineRule="auto"/>
              <w:rPr>
                <w:sz w:val="20"/>
                <w:szCs w:val="20"/>
              </w:rPr>
            </w:pPr>
            <w:r w:rsidRPr="00341A16">
              <w:rPr>
                <w:sz w:val="20"/>
                <w:szCs w:val="20"/>
              </w:rPr>
              <w:t xml:space="preserve">Existing </w:t>
            </w:r>
            <w:r>
              <w:rPr>
                <w:sz w:val="20"/>
                <w:szCs w:val="20"/>
              </w:rPr>
              <w:t>Cobined Heat and Power</w:t>
            </w:r>
            <w:r w:rsidRPr="00341A16">
              <w:rPr>
                <w:sz w:val="20"/>
                <w:szCs w:val="20"/>
              </w:rPr>
              <w:t xml:space="preserve"> plants</w:t>
            </w:r>
            <w:r>
              <w:rPr>
                <w:sz w:val="20"/>
                <w:szCs w:val="20"/>
              </w:rPr>
              <w:t xml:space="preserve"> </w:t>
            </w:r>
          </w:p>
        </w:tc>
        <w:tc>
          <w:tcPr>
            <w:tcW w:w="2773" w:type="pct"/>
            <w:tcBorders>
              <w:top w:val="single" w:sz="8" w:space="0" w:color="000000"/>
              <w:bottom w:val="nil"/>
            </w:tcBorders>
            <w:shd w:val="clear" w:color="auto" w:fill="auto"/>
            <w:noWrap/>
            <w:hideMark/>
          </w:tcPr>
          <w:p w14:paraId="594948F6" w14:textId="77777777" w:rsidR="001772F0" w:rsidRPr="00341A16" w:rsidRDefault="001772F0" w:rsidP="001772F0">
            <w:pPr>
              <w:spacing w:before="0" w:after="0" w:line="240" w:lineRule="auto"/>
              <w:rPr>
                <w:sz w:val="20"/>
                <w:szCs w:val="20"/>
              </w:rPr>
            </w:pPr>
            <w:r>
              <w:rPr>
                <w:sz w:val="20"/>
                <w:szCs w:val="20"/>
              </w:rPr>
              <w:t>UK Government</w:t>
            </w:r>
            <w:r w:rsidRPr="00341A16">
              <w:rPr>
                <w:sz w:val="20"/>
                <w:szCs w:val="20"/>
              </w:rPr>
              <w:t xml:space="preserve"> CHP database </w:t>
            </w:r>
            <w:r>
              <w:rPr>
                <w:sz w:val="20"/>
                <w:szCs w:val="20"/>
              </w:rPr>
              <w:fldChar w:fldCharType="begin" w:fldLock="1"/>
            </w:r>
            <w:r>
              <w:rPr>
                <w:sz w:val="20"/>
                <w:szCs w:val="20"/>
              </w:rPr>
              <w:instrText>ADDIN CSL_CITATION { "citationItems" : [ { "id" : "ITEM-1", "itemData" : { "author" : [ { "dropping-particle" : "", "family" : "CHPQA Programme", "given" : "", "non-dropping-particle" : "", "parse-names" : false, "suffix" : "" } ], "id" : "ITEM-1", "issued" : { "date-parts" : [ [ "2012" ] ] }, "publisher-place" : "DECC", "title" : "CHP database", "type" : "article" }, "uris" : [ "http://www.mendeley.com/documents/?uuid=1489877a-d427-4136-869f-44bdf2a458eb" ] } ], "mendeley" : { "formattedCitation" : "(CHPQA Programme, 2012)", "plainTextFormattedCitation" : "(CHPQA Programme, 2012)", "previouslyFormattedCitation" : "(CHPQA Programme, 2012)" }, "properties" : {  }, "schema" : "https://github.com/citation-style-language/schema/raw/master/csl-citation.json" }</w:instrText>
            </w:r>
            <w:r>
              <w:rPr>
                <w:sz w:val="20"/>
                <w:szCs w:val="20"/>
              </w:rPr>
              <w:fldChar w:fldCharType="separate"/>
            </w:r>
            <w:r w:rsidRPr="00895073">
              <w:rPr>
                <w:noProof/>
                <w:sz w:val="20"/>
                <w:szCs w:val="20"/>
              </w:rPr>
              <w:t>(CHPQA Programme, 2012)</w:t>
            </w:r>
            <w:r>
              <w:rPr>
                <w:sz w:val="20"/>
                <w:szCs w:val="20"/>
              </w:rPr>
              <w:fldChar w:fldCharType="end"/>
            </w:r>
          </w:p>
        </w:tc>
      </w:tr>
      <w:tr w:rsidR="001772F0" w:rsidRPr="0062579F" w14:paraId="116BF45A" w14:textId="77777777" w:rsidTr="001772F0">
        <w:trPr>
          <w:trHeight w:val="300"/>
        </w:trPr>
        <w:tc>
          <w:tcPr>
            <w:tcW w:w="215" w:type="pct"/>
            <w:vMerge/>
            <w:tcBorders>
              <w:top w:val="nil"/>
              <w:bottom w:val="nil"/>
            </w:tcBorders>
            <w:shd w:val="clear" w:color="auto" w:fill="auto"/>
            <w:textDirection w:val="btLr"/>
          </w:tcPr>
          <w:p w14:paraId="49506DD0" w14:textId="77777777" w:rsidR="001772F0" w:rsidRPr="00341A16" w:rsidRDefault="001772F0" w:rsidP="001772F0">
            <w:pPr>
              <w:spacing w:line="240" w:lineRule="auto"/>
              <w:ind w:left="-651"/>
              <w:jc w:val="center"/>
              <w:rPr>
                <w:sz w:val="20"/>
                <w:szCs w:val="20"/>
              </w:rPr>
            </w:pPr>
          </w:p>
        </w:tc>
        <w:tc>
          <w:tcPr>
            <w:tcW w:w="2013" w:type="pct"/>
            <w:tcBorders>
              <w:top w:val="nil"/>
              <w:bottom w:val="nil"/>
            </w:tcBorders>
            <w:shd w:val="clear" w:color="auto" w:fill="auto"/>
            <w:hideMark/>
          </w:tcPr>
          <w:p w14:paraId="2D91B33C" w14:textId="77777777" w:rsidR="001772F0" w:rsidRPr="00341A16" w:rsidRDefault="001772F0" w:rsidP="001772F0">
            <w:pPr>
              <w:spacing w:before="0" w:after="0" w:line="240" w:lineRule="auto"/>
              <w:rPr>
                <w:sz w:val="20"/>
                <w:szCs w:val="20"/>
              </w:rPr>
            </w:pPr>
            <w:r w:rsidRPr="00341A16">
              <w:rPr>
                <w:sz w:val="20"/>
                <w:szCs w:val="20"/>
              </w:rPr>
              <w:t>Heat sources</w:t>
            </w:r>
          </w:p>
        </w:tc>
        <w:tc>
          <w:tcPr>
            <w:tcW w:w="2773" w:type="pct"/>
            <w:tcBorders>
              <w:top w:val="nil"/>
              <w:bottom w:val="nil"/>
            </w:tcBorders>
            <w:shd w:val="clear" w:color="auto" w:fill="auto"/>
            <w:noWrap/>
            <w:hideMark/>
          </w:tcPr>
          <w:p w14:paraId="4995C323" w14:textId="77777777" w:rsidR="001772F0" w:rsidRPr="00341A16" w:rsidRDefault="001772F0" w:rsidP="001772F0">
            <w:pPr>
              <w:spacing w:before="0" w:after="0" w:line="240" w:lineRule="auto"/>
              <w:rPr>
                <w:sz w:val="20"/>
                <w:szCs w:val="20"/>
              </w:rPr>
            </w:pPr>
            <w:r>
              <w:rPr>
                <w:sz w:val="20"/>
                <w:szCs w:val="20"/>
              </w:rPr>
              <w:t>Can be added by the u</w:t>
            </w:r>
            <w:r w:rsidRPr="00341A16">
              <w:rPr>
                <w:sz w:val="20"/>
                <w:szCs w:val="20"/>
              </w:rPr>
              <w:t>ser</w:t>
            </w:r>
            <w:r>
              <w:rPr>
                <w:sz w:val="20"/>
                <w:szCs w:val="20"/>
              </w:rPr>
              <w:t xml:space="preserve"> </w:t>
            </w:r>
            <w:r w:rsidRPr="00341A16">
              <w:rPr>
                <w:sz w:val="20"/>
                <w:szCs w:val="20"/>
              </w:rPr>
              <w:t>-</w:t>
            </w:r>
            <w:r>
              <w:rPr>
                <w:sz w:val="20"/>
                <w:szCs w:val="20"/>
              </w:rPr>
              <w:t xml:space="preserve"> Postcode</w:t>
            </w:r>
          </w:p>
        </w:tc>
      </w:tr>
      <w:tr w:rsidR="001772F0" w:rsidRPr="0062579F" w14:paraId="77CDBB1C" w14:textId="77777777" w:rsidTr="001772F0">
        <w:trPr>
          <w:trHeight w:val="300"/>
        </w:trPr>
        <w:tc>
          <w:tcPr>
            <w:tcW w:w="215" w:type="pct"/>
            <w:vMerge/>
            <w:tcBorders>
              <w:top w:val="nil"/>
              <w:bottom w:val="nil"/>
            </w:tcBorders>
            <w:shd w:val="clear" w:color="auto" w:fill="auto"/>
            <w:textDirection w:val="btLr"/>
          </w:tcPr>
          <w:p w14:paraId="7589E3FA" w14:textId="77777777" w:rsidR="001772F0" w:rsidRPr="00341A16" w:rsidRDefault="001772F0" w:rsidP="001772F0">
            <w:pPr>
              <w:spacing w:line="240" w:lineRule="auto"/>
              <w:ind w:left="-651"/>
              <w:jc w:val="center"/>
              <w:rPr>
                <w:sz w:val="20"/>
                <w:szCs w:val="20"/>
              </w:rPr>
            </w:pPr>
          </w:p>
        </w:tc>
        <w:tc>
          <w:tcPr>
            <w:tcW w:w="2013" w:type="pct"/>
            <w:tcBorders>
              <w:top w:val="nil"/>
              <w:bottom w:val="nil"/>
            </w:tcBorders>
            <w:shd w:val="clear" w:color="auto" w:fill="auto"/>
            <w:noWrap/>
            <w:hideMark/>
          </w:tcPr>
          <w:p w14:paraId="45FBF25E" w14:textId="77777777" w:rsidR="001772F0" w:rsidRPr="00341A16" w:rsidRDefault="001772F0" w:rsidP="001772F0">
            <w:pPr>
              <w:spacing w:before="0" w:after="0" w:line="240" w:lineRule="auto"/>
              <w:rPr>
                <w:sz w:val="20"/>
                <w:szCs w:val="20"/>
              </w:rPr>
            </w:pPr>
            <w:r w:rsidRPr="00341A16">
              <w:rPr>
                <w:sz w:val="20"/>
                <w:szCs w:val="20"/>
              </w:rPr>
              <w:t>Large heat demands</w:t>
            </w:r>
          </w:p>
        </w:tc>
        <w:tc>
          <w:tcPr>
            <w:tcW w:w="2773" w:type="pct"/>
            <w:tcBorders>
              <w:top w:val="nil"/>
              <w:bottom w:val="nil"/>
            </w:tcBorders>
            <w:shd w:val="clear" w:color="auto" w:fill="auto"/>
            <w:noWrap/>
            <w:hideMark/>
          </w:tcPr>
          <w:p w14:paraId="6D8DE66C" w14:textId="77777777" w:rsidR="001772F0" w:rsidRPr="00341A16" w:rsidRDefault="001772F0" w:rsidP="001772F0">
            <w:pPr>
              <w:spacing w:before="0" w:after="0" w:line="240" w:lineRule="auto"/>
              <w:rPr>
                <w:sz w:val="20"/>
                <w:szCs w:val="20"/>
              </w:rPr>
            </w:pPr>
            <w:r>
              <w:rPr>
                <w:sz w:val="20"/>
                <w:szCs w:val="20"/>
              </w:rPr>
              <w:t>Can be added by the u</w:t>
            </w:r>
            <w:r w:rsidRPr="00341A16">
              <w:rPr>
                <w:sz w:val="20"/>
                <w:szCs w:val="20"/>
              </w:rPr>
              <w:t>ser</w:t>
            </w:r>
            <w:r>
              <w:rPr>
                <w:sz w:val="20"/>
                <w:szCs w:val="20"/>
              </w:rPr>
              <w:t xml:space="preserve"> </w:t>
            </w:r>
            <w:r w:rsidRPr="00341A16">
              <w:rPr>
                <w:sz w:val="20"/>
                <w:szCs w:val="20"/>
              </w:rPr>
              <w:t>-</w:t>
            </w:r>
            <w:r>
              <w:rPr>
                <w:sz w:val="20"/>
                <w:szCs w:val="20"/>
              </w:rPr>
              <w:t xml:space="preserve"> Postcode</w:t>
            </w:r>
          </w:p>
        </w:tc>
      </w:tr>
      <w:tr w:rsidR="001772F0" w:rsidRPr="0062579F" w14:paraId="3D505CBD" w14:textId="77777777" w:rsidTr="001772F0">
        <w:trPr>
          <w:trHeight w:val="1053"/>
        </w:trPr>
        <w:tc>
          <w:tcPr>
            <w:tcW w:w="215" w:type="pct"/>
            <w:vMerge/>
            <w:tcBorders>
              <w:top w:val="nil"/>
              <w:bottom w:val="nil"/>
            </w:tcBorders>
            <w:shd w:val="clear" w:color="auto" w:fill="auto"/>
            <w:textDirection w:val="btLr"/>
          </w:tcPr>
          <w:p w14:paraId="2A90275F" w14:textId="77777777" w:rsidR="001772F0" w:rsidRPr="00341A16" w:rsidRDefault="001772F0" w:rsidP="001772F0">
            <w:pPr>
              <w:spacing w:line="240" w:lineRule="auto"/>
              <w:ind w:left="-651"/>
              <w:jc w:val="center"/>
              <w:rPr>
                <w:sz w:val="20"/>
                <w:szCs w:val="20"/>
              </w:rPr>
            </w:pPr>
          </w:p>
        </w:tc>
        <w:tc>
          <w:tcPr>
            <w:tcW w:w="2013" w:type="pct"/>
            <w:tcBorders>
              <w:top w:val="nil"/>
              <w:bottom w:val="nil"/>
            </w:tcBorders>
            <w:shd w:val="clear" w:color="auto" w:fill="auto"/>
            <w:hideMark/>
          </w:tcPr>
          <w:p w14:paraId="77432746" w14:textId="77777777" w:rsidR="001772F0" w:rsidRPr="00341A16" w:rsidRDefault="001772F0" w:rsidP="001772F0">
            <w:pPr>
              <w:spacing w:before="0" w:after="0" w:line="240" w:lineRule="auto"/>
              <w:rPr>
                <w:sz w:val="20"/>
                <w:szCs w:val="20"/>
              </w:rPr>
            </w:pPr>
            <w:r w:rsidRPr="00341A16">
              <w:rPr>
                <w:sz w:val="20"/>
                <w:szCs w:val="20"/>
              </w:rPr>
              <w:t xml:space="preserve">Household density </w:t>
            </w:r>
            <w:r>
              <w:rPr>
                <w:sz w:val="20"/>
                <w:szCs w:val="20"/>
              </w:rPr>
              <w:br/>
            </w:r>
            <w:r w:rsidRPr="00341A16">
              <w:rPr>
                <w:sz w:val="20"/>
                <w:szCs w:val="20"/>
              </w:rPr>
              <w:t>(number of households per km</w:t>
            </w:r>
            <w:r w:rsidRPr="00341A16">
              <w:rPr>
                <w:sz w:val="20"/>
                <w:szCs w:val="20"/>
                <w:vertAlign w:val="superscript"/>
              </w:rPr>
              <w:t>2</w:t>
            </w:r>
            <w:r w:rsidRPr="00341A16">
              <w:rPr>
                <w:sz w:val="20"/>
                <w:szCs w:val="20"/>
              </w:rPr>
              <w:t>)</w:t>
            </w:r>
          </w:p>
        </w:tc>
        <w:tc>
          <w:tcPr>
            <w:tcW w:w="2773" w:type="pct"/>
            <w:tcBorders>
              <w:top w:val="nil"/>
              <w:bottom w:val="nil"/>
            </w:tcBorders>
            <w:shd w:val="clear" w:color="auto" w:fill="auto"/>
            <w:noWrap/>
            <w:hideMark/>
          </w:tcPr>
          <w:p w14:paraId="6646985F" w14:textId="77777777" w:rsidR="001772F0" w:rsidRPr="00341A16" w:rsidRDefault="001772F0" w:rsidP="001772F0">
            <w:pPr>
              <w:spacing w:before="0" w:after="0" w:line="240" w:lineRule="auto"/>
              <w:rPr>
                <w:sz w:val="20"/>
                <w:szCs w:val="20"/>
              </w:rPr>
            </w:pPr>
            <w:r w:rsidRPr="00341A16">
              <w:rPr>
                <w:sz w:val="20"/>
                <w:szCs w:val="20"/>
              </w:rPr>
              <w:t xml:space="preserve">Area of LSOA calculated using ArcGIS. Density calculated using the 'number of households' from the census divided the area of the OA to give the number of houses per km2 </w:t>
            </w:r>
            <w:r>
              <w:rPr>
                <w:sz w:val="20"/>
                <w:szCs w:val="20"/>
              </w:rPr>
              <w:fldChar w:fldCharType="begin" w:fldLock="1"/>
            </w:r>
            <w:r>
              <w:rPr>
                <w:sz w:val="20"/>
                <w:szCs w:val="20"/>
              </w:rPr>
              <w:instrText>ADDIN CSL_CITATION { "citationItems" : [ { "id" : "ITEM-1", "itemData" : { "URL" : "http://www.nomisweb.co.uk/census/2011/qs402ew", "author" : [ { "dropping-particle" : "", "family" : "Census Data", "given" : "", "non-dropping-particle" : "", "parse-names" : false, "suffix" : "" } ], "id" : "ITEM-1", "issue" : "28.03.2014", "issued" : { "date-parts" : [ [ "2011" ] ] }, "title" : "Accommodation type - Households, 2011", "type" : "webpage", "volume" : "2014" }, "uris" : [ "http://www.mendeley.com/documents/?uuid=cbcdabb4-4660-4991-a7a4-b130e39708ed" ] } ], "mendeley" : { "formattedCitation" : "(Census Data, 2011a)", "plainTextFormattedCitation" : "(Census Data, 2011a)", "previouslyFormattedCitation" : "(Census Data, 2011a)" }, "properties" : {  }, "schema" : "https://github.com/citation-style-language/schema/raw/master/csl-citation.json" }</w:instrText>
            </w:r>
            <w:r>
              <w:rPr>
                <w:sz w:val="20"/>
                <w:szCs w:val="20"/>
              </w:rPr>
              <w:fldChar w:fldCharType="separate"/>
            </w:r>
            <w:r w:rsidRPr="00895073">
              <w:rPr>
                <w:noProof/>
                <w:sz w:val="20"/>
                <w:szCs w:val="20"/>
              </w:rPr>
              <w:t>(Census Data, 2011a)</w:t>
            </w:r>
            <w:r>
              <w:rPr>
                <w:sz w:val="20"/>
                <w:szCs w:val="20"/>
              </w:rPr>
              <w:fldChar w:fldCharType="end"/>
            </w:r>
          </w:p>
        </w:tc>
      </w:tr>
      <w:tr w:rsidR="001772F0" w:rsidRPr="0062579F" w14:paraId="5F4C0305" w14:textId="77777777" w:rsidTr="001772F0">
        <w:trPr>
          <w:trHeight w:val="300"/>
        </w:trPr>
        <w:tc>
          <w:tcPr>
            <w:tcW w:w="215" w:type="pct"/>
            <w:vMerge/>
            <w:tcBorders>
              <w:top w:val="nil"/>
              <w:bottom w:val="nil"/>
            </w:tcBorders>
            <w:shd w:val="clear" w:color="auto" w:fill="auto"/>
            <w:textDirection w:val="btLr"/>
          </w:tcPr>
          <w:p w14:paraId="4F028B89" w14:textId="77777777" w:rsidR="001772F0" w:rsidRPr="00341A16" w:rsidRDefault="001772F0" w:rsidP="001772F0">
            <w:pPr>
              <w:spacing w:line="240" w:lineRule="auto"/>
              <w:ind w:left="-651"/>
              <w:jc w:val="center"/>
              <w:rPr>
                <w:sz w:val="20"/>
                <w:szCs w:val="20"/>
              </w:rPr>
            </w:pPr>
          </w:p>
        </w:tc>
        <w:tc>
          <w:tcPr>
            <w:tcW w:w="2013" w:type="pct"/>
            <w:tcBorders>
              <w:top w:val="nil"/>
              <w:bottom w:val="nil"/>
            </w:tcBorders>
            <w:shd w:val="clear" w:color="auto" w:fill="auto"/>
            <w:hideMark/>
          </w:tcPr>
          <w:p w14:paraId="2FAFEE8C" w14:textId="77777777" w:rsidR="001772F0" w:rsidRPr="00341A16" w:rsidRDefault="001772F0" w:rsidP="001772F0">
            <w:pPr>
              <w:spacing w:before="0" w:after="0" w:line="240" w:lineRule="auto"/>
              <w:rPr>
                <w:sz w:val="20"/>
                <w:szCs w:val="20"/>
              </w:rPr>
            </w:pPr>
            <w:r w:rsidRPr="00341A16">
              <w:rPr>
                <w:sz w:val="20"/>
                <w:szCs w:val="20"/>
              </w:rPr>
              <w:t>Flats, maisonettes or apartments (number)</w:t>
            </w:r>
          </w:p>
        </w:tc>
        <w:tc>
          <w:tcPr>
            <w:tcW w:w="2773" w:type="pct"/>
            <w:tcBorders>
              <w:top w:val="nil"/>
              <w:bottom w:val="nil"/>
            </w:tcBorders>
            <w:shd w:val="clear" w:color="auto" w:fill="auto"/>
            <w:noWrap/>
            <w:hideMark/>
          </w:tcPr>
          <w:p w14:paraId="0B5F3A4B" w14:textId="77777777" w:rsidR="001772F0" w:rsidRPr="00341A16" w:rsidRDefault="001772F0" w:rsidP="001772F0">
            <w:pPr>
              <w:spacing w:before="0" w:after="0" w:line="240" w:lineRule="auto"/>
              <w:rPr>
                <w:sz w:val="20"/>
                <w:szCs w:val="20"/>
              </w:rPr>
            </w:pPr>
            <w:r w:rsidRPr="00341A16">
              <w:rPr>
                <w:sz w:val="20"/>
                <w:szCs w:val="20"/>
              </w:rPr>
              <w:t xml:space="preserve">Census data - accommodation type by OA level </w:t>
            </w:r>
            <w:r w:rsidRPr="00341A16">
              <w:rPr>
                <w:noProof/>
                <w:sz w:val="20"/>
                <w:szCs w:val="20"/>
              </w:rPr>
              <w:t>(Census Data, 2011a)</w:t>
            </w:r>
          </w:p>
        </w:tc>
      </w:tr>
      <w:tr w:rsidR="001772F0" w:rsidRPr="0062579F" w14:paraId="289E6B37" w14:textId="77777777" w:rsidTr="001772F0">
        <w:trPr>
          <w:trHeight w:val="300"/>
        </w:trPr>
        <w:tc>
          <w:tcPr>
            <w:tcW w:w="215" w:type="pct"/>
            <w:vMerge/>
            <w:tcBorders>
              <w:top w:val="nil"/>
              <w:bottom w:val="single" w:sz="4" w:space="0" w:color="auto"/>
            </w:tcBorders>
            <w:shd w:val="clear" w:color="auto" w:fill="auto"/>
            <w:textDirection w:val="btLr"/>
          </w:tcPr>
          <w:p w14:paraId="021CC45E" w14:textId="77777777" w:rsidR="001772F0" w:rsidRPr="00341A16" w:rsidRDefault="001772F0" w:rsidP="001772F0">
            <w:pPr>
              <w:spacing w:line="240" w:lineRule="auto"/>
              <w:ind w:left="-651"/>
              <w:jc w:val="center"/>
              <w:rPr>
                <w:sz w:val="20"/>
                <w:szCs w:val="20"/>
              </w:rPr>
            </w:pPr>
          </w:p>
        </w:tc>
        <w:tc>
          <w:tcPr>
            <w:tcW w:w="2013" w:type="pct"/>
            <w:tcBorders>
              <w:top w:val="nil"/>
              <w:bottom w:val="single" w:sz="4" w:space="0" w:color="auto"/>
            </w:tcBorders>
            <w:shd w:val="clear" w:color="auto" w:fill="auto"/>
            <w:hideMark/>
          </w:tcPr>
          <w:p w14:paraId="24A5ECB1" w14:textId="0D891713" w:rsidR="001772F0" w:rsidRPr="00341A16" w:rsidRDefault="001772F0" w:rsidP="001772F0">
            <w:pPr>
              <w:spacing w:before="0" w:after="0" w:line="240" w:lineRule="auto"/>
              <w:rPr>
                <w:sz w:val="20"/>
                <w:szCs w:val="20"/>
              </w:rPr>
            </w:pPr>
            <w:r w:rsidRPr="00341A16">
              <w:rPr>
                <w:sz w:val="20"/>
                <w:szCs w:val="20"/>
              </w:rPr>
              <w:t>Terraced households (number)</w:t>
            </w:r>
          </w:p>
        </w:tc>
        <w:tc>
          <w:tcPr>
            <w:tcW w:w="2773" w:type="pct"/>
            <w:tcBorders>
              <w:top w:val="nil"/>
              <w:bottom w:val="single" w:sz="4" w:space="0" w:color="auto"/>
            </w:tcBorders>
            <w:shd w:val="clear" w:color="auto" w:fill="auto"/>
            <w:noWrap/>
            <w:hideMark/>
          </w:tcPr>
          <w:p w14:paraId="0C761208" w14:textId="77777777" w:rsidR="001772F0" w:rsidRPr="00341A16" w:rsidRDefault="001772F0" w:rsidP="001772F0">
            <w:pPr>
              <w:spacing w:before="0" w:after="0" w:line="240" w:lineRule="auto"/>
              <w:rPr>
                <w:sz w:val="20"/>
                <w:szCs w:val="20"/>
              </w:rPr>
            </w:pPr>
            <w:r w:rsidRPr="00341A16">
              <w:rPr>
                <w:sz w:val="20"/>
                <w:szCs w:val="20"/>
              </w:rPr>
              <w:t xml:space="preserve">Census data - accommodation type by OA level </w:t>
            </w:r>
            <w:r w:rsidRPr="00341A16">
              <w:rPr>
                <w:noProof/>
                <w:sz w:val="20"/>
                <w:szCs w:val="20"/>
              </w:rPr>
              <w:t>(Census Data, 2011a)</w:t>
            </w:r>
          </w:p>
        </w:tc>
      </w:tr>
      <w:tr w:rsidR="001772F0" w:rsidRPr="0062579F" w14:paraId="2CCB703F" w14:textId="77777777" w:rsidTr="001772F0">
        <w:trPr>
          <w:trHeight w:val="300"/>
        </w:trPr>
        <w:tc>
          <w:tcPr>
            <w:tcW w:w="215" w:type="pct"/>
            <w:vMerge w:val="restart"/>
            <w:tcBorders>
              <w:top w:val="single" w:sz="4" w:space="0" w:color="auto"/>
              <w:bottom w:val="nil"/>
            </w:tcBorders>
            <w:shd w:val="clear" w:color="auto" w:fill="auto"/>
            <w:textDirection w:val="btLr"/>
          </w:tcPr>
          <w:p w14:paraId="6083DA32" w14:textId="77777777" w:rsidR="001772F0" w:rsidRPr="00341A16" w:rsidRDefault="001772F0" w:rsidP="001772F0">
            <w:pPr>
              <w:spacing w:before="0" w:after="0" w:line="240" w:lineRule="auto"/>
              <w:jc w:val="center"/>
              <w:rPr>
                <w:sz w:val="20"/>
                <w:szCs w:val="20"/>
              </w:rPr>
            </w:pPr>
            <w:r w:rsidRPr="00341A16">
              <w:rPr>
                <w:sz w:val="20"/>
                <w:szCs w:val="20"/>
              </w:rPr>
              <w:t>Governance</w:t>
            </w:r>
          </w:p>
        </w:tc>
        <w:tc>
          <w:tcPr>
            <w:tcW w:w="2013" w:type="pct"/>
            <w:tcBorders>
              <w:top w:val="single" w:sz="4" w:space="0" w:color="auto"/>
              <w:bottom w:val="nil"/>
            </w:tcBorders>
            <w:shd w:val="clear" w:color="auto" w:fill="auto"/>
            <w:hideMark/>
          </w:tcPr>
          <w:p w14:paraId="3D56995D" w14:textId="77777777" w:rsidR="001772F0" w:rsidRPr="00341A16" w:rsidRDefault="001772F0" w:rsidP="001772F0">
            <w:pPr>
              <w:spacing w:before="0" w:after="0" w:line="240" w:lineRule="auto"/>
              <w:rPr>
                <w:sz w:val="20"/>
                <w:szCs w:val="20"/>
              </w:rPr>
            </w:pPr>
            <w:r w:rsidRPr="00341A16">
              <w:rPr>
                <w:sz w:val="20"/>
                <w:szCs w:val="20"/>
              </w:rPr>
              <w:t xml:space="preserve">Social rented households </w:t>
            </w:r>
            <w:r>
              <w:rPr>
                <w:sz w:val="20"/>
                <w:szCs w:val="20"/>
              </w:rPr>
              <w:br/>
            </w:r>
            <w:r w:rsidRPr="00341A16">
              <w:rPr>
                <w:sz w:val="20"/>
                <w:szCs w:val="20"/>
              </w:rPr>
              <w:t>(number)</w:t>
            </w:r>
          </w:p>
        </w:tc>
        <w:tc>
          <w:tcPr>
            <w:tcW w:w="2773" w:type="pct"/>
            <w:tcBorders>
              <w:top w:val="single" w:sz="4" w:space="0" w:color="auto"/>
              <w:bottom w:val="nil"/>
            </w:tcBorders>
            <w:shd w:val="clear" w:color="auto" w:fill="auto"/>
            <w:noWrap/>
            <w:hideMark/>
          </w:tcPr>
          <w:p w14:paraId="3E465F86" w14:textId="77777777" w:rsidR="001772F0" w:rsidRPr="00341A16" w:rsidRDefault="001772F0" w:rsidP="001772F0">
            <w:pPr>
              <w:spacing w:before="0" w:after="0" w:line="240" w:lineRule="auto"/>
              <w:rPr>
                <w:sz w:val="20"/>
                <w:szCs w:val="20"/>
              </w:rPr>
            </w:pPr>
            <w:r w:rsidRPr="00341A16">
              <w:rPr>
                <w:sz w:val="20"/>
                <w:szCs w:val="20"/>
              </w:rPr>
              <w:t xml:space="preserve">Census data - accommodation type by OA level </w:t>
            </w:r>
            <w:r w:rsidRPr="00341A16">
              <w:rPr>
                <w:noProof/>
                <w:sz w:val="20"/>
                <w:szCs w:val="20"/>
              </w:rPr>
              <w:t>(Census Data, 2011a)</w:t>
            </w:r>
          </w:p>
        </w:tc>
      </w:tr>
      <w:tr w:rsidR="001772F0" w:rsidRPr="0062579F" w14:paraId="078A3203" w14:textId="77777777" w:rsidTr="001772F0">
        <w:trPr>
          <w:trHeight w:val="315"/>
        </w:trPr>
        <w:tc>
          <w:tcPr>
            <w:tcW w:w="215" w:type="pct"/>
            <w:vMerge/>
            <w:tcBorders>
              <w:top w:val="nil"/>
              <w:bottom w:val="single" w:sz="4" w:space="0" w:color="auto"/>
            </w:tcBorders>
            <w:shd w:val="clear" w:color="auto" w:fill="auto"/>
            <w:textDirection w:val="btLr"/>
          </w:tcPr>
          <w:p w14:paraId="139DEF31" w14:textId="77777777" w:rsidR="001772F0" w:rsidRPr="00341A16" w:rsidRDefault="001772F0" w:rsidP="001772F0">
            <w:pPr>
              <w:spacing w:before="0" w:after="0" w:line="240" w:lineRule="auto"/>
              <w:jc w:val="center"/>
              <w:rPr>
                <w:sz w:val="20"/>
                <w:szCs w:val="20"/>
              </w:rPr>
            </w:pPr>
          </w:p>
        </w:tc>
        <w:tc>
          <w:tcPr>
            <w:tcW w:w="2013" w:type="pct"/>
            <w:tcBorders>
              <w:top w:val="nil"/>
              <w:bottom w:val="single" w:sz="4" w:space="0" w:color="auto"/>
            </w:tcBorders>
            <w:shd w:val="clear" w:color="auto" w:fill="auto"/>
            <w:noWrap/>
            <w:hideMark/>
          </w:tcPr>
          <w:p w14:paraId="64F7B289" w14:textId="77777777" w:rsidR="001772F0" w:rsidRDefault="001772F0" w:rsidP="001772F0">
            <w:pPr>
              <w:spacing w:before="0" w:after="0" w:line="240" w:lineRule="auto"/>
              <w:rPr>
                <w:sz w:val="20"/>
                <w:szCs w:val="20"/>
              </w:rPr>
            </w:pPr>
            <w:r w:rsidRPr="00341A16">
              <w:rPr>
                <w:sz w:val="20"/>
                <w:szCs w:val="20"/>
              </w:rPr>
              <w:t>Council owned social rented households (number)</w:t>
            </w:r>
          </w:p>
          <w:p w14:paraId="2CEDD729" w14:textId="2231A0EF" w:rsidR="001772F0" w:rsidRPr="00341A16" w:rsidRDefault="001772F0" w:rsidP="001772F0">
            <w:pPr>
              <w:spacing w:before="0" w:after="0" w:line="240" w:lineRule="auto"/>
              <w:rPr>
                <w:sz w:val="20"/>
                <w:szCs w:val="20"/>
              </w:rPr>
            </w:pPr>
          </w:p>
        </w:tc>
        <w:tc>
          <w:tcPr>
            <w:tcW w:w="2773" w:type="pct"/>
            <w:tcBorders>
              <w:top w:val="nil"/>
              <w:bottom w:val="single" w:sz="4" w:space="0" w:color="auto"/>
            </w:tcBorders>
            <w:shd w:val="clear" w:color="auto" w:fill="auto"/>
            <w:noWrap/>
            <w:hideMark/>
          </w:tcPr>
          <w:p w14:paraId="3B6407C0" w14:textId="77777777" w:rsidR="001772F0" w:rsidRPr="00341A16" w:rsidRDefault="001772F0" w:rsidP="001772F0">
            <w:pPr>
              <w:spacing w:before="0" w:after="0" w:line="240" w:lineRule="auto"/>
              <w:rPr>
                <w:noProof/>
                <w:sz w:val="20"/>
                <w:szCs w:val="20"/>
              </w:rPr>
            </w:pPr>
            <w:r w:rsidRPr="00341A16">
              <w:rPr>
                <w:sz w:val="20"/>
                <w:szCs w:val="20"/>
              </w:rPr>
              <w:t xml:space="preserve">Census data - accommodation type by OA level </w:t>
            </w:r>
            <w:r w:rsidRPr="00341A16">
              <w:rPr>
                <w:noProof/>
                <w:sz w:val="20"/>
                <w:szCs w:val="20"/>
              </w:rPr>
              <w:t>(Census Data, 2011a)</w:t>
            </w:r>
          </w:p>
        </w:tc>
      </w:tr>
      <w:tr w:rsidR="001772F0" w:rsidRPr="0062579F" w14:paraId="35D71E82" w14:textId="77777777" w:rsidTr="001772F0">
        <w:trPr>
          <w:trHeight w:val="300"/>
        </w:trPr>
        <w:tc>
          <w:tcPr>
            <w:tcW w:w="215" w:type="pct"/>
            <w:vMerge w:val="restart"/>
            <w:tcBorders>
              <w:top w:val="single" w:sz="4" w:space="0" w:color="auto"/>
            </w:tcBorders>
            <w:shd w:val="clear" w:color="auto" w:fill="auto"/>
            <w:textDirection w:val="btLr"/>
          </w:tcPr>
          <w:p w14:paraId="5BAD47B9" w14:textId="77777777" w:rsidR="001772F0" w:rsidRPr="00341A16" w:rsidRDefault="001772F0" w:rsidP="001772F0">
            <w:pPr>
              <w:spacing w:before="0" w:after="0" w:line="240" w:lineRule="auto"/>
              <w:jc w:val="center"/>
              <w:rPr>
                <w:sz w:val="20"/>
                <w:szCs w:val="20"/>
              </w:rPr>
            </w:pPr>
            <w:r w:rsidRPr="00341A16">
              <w:rPr>
                <w:sz w:val="20"/>
                <w:szCs w:val="20"/>
              </w:rPr>
              <w:t>Social</w:t>
            </w:r>
          </w:p>
        </w:tc>
        <w:tc>
          <w:tcPr>
            <w:tcW w:w="2013" w:type="pct"/>
            <w:tcBorders>
              <w:top w:val="single" w:sz="4" w:space="0" w:color="auto"/>
            </w:tcBorders>
            <w:shd w:val="clear" w:color="auto" w:fill="auto"/>
            <w:hideMark/>
          </w:tcPr>
          <w:p w14:paraId="21A56B9C" w14:textId="77777777" w:rsidR="001772F0" w:rsidRPr="00341A16" w:rsidRDefault="001772F0" w:rsidP="001772F0">
            <w:pPr>
              <w:spacing w:before="0" w:after="0" w:line="240" w:lineRule="auto"/>
              <w:rPr>
                <w:sz w:val="20"/>
                <w:szCs w:val="20"/>
              </w:rPr>
            </w:pPr>
            <w:r w:rsidRPr="00341A16">
              <w:rPr>
                <w:sz w:val="20"/>
                <w:szCs w:val="20"/>
              </w:rPr>
              <w:t xml:space="preserve">No central heating system </w:t>
            </w:r>
            <w:r>
              <w:rPr>
                <w:sz w:val="20"/>
                <w:szCs w:val="20"/>
              </w:rPr>
              <w:br/>
            </w:r>
            <w:r w:rsidRPr="00341A16">
              <w:rPr>
                <w:sz w:val="20"/>
                <w:szCs w:val="20"/>
              </w:rPr>
              <w:t>(number of households)</w:t>
            </w:r>
          </w:p>
        </w:tc>
        <w:tc>
          <w:tcPr>
            <w:tcW w:w="2773" w:type="pct"/>
            <w:tcBorders>
              <w:top w:val="single" w:sz="4" w:space="0" w:color="auto"/>
            </w:tcBorders>
            <w:shd w:val="clear" w:color="auto" w:fill="auto"/>
            <w:noWrap/>
            <w:hideMark/>
          </w:tcPr>
          <w:p w14:paraId="621E0C9F" w14:textId="77777777" w:rsidR="001772F0" w:rsidRPr="00341A16" w:rsidRDefault="001772F0" w:rsidP="001772F0">
            <w:pPr>
              <w:spacing w:before="0" w:after="0" w:line="240" w:lineRule="auto"/>
              <w:rPr>
                <w:sz w:val="20"/>
                <w:szCs w:val="20"/>
              </w:rPr>
            </w:pPr>
            <w:r w:rsidRPr="00341A16">
              <w:rPr>
                <w:sz w:val="20"/>
                <w:szCs w:val="20"/>
              </w:rPr>
              <w:t xml:space="preserve">Census data at OA level of central heating </w:t>
            </w:r>
            <w:r>
              <w:rPr>
                <w:noProof/>
                <w:sz w:val="20"/>
                <w:szCs w:val="20"/>
              </w:rPr>
              <w:fldChar w:fldCharType="begin" w:fldLock="1"/>
            </w:r>
            <w:r>
              <w:rPr>
                <w:noProof/>
                <w:sz w:val="20"/>
                <w:szCs w:val="20"/>
              </w:rPr>
              <w:instrText>ADDIN CSL_CITATION { "citationItems" : [ { "id" : "ITEM-1", "itemData" : { "URL" : "http://www.nomisweb.co.uk/census/2011/qs415ew", "author" : [ { "dropping-particle" : "", "family" : "Census Data", "given" : "", "non-dropping-particle" : "", "parse-names" : false, "suffix" : "" } ], "id" : "ITEM-1", "issue" : "28.03.2014", "issued" : { "date-parts" : [ [ "2011" ] ] }, "publisher" : "Nomis", "title" : "Central Heating Type, 2011", "type" : "webpage", "volume" : "2014" }, "uris" : [ "http://www.mendeley.com/documents/?uuid=ae4ed824-ce59-4b3a-ab8a-ba854881020a" ] } ], "mendeley" : { "formattedCitation" : "(Census Data, 2011b)", "plainTextFormattedCitation" : "(Census Data, 2011b)", "previouslyFormattedCitation" : "(Census Data, 2011b)" }, "properties" : {  }, "schema" : "https://github.com/citation-style-language/schema/raw/master/csl-citation.json" }</w:instrText>
            </w:r>
            <w:r>
              <w:rPr>
                <w:noProof/>
                <w:sz w:val="20"/>
                <w:szCs w:val="20"/>
              </w:rPr>
              <w:fldChar w:fldCharType="separate"/>
            </w:r>
            <w:r w:rsidRPr="00895073">
              <w:rPr>
                <w:noProof/>
                <w:sz w:val="20"/>
                <w:szCs w:val="20"/>
              </w:rPr>
              <w:t>(Census Data, 2011b)</w:t>
            </w:r>
            <w:r>
              <w:rPr>
                <w:noProof/>
                <w:sz w:val="20"/>
                <w:szCs w:val="20"/>
              </w:rPr>
              <w:fldChar w:fldCharType="end"/>
            </w:r>
          </w:p>
        </w:tc>
      </w:tr>
      <w:tr w:rsidR="001772F0" w:rsidRPr="0062579F" w14:paraId="434AD360" w14:textId="77777777" w:rsidTr="001772F0">
        <w:trPr>
          <w:trHeight w:val="300"/>
        </w:trPr>
        <w:tc>
          <w:tcPr>
            <w:tcW w:w="215" w:type="pct"/>
            <w:vMerge/>
            <w:shd w:val="clear" w:color="auto" w:fill="auto"/>
          </w:tcPr>
          <w:p w14:paraId="18BA268A" w14:textId="77777777" w:rsidR="001772F0" w:rsidRPr="00341A16" w:rsidRDefault="001772F0" w:rsidP="001017B7">
            <w:pPr>
              <w:spacing w:line="240" w:lineRule="auto"/>
              <w:rPr>
                <w:sz w:val="20"/>
                <w:szCs w:val="20"/>
              </w:rPr>
            </w:pPr>
          </w:p>
        </w:tc>
        <w:tc>
          <w:tcPr>
            <w:tcW w:w="2013" w:type="pct"/>
            <w:shd w:val="clear" w:color="auto" w:fill="auto"/>
            <w:hideMark/>
          </w:tcPr>
          <w:p w14:paraId="38653049" w14:textId="77777777" w:rsidR="001772F0" w:rsidRPr="00341A16" w:rsidRDefault="001772F0" w:rsidP="001772F0">
            <w:pPr>
              <w:spacing w:before="0" w:after="0" w:line="240" w:lineRule="auto"/>
              <w:rPr>
                <w:sz w:val="20"/>
                <w:szCs w:val="20"/>
              </w:rPr>
            </w:pPr>
            <w:r w:rsidRPr="00341A16">
              <w:rPr>
                <w:sz w:val="20"/>
                <w:szCs w:val="20"/>
              </w:rPr>
              <w:t xml:space="preserve">No gas central heating </w:t>
            </w:r>
            <w:r>
              <w:rPr>
                <w:sz w:val="20"/>
                <w:szCs w:val="20"/>
              </w:rPr>
              <w:br/>
            </w:r>
            <w:r w:rsidRPr="00341A16">
              <w:rPr>
                <w:sz w:val="20"/>
                <w:szCs w:val="20"/>
              </w:rPr>
              <w:t>(number of households)</w:t>
            </w:r>
          </w:p>
        </w:tc>
        <w:tc>
          <w:tcPr>
            <w:tcW w:w="2773" w:type="pct"/>
            <w:shd w:val="clear" w:color="auto" w:fill="auto"/>
            <w:noWrap/>
            <w:hideMark/>
          </w:tcPr>
          <w:p w14:paraId="1CFA242F" w14:textId="77777777" w:rsidR="001772F0" w:rsidRPr="00341A16" w:rsidRDefault="001772F0" w:rsidP="001772F0">
            <w:pPr>
              <w:spacing w:before="0" w:after="0" w:line="240" w:lineRule="auto"/>
              <w:rPr>
                <w:sz w:val="20"/>
                <w:szCs w:val="20"/>
              </w:rPr>
            </w:pPr>
            <w:r w:rsidRPr="00341A16">
              <w:rPr>
                <w:sz w:val="20"/>
                <w:szCs w:val="20"/>
              </w:rPr>
              <w:t xml:space="preserve">Census data at OA level of central heating </w:t>
            </w:r>
            <w:r w:rsidRPr="00341A16">
              <w:rPr>
                <w:noProof/>
                <w:sz w:val="20"/>
                <w:szCs w:val="20"/>
              </w:rPr>
              <w:t>(Census Data, 2011b)</w:t>
            </w:r>
          </w:p>
        </w:tc>
      </w:tr>
      <w:tr w:rsidR="001772F0" w:rsidRPr="0062579F" w14:paraId="442A2FF2" w14:textId="77777777" w:rsidTr="001772F0">
        <w:trPr>
          <w:trHeight w:val="945"/>
        </w:trPr>
        <w:tc>
          <w:tcPr>
            <w:tcW w:w="215" w:type="pct"/>
            <w:vMerge/>
            <w:shd w:val="clear" w:color="auto" w:fill="auto"/>
          </w:tcPr>
          <w:p w14:paraId="289BDB79" w14:textId="77777777" w:rsidR="001772F0" w:rsidRPr="00341A16" w:rsidRDefault="001772F0" w:rsidP="001017B7">
            <w:pPr>
              <w:spacing w:line="240" w:lineRule="auto"/>
              <w:rPr>
                <w:sz w:val="20"/>
                <w:szCs w:val="20"/>
              </w:rPr>
            </w:pPr>
          </w:p>
        </w:tc>
        <w:tc>
          <w:tcPr>
            <w:tcW w:w="2013" w:type="pct"/>
            <w:shd w:val="clear" w:color="auto" w:fill="auto"/>
            <w:hideMark/>
          </w:tcPr>
          <w:p w14:paraId="7E3F8360" w14:textId="77777777" w:rsidR="001772F0" w:rsidRPr="00341A16" w:rsidRDefault="001772F0" w:rsidP="001772F0">
            <w:pPr>
              <w:spacing w:before="0" w:after="0" w:line="240" w:lineRule="auto"/>
              <w:rPr>
                <w:sz w:val="20"/>
                <w:szCs w:val="20"/>
              </w:rPr>
            </w:pPr>
            <w:r w:rsidRPr="00341A16">
              <w:rPr>
                <w:sz w:val="20"/>
                <w:szCs w:val="20"/>
              </w:rPr>
              <w:t xml:space="preserve">Oil central heating </w:t>
            </w:r>
            <w:r>
              <w:rPr>
                <w:sz w:val="20"/>
                <w:szCs w:val="20"/>
              </w:rPr>
              <w:br/>
            </w:r>
            <w:r w:rsidRPr="00341A16">
              <w:rPr>
                <w:sz w:val="20"/>
                <w:szCs w:val="20"/>
              </w:rPr>
              <w:t>(number of households)</w:t>
            </w:r>
          </w:p>
        </w:tc>
        <w:tc>
          <w:tcPr>
            <w:tcW w:w="2773" w:type="pct"/>
            <w:shd w:val="clear" w:color="auto" w:fill="auto"/>
            <w:noWrap/>
            <w:hideMark/>
          </w:tcPr>
          <w:p w14:paraId="659FF295" w14:textId="77777777" w:rsidR="001772F0" w:rsidRPr="00341A16" w:rsidRDefault="001772F0" w:rsidP="001772F0">
            <w:pPr>
              <w:spacing w:before="0" w:after="0" w:line="240" w:lineRule="auto"/>
              <w:rPr>
                <w:sz w:val="20"/>
                <w:szCs w:val="20"/>
              </w:rPr>
            </w:pPr>
            <w:r w:rsidRPr="00341A16">
              <w:rPr>
                <w:sz w:val="20"/>
                <w:szCs w:val="20"/>
              </w:rPr>
              <w:t xml:space="preserve">Census data at OA level of central heating </w:t>
            </w:r>
            <w:r w:rsidRPr="00341A16">
              <w:rPr>
                <w:noProof/>
                <w:sz w:val="20"/>
                <w:szCs w:val="20"/>
              </w:rPr>
              <w:t>(Census Data, 2011b)</w:t>
            </w:r>
          </w:p>
        </w:tc>
      </w:tr>
      <w:tr w:rsidR="001772F0" w:rsidRPr="0062579F" w14:paraId="3A63DE3F" w14:textId="77777777" w:rsidTr="001772F0">
        <w:trPr>
          <w:trHeight w:val="300"/>
        </w:trPr>
        <w:tc>
          <w:tcPr>
            <w:tcW w:w="215" w:type="pct"/>
            <w:vMerge/>
            <w:shd w:val="clear" w:color="auto" w:fill="auto"/>
          </w:tcPr>
          <w:p w14:paraId="217E2D62" w14:textId="77777777" w:rsidR="001772F0" w:rsidRPr="00341A16" w:rsidRDefault="001772F0" w:rsidP="001017B7">
            <w:pPr>
              <w:spacing w:line="240" w:lineRule="auto"/>
              <w:rPr>
                <w:sz w:val="20"/>
                <w:szCs w:val="20"/>
              </w:rPr>
            </w:pPr>
          </w:p>
        </w:tc>
        <w:tc>
          <w:tcPr>
            <w:tcW w:w="2013" w:type="pct"/>
            <w:shd w:val="clear" w:color="auto" w:fill="auto"/>
            <w:hideMark/>
          </w:tcPr>
          <w:p w14:paraId="009FD39C" w14:textId="77777777" w:rsidR="001772F0" w:rsidRPr="00341A16" w:rsidRDefault="001772F0" w:rsidP="001772F0">
            <w:pPr>
              <w:spacing w:before="0" w:after="0" w:line="240" w:lineRule="auto"/>
              <w:rPr>
                <w:sz w:val="20"/>
                <w:szCs w:val="20"/>
              </w:rPr>
            </w:pPr>
            <w:r w:rsidRPr="00341A16">
              <w:rPr>
                <w:sz w:val="20"/>
                <w:szCs w:val="20"/>
              </w:rPr>
              <w:t>Solid fuel central heating (e.g. wood, coal) (number of households)</w:t>
            </w:r>
          </w:p>
        </w:tc>
        <w:tc>
          <w:tcPr>
            <w:tcW w:w="2773" w:type="pct"/>
            <w:shd w:val="clear" w:color="auto" w:fill="auto"/>
            <w:noWrap/>
            <w:hideMark/>
          </w:tcPr>
          <w:p w14:paraId="0E85B455" w14:textId="77777777" w:rsidR="001772F0" w:rsidRPr="00341A16" w:rsidRDefault="001772F0" w:rsidP="001772F0">
            <w:pPr>
              <w:spacing w:before="0" w:after="0" w:line="240" w:lineRule="auto"/>
              <w:rPr>
                <w:sz w:val="20"/>
                <w:szCs w:val="20"/>
              </w:rPr>
            </w:pPr>
            <w:r w:rsidRPr="00341A16">
              <w:rPr>
                <w:sz w:val="20"/>
                <w:szCs w:val="20"/>
              </w:rPr>
              <w:t xml:space="preserve">Census data at OA level of central heating </w:t>
            </w:r>
            <w:r w:rsidRPr="00341A16">
              <w:rPr>
                <w:noProof/>
                <w:sz w:val="20"/>
                <w:szCs w:val="20"/>
              </w:rPr>
              <w:t>(Census Data, 2011b)</w:t>
            </w:r>
          </w:p>
        </w:tc>
      </w:tr>
      <w:tr w:rsidR="001772F0" w:rsidRPr="0062579F" w14:paraId="253338F4" w14:textId="77777777" w:rsidTr="001772F0">
        <w:trPr>
          <w:trHeight w:val="300"/>
        </w:trPr>
        <w:tc>
          <w:tcPr>
            <w:tcW w:w="215" w:type="pct"/>
            <w:vMerge/>
            <w:shd w:val="clear" w:color="auto" w:fill="auto"/>
          </w:tcPr>
          <w:p w14:paraId="2451F32A" w14:textId="77777777" w:rsidR="001772F0" w:rsidRPr="00341A16" w:rsidRDefault="001772F0" w:rsidP="001017B7">
            <w:pPr>
              <w:spacing w:line="240" w:lineRule="auto"/>
              <w:rPr>
                <w:sz w:val="20"/>
                <w:szCs w:val="20"/>
              </w:rPr>
            </w:pPr>
          </w:p>
        </w:tc>
        <w:tc>
          <w:tcPr>
            <w:tcW w:w="2013" w:type="pct"/>
            <w:shd w:val="clear" w:color="auto" w:fill="auto"/>
            <w:hideMark/>
          </w:tcPr>
          <w:p w14:paraId="76EA4D00" w14:textId="77777777" w:rsidR="001772F0" w:rsidRPr="00341A16" w:rsidRDefault="001772F0" w:rsidP="001772F0">
            <w:pPr>
              <w:spacing w:before="0" w:after="0" w:line="240" w:lineRule="auto"/>
              <w:rPr>
                <w:sz w:val="20"/>
                <w:szCs w:val="20"/>
              </w:rPr>
            </w:pPr>
            <w:r w:rsidRPr="00341A16">
              <w:rPr>
                <w:sz w:val="20"/>
                <w:szCs w:val="20"/>
              </w:rPr>
              <w:t>Electric heating (including storage heaters) (number of households)</w:t>
            </w:r>
          </w:p>
        </w:tc>
        <w:tc>
          <w:tcPr>
            <w:tcW w:w="2773" w:type="pct"/>
            <w:shd w:val="clear" w:color="auto" w:fill="auto"/>
            <w:noWrap/>
            <w:hideMark/>
          </w:tcPr>
          <w:p w14:paraId="1598E26D" w14:textId="77777777" w:rsidR="001772F0" w:rsidRPr="00341A16" w:rsidRDefault="001772F0" w:rsidP="001772F0">
            <w:pPr>
              <w:spacing w:before="0" w:after="0" w:line="240" w:lineRule="auto"/>
              <w:rPr>
                <w:sz w:val="20"/>
                <w:szCs w:val="20"/>
              </w:rPr>
            </w:pPr>
            <w:r w:rsidRPr="00341A16">
              <w:rPr>
                <w:sz w:val="20"/>
                <w:szCs w:val="20"/>
              </w:rPr>
              <w:t xml:space="preserve">Census data at LSOA level of central heating </w:t>
            </w:r>
            <w:r w:rsidRPr="00341A16">
              <w:rPr>
                <w:noProof/>
                <w:sz w:val="20"/>
                <w:szCs w:val="20"/>
              </w:rPr>
              <w:t>(Census Data, 2011b)</w:t>
            </w:r>
          </w:p>
        </w:tc>
      </w:tr>
      <w:tr w:rsidR="001772F0" w:rsidRPr="0062579F" w14:paraId="55863DF5" w14:textId="77777777" w:rsidTr="001772F0">
        <w:trPr>
          <w:trHeight w:val="300"/>
        </w:trPr>
        <w:tc>
          <w:tcPr>
            <w:tcW w:w="215" w:type="pct"/>
            <w:vMerge/>
            <w:shd w:val="clear" w:color="auto" w:fill="auto"/>
          </w:tcPr>
          <w:p w14:paraId="391CBBD0" w14:textId="77777777" w:rsidR="001772F0" w:rsidRPr="00341A16" w:rsidRDefault="001772F0" w:rsidP="001017B7">
            <w:pPr>
              <w:spacing w:line="240" w:lineRule="auto"/>
              <w:rPr>
                <w:sz w:val="20"/>
                <w:szCs w:val="20"/>
              </w:rPr>
            </w:pPr>
          </w:p>
        </w:tc>
        <w:tc>
          <w:tcPr>
            <w:tcW w:w="2013" w:type="pct"/>
            <w:shd w:val="clear" w:color="auto" w:fill="auto"/>
            <w:noWrap/>
            <w:hideMark/>
          </w:tcPr>
          <w:p w14:paraId="1E5DE5DE" w14:textId="77777777" w:rsidR="001772F0" w:rsidRPr="00341A16" w:rsidRDefault="001772F0" w:rsidP="001772F0">
            <w:pPr>
              <w:spacing w:before="0" w:after="0" w:line="240" w:lineRule="auto"/>
              <w:rPr>
                <w:sz w:val="20"/>
                <w:szCs w:val="20"/>
              </w:rPr>
            </w:pPr>
            <w:r w:rsidRPr="00341A16">
              <w:rPr>
                <w:sz w:val="20"/>
                <w:szCs w:val="20"/>
              </w:rPr>
              <w:t xml:space="preserve">Off-gas households </w:t>
            </w:r>
          </w:p>
        </w:tc>
        <w:tc>
          <w:tcPr>
            <w:tcW w:w="2773" w:type="pct"/>
            <w:shd w:val="clear" w:color="auto" w:fill="auto"/>
            <w:noWrap/>
            <w:hideMark/>
          </w:tcPr>
          <w:p w14:paraId="13483E2F" w14:textId="77777777" w:rsidR="001772F0" w:rsidRPr="00341A16" w:rsidRDefault="001772F0" w:rsidP="001772F0">
            <w:pPr>
              <w:spacing w:before="0" w:after="0" w:line="240" w:lineRule="auto"/>
              <w:rPr>
                <w:sz w:val="20"/>
                <w:szCs w:val="20"/>
              </w:rPr>
            </w:pPr>
            <w:r w:rsidRPr="00341A16">
              <w:rPr>
                <w:sz w:val="20"/>
                <w:szCs w:val="20"/>
              </w:rPr>
              <w:t>C</w:t>
            </w:r>
            <w:r>
              <w:rPr>
                <w:sz w:val="20"/>
                <w:szCs w:val="20"/>
              </w:rPr>
              <w:t xml:space="preserve">entre for </w:t>
            </w:r>
            <w:r w:rsidRPr="00341A16">
              <w:rPr>
                <w:sz w:val="20"/>
                <w:szCs w:val="20"/>
              </w:rPr>
              <w:t>S</w:t>
            </w:r>
            <w:r>
              <w:rPr>
                <w:sz w:val="20"/>
                <w:szCs w:val="20"/>
              </w:rPr>
              <w:t xml:space="preserve">ustainable </w:t>
            </w:r>
            <w:r w:rsidRPr="00341A16">
              <w:rPr>
                <w:sz w:val="20"/>
                <w:szCs w:val="20"/>
              </w:rPr>
              <w:t>E</w:t>
            </w:r>
            <w:r>
              <w:rPr>
                <w:sz w:val="20"/>
                <w:szCs w:val="20"/>
              </w:rPr>
              <w:t>nergy</w:t>
            </w:r>
            <w:r w:rsidRPr="00341A16">
              <w:rPr>
                <w:sz w:val="20"/>
                <w:szCs w:val="20"/>
              </w:rPr>
              <w:t xml:space="preserve"> </w:t>
            </w:r>
            <w:r>
              <w:rPr>
                <w:noProof/>
                <w:sz w:val="20"/>
                <w:szCs w:val="20"/>
              </w:rPr>
              <w:fldChar w:fldCharType="begin" w:fldLock="1"/>
            </w:r>
            <w:r>
              <w:rPr>
                <w:noProof/>
                <w:sz w:val="20"/>
                <w:szCs w:val="20"/>
              </w:rPr>
              <w:instrText>ADDIN CSL_CITATION { "citationItems" : [ { "id" : "ITEM-1", "itemData" : { "URL" : "http://www.cse.org.uk/resources/open-data/off-gas-postcodes", "author" : [ { "dropping-particle" : "", "family" : "Xoserve", "given" : "", "non-dropping-particle" : "", "parse-names" : false, "suffix" : "" } ], "id" : "ITEM-1", "issue" : "28.03.2014", "issued" : { "date-parts" : [ [ "2013" ] ] }, "publisher" : "Centre for Sustainable Energy,", "title" : "GB postcodes off the mains gas grid", "type" : "webpage", "volume" : "2014" }, "uris" : [ "http://www.mendeley.com/documents/?uuid=2647b628-548d-48e3-a11e-c8db129ee655" ] } ], "mendeley" : { "formattedCitation" : "(Xoserve, 2013)", "plainTextFormattedCitation" : "(Xoserve, 2013)", "previouslyFormattedCitation" : "(Xoserve, 2013)" }, "properties" : {  }, "schema" : "https://github.com/citation-style-language/schema/raw/master/csl-citation.json" }</w:instrText>
            </w:r>
            <w:r>
              <w:rPr>
                <w:noProof/>
                <w:sz w:val="20"/>
                <w:szCs w:val="20"/>
              </w:rPr>
              <w:fldChar w:fldCharType="separate"/>
            </w:r>
            <w:r w:rsidRPr="00895073">
              <w:rPr>
                <w:noProof/>
                <w:sz w:val="20"/>
                <w:szCs w:val="20"/>
              </w:rPr>
              <w:t>(Xoserve, 2013)</w:t>
            </w:r>
            <w:r>
              <w:rPr>
                <w:noProof/>
                <w:sz w:val="20"/>
                <w:szCs w:val="20"/>
              </w:rPr>
              <w:fldChar w:fldCharType="end"/>
            </w:r>
          </w:p>
        </w:tc>
      </w:tr>
      <w:tr w:rsidR="001772F0" w:rsidRPr="0062579F" w14:paraId="415CF857" w14:textId="77777777" w:rsidTr="001772F0">
        <w:trPr>
          <w:trHeight w:val="300"/>
        </w:trPr>
        <w:tc>
          <w:tcPr>
            <w:tcW w:w="215" w:type="pct"/>
            <w:vMerge/>
            <w:shd w:val="clear" w:color="auto" w:fill="auto"/>
          </w:tcPr>
          <w:p w14:paraId="1A03B247" w14:textId="77777777" w:rsidR="001772F0" w:rsidRPr="00341A16" w:rsidRDefault="001772F0" w:rsidP="001017B7">
            <w:pPr>
              <w:spacing w:line="240" w:lineRule="auto"/>
              <w:rPr>
                <w:sz w:val="20"/>
                <w:szCs w:val="20"/>
              </w:rPr>
            </w:pPr>
          </w:p>
        </w:tc>
        <w:tc>
          <w:tcPr>
            <w:tcW w:w="2013" w:type="pct"/>
            <w:shd w:val="clear" w:color="auto" w:fill="auto"/>
            <w:hideMark/>
          </w:tcPr>
          <w:p w14:paraId="1ADB1235" w14:textId="77777777" w:rsidR="001772F0" w:rsidRPr="00341A16" w:rsidRDefault="001772F0" w:rsidP="001772F0">
            <w:pPr>
              <w:spacing w:before="0" w:after="0" w:line="240" w:lineRule="auto"/>
              <w:rPr>
                <w:sz w:val="20"/>
                <w:szCs w:val="20"/>
              </w:rPr>
            </w:pPr>
            <w:r w:rsidRPr="00341A16">
              <w:rPr>
                <w:sz w:val="20"/>
                <w:szCs w:val="20"/>
              </w:rPr>
              <w:t>Fuel Poverty households 10% measure (number of households)</w:t>
            </w:r>
          </w:p>
        </w:tc>
        <w:tc>
          <w:tcPr>
            <w:tcW w:w="2773" w:type="pct"/>
            <w:shd w:val="clear" w:color="auto" w:fill="auto"/>
            <w:noWrap/>
            <w:hideMark/>
          </w:tcPr>
          <w:p w14:paraId="61562882" w14:textId="77777777" w:rsidR="001772F0" w:rsidRPr="00341A16" w:rsidRDefault="001772F0" w:rsidP="001772F0">
            <w:pPr>
              <w:spacing w:before="0" w:after="0" w:line="240" w:lineRule="auto"/>
              <w:rPr>
                <w:sz w:val="20"/>
                <w:szCs w:val="20"/>
              </w:rPr>
            </w:pPr>
            <w:r>
              <w:rPr>
                <w:sz w:val="20"/>
                <w:szCs w:val="20"/>
              </w:rPr>
              <w:t xml:space="preserve">UK Government statistical data set </w:t>
            </w:r>
            <w:r>
              <w:rPr>
                <w:noProof/>
                <w:sz w:val="20"/>
                <w:szCs w:val="20"/>
              </w:rPr>
              <w:fldChar w:fldCharType="begin" w:fldLock="1"/>
            </w:r>
            <w:r>
              <w:rPr>
                <w:noProof/>
                <w:sz w:val="20"/>
                <w:szCs w:val="20"/>
              </w:rPr>
              <w:instrText>ADDIN CSL_CITATION { "citationItems" : [ { "id" : "ITEM-1", "itemData" : { "author" : [ { "dropping-particle" : "", "family" : "DECC", "given" : "", "non-dropping-particle" : "", "parse-names" : false, "suffix" : "" } ], "id" : "ITEM-1", "issued" : { "date-parts" : [ [ "2013" ] ] }, "title" : "Fuel poverty 2011 detailed tables - 10 per cent measure", "type" : "article" }, "uris" : [ "http://www.mendeley.com/documents/?uuid=6c878379-f2fa-4d91-a7d6-af5db5a1a8ce" ] } ], "mendeley" : { "formattedCitation" : "(DECC, 2013a)", "plainTextFormattedCitation" : "(DECC, 2013a)", "previouslyFormattedCitation" : "(DECC, 2013a)" }, "properties" : {  }, "schema" : "https://github.com/citation-style-language/schema/raw/master/csl-citation.json" }</w:instrText>
            </w:r>
            <w:r>
              <w:rPr>
                <w:noProof/>
                <w:sz w:val="20"/>
                <w:szCs w:val="20"/>
              </w:rPr>
              <w:fldChar w:fldCharType="separate"/>
            </w:r>
            <w:r w:rsidRPr="00895073">
              <w:rPr>
                <w:noProof/>
                <w:sz w:val="20"/>
                <w:szCs w:val="20"/>
              </w:rPr>
              <w:t>(DECC, 2013a)</w:t>
            </w:r>
            <w:r>
              <w:rPr>
                <w:noProof/>
                <w:sz w:val="20"/>
                <w:szCs w:val="20"/>
              </w:rPr>
              <w:fldChar w:fldCharType="end"/>
            </w:r>
          </w:p>
        </w:tc>
      </w:tr>
      <w:tr w:rsidR="001772F0" w:rsidRPr="0062579F" w14:paraId="0968DAE5" w14:textId="77777777" w:rsidTr="001772F0">
        <w:trPr>
          <w:trHeight w:val="300"/>
        </w:trPr>
        <w:tc>
          <w:tcPr>
            <w:tcW w:w="215" w:type="pct"/>
            <w:vMerge/>
            <w:shd w:val="clear" w:color="auto" w:fill="auto"/>
          </w:tcPr>
          <w:p w14:paraId="26AFF7C6" w14:textId="77777777" w:rsidR="001772F0" w:rsidRPr="00341A16" w:rsidRDefault="001772F0" w:rsidP="001017B7">
            <w:pPr>
              <w:spacing w:line="240" w:lineRule="auto"/>
              <w:rPr>
                <w:sz w:val="20"/>
                <w:szCs w:val="20"/>
              </w:rPr>
            </w:pPr>
          </w:p>
        </w:tc>
        <w:tc>
          <w:tcPr>
            <w:tcW w:w="2013" w:type="pct"/>
            <w:shd w:val="clear" w:color="auto" w:fill="auto"/>
            <w:hideMark/>
          </w:tcPr>
          <w:p w14:paraId="47C13C6C" w14:textId="77777777" w:rsidR="001772F0" w:rsidRPr="00341A16" w:rsidRDefault="001772F0" w:rsidP="001772F0">
            <w:pPr>
              <w:spacing w:before="0" w:after="0" w:line="240" w:lineRule="auto"/>
              <w:rPr>
                <w:sz w:val="20"/>
                <w:szCs w:val="20"/>
              </w:rPr>
            </w:pPr>
            <w:r w:rsidRPr="00341A16">
              <w:rPr>
                <w:sz w:val="20"/>
                <w:szCs w:val="20"/>
              </w:rPr>
              <w:t>Fuel Poverty households LIHC (number)</w:t>
            </w:r>
          </w:p>
        </w:tc>
        <w:tc>
          <w:tcPr>
            <w:tcW w:w="2773" w:type="pct"/>
            <w:shd w:val="clear" w:color="auto" w:fill="auto"/>
            <w:noWrap/>
            <w:hideMark/>
          </w:tcPr>
          <w:p w14:paraId="5B37DEBD" w14:textId="77777777" w:rsidR="001772F0" w:rsidRPr="00341A16" w:rsidRDefault="001772F0" w:rsidP="001772F0">
            <w:pPr>
              <w:spacing w:before="0" w:after="0" w:line="240" w:lineRule="auto"/>
              <w:rPr>
                <w:sz w:val="20"/>
                <w:szCs w:val="20"/>
              </w:rPr>
            </w:pPr>
            <w:r>
              <w:rPr>
                <w:sz w:val="20"/>
                <w:szCs w:val="20"/>
              </w:rPr>
              <w:t>UK Government statistical data set</w:t>
            </w:r>
            <w:r w:rsidRPr="00341A16">
              <w:rPr>
                <w:sz w:val="20"/>
                <w:szCs w:val="20"/>
              </w:rPr>
              <w:t xml:space="preserve">  </w:t>
            </w:r>
            <w:r>
              <w:rPr>
                <w:noProof/>
                <w:sz w:val="20"/>
                <w:szCs w:val="20"/>
              </w:rPr>
              <w:fldChar w:fldCharType="begin" w:fldLock="1"/>
            </w:r>
            <w:r>
              <w:rPr>
                <w:noProof/>
                <w:sz w:val="20"/>
                <w:szCs w:val="20"/>
              </w:rPr>
              <w:instrText>ADDIN CSL_CITATION { "citationItems" : [ { "id" : "ITEM-1", "itemData" : { "author" : [ { "dropping-particle" : "", "family" : "DECC", "given" : "", "non-dropping-particle" : "", "parse-names" : false, "suffix" : "" } ], "chapter-number" : "22 January", "id" : "ITEM-1", "issued" : { "date-parts" : [ [ "2013" ] ] }, "title" : "Statistical Data Set: Fuel Poverty 2010 Detailed Tables", "type" : "article" }, "uris" : [ "http://www.mendeley.com/documents/?uuid=cfb6c1e3-4631-4e70-96b8-458162767320" ] } ], "mendeley" : { "formattedCitation" : "(DECC, 2013b)", "plainTextFormattedCitation" : "(DECC, 2013b)", "previouslyFormattedCitation" : "(DECC, 2013b)" }, "properties" : {  }, "schema" : "https://github.com/citation-style-language/schema/raw/master/csl-citation.json" }</w:instrText>
            </w:r>
            <w:r>
              <w:rPr>
                <w:noProof/>
                <w:sz w:val="20"/>
                <w:szCs w:val="20"/>
              </w:rPr>
              <w:fldChar w:fldCharType="separate"/>
            </w:r>
            <w:r w:rsidRPr="00895073">
              <w:rPr>
                <w:noProof/>
                <w:sz w:val="20"/>
                <w:szCs w:val="20"/>
              </w:rPr>
              <w:t>(DECC, 2013b)</w:t>
            </w:r>
            <w:r>
              <w:rPr>
                <w:noProof/>
                <w:sz w:val="20"/>
                <w:szCs w:val="20"/>
              </w:rPr>
              <w:fldChar w:fldCharType="end"/>
            </w:r>
          </w:p>
        </w:tc>
      </w:tr>
      <w:tr w:rsidR="001772F0" w:rsidRPr="0062579F" w14:paraId="4DBA1B07" w14:textId="77777777" w:rsidTr="001772F0">
        <w:trPr>
          <w:trHeight w:val="375"/>
        </w:trPr>
        <w:tc>
          <w:tcPr>
            <w:tcW w:w="215" w:type="pct"/>
            <w:vMerge/>
            <w:shd w:val="clear" w:color="auto" w:fill="auto"/>
          </w:tcPr>
          <w:p w14:paraId="16A23BB1" w14:textId="77777777" w:rsidR="001772F0" w:rsidRPr="00341A16" w:rsidRDefault="001772F0" w:rsidP="001017B7">
            <w:pPr>
              <w:spacing w:line="240" w:lineRule="auto"/>
              <w:rPr>
                <w:sz w:val="20"/>
                <w:szCs w:val="20"/>
              </w:rPr>
            </w:pPr>
          </w:p>
        </w:tc>
        <w:tc>
          <w:tcPr>
            <w:tcW w:w="2013" w:type="pct"/>
            <w:tcBorders>
              <w:bottom w:val="nil"/>
            </w:tcBorders>
            <w:shd w:val="clear" w:color="auto" w:fill="auto"/>
            <w:noWrap/>
            <w:hideMark/>
          </w:tcPr>
          <w:p w14:paraId="68D8A720" w14:textId="77777777" w:rsidR="001772F0" w:rsidRPr="00341A16" w:rsidRDefault="001772F0" w:rsidP="001772F0">
            <w:pPr>
              <w:spacing w:before="0" w:after="0" w:line="240" w:lineRule="auto"/>
              <w:rPr>
                <w:sz w:val="20"/>
                <w:szCs w:val="20"/>
              </w:rPr>
            </w:pPr>
            <w:r w:rsidRPr="00341A16">
              <w:rPr>
                <w:sz w:val="20"/>
                <w:szCs w:val="20"/>
              </w:rPr>
              <w:t>Index of Multiple Deprivation</w:t>
            </w:r>
          </w:p>
        </w:tc>
        <w:tc>
          <w:tcPr>
            <w:tcW w:w="2773" w:type="pct"/>
            <w:tcBorders>
              <w:bottom w:val="nil"/>
            </w:tcBorders>
            <w:shd w:val="clear" w:color="auto" w:fill="auto"/>
            <w:noWrap/>
            <w:hideMark/>
          </w:tcPr>
          <w:p w14:paraId="5A906ECF" w14:textId="77777777" w:rsidR="001772F0" w:rsidRPr="00341A16" w:rsidRDefault="001772F0" w:rsidP="001772F0">
            <w:pPr>
              <w:spacing w:before="0" w:after="0" w:line="240" w:lineRule="auto"/>
              <w:rPr>
                <w:sz w:val="20"/>
                <w:szCs w:val="20"/>
              </w:rPr>
            </w:pPr>
            <w:r>
              <w:rPr>
                <w:sz w:val="20"/>
                <w:szCs w:val="20"/>
              </w:rPr>
              <w:t>English Indices of Deprivation</w:t>
            </w:r>
            <w:r w:rsidRPr="00341A16">
              <w:rPr>
                <w:sz w:val="20"/>
                <w:szCs w:val="20"/>
              </w:rPr>
              <w:t xml:space="preserve">, 2010 data </w:t>
            </w:r>
            <w:r>
              <w:rPr>
                <w:noProof/>
                <w:sz w:val="20"/>
                <w:szCs w:val="20"/>
              </w:rPr>
              <w:fldChar w:fldCharType="begin" w:fldLock="1"/>
            </w:r>
            <w:r>
              <w:rPr>
                <w:noProof/>
                <w:sz w:val="20"/>
                <w:szCs w:val="20"/>
              </w:rPr>
              <w:instrText>ADDIN CSL_CITATION { "citationItems" : [ { "id" : "ITEM-1", "itemData" : { "URL" : "https://www.gov.uk/government/publications/english-indices-of-deprivation-2010", "author" : [ { "dropping-particle" : "", "family" : "DCLG", "given" : "", "non-dropping-particle" : "", "parse-names" : false, "suffix" : "" } ], "id" : "ITEM-1", "issue" : "28.03.2014", "issued" : { "date-parts" : [ [ "2011" ] ] }, "title" : "Statistics - English indices of deprivation 2010", "type" : "webpage", "volume" : "2014" }, "uris" : [ "http://www.mendeley.com/documents/?uuid=09919f35-b5ff-430d-9c06-833c41e3a990" ] } ], "mendeley" : { "formattedCitation" : "(DCLG, 2011)", "plainTextFormattedCitation" : "(DCLG, 2011)", "previouslyFormattedCitation" : "(DCLG, 2011)" }, "properties" : {  }, "schema" : "https://github.com/citation-style-language/schema/raw/master/csl-citation.json" }</w:instrText>
            </w:r>
            <w:r>
              <w:rPr>
                <w:noProof/>
                <w:sz w:val="20"/>
                <w:szCs w:val="20"/>
              </w:rPr>
              <w:fldChar w:fldCharType="separate"/>
            </w:r>
            <w:r w:rsidRPr="00895073">
              <w:rPr>
                <w:noProof/>
                <w:sz w:val="20"/>
                <w:szCs w:val="20"/>
              </w:rPr>
              <w:t>(DCLG, 2011)</w:t>
            </w:r>
            <w:r>
              <w:rPr>
                <w:noProof/>
                <w:sz w:val="20"/>
                <w:szCs w:val="20"/>
              </w:rPr>
              <w:fldChar w:fldCharType="end"/>
            </w:r>
          </w:p>
          <w:p w14:paraId="71F7E286" w14:textId="77777777" w:rsidR="001772F0" w:rsidRPr="00341A16" w:rsidRDefault="001772F0" w:rsidP="001772F0">
            <w:pPr>
              <w:spacing w:before="0" w:after="0" w:line="240" w:lineRule="auto"/>
              <w:rPr>
                <w:sz w:val="20"/>
                <w:szCs w:val="20"/>
              </w:rPr>
            </w:pPr>
            <w:r w:rsidRPr="00341A16">
              <w:rPr>
                <w:sz w:val="20"/>
                <w:szCs w:val="20"/>
              </w:rPr>
              <w:t xml:space="preserve">Welsh </w:t>
            </w:r>
            <w:r>
              <w:rPr>
                <w:sz w:val="20"/>
                <w:szCs w:val="20"/>
              </w:rPr>
              <w:t xml:space="preserve">Index of Multiple Deprivation </w:t>
            </w:r>
            <w:r w:rsidRPr="00341A16">
              <w:rPr>
                <w:sz w:val="20"/>
                <w:szCs w:val="20"/>
              </w:rPr>
              <w:t xml:space="preserve">2011 data </w:t>
            </w:r>
            <w:r>
              <w:rPr>
                <w:noProof/>
                <w:sz w:val="20"/>
                <w:szCs w:val="20"/>
              </w:rPr>
              <w:fldChar w:fldCharType="begin" w:fldLock="1"/>
            </w:r>
            <w:r>
              <w:rPr>
                <w:noProof/>
                <w:sz w:val="20"/>
                <w:szCs w:val="20"/>
              </w:rPr>
              <w:instrText>ADDIN CSL_CITATION { "citationItems" : [ { "id" : "ITEM-1", "itemData" : { "URL" : "http://wales.gov.uk/statistics-and-research/welsh-index-multiple-deprivation/?lang=en#/statistics-and-research/welsh-index-multiple-deprivation/?lang=en", "author" : [ { "dropping-particle" : "", "family" : "Welsh Government", "given" : "", "non-dropping-particle" : "", "parse-names" : false, "suffix" : "" } ], "id" : "ITEM-1", "issue" : "28.03.2014", "issued" : { "date-parts" : [ [ "2011" ] ] }, "title" : "Statistics - Welsh Index of Multiple Deprivation (WIMD)", "type" : "webpage", "volume" : "2014" }, "uris" : [ "http://www.mendeley.com/documents/?uuid=bf093762-5634-4d90-811b-399696ff44e0" ] } ], "mendeley" : { "formattedCitation" : "(Welsh Government, 2011)", "plainTextFormattedCitation" : "(Welsh Government, 2011)", "previouslyFormattedCitation" : "(Welsh Government, 2011)" }, "properties" : {  }, "schema" : "https://github.com/citation-style-language/schema/raw/master/csl-citation.json" }</w:instrText>
            </w:r>
            <w:r>
              <w:rPr>
                <w:noProof/>
                <w:sz w:val="20"/>
                <w:szCs w:val="20"/>
              </w:rPr>
              <w:fldChar w:fldCharType="separate"/>
            </w:r>
            <w:r w:rsidRPr="00895073">
              <w:rPr>
                <w:noProof/>
                <w:sz w:val="20"/>
                <w:szCs w:val="20"/>
              </w:rPr>
              <w:t>(Welsh Government, 2011)</w:t>
            </w:r>
            <w:r>
              <w:rPr>
                <w:noProof/>
                <w:sz w:val="20"/>
                <w:szCs w:val="20"/>
              </w:rPr>
              <w:fldChar w:fldCharType="end"/>
            </w:r>
          </w:p>
        </w:tc>
      </w:tr>
      <w:tr w:rsidR="001772F0" w:rsidRPr="0062579F" w14:paraId="2590F292" w14:textId="77777777" w:rsidTr="001772F0">
        <w:trPr>
          <w:trHeight w:val="300"/>
        </w:trPr>
        <w:tc>
          <w:tcPr>
            <w:tcW w:w="215" w:type="pct"/>
            <w:vMerge/>
            <w:tcBorders>
              <w:bottom w:val="single" w:sz="8" w:space="0" w:color="000000"/>
            </w:tcBorders>
            <w:shd w:val="clear" w:color="auto" w:fill="auto"/>
          </w:tcPr>
          <w:p w14:paraId="77ABA831" w14:textId="77777777" w:rsidR="001772F0" w:rsidRPr="00341A16" w:rsidRDefault="001772F0" w:rsidP="001017B7">
            <w:pPr>
              <w:spacing w:line="240" w:lineRule="auto"/>
              <w:rPr>
                <w:sz w:val="20"/>
                <w:szCs w:val="20"/>
              </w:rPr>
            </w:pPr>
          </w:p>
        </w:tc>
        <w:tc>
          <w:tcPr>
            <w:tcW w:w="2013" w:type="pct"/>
            <w:tcBorders>
              <w:top w:val="nil"/>
              <w:bottom w:val="single" w:sz="8" w:space="0" w:color="000000"/>
            </w:tcBorders>
            <w:shd w:val="clear" w:color="auto" w:fill="auto"/>
            <w:noWrap/>
            <w:hideMark/>
          </w:tcPr>
          <w:p w14:paraId="0F60590A" w14:textId="77777777" w:rsidR="001772F0" w:rsidRPr="00341A16" w:rsidRDefault="001772F0" w:rsidP="001772F0">
            <w:pPr>
              <w:spacing w:before="0" w:after="0" w:line="240" w:lineRule="auto"/>
              <w:rPr>
                <w:sz w:val="20"/>
                <w:szCs w:val="20"/>
              </w:rPr>
            </w:pPr>
            <w:r w:rsidRPr="00341A16">
              <w:rPr>
                <w:sz w:val="20"/>
                <w:szCs w:val="20"/>
              </w:rPr>
              <w:t>Eligible for CSCO funding (E</w:t>
            </w:r>
            <w:r>
              <w:rPr>
                <w:sz w:val="20"/>
                <w:szCs w:val="20"/>
              </w:rPr>
              <w:t xml:space="preserve">nergy </w:t>
            </w:r>
            <w:r w:rsidRPr="00341A16">
              <w:rPr>
                <w:sz w:val="20"/>
                <w:szCs w:val="20"/>
              </w:rPr>
              <w:t>C</w:t>
            </w:r>
            <w:r>
              <w:rPr>
                <w:sz w:val="20"/>
                <w:szCs w:val="20"/>
              </w:rPr>
              <w:t xml:space="preserve">ompany </w:t>
            </w:r>
            <w:r w:rsidRPr="00341A16">
              <w:rPr>
                <w:sz w:val="20"/>
                <w:szCs w:val="20"/>
              </w:rPr>
              <w:t>O</w:t>
            </w:r>
            <w:r>
              <w:rPr>
                <w:sz w:val="20"/>
                <w:szCs w:val="20"/>
              </w:rPr>
              <w:t>bligations</w:t>
            </w:r>
            <w:r w:rsidRPr="00341A16">
              <w:rPr>
                <w:sz w:val="20"/>
                <w:szCs w:val="20"/>
              </w:rPr>
              <w:t>)</w:t>
            </w:r>
          </w:p>
        </w:tc>
        <w:tc>
          <w:tcPr>
            <w:tcW w:w="2773" w:type="pct"/>
            <w:tcBorders>
              <w:top w:val="nil"/>
              <w:bottom w:val="single" w:sz="8" w:space="0" w:color="000000"/>
            </w:tcBorders>
            <w:shd w:val="clear" w:color="auto" w:fill="auto"/>
            <w:noWrap/>
            <w:hideMark/>
          </w:tcPr>
          <w:p w14:paraId="7E448435" w14:textId="77777777" w:rsidR="001772F0" w:rsidRPr="00341A16" w:rsidRDefault="001772F0" w:rsidP="001772F0">
            <w:pPr>
              <w:spacing w:before="0" w:after="0" w:line="240" w:lineRule="auto"/>
              <w:rPr>
                <w:sz w:val="20"/>
                <w:szCs w:val="20"/>
              </w:rPr>
            </w:pPr>
            <w:r w:rsidRPr="00895073">
              <w:rPr>
                <w:sz w:val="20"/>
                <w:szCs w:val="20"/>
              </w:rPr>
              <w:t xml:space="preserve">Energy Company Obligation - Carbon Saving Community Obligation: Rural and Low Income Areas </w:t>
            </w:r>
            <w:r w:rsidRPr="00341A16">
              <w:rPr>
                <w:sz w:val="20"/>
                <w:szCs w:val="20"/>
              </w:rPr>
              <w:t xml:space="preserve">– Sourced from Centre for Sustainable Energy website </w:t>
            </w:r>
            <w:r>
              <w:rPr>
                <w:noProof/>
                <w:sz w:val="20"/>
                <w:szCs w:val="20"/>
              </w:rPr>
              <w:fldChar w:fldCharType="begin" w:fldLock="1"/>
            </w:r>
            <w:r>
              <w:rPr>
                <w:noProof/>
                <w:sz w:val="20"/>
                <w:szCs w:val="20"/>
              </w:rPr>
              <w:instrText>ADDIN CSL_CITATION { "citationItems" : [ { "id" : "ITEM-1", "itemData" : { "URL" : "http://www.cse.org.uk/resources/open-data/energy-company-obligation-data-", "author" : [ { "dropping-particle" : "", "family" : "DECC", "given" : "", "non-dropping-particle" : "", "parse-names" : false, "suffix" : "" } ], "id" : "ITEM-1", "issue" : "28.03.2014", "issued" : { "date-parts" : [ [ "2012" ] ] }, "title" : "Energy Company Obligation - Carbon Saving Community Obligation: Rural and Low Income Areas", "type" : "webpage", "volume" : "2014" }, "uris" : [ "http://www.mendeley.com/documents/?uuid=8422b599-1976-496c-83ec-f9bfc273164e" ] } ], "mendeley" : { "formattedCitation" : "(DECC, 2012)", "plainTextFormattedCitation" : "(DECC, 2012)", "previouslyFormattedCitation" : "(DECC, 2012)" }, "properties" : {  }, "schema" : "https://github.com/citation-style-language/schema/raw/master/csl-citation.json" }</w:instrText>
            </w:r>
            <w:r>
              <w:rPr>
                <w:noProof/>
                <w:sz w:val="20"/>
                <w:szCs w:val="20"/>
              </w:rPr>
              <w:fldChar w:fldCharType="separate"/>
            </w:r>
            <w:r w:rsidRPr="00895073">
              <w:rPr>
                <w:noProof/>
                <w:sz w:val="20"/>
                <w:szCs w:val="20"/>
              </w:rPr>
              <w:t>(DECC, 2012)</w:t>
            </w:r>
            <w:r>
              <w:rPr>
                <w:noProof/>
                <w:sz w:val="20"/>
                <w:szCs w:val="20"/>
              </w:rPr>
              <w:fldChar w:fldCharType="end"/>
            </w:r>
          </w:p>
        </w:tc>
      </w:tr>
    </w:tbl>
    <w:p w14:paraId="44B694B2" w14:textId="77777777" w:rsidR="001772F0" w:rsidRDefault="001772F0" w:rsidP="001772F0"/>
    <w:p w14:paraId="1EB2B025" w14:textId="77777777" w:rsidR="00C83059" w:rsidRDefault="00C83059" w:rsidP="00C83059">
      <w:pPr>
        <w:pStyle w:val="Heading3"/>
        <w:spacing w:before="200" w:line="276" w:lineRule="auto"/>
      </w:pPr>
      <w:r>
        <w:t>Aligning lower super output area data to super output area resolution</w:t>
      </w:r>
    </w:p>
    <w:p w14:paraId="481C2FE4" w14:textId="77777777" w:rsidR="00875E0E" w:rsidRDefault="00875E0E" w:rsidP="00C83059">
      <w:r>
        <w:t xml:space="preserve">The highest available spatial resolution of ‘census output area’ (approximately 125 households per area) was used where it was available. However, fuel poverty data and indices of multiple deprivation data was only available at lower super output area (LSOA). </w:t>
      </w:r>
      <w:r>
        <w:lastRenderedPageBreak/>
        <w:t xml:space="preserve">This offered sufficient resolution for early stage district heating planning to identify general areas of potential. </w:t>
      </w:r>
    </w:p>
    <w:p w14:paraId="7E4611DE" w14:textId="4AFBB08A" w:rsidR="00647D75" w:rsidRDefault="00C83059" w:rsidP="00C83059">
      <w:r>
        <w:t xml:space="preserve">A score was generated for each census output area based upon the lower super output area to which it belonged. Figure </w:t>
      </w:r>
      <w:r w:rsidR="001772F0">
        <w:t>1</w:t>
      </w:r>
      <w:r>
        <w:t xml:space="preserve"> illustrates how scoring for these data sets were assigned to each census area, using the example of fuel poverty data. When a lower super output area had a high level of fuel poverty, all the census areas contained within that lower super output area would receive a score to indicate a high level of fuel poverty.</w:t>
      </w:r>
    </w:p>
    <w:p w14:paraId="65A3763B" w14:textId="77777777" w:rsidR="001772F0" w:rsidRDefault="001772F0" w:rsidP="00C83059"/>
    <w:tbl>
      <w:tblPr>
        <w:tblpPr w:leftFromText="180" w:rightFromText="180" w:vertAnchor="text" w:tblpXSpec="center" w:tblpY="1"/>
        <w:tblOverlap w:val="never"/>
        <w:tblW w:w="5956" w:type="dxa"/>
        <w:tblCellMar>
          <w:left w:w="0" w:type="dxa"/>
          <w:right w:w="0" w:type="dxa"/>
        </w:tblCellMar>
        <w:tblLook w:val="0420" w:firstRow="1" w:lastRow="0" w:firstColumn="0" w:lastColumn="0" w:noHBand="0" w:noVBand="1"/>
      </w:tblPr>
      <w:tblGrid>
        <w:gridCol w:w="1502"/>
        <w:gridCol w:w="1503"/>
        <w:gridCol w:w="2951"/>
      </w:tblGrid>
      <w:tr w:rsidR="00C83059" w:rsidRPr="007C1E57" w14:paraId="1816192D" w14:textId="77777777" w:rsidTr="001017B7">
        <w:trPr>
          <w:trHeight w:val="863"/>
        </w:trPr>
        <w:tc>
          <w:tcPr>
            <w:tcW w:w="150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14:paraId="0747D92C" w14:textId="77777777" w:rsidR="00C83059" w:rsidRPr="00016075" w:rsidRDefault="00C83059" w:rsidP="001017B7">
            <w:pPr>
              <w:spacing w:after="0"/>
              <w:rPr>
                <w:sz w:val="28"/>
                <w:szCs w:val="72"/>
              </w:rPr>
            </w:pPr>
            <w:r w:rsidRPr="00016075">
              <w:rPr>
                <w:sz w:val="28"/>
                <w:szCs w:val="72"/>
                <w:lang w:val="en-US"/>
              </w:rPr>
              <w:t>LSOA - A</w:t>
            </w:r>
          </w:p>
          <w:p w14:paraId="6A6311FF" w14:textId="77777777" w:rsidR="00C83059" w:rsidRPr="007C1E57" w:rsidRDefault="00C83059" w:rsidP="001017B7">
            <w:pPr>
              <w:spacing w:before="200" w:after="0"/>
            </w:pPr>
            <w:r w:rsidRPr="007C1E57">
              <w:rPr>
                <w:lang w:val="en-US"/>
              </w:rPr>
              <w:t>a1</w:t>
            </w:r>
          </w:p>
        </w:tc>
        <w:tc>
          <w:tcPr>
            <w:tcW w:w="150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14:paraId="75B6597F" w14:textId="77777777" w:rsidR="00C83059" w:rsidRPr="007C1E57" w:rsidRDefault="00C83059" w:rsidP="001017B7">
            <w:pPr>
              <w:spacing w:after="0"/>
              <w:rPr>
                <w:lang w:val="en-US"/>
              </w:rPr>
            </w:pPr>
          </w:p>
          <w:p w14:paraId="6F94529F" w14:textId="77777777" w:rsidR="00C83059" w:rsidRPr="007C1E57" w:rsidRDefault="00C83059" w:rsidP="001017B7">
            <w:pPr>
              <w:spacing w:after="0"/>
              <w:rPr>
                <w:lang w:val="en-US"/>
              </w:rPr>
            </w:pPr>
          </w:p>
          <w:p w14:paraId="283296C6" w14:textId="77777777" w:rsidR="00C83059" w:rsidRPr="007C1E57" w:rsidRDefault="00C83059" w:rsidP="001017B7">
            <w:pPr>
              <w:spacing w:after="0"/>
            </w:pPr>
            <w:r w:rsidRPr="007C1E57">
              <w:rPr>
                <w:lang w:val="en-US"/>
              </w:rPr>
              <w:t>a2</w:t>
            </w:r>
          </w:p>
        </w:tc>
        <w:tc>
          <w:tcPr>
            <w:tcW w:w="2951" w:type="dxa"/>
            <w:vMerge w:val="restar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7CEEAE5" w14:textId="77777777" w:rsidR="00C83059" w:rsidRPr="007C1E57" w:rsidRDefault="00C83059" w:rsidP="001017B7">
            <w:pPr>
              <w:spacing w:after="0"/>
              <w:rPr>
                <w:sz w:val="32"/>
                <w:szCs w:val="48"/>
              </w:rPr>
            </w:pPr>
            <w:r w:rsidRPr="00016075">
              <w:rPr>
                <w:sz w:val="28"/>
                <w:szCs w:val="48"/>
                <w:lang w:val="en-US"/>
              </w:rPr>
              <w:t>LSOA - B</w:t>
            </w:r>
          </w:p>
        </w:tc>
      </w:tr>
      <w:tr w:rsidR="00C83059" w:rsidRPr="007C1E57" w14:paraId="3199F608" w14:textId="77777777" w:rsidTr="001017B7">
        <w:trPr>
          <w:trHeight w:val="865"/>
        </w:trPr>
        <w:tc>
          <w:tcPr>
            <w:tcW w:w="1502"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14:paraId="22D09FDA" w14:textId="77777777" w:rsidR="00C83059" w:rsidRPr="007C1E57" w:rsidRDefault="00C83059" w:rsidP="001017B7">
            <w:pPr>
              <w:spacing w:after="0"/>
              <w:rPr>
                <w:lang w:val="en-US"/>
              </w:rPr>
            </w:pPr>
          </w:p>
          <w:p w14:paraId="38913321" w14:textId="77777777" w:rsidR="00C83059" w:rsidRPr="007C1E57" w:rsidRDefault="00C83059" w:rsidP="001017B7">
            <w:pPr>
              <w:spacing w:after="0"/>
              <w:rPr>
                <w:lang w:val="en-US"/>
              </w:rPr>
            </w:pPr>
          </w:p>
          <w:p w14:paraId="35635706" w14:textId="77777777" w:rsidR="00C83059" w:rsidRPr="007C1E57" w:rsidRDefault="00C83059" w:rsidP="001017B7">
            <w:pPr>
              <w:spacing w:after="0"/>
            </w:pPr>
            <w:r w:rsidRPr="007C1E57">
              <w:rPr>
                <w:lang w:val="en-US"/>
              </w:rPr>
              <w:t>a3</w:t>
            </w:r>
          </w:p>
        </w:tc>
        <w:tc>
          <w:tcPr>
            <w:tcW w:w="1503"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72" w:type="dxa"/>
              <w:left w:w="144" w:type="dxa"/>
              <w:bottom w:w="72" w:type="dxa"/>
              <w:right w:w="144" w:type="dxa"/>
            </w:tcMar>
            <w:hideMark/>
          </w:tcPr>
          <w:p w14:paraId="3F0E5972" w14:textId="77777777" w:rsidR="00C83059" w:rsidRPr="007C1E57" w:rsidRDefault="00C83059" w:rsidP="001017B7">
            <w:pPr>
              <w:spacing w:after="0"/>
              <w:rPr>
                <w:lang w:val="en-US"/>
              </w:rPr>
            </w:pPr>
          </w:p>
          <w:p w14:paraId="248A4335" w14:textId="77777777" w:rsidR="00C83059" w:rsidRPr="007C1E57" w:rsidRDefault="00C83059" w:rsidP="001017B7">
            <w:pPr>
              <w:spacing w:after="0"/>
              <w:rPr>
                <w:lang w:val="en-US"/>
              </w:rPr>
            </w:pPr>
          </w:p>
          <w:p w14:paraId="67410518" w14:textId="77777777" w:rsidR="00C83059" w:rsidRPr="007C1E57" w:rsidRDefault="00C83059" w:rsidP="001017B7">
            <w:pPr>
              <w:spacing w:after="0"/>
            </w:pPr>
            <w:r w:rsidRPr="007C1E57">
              <w:rPr>
                <w:lang w:val="en-US"/>
              </w:rPr>
              <w:t>a4</w:t>
            </w:r>
          </w:p>
        </w:tc>
        <w:tc>
          <w:tcPr>
            <w:tcW w:w="2951" w:type="dxa"/>
            <w:vMerge/>
            <w:tcBorders>
              <w:top w:val="single" w:sz="8" w:space="0" w:color="000000"/>
              <w:left w:val="single" w:sz="8" w:space="0" w:color="000000"/>
              <w:bottom w:val="single" w:sz="8" w:space="0" w:color="000000"/>
              <w:right w:val="single" w:sz="8" w:space="0" w:color="000000"/>
            </w:tcBorders>
            <w:shd w:val="clear" w:color="auto" w:fill="BFBFBF" w:themeFill="background1" w:themeFillShade="BF"/>
            <w:vAlign w:val="center"/>
            <w:hideMark/>
          </w:tcPr>
          <w:p w14:paraId="446D5671" w14:textId="77777777" w:rsidR="00C83059" w:rsidRPr="007C1E57" w:rsidRDefault="00C83059" w:rsidP="001017B7">
            <w:pPr>
              <w:spacing w:after="0"/>
            </w:pPr>
          </w:p>
        </w:tc>
      </w:tr>
      <w:tr w:rsidR="00C83059" w:rsidRPr="007C1E57" w14:paraId="1B6B006F" w14:textId="77777777" w:rsidTr="001017B7">
        <w:trPr>
          <w:trHeight w:val="2227"/>
        </w:trPr>
        <w:tc>
          <w:tcPr>
            <w:tcW w:w="3005" w:type="dxa"/>
            <w:gridSpan w:val="2"/>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A806798" w14:textId="77777777" w:rsidR="00C83059" w:rsidRPr="00016075" w:rsidRDefault="00C83059" w:rsidP="001017B7">
            <w:pPr>
              <w:spacing w:after="0"/>
              <w:rPr>
                <w:sz w:val="28"/>
                <w:szCs w:val="48"/>
              </w:rPr>
            </w:pPr>
            <w:r w:rsidRPr="00016075">
              <w:rPr>
                <w:sz w:val="28"/>
                <w:szCs w:val="48"/>
                <w:lang w:val="en-US"/>
              </w:rPr>
              <w:t>LSOA - C</w:t>
            </w:r>
          </w:p>
        </w:tc>
        <w:tc>
          <w:tcPr>
            <w:tcW w:w="2951" w:type="dxa"/>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2B13387E" w14:textId="77777777" w:rsidR="00C83059" w:rsidRPr="00016075" w:rsidRDefault="00C83059" w:rsidP="001017B7">
            <w:pPr>
              <w:keepNext/>
              <w:spacing w:after="0"/>
              <w:rPr>
                <w:sz w:val="28"/>
                <w:szCs w:val="48"/>
              </w:rPr>
            </w:pPr>
            <w:r w:rsidRPr="00016075">
              <w:rPr>
                <w:sz w:val="28"/>
                <w:szCs w:val="48"/>
                <w:lang w:val="en-US"/>
              </w:rPr>
              <w:t>LSOA - D</w:t>
            </w:r>
          </w:p>
        </w:tc>
      </w:tr>
    </w:tbl>
    <w:p w14:paraId="72FC60D0" w14:textId="366675FA" w:rsidR="00C83059" w:rsidRDefault="00C83059" w:rsidP="00C83059">
      <w:pPr>
        <w:pStyle w:val="Caption"/>
      </w:pPr>
      <w:r>
        <w:br w:type="textWrapping" w:clear="all"/>
      </w:r>
      <w:bookmarkStart w:id="1" w:name="_Toc462044746"/>
      <w:r>
        <w:t xml:space="preserve">Figure </w:t>
      </w:r>
      <w:fldSimple w:instr=" SEQ Figure \* ARABIC ">
        <w:r w:rsidR="001772F0">
          <w:rPr>
            <w:noProof/>
          </w:rPr>
          <w:t>1</w:t>
        </w:r>
      </w:fldSimple>
      <w:r>
        <w:t>: Description of the process for assigning a score to each census output area for data only available at lower super output area (LSOA) resolution – using the example of fuel poverty data.</w:t>
      </w:r>
      <w:bookmarkEnd w:id="1"/>
    </w:p>
    <w:p w14:paraId="40AE11D5" w14:textId="77777777" w:rsidR="00C83059" w:rsidRDefault="00C83059" w:rsidP="00DF4308">
      <w:pPr>
        <w:pStyle w:val="Heading2"/>
      </w:pPr>
      <w:r>
        <w:lastRenderedPageBreak/>
        <w:t>Scoring census output areas</w:t>
      </w:r>
    </w:p>
    <w:p w14:paraId="70EEFE47" w14:textId="77777777" w:rsidR="00C83059" w:rsidRPr="00B61AF0" w:rsidRDefault="00C83059" w:rsidP="00C83059">
      <w:r>
        <w:rPr>
          <w:noProof/>
          <w:lang w:eastAsia="zh-CN"/>
        </w:rPr>
        <mc:AlternateContent>
          <mc:Choice Requires="wpg">
            <w:drawing>
              <wp:inline distT="0" distB="0" distL="0" distR="0" wp14:anchorId="63B6E26C" wp14:editId="7A192791">
                <wp:extent cx="5495925" cy="2424430"/>
                <wp:effectExtent l="0" t="0" r="0" b="0"/>
                <wp:docPr id="13"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2424430"/>
                          <a:chOff x="2844" y="10440"/>
                          <a:chExt cx="8655" cy="3818"/>
                        </a:xfrm>
                      </wpg:grpSpPr>
                      <wps:wsp>
                        <wps:cNvPr id="14" name="Text Box 10"/>
                        <wps:cNvSpPr txBox="1">
                          <a:spLocks noChangeArrowheads="1"/>
                        </wps:cNvSpPr>
                        <wps:spPr bwMode="auto">
                          <a:xfrm>
                            <a:off x="2844" y="11514"/>
                            <a:ext cx="8655" cy="2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92CDDC"/>
                                <w:tblLook w:val="04A0" w:firstRow="1" w:lastRow="0" w:firstColumn="1" w:lastColumn="0" w:noHBand="0" w:noVBand="1"/>
                              </w:tblPr>
                              <w:tblGrid>
                                <w:gridCol w:w="6521"/>
                                <w:gridCol w:w="1601"/>
                              </w:tblGrid>
                              <w:tr w:rsidR="00C83059" w14:paraId="4B12620E" w14:textId="77777777" w:rsidTr="00E97331">
                                <w:trPr>
                                  <w:trHeight w:val="561"/>
                                </w:trPr>
                                <w:tc>
                                  <w:tcPr>
                                    <w:tcW w:w="6521" w:type="dxa"/>
                                    <w:tcBorders>
                                      <w:top w:val="thinThickSmallGap" w:sz="24" w:space="0" w:color="auto"/>
                                      <w:left w:val="thinThickSmallGap" w:sz="24" w:space="0" w:color="auto"/>
                                      <w:bottom w:val="thinThickSmallGap" w:sz="24" w:space="0" w:color="auto"/>
                                      <w:right w:val="thinThickSmallGap" w:sz="24" w:space="0" w:color="auto"/>
                                    </w:tcBorders>
                                    <w:shd w:val="clear" w:color="auto" w:fill="F2F2F2" w:themeFill="background1" w:themeFillShade="F2"/>
                                    <w:vAlign w:val="center"/>
                                    <w:hideMark/>
                                  </w:tcPr>
                                  <w:p w14:paraId="04DDB077" w14:textId="77777777" w:rsidR="00C83059" w:rsidRPr="009311C3" w:rsidRDefault="00C83059" w:rsidP="00E97331">
                                    <w:pPr>
                                      <w:spacing w:before="180" w:line="273" w:lineRule="auto"/>
                                      <w:jc w:val="center"/>
                                      <w:rPr>
                                        <w:rFonts w:eastAsia="Cambria"/>
                                        <w:sz w:val="22"/>
                                        <w:szCs w:val="22"/>
                                      </w:rPr>
                                    </w:pPr>
                                    <w:r w:rsidRPr="009311C3">
                                      <w:rPr>
                                        <w:rFonts w:eastAsia="Cambria"/>
                                        <w:sz w:val="22"/>
                                        <w:szCs w:val="22"/>
                                      </w:rPr>
                                      <w:t xml:space="preserve">                         Data sets representing a characteristic</w:t>
                                    </w:r>
                                  </w:p>
                                </w:tc>
                                <w:tc>
                                  <w:tcPr>
                                    <w:tcW w:w="1601" w:type="dxa"/>
                                    <w:tcBorders>
                                      <w:top w:val="thinThickSmallGap" w:sz="24" w:space="0" w:color="auto"/>
                                      <w:left w:val="thinThickSmallGap" w:sz="24" w:space="0" w:color="auto"/>
                                      <w:bottom w:val="thinThickSmallGap" w:sz="24" w:space="0" w:color="auto"/>
                                      <w:right w:val="thinThickSmallGap" w:sz="24" w:space="0" w:color="auto"/>
                                    </w:tcBorders>
                                    <w:shd w:val="clear" w:color="auto" w:fill="808080" w:themeFill="background1" w:themeFillShade="80"/>
                                  </w:tcPr>
                                  <w:p w14:paraId="47C77CFA" w14:textId="77777777" w:rsidR="00C83059" w:rsidRPr="009311C3" w:rsidRDefault="00C83059" w:rsidP="00E97331">
                                    <w:pPr>
                                      <w:keepNext/>
                                      <w:spacing w:line="273" w:lineRule="auto"/>
                                      <w:rPr>
                                        <w:rFonts w:eastAsia="Cambria"/>
                                        <w:sz w:val="22"/>
                                        <w:szCs w:val="22"/>
                                      </w:rPr>
                                    </w:pPr>
                                  </w:p>
                                </w:tc>
                              </w:tr>
                            </w:tbl>
                            <w:p w14:paraId="1B4887C2" w14:textId="77777777" w:rsidR="00C83059" w:rsidRDefault="00C83059" w:rsidP="00C83059"/>
                          </w:txbxContent>
                        </wps:txbx>
                        <wps:bodyPr rot="0" vert="horz" wrap="square" lIns="91440" tIns="45720" rIns="91440" bIns="45720" anchor="ctr" anchorCtr="0" upright="1">
                          <a:noAutofit/>
                        </wps:bodyPr>
                      </wps:wsp>
                      <wps:wsp>
                        <wps:cNvPr id="15" name="Text Box 11"/>
                        <wps:cNvSpPr txBox="1">
                          <a:spLocks noChangeArrowheads="1"/>
                        </wps:cNvSpPr>
                        <wps:spPr bwMode="auto">
                          <a:xfrm>
                            <a:off x="5994" y="10440"/>
                            <a:ext cx="3225" cy="899"/>
                          </a:xfrm>
                          <a:prstGeom prst="rect">
                            <a:avLst/>
                          </a:prstGeom>
                          <a:solidFill>
                            <a:srgbClr val="FFFFFF"/>
                          </a:solidFill>
                          <a:ln w="6350">
                            <a:solidFill>
                              <a:srgbClr val="000000"/>
                            </a:solidFill>
                            <a:miter lim="800000"/>
                            <a:headEnd/>
                            <a:tailEnd/>
                          </a:ln>
                        </wps:spPr>
                        <wps:txbx>
                          <w:txbxContent>
                            <w:p w14:paraId="5EAEA180" w14:textId="77777777" w:rsidR="00C83059" w:rsidRPr="0055045D" w:rsidRDefault="00C83059" w:rsidP="00C83059">
                              <w:pPr>
                                <w:spacing w:line="276" w:lineRule="auto"/>
                                <w:jc w:val="center"/>
                                <w:rPr>
                                  <w:sz w:val="16"/>
                                </w:rPr>
                              </w:pPr>
                              <w:r w:rsidRPr="0055045D">
                                <w:rPr>
                                  <w:sz w:val="16"/>
                                </w:rPr>
                                <w:t>Selected percentile cut-off point e.g. census areas with fuel poverty in the highest 10%</w:t>
                              </w:r>
                            </w:p>
                          </w:txbxContent>
                        </wps:txbx>
                        <wps:bodyPr rot="0" vert="horz" wrap="square" lIns="91440" tIns="45720" rIns="91440" bIns="45720" anchor="t" anchorCtr="0" upright="1">
                          <a:noAutofit/>
                        </wps:bodyPr>
                      </wps:wsp>
                      <wps:wsp>
                        <wps:cNvPr id="16" name="Straight Arrow Connector 12"/>
                        <wps:cNvCnPr>
                          <a:cxnSpLocks noChangeShapeType="1"/>
                        </wps:cNvCnPr>
                        <wps:spPr bwMode="auto">
                          <a:xfrm>
                            <a:off x="7629" y="11340"/>
                            <a:ext cx="1830" cy="930"/>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17" name="Text Box 13"/>
                        <wps:cNvSpPr txBox="1">
                          <a:spLocks noChangeArrowheads="1"/>
                        </wps:cNvSpPr>
                        <wps:spPr bwMode="auto">
                          <a:xfrm>
                            <a:off x="8469" y="13299"/>
                            <a:ext cx="2730" cy="809"/>
                          </a:xfrm>
                          <a:prstGeom prst="rect">
                            <a:avLst/>
                          </a:prstGeom>
                          <a:solidFill>
                            <a:srgbClr val="FFFFFF"/>
                          </a:solidFill>
                          <a:ln w="6350">
                            <a:solidFill>
                              <a:srgbClr val="000000"/>
                            </a:solidFill>
                            <a:miter lim="800000"/>
                            <a:headEnd/>
                            <a:tailEnd/>
                          </a:ln>
                        </wps:spPr>
                        <wps:txbx>
                          <w:txbxContent>
                            <w:p w14:paraId="1A08AABA" w14:textId="77777777" w:rsidR="00C83059" w:rsidRPr="00C637A2" w:rsidRDefault="00C83059" w:rsidP="00C83059">
                              <w:pPr>
                                <w:spacing w:line="276" w:lineRule="auto"/>
                                <w:rPr>
                                  <w:sz w:val="16"/>
                                </w:rPr>
                              </w:pPr>
                              <w:r w:rsidRPr="00C637A2">
                                <w:rPr>
                                  <w:sz w:val="16"/>
                                </w:rPr>
                                <w:t>Areas in percentiles above the selected cut-off point</w:t>
                              </w:r>
                            </w:p>
                          </w:txbxContent>
                        </wps:txbx>
                        <wps:bodyPr rot="0" vert="horz" wrap="square" lIns="91440" tIns="45720" rIns="91440" bIns="45720" anchor="t" anchorCtr="0" upright="1">
                          <a:noAutofit/>
                        </wps:bodyPr>
                      </wps:wsp>
                      <wps:wsp>
                        <wps:cNvPr id="18" name="Straight Arrow Connector 14"/>
                        <wps:cNvCnPr>
                          <a:cxnSpLocks noChangeShapeType="1"/>
                        </wps:cNvCnPr>
                        <wps:spPr bwMode="auto">
                          <a:xfrm flipH="1" flipV="1">
                            <a:off x="10299" y="12609"/>
                            <a:ext cx="195" cy="689"/>
                          </a:xfrm>
                          <a:prstGeom prst="straightConnector1">
                            <a:avLst/>
                          </a:prstGeom>
                          <a:noFill/>
                          <a:ln w="9525">
                            <a:solidFill>
                              <a:srgbClr val="4A7EBB"/>
                            </a:solidFill>
                            <a:round/>
                            <a:headEnd/>
                            <a:tailEnd type="arrow"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63B6E26C" id="Group 123" o:spid="_x0000_s1026" style="width:432.75pt;height:190.9pt;mso-position-horizontal-relative:char;mso-position-vertical-relative:line" coordorigin="2844,10440" coordsize="8655,3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">
                <v:shapetype id="_x0000_t202" coordsize="21600,21600" o:spt="202" path="m,l,21600r21600,l21600,xe">
                  <v:stroke joinstyle="miter"/>
                  <v:path gradientshapeok="t" o:connecttype="rect"/>
                </v:shapetype>
                <v:shape id="Text Box 10" o:spid="_x0000_s1027" type="#_x0000_t202" style="position:absolute;left:2844;top:11514;width:8655;height:27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" filled="f" stroked="f" strokeweight=".5pt">
                  <v:textbox>
                    <w:txbxContent>
                      <w:tbl>
                        <w:tblPr>
                          <w:tblW w:w="0" w:type="auto"/>
                          <w:tblInd w:w="10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shd w:val="clear" w:color="auto" w:fill="92CDDC"/>
                          <w:tblLook w:val="04A0" w:firstRow="1" w:lastRow="0" w:firstColumn="1" w:lastColumn="0" w:noHBand="0" w:noVBand="1"/>
                        </w:tblPr>
                        <w:tblGrid>
                          <w:gridCol w:w="6521"/>
                          <w:gridCol w:w="1601"/>
                        </w:tblGrid>
                        <w:tr w:rsidR="00C83059" w14:paraId="4B12620E" w14:textId="77777777" w:rsidTr="00E97331">
                          <w:trPr>
                            <w:trHeight w:val="561"/>
                          </w:trPr>
                          <w:tc>
                            <w:tcPr>
                              <w:tcW w:w="6521" w:type="dxa"/>
                              <w:tcBorders>
                                <w:top w:val="thinThickSmallGap" w:sz="24" w:space="0" w:color="auto"/>
                                <w:left w:val="thinThickSmallGap" w:sz="24" w:space="0" w:color="auto"/>
                                <w:bottom w:val="thinThickSmallGap" w:sz="24" w:space="0" w:color="auto"/>
                                <w:right w:val="thinThickSmallGap" w:sz="24" w:space="0" w:color="auto"/>
                              </w:tcBorders>
                              <w:shd w:val="clear" w:color="auto" w:fill="F2F2F2" w:themeFill="background1" w:themeFillShade="F2"/>
                              <w:vAlign w:val="center"/>
                              <w:hideMark/>
                            </w:tcPr>
                            <w:p w14:paraId="04DDB077" w14:textId="77777777" w:rsidR="00C83059" w:rsidRPr="009311C3" w:rsidRDefault="00C83059" w:rsidP="00E97331">
                              <w:pPr>
                                <w:spacing w:before="180" w:line="273" w:lineRule="auto"/>
                                <w:jc w:val="center"/>
                                <w:rPr>
                                  <w:rFonts w:eastAsia="Cambria"/>
                                  <w:sz w:val="22"/>
                                  <w:szCs w:val="22"/>
                                </w:rPr>
                              </w:pPr>
                              <w:r w:rsidRPr="009311C3">
                                <w:rPr>
                                  <w:rFonts w:eastAsia="Cambria"/>
                                  <w:sz w:val="22"/>
                                  <w:szCs w:val="22"/>
                                </w:rPr>
                                <w:t xml:space="preserve">                         Data sets representing a characteristic</w:t>
                              </w:r>
                            </w:p>
                          </w:tc>
                          <w:tc>
                            <w:tcPr>
                              <w:tcW w:w="1601" w:type="dxa"/>
                              <w:tcBorders>
                                <w:top w:val="thinThickSmallGap" w:sz="24" w:space="0" w:color="auto"/>
                                <w:left w:val="thinThickSmallGap" w:sz="24" w:space="0" w:color="auto"/>
                                <w:bottom w:val="thinThickSmallGap" w:sz="24" w:space="0" w:color="auto"/>
                                <w:right w:val="thinThickSmallGap" w:sz="24" w:space="0" w:color="auto"/>
                              </w:tcBorders>
                              <w:shd w:val="clear" w:color="auto" w:fill="808080" w:themeFill="background1" w:themeFillShade="80"/>
                            </w:tcPr>
                            <w:p w14:paraId="47C77CFA" w14:textId="77777777" w:rsidR="00C83059" w:rsidRPr="009311C3" w:rsidRDefault="00C83059" w:rsidP="00E97331">
                              <w:pPr>
                                <w:keepNext/>
                                <w:spacing w:line="273" w:lineRule="auto"/>
                                <w:rPr>
                                  <w:rFonts w:eastAsia="Cambria"/>
                                  <w:sz w:val="22"/>
                                  <w:szCs w:val="22"/>
                                </w:rPr>
                              </w:pPr>
                            </w:p>
                          </w:tc>
                        </w:tr>
                      </w:tbl>
                      <w:p w14:paraId="1B4887C2" w14:textId="77777777" w:rsidR="00C83059" w:rsidRDefault="00C83059" w:rsidP="00C83059"/>
                    </w:txbxContent>
                  </v:textbox>
                </v:shape>
                <v:shape id="Text Box 11" o:spid="_x0000_s1028" type="#_x0000_t202" style="position:absolute;left:5994;top:10440;width:3225;height: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" strokeweight=".5pt">
                  <v:textbox>
                    <w:txbxContent>
                      <w:p w14:paraId="5EAEA180" w14:textId="77777777" w:rsidR="00C83059" w:rsidRPr="0055045D" w:rsidRDefault="00C83059" w:rsidP="00C83059">
                        <w:pPr>
                          <w:spacing w:line="276" w:lineRule="auto"/>
                          <w:jc w:val="center"/>
                          <w:rPr>
                            <w:sz w:val="16"/>
                          </w:rPr>
                        </w:pPr>
                        <w:r w:rsidRPr="0055045D">
                          <w:rPr>
                            <w:sz w:val="16"/>
                          </w:rPr>
                          <w:t>Selected percentile cut-off point e.g. census areas with fuel poverty in the highest 10%</w:t>
                        </w:r>
                      </w:p>
                    </w:txbxContent>
                  </v:textbox>
                </v:shape>
                <v:shapetype id="_x0000_t32" coordsize="21600,21600" o:spt="32" o:oned="t" path="m,l21600,21600e" filled="f">
                  <v:path arrowok="t" fillok="f" o:connecttype="none"/>
                  <o:lock v:ext="edit" shapetype="t"/>
                </v:shapetype>
                <v:shape id="Straight Arrow Connector 12" o:spid="_x0000_s1029" type="#_x0000_t32" style="position:absolute;left:7629;top:11340;width:1830;height:9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" strokecolor="#4a7ebb">
                  <v:stroke endarrow="open"/>
                </v:shape>
                <v:shape id="Text Box 13" o:spid="_x0000_s1030" type="#_x0000_t202" style="position:absolute;left:8469;top:13299;width:2730;height: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" strokeweight=".5pt">
                  <v:textbox>
                    <w:txbxContent>
                      <w:p w14:paraId="1A08AABA" w14:textId="77777777" w:rsidR="00C83059" w:rsidRPr="00C637A2" w:rsidRDefault="00C83059" w:rsidP="00C83059">
                        <w:pPr>
                          <w:spacing w:line="276" w:lineRule="auto"/>
                          <w:rPr>
                            <w:sz w:val="16"/>
                          </w:rPr>
                        </w:pPr>
                        <w:r w:rsidRPr="00C637A2">
                          <w:rPr>
                            <w:sz w:val="16"/>
                          </w:rPr>
                          <w:t>Areas in percentiles above the selected cut-off point</w:t>
                        </w:r>
                      </w:p>
                    </w:txbxContent>
                  </v:textbox>
                </v:shape>
                <v:shape id="Straight Arrow Connector 14" o:spid="_x0000_s1031" type="#_x0000_t32" style="position:absolute;left:10299;top:12609;width:195;height:68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" strokecolor="#4a7ebb">
                  <v:stroke endarrow="open"/>
                </v:shape>
                <w10:anchorlock/>
              </v:group>
            </w:pict>
          </mc:Fallback>
        </mc:AlternateContent>
      </w:r>
    </w:p>
    <w:p w14:paraId="1B9DEB32" w14:textId="065367FA" w:rsidR="00C83059" w:rsidRDefault="00C83059" w:rsidP="00C83059">
      <w:pPr>
        <w:pStyle w:val="Caption"/>
      </w:pPr>
      <w:bookmarkStart w:id="2" w:name="_Ref384021392"/>
      <w:bookmarkStart w:id="3" w:name="_Toc462044747"/>
      <w:r>
        <w:t xml:space="preserve">Figure </w:t>
      </w:r>
      <w:fldSimple w:instr=" SEQ Figure \* ARABIC ">
        <w:r w:rsidR="001772F0">
          <w:rPr>
            <w:noProof/>
          </w:rPr>
          <w:t>2</w:t>
        </w:r>
      </w:fldSimple>
      <w:bookmarkEnd w:id="2"/>
      <w:r>
        <w:t>: The percentile cut-off point for data sets</w:t>
      </w:r>
      <w:bookmarkEnd w:id="3"/>
    </w:p>
    <w:p w14:paraId="1454AB51" w14:textId="77777777" w:rsidR="00C83059" w:rsidRDefault="00C83059" w:rsidP="00C83059">
      <w:r>
        <w:t>Characteristics that are binary in their nature (i.e. where the characteristic is either present in an area or it is not) are assigned a score if the characteristic is present. For example, the presence of an existing CHP plant and large heat loads such as a hospital or swimming pool are binary characteristics. No percentile cut-off point is required for these characteristics.</w:t>
      </w:r>
    </w:p>
    <w:p w14:paraId="0F3D0737" w14:textId="724D1EE0" w:rsidR="00C83059" w:rsidRDefault="00C83059" w:rsidP="00C83059">
      <w:r>
        <w:t xml:space="preserve">For characteristics represented by a continuous data set, a percentile cut-off point is used to determine when an area exhibits a ‘high’ level of a characteristic (Figure </w:t>
      </w:r>
      <w:r w:rsidR="001772F0">
        <w:t>2)</w:t>
      </w:r>
      <w:r>
        <w:t>. The percentile cut-off is selected by the user and is calculated using the data sets within the local government area in question (as opposed to data sets across England and Wales). An increased score is assigned to the census areas with characteristics in these top percentiles.</w:t>
      </w:r>
    </w:p>
    <w:p w14:paraId="334A72B7" w14:textId="77777777" w:rsidR="00C83059" w:rsidRDefault="00C83059" w:rsidP="00DF4308">
      <w:pPr>
        <w:pStyle w:val="Heading2"/>
      </w:pPr>
      <w:r>
        <w:t>Weighting of characteristics</w:t>
      </w:r>
    </w:p>
    <w:p w14:paraId="4A1FB6FD" w14:textId="77777777" w:rsidR="00C83059" w:rsidRDefault="00C83059" w:rsidP="00C83059">
      <w:r>
        <w:t>Users can weight each characteristic by rating it between 1 and 5. This enables the user to explore and compare the impact of different weightings; for example, where social factors are weighted very heavily compared to techno-economic factors.</w:t>
      </w:r>
    </w:p>
    <w:p w14:paraId="3DBBDFF4" w14:textId="77777777" w:rsidR="00C83059" w:rsidRDefault="00C83059" w:rsidP="00C83059">
      <w:r>
        <w:t>The user can enable and disable characteristics according to their preferences. The weighted scores are assigned as a percentage of the activated characteristics to ensure scenarios are comparable. The scores received for each activated characteristic are then added up to give the total score for each area. This calculation is described algebraically by the following equation:</w:t>
      </w:r>
    </w:p>
    <w:p w14:paraId="6B8B5786" w14:textId="77777777" w:rsidR="00C83059" w:rsidRPr="00D32147" w:rsidRDefault="009D6D27" w:rsidP="00C83059">
      <w:pPr>
        <w:jc w:val="center"/>
      </w:pPr>
      <m:oMathPara>
        <m:oMath>
          <m:sSub>
            <m:sSubPr>
              <m:ctrlPr>
                <w:rPr>
                  <w:rFonts w:ascii="Cambria Math" w:hAnsi="Cambria Math"/>
                  <w:i/>
                </w:rPr>
              </m:ctrlPr>
            </m:sSubPr>
            <m:e>
              <m:r>
                <w:rPr>
                  <w:rFonts w:ascii="Cambria Math" w:hAnsi="Cambria Math"/>
                </w:rPr>
                <m:t>S</m:t>
              </m:r>
            </m:e>
            <m:sub>
              <m:r>
                <w:rPr>
                  <w:rFonts w:ascii="Cambria Math" w:hAnsi="Cambria Math"/>
                </w:rPr>
                <m:t>i</m:t>
              </m:r>
            </m:sub>
          </m:sSub>
          <m:r>
            <w:rPr>
              <w:rFonts w:ascii="Cambria Math" w:hAnsi="Cambria Math"/>
            </w:rPr>
            <m:t xml:space="preserve">= </m:t>
          </m:r>
          <m:nary>
            <m:naryPr>
              <m:chr m:val="∑"/>
              <m:limLoc m:val="undOvr"/>
              <m:supHide m:val="1"/>
              <m:ctrlPr>
                <w:rPr>
                  <w:rFonts w:ascii="Cambria Math" w:hAnsi="Cambria Math"/>
                  <w:i/>
                </w:rPr>
              </m:ctrlPr>
            </m:naryPr>
            <m:sub>
              <m:r>
                <w:rPr>
                  <w:rFonts w:ascii="Cambria Math" w:hAnsi="Cambria Math"/>
                </w:rPr>
                <m:t>j</m:t>
              </m:r>
            </m:sub>
            <m:sup/>
            <m:e>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W</m:t>
                      </m:r>
                    </m:e>
                    <m:sub>
                      <m:r>
                        <w:rPr>
                          <w:rFonts w:ascii="Cambria Math" w:hAnsi="Cambria Math"/>
                        </w:rPr>
                        <m:t>j</m:t>
                      </m:r>
                    </m:sub>
                  </m:sSub>
                </m:num>
                <m:den>
                  <m:nary>
                    <m:naryPr>
                      <m:chr m:val="∑"/>
                      <m:limLoc m:val="undOvr"/>
                      <m:subHide m:val="1"/>
                      <m:supHide m:val="1"/>
                      <m:ctrlPr>
                        <w:rPr>
                          <w:rFonts w:ascii="Cambria Math" w:hAnsi="Cambria Math"/>
                          <w:i/>
                        </w:rPr>
                      </m:ctrlPr>
                    </m:naryPr>
                    <m:sub/>
                    <m:sup/>
                    <m:e>
                      <m:r>
                        <w:rPr>
                          <w:rFonts w:ascii="Cambria Math" w:hAnsi="Cambria Math"/>
                        </w:rPr>
                        <m:t>W</m:t>
                      </m:r>
                    </m:e>
                  </m:nary>
                </m:den>
              </m:f>
            </m:e>
          </m:nary>
          <m:r>
            <w:rPr>
              <w:rFonts w:ascii="Cambria Math" w:hAnsi="Cambria Math"/>
            </w:rPr>
            <m:t>*</m:t>
          </m:r>
          <m:sSub>
            <m:sSubPr>
              <m:ctrlPr>
                <w:rPr>
                  <w:rFonts w:ascii="Cambria Math" w:hAnsi="Cambria Math"/>
                  <w:i/>
                </w:rPr>
              </m:ctrlPr>
            </m:sSubPr>
            <m:e>
              <m:sSub>
                <m:sSubPr>
                  <m:ctrlPr>
                    <w:rPr>
                      <w:rFonts w:ascii="Cambria Math" w:hAnsi="Cambria Math"/>
                      <w:i/>
                    </w:rPr>
                  </m:ctrlPr>
                </m:sSubPr>
                <m:e>
                  <m:r>
                    <w:rPr>
                      <w:rFonts w:ascii="Cambria Math" w:hAnsi="Cambria Math"/>
                    </w:rPr>
                    <m:t>X</m:t>
                  </m:r>
                </m:e>
                <m:sub>
                  <m:r>
                    <w:rPr>
                      <w:rFonts w:ascii="Cambria Math" w:hAnsi="Cambria Math"/>
                    </w:rPr>
                    <m:t>i</m:t>
                  </m:r>
                </m:sub>
              </m:sSub>
            </m:e>
            <m:sub>
              <m:r>
                <w:rPr>
                  <w:rFonts w:ascii="Cambria Math" w:hAnsi="Cambria Math"/>
                </w:rPr>
                <m:t>j</m:t>
              </m:r>
            </m:sub>
          </m:sSub>
          <m:r>
            <w:rPr>
              <w:rFonts w:ascii="Cambria Math" w:hAnsi="Cambria Math"/>
            </w:rPr>
            <m:t xml:space="preserve">) </m:t>
          </m:r>
        </m:oMath>
      </m:oMathPara>
    </w:p>
    <w:p w14:paraId="5BA99F3F" w14:textId="77777777" w:rsidR="00C83059" w:rsidRDefault="00C83059" w:rsidP="00C83059">
      <w:r>
        <w:t>Where:</w:t>
      </w:r>
    </w:p>
    <w:p w14:paraId="154F1F90" w14:textId="77777777" w:rsidR="00C83059" w:rsidRDefault="009D6D27" w:rsidP="00C83059">
      <w:pPr>
        <w:ind w:left="720"/>
      </w:pPr>
      <m:oMath>
        <m:sSub>
          <m:sSubPr>
            <m:ctrlPr>
              <w:rPr>
                <w:rFonts w:ascii="Cambria Math" w:hAnsi="Cambria Math"/>
                <w:i/>
              </w:rPr>
            </m:ctrlPr>
          </m:sSubPr>
          <m:e>
            <m:r>
              <w:rPr>
                <w:rFonts w:ascii="Cambria Math" w:hAnsi="Cambria Math"/>
              </w:rPr>
              <m:t>S</m:t>
            </m:r>
          </m:e>
          <m:sub>
            <m:r>
              <w:rPr>
                <w:rFonts w:ascii="Cambria Math" w:hAnsi="Cambria Math"/>
              </w:rPr>
              <m:t>i</m:t>
            </m:r>
          </m:sub>
        </m:sSub>
      </m:oMath>
      <w:r w:rsidR="00C83059">
        <w:t xml:space="preserve"> is the total score attributed to census output area  </w:t>
      </w:r>
      <m:oMath>
        <m:r>
          <w:rPr>
            <w:rFonts w:ascii="Cambria Math" w:hAnsi="Cambria Math"/>
          </w:rPr>
          <m:t>i</m:t>
        </m:r>
        <m:r>
          <w:rPr>
            <w:rFonts w:ascii="Cambria Math" w:hAnsi="Cambria Math"/>
          </w:rPr>
          <m:t xml:space="preserve"> </m:t>
        </m:r>
      </m:oMath>
      <w:r w:rsidR="00C83059">
        <w:t xml:space="preserve">in the selected local government; </w:t>
      </w:r>
    </w:p>
    <w:p w14:paraId="177A8B77" w14:textId="77777777" w:rsidR="00C83059" w:rsidRDefault="009D6D27" w:rsidP="00C83059">
      <w:pPr>
        <w:ind w:left="720"/>
      </w:pPr>
      <m:oMath>
        <m:sSub>
          <m:sSubPr>
            <m:ctrlPr>
              <w:rPr>
                <w:rFonts w:ascii="Cambria Math" w:hAnsi="Cambria Math"/>
                <w:i/>
              </w:rPr>
            </m:ctrlPr>
          </m:sSubPr>
          <m:e>
            <m:r>
              <w:rPr>
                <w:rFonts w:ascii="Cambria Math" w:hAnsi="Cambria Math"/>
              </w:rPr>
              <m:t>W</m:t>
            </m:r>
          </m:e>
          <m:sub>
            <m:r>
              <w:rPr>
                <w:rFonts w:ascii="Cambria Math" w:hAnsi="Cambria Math"/>
              </w:rPr>
              <m:t>j</m:t>
            </m:r>
          </m:sub>
        </m:sSub>
      </m:oMath>
      <w:r w:rsidR="00C83059">
        <w:t xml:space="preserve"> is the individual weighting given to the activated characteristics </w:t>
      </w:r>
      <m:oMath>
        <m:r>
          <w:rPr>
            <w:rFonts w:ascii="Cambria Math" w:hAnsi="Cambria Math"/>
          </w:rPr>
          <m:t>j</m:t>
        </m:r>
      </m:oMath>
      <w:r w:rsidR="00C83059">
        <w:t>;</w:t>
      </w:r>
    </w:p>
    <w:p w14:paraId="6C12D1FE" w14:textId="111B24A9" w:rsidR="00647D75" w:rsidRPr="00C637A2" w:rsidRDefault="009D6D27" w:rsidP="00C637A2">
      <m:oMath>
        <m:sSub>
          <m:sSubPr>
            <m:ctrlPr>
              <w:rPr>
                <w:rFonts w:ascii="Cambria Math" w:hAnsi="Cambria Math"/>
                <w:i/>
              </w:rPr>
            </m:ctrlPr>
          </m:sSubPr>
          <m:e>
            <m:r>
              <w:rPr>
                <w:rFonts w:ascii="Cambria Math" w:hAnsi="Cambria Math"/>
              </w:rPr>
              <m:t>X</m:t>
            </m:r>
          </m:e>
          <m:sub>
            <m:r>
              <w:rPr>
                <w:rFonts w:ascii="Cambria Math" w:hAnsi="Cambria Math"/>
              </w:rPr>
              <m:t>ij</m:t>
            </m:r>
          </m:sub>
        </m:sSub>
      </m:oMath>
      <w:r w:rsidR="00C83059">
        <w:t xml:space="preserve"> = 1 when the activated characteristic </w:t>
      </w:r>
      <m:oMath>
        <m:r>
          <w:rPr>
            <w:rFonts w:ascii="Cambria Math" w:hAnsi="Cambria Math"/>
          </w:rPr>
          <m:t>j</m:t>
        </m:r>
      </m:oMath>
      <w:r w:rsidR="00C83059">
        <w:t xml:space="preserve"> is above the percentile cut-off point in the given area</w:t>
      </w:r>
      <m:oMath>
        <m:r>
          <w:rPr>
            <w:rFonts w:ascii="Cambria Math" w:hAnsi="Cambria Math"/>
          </w:rPr>
          <m:t xml:space="preserve">, </m:t>
        </m:r>
        <m:r>
          <w:rPr>
            <w:rFonts w:ascii="Cambria Math" w:hAnsi="Cambria Math"/>
          </w:rPr>
          <m:t>i</m:t>
        </m:r>
      </m:oMath>
      <w:r w:rsidR="00C83059">
        <w:t xml:space="preserve">. Otherwise </w:t>
      </w:r>
      <m:oMath>
        <m:sSub>
          <m:sSubPr>
            <m:ctrlPr>
              <w:rPr>
                <w:rFonts w:ascii="Cambria Math" w:hAnsi="Cambria Math"/>
                <w:i/>
              </w:rPr>
            </m:ctrlPr>
          </m:sSubPr>
          <m:e>
            <m:r>
              <w:rPr>
                <w:rFonts w:ascii="Cambria Math" w:hAnsi="Cambria Math"/>
              </w:rPr>
              <m:t>X</m:t>
            </m:r>
          </m:e>
          <m:sub>
            <m:r>
              <w:rPr>
                <w:rFonts w:ascii="Cambria Math" w:hAnsi="Cambria Math"/>
              </w:rPr>
              <m:t>ij</m:t>
            </m:r>
          </m:sub>
        </m:sSub>
      </m:oMath>
      <w:r w:rsidR="00C83059">
        <w:t xml:space="preserve"> = 0</w:t>
      </w:r>
    </w:p>
    <w:p w14:paraId="3A814D96" w14:textId="73786049" w:rsidR="001772F0" w:rsidRDefault="001772F0" w:rsidP="001772F0">
      <w:pPr>
        <w:pStyle w:val="Heading2"/>
      </w:pPr>
      <w:r>
        <w:t>Data references</w:t>
      </w:r>
    </w:p>
    <w:p w14:paraId="0D8A41DF" w14:textId="77777777" w:rsidR="001772F0" w:rsidRPr="00895073" w:rsidRDefault="001772F0" w:rsidP="001772F0">
      <w:pPr>
        <w:widowControl w:val="0"/>
        <w:autoSpaceDE w:val="0"/>
        <w:autoSpaceDN w:val="0"/>
        <w:adjustRightInd w:val="0"/>
        <w:spacing w:before="0" w:after="0"/>
        <w:ind w:left="480" w:hanging="480"/>
        <w:rPr>
          <w:rFonts w:ascii="Calibri" w:hAnsi="Calibri" w:cs="Times New Roman"/>
          <w:noProof/>
          <w:lang w:val="en-US"/>
        </w:rPr>
      </w:pPr>
      <w:r>
        <w:fldChar w:fldCharType="begin" w:fldLock="1"/>
      </w:r>
      <w:r>
        <w:instrText xml:space="preserve">ADDIN Mendeley Bibliography CSL_BIBLIOGRAPHY </w:instrText>
      </w:r>
      <w:r>
        <w:fldChar w:fldCharType="separate"/>
      </w:r>
      <w:r w:rsidRPr="00895073">
        <w:rPr>
          <w:rFonts w:ascii="Calibri" w:hAnsi="Calibri" w:cs="Times New Roman"/>
          <w:noProof/>
          <w:lang w:val="en-US"/>
        </w:rPr>
        <w:t>Census Data. (2011a). Accommodation type - Households, 2011. Retrieved from http://www.nomisweb.co.uk/census/2011/qs402ew</w:t>
      </w:r>
    </w:p>
    <w:p w14:paraId="0C0DBB57" w14:textId="77777777" w:rsidR="001772F0" w:rsidRPr="00895073" w:rsidRDefault="001772F0" w:rsidP="001772F0">
      <w:pPr>
        <w:widowControl w:val="0"/>
        <w:autoSpaceDE w:val="0"/>
        <w:autoSpaceDN w:val="0"/>
        <w:adjustRightInd w:val="0"/>
        <w:spacing w:before="0" w:after="0"/>
        <w:ind w:left="480" w:hanging="480"/>
        <w:rPr>
          <w:rFonts w:ascii="Calibri" w:hAnsi="Calibri" w:cs="Times New Roman"/>
          <w:noProof/>
          <w:lang w:val="en-US"/>
        </w:rPr>
      </w:pPr>
      <w:r w:rsidRPr="00895073">
        <w:rPr>
          <w:rFonts w:ascii="Calibri" w:hAnsi="Calibri" w:cs="Times New Roman"/>
          <w:noProof/>
          <w:lang w:val="en-US"/>
        </w:rPr>
        <w:t>Census Data. (2011b). Central Heating Type, 2011. Retrieved from http://www.nomisweb.co.uk/census/2011/qs415ew</w:t>
      </w:r>
    </w:p>
    <w:p w14:paraId="05D8BC58" w14:textId="77777777" w:rsidR="001772F0" w:rsidRPr="00895073" w:rsidRDefault="001772F0" w:rsidP="001772F0">
      <w:pPr>
        <w:widowControl w:val="0"/>
        <w:autoSpaceDE w:val="0"/>
        <w:autoSpaceDN w:val="0"/>
        <w:adjustRightInd w:val="0"/>
        <w:spacing w:before="0" w:after="0"/>
        <w:ind w:left="480" w:hanging="480"/>
        <w:rPr>
          <w:rFonts w:ascii="Calibri" w:hAnsi="Calibri" w:cs="Times New Roman"/>
          <w:noProof/>
          <w:lang w:val="en-US"/>
        </w:rPr>
      </w:pPr>
      <w:r w:rsidRPr="00895073">
        <w:rPr>
          <w:rFonts w:ascii="Calibri" w:hAnsi="Calibri" w:cs="Times New Roman"/>
          <w:noProof/>
          <w:lang w:val="en-US"/>
        </w:rPr>
        <w:t>CHPQA Programme. (2012). CHP database. DECC. Retrieved from http://chp.decc.gov.uk/app/reporting/index/viewtable/token/2</w:t>
      </w:r>
    </w:p>
    <w:p w14:paraId="66BE373C" w14:textId="77777777" w:rsidR="001772F0" w:rsidRPr="00895073" w:rsidRDefault="001772F0" w:rsidP="001772F0">
      <w:pPr>
        <w:widowControl w:val="0"/>
        <w:autoSpaceDE w:val="0"/>
        <w:autoSpaceDN w:val="0"/>
        <w:adjustRightInd w:val="0"/>
        <w:spacing w:before="0" w:after="0"/>
        <w:ind w:left="480" w:hanging="480"/>
        <w:rPr>
          <w:rFonts w:ascii="Calibri" w:hAnsi="Calibri" w:cs="Times New Roman"/>
          <w:noProof/>
          <w:lang w:val="en-US"/>
        </w:rPr>
      </w:pPr>
      <w:r w:rsidRPr="00895073">
        <w:rPr>
          <w:rFonts w:ascii="Calibri" w:hAnsi="Calibri" w:cs="Times New Roman"/>
          <w:noProof/>
          <w:lang w:val="en-US"/>
        </w:rPr>
        <w:t>DCLG. (2011). Statistics - English indices of deprivation 2010. Retrieved from https://www.gov.uk/government/publications/english-indices-of-deprivation-2010</w:t>
      </w:r>
    </w:p>
    <w:p w14:paraId="2A59ECA3" w14:textId="77777777" w:rsidR="001772F0" w:rsidRPr="00895073" w:rsidRDefault="001772F0" w:rsidP="001772F0">
      <w:pPr>
        <w:widowControl w:val="0"/>
        <w:autoSpaceDE w:val="0"/>
        <w:autoSpaceDN w:val="0"/>
        <w:adjustRightInd w:val="0"/>
        <w:spacing w:before="0" w:after="0"/>
        <w:ind w:left="480" w:hanging="480"/>
        <w:rPr>
          <w:rFonts w:ascii="Calibri" w:hAnsi="Calibri" w:cs="Times New Roman"/>
          <w:noProof/>
          <w:lang w:val="en-US"/>
        </w:rPr>
      </w:pPr>
      <w:r w:rsidRPr="00895073">
        <w:rPr>
          <w:rFonts w:ascii="Calibri" w:hAnsi="Calibri" w:cs="Times New Roman"/>
          <w:noProof/>
          <w:lang w:val="en-US"/>
        </w:rPr>
        <w:t>DECC. (2012). Energy Company Obligation - Carbon Saving Community Obligation: Rural and Low Income Areas. Retrieved from http://www.cse.org.uk/resources/open-data/energy-company-obligation-data-</w:t>
      </w:r>
    </w:p>
    <w:p w14:paraId="56D7FC02" w14:textId="77777777" w:rsidR="001772F0" w:rsidRPr="00895073" w:rsidRDefault="001772F0" w:rsidP="001772F0">
      <w:pPr>
        <w:widowControl w:val="0"/>
        <w:autoSpaceDE w:val="0"/>
        <w:autoSpaceDN w:val="0"/>
        <w:adjustRightInd w:val="0"/>
        <w:spacing w:before="0" w:after="0"/>
        <w:ind w:left="480" w:hanging="480"/>
        <w:rPr>
          <w:rFonts w:ascii="Calibri" w:hAnsi="Calibri" w:cs="Times New Roman"/>
          <w:noProof/>
          <w:lang w:val="en-US"/>
        </w:rPr>
      </w:pPr>
      <w:r w:rsidRPr="00895073">
        <w:rPr>
          <w:rFonts w:ascii="Calibri" w:hAnsi="Calibri" w:cs="Times New Roman"/>
          <w:noProof/>
          <w:lang w:val="en-US"/>
        </w:rPr>
        <w:t>DECC. (2013a). Fuel poverty 2011 detailed tables - 10 per cent measure. Retrieved from https://www.gov.uk/government/publications/fuel-poverty-2011-detailed-tables</w:t>
      </w:r>
    </w:p>
    <w:p w14:paraId="36EBCDEA" w14:textId="77777777" w:rsidR="001772F0" w:rsidRPr="00895073" w:rsidRDefault="001772F0" w:rsidP="001772F0">
      <w:pPr>
        <w:widowControl w:val="0"/>
        <w:autoSpaceDE w:val="0"/>
        <w:autoSpaceDN w:val="0"/>
        <w:adjustRightInd w:val="0"/>
        <w:spacing w:before="0" w:after="0"/>
        <w:ind w:left="480" w:hanging="480"/>
        <w:rPr>
          <w:rFonts w:ascii="Calibri" w:hAnsi="Calibri" w:cs="Times New Roman"/>
          <w:noProof/>
          <w:lang w:val="en-US"/>
        </w:rPr>
      </w:pPr>
      <w:r w:rsidRPr="00895073">
        <w:rPr>
          <w:rFonts w:ascii="Calibri" w:hAnsi="Calibri" w:cs="Times New Roman"/>
          <w:noProof/>
          <w:lang w:val="en-US"/>
        </w:rPr>
        <w:t>DECC. (2013b). Statistical Data Set: Fuel Poverty 2010 Detailed Tables. Retrieved from Fuel Poverty</w:t>
      </w:r>
    </w:p>
    <w:p w14:paraId="0F476726" w14:textId="77777777" w:rsidR="001772F0" w:rsidRPr="00895073" w:rsidRDefault="001772F0" w:rsidP="001772F0">
      <w:pPr>
        <w:widowControl w:val="0"/>
        <w:autoSpaceDE w:val="0"/>
        <w:autoSpaceDN w:val="0"/>
        <w:adjustRightInd w:val="0"/>
        <w:spacing w:before="0" w:after="0"/>
        <w:ind w:left="480" w:hanging="480"/>
        <w:rPr>
          <w:rFonts w:ascii="Calibri" w:hAnsi="Calibri" w:cs="Times New Roman"/>
          <w:noProof/>
          <w:lang w:val="en-US"/>
        </w:rPr>
      </w:pPr>
      <w:r w:rsidRPr="00895073">
        <w:rPr>
          <w:rFonts w:ascii="Calibri" w:hAnsi="Calibri" w:cs="Times New Roman"/>
          <w:noProof/>
          <w:lang w:val="en-US"/>
        </w:rPr>
        <w:t>Welsh Government. (2011). Statistics - Welsh Index of Multiple Deprivation (WIMD). Retrieved from http://wales.gov.uk/statistics-and-research/welsh-index-multiple-deprivation/?lang=en#/statistics-and-research/welsh-index-multiple-deprivation/?lang=en</w:t>
      </w:r>
    </w:p>
    <w:p w14:paraId="676A560F" w14:textId="27556156" w:rsidR="006079C4" w:rsidRDefault="001772F0" w:rsidP="00C637A2">
      <w:pPr>
        <w:widowControl w:val="0"/>
        <w:autoSpaceDE w:val="0"/>
        <w:autoSpaceDN w:val="0"/>
        <w:adjustRightInd w:val="0"/>
        <w:spacing w:before="0" w:after="0"/>
        <w:ind w:left="480" w:hanging="480"/>
      </w:pPr>
      <w:r w:rsidRPr="00895073">
        <w:rPr>
          <w:rFonts w:ascii="Calibri" w:hAnsi="Calibri" w:cs="Times New Roman"/>
          <w:noProof/>
          <w:lang w:val="en-US"/>
        </w:rPr>
        <w:t>Xoserve. (2013). GB postcodes off the mains gas grid. Retrieved from http://www.cse.org.uk/resources/open-data/off-gas-postcodes</w:t>
      </w:r>
      <w:r>
        <w:fldChar w:fldCharType="end"/>
      </w:r>
    </w:p>
    <w:sectPr w:rsidR="006079C4" w:rsidSect="00D826B0">
      <w:footerReference w:type="even" r:id="rId9"/>
      <w:footerReference w:type="default" r:id="rId10"/>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4FE5D" w14:textId="77777777" w:rsidR="009D6D27" w:rsidRDefault="009D6D27" w:rsidP="00C35F05">
      <w:pPr>
        <w:spacing w:before="0" w:after="0" w:line="240" w:lineRule="auto"/>
      </w:pPr>
      <w:r>
        <w:separator/>
      </w:r>
    </w:p>
  </w:endnote>
  <w:endnote w:type="continuationSeparator" w:id="0">
    <w:p w14:paraId="745005AA" w14:textId="77777777" w:rsidR="009D6D27" w:rsidRDefault="009D6D27" w:rsidP="00C35F0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47126002"/>
      <w:docPartObj>
        <w:docPartGallery w:val="Page Numbers (Bottom of Page)"/>
        <w:docPartUnique/>
      </w:docPartObj>
    </w:sdtPr>
    <w:sdtEndPr>
      <w:rPr>
        <w:rStyle w:val="PageNumber"/>
      </w:rPr>
    </w:sdtEndPr>
    <w:sdtContent>
      <w:p w14:paraId="19312538" w14:textId="3F462507" w:rsidR="00C35F05" w:rsidRDefault="00C35F05" w:rsidP="00CD17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F41C50B" w14:textId="77777777" w:rsidR="00C35F05" w:rsidRDefault="00C35F05" w:rsidP="00C35F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13844335"/>
      <w:docPartObj>
        <w:docPartGallery w:val="Page Numbers (Bottom of Page)"/>
        <w:docPartUnique/>
      </w:docPartObj>
    </w:sdtPr>
    <w:sdtEndPr>
      <w:rPr>
        <w:rStyle w:val="PageNumber"/>
      </w:rPr>
    </w:sdtEndPr>
    <w:sdtContent>
      <w:p w14:paraId="2F83B413" w14:textId="75E5AE3E" w:rsidR="00C35F05" w:rsidRDefault="00C35F05" w:rsidP="00CD17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4DDE414" w14:textId="77777777" w:rsidR="00C35F05" w:rsidRDefault="00C35F05" w:rsidP="00C35F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C8F79" w14:textId="77777777" w:rsidR="009D6D27" w:rsidRDefault="009D6D27" w:rsidP="00C35F05">
      <w:pPr>
        <w:spacing w:before="0" w:after="0" w:line="240" w:lineRule="auto"/>
      </w:pPr>
      <w:r>
        <w:separator/>
      </w:r>
    </w:p>
  </w:footnote>
  <w:footnote w:type="continuationSeparator" w:id="0">
    <w:p w14:paraId="60B2B591" w14:textId="77777777" w:rsidR="009D6D27" w:rsidRDefault="009D6D27" w:rsidP="00C35F0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37097"/>
    <w:multiLevelType w:val="hybridMultilevel"/>
    <w:tmpl w:val="527A6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265C77"/>
    <w:multiLevelType w:val="hybridMultilevel"/>
    <w:tmpl w:val="09623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F8F"/>
    <w:rsid w:val="00000AB8"/>
    <w:rsid w:val="0002336A"/>
    <w:rsid w:val="000301C0"/>
    <w:rsid w:val="00033168"/>
    <w:rsid w:val="00050EB8"/>
    <w:rsid w:val="00056040"/>
    <w:rsid w:val="00104119"/>
    <w:rsid w:val="00117602"/>
    <w:rsid w:val="00172E5F"/>
    <w:rsid w:val="001772F0"/>
    <w:rsid w:val="001A2E21"/>
    <w:rsid w:val="001C1E73"/>
    <w:rsid w:val="001D5BCE"/>
    <w:rsid w:val="00232009"/>
    <w:rsid w:val="0027439C"/>
    <w:rsid w:val="002F0F8D"/>
    <w:rsid w:val="002F3EA4"/>
    <w:rsid w:val="00314BB7"/>
    <w:rsid w:val="00370C3F"/>
    <w:rsid w:val="003909EE"/>
    <w:rsid w:val="003B1733"/>
    <w:rsid w:val="003F2302"/>
    <w:rsid w:val="004955EE"/>
    <w:rsid w:val="004C5BBC"/>
    <w:rsid w:val="004D4B55"/>
    <w:rsid w:val="00501E1B"/>
    <w:rsid w:val="00524B87"/>
    <w:rsid w:val="0054223A"/>
    <w:rsid w:val="0055045D"/>
    <w:rsid w:val="005D7E80"/>
    <w:rsid w:val="0060266A"/>
    <w:rsid w:val="00602EF5"/>
    <w:rsid w:val="006079C4"/>
    <w:rsid w:val="00623EC6"/>
    <w:rsid w:val="00641284"/>
    <w:rsid w:val="00644596"/>
    <w:rsid w:val="00647D75"/>
    <w:rsid w:val="006720F7"/>
    <w:rsid w:val="0068016D"/>
    <w:rsid w:val="0072185D"/>
    <w:rsid w:val="007316C2"/>
    <w:rsid w:val="00745335"/>
    <w:rsid w:val="00750BA6"/>
    <w:rsid w:val="00765F8F"/>
    <w:rsid w:val="00767D49"/>
    <w:rsid w:val="007C03F7"/>
    <w:rsid w:val="007D593F"/>
    <w:rsid w:val="008077EA"/>
    <w:rsid w:val="00860027"/>
    <w:rsid w:val="00875E0E"/>
    <w:rsid w:val="00875E8B"/>
    <w:rsid w:val="008916A0"/>
    <w:rsid w:val="00895073"/>
    <w:rsid w:val="008D68B1"/>
    <w:rsid w:val="00914EE6"/>
    <w:rsid w:val="009535E7"/>
    <w:rsid w:val="00982677"/>
    <w:rsid w:val="009970F9"/>
    <w:rsid w:val="009B04B6"/>
    <w:rsid w:val="009C60F3"/>
    <w:rsid w:val="009D6D27"/>
    <w:rsid w:val="009F65C8"/>
    <w:rsid w:val="00A65C79"/>
    <w:rsid w:val="00B36755"/>
    <w:rsid w:val="00B54188"/>
    <w:rsid w:val="00B54E63"/>
    <w:rsid w:val="00B6259B"/>
    <w:rsid w:val="00B633DC"/>
    <w:rsid w:val="00B81997"/>
    <w:rsid w:val="00B9011A"/>
    <w:rsid w:val="00B90E7A"/>
    <w:rsid w:val="00BE7310"/>
    <w:rsid w:val="00C1207F"/>
    <w:rsid w:val="00C35F05"/>
    <w:rsid w:val="00C37995"/>
    <w:rsid w:val="00C43F07"/>
    <w:rsid w:val="00C637A2"/>
    <w:rsid w:val="00C71DD6"/>
    <w:rsid w:val="00C83059"/>
    <w:rsid w:val="00C949C8"/>
    <w:rsid w:val="00D46EC5"/>
    <w:rsid w:val="00D826B0"/>
    <w:rsid w:val="00DF4308"/>
    <w:rsid w:val="00E3125E"/>
    <w:rsid w:val="00E9515E"/>
    <w:rsid w:val="00EB23AF"/>
    <w:rsid w:val="00EB5B8C"/>
    <w:rsid w:val="00EE3CB4"/>
    <w:rsid w:val="00F501CC"/>
    <w:rsid w:val="00F51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5746C"/>
  <w14:defaultImageDpi w14:val="32767"/>
  <w15:chartTrackingRefBased/>
  <w15:docId w15:val="{E90C2B9A-E585-3944-8100-1C635267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772F0"/>
    <w:pPr>
      <w:spacing w:before="120" w:after="120" w:line="360" w:lineRule="auto"/>
    </w:pPr>
  </w:style>
  <w:style w:type="paragraph" w:styleId="Heading1">
    <w:name w:val="heading 1"/>
    <w:basedOn w:val="Normal"/>
    <w:next w:val="Normal"/>
    <w:link w:val="Heading1Char"/>
    <w:uiPriority w:val="9"/>
    <w:qFormat/>
    <w:rsid w:val="0089507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F430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8305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9507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5073"/>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qFormat/>
    <w:rsid w:val="00895073"/>
    <w:pPr>
      <w:spacing w:after="200"/>
    </w:pPr>
    <w:rPr>
      <w:rFonts w:ascii="Cambria" w:eastAsia="Cambria" w:hAnsi="Cambria" w:cs="Arial"/>
      <w:b/>
      <w:bCs/>
      <w:sz w:val="18"/>
      <w:szCs w:val="18"/>
    </w:rPr>
  </w:style>
  <w:style w:type="character" w:styleId="CommentReference">
    <w:name w:val="annotation reference"/>
    <w:basedOn w:val="DefaultParagraphFont"/>
    <w:uiPriority w:val="99"/>
    <w:semiHidden/>
    <w:unhideWhenUsed/>
    <w:rsid w:val="00895073"/>
    <w:rPr>
      <w:sz w:val="16"/>
      <w:szCs w:val="16"/>
    </w:rPr>
  </w:style>
  <w:style w:type="paragraph" w:styleId="CommentText">
    <w:name w:val="annotation text"/>
    <w:basedOn w:val="Normal"/>
    <w:link w:val="CommentTextChar"/>
    <w:uiPriority w:val="99"/>
    <w:semiHidden/>
    <w:unhideWhenUsed/>
    <w:rsid w:val="00895073"/>
    <w:pPr>
      <w:spacing w:after="200"/>
    </w:pPr>
    <w:rPr>
      <w:rFonts w:asciiTheme="minorBidi" w:eastAsia="Times New Roman" w:hAnsiTheme="minorBidi" w:cs="Times New Roman"/>
      <w:sz w:val="20"/>
      <w:szCs w:val="20"/>
      <w:lang w:eastAsia="en-GB"/>
    </w:rPr>
  </w:style>
  <w:style w:type="character" w:customStyle="1" w:styleId="CommentTextChar">
    <w:name w:val="Comment Text Char"/>
    <w:basedOn w:val="DefaultParagraphFont"/>
    <w:link w:val="CommentText"/>
    <w:uiPriority w:val="99"/>
    <w:semiHidden/>
    <w:rsid w:val="00895073"/>
    <w:rPr>
      <w:rFonts w:asciiTheme="minorBidi" w:eastAsia="Times New Roman" w:hAnsiTheme="minorBidi" w:cs="Times New Roman"/>
      <w:sz w:val="20"/>
      <w:szCs w:val="20"/>
      <w:lang w:eastAsia="en-GB"/>
    </w:rPr>
  </w:style>
  <w:style w:type="paragraph" w:styleId="BalloonText">
    <w:name w:val="Balloon Text"/>
    <w:basedOn w:val="Normal"/>
    <w:link w:val="BalloonTextChar"/>
    <w:uiPriority w:val="99"/>
    <w:semiHidden/>
    <w:unhideWhenUsed/>
    <w:rsid w:val="0089507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95073"/>
    <w:rPr>
      <w:rFonts w:ascii="Times New Roman" w:hAnsi="Times New Roman" w:cs="Times New Roman"/>
      <w:sz w:val="18"/>
      <w:szCs w:val="18"/>
    </w:rPr>
  </w:style>
  <w:style w:type="character" w:customStyle="1" w:styleId="Heading1Char">
    <w:name w:val="Heading 1 Char"/>
    <w:basedOn w:val="DefaultParagraphFont"/>
    <w:link w:val="Heading1"/>
    <w:uiPriority w:val="9"/>
    <w:rsid w:val="0089507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36755"/>
    <w:rPr>
      <w:color w:val="0000FF"/>
      <w:u w:val="single"/>
    </w:rPr>
  </w:style>
  <w:style w:type="character" w:customStyle="1" w:styleId="Heading3Char">
    <w:name w:val="Heading 3 Char"/>
    <w:basedOn w:val="DefaultParagraphFont"/>
    <w:link w:val="Heading3"/>
    <w:uiPriority w:val="9"/>
    <w:semiHidden/>
    <w:rsid w:val="00C83059"/>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6079C4"/>
    <w:pPr>
      <w:spacing w:after="200"/>
      <w:ind w:left="720"/>
      <w:contextualSpacing/>
    </w:pPr>
    <w:rPr>
      <w:rFonts w:asciiTheme="minorBidi" w:eastAsia="Times New Roman" w:hAnsiTheme="minorBidi" w:cs="Times New Roman"/>
      <w:lang w:eastAsia="en-GB"/>
    </w:rPr>
  </w:style>
  <w:style w:type="character" w:customStyle="1" w:styleId="Heading2Char">
    <w:name w:val="Heading 2 Char"/>
    <w:basedOn w:val="DefaultParagraphFont"/>
    <w:link w:val="Heading2"/>
    <w:uiPriority w:val="9"/>
    <w:rsid w:val="00DF4308"/>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iPriority w:val="99"/>
    <w:unhideWhenUsed/>
    <w:rsid w:val="00C35F0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35F05"/>
  </w:style>
  <w:style w:type="character" w:styleId="PageNumber">
    <w:name w:val="page number"/>
    <w:basedOn w:val="DefaultParagraphFont"/>
    <w:uiPriority w:val="99"/>
    <w:semiHidden/>
    <w:unhideWhenUsed/>
    <w:rsid w:val="00C35F05"/>
  </w:style>
  <w:style w:type="paragraph" w:styleId="Subtitle">
    <w:name w:val="Subtitle"/>
    <w:basedOn w:val="Normal"/>
    <w:next w:val="Normal"/>
    <w:link w:val="SubtitleChar"/>
    <w:uiPriority w:val="11"/>
    <w:qFormat/>
    <w:rsid w:val="00602EF5"/>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602EF5"/>
    <w:rPr>
      <w:rFonts w:eastAsiaTheme="minorEastAsia"/>
      <w:color w:val="5A5A5A" w:themeColor="text1" w:themeTint="A5"/>
      <w:spacing w:val="15"/>
      <w:sz w:val="22"/>
      <w:szCs w:val="22"/>
    </w:rPr>
  </w:style>
  <w:style w:type="character" w:styleId="UnresolvedMention">
    <w:name w:val="Unresolved Mention"/>
    <w:basedOn w:val="DefaultParagraphFont"/>
    <w:uiPriority w:val="99"/>
    <w:rsid w:val="008916A0"/>
    <w:rPr>
      <w:color w:val="605E5C"/>
      <w:shd w:val="clear" w:color="auto" w:fill="E1DFDD"/>
    </w:rPr>
  </w:style>
  <w:style w:type="character" w:styleId="FollowedHyperlink">
    <w:name w:val="FollowedHyperlink"/>
    <w:basedOn w:val="DefaultParagraphFont"/>
    <w:uiPriority w:val="99"/>
    <w:semiHidden/>
    <w:unhideWhenUsed/>
    <w:rsid w:val="008916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9640568.2018.15366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219BF-FD57-4118-978C-3869DB100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2438</Words>
  <Characters>13902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 Ruth</dc:creator>
  <cp:keywords/>
  <dc:description/>
  <cp:lastModifiedBy>Debattista, Marina</cp:lastModifiedBy>
  <cp:revision>2</cp:revision>
  <dcterms:created xsi:type="dcterms:W3CDTF">2018-11-13T12:32:00Z</dcterms:created>
  <dcterms:modified xsi:type="dcterms:W3CDTF">2018-11-13T12:32:00Z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362983c3-0cd3-3788-8dd7-d06cdbd2b072</vt:lpwstr>
  </property>
  <property fmtid="{D5CDD505-2E9C-101B-9397-08002B2CF9AE}" pid="24" name="Mendeley Citation Style_1">
    <vt:lpwstr>http://www.zotero.org/styles/apa</vt:lpwstr>
  </property>
</Properties>
</file>