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5D2F6" w14:textId="07927D91" w:rsidR="00550C35" w:rsidRDefault="00550C35" w:rsidP="00550C35">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Chapter </w:t>
      </w:r>
      <w:r w:rsidR="00DD2354">
        <w:rPr>
          <w:rFonts w:ascii="Times New Roman" w:hAnsi="Times New Roman" w:cs="Times New Roman"/>
          <w:b/>
          <w:sz w:val="40"/>
          <w:szCs w:val="40"/>
        </w:rPr>
        <w:t>12</w:t>
      </w:r>
    </w:p>
    <w:p w14:paraId="7A5B0327" w14:textId="77777777" w:rsidR="00550C35" w:rsidRDefault="00550C35" w:rsidP="00550C35">
      <w:pPr>
        <w:spacing w:line="360" w:lineRule="auto"/>
        <w:jc w:val="center"/>
        <w:rPr>
          <w:rFonts w:ascii="Times New Roman" w:hAnsi="Times New Roman" w:cs="Times New Roman"/>
          <w:b/>
          <w:sz w:val="40"/>
          <w:szCs w:val="40"/>
        </w:rPr>
      </w:pPr>
    </w:p>
    <w:p w14:paraId="28E263BD" w14:textId="6667A746" w:rsidR="00B133F6" w:rsidRPr="00550C35" w:rsidRDefault="00B133F6" w:rsidP="00550C35">
      <w:pPr>
        <w:spacing w:line="360" w:lineRule="auto"/>
        <w:jc w:val="center"/>
        <w:rPr>
          <w:rFonts w:ascii="Times New Roman" w:hAnsi="Times New Roman" w:cs="Times New Roman"/>
          <w:b/>
          <w:sz w:val="40"/>
          <w:szCs w:val="40"/>
        </w:rPr>
      </w:pPr>
      <w:r w:rsidRPr="00550C35">
        <w:rPr>
          <w:rFonts w:ascii="Times New Roman" w:hAnsi="Times New Roman" w:cs="Times New Roman"/>
          <w:b/>
          <w:sz w:val="40"/>
          <w:szCs w:val="40"/>
        </w:rPr>
        <w:t>C</w:t>
      </w:r>
      <w:r w:rsidR="00550C35" w:rsidRPr="00550C35">
        <w:rPr>
          <w:rFonts w:ascii="Times New Roman" w:hAnsi="Times New Roman" w:cs="Times New Roman"/>
          <w:b/>
          <w:sz w:val="40"/>
          <w:szCs w:val="40"/>
        </w:rPr>
        <w:t>ausation and Proportional Recovery</w:t>
      </w:r>
    </w:p>
    <w:p w14:paraId="37AE9C6E" w14:textId="77777777" w:rsidR="00550C35" w:rsidRDefault="00550C35" w:rsidP="00550C35">
      <w:pPr>
        <w:spacing w:line="360" w:lineRule="auto"/>
        <w:jc w:val="both"/>
        <w:rPr>
          <w:rFonts w:ascii="Times New Roman" w:hAnsi="Times New Roman" w:cs="Times New Roman"/>
        </w:rPr>
      </w:pPr>
    </w:p>
    <w:p w14:paraId="48B2F9A4" w14:textId="1F5D774A" w:rsidR="00BB6097" w:rsidRPr="00550C35" w:rsidRDefault="00BB6097" w:rsidP="00550C35">
      <w:pPr>
        <w:spacing w:line="360" w:lineRule="auto"/>
        <w:jc w:val="center"/>
        <w:rPr>
          <w:rFonts w:ascii="Times New Roman" w:hAnsi="Times New Roman" w:cs="Times New Roman"/>
          <w:sz w:val="28"/>
          <w:szCs w:val="28"/>
        </w:rPr>
      </w:pPr>
      <w:r w:rsidRPr="00550C35">
        <w:rPr>
          <w:rFonts w:ascii="Times New Roman" w:hAnsi="Times New Roman" w:cs="Times New Roman"/>
          <w:sz w:val="28"/>
          <w:szCs w:val="28"/>
        </w:rPr>
        <w:t>R</w:t>
      </w:r>
      <w:r w:rsidR="00550C35" w:rsidRPr="00550C35">
        <w:rPr>
          <w:rFonts w:ascii="Times New Roman" w:hAnsi="Times New Roman" w:cs="Times New Roman"/>
          <w:sz w:val="28"/>
          <w:szCs w:val="28"/>
        </w:rPr>
        <w:t>OB MERKIN and JENNY STEELE</w:t>
      </w:r>
    </w:p>
    <w:p w14:paraId="101900F6" w14:textId="77777777" w:rsidR="00B133F6" w:rsidRPr="00550C35" w:rsidRDefault="00B133F6" w:rsidP="00550C35">
      <w:pPr>
        <w:spacing w:line="360" w:lineRule="auto"/>
        <w:jc w:val="both"/>
        <w:rPr>
          <w:rFonts w:ascii="Times New Roman" w:hAnsi="Times New Roman" w:cs="Times New Roman"/>
          <w:b/>
          <w:sz w:val="28"/>
          <w:szCs w:val="28"/>
        </w:rPr>
      </w:pPr>
    </w:p>
    <w:p w14:paraId="2A469E4B" w14:textId="31890305" w:rsidR="00B133F6" w:rsidRPr="00550C35" w:rsidRDefault="00550C35" w:rsidP="00550C35">
      <w:pPr>
        <w:spacing w:line="360" w:lineRule="auto"/>
        <w:jc w:val="center"/>
        <w:rPr>
          <w:rFonts w:ascii="Times New Roman" w:hAnsi="Times New Roman" w:cs="Times New Roman"/>
          <w:b/>
          <w:sz w:val="28"/>
          <w:szCs w:val="28"/>
        </w:rPr>
      </w:pPr>
      <w:r w:rsidRPr="00550C35">
        <w:rPr>
          <w:rFonts w:ascii="Times New Roman" w:hAnsi="Times New Roman" w:cs="Times New Roman"/>
          <w:b/>
          <w:sz w:val="28"/>
          <w:szCs w:val="28"/>
        </w:rPr>
        <w:t xml:space="preserve">I. The Impact of </w:t>
      </w:r>
      <w:r w:rsidR="00B133F6" w:rsidRPr="00550C35">
        <w:rPr>
          <w:rFonts w:ascii="Times New Roman" w:hAnsi="Times New Roman" w:cs="Times New Roman"/>
          <w:b/>
          <w:i/>
          <w:sz w:val="28"/>
          <w:szCs w:val="28"/>
        </w:rPr>
        <w:t>F</w:t>
      </w:r>
      <w:r w:rsidRPr="00550C35">
        <w:rPr>
          <w:rFonts w:ascii="Times New Roman" w:hAnsi="Times New Roman" w:cs="Times New Roman"/>
          <w:b/>
          <w:i/>
          <w:sz w:val="28"/>
          <w:szCs w:val="28"/>
        </w:rPr>
        <w:t>airchild</w:t>
      </w:r>
    </w:p>
    <w:p w14:paraId="723378ED" w14:textId="77777777" w:rsidR="00B133F6" w:rsidRPr="00550C35" w:rsidRDefault="00B133F6" w:rsidP="00550C35">
      <w:pPr>
        <w:spacing w:line="360" w:lineRule="auto"/>
        <w:jc w:val="both"/>
        <w:rPr>
          <w:rFonts w:ascii="Times New Roman" w:hAnsi="Times New Roman" w:cs="Times New Roman"/>
          <w:b/>
        </w:rPr>
      </w:pPr>
    </w:p>
    <w:p w14:paraId="3BB2FDD8" w14:textId="4C804E16" w:rsidR="00B133F6"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The decision of the House of Lords in </w:t>
      </w:r>
      <w:r w:rsidRPr="00550C35">
        <w:rPr>
          <w:rFonts w:ascii="Times New Roman" w:hAnsi="Times New Roman" w:cs="Times New Roman"/>
          <w:i/>
        </w:rPr>
        <w:t xml:space="preserve">Fairchild v </w:t>
      </w:r>
      <w:proofErr w:type="spellStart"/>
      <w:r w:rsidRPr="00550C35">
        <w:rPr>
          <w:rFonts w:ascii="Times New Roman" w:hAnsi="Times New Roman" w:cs="Times New Roman"/>
          <w:i/>
        </w:rPr>
        <w:t>Glenhaven</w:t>
      </w:r>
      <w:proofErr w:type="spellEnd"/>
      <w:r w:rsidR="00DC1D50" w:rsidRPr="00550C35">
        <w:rPr>
          <w:rFonts w:ascii="Times New Roman" w:hAnsi="Times New Roman" w:cs="Times New Roman"/>
          <w:i/>
        </w:rPr>
        <w:t xml:space="preserve"> Funeral Services Ltd</w:t>
      </w:r>
      <w:r w:rsidRPr="00550C35">
        <w:rPr>
          <w:rFonts w:ascii="Times New Roman" w:hAnsi="Times New Roman" w:cs="Times New Roman"/>
        </w:rPr>
        <w:t>,</w:t>
      </w:r>
      <w:r w:rsidRPr="00550C35">
        <w:rPr>
          <w:rStyle w:val="FootnoteReference"/>
          <w:rFonts w:ascii="Times New Roman" w:hAnsi="Times New Roman" w:cs="Times New Roman"/>
        </w:rPr>
        <w:footnoteReference w:id="1"/>
      </w:r>
      <w:r w:rsidRPr="00550C35">
        <w:rPr>
          <w:rFonts w:ascii="Times New Roman" w:hAnsi="Times New Roman" w:cs="Times New Roman"/>
        </w:rPr>
        <w:t xml:space="preserve"> though on the face of it not concerned with </w:t>
      </w:r>
      <w:r w:rsidR="00B335A3" w:rsidRPr="00550C35">
        <w:rPr>
          <w:rFonts w:ascii="Times New Roman" w:hAnsi="Times New Roman" w:cs="Times New Roman"/>
        </w:rPr>
        <w:t xml:space="preserve">apportionment </w:t>
      </w:r>
      <w:r w:rsidRPr="00550C35">
        <w:rPr>
          <w:rFonts w:ascii="Times New Roman" w:hAnsi="Times New Roman" w:cs="Times New Roman"/>
        </w:rPr>
        <w:t>at all,</w:t>
      </w:r>
      <w:r w:rsidRPr="00550C35">
        <w:rPr>
          <w:rFonts w:ascii="Times New Roman" w:hAnsi="Times New Roman" w:cs="Times New Roman"/>
          <w:i/>
        </w:rPr>
        <w:t xml:space="preserve"> </w:t>
      </w:r>
      <w:r w:rsidRPr="00550C35">
        <w:rPr>
          <w:rFonts w:ascii="Times New Roman" w:hAnsi="Times New Roman" w:cs="Times New Roman"/>
        </w:rPr>
        <w:t xml:space="preserve">has ultimately led to the introduction into </w:t>
      </w:r>
      <w:r w:rsidR="00710184" w:rsidRPr="00550C35">
        <w:rPr>
          <w:rFonts w:ascii="Times New Roman" w:hAnsi="Times New Roman" w:cs="Times New Roman"/>
        </w:rPr>
        <w:t xml:space="preserve">the </w:t>
      </w:r>
      <w:r w:rsidRPr="00550C35">
        <w:rPr>
          <w:rFonts w:ascii="Times New Roman" w:hAnsi="Times New Roman" w:cs="Times New Roman"/>
        </w:rPr>
        <w:t xml:space="preserve">English law of </w:t>
      </w:r>
      <w:r w:rsidR="00710184" w:rsidRPr="00550C35">
        <w:rPr>
          <w:rFonts w:ascii="Times New Roman" w:hAnsi="Times New Roman" w:cs="Times New Roman"/>
        </w:rPr>
        <w:t xml:space="preserve">tort, and of insurance, </w:t>
      </w:r>
      <w:r w:rsidR="00DD7A26">
        <w:rPr>
          <w:rFonts w:ascii="Times New Roman" w:hAnsi="Times New Roman" w:cs="Times New Roman"/>
        </w:rPr>
        <w:t xml:space="preserve">of </w:t>
      </w:r>
      <w:r w:rsidRPr="00550C35">
        <w:rPr>
          <w:rFonts w:ascii="Times New Roman" w:hAnsi="Times New Roman" w:cs="Times New Roman"/>
        </w:rPr>
        <w:t xml:space="preserve">novel forms of proportional liability. The challenge for tort law was that </w:t>
      </w:r>
      <w:r w:rsidR="00523CFE" w:rsidRPr="00550C35">
        <w:rPr>
          <w:rFonts w:ascii="Times New Roman" w:hAnsi="Times New Roman" w:cs="Times New Roman"/>
        </w:rPr>
        <w:t xml:space="preserve">rules on </w:t>
      </w:r>
      <w:r w:rsidRPr="00550C35">
        <w:rPr>
          <w:rFonts w:ascii="Times New Roman" w:hAnsi="Times New Roman" w:cs="Times New Roman"/>
        </w:rPr>
        <w:t>causation</w:t>
      </w:r>
      <w:r w:rsidR="00DD7A26">
        <w:rPr>
          <w:rFonts w:ascii="Times New Roman" w:hAnsi="Times New Roman" w:cs="Times New Roman"/>
        </w:rPr>
        <w:t>,</w:t>
      </w:r>
      <w:r w:rsidRPr="00550C35">
        <w:rPr>
          <w:rFonts w:ascii="Times New Roman" w:hAnsi="Times New Roman" w:cs="Times New Roman"/>
        </w:rPr>
        <w:t xml:space="preserve"> as they then stood</w:t>
      </w:r>
      <w:r w:rsidR="00DD7A26">
        <w:rPr>
          <w:rFonts w:ascii="Times New Roman" w:hAnsi="Times New Roman" w:cs="Times New Roman"/>
        </w:rPr>
        <w:t>,</w:t>
      </w:r>
      <w:r w:rsidRPr="00550C35">
        <w:rPr>
          <w:rFonts w:ascii="Times New Roman" w:hAnsi="Times New Roman" w:cs="Times New Roman"/>
        </w:rPr>
        <w:t xml:space="preserve"> precluded recovery in the absence of proof of a link between </w:t>
      </w:r>
      <w:r w:rsidR="00A633AE" w:rsidRPr="00550C35">
        <w:rPr>
          <w:rFonts w:ascii="Times New Roman" w:hAnsi="Times New Roman" w:cs="Times New Roman"/>
        </w:rPr>
        <w:t xml:space="preserve">a given </w:t>
      </w:r>
      <w:r w:rsidRPr="00550C35">
        <w:rPr>
          <w:rFonts w:ascii="Times New Roman" w:hAnsi="Times New Roman" w:cs="Times New Roman"/>
        </w:rPr>
        <w:t>exposure to a harmful substance and consequent injury suffered at a much later date</w:t>
      </w:r>
      <w:r w:rsidR="00A633AE" w:rsidRPr="00550C35">
        <w:rPr>
          <w:rFonts w:ascii="Times New Roman" w:hAnsi="Times New Roman" w:cs="Times New Roman"/>
        </w:rPr>
        <w:t>. In the case of mesothelioma</w:t>
      </w:r>
      <w:r w:rsidRPr="00550C35">
        <w:rPr>
          <w:rFonts w:ascii="Times New Roman" w:hAnsi="Times New Roman" w:cs="Times New Roman"/>
        </w:rPr>
        <w:t xml:space="preserve">, such proof was </w:t>
      </w:r>
      <w:r w:rsidR="002774DD" w:rsidRPr="00550C35">
        <w:rPr>
          <w:rFonts w:ascii="Times New Roman" w:hAnsi="Times New Roman" w:cs="Times New Roman"/>
        </w:rPr>
        <w:t xml:space="preserve">regarded as </w:t>
      </w:r>
      <w:r w:rsidR="00A633AE" w:rsidRPr="00550C35">
        <w:rPr>
          <w:rFonts w:ascii="Times New Roman" w:hAnsi="Times New Roman" w:cs="Times New Roman"/>
        </w:rPr>
        <w:t>impossible</w:t>
      </w:r>
      <w:r w:rsidRPr="00550C35">
        <w:rPr>
          <w:rFonts w:ascii="Times New Roman" w:hAnsi="Times New Roman" w:cs="Times New Roman"/>
        </w:rPr>
        <w:t xml:space="preserve"> where there was a chain of potential defendants. The challenge for insurance law was how policies were to respond to </w:t>
      </w:r>
      <w:r w:rsidR="00A633AE" w:rsidRPr="00550C35">
        <w:rPr>
          <w:rFonts w:ascii="Times New Roman" w:hAnsi="Times New Roman" w:cs="Times New Roman"/>
        </w:rPr>
        <w:t>this</w:t>
      </w:r>
      <w:r w:rsidRPr="00550C35">
        <w:rPr>
          <w:rFonts w:ascii="Times New Roman" w:hAnsi="Times New Roman" w:cs="Times New Roman"/>
        </w:rPr>
        <w:t xml:space="preserve"> gap. The </w:t>
      </w:r>
      <w:r w:rsidR="00A633AE" w:rsidRPr="00550C35">
        <w:rPr>
          <w:rFonts w:ascii="Times New Roman" w:hAnsi="Times New Roman" w:cs="Times New Roman"/>
        </w:rPr>
        <w:t xml:space="preserve">practical </w:t>
      </w:r>
      <w:r w:rsidRPr="00550C35">
        <w:rPr>
          <w:rFonts w:ascii="Times New Roman" w:hAnsi="Times New Roman" w:cs="Times New Roman"/>
        </w:rPr>
        <w:t xml:space="preserve">outcome for both </w:t>
      </w:r>
      <w:r w:rsidR="00A633AE" w:rsidRPr="00550C35">
        <w:rPr>
          <w:rFonts w:ascii="Times New Roman" w:hAnsi="Times New Roman" w:cs="Times New Roman"/>
        </w:rPr>
        <w:t>areas of law (tort, and insurance)</w:t>
      </w:r>
      <w:r w:rsidRPr="00550C35">
        <w:rPr>
          <w:rFonts w:ascii="Times New Roman" w:hAnsi="Times New Roman" w:cs="Times New Roman"/>
        </w:rPr>
        <w:t xml:space="preserve"> </w:t>
      </w:r>
      <w:r w:rsidR="00A633AE" w:rsidRPr="00550C35">
        <w:rPr>
          <w:rFonts w:ascii="Times New Roman" w:hAnsi="Times New Roman" w:cs="Times New Roman"/>
        </w:rPr>
        <w:t>has been</w:t>
      </w:r>
      <w:r w:rsidRPr="00550C35">
        <w:rPr>
          <w:rFonts w:ascii="Times New Roman" w:hAnsi="Times New Roman" w:cs="Times New Roman"/>
        </w:rPr>
        <w:t xml:space="preserve"> the adoption of proportionality.</w:t>
      </w:r>
      <w:r w:rsidR="00C169CD" w:rsidRPr="00550C35">
        <w:rPr>
          <w:rStyle w:val="FootnoteReference"/>
          <w:rFonts w:ascii="Times New Roman" w:hAnsi="Times New Roman" w:cs="Times New Roman"/>
        </w:rPr>
        <w:footnoteReference w:id="2"/>
      </w:r>
      <w:r w:rsidRPr="00550C35">
        <w:rPr>
          <w:rFonts w:ascii="Times New Roman" w:hAnsi="Times New Roman" w:cs="Times New Roman"/>
        </w:rPr>
        <w:t xml:space="preserve"> It should be said at the outset that there was nothing new</w:t>
      </w:r>
      <w:r w:rsidR="00DD7A26">
        <w:rPr>
          <w:rFonts w:ascii="Times New Roman" w:hAnsi="Times New Roman" w:cs="Times New Roman"/>
        </w:rPr>
        <w:t>,</w:t>
      </w:r>
      <w:r w:rsidRPr="00550C35">
        <w:rPr>
          <w:rFonts w:ascii="Times New Roman" w:hAnsi="Times New Roman" w:cs="Times New Roman"/>
        </w:rPr>
        <w:t xml:space="preserve"> in </w:t>
      </w:r>
      <w:r w:rsidR="00B335A3" w:rsidRPr="00550C35">
        <w:rPr>
          <w:rFonts w:ascii="Times New Roman" w:hAnsi="Times New Roman" w:cs="Times New Roman"/>
        </w:rPr>
        <w:t>practice</w:t>
      </w:r>
      <w:r w:rsidR="00DD7A26">
        <w:rPr>
          <w:rFonts w:ascii="Times New Roman" w:hAnsi="Times New Roman" w:cs="Times New Roman"/>
        </w:rPr>
        <w:t>,</w:t>
      </w:r>
      <w:r w:rsidR="000C1D75">
        <w:rPr>
          <w:rFonts w:ascii="Times New Roman" w:hAnsi="Times New Roman" w:cs="Times New Roman"/>
        </w:rPr>
        <w:t xml:space="preserve"> about</w:t>
      </w:r>
      <w:r w:rsidR="00B335A3" w:rsidRPr="00550C35">
        <w:rPr>
          <w:rFonts w:ascii="Times New Roman" w:hAnsi="Times New Roman" w:cs="Times New Roman"/>
        </w:rPr>
        <w:t xml:space="preserve"> </w:t>
      </w:r>
      <w:r w:rsidRPr="00550C35">
        <w:rPr>
          <w:rFonts w:ascii="Times New Roman" w:hAnsi="Times New Roman" w:cs="Times New Roman"/>
        </w:rPr>
        <w:t xml:space="preserve">with </w:t>
      </w:r>
      <w:r w:rsidR="002774DD" w:rsidRPr="00550C35">
        <w:rPr>
          <w:rFonts w:ascii="Times New Roman" w:hAnsi="Times New Roman" w:cs="Times New Roman"/>
        </w:rPr>
        <w:t>a</w:t>
      </w:r>
      <w:r w:rsidR="00523CFE" w:rsidRPr="00550C35">
        <w:rPr>
          <w:rFonts w:ascii="Times New Roman" w:hAnsi="Times New Roman" w:cs="Times New Roman"/>
        </w:rPr>
        <w:t xml:space="preserve"> degree</w:t>
      </w:r>
      <w:r w:rsidRPr="00550C35">
        <w:rPr>
          <w:rFonts w:ascii="Times New Roman" w:hAnsi="Times New Roman" w:cs="Times New Roman"/>
        </w:rPr>
        <w:t xml:space="preserve"> of proportionality in either tort</w:t>
      </w:r>
      <w:r w:rsidR="00DD7A26">
        <w:rPr>
          <w:rFonts w:ascii="Times New Roman" w:hAnsi="Times New Roman" w:cs="Times New Roman"/>
        </w:rPr>
        <w:t>,</w:t>
      </w:r>
      <w:r w:rsidRPr="00550C35">
        <w:rPr>
          <w:rFonts w:ascii="Times New Roman" w:hAnsi="Times New Roman" w:cs="Times New Roman"/>
        </w:rPr>
        <w:t xml:space="preserve"> or insurance. Joint or cumulative </w:t>
      </w:r>
      <w:proofErr w:type="spellStart"/>
      <w:r w:rsidRPr="00550C35">
        <w:rPr>
          <w:rFonts w:ascii="Times New Roman" w:hAnsi="Times New Roman" w:cs="Times New Roman"/>
        </w:rPr>
        <w:t>tortfeasors</w:t>
      </w:r>
      <w:proofErr w:type="spellEnd"/>
      <w:r w:rsidRPr="00550C35">
        <w:rPr>
          <w:rFonts w:ascii="Times New Roman" w:hAnsi="Times New Roman" w:cs="Times New Roman"/>
        </w:rPr>
        <w:t xml:space="preserve"> are, through the Civil Liability (Contribution) Act 1978</w:t>
      </w:r>
      <w:r w:rsidR="00150ACD">
        <w:rPr>
          <w:rFonts w:ascii="Times New Roman" w:hAnsi="Times New Roman" w:cs="Times New Roman"/>
        </w:rPr>
        <w:t xml:space="preserve"> (UK)</w:t>
      </w:r>
      <w:r w:rsidRPr="00550C35">
        <w:rPr>
          <w:rFonts w:ascii="Times New Roman" w:hAnsi="Times New Roman" w:cs="Times New Roman"/>
        </w:rPr>
        <w:t xml:space="preserve">, ultimately required to bear </w:t>
      </w:r>
      <w:r w:rsidR="00A633AE" w:rsidRPr="00550C35">
        <w:rPr>
          <w:rFonts w:ascii="Times New Roman" w:hAnsi="Times New Roman" w:cs="Times New Roman"/>
        </w:rPr>
        <w:t xml:space="preserve">a </w:t>
      </w:r>
      <w:r w:rsidRPr="00550C35">
        <w:rPr>
          <w:rFonts w:ascii="Times New Roman" w:hAnsi="Times New Roman" w:cs="Times New Roman"/>
        </w:rPr>
        <w:t xml:space="preserve">degree of liability </w:t>
      </w:r>
      <w:r w:rsidR="00A633AE" w:rsidRPr="00550C35">
        <w:rPr>
          <w:rFonts w:ascii="Times New Roman" w:hAnsi="Times New Roman" w:cs="Times New Roman"/>
        </w:rPr>
        <w:t xml:space="preserve">broadly </w:t>
      </w:r>
      <w:r w:rsidRPr="00550C35">
        <w:rPr>
          <w:rFonts w:ascii="Times New Roman" w:hAnsi="Times New Roman" w:cs="Times New Roman"/>
        </w:rPr>
        <w:t>proportional to their respective</w:t>
      </w:r>
      <w:r w:rsidR="002774DD" w:rsidRPr="00550C35">
        <w:rPr>
          <w:rFonts w:ascii="Times New Roman" w:hAnsi="Times New Roman" w:cs="Times New Roman"/>
        </w:rPr>
        <w:t xml:space="preserve"> contribution</w:t>
      </w:r>
      <w:r w:rsidR="00DD7A26">
        <w:rPr>
          <w:rFonts w:ascii="Times New Roman" w:hAnsi="Times New Roman" w:cs="Times New Roman"/>
        </w:rPr>
        <w:t>,</w:t>
      </w:r>
      <w:r w:rsidR="00A633AE" w:rsidRPr="00550C35">
        <w:rPr>
          <w:rStyle w:val="FootnoteReference"/>
          <w:rFonts w:ascii="Times New Roman" w:hAnsi="Times New Roman" w:cs="Times New Roman"/>
        </w:rPr>
        <w:footnoteReference w:id="3"/>
      </w:r>
      <w:r w:rsidRPr="00550C35">
        <w:rPr>
          <w:rFonts w:ascii="Times New Roman" w:hAnsi="Times New Roman" w:cs="Times New Roman"/>
        </w:rPr>
        <w:t xml:space="preserve"> whichever of them is the initial target of the victim’s action. Two or more insurers whose </w:t>
      </w:r>
      <w:r w:rsidRPr="00550C35">
        <w:rPr>
          <w:rFonts w:ascii="Times New Roman" w:hAnsi="Times New Roman" w:cs="Times New Roman"/>
          <w:i/>
        </w:rPr>
        <w:t xml:space="preserve">concurrent </w:t>
      </w:r>
      <w:r w:rsidRPr="00550C35">
        <w:rPr>
          <w:rFonts w:ascii="Times New Roman" w:hAnsi="Times New Roman" w:cs="Times New Roman"/>
        </w:rPr>
        <w:t xml:space="preserve">policies happen to overlap in respect of a single loss are, through the mechanism of contribution and </w:t>
      </w:r>
      <w:r w:rsidRPr="00550C35">
        <w:rPr>
          <w:rFonts w:ascii="Times New Roman" w:hAnsi="Times New Roman" w:cs="Times New Roman"/>
        </w:rPr>
        <w:lastRenderedPageBreak/>
        <w:t xml:space="preserve">following a successful claim against any of them, ultimately required to carry only </w:t>
      </w:r>
      <w:r w:rsidR="00A633AE" w:rsidRPr="00550C35">
        <w:rPr>
          <w:rFonts w:ascii="Times New Roman" w:hAnsi="Times New Roman" w:cs="Times New Roman"/>
        </w:rPr>
        <w:t xml:space="preserve">a </w:t>
      </w:r>
      <w:r w:rsidRPr="00550C35">
        <w:rPr>
          <w:rFonts w:ascii="Times New Roman" w:hAnsi="Times New Roman" w:cs="Times New Roman"/>
        </w:rPr>
        <w:t>proportionate share of the loss,</w:t>
      </w:r>
      <w:r w:rsidRPr="00550C35">
        <w:rPr>
          <w:rStyle w:val="FootnoteReference"/>
          <w:rFonts w:ascii="Times New Roman" w:hAnsi="Times New Roman" w:cs="Times New Roman"/>
        </w:rPr>
        <w:footnoteReference w:id="4"/>
      </w:r>
      <w:r w:rsidRPr="00550C35">
        <w:rPr>
          <w:rFonts w:ascii="Times New Roman" w:hAnsi="Times New Roman" w:cs="Times New Roman"/>
        </w:rPr>
        <w:t xml:space="preserve"> generally based upon a comparison of the amounts for which each insurer would independently have been liable to the assured.</w:t>
      </w:r>
      <w:r w:rsidRPr="00550C35">
        <w:rPr>
          <w:rStyle w:val="FootnoteReference"/>
          <w:rFonts w:ascii="Times New Roman" w:hAnsi="Times New Roman" w:cs="Times New Roman"/>
        </w:rPr>
        <w:footnoteReference w:id="5"/>
      </w:r>
      <w:r w:rsidRPr="00550C35">
        <w:rPr>
          <w:rFonts w:ascii="Times New Roman" w:hAnsi="Times New Roman" w:cs="Times New Roman"/>
        </w:rPr>
        <w:t xml:space="preserve"> </w:t>
      </w:r>
      <w:r w:rsidRPr="00550C35">
        <w:rPr>
          <w:rFonts w:ascii="Times New Roman" w:hAnsi="Times New Roman" w:cs="Times New Roman"/>
          <w:i/>
        </w:rPr>
        <w:t>Fairchild</w:t>
      </w:r>
      <w:r w:rsidRPr="00550C35">
        <w:rPr>
          <w:rFonts w:ascii="Times New Roman" w:hAnsi="Times New Roman" w:cs="Times New Roman"/>
        </w:rPr>
        <w:t xml:space="preserve">, however, </w:t>
      </w:r>
      <w:r w:rsidR="00523CFE" w:rsidRPr="00550C35">
        <w:rPr>
          <w:rFonts w:ascii="Times New Roman" w:hAnsi="Times New Roman" w:cs="Times New Roman"/>
        </w:rPr>
        <w:t xml:space="preserve">particularly as it has been later interpreted, </w:t>
      </w:r>
      <w:r w:rsidRPr="00550C35">
        <w:rPr>
          <w:rFonts w:ascii="Times New Roman" w:hAnsi="Times New Roman" w:cs="Times New Roman"/>
        </w:rPr>
        <w:t xml:space="preserve">takes the law into new territory. </w:t>
      </w:r>
    </w:p>
    <w:p w14:paraId="2908C1D7" w14:textId="77777777" w:rsidR="00550C35" w:rsidRDefault="00550C35" w:rsidP="00550C35">
      <w:pPr>
        <w:spacing w:line="360" w:lineRule="auto"/>
        <w:jc w:val="both"/>
        <w:rPr>
          <w:rFonts w:ascii="Times New Roman" w:hAnsi="Times New Roman" w:cs="Times New Roman"/>
        </w:rPr>
      </w:pPr>
    </w:p>
    <w:p w14:paraId="5CC10C54" w14:textId="0D9629C6"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We argue here that, given the problems with which </w:t>
      </w:r>
      <w:r w:rsidRPr="00550C35">
        <w:rPr>
          <w:rFonts w:ascii="Times New Roman" w:hAnsi="Times New Roman" w:cs="Times New Roman"/>
          <w:i/>
        </w:rPr>
        <w:t xml:space="preserve">Fairchild </w:t>
      </w:r>
      <w:r w:rsidRPr="00550C35">
        <w:rPr>
          <w:rFonts w:ascii="Times New Roman" w:hAnsi="Times New Roman" w:cs="Times New Roman"/>
        </w:rPr>
        <w:t xml:space="preserve">deals, some form of proportional liability solution was more or less inevitable, not only at the level of tort law, but – if the tort judgments on the incidence of liability were to be meaningful – also at the level of insurance. A majority of the House of Lords in </w:t>
      </w:r>
      <w:r w:rsidRPr="00550C35">
        <w:rPr>
          <w:rFonts w:ascii="Times New Roman" w:hAnsi="Times New Roman" w:cs="Times New Roman"/>
          <w:i/>
        </w:rPr>
        <w:t>Barker v Corus</w:t>
      </w:r>
      <w:r w:rsidRPr="00550C35">
        <w:rPr>
          <w:rStyle w:val="FootnoteReference"/>
          <w:rFonts w:ascii="Times New Roman" w:hAnsi="Times New Roman" w:cs="Times New Roman"/>
        </w:rPr>
        <w:footnoteReference w:id="6"/>
      </w:r>
      <w:r w:rsidRPr="00550C35">
        <w:rPr>
          <w:rFonts w:ascii="Times New Roman" w:hAnsi="Times New Roman" w:cs="Times New Roman"/>
          <w:i/>
        </w:rPr>
        <w:t xml:space="preserve"> </w:t>
      </w:r>
      <w:r w:rsidRPr="00550C35">
        <w:rPr>
          <w:rFonts w:ascii="Times New Roman" w:hAnsi="Times New Roman" w:cs="Times New Roman"/>
        </w:rPr>
        <w:t xml:space="preserve">effectively retrenched on what was thought to be the outcome of </w:t>
      </w:r>
      <w:r w:rsidRPr="00550C35">
        <w:rPr>
          <w:rFonts w:ascii="Times New Roman" w:hAnsi="Times New Roman" w:cs="Times New Roman"/>
          <w:i/>
        </w:rPr>
        <w:t>Fairchild</w:t>
      </w:r>
      <w:r w:rsidRPr="00550C35">
        <w:rPr>
          <w:rFonts w:ascii="Times New Roman" w:hAnsi="Times New Roman" w:cs="Times New Roman"/>
        </w:rPr>
        <w:t xml:space="preserve">, by rejecting 100% </w:t>
      </w:r>
      <w:proofErr w:type="spellStart"/>
      <w:r w:rsidRPr="00550C35">
        <w:rPr>
          <w:rFonts w:ascii="Times New Roman" w:hAnsi="Times New Roman" w:cs="Times New Roman"/>
        </w:rPr>
        <w:t>tortfeasor</w:t>
      </w:r>
      <w:proofErr w:type="spellEnd"/>
      <w:r w:rsidRPr="00550C35">
        <w:rPr>
          <w:rFonts w:ascii="Times New Roman" w:hAnsi="Times New Roman" w:cs="Times New Roman"/>
        </w:rPr>
        <w:t xml:space="preserve"> liability in favour of proportionality based on – presumably</w:t>
      </w:r>
      <w:r w:rsidR="00DD7A26">
        <w:rPr>
          <w:rFonts w:ascii="Times New Roman" w:hAnsi="Times New Roman" w:cs="Times New Roman"/>
        </w:rPr>
        <w:t>,</w:t>
      </w:r>
      <w:r w:rsidRPr="00550C35">
        <w:rPr>
          <w:rFonts w:ascii="Times New Roman" w:hAnsi="Times New Roman" w:cs="Times New Roman"/>
        </w:rPr>
        <w:t xml:space="preserve"> but </w:t>
      </w:r>
      <w:r w:rsidR="00DD7A26">
        <w:rPr>
          <w:rFonts w:ascii="Times New Roman" w:hAnsi="Times New Roman" w:cs="Times New Roman"/>
        </w:rPr>
        <w:t xml:space="preserve">this is </w:t>
      </w:r>
      <w:r w:rsidRPr="00550C35">
        <w:rPr>
          <w:rFonts w:ascii="Times New Roman" w:hAnsi="Times New Roman" w:cs="Times New Roman"/>
        </w:rPr>
        <w:t xml:space="preserve">yet to be articulated fully – time on risk and intensity of exposure. In addition, the decision has already had a transformative effect on the question of proportional liability in employers liability insurance, first in </w:t>
      </w:r>
      <w:r w:rsidRPr="00550C35">
        <w:rPr>
          <w:rFonts w:ascii="Times New Roman" w:hAnsi="Times New Roman" w:cs="Times New Roman"/>
          <w:i/>
        </w:rPr>
        <w:t>Durham v BAI (The Trigger Litigation)</w:t>
      </w:r>
      <w:r w:rsidRPr="00550C35">
        <w:rPr>
          <w:rStyle w:val="FootnoteReference"/>
          <w:rFonts w:ascii="Times New Roman" w:hAnsi="Times New Roman" w:cs="Times New Roman"/>
          <w:i/>
        </w:rPr>
        <w:footnoteReference w:id="7"/>
      </w:r>
      <w:r w:rsidRPr="00550C35">
        <w:rPr>
          <w:rFonts w:ascii="Times New Roman" w:hAnsi="Times New Roman" w:cs="Times New Roman"/>
          <w:i/>
        </w:rPr>
        <w:t xml:space="preserve"> </w:t>
      </w:r>
      <w:r w:rsidRPr="00550C35">
        <w:rPr>
          <w:rFonts w:ascii="Times New Roman" w:hAnsi="Times New Roman" w:cs="Times New Roman"/>
        </w:rPr>
        <w:t>by causing the courts to construe such policies as responding to the year of exposure</w:t>
      </w:r>
      <w:r w:rsidR="00F31FF1">
        <w:rPr>
          <w:rFonts w:ascii="Times New Roman" w:hAnsi="Times New Roman" w:cs="Times New Roman"/>
        </w:rPr>
        <w:t>,</w:t>
      </w:r>
      <w:r w:rsidRPr="00550C35">
        <w:rPr>
          <w:rFonts w:ascii="Times New Roman" w:hAnsi="Times New Roman" w:cs="Times New Roman"/>
        </w:rPr>
        <w:t xml:space="preserve"> rather than the year of injury</w:t>
      </w:r>
      <w:r w:rsidR="00F31FF1">
        <w:rPr>
          <w:rFonts w:ascii="Times New Roman" w:hAnsi="Times New Roman" w:cs="Times New Roman"/>
        </w:rPr>
        <w:t>;</w:t>
      </w:r>
      <w:r w:rsidRPr="00550C35">
        <w:rPr>
          <w:rFonts w:ascii="Times New Roman" w:hAnsi="Times New Roman" w:cs="Times New Roman"/>
        </w:rPr>
        <w:t xml:space="preserve"> and then in</w:t>
      </w:r>
      <w:r w:rsidRPr="00550C35">
        <w:rPr>
          <w:rFonts w:ascii="Times New Roman" w:hAnsi="Times New Roman" w:cs="Times New Roman"/>
          <w:i/>
        </w:rPr>
        <w:t xml:space="preserve"> International Energy Group v Zurich Insurance plc UK</w:t>
      </w:r>
      <w:r w:rsidRPr="00550C35">
        <w:rPr>
          <w:rStyle w:val="FootnoteReference"/>
          <w:rFonts w:ascii="Times New Roman" w:hAnsi="Times New Roman" w:cs="Times New Roman"/>
        </w:rPr>
        <w:t xml:space="preserve"> </w:t>
      </w:r>
      <w:r w:rsidRPr="00550C35">
        <w:rPr>
          <w:rStyle w:val="FootnoteReference"/>
          <w:rFonts w:ascii="Times New Roman" w:hAnsi="Times New Roman" w:cs="Times New Roman"/>
        </w:rPr>
        <w:footnoteReference w:id="8"/>
      </w:r>
      <w:r w:rsidR="00F31FF1">
        <w:rPr>
          <w:rFonts w:ascii="Times New Roman" w:hAnsi="Times New Roman" w:cs="Times New Roman"/>
        </w:rPr>
        <w:t>,</w:t>
      </w:r>
      <w:r w:rsidRPr="00550C35">
        <w:rPr>
          <w:rFonts w:ascii="Times New Roman" w:hAnsi="Times New Roman" w:cs="Times New Roman"/>
          <w:i/>
        </w:rPr>
        <w:t xml:space="preserve"> </w:t>
      </w:r>
      <w:r w:rsidRPr="00550C35">
        <w:rPr>
          <w:rFonts w:ascii="Times New Roman" w:hAnsi="Times New Roman" w:cs="Times New Roman"/>
        </w:rPr>
        <w:t xml:space="preserve">by allowing contribution between </w:t>
      </w:r>
      <w:r w:rsidRPr="00550C35">
        <w:rPr>
          <w:rFonts w:ascii="Times New Roman" w:hAnsi="Times New Roman" w:cs="Times New Roman"/>
          <w:i/>
        </w:rPr>
        <w:t xml:space="preserve">consecutive </w:t>
      </w:r>
      <w:r w:rsidRPr="00550C35">
        <w:rPr>
          <w:rFonts w:ascii="Times New Roman" w:hAnsi="Times New Roman" w:cs="Times New Roman"/>
        </w:rPr>
        <w:t xml:space="preserve">insurers on an entirely novel </w:t>
      </w:r>
      <w:r w:rsidR="00F31FF1">
        <w:rPr>
          <w:rFonts w:ascii="Times New Roman" w:hAnsi="Times New Roman" w:cs="Times New Roman"/>
        </w:rPr>
        <w:t>‘</w:t>
      </w:r>
      <w:r w:rsidRPr="00550C35">
        <w:rPr>
          <w:rFonts w:ascii="Times New Roman" w:hAnsi="Times New Roman" w:cs="Times New Roman"/>
        </w:rPr>
        <w:t>time on risk</w:t>
      </w:r>
      <w:r w:rsidR="00F31FF1">
        <w:rPr>
          <w:rFonts w:ascii="Times New Roman" w:hAnsi="Times New Roman" w:cs="Times New Roman"/>
        </w:rPr>
        <w:t>’</w:t>
      </w:r>
      <w:r w:rsidRPr="00550C35">
        <w:rPr>
          <w:rFonts w:ascii="Times New Roman" w:hAnsi="Times New Roman" w:cs="Times New Roman"/>
        </w:rPr>
        <w:t xml:space="preserve"> rather than the established </w:t>
      </w:r>
      <w:r w:rsidR="00F31FF1">
        <w:rPr>
          <w:rFonts w:ascii="Times New Roman" w:hAnsi="Times New Roman" w:cs="Times New Roman"/>
        </w:rPr>
        <w:t>‘</w:t>
      </w:r>
      <w:r w:rsidRPr="00550C35">
        <w:rPr>
          <w:rFonts w:ascii="Times New Roman" w:hAnsi="Times New Roman" w:cs="Times New Roman"/>
        </w:rPr>
        <w:t>independent liability</w:t>
      </w:r>
      <w:r w:rsidR="00F31FF1">
        <w:rPr>
          <w:rFonts w:ascii="Times New Roman" w:hAnsi="Times New Roman" w:cs="Times New Roman"/>
        </w:rPr>
        <w:t>’</w:t>
      </w:r>
      <w:r w:rsidRPr="00550C35">
        <w:rPr>
          <w:rFonts w:ascii="Times New Roman" w:hAnsi="Times New Roman" w:cs="Times New Roman"/>
        </w:rPr>
        <w:t xml:space="preserve"> basis.</w:t>
      </w:r>
      <w:r w:rsidRPr="00550C35">
        <w:rPr>
          <w:rStyle w:val="FootnoteReference"/>
          <w:rFonts w:ascii="Times New Roman" w:hAnsi="Times New Roman" w:cs="Times New Roman"/>
        </w:rPr>
        <w:footnoteReference w:id="9"/>
      </w:r>
      <w:r w:rsidRPr="00550C35">
        <w:rPr>
          <w:rFonts w:ascii="Times New Roman" w:hAnsi="Times New Roman" w:cs="Times New Roman"/>
        </w:rPr>
        <w:t xml:space="preserve"> It is apparent that, had conventional contribution been applied, an insurer on risk for one year but nevertheless facing 100% liability for mesothelioma claims based on exposures in that year would have been required to contribute 50% to an insurer on risk for 20 years of exposure and similarly facing 100% liability.</w:t>
      </w:r>
    </w:p>
    <w:p w14:paraId="3A4F68F5"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7502C994" w14:textId="351583B3"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lastRenderedPageBreak/>
        <w:t xml:space="preserve">We do not argue that, but for </w:t>
      </w:r>
      <w:r w:rsidRPr="00550C35">
        <w:rPr>
          <w:rFonts w:ascii="Times New Roman" w:hAnsi="Times New Roman" w:cs="Times New Roman"/>
          <w:i/>
        </w:rPr>
        <w:t>Fairchild</w:t>
      </w:r>
      <w:r w:rsidRPr="00550C35">
        <w:rPr>
          <w:rFonts w:ascii="Times New Roman" w:hAnsi="Times New Roman" w:cs="Times New Roman"/>
        </w:rPr>
        <w:t xml:space="preserve">, none of this would have happened. To the contrary, the argument developed in what follows is that the problem was latent and indeed would have arisen independently of </w:t>
      </w:r>
      <w:r w:rsidRPr="00550C35">
        <w:rPr>
          <w:rFonts w:ascii="Times New Roman" w:hAnsi="Times New Roman" w:cs="Times New Roman"/>
          <w:i/>
        </w:rPr>
        <w:t>Fairchild.</w:t>
      </w:r>
      <w:r w:rsidRPr="00550C35">
        <w:rPr>
          <w:rFonts w:ascii="Times New Roman" w:hAnsi="Times New Roman" w:cs="Times New Roman"/>
        </w:rPr>
        <w:t xml:space="preserve"> Neither do we argue that proportionality is a better reflection of a particular defendant’s ‘share’ of responsibility. Rather, we see proportionality in the </w:t>
      </w:r>
      <w:r w:rsidRPr="00550C35">
        <w:rPr>
          <w:rFonts w:ascii="Times New Roman" w:hAnsi="Times New Roman" w:cs="Times New Roman"/>
          <w:i/>
        </w:rPr>
        <w:t xml:space="preserve">Fairchild </w:t>
      </w:r>
      <w:r w:rsidRPr="00550C35">
        <w:rPr>
          <w:rFonts w:ascii="Times New Roman" w:hAnsi="Times New Roman" w:cs="Times New Roman"/>
        </w:rPr>
        <w:t xml:space="preserve">scenario as indicating a set of rough and ready practical solutions to a range of practical difficulties which faced not only tort law, but also the underlying insurance arrangements. Our view is that, for both tort and insurance law, </w:t>
      </w:r>
      <w:r w:rsidR="00762C4D" w:rsidRPr="00550C35">
        <w:rPr>
          <w:rFonts w:ascii="Times New Roman" w:hAnsi="Times New Roman" w:cs="Times New Roman"/>
        </w:rPr>
        <w:t xml:space="preserve">a solution resembling </w:t>
      </w:r>
      <w:r w:rsidRPr="00550C35">
        <w:rPr>
          <w:rFonts w:ascii="Times New Roman" w:hAnsi="Times New Roman" w:cs="Times New Roman"/>
          <w:i/>
        </w:rPr>
        <w:t xml:space="preserve">Fairchild </w:t>
      </w:r>
      <w:r w:rsidR="00523CFE" w:rsidRPr="00550C35">
        <w:rPr>
          <w:rFonts w:ascii="Times New Roman" w:hAnsi="Times New Roman" w:cs="Times New Roman"/>
        </w:rPr>
        <w:t xml:space="preserve">in one form or another </w:t>
      </w:r>
      <w:r w:rsidR="0061782D">
        <w:rPr>
          <w:rFonts w:ascii="Times New Roman" w:hAnsi="Times New Roman" w:cs="Times New Roman"/>
        </w:rPr>
        <w:t>–</w:t>
      </w:r>
      <w:r w:rsidR="00762C4D" w:rsidRPr="00550C35">
        <w:rPr>
          <w:rFonts w:ascii="Times New Roman" w:hAnsi="Times New Roman" w:cs="Times New Roman"/>
        </w:rPr>
        <w:t xml:space="preserve"> in which proportional liability was effected either through the adaptation of tort law itself, or through the creation of full liability with contribution </w:t>
      </w:r>
      <w:r w:rsidR="0061782D">
        <w:rPr>
          <w:rFonts w:ascii="Times New Roman" w:hAnsi="Times New Roman" w:cs="Times New Roman"/>
        </w:rPr>
        <w:t>–</w:t>
      </w:r>
      <w:r w:rsidR="00762C4D" w:rsidRPr="00550C35">
        <w:rPr>
          <w:rFonts w:ascii="Times New Roman" w:hAnsi="Times New Roman" w:cs="Times New Roman"/>
        </w:rPr>
        <w:t xml:space="preserve"> </w:t>
      </w:r>
      <w:r w:rsidRPr="00550C35">
        <w:rPr>
          <w:rFonts w:ascii="Times New Roman" w:hAnsi="Times New Roman" w:cs="Times New Roman"/>
        </w:rPr>
        <w:t>was more or less necessary because the problems with which the decision deals are real problems</w:t>
      </w:r>
      <w:r w:rsidR="00762C4D" w:rsidRPr="00550C35">
        <w:rPr>
          <w:rFonts w:ascii="Times New Roman" w:hAnsi="Times New Roman" w:cs="Times New Roman"/>
        </w:rPr>
        <w:t xml:space="preserve"> and not confined to one partic</w:t>
      </w:r>
      <w:r w:rsidR="007E6ED8" w:rsidRPr="00550C35">
        <w:rPr>
          <w:rFonts w:ascii="Times New Roman" w:hAnsi="Times New Roman" w:cs="Times New Roman"/>
        </w:rPr>
        <w:t>ular</w:t>
      </w:r>
      <w:r w:rsidR="00762C4D" w:rsidRPr="00550C35">
        <w:rPr>
          <w:rFonts w:ascii="Times New Roman" w:hAnsi="Times New Roman" w:cs="Times New Roman"/>
        </w:rPr>
        <w:t xml:space="preserve"> social and political </w:t>
      </w:r>
      <w:r w:rsidR="007E6ED8" w:rsidRPr="00550C35">
        <w:rPr>
          <w:rFonts w:ascii="Times New Roman" w:hAnsi="Times New Roman" w:cs="Times New Roman"/>
        </w:rPr>
        <w:t>issue</w:t>
      </w:r>
      <w:r w:rsidRPr="00550C35">
        <w:rPr>
          <w:rFonts w:ascii="Times New Roman" w:hAnsi="Times New Roman" w:cs="Times New Roman"/>
        </w:rPr>
        <w:t>.</w:t>
      </w:r>
      <w:r w:rsidRPr="00550C35">
        <w:rPr>
          <w:rStyle w:val="FootnoteReference"/>
          <w:rFonts w:ascii="Times New Roman" w:hAnsi="Times New Roman" w:cs="Times New Roman"/>
        </w:rPr>
        <w:footnoteReference w:id="10"/>
      </w:r>
      <w:r w:rsidR="006C6551" w:rsidRPr="00550C35">
        <w:rPr>
          <w:rFonts w:ascii="Times New Roman" w:hAnsi="Times New Roman" w:cs="Times New Roman"/>
        </w:rPr>
        <w:t xml:space="preserve"> Strong though the </w:t>
      </w:r>
      <w:r w:rsidR="004D12FC" w:rsidRPr="00550C35">
        <w:rPr>
          <w:rFonts w:ascii="Times New Roman" w:hAnsi="Times New Roman" w:cs="Times New Roman"/>
        </w:rPr>
        <w:t xml:space="preserve">influence of the </w:t>
      </w:r>
      <w:r w:rsidR="006C6551" w:rsidRPr="00550C35">
        <w:rPr>
          <w:rFonts w:ascii="Times New Roman" w:hAnsi="Times New Roman" w:cs="Times New Roman"/>
        </w:rPr>
        <w:t xml:space="preserve">social context </w:t>
      </w:r>
      <w:r w:rsidR="00523CFE" w:rsidRPr="00550C35">
        <w:rPr>
          <w:rFonts w:ascii="Times New Roman" w:hAnsi="Times New Roman" w:cs="Times New Roman"/>
        </w:rPr>
        <w:t xml:space="preserve">of industrial mesothelioma </w:t>
      </w:r>
      <w:r w:rsidR="004D12FC" w:rsidRPr="00550C35">
        <w:rPr>
          <w:rFonts w:ascii="Times New Roman" w:hAnsi="Times New Roman" w:cs="Times New Roman"/>
        </w:rPr>
        <w:t xml:space="preserve">undoubtedly </w:t>
      </w:r>
      <w:r w:rsidR="006C6551" w:rsidRPr="00550C35">
        <w:rPr>
          <w:rFonts w:ascii="Times New Roman" w:hAnsi="Times New Roman" w:cs="Times New Roman"/>
        </w:rPr>
        <w:t>was</w:t>
      </w:r>
      <w:proofErr w:type="gramStart"/>
      <w:r w:rsidR="006C6551" w:rsidRPr="00550C35">
        <w:rPr>
          <w:rFonts w:ascii="Times New Roman" w:hAnsi="Times New Roman" w:cs="Times New Roman"/>
        </w:rPr>
        <w:t>,</w:t>
      </w:r>
      <w:proofErr w:type="gramEnd"/>
      <w:r w:rsidRPr="00550C35">
        <w:rPr>
          <w:rFonts w:ascii="Times New Roman" w:hAnsi="Times New Roman" w:cs="Times New Roman"/>
        </w:rPr>
        <w:t xml:space="preserve"> </w:t>
      </w:r>
      <w:r w:rsidR="006C6551" w:rsidRPr="00550C35">
        <w:rPr>
          <w:rFonts w:ascii="Times New Roman" w:hAnsi="Times New Roman" w:cs="Times New Roman"/>
          <w:i/>
        </w:rPr>
        <w:t>Fairchild</w:t>
      </w:r>
      <w:r w:rsidR="006C6551" w:rsidRPr="00550C35">
        <w:rPr>
          <w:rFonts w:ascii="Times New Roman" w:hAnsi="Times New Roman" w:cs="Times New Roman"/>
        </w:rPr>
        <w:t xml:space="preserve"> is not to be dismissed as a </w:t>
      </w:r>
      <w:r w:rsidR="00523CFE" w:rsidRPr="00550C35">
        <w:rPr>
          <w:rFonts w:ascii="Times New Roman" w:hAnsi="Times New Roman" w:cs="Times New Roman"/>
        </w:rPr>
        <w:t>one-off</w:t>
      </w:r>
      <w:r w:rsidR="006C6551" w:rsidRPr="00550C35">
        <w:rPr>
          <w:rFonts w:ascii="Times New Roman" w:hAnsi="Times New Roman" w:cs="Times New Roman"/>
        </w:rPr>
        <w:t xml:space="preserve"> reaction to a particular social problem.</w:t>
      </w:r>
    </w:p>
    <w:p w14:paraId="500122BB"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r w:rsidR="0062193D" w:rsidRPr="00550C35">
        <w:rPr>
          <w:rFonts w:ascii="Times New Roman" w:hAnsi="Times New Roman" w:cs="Times New Roman"/>
        </w:rPr>
        <w:t xml:space="preserve"> </w:t>
      </w:r>
    </w:p>
    <w:p w14:paraId="06FC3585" w14:textId="42B025FD"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Given that </w:t>
      </w:r>
      <w:r w:rsidRPr="00550C35">
        <w:rPr>
          <w:rFonts w:ascii="Times New Roman" w:hAnsi="Times New Roman" w:cs="Times New Roman"/>
          <w:i/>
        </w:rPr>
        <w:t xml:space="preserve">Fairchild </w:t>
      </w:r>
      <w:r w:rsidRPr="00550C35">
        <w:rPr>
          <w:rFonts w:ascii="Times New Roman" w:hAnsi="Times New Roman" w:cs="Times New Roman"/>
        </w:rPr>
        <w:t xml:space="preserve">has taken us into new territory, the real question is exactly how far </w:t>
      </w:r>
      <w:r w:rsidRPr="00550C35">
        <w:rPr>
          <w:rFonts w:ascii="Times New Roman" w:hAnsi="Times New Roman" w:cs="Times New Roman"/>
          <w:i/>
        </w:rPr>
        <w:t xml:space="preserve">Fairchild </w:t>
      </w:r>
      <w:r w:rsidRPr="00550C35">
        <w:rPr>
          <w:rFonts w:ascii="Times New Roman" w:hAnsi="Times New Roman" w:cs="Times New Roman"/>
        </w:rPr>
        <w:t>is going to lead.</w:t>
      </w:r>
      <w:r w:rsidRPr="00550C35">
        <w:rPr>
          <w:rFonts w:ascii="Times New Roman" w:hAnsi="Times New Roman" w:cs="Times New Roman"/>
          <w:i/>
        </w:rPr>
        <w:t xml:space="preserve"> </w:t>
      </w:r>
      <w:r w:rsidRPr="00550C35">
        <w:rPr>
          <w:rFonts w:ascii="Times New Roman" w:hAnsi="Times New Roman" w:cs="Times New Roman"/>
        </w:rPr>
        <w:t xml:space="preserve">Much ink has been spilt over the shock that </w:t>
      </w:r>
      <w:r w:rsidRPr="00550C35">
        <w:rPr>
          <w:rFonts w:ascii="Times New Roman" w:hAnsi="Times New Roman" w:cs="Times New Roman"/>
          <w:i/>
        </w:rPr>
        <w:t xml:space="preserve">Fairchild </w:t>
      </w:r>
      <w:r w:rsidRPr="00550C35">
        <w:rPr>
          <w:rFonts w:ascii="Times New Roman" w:hAnsi="Times New Roman" w:cs="Times New Roman"/>
        </w:rPr>
        <w:t xml:space="preserve">has created in the English law of tort, one that many advocate should be confined as closely as possible to the </w:t>
      </w:r>
      <w:r w:rsidR="00F31FF1">
        <w:rPr>
          <w:rFonts w:ascii="Times New Roman" w:hAnsi="Times New Roman" w:cs="Times New Roman"/>
        </w:rPr>
        <w:t>‘</w:t>
      </w:r>
      <w:r w:rsidRPr="00550C35">
        <w:rPr>
          <w:rFonts w:ascii="Times New Roman" w:hAnsi="Times New Roman" w:cs="Times New Roman"/>
        </w:rPr>
        <w:t>enclave</w:t>
      </w:r>
      <w:r w:rsidR="00F31FF1">
        <w:rPr>
          <w:rFonts w:ascii="Times New Roman" w:hAnsi="Times New Roman" w:cs="Times New Roman"/>
        </w:rPr>
        <w:t>’</w:t>
      </w:r>
      <w:r w:rsidRPr="00550C35">
        <w:rPr>
          <w:rFonts w:ascii="Times New Roman" w:hAnsi="Times New Roman" w:cs="Times New Roman"/>
        </w:rPr>
        <w:t xml:space="preserve"> of mesothelioma, the fatal disease with which it dealt</w:t>
      </w:r>
      <w:r w:rsidR="00620076" w:rsidRPr="00550C35">
        <w:rPr>
          <w:rFonts w:ascii="Times New Roman" w:hAnsi="Times New Roman" w:cs="Times New Roman"/>
        </w:rPr>
        <w:t xml:space="preserve">: this </w:t>
      </w:r>
      <w:r w:rsidR="00523CFE" w:rsidRPr="00550C35">
        <w:rPr>
          <w:rFonts w:ascii="Times New Roman" w:hAnsi="Times New Roman" w:cs="Times New Roman"/>
        </w:rPr>
        <w:t xml:space="preserve">often builds on an </w:t>
      </w:r>
      <w:r w:rsidR="00620076" w:rsidRPr="00550C35">
        <w:rPr>
          <w:rFonts w:ascii="Times New Roman" w:hAnsi="Times New Roman" w:cs="Times New Roman"/>
        </w:rPr>
        <w:t>argument that it is best seen as dealing with a particular social problem</w:t>
      </w:r>
      <w:r w:rsidRPr="00550C35">
        <w:rPr>
          <w:rFonts w:ascii="Times New Roman" w:hAnsi="Times New Roman" w:cs="Times New Roman"/>
        </w:rPr>
        <w:t>.</w:t>
      </w:r>
      <w:r w:rsidR="00523CFE" w:rsidRPr="00550C35">
        <w:rPr>
          <w:rStyle w:val="FootnoteReference"/>
          <w:rFonts w:ascii="Times New Roman" w:hAnsi="Times New Roman" w:cs="Times New Roman"/>
        </w:rPr>
        <w:footnoteReference w:id="11"/>
      </w:r>
      <w:r w:rsidRPr="00550C35">
        <w:rPr>
          <w:rFonts w:ascii="Times New Roman" w:hAnsi="Times New Roman" w:cs="Times New Roman"/>
        </w:rPr>
        <w:t xml:space="preserve"> Similarly, on the face of things</w:t>
      </w:r>
      <w:r w:rsidR="0061782D">
        <w:rPr>
          <w:rFonts w:ascii="Times New Roman" w:hAnsi="Times New Roman" w:cs="Times New Roman"/>
        </w:rPr>
        <w:t>,</w:t>
      </w:r>
      <w:r w:rsidRPr="00550C35">
        <w:rPr>
          <w:rFonts w:ascii="Times New Roman" w:hAnsi="Times New Roman" w:cs="Times New Roman"/>
        </w:rPr>
        <w:t xml:space="preserve"> the principles laid down in the authorities on consequential insurance claims arising out of the </w:t>
      </w:r>
      <w:r w:rsidRPr="00550C35">
        <w:rPr>
          <w:rFonts w:ascii="Times New Roman" w:hAnsi="Times New Roman" w:cs="Times New Roman"/>
          <w:i/>
        </w:rPr>
        <w:t xml:space="preserve">Fairchild </w:t>
      </w:r>
      <w:r w:rsidRPr="00550C35">
        <w:rPr>
          <w:rFonts w:ascii="Times New Roman" w:hAnsi="Times New Roman" w:cs="Times New Roman"/>
        </w:rPr>
        <w:t xml:space="preserve">ruling are limited to that context. </w:t>
      </w:r>
      <w:r w:rsidRPr="00550C35">
        <w:rPr>
          <w:rFonts w:ascii="Times New Roman" w:hAnsi="Times New Roman" w:cs="Times New Roman"/>
          <w:lang w:val="en-US"/>
        </w:rPr>
        <w:t xml:space="preserve">Earlier authority on the liability of insurers for exposure claims had reached the </w:t>
      </w:r>
      <w:r w:rsidR="00F31FF1">
        <w:rPr>
          <w:rFonts w:ascii="Times New Roman" w:hAnsi="Times New Roman" w:cs="Times New Roman"/>
          <w:lang w:val="en-US"/>
        </w:rPr>
        <w:t>‘</w:t>
      </w:r>
      <w:r w:rsidRPr="00550C35">
        <w:rPr>
          <w:rFonts w:ascii="Times New Roman" w:hAnsi="Times New Roman" w:cs="Times New Roman"/>
          <w:lang w:val="en-US"/>
        </w:rPr>
        <w:t>date of injury</w:t>
      </w:r>
      <w:r w:rsidR="00F31FF1">
        <w:rPr>
          <w:rFonts w:ascii="Times New Roman" w:hAnsi="Times New Roman" w:cs="Times New Roman"/>
          <w:lang w:val="en-US"/>
        </w:rPr>
        <w:t>’</w:t>
      </w:r>
      <w:r w:rsidRPr="00550C35">
        <w:rPr>
          <w:rFonts w:ascii="Times New Roman" w:hAnsi="Times New Roman" w:cs="Times New Roman"/>
          <w:lang w:val="en-US"/>
        </w:rPr>
        <w:t xml:space="preserve"> solution for exposure injuries in the context of public liability insurance: </w:t>
      </w:r>
      <w:r w:rsidRPr="00550C35">
        <w:rPr>
          <w:rFonts w:ascii="Times New Roman" w:hAnsi="Times New Roman" w:cs="Times New Roman"/>
          <w:i/>
          <w:lang w:val="en-US"/>
        </w:rPr>
        <w:t xml:space="preserve">Bolton </w:t>
      </w:r>
      <w:r w:rsidR="00A53299" w:rsidRPr="00550C35">
        <w:rPr>
          <w:rFonts w:ascii="Times New Roman" w:hAnsi="Times New Roman" w:cs="Times New Roman"/>
          <w:i/>
          <w:lang w:val="en-US"/>
        </w:rPr>
        <w:t xml:space="preserve">Metropolitan Borough Council </w:t>
      </w:r>
      <w:r w:rsidRPr="00550C35">
        <w:rPr>
          <w:rFonts w:ascii="Times New Roman" w:hAnsi="Times New Roman" w:cs="Times New Roman"/>
          <w:i/>
          <w:lang w:val="en-US"/>
        </w:rPr>
        <w:t>v M</w:t>
      </w:r>
      <w:r w:rsidR="00A53299" w:rsidRPr="00550C35">
        <w:rPr>
          <w:rFonts w:ascii="Times New Roman" w:hAnsi="Times New Roman" w:cs="Times New Roman"/>
          <w:i/>
          <w:lang w:val="en-US"/>
        </w:rPr>
        <w:t xml:space="preserve">unicipal </w:t>
      </w:r>
      <w:r w:rsidRPr="00550C35">
        <w:rPr>
          <w:rFonts w:ascii="Times New Roman" w:hAnsi="Times New Roman" w:cs="Times New Roman"/>
          <w:i/>
          <w:lang w:val="en-US"/>
        </w:rPr>
        <w:t>M</w:t>
      </w:r>
      <w:r w:rsidR="00A53299" w:rsidRPr="00550C35">
        <w:rPr>
          <w:rFonts w:ascii="Times New Roman" w:hAnsi="Times New Roman" w:cs="Times New Roman"/>
          <w:i/>
          <w:lang w:val="en-US"/>
        </w:rPr>
        <w:t xml:space="preserve">utual </w:t>
      </w:r>
      <w:r w:rsidRPr="00550C35">
        <w:rPr>
          <w:rFonts w:ascii="Times New Roman" w:hAnsi="Times New Roman" w:cs="Times New Roman"/>
          <w:i/>
          <w:lang w:val="en-US"/>
        </w:rPr>
        <w:t>I</w:t>
      </w:r>
      <w:r w:rsidR="00A53299" w:rsidRPr="00550C35">
        <w:rPr>
          <w:rFonts w:ascii="Times New Roman" w:hAnsi="Times New Roman" w:cs="Times New Roman"/>
          <w:i/>
          <w:lang w:val="en-US"/>
        </w:rPr>
        <w:t>nsurance Ltd</w:t>
      </w:r>
      <w:r w:rsidRPr="00550C35">
        <w:rPr>
          <w:rFonts w:ascii="Times New Roman" w:hAnsi="Times New Roman" w:cs="Times New Roman"/>
          <w:lang w:val="en-US"/>
        </w:rPr>
        <w:t>.</w:t>
      </w:r>
      <w:r w:rsidRPr="00550C35">
        <w:rPr>
          <w:rStyle w:val="FootnoteReference"/>
          <w:rFonts w:ascii="Times New Roman" w:hAnsi="Times New Roman" w:cs="Times New Roman"/>
          <w:lang w:val="en-US"/>
        </w:rPr>
        <w:footnoteReference w:id="12"/>
      </w:r>
      <w:r w:rsidRPr="00550C35">
        <w:rPr>
          <w:rFonts w:ascii="Times New Roman" w:hAnsi="Times New Roman" w:cs="Times New Roman"/>
          <w:lang w:val="en-US"/>
        </w:rPr>
        <w:t xml:space="preserve"> It is an open secret that the</w:t>
      </w:r>
      <w:r w:rsidR="00B57321" w:rsidRPr="00550C35">
        <w:rPr>
          <w:rFonts w:ascii="Times New Roman" w:hAnsi="Times New Roman" w:cs="Times New Roman"/>
          <w:lang w:val="en-US"/>
        </w:rPr>
        <w:t xml:space="preserve"> claim in</w:t>
      </w:r>
      <w:r w:rsidRPr="00550C35">
        <w:rPr>
          <w:rFonts w:ascii="Times New Roman" w:hAnsi="Times New Roman" w:cs="Times New Roman"/>
          <w:lang w:val="en-US"/>
        </w:rPr>
        <w:t xml:space="preserve"> </w:t>
      </w:r>
      <w:r w:rsidRPr="00550C35">
        <w:rPr>
          <w:rFonts w:ascii="Times New Roman" w:hAnsi="Times New Roman" w:cs="Times New Roman"/>
          <w:i/>
          <w:lang w:val="en-US"/>
        </w:rPr>
        <w:t xml:space="preserve">Bolton </w:t>
      </w:r>
      <w:r w:rsidRPr="00550C35">
        <w:rPr>
          <w:rFonts w:ascii="Times New Roman" w:hAnsi="Times New Roman" w:cs="Times New Roman"/>
          <w:lang w:val="en-US"/>
        </w:rPr>
        <w:t xml:space="preserve">was designed as a </w:t>
      </w:r>
      <w:r w:rsidRPr="00550C35">
        <w:rPr>
          <w:rFonts w:ascii="Times New Roman" w:hAnsi="Times New Roman" w:cs="Times New Roman"/>
          <w:lang w:val="en-US"/>
        </w:rPr>
        <w:lastRenderedPageBreak/>
        <w:t>stalking horse for the many thousands of similarly</w:t>
      </w:r>
      <w:r w:rsidR="0061782D">
        <w:rPr>
          <w:rFonts w:ascii="Times New Roman" w:hAnsi="Times New Roman" w:cs="Times New Roman"/>
          <w:lang w:val="en-US"/>
        </w:rPr>
        <w:t>-</w:t>
      </w:r>
      <w:r w:rsidRPr="00550C35">
        <w:rPr>
          <w:rFonts w:ascii="Times New Roman" w:hAnsi="Times New Roman" w:cs="Times New Roman"/>
          <w:lang w:val="en-US"/>
        </w:rPr>
        <w:t xml:space="preserve">worded employers liability policies, and the extension of </w:t>
      </w:r>
      <w:r w:rsidRPr="00550C35">
        <w:rPr>
          <w:rFonts w:ascii="Times New Roman" w:hAnsi="Times New Roman" w:cs="Times New Roman"/>
          <w:i/>
          <w:lang w:val="en-US"/>
        </w:rPr>
        <w:t xml:space="preserve">Bolton </w:t>
      </w:r>
      <w:r w:rsidRPr="00550C35">
        <w:rPr>
          <w:rFonts w:ascii="Times New Roman" w:hAnsi="Times New Roman" w:cs="Times New Roman"/>
          <w:lang w:val="en-US"/>
        </w:rPr>
        <w:t xml:space="preserve">to such policies would have removed virtually all insurance liability, given that cover would then have existed only for injuries suffered in the policy year by </w:t>
      </w:r>
      <w:r w:rsidRPr="00550C35">
        <w:rPr>
          <w:rFonts w:ascii="Times New Roman" w:hAnsi="Times New Roman" w:cs="Times New Roman"/>
          <w:i/>
          <w:lang w:val="en-US"/>
        </w:rPr>
        <w:t>current</w:t>
      </w:r>
      <w:r w:rsidRPr="00550C35">
        <w:rPr>
          <w:rFonts w:ascii="Times New Roman" w:hAnsi="Times New Roman" w:cs="Times New Roman"/>
          <w:lang w:val="en-US"/>
        </w:rPr>
        <w:t xml:space="preserve"> employees and not ex-employees. The outcome in </w:t>
      </w:r>
      <w:r w:rsidRPr="00550C35">
        <w:rPr>
          <w:rFonts w:ascii="Times New Roman" w:hAnsi="Times New Roman" w:cs="Times New Roman"/>
          <w:i/>
          <w:lang w:val="en-US"/>
        </w:rPr>
        <w:t xml:space="preserve">Durham </w:t>
      </w:r>
      <w:r w:rsidRPr="00550C35">
        <w:rPr>
          <w:rFonts w:ascii="Times New Roman" w:hAnsi="Times New Roman" w:cs="Times New Roman"/>
          <w:lang w:val="en-US"/>
        </w:rPr>
        <w:t xml:space="preserve">was a major shock to the small number of insurers who faced long-tail liability under </w:t>
      </w:r>
      <w:proofErr w:type="gramStart"/>
      <w:r w:rsidRPr="00550C35">
        <w:rPr>
          <w:rFonts w:ascii="Times New Roman" w:hAnsi="Times New Roman" w:cs="Times New Roman"/>
          <w:lang w:val="en-US"/>
        </w:rPr>
        <w:t>employers</w:t>
      </w:r>
      <w:proofErr w:type="gramEnd"/>
      <w:r w:rsidRPr="00550C35">
        <w:rPr>
          <w:rFonts w:ascii="Times New Roman" w:hAnsi="Times New Roman" w:cs="Times New Roman"/>
          <w:lang w:val="en-US"/>
        </w:rPr>
        <w:t xml:space="preserve"> liability policies in force up to 40 years earlier.  It is to be stressed that </w:t>
      </w:r>
      <w:r w:rsidRPr="00550C35">
        <w:rPr>
          <w:rFonts w:ascii="Times New Roman" w:hAnsi="Times New Roman" w:cs="Times New Roman"/>
          <w:i/>
          <w:lang w:val="en-US"/>
        </w:rPr>
        <w:t>Fairchild</w:t>
      </w:r>
      <w:r w:rsidRPr="00550C35">
        <w:rPr>
          <w:rFonts w:ascii="Times New Roman" w:hAnsi="Times New Roman" w:cs="Times New Roman"/>
          <w:lang w:val="en-US"/>
        </w:rPr>
        <w:t xml:space="preserve"> was concerned only with employers liability, and Lord </w:t>
      </w:r>
      <w:proofErr w:type="spellStart"/>
      <w:r w:rsidRPr="00550C35">
        <w:rPr>
          <w:rFonts w:ascii="Times New Roman" w:hAnsi="Times New Roman" w:cs="Times New Roman"/>
          <w:lang w:val="en-US"/>
        </w:rPr>
        <w:t>Mance</w:t>
      </w:r>
      <w:proofErr w:type="spellEnd"/>
      <w:r w:rsidR="0061782D">
        <w:rPr>
          <w:rFonts w:ascii="Times New Roman" w:hAnsi="Times New Roman" w:cs="Times New Roman"/>
          <w:lang w:val="en-US"/>
        </w:rPr>
        <w:t>,</w:t>
      </w:r>
      <w:r w:rsidRPr="00550C35">
        <w:rPr>
          <w:rFonts w:ascii="Times New Roman" w:hAnsi="Times New Roman" w:cs="Times New Roman"/>
          <w:lang w:val="en-US"/>
        </w:rPr>
        <w:t xml:space="preserve"> on the opening of the arguments in </w:t>
      </w:r>
      <w:r w:rsidRPr="00550C35">
        <w:rPr>
          <w:rFonts w:ascii="Times New Roman" w:hAnsi="Times New Roman" w:cs="Times New Roman"/>
          <w:i/>
          <w:lang w:val="en-US"/>
        </w:rPr>
        <w:t>Durham</w:t>
      </w:r>
      <w:r w:rsidR="0061782D">
        <w:rPr>
          <w:rFonts w:ascii="Times New Roman" w:hAnsi="Times New Roman" w:cs="Times New Roman"/>
          <w:i/>
          <w:lang w:val="en-US"/>
        </w:rPr>
        <w:t>,</w:t>
      </w:r>
      <w:r w:rsidRPr="00550C35">
        <w:rPr>
          <w:rFonts w:ascii="Times New Roman" w:hAnsi="Times New Roman" w:cs="Times New Roman"/>
          <w:i/>
          <w:lang w:val="en-US"/>
        </w:rPr>
        <w:t xml:space="preserve"> </w:t>
      </w:r>
      <w:r w:rsidRPr="00550C35">
        <w:rPr>
          <w:rFonts w:ascii="Times New Roman" w:hAnsi="Times New Roman" w:cs="Times New Roman"/>
          <w:lang w:val="en-US"/>
        </w:rPr>
        <w:t xml:space="preserve">expressed some relief that the Supreme Court was not being called upon to consider the correctness of </w:t>
      </w:r>
      <w:r w:rsidRPr="00550C35">
        <w:rPr>
          <w:rFonts w:ascii="Times New Roman" w:hAnsi="Times New Roman" w:cs="Times New Roman"/>
          <w:i/>
          <w:lang w:val="en-US"/>
        </w:rPr>
        <w:t>Bolton</w:t>
      </w:r>
      <w:r w:rsidRPr="00550C35">
        <w:rPr>
          <w:rFonts w:ascii="Times New Roman" w:hAnsi="Times New Roman" w:cs="Times New Roman"/>
          <w:lang w:val="en-US"/>
        </w:rPr>
        <w:t>.</w:t>
      </w:r>
      <w:r w:rsidRPr="00550C35">
        <w:rPr>
          <w:rFonts w:ascii="Times New Roman" w:hAnsi="Times New Roman" w:cs="Times New Roman"/>
        </w:rPr>
        <w:t xml:space="preserve">      </w:t>
      </w:r>
    </w:p>
    <w:p w14:paraId="1023A6B5"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149DE172" w14:textId="19AD24D1" w:rsidR="00B133F6" w:rsidRPr="00550C35" w:rsidRDefault="00B133F6" w:rsidP="00550C35">
      <w:pPr>
        <w:spacing w:line="360" w:lineRule="auto"/>
        <w:ind w:firstLine="720"/>
        <w:jc w:val="both"/>
        <w:rPr>
          <w:rFonts w:ascii="Times New Roman" w:eastAsia="Times New Roman" w:hAnsi="Times New Roman" w:cs="Times New Roman"/>
        </w:rPr>
      </w:pPr>
      <w:r w:rsidRPr="00550C35">
        <w:rPr>
          <w:rFonts w:ascii="Times New Roman" w:eastAsia="Times New Roman" w:hAnsi="Times New Roman" w:cs="Times New Roman"/>
          <w:shd w:val="clear" w:color="auto" w:fill="FFFFFF"/>
        </w:rPr>
        <w:t>It is apparent that the ultimate effect of </w:t>
      </w:r>
      <w:r w:rsidRPr="00550C35">
        <w:rPr>
          <w:rFonts w:ascii="Times New Roman" w:eastAsia="Times New Roman" w:hAnsi="Times New Roman" w:cs="Times New Roman"/>
          <w:i/>
          <w:iCs/>
          <w:shd w:val="clear" w:color="auto" w:fill="FFFFFF"/>
        </w:rPr>
        <w:t>Fairchild </w:t>
      </w:r>
      <w:r w:rsidRPr="00550C35">
        <w:rPr>
          <w:rFonts w:ascii="Times New Roman" w:eastAsia="Times New Roman" w:hAnsi="Times New Roman" w:cs="Times New Roman"/>
          <w:shd w:val="clear" w:color="auto" w:fill="FFFFFF"/>
        </w:rPr>
        <w:t xml:space="preserve">has been to adopt an approach under which rough proportionality was substituted for </w:t>
      </w:r>
      <w:r w:rsidR="00B57321" w:rsidRPr="00550C35">
        <w:rPr>
          <w:rFonts w:ascii="Times New Roman" w:eastAsia="Times New Roman" w:hAnsi="Times New Roman" w:cs="Times New Roman"/>
          <w:shd w:val="clear" w:color="auto" w:fill="FFFFFF"/>
        </w:rPr>
        <w:t xml:space="preserve">established principles of </w:t>
      </w:r>
      <w:r w:rsidRPr="00550C35">
        <w:rPr>
          <w:rFonts w:ascii="Times New Roman" w:eastAsia="Times New Roman" w:hAnsi="Times New Roman" w:cs="Times New Roman"/>
          <w:shd w:val="clear" w:color="auto" w:fill="FFFFFF"/>
        </w:rPr>
        <w:t xml:space="preserve">causation where proof of nexus between the negligence of </w:t>
      </w:r>
      <w:r w:rsidR="002214A0" w:rsidRPr="00550C35">
        <w:rPr>
          <w:rFonts w:ascii="Times New Roman" w:eastAsia="Times New Roman" w:hAnsi="Times New Roman" w:cs="Times New Roman"/>
          <w:shd w:val="clear" w:color="auto" w:fill="FFFFFF"/>
        </w:rPr>
        <w:t xml:space="preserve">any one among </w:t>
      </w:r>
      <w:r w:rsidRPr="00550C35">
        <w:rPr>
          <w:rFonts w:ascii="Times New Roman" w:eastAsia="Times New Roman" w:hAnsi="Times New Roman" w:cs="Times New Roman"/>
          <w:shd w:val="clear" w:color="auto" w:fill="FFFFFF"/>
        </w:rPr>
        <w:t xml:space="preserve">a group of potential defendants, and injuries later suffered, was </w:t>
      </w:r>
      <w:proofErr w:type="gramStart"/>
      <w:r w:rsidRPr="00550C35">
        <w:rPr>
          <w:rFonts w:ascii="Times New Roman" w:eastAsia="Times New Roman" w:hAnsi="Times New Roman" w:cs="Times New Roman"/>
          <w:shd w:val="clear" w:color="auto" w:fill="FFFFFF"/>
        </w:rPr>
        <w:t>an</w:t>
      </w:r>
      <w:r w:rsidR="007F0E1B" w:rsidRPr="00550C35">
        <w:rPr>
          <w:rFonts w:ascii="Times New Roman" w:eastAsia="Times New Roman" w:hAnsi="Times New Roman" w:cs="Times New Roman"/>
          <w:shd w:val="clear" w:color="auto" w:fill="FFFFFF"/>
        </w:rPr>
        <w:t xml:space="preserve"> </w:t>
      </w:r>
      <w:r w:rsidRPr="00550C35">
        <w:rPr>
          <w:rFonts w:ascii="Times New Roman" w:eastAsia="Times New Roman" w:hAnsi="Times New Roman" w:cs="Times New Roman"/>
          <w:shd w:val="clear" w:color="auto" w:fill="FFFFFF"/>
        </w:rPr>
        <w:t>impossibility</w:t>
      </w:r>
      <w:proofErr w:type="gramEnd"/>
      <w:r w:rsidRPr="00550C35">
        <w:rPr>
          <w:rFonts w:ascii="Times New Roman" w:eastAsia="Times New Roman" w:hAnsi="Times New Roman" w:cs="Times New Roman"/>
          <w:shd w:val="clear" w:color="auto" w:fill="FFFFFF"/>
        </w:rPr>
        <w:t>.</w:t>
      </w:r>
      <w:r w:rsidR="00B57321" w:rsidRPr="00550C35">
        <w:rPr>
          <w:rStyle w:val="FootnoteReference"/>
          <w:rFonts w:ascii="Times New Roman" w:eastAsia="Times New Roman" w:hAnsi="Times New Roman" w:cs="Times New Roman"/>
          <w:shd w:val="clear" w:color="auto" w:fill="FFFFFF"/>
        </w:rPr>
        <w:footnoteReference w:id="13"/>
      </w:r>
      <w:r w:rsidRPr="00550C35">
        <w:rPr>
          <w:rFonts w:ascii="Times New Roman" w:eastAsia="Times New Roman" w:hAnsi="Times New Roman" w:cs="Times New Roman"/>
          <w:shd w:val="clear" w:color="auto" w:fill="FFFFFF"/>
        </w:rPr>
        <w:t xml:space="preserve"> That then followed through to insurance claims. Could </w:t>
      </w:r>
      <w:r w:rsidRPr="00550C35">
        <w:rPr>
          <w:rFonts w:ascii="Times New Roman" w:eastAsia="Times New Roman" w:hAnsi="Times New Roman" w:cs="Times New Roman"/>
          <w:i/>
          <w:iCs/>
          <w:shd w:val="clear" w:color="auto" w:fill="FFFFFF"/>
        </w:rPr>
        <w:t>Fairchild </w:t>
      </w:r>
      <w:r w:rsidRPr="00550C35">
        <w:rPr>
          <w:rFonts w:ascii="Times New Roman" w:eastAsia="Times New Roman" w:hAnsi="Times New Roman" w:cs="Times New Roman"/>
          <w:shd w:val="clear" w:color="auto" w:fill="FFFFFF"/>
        </w:rPr>
        <w:t xml:space="preserve">become the default outcome in other situations where it is not possible to identify the responsible </w:t>
      </w:r>
      <w:proofErr w:type="spellStart"/>
      <w:r w:rsidRPr="00550C35">
        <w:rPr>
          <w:rFonts w:ascii="Times New Roman" w:eastAsia="Times New Roman" w:hAnsi="Times New Roman" w:cs="Times New Roman"/>
          <w:shd w:val="clear" w:color="auto" w:fill="FFFFFF"/>
        </w:rPr>
        <w:t>tortfeasor</w:t>
      </w:r>
      <w:proofErr w:type="spellEnd"/>
      <w:r w:rsidRPr="00550C35">
        <w:rPr>
          <w:rFonts w:ascii="Times New Roman" w:eastAsia="Times New Roman" w:hAnsi="Times New Roman" w:cs="Times New Roman"/>
          <w:shd w:val="clear" w:color="auto" w:fill="FFFFFF"/>
        </w:rPr>
        <w:t xml:space="preserve"> in a group of </w:t>
      </w:r>
      <w:proofErr w:type="spellStart"/>
      <w:r w:rsidRPr="00550C35">
        <w:rPr>
          <w:rFonts w:ascii="Times New Roman" w:eastAsia="Times New Roman" w:hAnsi="Times New Roman" w:cs="Times New Roman"/>
          <w:shd w:val="clear" w:color="auto" w:fill="FFFFFF"/>
        </w:rPr>
        <w:t>tortfeasors</w:t>
      </w:r>
      <w:proofErr w:type="spellEnd"/>
      <w:r w:rsidRPr="00550C35">
        <w:rPr>
          <w:rFonts w:ascii="Times New Roman" w:eastAsia="Times New Roman" w:hAnsi="Times New Roman" w:cs="Times New Roman"/>
          <w:shd w:val="clear" w:color="auto" w:fill="FFFFFF"/>
        </w:rPr>
        <w:t>? More importantly, could </w:t>
      </w:r>
      <w:r w:rsidRPr="00550C35">
        <w:rPr>
          <w:rFonts w:ascii="Times New Roman" w:eastAsia="Times New Roman" w:hAnsi="Times New Roman" w:cs="Times New Roman"/>
          <w:i/>
          <w:iCs/>
          <w:shd w:val="clear" w:color="auto" w:fill="FFFFFF"/>
        </w:rPr>
        <w:t>Fairchild </w:t>
      </w:r>
      <w:r w:rsidRPr="00550C35">
        <w:rPr>
          <w:rFonts w:ascii="Times New Roman" w:eastAsia="Times New Roman" w:hAnsi="Times New Roman" w:cs="Times New Roman"/>
          <w:shd w:val="clear" w:color="auto" w:fill="FFFFFF"/>
        </w:rPr>
        <w:t xml:space="preserve">become the default solution to impossibility of proof where there is only one potential </w:t>
      </w:r>
      <w:proofErr w:type="spellStart"/>
      <w:r w:rsidRPr="00550C35">
        <w:rPr>
          <w:rFonts w:ascii="Times New Roman" w:eastAsia="Times New Roman" w:hAnsi="Times New Roman" w:cs="Times New Roman"/>
          <w:shd w:val="clear" w:color="auto" w:fill="FFFFFF"/>
        </w:rPr>
        <w:t>tortfeasor</w:t>
      </w:r>
      <w:proofErr w:type="spellEnd"/>
      <w:r w:rsidRPr="00550C35">
        <w:rPr>
          <w:rFonts w:ascii="Times New Roman" w:eastAsia="Times New Roman" w:hAnsi="Times New Roman" w:cs="Times New Roman"/>
          <w:shd w:val="clear" w:color="auto" w:fill="FFFFFF"/>
        </w:rPr>
        <w:t xml:space="preserve"> but there are other potential causes of the loss? </w:t>
      </w:r>
      <w:r w:rsidR="00DB3FC6" w:rsidRPr="00550C35">
        <w:rPr>
          <w:rFonts w:ascii="Times New Roman" w:eastAsia="Times New Roman" w:hAnsi="Times New Roman" w:cs="Times New Roman"/>
          <w:shd w:val="clear" w:color="auto" w:fill="FFFFFF"/>
        </w:rPr>
        <w:t>In either case, what are the parameters of this?</w:t>
      </w:r>
      <w:r w:rsidR="00F72675" w:rsidRPr="00550C35">
        <w:rPr>
          <w:rFonts w:ascii="Times New Roman" w:eastAsia="Times New Roman" w:hAnsi="Times New Roman" w:cs="Times New Roman"/>
          <w:shd w:val="clear" w:color="auto" w:fill="FFFFFF"/>
        </w:rPr>
        <w:t xml:space="preserve"> Pushing things further still</w:t>
      </w:r>
      <w:r w:rsidRPr="00550C35">
        <w:rPr>
          <w:rFonts w:ascii="Times New Roman" w:eastAsia="Times New Roman" w:hAnsi="Times New Roman" w:cs="Times New Roman"/>
          <w:shd w:val="clear" w:color="auto" w:fill="FFFFFF"/>
        </w:rPr>
        <w:t>, could insurance and reinsurance</w:t>
      </w:r>
      <w:r w:rsidR="00A679E1" w:rsidRPr="00550C35">
        <w:rPr>
          <w:rStyle w:val="FootnoteReference"/>
          <w:rFonts w:ascii="Times New Roman" w:eastAsia="Times New Roman" w:hAnsi="Times New Roman" w:cs="Times New Roman"/>
          <w:shd w:val="clear" w:color="auto" w:fill="FFFFFF"/>
        </w:rPr>
        <w:footnoteReference w:id="14"/>
      </w:r>
      <w:r w:rsidRPr="00550C35">
        <w:rPr>
          <w:rFonts w:ascii="Times New Roman" w:eastAsia="Times New Roman" w:hAnsi="Times New Roman" w:cs="Times New Roman"/>
          <w:shd w:val="clear" w:color="auto" w:fill="FFFFFF"/>
        </w:rPr>
        <w:t xml:space="preserve"> claims abandon causation as presently understood and replace it with proportionality, and</w:t>
      </w:r>
      <w:r w:rsidR="0061782D">
        <w:rPr>
          <w:rFonts w:ascii="Times New Roman" w:eastAsia="Times New Roman" w:hAnsi="Times New Roman" w:cs="Times New Roman"/>
          <w:shd w:val="clear" w:color="auto" w:fill="FFFFFF"/>
        </w:rPr>
        <w:t>,</w:t>
      </w:r>
      <w:r w:rsidRPr="00550C35">
        <w:rPr>
          <w:rFonts w:ascii="Times New Roman" w:eastAsia="Times New Roman" w:hAnsi="Times New Roman" w:cs="Times New Roman"/>
          <w:shd w:val="clear" w:color="auto" w:fill="FFFFFF"/>
        </w:rPr>
        <w:t xml:space="preserve"> if so</w:t>
      </w:r>
      <w:r w:rsidR="0061782D">
        <w:rPr>
          <w:rFonts w:ascii="Times New Roman" w:eastAsia="Times New Roman" w:hAnsi="Times New Roman" w:cs="Times New Roman"/>
          <w:shd w:val="clear" w:color="auto" w:fill="FFFFFF"/>
        </w:rPr>
        <w:t>,</w:t>
      </w:r>
      <w:r w:rsidRPr="00550C35">
        <w:rPr>
          <w:rFonts w:ascii="Times New Roman" w:eastAsia="Times New Roman" w:hAnsi="Times New Roman" w:cs="Times New Roman"/>
          <w:shd w:val="clear" w:color="auto" w:fill="FFFFFF"/>
        </w:rPr>
        <w:t xml:space="preserve"> in </w:t>
      </w:r>
      <w:r w:rsidRPr="00550C35">
        <w:rPr>
          <w:rFonts w:ascii="Times New Roman" w:eastAsia="Times New Roman" w:hAnsi="Times New Roman" w:cs="Times New Roman"/>
          <w:shd w:val="clear" w:color="auto" w:fill="FFFFFF"/>
        </w:rPr>
        <w:lastRenderedPageBreak/>
        <w:t>which circumstances?</w:t>
      </w:r>
      <w:r w:rsidR="00B70911" w:rsidRPr="00550C35">
        <w:rPr>
          <w:rStyle w:val="FootnoteReference"/>
          <w:rFonts w:ascii="Times New Roman" w:eastAsia="Times New Roman" w:hAnsi="Times New Roman" w:cs="Times New Roman"/>
          <w:shd w:val="clear" w:color="auto" w:fill="FFFFFF"/>
        </w:rPr>
        <w:footnoteReference w:id="15"/>
      </w:r>
      <w:r w:rsidR="00C06F99" w:rsidRPr="00550C35">
        <w:rPr>
          <w:rFonts w:ascii="Times New Roman" w:eastAsia="Times New Roman" w:hAnsi="Times New Roman" w:cs="Times New Roman"/>
          <w:shd w:val="clear" w:color="auto" w:fill="FFFFFF"/>
        </w:rPr>
        <w:t xml:space="preserve"> </w:t>
      </w:r>
      <w:r w:rsidR="00C06F99" w:rsidRPr="00550C35">
        <w:rPr>
          <w:rFonts w:ascii="Times New Roman" w:hAnsi="Times New Roman" w:cs="Times New Roman"/>
        </w:rPr>
        <w:t>We expand on these points as the chapter proceeds.</w:t>
      </w:r>
      <w:r w:rsidR="0061782D">
        <w:rPr>
          <w:rFonts w:ascii="Times New Roman" w:hAnsi="Times New Roman" w:cs="Times New Roman"/>
        </w:rPr>
        <w:t xml:space="preserve"> In the following section, S</w:t>
      </w:r>
      <w:r w:rsidR="009557DB" w:rsidRPr="00550C35">
        <w:rPr>
          <w:rFonts w:ascii="Times New Roman" w:hAnsi="Times New Roman" w:cs="Times New Roman"/>
        </w:rPr>
        <w:t xml:space="preserve">ection </w:t>
      </w:r>
      <w:r w:rsidR="0061782D">
        <w:rPr>
          <w:rFonts w:ascii="Times New Roman" w:hAnsi="Times New Roman" w:cs="Times New Roman"/>
        </w:rPr>
        <w:t>II</w:t>
      </w:r>
      <w:r w:rsidR="009557DB" w:rsidRPr="00550C35">
        <w:rPr>
          <w:rFonts w:ascii="Times New Roman" w:hAnsi="Times New Roman" w:cs="Times New Roman"/>
        </w:rPr>
        <w:t xml:space="preserve">, we defend </w:t>
      </w:r>
      <w:r w:rsidR="009557DB" w:rsidRPr="00550C35">
        <w:rPr>
          <w:rFonts w:ascii="Times New Roman" w:hAnsi="Times New Roman" w:cs="Times New Roman"/>
          <w:i/>
        </w:rPr>
        <w:t>Fairchild</w:t>
      </w:r>
      <w:r w:rsidR="009557DB" w:rsidRPr="00550C35">
        <w:rPr>
          <w:rFonts w:ascii="Times New Roman" w:hAnsi="Times New Roman" w:cs="Times New Roman"/>
        </w:rPr>
        <w:t xml:space="preserve">, and illustrate that a solution like it would have been needed at the insurance level quite independently of its precedential influence. In </w:t>
      </w:r>
      <w:r w:rsidR="0061782D">
        <w:rPr>
          <w:rFonts w:ascii="Times New Roman" w:hAnsi="Times New Roman" w:cs="Times New Roman"/>
        </w:rPr>
        <w:t>S</w:t>
      </w:r>
      <w:r w:rsidR="009557DB" w:rsidRPr="00550C35">
        <w:rPr>
          <w:rFonts w:ascii="Times New Roman" w:hAnsi="Times New Roman" w:cs="Times New Roman"/>
        </w:rPr>
        <w:t xml:space="preserve">ection </w:t>
      </w:r>
      <w:r w:rsidR="0061782D">
        <w:rPr>
          <w:rFonts w:ascii="Times New Roman" w:hAnsi="Times New Roman" w:cs="Times New Roman"/>
        </w:rPr>
        <w:t>III</w:t>
      </w:r>
      <w:r w:rsidR="009557DB" w:rsidRPr="00550C35">
        <w:rPr>
          <w:rFonts w:ascii="Times New Roman" w:hAnsi="Times New Roman" w:cs="Times New Roman"/>
        </w:rPr>
        <w:t xml:space="preserve">, we explore the potential for </w:t>
      </w:r>
      <w:r w:rsidR="009557DB" w:rsidRPr="00550C35">
        <w:rPr>
          <w:rFonts w:ascii="Times New Roman" w:hAnsi="Times New Roman" w:cs="Times New Roman"/>
          <w:i/>
        </w:rPr>
        <w:t>Fairchild</w:t>
      </w:r>
      <w:r w:rsidR="009557DB" w:rsidRPr="00550C35">
        <w:rPr>
          <w:rFonts w:ascii="Times New Roman" w:hAnsi="Times New Roman" w:cs="Times New Roman"/>
        </w:rPr>
        <w:t>’s influence to expand, showing the way to a range of solutions to the problems we have just indicated.</w:t>
      </w:r>
    </w:p>
    <w:p w14:paraId="07DE99C0" w14:textId="24A912E5"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01BD0B3C" w14:textId="77777777" w:rsidR="00B133F6" w:rsidRPr="00550C35" w:rsidRDefault="00B133F6" w:rsidP="00550C35">
      <w:pPr>
        <w:spacing w:line="360" w:lineRule="auto"/>
        <w:jc w:val="both"/>
        <w:rPr>
          <w:rFonts w:ascii="Times New Roman" w:hAnsi="Times New Roman" w:cs="Times New Roman"/>
          <w:b/>
        </w:rPr>
      </w:pPr>
    </w:p>
    <w:p w14:paraId="4C649DEA" w14:textId="769C47B3" w:rsidR="00B133F6" w:rsidRPr="00550C35" w:rsidRDefault="00550C35" w:rsidP="00550C35">
      <w:pPr>
        <w:spacing w:line="360" w:lineRule="auto"/>
        <w:jc w:val="center"/>
        <w:rPr>
          <w:rFonts w:ascii="Times New Roman" w:hAnsi="Times New Roman" w:cs="Times New Roman"/>
          <w:b/>
          <w:sz w:val="28"/>
          <w:szCs w:val="28"/>
        </w:rPr>
      </w:pPr>
      <w:r w:rsidRPr="00550C35">
        <w:rPr>
          <w:rFonts w:ascii="Times New Roman" w:hAnsi="Times New Roman" w:cs="Times New Roman"/>
          <w:b/>
          <w:sz w:val="28"/>
          <w:szCs w:val="28"/>
        </w:rPr>
        <w:t>II.</w:t>
      </w:r>
      <w:r w:rsidR="00B133F6" w:rsidRPr="00550C35">
        <w:rPr>
          <w:rFonts w:ascii="Times New Roman" w:hAnsi="Times New Roman" w:cs="Times New Roman"/>
          <w:b/>
          <w:sz w:val="28"/>
          <w:szCs w:val="28"/>
        </w:rPr>
        <w:t xml:space="preserve"> </w:t>
      </w:r>
      <w:proofErr w:type="gramStart"/>
      <w:r w:rsidR="00B133F6" w:rsidRPr="00550C35">
        <w:rPr>
          <w:rFonts w:ascii="Times New Roman" w:hAnsi="Times New Roman" w:cs="Times New Roman"/>
          <w:b/>
          <w:sz w:val="28"/>
          <w:szCs w:val="28"/>
        </w:rPr>
        <w:t>I</w:t>
      </w:r>
      <w:r w:rsidRPr="00550C35">
        <w:rPr>
          <w:rFonts w:ascii="Times New Roman" w:hAnsi="Times New Roman" w:cs="Times New Roman"/>
          <w:b/>
          <w:sz w:val="28"/>
          <w:szCs w:val="28"/>
        </w:rPr>
        <w:t>n</w:t>
      </w:r>
      <w:proofErr w:type="gramEnd"/>
      <w:r w:rsidRPr="00550C35">
        <w:rPr>
          <w:rFonts w:ascii="Times New Roman" w:hAnsi="Times New Roman" w:cs="Times New Roman"/>
          <w:b/>
          <w:sz w:val="28"/>
          <w:szCs w:val="28"/>
        </w:rPr>
        <w:t xml:space="preserve"> Defence of </w:t>
      </w:r>
      <w:r w:rsidRPr="00550C35">
        <w:rPr>
          <w:rFonts w:ascii="Times New Roman" w:hAnsi="Times New Roman" w:cs="Times New Roman"/>
          <w:b/>
          <w:i/>
          <w:sz w:val="28"/>
          <w:szCs w:val="28"/>
        </w:rPr>
        <w:t>Fairchild</w:t>
      </w:r>
    </w:p>
    <w:p w14:paraId="4B0AFECA" w14:textId="77777777" w:rsidR="00B133F6" w:rsidRPr="00F31FF1" w:rsidRDefault="00B133F6" w:rsidP="00550C35">
      <w:pPr>
        <w:spacing w:line="360" w:lineRule="auto"/>
        <w:jc w:val="both"/>
        <w:rPr>
          <w:rFonts w:ascii="Times New Roman" w:hAnsi="Times New Roman" w:cs="Times New Roman"/>
        </w:rPr>
      </w:pPr>
    </w:p>
    <w:p w14:paraId="7FDD619F" w14:textId="64779131"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A. </w:t>
      </w:r>
      <w:r w:rsidR="00B133F6" w:rsidRPr="00F31FF1">
        <w:rPr>
          <w:rFonts w:ascii="Times New Roman" w:hAnsi="Times New Roman" w:cs="Times New Roman"/>
        </w:rPr>
        <w:t>Introduction</w:t>
      </w:r>
    </w:p>
    <w:p w14:paraId="6AF71396" w14:textId="77777777" w:rsidR="00B133F6" w:rsidRPr="00550C35" w:rsidRDefault="00B133F6" w:rsidP="00550C35">
      <w:pPr>
        <w:tabs>
          <w:tab w:val="left" w:pos="1843"/>
        </w:tabs>
        <w:spacing w:line="360" w:lineRule="auto"/>
        <w:jc w:val="both"/>
        <w:rPr>
          <w:rFonts w:ascii="Times New Roman" w:hAnsi="Times New Roman" w:cs="Times New Roman"/>
          <w:b/>
        </w:rPr>
      </w:pPr>
    </w:p>
    <w:p w14:paraId="23B74107" w14:textId="01148CF0"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The right of a claimant who has suffered loss to recover damages from a defendant for a tortious act traditionally rests upon causation in the form of the </w:t>
      </w:r>
      <w:r w:rsidR="00F31FF1">
        <w:rPr>
          <w:rFonts w:ascii="Times New Roman" w:hAnsi="Times New Roman" w:cs="Times New Roman"/>
        </w:rPr>
        <w:t>‘</w:t>
      </w:r>
      <w:r w:rsidRPr="00550C35">
        <w:rPr>
          <w:rFonts w:ascii="Times New Roman" w:hAnsi="Times New Roman" w:cs="Times New Roman"/>
        </w:rPr>
        <w:t>but for</w:t>
      </w:r>
      <w:r w:rsidR="00F31FF1">
        <w:rPr>
          <w:rFonts w:ascii="Times New Roman" w:hAnsi="Times New Roman" w:cs="Times New Roman"/>
        </w:rPr>
        <w:t>’</w:t>
      </w:r>
      <w:r w:rsidRPr="00550C35">
        <w:rPr>
          <w:rFonts w:ascii="Times New Roman" w:hAnsi="Times New Roman" w:cs="Times New Roman"/>
        </w:rPr>
        <w:t xml:space="preserve"> test. The basic </w:t>
      </w:r>
      <w:r w:rsidR="00F31FF1">
        <w:rPr>
          <w:rFonts w:ascii="Times New Roman" w:hAnsi="Times New Roman" w:cs="Times New Roman"/>
        </w:rPr>
        <w:t>‘</w:t>
      </w:r>
      <w:r w:rsidRPr="00550C35">
        <w:rPr>
          <w:rFonts w:ascii="Times New Roman" w:hAnsi="Times New Roman" w:cs="Times New Roman"/>
        </w:rPr>
        <w:t>but for</w:t>
      </w:r>
      <w:r w:rsidR="00F31FF1">
        <w:rPr>
          <w:rFonts w:ascii="Times New Roman" w:hAnsi="Times New Roman" w:cs="Times New Roman"/>
        </w:rPr>
        <w:t>’</w:t>
      </w:r>
      <w:r w:rsidRPr="00550C35">
        <w:rPr>
          <w:rFonts w:ascii="Times New Roman" w:hAnsi="Times New Roman" w:cs="Times New Roman"/>
        </w:rPr>
        <w:t xml:space="preserve"> test is easily stated: if the conduct of the defendant is left out of account, would the claimant have suffered loss? </w:t>
      </w:r>
      <w:r w:rsidR="00526D85" w:rsidRPr="00550C35">
        <w:rPr>
          <w:rFonts w:ascii="Times New Roman" w:hAnsi="Times New Roman" w:cs="Times New Roman"/>
        </w:rPr>
        <w:t xml:space="preserve">The claimant must prove that </w:t>
      </w:r>
      <w:r w:rsidR="00F31FF1">
        <w:rPr>
          <w:rFonts w:ascii="Times New Roman" w:hAnsi="Times New Roman" w:cs="Times New Roman"/>
        </w:rPr>
        <w:t>‘</w:t>
      </w:r>
      <w:r w:rsidR="00526D85" w:rsidRPr="00550C35">
        <w:rPr>
          <w:rFonts w:ascii="Times New Roman" w:hAnsi="Times New Roman" w:cs="Times New Roman"/>
        </w:rPr>
        <w:t>but for</w:t>
      </w:r>
      <w:r w:rsidR="00F31FF1">
        <w:rPr>
          <w:rFonts w:ascii="Times New Roman" w:hAnsi="Times New Roman" w:cs="Times New Roman"/>
        </w:rPr>
        <w:t>’</w:t>
      </w:r>
      <w:r w:rsidR="00526D85" w:rsidRPr="00550C35">
        <w:rPr>
          <w:rFonts w:ascii="Times New Roman" w:hAnsi="Times New Roman" w:cs="Times New Roman"/>
        </w:rPr>
        <w:t xml:space="preserve"> causation is </w:t>
      </w:r>
      <w:r w:rsidR="00F72675" w:rsidRPr="00550C35">
        <w:rPr>
          <w:rFonts w:ascii="Times New Roman" w:hAnsi="Times New Roman" w:cs="Times New Roman"/>
        </w:rPr>
        <w:t xml:space="preserve">established </w:t>
      </w:r>
      <w:r w:rsidR="00526D85" w:rsidRPr="00550C35">
        <w:rPr>
          <w:rFonts w:ascii="Times New Roman" w:hAnsi="Times New Roman" w:cs="Times New Roman"/>
        </w:rPr>
        <w:t>on the balance of probabilities.</w:t>
      </w:r>
      <w:r w:rsidRPr="00550C35">
        <w:rPr>
          <w:rFonts w:ascii="Times New Roman" w:hAnsi="Times New Roman" w:cs="Times New Roman"/>
        </w:rPr>
        <w:t xml:space="preserve"> Refinements of the </w:t>
      </w:r>
      <w:r w:rsidR="00F31FF1">
        <w:rPr>
          <w:rFonts w:ascii="Times New Roman" w:hAnsi="Times New Roman" w:cs="Times New Roman"/>
        </w:rPr>
        <w:t>‘</w:t>
      </w:r>
      <w:r w:rsidRPr="00550C35">
        <w:rPr>
          <w:rFonts w:ascii="Times New Roman" w:hAnsi="Times New Roman" w:cs="Times New Roman"/>
        </w:rPr>
        <w:t>but for</w:t>
      </w:r>
      <w:r w:rsidR="00F31FF1">
        <w:rPr>
          <w:rFonts w:ascii="Times New Roman" w:hAnsi="Times New Roman" w:cs="Times New Roman"/>
        </w:rPr>
        <w:t>’</w:t>
      </w:r>
      <w:r w:rsidRPr="00550C35">
        <w:rPr>
          <w:rFonts w:ascii="Times New Roman" w:hAnsi="Times New Roman" w:cs="Times New Roman"/>
        </w:rPr>
        <w:t xml:space="preserve"> test have been proposed, which nevertheless continue to rest on identification of whether the defendant’s conduct was a </w:t>
      </w:r>
      <w:r w:rsidR="00F31FF1">
        <w:rPr>
          <w:rFonts w:ascii="Times New Roman" w:hAnsi="Times New Roman" w:cs="Times New Roman"/>
        </w:rPr>
        <w:t>‘</w:t>
      </w:r>
      <w:r w:rsidRPr="00550C35">
        <w:rPr>
          <w:rFonts w:ascii="Times New Roman" w:hAnsi="Times New Roman" w:cs="Times New Roman"/>
        </w:rPr>
        <w:t>necessary</w:t>
      </w:r>
      <w:r w:rsidR="00F31FF1">
        <w:rPr>
          <w:rFonts w:ascii="Times New Roman" w:hAnsi="Times New Roman" w:cs="Times New Roman"/>
        </w:rPr>
        <w:t>’</w:t>
      </w:r>
      <w:r w:rsidRPr="00550C35">
        <w:rPr>
          <w:rFonts w:ascii="Times New Roman" w:hAnsi="Times New Roman" w:cs="Times New Roman"/>
        </w:rPr>
        <w:t xml:space="preserve"> factor.</w:t>
      </w:r>
      <w:r w:rsidRPr="00550C35">
        <w:rPr>
          <w:rStyle w:val="FootnoteReference"/>
          <w:rFonts w:ascii="Times New Roman" w:hAnsi="Times New Roman" w:cs="Times New Roman"/>
        </w:rPr>
        <w:footnoteReference w:id="16"/>
      </w:r>
      <w:r w:rsidRPr="00550C35">
        <w:rPr>
          <w:rFonts w:ascii="Times New Roman" w:hAnsi="Times New Roman" w:cs="Times New Roman"/>
        </w:rPr>
        <w:t xml:space="preserve"> In a case where two or more defendants potentially face liability for their respective acts or omissions, causation determines whether each of them is responsible; and if the loss is a result of the acts of a defendant and external forces, causation determines if there is any recoverability at all.</w:t>
      </w:r>
    </w:p>
    <w:p w14:paraId="5A09E5AF"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2D33CB7E" w14:textId="138643E3" w:rsid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In applying causation rules to concurrent causes, three quite different scenarios have to be distinguished. These can be explained by examples inspired by </w:t>
      </w:r>
      <w:r w:rsidRPr="00550C35">
        <w:rPr>
          <w:rFonts w:ascii="Times New Roman" w:hAnsi="Times New Roman" w:cs="Times New Roman"/>
        </w:rPr>
        <w:lastRenderedPageBreak/>
        <w:t xml:space="preserve">the comments of </w:t>
      </w:r>
      <w:r w:rsidR="005F4DAB" w:rsidRPr="00550C35">
        <w:rPr>
          <w:rFonts w:ascii="Times New Roman" w:hAnsi="Times New Roman" w:cs="Times New Roman"/>
        </w:rPr>
        <w:t xml:space="preserve">Baroness Hale in </w:t>
      </w:r>
      <w:r w:rsidR="005F4DAB" w:rsidRPr="00550C35">
        <w:rPr>
          <w:rFonts w:ascii="Times New Roman" w:hAnsi="Times New Roman" w:cs="Times New Roman"/>
          <w:i/>
        </w:rPr>
        <w:t>Barker</w:t>
      </w:r>
      <w:r w:rsidRPr="00550C35">
        <w:rPr>
          <w:rFonts w:ascii="Times New Roman" w:hAnsi="Times New Roman" w:cs="Times New Roman"/>
        </w:rPr>
        <w:t>.</w:t>
      </w:r>
      <w:r w:rsidRPr="00550C35">
        <w:rPr>
          <w:rStyle w:val="FootnoteReference"/>
          <w:rFonts w:ascii="Times New Roman" w:hAnsi="Times New Roman" w:cs="Times New Roman"/>
        </w:rPr>
        <w:footnoteReference w:id="17"/>
      </w:r>
      <w:r w:rsidRPr="00550C35">
        <w:rPr>
          <w:rFonts w:ascii="Times New Roman" w:hAnsi="Times New Roman" w:cs="Times New Roman"/>
        </w:rPr>
        <w:t xml:space="preserve"> The first involves independent concurrent causes: D1 and D2 simultaneously shoot C. The second involves indeterminate concurrent causes: D1 and D2 simultaneously shoot C, but only one of the guns is loaded, and it is not possible to show which gun it was. The third involves interdependent</w:t>
      </w:r>
      <w:r w:rsidR="00E7183F">
        <w:rPr>
          <w:rFonts w:ascii="Times New Roman" w:hAnsi="Times New Roman" w:cs="Times New Roman"/>
        </w:rPr>
        <w:t xml:space="preserve"> c</w:t>
      </w:r>
      <w:r w:rsidRPr="00550C35">
        <w:rPr>
          <w:rFonts w:ascii="Times New Roman" w:hAnsi="Times New Roman" w:cs="Times New Roman"/>
        </w:rPr>
        <w:t xml:space="preserve">oncurrent causes not amounting to a joint enterprise: D1, pursuing his own purposes, injures C, enabling D2 to make a simultaneous fatal shot which, without the intervention of D1, would have missed its target. The issues raised by each are quite different. Independent concurrent causes throw into doubt the efficacy of the </w:t>
      </w:r>
      <w:r w:rsidR="00F31FF1">
        <w:rPr>
          <w:rFonts w:ascii="Times New Roman" w:hAnsi="Times New Roman" w:cs="Times New Roman"/>
        </w:rPr>
        <w:t>‘</w:t>
      </w:r>
      <w:r w:rsidRPr="00550C35">
        <w:rPr>
          <w:rFonts w:ascii="Times New Roman" w:hAnsi="Times New Roman" w:cs="Times New Roman"/>
        </w:rPr>
        <w:t>but for</w:t>
      </w:r>
      <w:r w:rsidR="00F31FF1">
        <w:rPr>
          <w:rFonts w:ascii="Times New Roman" w:hAnsi="Times New Roman" w:cs="Times New Roman"/>
        </w:rPr>
        <w:t>’</w:t>
      </w:r>
      <w:r w:rsidRPr="00550C35">
        <w:rPr>
          <w:rFonts w:ascii="Times New Roman" w:hAnsi="Times New Roman" w:cs="Times New Roman"/>
        </w:rPr>
        <w:t xml:space="preserve"> test, because each of the defendants can justifiably say that</w:t>
      </w:r>
      <w:r w:rsidR="00E7183F">
        <w:rPr>
          <w:rFonts w:ascii="Times New Roman" w:hAnsi="Times New Roman" w:cs="Times New Roman"/>
        </w:rPr>
        <w:t>,</w:t>
      </w:r>
      <w:r w:rsidRPr="00550C35">
        <w:rPr>
          <w:rFonts w:ascii="Times New Roman" w:hAnsi="Times New Roman" w:cs="Times New Roman"/>
        </w:rPr>
        <w:t xml:space="preserve"> if his own conduct is disregarded, C would still have been shot by the other and the result would have been the same. Indeterminate concurrent causes are essentially a question of proof, in that it is impossible to say which of the defendants caused the loss. Putting the matter in terms of standard of proof, neither D1 nor D2 can be said on the balance of probabilities to have been mor</w:t>
      </w:r>
      <w:r w:rsidR="00E7183F">
        <w:rPr>
          <w:rFonts w:ascii="Times New Roman" w:hAnsi="Times New Roman" w:cs="Times New Roman"/>
        </w:rPr>
        <w:t xml:space="preserve">e likely than the other to have </w:t>
      </w:r>
      <w:r w:rsidRPr="00550C35">
        <w:rPr>
          <w:rFonts w:ascii="Times New Roman" w:hAnsi="Times New Roman" w:cs="Times New Roman"/>
        </w:rPr>
        <w:t xml:space="preserve">caused C’s loss. Interdependent concurrent causes give rise to an allocation issue, in that there would have been no loss (in our example, no fatality) without the acts of both D1 and D2. Both pass the ‘but for’ </w:t>
      </w:r>
      <w:proofErr w:type="gramStart"/>
      <w:r w:rsidRPr="00550C35">
        <w:rPr>
          <w:rFonts w:ascii="Times New Roman" w:hAnsi="Times New Roman" w:cs="Times New Roman"/>
        </w:rPr>
        <w:t>test,</w:t>
      </w:r>
      <w:proofErr w:type="gramEnd"/>
      <w:r w:rsidRPr="00550C35">
        <w:rPr>
          <w:rFonts w:ascii="Times New Roman" w:hAnsi="Times New Roman" w:cs="Times New Roman"/>
        </w:rPr>
        <w:t xml:space="preserve"> and both attract liability. In English tort law, this remains full liability. However, through contribution proceedings, a liable defendant is able to seek the court’s quantification of the appropriate liability of each defendant, producing a proportional outcome.</w:t>
      </w:r>
      <w:r w:rsidRPr="00550C35">
        <w:rPr>
          <w:rStyle w:val="FootnoteReference"/>
          <w:rFonts w:ascii="Times New Roman" w:hAnsi="Times New Roman" w:cs="Times New Roman"/>
        </w:rPr>
        <w:footnoteReference w:id="18"/>
      </w:r>
    </w:p>
    <w:p w14:paraId="59A379F7" w14:textId="77777777" w:rsidR="00550C35" w:rsidRDefault="00550C35" w:rsidP="00550C35">
      <w:pPr>
        <w:spacing w:line="360" w:lineRule="auto"/>
        <w:ind w:firstLine="720"/>
        <w:jc w:val="both"/>
        <w:rPr>
          <w:rFonts w:ascii="Times New Roman" w:hAnsi="Times New Roman" w:cs="Times New Roman"/>
        </w:rPr>
      </w:pPr>
    </w:p>
    <w:p w14:paraId="51D5332C" w14:textId="57E3796C"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It would seem, therefore, that traditional causation principles, combined with contribution, give a satisfactory solution only in the case of interdependent concurrent causes, although even there the task of apportioning responsibility is probably little more than a combination of best guess based on common sense. If mathematical criteria are applied at all, they are generally applied to elusive facts. Indeed the broad</w:t>
      </w:r>
      <w:r w:rsidR="00E65D98">
        <w:rPr>
          <w:rFonts w:ascii="Times New Roman" w:hAnsi="Times New Roman" w:cs="Times New Roman"/>
        </w:rPr>
        <w:t>-</w:t>
      </w:r>
      <w:r w:rsidRPr="00550C35">
        <w:rPr>
          <w:rFonts w:ascii="Times New Roman" w:hAnsi="Times New Roman" w:cs="Times New Roman"/>
        </w:rPr>
        <w:t xml:space="preserve">brush nature of the exercise is in no sense </w:t>
      </w:r>
      <w:r w:rsidR="00526D85" w:rsidRPr="00550C35">
        <w:rPr>
          <w:rFonts w:ascii="Times New Roman" w:hAnsi="Times New Roman" w:cs="Times New Roman"/>
        </w:rPr>
        <w:t xml:space="preserve">disguised or </w:t>
      </w:r>
      <w:r w:rsidRPr="00550C35">
        <w:rPr>
          <w:rFonts w:ascii="Times New Roman" w:hAnsi="Times New Roman" w:cs="Times New Roman"/>
        </w:rPr>
        <w:t>avoided by the legislation.</w:t>
      </w:r>
      <w:r w:rsidRPr="00550C35">
        <w:rPr>
          <w:rStyle w:val="FootnoteReference"/>
          <w:rFonts w:ascii="Times New Roman" w:hAnsi="Times New Roman" w:cs="Times New Roman"/>
        </w:rPr>
        <w:footnoteReference w:id="19"/>
      </w:r>
      <w:r w:rsidRPr="00550C35">
        <w:rPr>
          <w:rFonts w:ascii="Times New Roman" w:hAnsi="Times New Roman" w:cs="Times New Roman"/>
        </w:rPr>
        <w:t xml:space="preserve"> The broad</w:t>
      </w:r>
      <w:r w:rsidR="00E65D98">
        <w:rPr>
          <w:rFonts w:ascii="Times New Roman" w:hAnsi="Times New Roman" w:cs="Times New Roman"/>
        </w:rPr>
        <w:t>-</w:t>
      </w:r>
      <w:r w:rsidRPr="00550C35">
        <w:rPr>
          <w:rFonts w:ascii="Times New Roman" w:hAnsi="Times New Roman" w:cs="Times New Roman"/>
        </w:rPr>
        <w:t xml:space="preserve">brush character of this assessment is similar to the </w:t>
      </w:r>
      <w:r w:rsidR="00526D85" w:rsidRPr="00550C35">
        <w:rPr>
          <w:rFonts w:ascii="Times New Roman" w:hAnsi="Times New Roman" w:cs="Times New Roman"/>
        </w:rPr>
        <w:t xml:space="preserve">nature of the </w:t>
      </w:r>
      <w:r w:rsidRPr="00550C35">
        <w:rPr>
          <w:rFonts w:ascii="Times New Roman" w:hAnsi="Times New Roman" w:cs="Times New Roman"/>
        </w:rPr>
        <w:t>decision required of courts determining questions of contributory negligence in its proportionate form</w:t>
      </w:r>
      <w:r w:rsidR="00526D85" w:rsidRPr="00550C35">
        <w:rPr>
          <w:rFonts w:ascii="Times New Roman" w:hAnsi="Times New Roman" w:cs="Times New Roman"/>
        </w:rPr>
        <w:t>. O</w:t>
      </w:r>
      <w:r w:rsidRPr="00550C35">
        <w:rPr>
          <w:rFonts w:ascii="Times New Roman" w:hAnsi="Times New Roman" w:cs="Times New Roman"/>
        </w:rPr>
        <w:t xml:space="preserve">ne of the present authors has argued elsewhere </w:t>
      </w:r>
      <w:r w:rsidR="00C128FA" w:rsidRPr="00550C35">
        <w:rPr>
          <w:rFonts w:ascii="Times New Roman" w:hAnsi="Times New Roman" w:cs="Times New Roman"/>
        </w:rPr>
        <w:t xml:space="preserve">that this </w:t>
      </w:r>
      <w:r w:rsidR="00C128FA" w:rsidRPr="00550C35">
        <w:rPr>
          <w:rFonts w:ascii="Times New Roman" w:hAnsi="Times New Roman" w:cs="Times New Roman"/>
        </w:rPr>
        <w:lastRenderedPageBreak/>
        <w:t xml:space="preserve">proportionate form of contributory negligence (comparative negligence, as it is known in some jurisdictions) </w:t>
      </w:r>
      <w:r w:rsidRPr="00550C35">
        <w:rPr>
          <w:rFonts w:ascii="Times New Roman" w:hAnsi="Times New Roman" w:cs="Times New Roman"/>
        </w:rPr>
        <w:t xml:space="preserve">does not lend itself to the </w:t>
      </w:r>
      <w:r w:rsidR="00C128FA" w:rsidRPr="00550C35">
        <w:rPr>
          <w:rFonts w:ascii="Times New Roman" w:hAnsi="Times New Roman" w:cs="Times New Roman"/>
        </w:rPr>
        <w:t xml:space="preserve">precise </w:t>
      </w:r>
      <w:r w:rsidRPr="00550C35">
        <w:rPr>
          <w:rFonts w:ascii="Times New Roman" w:hAnsi="Times New Roman" w:cs="Times New Roman"/>
        </w:rPr>
        <w:t xml:space="preserve">logic </w:t>
      </w:r>
      <w:r w:rsidR="00C128FA" w:rsidRPr="00550C35">
        <w:rPr>
          <w:rFonts w:ascii="Times New Roman" w:hAnsi="Times New Roman" w:cs="Times New Roman"/>
        </w:rPr>
        <w:t>attributed</w:t>
      </w:r>
      <w:r w:rsidRPr="00550C35">
        <w:rPr>
          <w:rFonts w:ascii="Times New Roman" w:hAnsi="Times New Roman" w:cs="Times New Roman"/>
        </w:rPr>
        <w:t xml:space="preserve"> to proportionate liability by some of its proponents.</w:t>
      </w:r>
      <w:r w:rsidRPr="00550C35">
        <w:rPr>
          <w:rStyle w:val="FootnoteReference"/>
          <w:rFonts w:ascii="Times New Roman" w:hAnsi="Times New Roman" w:cs="Times New Roman"/>
        </w:rPr>
        <w:footnoteReference w:id="20"/>
      </w:r>
      <w:r w:rsidRPr="00550C35">
        <w:rPr>
          <w:rFonts w:ascii="Times New Roman" w:hAnsi="Times New Roman" w:cs="Times New Roman"/>
        </w:rPr>
        <w:t xml:space="preserve"> </w:t>
      </w:r>
      <w:r w:rsidR="00526D85" w:rsidRPr="00550C35">
        <w:rPr>
          <w:rFonts w:ascii="Times New Roman" w:hAnsi="Times New Roman" w:cs="Times New Roman"/>
        </w:rPr>
        <w:t>W</w:t>
      </w:r>
      <w:r w:rsidRPr="00550C35">
        <w:rPr>
          <w:rFonts w:ascii="Times New Roman" w:hAnsi="Times New Roman" w:cs="Times New Roman"/>
        </w:rPr>
        <w:t xml:space="preserve">here contribution legislation is concerned, </w:t>
      </w:r>
      <w:r w:rsidR="00526D85" w:rsidRPr="00550C35">
        <w:rPr>
          <w:rFonts w:ascii="Times New Roman" w:hAnsi="Times New Roman" w:cs="Times New Roman"/>
        </w:rPr>
        <w:t xml:space="preserve">the rough and ready nature of the assessment is still more evident, and </w:t>
      </w:r>
      <w:r w:rsidRPr="00550C35">
        <w:rPr>
          <w:rFonts w:ascii="Times New Roman" w:hAnsi="Times New Roman" w:cs="Times New Roman"/>
        </w:rPr>
        <w:t>it is plain that relevant considerations go far beyond the relative causal responsibility of the parties (with which contributory negligence deals) to embrace non-causative factors such as the fact that one party holds un</w:t>
      </w:r>
      <w:r w:rsidR="00150ACD">
        <w:rPr>
          <w:rFonts w:ascii="Times New Roman" w:hAnsi="Times New Roman" w:cs="Times New Roman"/>
        </w:rPr>
        <w:t>-</w:t>
      </w:r>
      <w:r w:rsidRPr="00550C35">
        <w:rPr>
          <w:rFonts w:ascii="Times New Roman" w:hAnsi="Times New Roman" w:cs="Times New Roman"/>
        </w:rPr>
        <w:t>disgorged profits resulting from the wrong,</w:t>
      </w:r>
      <w:r w:rsidRPr="00550C35">
        <w:rPr>
          <w:rStyle w:val="FootnoteReference"/>
          <w:rFonts w:ascii="Times New Roman" w:hAnsi="Times New Roman" w:cs="Times New Roman"/>
        </w:rPr>
        <w:footnoteReference w:id="21"/>
      </w:r>
      <w:r w:rsidRPr="00550C35">
        <w:rPr>
          <w:rFonts w:ascii="Times New Roman" w:hAnsi="Times New Roman" w:cs="Times New Roman"/>
        </w:rPr>
        <w:t xml:space="preserve"> or even the manner in which a party conducts proceedings.</w:t>
      </w:r>
      <w:r w:rsidRPr="00550C35">
        <w:rPr>
          <w:rStyle w:val="FootnoteReference"/>
          <w:rFonts w:ascii="Times New Roman" w:hAnsi="Times New Roman" w:cs="Times New Roman"/>
        </w:rPr>
        <w:footnoteReference w:id="22"/>
      </w:r>
      <w:r w:rsidRPr="00550C35">
        <w:rPr>
          <w:rFonts w:ascii="Times New Roman" w:hAnsi="Times New Roman" w:cs="Times New Roman"/>
        </w:rPr>
        <w:t xml:space="preserve"> But, at least there is a mechanism. The question to be posed is whether a proportional approach of some sort can resolve the difficulties in the other scenarios. </w:t>
      </w:r>
    </w:p>
    <w:p w14:paraId="3B12F407" w14:textId="77777777" w:rsidR="00550C35" w:rsidRDefault="0062193D"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r w:rsidR="00550C35">
        <w:rPr>
          <w:rFonts w:ascii="Times New Roman" w:hAnsi="Times New Roman" w:cs="Times New Roman"/>
        </w:rPr>
        <w:tab/>
      </w:r>
    </w:p>
    <w:p w14:paraId="7B19058F" w14:textId="1B7D0910"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It is</w:t>
      </w:r>
      <w:r w:rsidR="004A7EFB">
        <w:rPr>
          <w:rFonts w:ascii="Times New Roman" w:hAnsi="Times New Roman" w:cs="Times New Roman"/>
        </w:rPr>
        <w:t>,</w:t>
      </w:r>
      <w:r w:rsidRPr="00550C35">
        <w:rPr>
          <w:rFonts w:ascii="Times New Roman" w:hAnsi="Times New Roman" w:cs="Times New Roman"/>
        </w:rPr>
        <w:t xml:space="preserve"> to say the least</w:t>
      </w:r>
      <w:r w:rsidR="004A7EFB">
        <w:rPr>
          <w:rFonts w:ascii="Times New Roman" w:hAnsi="Times New Roman" w:cs="Times New Roman"/>
        </w:rPr>
        <w:t>,</w:t>
      </w:r>
      <w:r w:rsidRPr="00550C35">
        <w:rPr>
          <w:rFonts w:ascii="Times New Roman" w:hAnsi="Times New Roman" w:cs="Times New Roman"/>
        </w:rPr>
        <w:t xml:space="preserve"> counter-intuitive that if both D1 and D2 have fired shots at C then they should both be able to walk away free of liability essentially because they can blame each other for the consequences. Without liability, there can be no contribution. Applying extended proportional liability, either D1 and D2 are each to be regarded as 50% to blame for the purposes of </w:t>
      </w:r>
      <w:r w:rsidR="0051471F" w:rsidRPr="00550C35">
        <w:rPr>
          <w:rFonts w:ascii="Times New Roman" w:hAnsi="Times New Roman" w:cs="Times New Roman"/>
        </w:rPr>
        <w:t xml:space="preserve">a </w:t>
      </w:r>
      <w:r w:rsidRPr="00550C35">
        <w:rPr>
          <w:rFonts w:ascii="Times New Roman" w:hAnsi="Times New Roman" w:cs="Times New Roman"/>
        </w:rPr>
        <w:t>claim on behalf of C, or alternatively D1 and D2 are each to be regarded as 100% to blame and the allocation takes effect between them in separate subsequent proceedings under the Civil Liability (Contribution) Act 1978. As with interdependent concurrent causes, the latter offers a proportional result, while removing the cost of additional proceedings and the risk of non-payment for the claimant. Proportional liability is conceptually more attractive where both D1 and D2 have fired loaded guns, because although it cannot really be said that each has caused half the loss, at least the result produces broad equity between them. However, if there is one loaded and one unloaded gun, so that the problem is one of indeterminacy, then under proportionality (of one form or the other) one or other of the defendants is going to be held 50% responsible for a loss in which he had no part.</w:t>
      </w:r>
      <w:r w:rsidR="00526D85" w:rsidRPr="00550C35">
        <w:rPr>
          <w:rStyle w:val="FootnoteReference"/>
          <w:rFonts w:ascii="Times New Roman" w:hAnsi="Times New Roman" w:cs="Times New Roman"/>
        </w:rPr>
        <w:footnoteReference w:id="23"/>
      </w:r>
    </w:p>
    <w:p w14:paraId="09F73258" w14:textId="77777777" w:rsidR="00B133F6" w:rsidRPr="00F31FF1" w:rsidRDefault="00B133F6" w:rsidP="00550C35">
      <w:pPr>
        <w:spacing w:line="360" w:lineRule="auto"/>
        <w:jc w:val="both"/>
        <w:rPr>
          <w:rFonts w:ascii="Times New Roman" w:hAnsi="Times New Roman" w:cs="Times New Roman"/>
        </w:rPr>
      </w:pPr>
    </w:p>
    <w:p w14:paraId="6B5302F4" w14:textId="472F4E3C"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B. </w:t>
      </w:r>
      <w:r w:rsidR="00B133F6" w:rsidRPr="00F31FF1">
        <w:rPr>
          <w:rFonts w:ascii="Times New Roman" w:hAnsi="Times New Roman" w:cs="Times New Roman"/>
        </w:rPr>
        <w:t xml:space="preserve">Exposure </w:t>
      </w:r>
      <w:r w:rsidR="00F31FF1">
        <w:rPr>
          <w:rFonts w:ascii="Times New Roman" w:hAnsi="Times New Roman" w:cs="Times New Roman"/>
        </w:rPr>
        <w:t>I</w:t>
      </w:r>
      <w:r w:rsidR="00B133F6" w:rsidRPr="00F31FF1">
        <w:rPr>
          <w:rFonts w:ascii="Times New Roman" w:hAnsi="Times New Roman" w:cs="Times New Roman"/>
        </w:rPr>
        <w:t>njuries</w:t>
      </w:r>
    </w:p>
    <w:p w14:paraId="6AA53230" w14:textId="77777777" w:rsidR="00B133F6" w:rsidRPr="00550C35" w:rsidRDefault="00B133F6" w:rsidP="00550C35">
      <w:pPr>
        <w:spacing w:line="360" w:lineRule="auto"/>
        <w:jc w:val="both"/>
        <w:rPr>
          <w:rFonts w:ascii="Times New Roman" w:hAnsi="Times New Roman" w:cs="Times New Roman"/>
          <w:b/>
        </w:rPr>
      </w:pPr>
    </w:p>
    <w:p w14:paraId="5E835CD6" w14:textId="10DDDA83"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The range of possibilities becomes clearer if we transpose the scenario from exposure to bullets to exposure to harmful substances, thus also changing the time frame. C is negligently exposed to a carcinogen by D1 in year 1 and by D2 in year 2. C discovers in year 30 that he has suffered personal injury. The results of the medical evidence may be that: (1) each of the exposures by D1 and D2 would independently have caused the injury; or (2) one or other of the exposures has caused the injury, but it is not possible to ascertain which; or (3) the exposures had a cumulative effect and together gave rise to the injury. In case (3)</w:t>
      </w:r>
      <w:r w:rsidR="00882A23" w:rsidRPr="00550C35">
        <w:rPr>
          <w:rFonts w:ascii="Times New Roman" w:hAnsi="Times New Roman" w:cs="Times New Roman"/>
        </w:rPr>
        <w:t xml:space="preserve">, </w:t>
      </w:r>
      <w:r w:rsidR="00882A23">
        <w:rPr>
          <w:rFonts w:ascii="Times New Roman" w:hAnsi="Times New Roman" w:cs="Times New Roman"/>
        </w:rPr>
        <w:t>if</w:t>
      </w:r>
      <w:r w:rsidRPr="00550C35">
        <w:rPr>
          <w:rFonts w:ascii="Times New Roman" w:hAnsi="Times New Roman" w:cs="Times New Roman"/>
        </w:rPr>
        <w:t xml:space="preserve"> the injury is a divisible one, liability can clearly be apportioned by the law of tort.</w:t>
      </w:r>
      <w:r w:rsidRPr="00550C35">
        <w:rPr>
          <w:rStyle w:val="FootnoteReference"/>
          <w:rFonts w:ascii="Times New Roman" w:hAnsi="Times New Roman" w:cs="Times New Roman"/>
        </w:rPr>
        <w:footnoteReference w:id="24"/>
      </w:r>
      <w:r w:rsidRPr="00550C35">
        <w:rPr>
          <w:rFonts w:ascii="Times New Roman" w:hAnsi="Times New Roman" w:cs="Times New Roman"/>
        </w:rPr>
        <w:t xml:space="preserve"> In the case of an indivisible injury resulting from cumulative causes, there is </w:t>
      </w:r>
      <w:r w:rsidR="00526D85" w:rsidRPr="00550C35">
        <w:rPr>
          <w:rFonts w:ascii="Times New Roman" w:hAnsi="Times New Roman" w:cs="Times New Roman"/>
        </w:rPr>
        <w:t xml:space="preserve">some </w:t>
      </w:r>
      <w:r w:rsidRPr="00550C35">
        <w:rPr>
          <w:rFonts w:ascii="Times New Roman" w:hAnsi="Times New Roman" w:cs="Times New Roman"/>
        </w:rPr>
        <w:t xml:space="preserve">authority that each exposure making a material contribution is capable of giving rise to liability in full, but the fit between this conclusion, and principles of causation, is far from obvious, and the authority in question appears to involve a departure from </w:t>
      </w:r>
      <w:r w:rsidR="00F31FF1">
        <w:rPr>
          <w:rFonts w:ascii="Times New Roman" w:hAnsi="Times New Roman" w:cs="Times New Roman"/>
        </w:rPr>
        <w:t>‘</w:t>
      </w:r>
      <w:r w:rsidRPr="00550C35">
        <w:rPr>
          <w:rFonts w:ascii="Times New Roman" w:hAnsi="Times New Roman" w:cs="Times New Roman"/>
        </w:rPr>
        <w:t>but for</w:t>
      </w:r>
      <w:r w:rsidR="00F31FF1">
        <w:rPr>
          <w:rFonts w:ascii="Times New Roman" w:hAnsi="Times New Roman" w:cs="Times New Roman"/>
        </w:rPr>
        <w:t>’</w:t>
      </w:r>
      <w:r w:rsidRPr="00550C35">
        <w:rPr>
          <w:rFonts w:ascii="Times New Roman" w:hAnsi="Times New Roman" w:cs="Times New Roman"/>
        </w:rPr>
        <w:t xml:space="preserve"> causation.</w:t>
      </w:r>
      <w:r w:rsidRPr="00550C35">
        <w:rPr>
          <w:rStyle w:val="FootnoteReference"/>
          <w:rFonts w:ascii="Times New Roman" w:hAnsi="Times New Roman" w:cs="Times New Roman"/>
        </w:rPr>
        <w:footnoteReference w:id="25"/>
      </w:r>
      <w:r w:rsidRPr="00550C35">
        <w:rPr>
          <w:rFonts w:ascii="Times New Roman" w:hAnsi="Times New Roman" w:cs="Times New Roman"/>
        </w:rPr>
        <w:t xml:space="preserve"> To the extent that more than one such exposure is tortious, one would expect contribution to operate. In case (1) it would seem that D1 has to carry the can, as D2 has merely exposed to risk a person who has already suffered the relevant outcome. Case (2) is the difficult one, and this is of course the problem arising specifically from exposure to asbestos. The difficulty exists because, in respect of asbestos, medical evidence: (</w:t>
      </w:r>
      <w:proofErr w:type="spellStart"/>
      <w:r w:rsidRPr="00550C35">
        <w:rPr>
          <w:rFonts w:ascii="Times New Roman" w:hAnsi="Times New Roman" w:cs="Times New Roman"/>
        </w:rPr>
        <w:t>i</w:t>
      </w:r>
      <w:proofErr w:type="spellEnd"/>
      <w:r w:rsidRPr="00550C35">
        <w:rPr>
          <w:rFonts w:ascii="Times New Roman" w:hAnsi="Times New Roman" w:cs="Times New Roman"/>
        </w:rPr>
        <w:t xml:space="preserve">) cannot ascertain which of the potentially many thousands of exposures over a lengthy period led to injury 30 or so years later; and (ii) whilst it no longer supports the </w:t>
      </w:r>
      <w:r w:rsidR="00F31FF1">
        <w:rPr>
          <w:rFonts w:ascii="Times New Roman" w:hAnsi="Times New Roman" w:cs="Times New Roman"/>
        </w:rPr>
        <w:t>‘</w:t>
      </w:r>
      <w:r w:rsidRPr="00550C35">
        <w:rPr>
          <w:rFonts w:ascii="Times New Roman" w:hAnsi="Times New Roman" w:cs="Times New Roman"/>
        </w:rPr>
        <w:t>single strand</w:t>
      </w:r>
      <w:r w:rsidR="00F31FF1">
        <w:rPr>
          <w:rFonts w:ascii="Times New Roman" w:hAnsi="Times New Roman" w:cs="Times New Roman"/>
        </w:rPr>
        <w:t>’</w:t>
      </w:r>
      <w:r w:rsidRPr="00550C35">
        <w:rPr>
          <w:rFonts w:ascii="Times New Roman" w:hAnsi="Times New Roman" w:cs="Times New Roman"/>
        </w:rPr>
        <w:t xml:space="preserve"> theory,</w:t>
      </w:r>
      <w:r w:rsidRPr="00550C35">
        <w:rPr>
          <w:rStyle w:val="FootnoteReference"/>
          <w:rFonts w:ascii="Times New Roman" w:hAnsi="Times New Roman" w:cs="Times New Roman"/>
        </w:rPr>
        <w:footnoteReference w:id="26"/>
      </w:r>
      <w:r w:rsidRPr="00550C35">
        <w:rPr>
          <w:rFonts w:ascii="Times New Roman" w:hAnsi="Times New Roman" w:cs="Times New Roman"/>
        </w:rPr>
        <w:t xml:space="preserve"> it continues to hold that some exposures will be causative, and others not,</w:t>
      </w:r>
      <w:r w:rsidRPr="00550C35">
        <w:rPr>
          <w:rStyle w:val="FootnoteReference"/>
          <w:rFonts w:ascii="Times New Roman" w:hAnsi="Times New Roman" w:cs="Times New Roman"/>
        </w:rPr>
        <w:footnoteReference w:id="27"/>
      </w:r>
      <w:r w:rsidRPr="00550C35">
        <w:rPr>
          <w:rFonts w:ascii="Times New Roman" w:hAnsi="Times New Roman" w:cs="Times New Roman"/>
        </w:rPr>
        <w:t xml:space="preserve"> rather than illness being the result of a cumulative effect from all exposures.</w:t>
      </w:r>
      <w:r w:rsidR="00341EC9" w:rsidRPr="00550C35">
        <w:rPr>
          <w:rStyle w:val="FootnoteReference"/>
          <w:rFonts w:ascii="Times New Roman" w:hAnsi="Times New Roman" w:cs="Times New Roman"/>
        </w:rPr>
        <w:footnoteReference w:id="28"/>
      </w:r>
      <w:r w:rsidRPr="00550C35">
        <w:rPr>
          <w:rFonts w:ascii="Times New Roman" w:hAnsi="Times New Roman" w:cs="Times New Roman"/>
        </w:rPr>
        <w:t xml:space="preserve"> In </w:t>
      </w:r>
      <w:r w:rsidRPr="00550C35">
        <w:rPr>
          <w:rFonts w:ascii="Times New Roman" w:hAnsi="Times New Roman" w:cs="Times New Roman"/>
        </w:rPr>
        <w:lastRenderedPageBreak/>
        <w:t>short, we are faced with the equivalent of D1 and D2 each firing guns at C but only one of the guns being loaded. There are four possible responses.</w:t>
      </w:r>
    </w:p>
    <w:p w14:paraId="18714802"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708D722E" w14:textId="49892E9F" w:rsidR="00B133F6" w:rsidRPr="00550C35" w:rsidRDefault="00B133F6" w:rsidP="00550C35">
      <w:pPr>
        <w:spacing w:line="360" w:lineRule="auto"/>
        <w:ind w:firstLine="720"/>
        <w:jc w:val="both"/>
        <w:rPr>
          <w:rFonts w:ascii="Times New Roman" w:hAnsi="Times New Roman" w:cs="Times New Roman"/>
          <w:b/>
        </w:rPr>
      </w:pPr>
      <w:r w:rsidRPr="00550C35">
        <w:rPr>
          <w:rFonts w:ascii="Times New Roman" w:hAnsi="Times New Roman" w:cs="Times New Roman"/>
        </w:rPr>
        <w:t xml:space="preserve">First, the traditional tortious </w:t>
      </w:r>
      <w:r w:rsidR="00F31FF1">
        <w:rPr>
          <w:rFonts w:ascii="Times New Roman" w:hAnsi="Times New Roman" w:cs="Times New Roman"/>
        </w:rPr>
        <w:t>‘</w:t>
      </w:r>
      <w:r w:rsidRPr="00550C35">
        <w:rPr>
          <w:rFonts w:ascii="Times New Roman" w:hAnsi="Times New Roman" w:cs="Times New Roman"/>
        </w:rPr>
        <w:t>but for</w:t>
      </w:r>
      <w:r w:rsidR="00F31FF1">
        <w:rPr>
          <w:rFonts w:ascii="Times New Roman" w:hAnsi="Times New Roman" w:cs="Times New Roman"/>
        </w:rPr>
        <w:t>’</w:t>
      </w:r>
      <w:r w:rsidRPr="00550C35">
        <w:rPr>
          <w:rFonts w:ascii="Times New Roman" w:hAnsi="Times New Roman" w:cs="Times New Roman"/>
        </w:rPr>
        <w:t xml:space="preserve"> test of causation may be applied. C has to show on the balance of probabilities that the injuries were caused either by D1 or by D2. On our scenario he cannot do either, and so C bears his own financial loss (other than to the extent that, in the unlikely event, he has first party insurance) and D1 and D2 escape liability. It may be that there is evidence that one or other of the defendants is more likely to have caused the injury, by reason of intensity or duration of exposure, so that the balance of probabilities test is satisfied in respect of that defendant. Lord Phillips considered this kind of point in </w:t>
      </w:r>
      <w:r w:rsidRPr="00550C35">
        <w:rPr>
          <w:rFonts w:ascii="Times New Roman" w:hAnsi="Times New Roman" w:cs="Times New Roman"/>
          <w:i/>
        </w:rPr>
        <w:t>Sienkiewicz v Greif</w:t>
      </w:r>
      <w:r w:rsidRPr="00550C35">
        <w:rPr>
          <w:rFonts w:ascii="Times New Roman" w:hAnsi="Times New Roman" w:cs="Times New Roman"/>
        </w:rPr>
        <w:t>,</w:t>
      </w:r>
      <w:r w:rsidRPr="00550C35">
        <w:rPr>
          <w:rStyle w:val="FootnoteReference"/>
          <w:rFonts w:ascii="Times New Roman" w:hAnsi="Times New Roman" w:cs="Times New Roman"/>
        </w:rPr>
        <w:footnoteReference w:id="29"/>
      </w:r>
      <w:r w:rsidRPr="00550C35">
        <w:rPr>
          <w:rFonts w:ascii="Times New Roman" w:hAnsi="Times New Roman" w:cs="Times New Roman"/>
        </w:rPr>
        <w:t xml:space="preserve"> questioning why, if such issues could be used to define what proportion of risk was contributed by a particular defendant, they could not also be used to determine who was liable on balance of probabilities. He and the other members of the UK Supreme Court rejected this kind of reliance on epidemiological evidence, proposing that it was not sufficiently probative.</w:t>
      </w:r>
      <w:r w:rsidRPr="00550C35">
        <w:rPr>
          <w:rStyle w:val="FootnoteReference"/>
          <w:rFonts w:ascii="Times New Roman" w:hAnsi="Times New Roman" w:cs="Times New Roman"/>
        </w:rPr>
        <w:footnoteReference w:id="30"/>
      </w:r>
    </w:p>
    <w:p w14:paraId="527E377C" w14:textId="77777777" w:rsidR="00550C35" w:rsidRDefault="00550C35" w:rsidP="00550C35">
      <w:pPr>
        <w:spacing w:line="360" w:lineRule="auto"/>
        <w:jc w:val="both"/>
        <w:rPr>
          <w:rFonts w:ascii="Times New Roman" w:hAnsi="Times New Roman" w:cs="Times New Roman"/>
        </w:rPr>
      </w:pPr>
    </w:p>
    <w:p w14:paraId="7D6232E3" w14:textId="11ADDDAF"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Secondly, the law may adopt an artificial allocation of responsibility. Australian state workers’ compensation legislation, based upon the English Workmen’s Compensation Acts 1897 and 1906, arbitrarily lumps the entire liability on D2 as the last employer in the chai</w:t>
      </w:r>
      <w:r w:rsidR="004676CC" w:rsidRPr="00550C35">
        <w:rPr>
          <w:rFonts w:ascii="Times New Roman" w:hAnsi="Times New Roman" w:cs="Times New Roman"/>
        </w:rPr>
        <w:t>n</w:t>
      </w:r>
      <w:r w:rsidRPr="00550C35">
        <w:rPr>
          <w:rFonts w:ascii="Times New Roman" w:hAnsi="Times New Roman" w:cs="Times New Roman"/>
        </w:rPr>
        <w:t xml:space="preserve">.  </w:t>
      </w:r>
    </w:p>
    <w:p w14:paraId="6298E509" w14:textId="77777777" w:rsidR="00550C35" w:rsidRDefault="00550C35" w:rsidP="00550C35">
      <w:pPr>
        <w:spacing w:line="360" w:lineRule="auto"/>
        <w:jc w:val="both"/>
        <w:rPr>
          <w:rFonts w:ascii="Times New Roman" w:hAnsi="Times New Roman" w:cs="Times New Roman"/>
        </w:rPr>
      </w:pPr>
    </w:p>
    <w:p w14:paraId="3B472920" w14:textId="561E470F"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lastRenderedPageBreak/>
        <w:t>Thirdly, the law may take a robust approach to compensation, scrap proof of causation as a requirement for the imposition of liability and treat every tortious act by D1 or D2 capable of giving rise to the injury as having actually done so. This is the approach adopted by section 3 of the English Compensation Act 2006, although only in respect of mesothelioma claims. There is apportionment between D1 and D2, but in indemnity or contribution proceedings as provided for by the 2006 Act and not at the point of claim by C.</w:t>
      </w:r>
    </w:p>
    <w:p w14:paraId="1E977B44" w14:textId="77777777" w:rsidR="00550C35" w:rsidRDefault="00550C35" w:rsidP="00550C35">
      <w:pPr>
        <w:spacing w:line="360" w:lineRule="auto"/>
        <w:jc w:val="both"/>
        <w:rPr>
          <w:rFonts w:ascii="Times New Roman" w:hAnsi="Times New Roman" w:cs="Times New Roman"/>
        </w:rPr>
      </w:pPr>
    </w:p>
    <w:p w14:paraId="34017170" w14:textId="6340F304" w:rsidR="00C128FA"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Fourthly, a less robust approach, but also adopting the abandonment of proof of causation, is proportionality. This proved to be the common law solution to the problem in </w:t>
      </w:r>
      <w:r w:rsidRPr="00550C35">
        <w:rPr>
          <w:rFonts w:ascii="Times New Roman" w:hAnsi="Times New Roman" w:cs="Times New Roman"/>
          <w:i/>
        </w:rPr>
        <w:t>Barker v Corus</w:t>
      </w:r>
      <w:r w:rsidRPr="00550C35">
        <w:rPr>
          <w:rFonts w:ascii="Times New Roman" w:hAnsi="Times New Roman" w:cs="Times New Roman"/>
        </w:rPr>
        <w:t>,</w:t>
      </w:r>
      <w:r w:rsidRPr="00550C35">
        <w:rPr>
          <w:rStyle w:val="FootnoteReference"/>
          <w:rFonts w:ascii="Times New Roman" w:hAnsi="Times New Roman" w:cs="Times New Roman"/>
        </w:rPr>
        <w:footnoteReference w:id="31"/>
      </w:r>
      <w:r w:rsidRPr="00550C35">
        <w:rPr>
          <w:rFonts w:ascii="Times New Roman" w:hAnsi="Times New Roman" w:cs="Times New Roman"/>
        </w:rPr>
        <w:t xml:space="preserve"> following what had earlier been perceived as an initial flirtation with the third solution in </w:t>
      </w:r>
      <w:r w:rsidRPr="00550C35">
        <w:rPr>
          <w:rFonts w:ascii="Times New Roman" w:hAnsi="Times New Roman" w:cs="Times New Roman"/>
          <w:i/>
        </w:rPr>
        <w:t xml:space="preserve">Fairchild v </w:t>
      </w:r>
      <w:proofErr w:type="spellStart"/>
      <w:r w:rsidRPr="00550C35">
        <w:rPr>
          <w:rFonts w:ascii="Times New Roman" w:hAnsi="Times New Roman" w:cs="Times New Roman"/>
          <w:i/>
        </w:rPr>
        <w:t>Glenhaven</w:t>
      </w:r>
      <w:proofErr w:type="spellEnd"/>
      <w:r w:rsidRPr="00550C35">
        <w:rPr>
          <w:rFonts w:ascii="Times New Roman" w:hAnsi="Times New Roman" w:cs="Times New Roman"/>
          <w:i/>
        </w:rPr>
        <w:t xml:space="preserve"> Funeral Services</w:t>
      </w:r>
      <w:r w:rsidRPr="00550C35">
        <w:rPr>
          <w:rFonts w:ascii="Times New Roman" w:hAnsi="Times New Roman" w:cs="Times New Roman"/>
        </w:rPr>
        <w:t xml:space="preserve">. The House of Lords in </w:t>
      </w:r>
      <w:r w:rsidRPr="00550C35">
        <w:rPr>
          <w:rFonts w:ascii="Times New Roman" w:hAnsi="Times New Roman" w:cs="Times New Roman"/>
          <w:i/>
        </w:rPr>
        <w:t xml:space="preserve">Fairchild </w:t>
      </w:r>
      <w:r w:rsidRPr="00550C35">
        <w:rPr>
          <w:rFonts w:ascii="Times New Roman" w:hAnsi="Times New Roman" w:cs="Times New Roman"/>
        </w:rPr>
        <w:t>did not make any finding that the liability of each defendant should be restricted to a ‘share’ of damages, and indeed was not invited by the parties to consider apportionment – a fact that was mentioned by Lord Bingham.</w:t>
      </w:r>
      <w:r w:rsidRPr="00550C35">
        <w:rPr>
          <w:rStyle w:val="FootnoteReference"/>
          <w:rFonts w:ascii="Times New Roman" w:hAnsi="Times New Roman" w:cs="Times New Roman"/>
        </w:rPr>
        <w:footnoteReference w:id="32"/>
      </w:r>
      <w:r w:rsidRPr="00550C35">
        <w:rPr>
          <w:rFonts w:ascii="Times New Roman" w:hAnsi="Times New Roman" w:cs="Times New Roman"/>
        </w:rPr>
        <w:t xml:space="preserve"> In the absence of any such discussion, it was concluded by most, not unreasonably, that liability was in full. Presumably, settlement of the claims would have proceeded on this basis, and mesothelioma is</w:t>
      </w:r>
      <w:r w:rsidR="00084932">
        <w:rPr>
          <w:rFonts w:ascii="Times New Roman" w:hAnsi="Times New Roman" w:cs="Times New Roman"/>
        </w:rPr>
        <w:t>,</w:t>
      </w:r>
      <w:r w:rsidRPr="00550C35">
        <w:rPr>
          <w:rFonts w:ascii="Times New Roman" w:hAnsi="Times New Roman" w:cs="Times New Roman"/>
        </w:rPr>
        <w:t xml:space="preserve"> </w:t>
      </w:r>
      <w:r w:rsidR="00B67218" w:rsidRPr="00550C35">
        <w:rPr>
          <w:rFonts w:ascii="Times New Roman" w:hAnsi="Times New Roman" w:cs="Times New Roman"/>
        </w:rPr>
        <w:t>after all</w:t>
      </w:r>
      <w:r w:rsidR="00084932">
        <w:rPr>
          <w:rFonts w:ascii="Times New Roman" w:hAnsi="Times New Roman" w:cs="Times New Roman"/>
        </w:rPr>
        <w:t>,</w:t>
      </w:r>
      <w:r w:rsidR="00B67218" w:rsidRPr="00550C35">
        <w:rPr>
          <w:rFonts w:ascii="Times New Roman" w:hAnsi="Times New Roman" w:cs="Times New Roman"/>
        </w:rPr>
        <w:t xml:space="preserve"> </w:t>
      </w:r>
      <w:r w:rsidRPr="00550C35">
        <w:rPr>
          <w:rFonts w:ascii="Times New Roman" w:hAnsi="Times New Roman" w:cs="Times New Roman"/>
        </w:rPr>
        <w:t xml:space="preserve">an indivisible disease. </w:t>
      </w:r>
      <w:r w:rsidR="00A21E50" w:rsidRPr="00550C35">
        <w:rPr>
          <w:rFonts w:ascii="Times New Roman" w:hAnsi="Times New Roman" w:cs="Times New Roman"/>
        </w:rPr>
        <w:t xml:space="preserve">It </w:t>
      </w:r>
      <w:r w:rsidR="00C128FA" w:rsidRPr="00550C35">
        <w:rPr>
          <w:rFonts w:ascii="Times New Roman" w:hAnsi="Times New Roman" w:cs="Times New Roman"/>
        </w:rPr>
        <w:t>seems likely that the defendants were unwilling to urge the court to accept the notion of proportional liability, since liability insurers were at the same time defending claim</w:t>
      </w:r>
      <w:r w:rsidR="00A21E50" w:rsidRPr="00550C35">
        <w:rPr>
          <w:rFonts w:ascii="Times New Roman" w:hAnsi="Times New Roman" w:cs="Times New Roman"/>
        </w:rPr>
        <w:t>s</w:t>
      </w:r>
      <w:r w:rsidR="00C128FA" w:rsidRPr="00550C35">
        <w:rPr>
          <w:rFonts w:ascii="Times New Roman" w:hAnsi="Times New Roman" w:cs="Times New Roman"/>
        </w:rPr>
        <w:t xml:space="preserve"> in the pleural plaques litigation, their defence resting firmly on the position that causation of a risk of injury is not causation of injury. In the end, it turned out </w:t>
      </w:r>
      <w:r w:rsidR="00084932">
        <w:rPr>
          <w:rFonts w:ascii="Times New Roman" w:hAnsi="Times New Roman" w:cs="Times New Roman"/>
        </w:rPr>
        <w:t xml:space="preserve">that </w:t>
      </w:r>
      <w:r w:rsidR="00C128FA" w:rsidRPr="00550C35">
        <w:rPr>
          <w:rFonts w:ascii="Times New Roman" w:hAnsi="Times New Roman" w:cs="Times New Roman"/>
        </w:rPr>
        <w:t xml:space="preserve">the insurers could have it both ways: </w:t>
      </w:r>
      <w:r w:rsidR="00C128FA" w:rsidRPr="00550C35">
        <w:rPr>
          <w:rFonts w:ascii="Times New Roman" w:hAnsi="Times New Roman" w:cs="Times New Roman"/>
          <w:i/>
        </w:rPr>
        <w:t xml:space="preserve">Fairchild </w:t>
      </w:r>
      <w:r w:rsidR="00C128FA" w:rsidRPr="00550C35">
        <w:rPr>
          <w:rFonts w:ascii="Times New Roman" w:hAnsi="Times New Roman" w:cs="Times New Roman"/>
        </w:rPr>
        <w:t>could be interpreted as a proportional solution, while pleural plaques which merely act as a marker for the risk of serious injury could not themselves amount to an injury.</w:t>
      </w:r>
      <w:r w:rsidR="00C128FA" w:rsidRPr="00550C35">
        <w:rPr>
          <w:rStyle w:val="FootnoteReference"/>
          <w:rFonts w:ascii="Times New Roman" w:hAnsi="Times New Roman" w:cs="Times New Roman"/>
        </w:rPr>
        <w:footnoteReference w:id="33"/>
      </w:r>
      <w:r w:rsidR="00C128FA" w:rsidRPr="00550C35">
        <w:rPr>
          <w:rFonts w:ascii="Times New Roman" w:hAnsi="Times New Roman" w:cs="Times New Roman"/>
        </w:rPr>
        <w:t xml:space="preserve"> English law was not ready to </w:t>
      </w:r>
      <w:r w:rsidR="00A21E50" w:rsidRPr="00550C35">
        <w:rPr>
          <w:rFonts w:ascii="Times New Roman" w:hAnsi="Times New Roman" w:cs="Times New Roman"/>
        </w:rPr>
        <w:t>edge closer to</w:t>
      </w:r>
      <w:r w:rsidR="00C128FA" w:rsidRPr="00550C35">
        <w:rPr>
          <w:rFonts w:ascii="Times New Roman" w:hAnsi="Times New Roman" w:cs="Times New Roman"/>
        </w:rPr>
        <w:t xml:space="preserve"> recovery for ‘loss of chance’ in this form, but was ready to adopt proportional liability in the circumstances of </w:t>
      </w:r>
      <w:r w:rsidR="00C128FA" w:rsidRPr="00550C35">
        <w:rPr>
          <w:rFonts w:ascii="Times New Roman" w:hAnsi="Times New Roman" w:cs="Times New Roman"/>
          <w:i/>
        </w:rPr>
        <w:t>Fairchild</w:t>
      </w:r>
      <w:r w:rsidR="00C128FA" w:rsidRPr="00550C35">
        <w:rPr>
          <w:rFonts w:ascii="Times New Roman" w:hAnsi="Times New Roman" w:cs="Times New Roman"/>
        </w:rPr>
        <w:t>.</w:t>
      </w:r>
    </w:p>
    <w:p w14:paraId="54349177" w14:textId="77777777" w:rsidR="00550C35" w:rsidRDefault="00550C35" w:rsidP="00550C35">
      <w:pPr>
        <w:spacing w:line="360" w:lineRule="auto"/>
        <w:jc w:val="both"/>
        <w:rPr>
          <w:rFonts w:ascii="Times New Roman" w:hAnsi="Times New Roman" w:cs="Times New Roman"/>
        </w:rPr>
      </w:pPr>
    </w:p>
    <w:p w14:paraId="3669B419" w14:textId="4DB7D2DE"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Certainly, it appeared from </w:t>
      </w:r>
      <w:r w:rsidRPr="00550C35">
        <w:rPr>
          <w:rFonts w:ascii="Times New Roman" w:hAnsi="Times New Roman" w:cs="Times New Roman"/>
          <w:i/>
        </w:rPr>
        <w:t xml:space="preserve">Fairchild </w:t>
      </w:r>
      <w:r w:rsidRPr="00550C35">
        <w:rPr>
          <w:rFonts w:ascii="Times New Roman" w:hAnsi="Times New Roman" w:cs="Times New Roman"/>
        </w:rPr>
        <w:t xml:space="preserve">that the liability of each defendant was for causation of mesothelioma, given the impossibility of proving which exposures were fatal, and which were not.  The subsequent decision of the House of Lords in </w:t>
      </w:r>
      <w:r w:rsidRPr="00550C35">
        <w:rPr>
          <w:rFonts w:ascii="Times New Roman" w:hAnsi="Times New Roman" w:cs="Times New Roman"/>
          <w:i/>
        </w:rPr>
        <w:lastRenderedPageBreak/>
        <w:t xml:space="preserve">Barker v Corus </w:t>
      </w:r>
      <w:r w:rsidRPr="00550C35">
        <w:rPr>
          <w:rFonts w:ascii="Times New Roman" w:hAnsi="Times New Roman" w:cs="Times New Roman"/>
        </w:rPr>
        <w:t>took a further controversial step because</w:t>
      </w:r>
      <w:r w:rsidR="00084932">
        <w:rPr>
          <w:rFonts w:ascii="Times New Roman" w:hAnsi="Times New Roman" w:cs="Times New Roman"/>
        </w:rPr>
        <w:t>,</w:t>
      </w:r>
      <w:r w:rsidRPr="00550C35">
        <w:rPr>
          <w:rFonts w:ascii="Times New Roman" w:hAnsi="Times New Roman" w:cs="Times New Roman"/>
        </w:rPr>
        <w:t xml:space="preserve"> although it restricted the impact of </w:t>
      </w:r>
      <w:r w:rsidRPr="00550C35">
        <w:rPr>
          <w:rFonts w:ascii="Times New Roman" w:hAnsi="Times New Roman" w:cs="Times New Roman"/>
          <w:i/>
        </w:rPr>
        <w:t xml:space="preserve">Fairchild </w:t>
      </w:r>
      <w:r w:rsidRPr="00550C35">
        <w:rPr>
          <w:rFonts w:ascii="Times New Roman" w:hAnsi="Times New Roman" w:cs="Times New Roman"/>
        </w:rPr>
        <w:t>on defendants (an outcome which in practical terms was reversed in mesothelioma cases by the Compensation Act 2006),</w:t>
      </w:r>
      <w:r w:rsidRPr="00550C35">
        <w:rPr>
          <w:rStyle w:val="FootnoteReference"/>
          <w:rFonts w:ascii="Times New Roman" w:hAnsi="Times New Roman" w:cs="Times New Roman"/>
        </w:rPr>
        <w:footnoteReference w:id="34"/>
      </w:r>
      <w:r w:rsidRPr="00550C35">
        <w:rPr>
          <w:rFonts w:ascii="Times New Roman" w:hAnsi="Times New Roman" w:cs="Times New Roman"/>
        </w:rPr>
        <w:t xml:space="preserve"> in terms of legal principle it struck out afresh. </w:t>
      </w:r>
      <w:r w:rsidRPr="00550C35">
        <w:rPr>
          <w:rFonts w:ascii="Times New Roman" w:hAnsi="Times New Roman" w:cs="Times New Roman"/>
          <w:i/>
        </w:rPr>
        <w:t xml:space="preserve">Barker </w:t>
      </w:r>
      <w:r w:rsidRPr="00550C35">
        <w:rPr>
          <w:rFonts w:ascii="Times New Roman" w:hAnsi="Times New Roman" w:cs="Times New Roman"/>
        </w:rPr>
        <w:t xml:space="preserve">could be read as either (a) the first English decision to endorse proportionate liability for an indivisible disease, or (b) the first English decision awarding damages for exposure to risk, rather than for causation of injury. Nothing in the Compensation Act 2006 alters the impact of </w:t>
      </w:r>
      <w:r w:rsidRPr="00550C35">
        <w:rPr>
          <w:rFonts w:ascii="Times New Roman" w:hAnsi="Times New Roman" w:cs="Times New Roman"/>
          <w:i/>
        </w:rPr>
        <w:t xml:space="preserve">Barker </w:t>
      </w:r>
      <w:r w:rsidRPr="00550C35">
        <w:rPr>
          <w:rFonts w:ascii="Times New Roman" w:hAnsi="Times New Roman" w:cs="Times New Roman"/>
        </w:rPr>
        <w:t xml:space="preserve">on common law principles, so this choice of interpretation remains significant.  </w:t>
      </w:r>
    </w:p>
    <w:p w14:paraId="7FE0A97D" w14:textId="77777777" w:rsidR="00550C35" w:rsidRDefault="00550C35" w:rsidP="00550C35">
      <w:pPr>
        <w:spacing w:line="360" w:lineRule="auto"/>
        <w:jc w:val="both"/>
        <w:rPr>
          <w:rFonts w:ascii="Times New Roman" w:hAnsi="Times New Roman" w:cs="Times New Roman"/>
          <w:i/>
        </w:rPr>
      </w:pPr>
    </w:p>
    <w:p w14:paraId="102EF7D4" w14:textId="20217680"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In </w:t>
      </w:r>
      <w:r w:rsidRPr="00550C35">
        <w:rPr>
          <w:rFonts w:ascii="Times New Roman" w:hAnsi="Times New Roman" w:cs="Times New Roman"/>
          <w:i/>
        </w:rPr>
        <w:t>Durham v BAI (Trigger Litigation)</w:t>
      </w:r>
      <w:r w:rsidRPr="00550C35">
        <w:rPr>
          <w:rFonts w:ascii="Times New Roman" w:hAnsi="Times New Roman" w:cs="Times New Roman"/>
        </w:rPr>
        <w:t>,</w:t>
      </w:r>
      <w:r w:rsidR="00B67218" w:rsidRPr="00550C35">
        <w:rPr>
          <w:rStyle w:val="FootnoteReference"/>
          <w:rFonts w:ascii="Times New Roman" w:hAnsi="Times New Roman" w:cs="Times New Roman"/>
        </w:rPr>
        <w:footnoteReference w:id="35"/>
      </w:r>
      <w:r w:rsidRPr="00550C35">
        <w:rPr>
          <w:rFonts w:ascii="Times New Roman" w:hAnsi="Times New Roman" w:cs="Times New Roman"/>
          <w:i/>
        </w:rPr>
        <w:t xml:space="preserve"> </w:t>
      </w:r>
      <w:r w:rsidRPr="00550C35">
        <w:rPr>
          <w:rFonts w:ascii="Times New Roman" w:hAnsi="Times New Roman" w:cs="Times New Roman"/>
        </w:rPr>
        <w:t xml:space="preserve">the Supreme Court made clear that liability in both </w:t>
      </w:r>
      <w:r w:rsidRPr="00550C35">
        <w:rPr>
          <w:rFonts w:ascii="Times New Roman" w:hAnsi="Times New Roman" w:cs="Times New Roman"/>
          <w:i/>
        </w:rPr>
        <w:t xml:space="preserve">Fairchild </w:t>
      </w:r>
      <w:r w:rsidRPr="00550C35">
        <w:rPr>
          <w:rFonts w:ascii="Times New Roman" w:hAnsi="Times New Roman" w:cs="Times New Roman"/>
        </w:rPr>
        <w:t xml:space="preserve">and </w:t>
      </w:r>
      <w:r w:rsidRPr="00550C35">
        <w:rPr>
          <w:rFonts w:ascii="Times New Roman" w:hAnsi="Times New Roman" w:cs="Times New Roman"/>
          <w:i/>
        </w:rPr>
        <w:t xml:space="preserve">Barker </w:t>
      </w:r>
      <w:r w:rsidRPr="00550C35">
        <w:rPr>
          <w:rFonts w:ascii="Times New Roman" w:hAnsi="Times New Roman" w:cs="Times New Roman"/>
        </w:rPr>
        <w:t xml:space="preserve">is liability for the fatal mesothelioma incurred, and not for exposure to risk. Interpretation (b) therefore was ruled out. While it might have been thought that this implied the correctness of Lord Rodger’s dissenting opinion in </w:t>
      </w:r>
      <w:r w:rsidRPr="00550C35">
        <w:rPr>
          <w:rFonts w:ascii="Times New Roman" w:hAnsi="Times New Roman" w:cs="Times New Roman"/>
          <w:i/>
        </w:rPr>
        <w:t xml:space="preserve">Barker </w:t>
      </w:r>
      <w:r w:rsidRPr="00550C35">
        <w:rPr>
          <w:rFonts w:ascii="Times New Roman" w:hAnsi="Times New Roman" w:cs="Times New Roman"/>
        </w:rPr>
        <w:t xml:space="preserve">(supporting liability in full on the part of each </w:t>
      </w:r>
      <w:proofErr w:type="spellStart"/>
      <w:r w:rsidRPr="00550C35">
        <w:rPr>
          <w:rFonts w:ascii="Times New Roman" w:hAnsi="Times New Roman" w:cs="Times New Roman"/>
        </w:rPr>
        <w:t>tortfeasor</w:t>
      </w:r>
      <w:proofErr w:type="spellEnd"/>
      <w:r w:rsidRPr="00550C35">
        <w:rPr>
          <w:rFonts w:ascii="Times New Roman" w:hAnsi="Times New Roman" w:cs="Times New Roman"/>
        </w:rPr>
        <w:t xml:space="preserve">), the possibility of proportional recovery was not in issue in </w:t>
      </w:r>
      <w:r w:rsidRPr="00550C35">
        <w:rPr>
          <w:rFonts w:ascii="Times New Roman" w:hAnsi="Times New Roman" w:cs="Times New Roman"/>
          <w:i/>
        </w:rPr>
        <w:t>Durham v BAI</w:t>
      </w:r>
      <w:r w:rsidRPr="00550C35">
        <w:rPr>
          <w:rFonts w:ascii="Times New Roman" w:hAnsi="Times New Roman" w:cs="Times New Roman"/>
        </w:rPr>
        <w:t>, since s 3 of the Compensation Act 2006 applied, and the question therefore did not arise. Subsequently however</w:t>
      </w:r>
      <w:r w:rsidR="00084932">
        <w:rPr>
          <w:rFonts w:ascii="Times New Roman" w:hAnsi="Times New Roman" w:cs="Times New Roman"/>
        </w:rPr>
        <w:t>,</w:t>
      </w:r>
      <w:r w:rsidRPr="00550C35">
        <w:rPr>
          <w:rFonts w:ascii="Times New Roman" w:hAnsi="Times New Roman" w:cs="Times New Roman"/>
        </w:rPr>
        <w:t xml:space="preserve"> in </w:t>
      </w:r>
      <w:r w:rsidRPr="00550C35">
        <w:rPr>
          <w:rFonts w:ascii="Times New Roman" w:hAnsi="Times New Roman" w:cs="Times New Roman"/>
          <w:i/>
        </w:rPr>
        <w:t>International Energy Group v Zurich Insurance Plc UK</w:t>
      </w:r>
      <w:r w:rsidRPr="00550C35">
        <w:rPr>
          <w:rFonts w:ascii="Times New Roman" w:hAnsi="Times New Roman" w:cs="Times New Roman"/>
        </w:rPr>
        <w:t xml:space="preserve">, interpretation (a) was adopted: under </w:t>
      </w:r>
      <w:r w:rsidRPr="00550C35">
        <w:rPr>
          <w:rFonts w:ascii="Times New Roman" w:hAnsi="Times New Roman" w:cs="Times New Roman"/>
          <w:i/>
        </w:rPr>
        <w:t>Barker</w:t>
      </w:r>
      <w:r w:rsidRPr="00550C35">
        <w:rPr>
          <w:rFonts w:ascii="Times New Roman" w:hAnsi="Times New Roman" w:cs="Times New Roman"/>
        </w:rPr>
        <w:t xml:space="preserve">, each exposure is a tortious act, and the tort (it was clearly determined in </w:t>
      </w:r>
      <w:r w:rsidRPr="00550C35">
        <w:rPr>
          <w:rFonts w:ascii="Times New Roman" w:hAnsi="Times New Roman" w:cs="Times New Roman"/>
          <w:i/>
        </w:rPr>
        <w:t>Trigger</w:t>
      </w:r>
      <w:r w:rsidRPr="00550C35">
        <w:rPr>
          <w:rFonts w:ascii="Times New Roman" w:hAnsi="Times New Roman" w:cs="Times New Roman"/>
        </w:rPr>
        <w:t xml:space="preserve">) is complete when injury is sustained; however, each </w:t>
      </w:r>
      <w:proofErr w:type="spellStart"/>
      <w:r w:rsidRPr="00550C35">
        <w:rPr>
          <w:rFonts w:ascii="Times New Roman" w:hAnsi="Times New Roman" w:cs="Times New Roman"/>
        </w:rPr>
        <w:t>tortfeasor</w:t>
      </w:r>
      <w:proofErr w:type="spellEnd"/>
      <w:r w:rsidRPr="00550C35">
        <w:rPr>
          <w:rFonts w:ascii="Times New Roman" w:hAnsi="Times New Roman" w:cs="Times New Roman"/>
        </w:rPr>
        <w:t xml:space="preserve"> is liable only for a proportion of the loss, reflecting the extent to which his own misconduct might be thought to have contributed to it. This will reflect the degree to which the defendant contributed to the </w:t>
      </w:r>
      <w:r w:rsidRPr="00550C35">
        <w:rPr>
          <w:rFonts w:ascii="Times New Roman" w:hAnsi="Times New Roman" w:cs="Times New Roman"/>
          <w:i/>
        </w:rPr>
        <w:t xml:space="preserve">risk </w:t>
      </w:r>
      <w:r w:rsidRPr="00550C35">
        <w:rPr>
          <w:rFonts w:ascii="Times New Roman" w:hAnsi="Times New Roman" w:cs="Times New Roman"/>
        </w:rPr>
        <w:t xml:space="preserve">of development of mesothelioma. If we were to assume consistency of intensity of exposure over the relevant period (unrealistic though this may be in many instances), each </w:t>
      </w:r>
      <w:proofErr w:type="spellStart"/>
      <w:r w:rsidRPr="00550C35">
        <w:rPr>
          <w:rFonts w:ascii="Times New Roman" w:hAnsi="Times New Roman" w:cs="Times New Roman"/>
        </w:rPr>
        <w:t>tortfeasor</w:t>
      </w:r>
      <w:proofErr w:type="spellEnd"/>
      <w:r w:rsidRPr="00550C35">
        <w:rPr>
          <w:rFonts w:ascii="Times New Roman" w:hAnsi="Times New Roman" w:cs="Times New Roman"/>
        </w:rPr>
        <w:t xml:space="preserve"> faces liability for his own proportion of the total exposure period. But many other variables may be in play. </w:t>
      </w:r>
    </w:p>
    <w:p w14:paraId="2D761ABC" w14:textId="77777777" w:rsidR="00550C35" w:rsidRDefault="00550C35" w:rsidP="00550C35">
      <w:pPr>
        <w:spacing w:line="360" w:lineRule="auto"/>
        <w:jc w:val="both"/>
        <w:rPr>
          <w:rFonts w:ascii="Times New Roman" w:hAnsi="Times New Roman" w:cs="Times New Roman"/>
        </w:rPr>
      </w:pPr>
    </w:p>
    <w:p w14:paraId="74E64433" w14:textId="0296581E"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What is notable is that the common law here has sought to produce, between claimant and defendant, a result which appears to be akin to the one achieved in the Civil Liability (Contribution) Act 1978 between </w:t>
      </w:r>
      <w:proofErr w:type="spellStart"/>
      <w:r w:rsidRPr="00550C35">
        <w:rPr>
          <w:rFonts w:ascii="Times New Roman" w:hAnsi="Times New Roman" w:cs="Times New Roman"/>
        </w:rPr>
        <w:t>tortfeasors</w:t>
      </w:r>
      <w:proofErr w:type="spellEnd"/>
      <w:r w:rsidRPr="00550C35">
        <w:rPr>
          <w:rFonts w:ascii="Times New Roman" w:hAnsi="Times New Roman" w:cs="Times New Roman"/>
        </w:rPr>
        <w:t xml:space="preserve">. However, the </w:t>
      </w:r>
      <w:r w:rsidR="00F83F47" w:rsidRPr="00550C35">
        <w:rPr>
          <w:rFonts w:ascii="Times New Roman" w:hAnsi="Times New Roman" w:cs="Times New Roman"/>
        </w:rPr>
        <w:t xml:space="preserve">latter </w:t>
      </w:r>
      <w:r w:rsidRPr="00550C35">
        <w:rPr>
          <w:rFonts w:ascii="Times New Roman" w:hAnsi="Times New Roman" w:cs="Times New Roman"/>
        </w:rPr>
        <w:t xml:space="preserve">statutory approach is openly based on broad-brushed principles of equity as we have seen, evidently allowing for impressionistic judgment and allowing for consideration </w:t>
      </w:r>
      <w:r w:rsidRPr="00550C35">
        <w:rPr>
          <w:rFonts w:ascii="Times New Roman" w:hAnsi="Times New Roman" w:cs="Times New Roman"/>
        </w:rPr>
        <w:lastRenderedPageBreak/>
        <w:t>of factors that are not causative where appropriate. Like the contributory negligence legislation, it makes no spurious claim to exactness.</w:t>
      </w:r>
      <w:r w:rsidRPr="00550C35">
        <w:rPr>
          <w:rStyle w:val="FootnoteReference"/>
          <w:rFonts w:ascii="Times New Roman" w:hAnsi="Times New Roman" w:cs="Times New Roman"/>
        </w:rPr>
        <w:footnoteReference w:id="36"/>
      </w:r>
      <w:r w:rsidRPr="00550C35">
        <w:rPr>
          <w:rFonts w:ascii="Times New Roman" w:hAnsi="Times New Roman" w:cs="Times New Roman"/>
        </w:rPr>
        <w:t xml:space="preserve"> The common law</w:t>
      </w:r>
      <w:r w:rsidR="00084932">
        <w:rPr>
          <w:rFonts w:ascii="Times New Roman" w:hAnsi="Times New Roman" w:cs="Times New Roman"/>
        </w:rPr>
        <w:t>,</w:t>
      </w:r>
      <w:r w:rsidRPr="00550C35">
        <w:rPr>
          <w:rFonts w:ascii="Times New Roman" w:hAnsi="Times New Roman" w:cs="Times New Roman"/>
        </w:rPr>
        <w:t xml:space="preserve"> on the other hand</w:t>
      </w:r>
      <w:r w:rsidR="00084932">
        <w:rPr>
          <w:rFonts w:ascii="Times New Roman" w:hAnsi="Times New Roman" w:cs="Times New Roman"/>
        </w:rPr>
        <w:t>,</w:t>
      </w:r>
      <w:r w:rsidRPr="00550C35">
        <w:rPr>
          <w:rFonts w:ascii="Times New Roman" w:hAnsi="Times New Roman" w:cs="Times New Roman"/>
        </w:rPr>
        <w:t xml:space="preserve"> tends to operate through – or at least with </w:t>
      </w:r>
      <w:r w:rsidR="00084932" w:rsidRPr="00550C35">
        <w:rPr>
          <w:rFonts w:ascii="Times New Roman" w:hAnsi="Times New Roman" w:cs="Times New Roman"/>
        </w:rPr>
        <w:t>–</w:t>
      </w:r>
      <w:r w:rsidRPr="00550C35">
        <w:rPr>
          <w:rFonts w:ascii="Times New Roman" w:hAnsi="Times New Roman" w:cs="Times New Roman"/>
        </w:rPr>
        <w:t xml:space="preserve"> appeals to principle. The embrace of proportionate liability in </w:t>
      </w:r>
      <w:r w:rsidRPr="00550C35">
        <w:rPr>
          <w:rFonts w:ascii="Times New Roman" w:hAnsi="Times New Roman" w:cs="Times New Roman"/>
          <w:i/>
        </w:rPr>
        <w:t>Barker</w:t>
      </w:r>
      <w:r w:rsidRPr="00550C35">
        <w:rPr>
          <w:rFonts w:ascii="Times New Roman" w:hAnsi="Times New Roman" w:cs="Times New Roman"/>
        </w:rPr>
        <w:t xml:space="preserve">, </w:t>
      </w:r>
      <w:r w:rsidR="000C1D75">
        <w:rPr>
          <w:rFonts w:ascii="Times New Roman" w:hAnsi="Times New Roman" w:cs="Times New Roman"/>
        </w:rPr>
        <w:t xml:space="preserve">as </w:t>
      </w:r>
      <w:r w:rsidRPr="00550C35">
        <w:rPr>
          <w:rFonts w:ascii="Times New Roman" w:hAnsi="Times New Roman" w:cs="Times New Roman"/>
        </w:rPr>
        <w:t xml:space="preserve">confirmed by </w:t>
      </w:r>
      <w:r w:rsidRPr="00550C35">
        <w:rPr>
          <w:rFonts w:ascii="Times New Roman" w:hAnsi="Times New Roman" w:cs="Times New Roman"/>
          <w:i/>
        </w:rPr>
        <w:t>IEG</w:t>
      </w:r>
      <w:r w:rsidRPr="00550C35">
        <w:rPr>
          <w:rFonts w:ascii="Times New Roman" w:hAnsi="Times New Roman" w:cs="Times New Roman"/>
        </w:rPr>
        <w:t>, is likely a somewhat different beast from the Civil Liability (Contribution) Act 1978; and</w:t>
      </w:r>
      <w:r w:rsidR="006B1C20">
        <w:rPr>
          <w:rFonts w:ascii="Times New Roman" w:hAnsi="Times New Roman" w:cs="Times New Roman"/>
        </w:rPr>
        <w:t>,</w:t>
      </w:r>
      <w:r w:rsidRPr="00550C35">
        <w:rPr>
          <w:rFonts w:ascii="Times New Roman" w:hAnsi="Times New Roman" w:cs="Times New Roman"/>
        </w:rPr>
        <w:t xml:space="preserve"> to the extent that it operates beyond the disease of mesothelioma, or outside the operation of the Compensation Act,</w:t>
      </w:r>
      <w:r w:rsidRPr="00550C35">
        <w:rPr>
          <w:rStyle w:val="FootnoteReference"/>
          <w:rFonts w:ascii="Times New Roman" w:hAnsi="Times New Roman" w:cs="Times New Roman"/>
        </w:rPr>
        <w:footnoteReference w:id="37"/>
      </w:r>
      <w:r w:rsidRPr="00550C35">
        <w:rPr>
          <w:rFonts w:ascii="Times New Roman" w:hAnsi="Times New Roman" w:cs="Times New Roman"/>
        </w:rPr>
        <w:t xml:space="preserve"> it certainly has different implications for claimants.</w:t>
      </w:r>
    </w:p>
    <w:p w14:paraId="37E6C84D"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40D33D9B" w14:textId="6E7F5BD9"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Returning to our exposure problem and its possible solutions, we can see that only the first response deprives C of compensation altogether. All the others allow C to recover, but</w:t>
      </w:r>
      <w:r w:rsidR="006B1C20">
        <w:rPr>
          <w:rFonts w:ascii="Times New Roman" w:hAnsi="Times New Roman" w:cs="Times New Roman"/>
        </w:rPr>
        <w:t>,</w:t>
      </w:r>
      <w:r w:rsidRPr="00550C35">
        <w:rPr>
          <w:rFonts w:ascii="Times New Roman" w:hAnsi="Times New Roman" w:cs="Times New Roman"/>
        </w:rPr>
        <w:t xml:space="preserve"> leaving aside the case of divisible injury,</w:t>
      </w:r>
      <w:r w:rsidRPr="00550C35">
        <w:rPr>
          <w:rStyle w:val="FootnoteReference"/>
          <w:rFonts w:ascii="Times New Roman" w:hAnsi="Times New Roman" w:cs="Times New Roman"/>
        </w:rPr>
        <w:footnoteReference w:id="38"/>
      </w:r>
      <w:r w:rsidRPr="00550C35">
        <w:rPr>
          <w:rFonts w:ascii="Times New Roman" w:hAnsi="Times New Roman" w:cs="Times New Roman"/>
        </w:rPr>
        <w:t xml:space="preserve"> each of them does so at the cost of the traditional need to establish </w:t>
      </w:r>
      <w:r w:rsidR="00F31FF1">
        <w:rPr>
          <w:rFonts w:ascii="Times New Roman" w:hAnsi="Times New Roman" w:cs="Times New Roman"/>
        </w:rPr>
        <w:t>‘</w:t>
      </w:r>
      <w:r w:rsidRPr="00550C35">
        <w:rPr>
          <w:rFonts w:ascii="Times New Roman" w:hAnsi="Times New Roman" w:cs="Times New Roman"/>
        </w:rPr>
        <w:t>but for</w:t>
      </w:r>
      <w:r w:rsidR="00F31FF1">
        <w:rPr>
          <w:rFonts w:ascii="Times New Roman" w:hAnsi="Times New Roman" w:cs="Times New Roman"/>
        </w:rPr>
        <w:t>’</w:t>
      </w:r>
      <w:r w:rsidRPr="00550C35">
        <w:rPr>
          <w:rFonts w:ascii="Times New Roman" w:hAnsi="Times New Roman" w:cs="Times New Roman"/>
        </w:rPr>
        <w:t xml:space="preserve"> causation. So, traditional causation rules must take a bow if it is thought appropriate for C to be compensated.</w:t>
      </w:r>
      <w:r w:rsidR="00F83F47" w:rsidRPr="00550C35">
        <w:rPr>
          <w:rFonts w:ascii="Times New Roman" w:hAnsi="Times New Roman" w:cs="Times New Roman"/>
        </w:rPr>
        <w:t xml:space="preserve"> Of course, what is being abandoned would appear to be merely the need to </w:t>
      </w:r>
      <w:r w:rsidR="00F83F47" w:rsidRPr="00550C35">
        <w:rPr>
          <w:rFonts w:ascii="Times New Roman" w:hAnsi="Times New Roman" w:cs="Times New Roman"/>
          <w:i/>
        </w:rPr>
        <w:t xml:space="preserve">prove </w:t>
      </w:r>
      <w:r w:rsidR="00F83F47" w:rsidRPr="00550C35">
        <w:rPr>
          <w:rFonts w:ascii="Times New Roman" w:hAnsi="Times New Roman" w:cs="Times New Roman"/>
        </w:rPr>
        <w:t xml:space="preserve">causation, since this is considered impossible. </w:t>
      </w:r>
      <w:r w:rsidR="00EE6D61" w:rsidRPr="00550C35">
        <w:rPr>
          <w:rFonts w:ascii="Times New Roman" w:hAnsi="Times New Roman" w:cs="Times New Roman"/>
        </w:rPr>
        <w:t xml:space="preserve">The solutions would not apply to a defendant who could be proven not to be a cause. </w:t>
      </w:r>
      <w:r w:rsidR="00F83F47" w:rsidRPr="00550C35">
        <w:rPr>
          <w:rFonts w:ascii="Times New Roman" w:hAnsi="Times New Roman" w:cs="Times New Roman"/>
        </w:rPr>
        <w:t>But in the face of impossibility</w:t>
      </w:r>
      <w:r w:rsidR="00EE6D61" w:rsidRPr="00550C35">
        <w:rPr>
          <w:rFonts w:ascii="Times New Roman" w:hAnsi="Times New Roman" w:cs="Times New Roman"/>
        </w:rPr>
        <w:t xml:space="preserve"> of proof</w:t>
      </w:r>
      <w:r w:rsidR="00F83F47" w:rsidRPr="00550C35">
        <w:rPr>
          <w:rFonts w:ascii="Times New Roman" w:hAnsi="Times New Roman" w:cs="Times New Roman"/>
        </w:rPr>
        <w:t>, selecting the relevant approach necessarily involves appeal to something other than causation.</w:t>
      </w:r>
    </w:p>
    <w:p w14:paraId="1611F5C1"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26F37A90" w14:textId="77777777" w:rsidR="006B1C20"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Leaving aside the specific public policy </w:t>
      </w:r>
      <w:proofErr w:type="gramStart"/>
      <w:r w:rsidRPr="00550C35">
        <w:rPr>
          <w:rFonts w:ascii="Times New Roman" w:hAnsi="Times New Roman" w:cs="Times New Roman"/>
        </w:rPr>
        <w:t>issues arising from asbestos and mesothelioma – and the existence of a special statutory scheme in the UK for compensation in such cases</w:t>
      </w:r>
      <w:r w:rsidRPr="00550C35">
        <w:rPr>
          <w:rStyle w:val="FootnoteReference"/>
          <w:rFonts w:ascii="Times New Roman" w:hAnsi="Times New Roman" w:cs="Times New Roman"/>
        </w:rPr>
        <w:footnoteReference w:id="39"/>
      </w:r>
      <w:r w:rsidRPr="00550C35">
        <w:rPr>
          <w:rFonts w:ascii="Times New Roman" w:hAnsi="Times New Roman" w:cs="Times New Roman"/>
        </w:rPr>
        <w:t xml:space="preserve"> demonstrates</w:t>
      </w:r>
      <w:proofErr w:type="gramEnd"/>
      <w:r w:rsidRPr="00550C35">
        <w:rPr>
          <w:rFonts w:ascii="Times New Roman" w:hAnsi="Times New Roman" w:cs="Times New Roman"/>
        </w:rPr>
        <w:t xml:space="preserve"> that wider considerations are at play in this context – the question is whether the sacrifice of causa</w:t>
      </w:r>
      <w:r w:rsidR="00EE6D61" w:rsidRPr="00550C35">
        <w:rPr>
          <w:rFonts w:ascii="Times New Roman" w:hAnsi="Times New Roman" w:cs="Times New Roman"/>
        </w:rPr>
        <w:t>l principles</w:t>
      </w:r>
      <w:r w:rsidRPr="00550C35">
        <w:rPr>
          <w:rFonts w:ascii="Times New Roman" w:hAnsi="Times New Roman" w:cs="Times New Roman"/>
        </w:rPr>
        <w:t xml:space="preserve"> is</w:t>
      </w:r>
      <w:r w:rsidR="00A21E50" w:rsidRPr="00550C35">
        <w:rPr>
          <w:rFonts w:ascii="Times New Roman" w:hAnsi="Times New Roman" w:cs="Times New Roman"/>
        </w:rPr>
        <w:t xml:space="preserve"> warranted</w:t>
      </w:r>
      <w:r w:rsidRPr="00550C35">
        <w:rPr>
          <w:rFonts w:ascii="Times New Roman" w:hAnsi="Times New Roman" w:cs="Times New Roman"/>
        </w:rPr>
        <w:t xml:space="preserve">. It may be that each of the underpinning purposes of tort – deterrence, punishment, compensation, risk-spreading – point towards the victim’s right to recover: victims typically do not have any or adequate first party insurance; few can bear the financial </w:t>
      </w:r>
      <w:r w:rsidRPr="00550C35">
        <w:rPr>
          <w:rFonts w:ascii="Times New Roman" w:hAnsi="Times New Roman" w:cs="Times New Roman"/>
        </w:rPr>
        <w:lastRenderedPageBreak/>
        <w:t xml:space="preserve">burdens of what may be inflicted on them; and state support is unlikely to be adequate, even in the most enlightened of nations. </w:t>
      </w:r>
      <w:r w:rsidR="00081772" w:rsidRPr="00550C35">
        <w:rPr>
          <w:rFonts w:ascii="Times New Roman" w:hAnsi="Times New Roman" w:cs="Times New Roman"/>
        </w:rPr>
        <w:t xml:space="preserve">Alternatively, a fairness-based approach may be adopted: each party who breaches their duty leading to exposure to risk also contributes to the impossibility of proving causation, and it is better that these wrongdoers bear the cost of this impossibility. Though this may appear principled, it is nevertheless a novel principle for tort law to adopt. </w:t>
      </w:r>
      <w:r w:rsidR="00A21E50" w:rsidRPr="00550C35">
        <w:rPr>
          <w:rFonts w:ascii="Times New Roman" w:hAnsi="Times New Roman" w:cs="Times New Roman"/>
        </w:rPr>
        <w:t xml:space="preserve">It reaches for a pragmatic solution on principled (fairness) grounds. </w:t>
      </w:r>
      <w:r w:rsidRPr="00550C35">
        <w:rPr>
          <w:rFonts w:ascii="Times New Roman" w:hAnsi="Times New Roman" w:cs="Times New Roman"/>
        </w:rPr>
        <w:t xml:space="preserve">Tort scholars have been mixed in their response, but there have been distinguished and loud condemnatory voices ranged against the </w:t>
      </w:r>
      <w:r w:rsidRPr="00550C35">
        <w:rPr>
          <w:rFonts w:ascii="Times New Roman" w:hAnsi="Times New Roman" w:cs="Times New Roman"/>
          <w:i/>
        </w:rPr>
        <w:t xml:space="preserve">Fairchild </w:t>
      </w:r>
      <w:r w:rsidRPr="00550C35">
        <w:rPr>
          <w:rFonts w:ascii="Times New Roman" w:hAnsi="Times New Roman" w:cs="Times New Roman"/>
        </w:rPr>
        <w:t xml:space="preserve">and </w:t>
      </w:r>
      <w:r w:rsidRPr="00550C35">
        <w:rPr>
          <w:rFonts w:ascii="Times New Roman" w:hAnsi="Times New Roman" w:cs="Times New Roman"/>
          <w:i/>
        </w:rPr>
        <w:t xml:space="preserve">Barker </w:t>
      </w:r>
      <w:r w:rsidRPr="00550C35">
        <w:rPr>
          <w:rFonts w:ascii="Times New Roman" w:hAnsi="Times New Roman" w:cs="Times New Roman"/>
        </w:rPr>
        <w:t xml:space="preserve">line of cases. Yes, compensation has been achieved, but at too high a price to established legal principle. The argument runs that </w:t>
      </w:r>
      <w:r w:rsidRPr="00550C35">
        <w:rPr>
          <w:rFonts w:ascii="Times New Roman" w:hAnsi="Times New Roman" w:cs="Times New Roman"/>
          <w:i/>
        </w:rPr>
        <w:t xml:space="preserve">Fairchild </w:t>
      </w:r>
      <w:r w:rsidRPr="00550C35">
        <w:rPr>
          <w:rFonts w:ascii="Times New Roman" w:hAnsi="Times New Roman" w:cs="Times New Roman"/>
        </w:rPr>
        <w:t>is an anomaly and should not be extended any further</w:t>
      </w:r>
      <w:r w:rsidR="00081772" w:rsidRPr="00550C35">
        <w:rPr>
          <w:rFonts w:ascii="Times New Roman" w:hAnsi="Times New Roman" w:cs="Times New Roman"/>
        </w:rPr>
        <w:t>.</w:t>
      </w:r>
      <w:r w:rsidRPr="00550C35">
        <w:rPr>
          <w:rStyle w:val="FootnoteReference"/>
          <w:rFonts w:ascii="Times New Roman" w:hAnsi="Times New Roman" w:cs="Times New Roman"/>
        </w:rPr>
        <w:footnoteReference w:id="40"/>
      </w:r>
      <w:r w:rsidRPr="00550C35">
        <w:rPr>
          <w:rFonts w:ascii="Times New Roman" w:hAnsi="Times New Roman" w:cs="Times New Roman"/>
        </w:rPr>
        <w:t xml:space="preserve"> </w:t>
      </w:r>
      <w:r w:rsidR="00081772" w:rsidRPr="00550C35">
        <w:rPr>
          <w:rFonts w:ascii="Times New Roman" w:hAnsi="Times New Roman" w:cs="Times New Roman"/>
        </w:rPr>
        <w:t>Nevertheless</w:t>
      </w:r>
      <w:r w:rsidRPr="00550C35">
        <w:rPr>
          <w:rFonts w:ascii="Times New Roman" w:hAnsi="Times New Roman" w:cs="Times New Roman"/>
        </w:rPr>
        <w:t xml:space="preserve">, </w:t>
      </w:r>
      <w:r w:rsidRPr="00550C35">
        <w:rPr>
          <w:rFonts w:ascii="Times New Roman" w:hAnsi="Times New Roman" w:cs="Times New Roman"/>
          <w:i/>
        </w:rPr>
        <w:t xml:space="preserve">Fairchild </w:t>
      </w:r>
      <w:r w:rsidRPr="00550C35">
        <w:rPr>
          <w:rFonts w:ascii="Times New Roman" w:hAnsi="Times New Roman" w:cs="Times New Roman"/>
        </w:rPr>
        <w:t>has been extended to occupational lung cancer</w:t>
      </w:r>
      <w:r w:rsidR="00081772" w:rsidRPr="00550C35">
        <w:rPr>
          <w:rFonts w:ascii="Times New Roman" w:hAnsi="Times New Roman" w:cs="Times New Roman"/>
        </w:rPr>
        <w:t xml:space="preserve"> resulting (on balance of probabilities) from exposure to asbestos</w:t>
      </w:r>
      <w:r w:rsidRPr="00550C35">
        <w:rPr>
          <w:rFonts w:ascii="Times New Roman" w:hAnsi="Times New Roman" w:cs="Times New Roman"/>
        </w:rPr>
        <w:t>.</w:t>
      </w:r>
      <w:r w:rsidRPr="00550C35">
        <w:rPr>
          <w:rStyle w:val="FootnoteReference"/>
          <w:rFonts w:ascii="Times New Roman" w:hAnsi="Times New Roman" w:cs="Times New Roman"/>
        </w:rPr>
        <w:footnoteReference w:id="41"/>
      </w:r>
      <w:r w:rsidR="00081772" w:rsidRPr="00550C35">
        <w:rPr>
          <w:rFonts w:ascii="Times New Roman" w:hAnsi="Times New Roman" w:cs="Times New Roman"/>
        </w:rPr>
        <w:t xml:space="preserve"> The Court of Appeal stated that </w:t>
      </w:r>
      <w:r w:rsidR="00081772" w:rsidRPr="00550C35">
        <w:rPr>
          <w:rFonts w:ascii="Times New Roman" w:hAnsi="Times New Roman" w:cs="Times New Roman"/>
          <w:i/>
        </w:rPr>
        <w:t xml:space="preserve">Fairchild </w:t>
      </w:r>
      <w:r w:rsidR="00081772" w:rsidRPr="00550C35">
        <w:rPr>
          <w:rFonts w:ascii="Times New Roman" w:hAnsi="Times New Roman" w:cs="Times New Roman"/>
        </w:rPr>
        <w:t>would apply wherever its preconditions were present.</w:t>
      </w:r>
      <w:r w:rsidR="00EE6D61" w:rsidRPr="00550C35">
        <w:rPr>
          <w:rFonts w:ascii="Times New Roman" w:hAnsi="Times New Roman" w:cs="Times New Roman"/>
        </w:rPr>
        <w:t xml:space="preserve"> As Lord Dyson put it, </w:t>
      </w:r>
    </w:p>
    <w:p w14:paraId="6993A9FC" w14:textId="77777777" w:rsidR="006B1C20" w:rsidRDefault="006B1C20" w:rsidP="00550C35">
      <w:pPr>
        <w:spacing w:line="360" w:lineRule="auto"/>
        <w:ind w:firstLine="720"/>
        <w:jc w:val="both"/>
        <w:rPr>
          <w:rFonts w:ascii="Times New Roman" w:hAnsi="Times New Roman" w:cs="Times New Roman"/>
        </w:rPr>
      </w:pPr>
    </w:p>
    <w:p w14:paraId="60ED0CB9" w14:textId="71AB2BEE" w:rsidR="006B1C20" w:rsidRPr="006B1C20" w:rsidRDefault="00C51337" w:rsidP="006B1C20">
      <w:pPr>
        <w:spacing w:line="360" w:lineRule="auto"/>
        <w:ind w:left="720"/>
        <w:jc w:val="both"/>
        <w:rPr>
          <w:rFonts w:ascii="Times New Roman" w:hAnsi="Times New Roman" w:cs="Times New Roman"/>
          <w:sz w:val="22"/>
          <w:szCs w:val="22"/>
        </w:rPr>
      </w:pPr>
      <w:r w:rsidRPr="006B1C20">
        <w:rPr>
          <w:rFonts w:ascii="Times New Roman" w:hAnsi="Times New Roman" w:cs="Times New Roman"/>
          <w:sz w:val="22"/>
          <w:szCs w:val="22"/>
        </w:rPr>
        <w:t xml:space="preserve">I can see no reason not to apply the </w:t>
      </w:r>
      <w:r w:rsidRPr="006B1C20">
        <w:rPr>
          <w:rFonts w:ascii="Times New Roman" w:hAnsi="Times New Roman" w:cs="Times New Roman"/>
          <w:i/>
          <w:sz w:val="22"/>
          <w:szCs w:val="22"/>
        </w:rPr>
        <w:t>Fairchild</w:t>
      </w:r>
      <w:r w:rsidRPr="006B1C20">
        <w:rPr>
          <w:rFonts w:ascii="Times New Roman" w:hAnsi="Times New Roman" w:cs="Times New Roman"/>
          <w:sz w:val="22"/>
          <w:szCs w:val="22"/>
        </w:rPr>
        <w:t xml:space="preserve"> exception to the facts of the present case. There can be no objection in principle to extending it to situations which are not materially different from Fairchild’s case. Indeed, principle requires that in a situation which is truly analogous to that considered in that case, the Fairchild exception should be applied. Otherwise, the law in this area would be inconsistent</w:t>
      </w:r>
      <w:r w:rsidRPr="00550C35">
        <w:rPr>
          <w:rFonts w:ascii="Times New Roman" w:hAnsi="Times New Roman" w:cs="Times New Roman"/>
        </w:rPr>
        <w:t xml:space="preserve"> </w:t>
      </w:r>
      <w:r w:rsidRPr="006B1C20">
        <w:rPr>
          <w:rFonts w:ascii="Times New Roman" w:hAnsi="Times New Roman" w:cs="Times New Roman"/>
          <w:sz w:val="22"/>
          <w:szCs w:val="22"/>
        </w:rPr>
        <w:t>and incoherent.</w:t>
      </w:r>
    </w:p>
    <w:p w14:paraId="13809885" w14:textId="77777777" w:rsidR="006B1C20" w:rsidRDefault="006B1C20" w:rsidP="00550C35">
      <w:pPr>
        <w:spacing w:line="360" w:lineRule="auto"/>
        <w:ind w:firstLine="720"/>
        <w:jc w:val="both"/>
        <w:rPr>
          <w:rFonts w:ascii="Times New Roman" w:hAnsi="Times New Roman" w:cs="Times New Roman"/>
        </w:rPr>
      </w:pPr>
    </w:p>
    <w:p w14:paraId="02EF3E80" w14:textId="4EC13761" w:rsidR="00B133F6" w:rsidRPr="00550C35" w:rsidRDefault="00C51337" w:rsidP="006B1C20">
      <w:pPr>
        <w:spacing w:line="360" w:lineRule="auto"/>
        <w:jc w:val="both"/>
        <w:rPr>
          <w:rFonts w:ascii="Times New Roman" w:hAnsi="Times New Roman" w:cs="Times New Roman"/>
        </w:rPr>
      </w:pPr>
      <w:r w:rsidRPr="00550C35">
        <w:rPr>
          <w:rFonts w:ascii="Times New Roman" w:hAnsi="Times New Roman" w:cs="Times New Roman"/>
        </w:rPr>
        <w:t xml:space="preserve">The search is on therefore for a principled interpretation of </w:t>
      </w:r>
      <w:r w:rsidRPr="00550C35">
        <w:rPr>
          <w:rFonts w:ascii="Times New Roman" w:hAnsi="Times New Roman" w:cs="Times New Roman"/>
          <w:i/>
        </w:rPr>
        <w:t>Fairchild</w:t>
      </w:r>
      <w:r w:rsidRPr="00550C35">
        <w:rPr>
          <w:rFonts w:ascii="Times New Roman" w:hAnsi="Times New Roman" w:cs="Times New Roman"/>
        </w:rPr>
        <w:t>, which would not treat it as a narrow response to a particular problem</w:t>
      </w:r>
      <w:r w:rsidR="00504C5C" w:rsidRPr="00550C35">
        <w:rPr>
          <w:rFonts w:ascii="Times New Roman" w:hAnsi="Times New Roman" w:cs="Times New Roman"/>
        </w:rPr>
        <w:t xml:space="preserve"> –</w:t>
      </w:r>
      <w:r w:rsidR="006B1C20">
        <w:rPr>
          <w:rFonts w:ascii="Times New Roman" w:hAnsi="Times New Roman" w:cs="Times New Roman"/>
        </w:rPr>
        <w:t xml:space="preserve"> </w:t>
      </w:r>
      <w:r w:rsidR="00504C5C" w:rsidRPr="00550C35">
        <w:rPr>
          <w:rFonts w:ascii="Times New Roman" w:hAnsi="Times New Roman" w:cs="Times New Roman"/>
        </w:rPr>
        <w:t xml:space="preserve">although </w:t>
      </w:r>
      <w:r w:rsidR="00EE6D61" w:rsidRPr="00550C35">
        <w:rPr>
          <w:rFonts w:ascii="Times New Roman" w:hAnsi="Times New Roman" w:cs="Times New Roman"/>
        </w:rPr>
        <w:t>certain of the preconditions</w:t>
      </w:r>
      <w:r w:rsidR="00504C5C" w:rsidRPr="00550C35">
        <w:rPr>
          <w:rFonts w:ascii="Times New Roman" w:hAnsi="Times New Roman" w:cs="Times New Roman"/>
        </w:rPr>
        <w:t xml:space="preserve"> of </w:t>
      </w:r>
      <w:r w:rsidR="00504C5C" w:rsidRPr="00550C35">
        <w:rPr>
          <w:rFonts w:ascii="Times New Roman" w:hAnsi="Times New Roman" w:cs="Times New Roman"/>
          <w:i/>
        </w:rPr>
        <w:t xml:space="preserve">Fairchild </w:t>
      </w:r>
      <w:r w:rsidR="00EE6D61" w:rsidRPr="00550C35">
        <w:rPr>
          <w:rFonts w:ascii="Times New Roman" w:hAnsi="Times New Roman" w:cs="Times New Roman"/>
        </w:rPr>
        <w:t xml:space="preserve">spelt out by the Court of Appeal in </w:t>
      </w:r>
      <w:proofErr w:type="spellStart"/>
      <w:r w:rsidR="00EE6D61" w:rsidRPr="00550C35">
        <w:rPr>
          <w:rFonts w:ascii="Times New Roman" w:hAnsi="Times New Roman" w:cs="Times New Roman"/>
          <w:i/>
        </w:rPr>
        <w:t>Heneghan</w:t>
      </w:r>
      <w:proofErr w:type="spellEnd"/>
      <w:r w:rsidR="00EE6D61" w:rsidRPr="00550C35">
        <w:rPr>
          <w:rFonts w:ascii="Times New Roman" w:hAnsi="Times New Roman" w:cs="Times New Roman"/>
          <w:i/>
        </w:rPr>
        <w:t xml:space="preserve"> </w:t>
      </w:r>
      <w:r w:rsidR="00504C5C" w:rsidRPr="00550C35">
        <w:rPr>
          <w:rFonts w:ascii="Times New Roman" w:hAnsi="Times New Roman" w:cs="Times New Roman"/>
        </w:rPr>
        <w:t>(such as the insistence that the rival</w:t>
      </w:r>
      <w:r w:rsidR="00EE6D61" w:rsidRPr="00550C35">
        <w:rPr>
          <w:rFonts w:ascii="Times New Roman" w:hAnsi="Times New Roman" w:cs="Times New Roman"/>
        </w:rPr>
        <w:t xml:space="preserve"> causes involve a </w:t>
      </w:r>
      <w:r w:rsidR="00F31FF1">
        <w:rPr>
          <w:rFonts w:ascii="Times New Roman" w:hAnsi="Times New Roman" w:cs="Times New Roman"/>
        </w:rPr>
        <w:t>‘</w:t>
      </w:r>
      <w:r w:rsidR="00EE6D61" w:rsidRPr="00550C35">
        <w:rPr>
          <w:rFonts w:ascii="Times New Roman" w:hAnsi="Times New Roman" w:cs="Times New Roman"/>
        </w:rPr>
        <w:t>single agent</w:t>
      </w:r>
      <w:r w:rsidR="00F31FF1">
        <w:rPr>
          <w:rFonts w:ascii="Times New Roman" w:hAnsi="Times New Roman" w:cs="Times New Roman"/>
        </w:rPr>
        <w:t>’</w:t>
      </w:r>
      <w:r w:rsidR="00EE6D61" w:rsidRPr="00550C35">
        <w:rPr>
          <w:rFonts w:ascii="Times New Roman" w:hAnsi="Times New Roman" w:cs="Times New Roman"/>
        </w:rPr>
        <w:t>)</w:t>
      </w:r>
      <w:r w:rsidR="00504C5C" w:rsidRPr="00550C35">
        <w:rPr>
          <w:rFonts w:ascii="Times New Roman" w:hAnsi="Times New Roman" w:cs="Times New Roman"/>
        </w:rPr>
        <w:t>, may be resistant in the end to principled explanation</w:t>
      </w:r>
      <w:r w:rsidRPr="00550C35">
        <w:rPr>
          <w:rFonts w:ascii="Times New Roman" w:hAnsi="Times New Roman" w:cs="Times New Roman"/>
        </w:rPr>
        <w:t xml:space="preserve">. </w:t>
      </w:r>
      <w:r w:rsidR="001C05F7" w:rsidRPr="00550C35">
        <w:rPr>
          <w:rFonts w:ascii="Times New Roman" w:hAnsi="Times New Roman" w:cs="Times New Roman"/>
        </w:rPr>
        <w:t xml:space="preserve">This search </w:t>
      </w:r>
      <w:r w:rsidR="00EE6D61" w:rsidRPr="00550C35">
        <w:rPr>
          <w:rFonts w:ascii="Times New Roman" w:hAnsi="Times New Roman" w:cs="Times New Roman"/>
        </w:rPr>
        <w:t xml:space="preserve">for principle </w:t>
      </w:r>
      <w:r w:rsidR="001C05F7" w:rsidRPr="00550C35">
        <w:rPr>
          <w:rFonts w:ascii="Times New Roman" w:hAnsi="Times New Roman" w:cs="Times New Roman"/>
        </w:rPr>
        <w:t xml:space="preserve">is not however the key focus of this chapter. We adopt the alternative view that </w:t>
      </w:r>
      <w:r w:rsidR="001C05F7" w:rsidRPr="00550C35">
        <w:rPr>
          <w:rFonts w:ascii="Times New Roman" w:hAnsi="Times New Roman" w:cs="Times New Roman"/>
          <w:i/>
        </w:rPr>
        <w:t xml:space="preserve">Fairchild </w:t>
      </w:r>
      <w:r w:rsidR="001C05F7" w:rsidRPr="00550C35">
        <w:rPr>
          <w:rFonts w:ascii="Times New Roman" w:hAnsi="Times New Roman" w:cs="Times New Roman"/>
        </w:rPr>
        <w:t>is</w:t>
      </w:r>
      <w:r w:rsidRPr="00550C35">
        <w:rPr>
          <w:rFonts w:ascii="Times New Roman" w:hAnsi="Times New Roman" w:cs="Times New Roman"/>
        </w:rPr>
        <w:t xml:space="preserve"> a pragmatic response to inevitable issues. </w:t>
      </w:r>
      <w:r w:rsidR="00683332" w:rsidRPr="00550C35">
        <w:rPr>
          <w:rFonts w:ascii="Times New Roman" w:hAnsi="Times New Roman" w:cs="Times New Roman"/>
        </w:rPr>
        <w:t xml:space="preserve">Whether </w:t>
      </w:r>
      <w:r w:rsidR="00EE6D61" w:rsidRPr="00550C35">
        <w:rPr>
          <w:rFonts w:ascii="Times New Roman" w:hAnsi="Times New Roman" w:cs="Times New Roman"/>
        </w:rPr>
        <w:t>on the principled approach, or on our more pragmatic, problem-driven approach</w:t>
      </w:r>
      <w:r w:rsidRPr="00550C35">
        <w:rPr>
          <w:rFonts w:ascii="Times New Roman" w:hAnsi="Times New Roman" w:cs="Times New Roman"/>
        </w:rPr>
        <w:t xml:space="preserve">, </w:t>
      </w:r>
      <w:r w:rsidRPr="00550C35">
        <w:rPr>
          <w:rFonts w:ascii="Times New Roman" w:hAnsi="Times New Roman" w:cs="Times New Roman"/>
          <w:i/>
        </w:rPr>
        <w:t xml:space="preserve">Fairchild </w:t>
      </w:r>
      <w:r w:rsidRPr="00550C35">
        <w:rPr>
          <w:rFonts w:ascii="Times New Roman" w:hAnsi="Times New Roman" w:cs="Times New Roman"/>
        </w:rPr>
        <w:t>would tend to resist containment</w:t>
      </w:r>
      <w:r w:rsidR="00EE6D61" w:rsidRPr="00550C35">
        <w:rPr>
          <w:rFonts w:ascii="Times New Roman" w:hAnsi="Times New Roman" w:cs="Times New Roman"/>
        </w:rPr>
        <w:t xml:space="preserve">. The </w:t>
      </w:r>
      <w:r w:rsidRPr="00550C35">
        <w:rPr>
          <w:rFonts w:ascii="Times New Roman" w:hAnsi="Times New Roman" w:cs="Times New Roman"/>
        </w:rPr>
        <w:t>implications for its extent</w:t>
      </w:r>
      <w:r w:rsidR="00EE6D61" w:rsidRPr="00550C35">
        <w:rPr>
          <w:rFonts w:ascii="Times New Roman" w:hAnsi="Times New Roman" w:cs="Times New Roman"/>
        </w:rPr>
        <w:t>, however,</w:t>
      </w:r>
      <w:r w:rsidRPr="00550C35">
        <w:rPr>
          <w:rFonts w:ascii="Times New Roman" w:hAnsi="Times New Roman" w:cs="Times New Roman"/>
        </w:rPr>
        <w:t xml:space="preserve"> would be different. </w:t>
      </w:r>
    </w:p>
    <w:p w14:paraId="572DF670"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lastRenderedPageBreak/>
        <w:t xml:space="preserve"> </w:t>
      </w:r>
    </w:p>
    <w:p w14:paraId="2F3D6A26" w14:textId="7118BD16" w:rsidR="00504C5C"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In our view</w:t>
      </w:r>
      <w:r w:rsidR="00504C5C" w:rsidRPr="00550C35">
        <w:rPr>
          <w:rFonts w:ascii="Times New Roman" w:hAnsi="Times New Roman" w:cs="Times New Roman"/>
        </w:rPr>
        <w:t>,</w:t>
      </w:r>
      <w:r w:rsidRPr="00550C35">
        <w:rPr>
          <w:rFonts w:ascii="Times New Roman" w:hAnsi="Times New Roman" w:cs="Times New Roman"/>
        </w:rPr>
        <w:t xml:space="preserve"> the </w:t>
      </w:r>
      <w:r w:rsidR="00504C5C" w:rsidRPr="00550C35">
        <w:rPr>
          <w:rFonts w:ascii="Times New Roman" w:hAnsi="Times New Roman" w:cs="Times New Roman"/>
        </w:rPr>
        <w:t xml:space="preserve">pragmatic </w:t>
      </w:r>
      <w:r w:rsidRPr="00550C35">
        <w:rPr>
          <w:rFonts w:ascii="Times New Roman" w:hAnsi="Times New Roman" w:cs="Times New Roman"/>
        </w:rPr>
        <w:t xml:space="preserve">arguments for compensation are overwhelming. </w:t>
      </w:r>
      <w:r w:rsidR="00504C5C" w:rsidRPr="00550C35">
        <w:rPr>
          <w:rFonts w:ascii="Times New Roman" w:hAnsi="Times New Roman" w:cs="Times New Roman"/>
        </w:rPr>
        <w:t>Not adopting a solution of some sort to the problems posed to claimants would be almost unthinkable.</w:t>
      </w:r>
      <w:r w:rsidR="004A6229" w:rsidRPr="00550C35">
        <w:rPr>
          <w:rFonts w:ascii="Times New Roman" w:hAnsi="Times New Roman" w:cs="Times New Roman"/>
        </w:rPr>
        <w:t xml:space="preserve"> At the level of tort law and of insurance law, this may be addressed by considering the broad purposes of the law. There are differences, but the two </w:t>
      </w:r>
      <w:r w:rsidR="00762F8E" w:rsidRPr="00550C35">
        <w:rPr>
          <w:rFonts w:ascii="Times New Roman" w:hAnsi="Times New Roman" w:cs="Times New Roman"/>
        </w:rPr>
        <w:t xml:space="preserve">deeply </w:t>
      </w:r>
      <w:r w:rsidR="004A6229" w:rsidRPr="00550C35">
        <w:rPr>
          <w:rFonts w:ascii="Times New Roman" w:hAnsi="Times New Roman" w:cs="Times New Roman"/>
        </w:rPr>
        <w:t>influence one another.</w:t>
      </w:r>
      <w:r w:rsidR="00762F8E" w:rsidRPr="00550C35">
        <w:rPr>
          <w:rStyle w:val="FootnoteReference"/>
          <w:rFonts w:ascii="Times New Roman" w:hAnsi="Times New Roman" w:cs="Times New Roman"/>
        </w:rPr>
        <w:footnoteReference w:id="42"/>
      </w:r>
      <w:r w:rsidR="004A6229" w:rsidRPr="00550C35">
        <w:rPr>
          <w:rFonts w:ascii="Times New Roman" w:hAnsi="Times New Roman" w:cs="Times New Roman"/>
        </w:rPr>
        <w:t xml:space="preserve"> Securing compensation for those harmed by breaches of duty in a fair and efficient manner is an</w:t>
      </w:r>
      <w:r w:rsidR="00762F8E" w:rsidRPr="00550C35">
        <w:rPr>
          <w:rFonts w:ascii="Times New Roman" w:hAnsi="Times New Roman" w:cs="Times New Roman"/>
        </w:rPr>
        <w:t xml:space="preserve"> aspiration of the law of tort and liability insurance together</w:t>
      </w:r>
      <w:r w:rsidR="004A6229" w:rsidRPr="00550C35">
        <w:rPr>
          <w:rFonts w:ascii="Times New Roman" w:hAnsi="Times New Roman" w:cs="Times New Roman"/>
        </w:rPr>
        <w:t xml:space="preserve">. In insurance law, </w:t>
      </w:r>
      <w:r w:rsidR="00762F8E" w:rsidRPr="00550C35">
        <w:rPr>
          <w:rFonts w:ascii="Times New Roman" w:hAnsi="Times New Roman" w:cs="Times New Roman"/>
        </w:rPr>
        <w:t xml:space="preserve">based as it is in contracting, </w:t>
      </w:r>
      <w:r w:rsidR="004A6229" w:rsidRPr="00550C35">
        <w:rPr>
          <w:rFonts w:ascii="Times New Roman" w:hAnsi="Times New Roman" w:cs="Times New Roman"/>
        </w:rPr>
        <w:t>we may add the necessity of reflecting commercial sense.</w:t>
      </w:r>
      <w:r w:rsidR="00504C5C" w:rsidRPr="00550C35">
        <w:rPr>
          <w:rFonts w:ascii="Times New Roman" w:hAnsi="Times New Roman" w:cs="Times New Roman"/>
        </w:rPr>
        <w:t xml:space="preserve"> </w:t>
      </w:r>
      <w:r w:rsidRPr="00550C35">
        <w:rPr>
          <w:rFonts w:ascii="Times New Roman" w:hAnsi="Times New Roman" w:cs="Times New Roman"/>
        </w:rPr>
        <w:t>On th</w:t>
      </w:r>
      <w:r w:rsidR="00762F8E" w:rsidRPr="00550C35">
        <w:rPr>
          <w:rFonts w:ascii="Times New Roman" w:hAnsi="Times New Roman" w:cs="Times New Roman"/>
        </w:rPr>
        <w:t>is</w:t>
      </w:r>
      <w:r w:rsidRPr="00550C35">
        <w:rPr>
          <w:rFonts w:ascii="Times New Roman" w:hAnsi="Times New Roman" w:cs="Times New Roman"/>
        </w:rPr>
        <w:t xml:space="preserve"> premise, we move from a debate about causation to a debate about apportionment and allocation. </w:t>
      </w:r>
      <w:r w:rsidR="00504C5C" w:rsidRPr="00550C35">
        <w:rPr>
          <w:rFonts w:ascii="Times New Roman" w:hAnsi="Times New Roman" w:cs="Times New Roman"/>
        </w:rPr>
        <w:t>But we will return, as appropriate, to the arguments of fairness and principle which are hinted at by Lord Dyson,</w:t>
      </w:r>
      <w:r w:rsidR="006B1C20">
        <w:rPr>
          <w:rFonts w:ascii="Times New Roman" w:hAnsi="Times New Roman" w:cs="Times New Roman"/>
        </w:rPr>
        <w:t xml:space="preserve"> </w:t>
      </w:r>
      <w:r w:rsidR="00504C5C" w:rsidRPr="00550C35">
        <w:rPr>
          <w:rFonts w:ascii="Times New Roman" w:hAnsi="Times New Roman" w:cs="Times New Roman"/>
        </w:rPr>
        <w:t xml:space="preserve">when we consider the likely limits to the </w:t>
      </w:r>
      <w:r w:rsidR="00412795" w:rsidRPr="00550C35">
        <w:rPr>
          <w:rFonts w:ascii="Times New Roman" w:hAnsi="Times New Roman" w:cs="Times New Roman"/>
        </w:rPr>
        <w:t xml:space="preserve">application </w:t>
      </w:r>
      <w:r w:rsidR="00504C5C" w:rsidRPr="00550C35">
        <w:rPr>
          <w:rFonts w:ascii="Times New Roman" w:hAnsi="Times New Roman" w:cs="Times New Roman"/>
        </w:rPr>
        <w:t xml:space="preserve">of </w:t>
      </w:r>
      <w:r w:rsidR="00504C5C" w:rsidRPr="00550C35">
        <w:rPr>
          <w:rFonts w:ascii="Times New Roman" w:hAnsi="Times New Roman" w:cs="Times New Roman"/>
          <w:i/>
        </w:rPr>
        <w:t>Fairchild</w:t>
      </w:r>
      <w:r w:rsidR="00504C5C" w:rsidRPr="00550C35">
        <w:rPr>
          <w:rFonts w:ascii="Times New Roman" w:hAnsi="Times New Roman" w:cs="Times New Roman"/>
        </w:rPr>
        <w:t>.</w:t>
      </w:r>
    </w:p>
    <w:p w14:paraId="325CFDDC" w14:textId="77777777" w:rsidR="00550C35" w:rsidRDefault="00550C35" w:rsidP="00550C35">
      <w:pPr>
        <w:spacing w:line="360" w:lineRule="auto"/>
        <w:jc w:val="both"/>
        <w:rPr>
          <w:rFonts w:ascii="Times New Roman" w:hAnsi="Times New Roman" w:cs="Times New Roman"/>
        </w:rPr>
      </w:pPr>
    </w:p>
    <w:p w14:paraId="621E0FBE" w14:textId="29DFD203"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What is apparent from the above scenarios is that, assuming that neither D1 nor D2 is insolvent or does not have insurance, all recovery responses for C lead to an ultimate proportional sharing by D1 and D2. The second</w:t>
      </w:r>
      <w:r w:rsidR="006B1C20">
        <w:rPr>
          <w:rFonts w:ascii="Times New Roman" w:hAnsi="Times New Roman" w:cs="Times New Roman"/>
        </w:rPr>
        <w:t>,</w:t>
      </w:r>
      <w:r w:rsidRPr="00550C35">
        <w:rPr>
          <w:rFonts w:ascii="Times New Roman" w:hAnsi="Times New Roman" w:cs="Times New Roman"/>
        </w:rPr>
        <w:t xml:space="preserve"> artificial response leaves the loss entirely in the hands of D2, although D2 may well have a contribution claim against D1. The fourth response applies proportionality at the point of recovery by C, although</w:t>
      </w:r>
      <w:r w:rsidR="006B1C20">
        <w:rPr>
          <w:rFonts w:ascii="Times New Roman" w:hAnsi="Times New Roman" w:cs="Times New Roman"/>
        </w:rPr>
        <w:t>,</w:t>
      </w:r>
      <w:r w:rsidRPr="00550C35">
        <w:rPr>
          <w:rFonts w:ascii="Times New Roman" w:hAnsi="Times New Roman" w:cs="Times New Roman"/>
        </w:rPr>
        <w:t xml:space="preserve"> under this scenario</w:t>
      </w:r>
      <w:r w:rsidR="006B1C20">
        <w:rPr>
          <w:rFonts w:ascii="Times New Roman" w:hAnsi="Times New Roman" w:cs="Times New Roman"/>
        </w:rPr>
        <w:t>,</w:t>
      </w:r>
      <w:r w:rsidRPr="00550C35">
        <w:rPr>
          <w:rFonts w:ascii="Times New Roman" w:hAnsi="Times New Roman" w:cs="Times New Roman"/>
        </w:rPr>
        <w:t xml:space="preserve"> C may have to bear a proportion of the loss himself </w:t>
      </w:r>
      <w:r w:rsidRPr="00550C35">
        <w:rPr>
          <w:rFonts w:ascii="Times New Roman" w:hAnsi="Times New Roman" w:cs="Times New Roman"/>
          <w:lang w:val="en-US"/>
        </w:rPr>
        <w:t>if there are self-inflicted exposures</w:t>
      </w:r>
      <w:r w:rsidR="006B1C20">
        <w:rPr>
          <w:rFonts w:ascii="Times New Roman" w:hAnsi="Times New Roman" w:cs="Times New Roman"/>
          <w:lang w:val="en-US"/>
        </w:rPr>
        <w:t>,</w:t>
      </w:r>
      <w:r w:rsidRPr="00550C35">
        <w:rPr>
          <w:rFonts w:ascii="Times New Roman" w:hAnsi="Times New Roman" w:cs="Times New Roman"/>
          <w:lang w:val="en-US"/>
        </w:rPr>
        <w:t xml:space="preserve"> or exposures from atmospheric conditions.</w:t>
      </w:r>
      <w:r w:rsidRPr="00550C35">
        <w:rPr>
          <w:rFonts w:ascii="Times New Roman" w:hAnsi="Times New Roman" w:cs="Times New Roman"/>
        </w:rPr>
        <w:t xml:space="preserve"> The third response contemplates an initial 100% payment by whichever of D1 and D2 is called upon to pay, but tempered by a contribution claim against the other. One theoretical problem arises from the third response where there have been exposures from other sources. It is far from clear who bears the loss for such exposures </w:t>
      </w:r>
      <w:proofErr w:type="spellStart"/>
      <w:r w:rsidRPr="00550C35">
        <w:rPr>
          <w:rFonts w:ascii="Times New Roman" w:hAnsi="Times New Roman" w:cs="Times New Roman"/>
        </w:rPr>
        <w:t>ie</w:t>
      </w:r>
      <w:proofErr w:type="spellEnd"/>
      <w:r w:rsidRPr="00550C35">
        <w:rPr>
          <w:rFonts w:ascii="Times New Roman" w:hAnsi="Times New Roman" w:cs="Times New Roman"/>
        </w:rPr>
        <w:t>, whether it is borne entirely by the paying defendant or whether that defendant can recover some proportion from others liable to contribute.</w:t>
      </w:r>
      <w:r w:rsidRPr="00550C35">
        <w:rPr>
          <w:rStyle w:val="FootnoteReference"/>
          <w:rFonts w:ascii="Times New Roman" w:hAnsi="Times New Roman" w:cs="Times New Roman"/>
        </w:rPr>
        <w:footnoteReference w:id="43"/>
      </w:r>
      <w:r w:rsidRPr="00550C35">
        <w:rPr>
          <w:rFonts w:ascii="Times New Roman" w:hAnsi="Times New Roman" w:cs="Times New Roman"/>
        </w:rPr>
        <w:t xml:space="preserve"> We refer to this point below.</w:t>
      </w:r>
    </w:p>
    <w:p w14:paraId="49066DB4" w14:textId="77777777" w:rsidR="00550C35" w:rsidRDefault="00550C35" w:rsidP="00550C35">
      <w:pPr>
        <w:spacing w:line="360" w:lineRule="auto"/>
        <w:jc w:val="both"/>
        <w:rPr>
          <w:rFonts w:ascii="Times New Roman" w:hAnsi="Times New Roman" w:cs="Times New Roman"/>
        </w:rPr>
      </w:pPr>
    </w:p>
    <w:p w14:paraId="364ED7FF" w14:textId="05172209"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It cannot be questioned that </w:t>
      </w:r>
      <w:r w:rsidRPr="00550C35">
        <w:rPr>
          <w:rFonts w:ascii="Times New Roman" w:hAnsi="Times New Roman" w:cs="Times New Roman"/>
          <w:i/>
        </w:rPr>
        <w:t xml:space="preserve">Fairchild </w:t>
      </w:r>
      <w:r w:rsidRPr="00550C35">
        <w:rPr>
          <w:rFonts w:ascii="Times New Roman" w:hAnsi="Times New Roman" w:cs="Times New Roman"/>
        </w:rPr>
        <w:t xml:space="preserve">has highlighted a range of problems that were not contemplated when it was decided, and at time of writing those problems have yet to be fully resolved. But does that mean that </w:t>
      </w:r>
      <w:r w:rsidRPr="00550C35">
        <w:rPr>
          <w:rFonts w:ascii="Times New Roman" w:hAnsi="Times New Roman" w:cs="Times New Roman"/>
          <w:i/>
        </w:rPr>
        <w:t xml:space="preserve">Fairchild </w:t>
      </w:r>
      <w:r w:rsidRPr="00550C35">
        <w:rPr>
          <w:rFonts w:ascii="Times New Roman" w:hAnsi="Times New Roman" w:cs="Times New Roman"/>
        </w:rPr>
        <w:t>was either responsible for those problems</w:t>
      </w:r>
      <w:r w:rsidR="00883366">
        <w:rPr>
          <w:rFonts w:ascii="Times New Roman" w:hAnsi="Times New Roman" w:cs="Times New Roman"/>
        </w:rPr>
        <w:t>,</w:t>
      </w:r>
      <w:r w:rsidRPr="00550C35">
        <w:rPr>
          <w:rFonts w:ascii="Times New Roman" w:hAnsi="Times New Roman" w:cs="Times New Roman"/>
        </w:rPr>
        <w:t xml:space="preserve"> or wrongly decided? </w:t>
      </w:r>
      <w:r w:rsidR="00F61283" w:rsidRPr="00550C35">
        <w:rPr>
          <w:rFonts w:ascii="Times New Roman" w:hAnsi="Times New Roman" w:cs="Times New Roman"/>
        </w:rPr>
        <w:t xml:space="preserve">We take the view </w:t>
      </w:r>
      <w:r w:rsidRPr="00550C35">
        <w:rPr>
          <w:rFonts w:ascii="Times New Roman" w:hAnsi="Times New Roman" w:cs="Times New Roman"/>
        </w:rPr>
        <w:t xml:space="preserve">that there cannot be a </w:t>
      </w:r>
      <w:r w:rsidRPr="00550C35">
        <w:rPr>
          <w:rFonts w:ascii="Times New Roman" w:hAnsi="Times New Roman" w:cs="Times New Roman"/>
        </w:rPr>
        <w:lastRenderedPageBreak/>
        <w:t xml:space="preserve">proper analysis if tort issues are isolated from the underpinning </w:t>
      </w:r>
      <w:r w:rsidR="001C662E" w:rsidRPr="00550C35">
        <w:rPr>
          <w:rFonts w:ascii="Times New Roman" w:hAnsi="Times New Roman" w:cs="Times New Roman"/>
        </w:rPr>
        <w:t>insurance arrangements.</w:t>
      </w:r>
      <w:r w:rsidR="00752ADC" w:rsidRPr="00550C35">
        <w:rPr>
          <w:rFonts w:ascii="Times New Roman" w:hAnsi="Times New Roman" w:cs="Times New Roman"/>
        </w:rPr>
        <w:t xml:space="preserve"> If attention is focused not on tort law, which may be considered the</w:t>
      </w:r>
      <w:r w:rsidR="00F61283" w:rsidRPr="00550C35">
        <w:rPr>
          <w:rFonts w:ascii="Times New Roman" w:hAnsi="Times New Roman" w:cs="Times New Roman"/>
        </w:rPr>
        <w:t xml:space="preserve"> </w:t>
      </w:r>
      <w:r w:rsidR="00F31FF1">
        <w:rPr>
          <w:rFonts w:ascii="Times New Roman" w:hAnsi="Times New Roman" w:cs="Times New Roman"/>
        </w:rPr>
        <w:t>‘</w:t>
      </w:r>
      <w:r w:rsidRPr="00550C35">
        <w:rPr>
          <w:rFonts w:ascii="Times New Roman" w:hAnsi="Times New Roman" w:cs="Times New Roman"/>
        </w:rPr>
        <w:t>gatekeeper</w:t>
      </w:r>
      <w:r w:rsidR="00F31FF1">
        <w:rPr>
          <w:rFonts w:ascii="Times New Roman" w:hAnsi="Times New Roman" w:cs="Times New Roman"/>
        </w:rPr>
        <w:t>’</w:t>
      </w:r>
      <w:r w:rsidRPr="00550C35">
        <w:rPr>
          <w:rFonts w:ascii="Times New Roman" w:hAnsi="Times New Roman" w:cs="Times New Roman"/>
        </w:rPr>
        <w:t xml:space="preserve"> to compensation, but rather on how tort losses inflicted by multiple defendants are actually to be paid for, a series of entirely different and potentially more complex legal questions are exposed. Those issues are not just raised under liability policies providing indemnity for claims in tort, but are replicated in first party insurance. A further contention that we make is that insurance law in general has a lot to learn from </w:t>
      </w:r>
      <w:r w:rsidRPr="00550C35">
        <w:rPr>
          <w:rFonts w:ascii="Times New Roman" w:hAnsi="Times New Roman" w:cs="Times New Roman"/>
          <w:i/>
        </w:rPr>
        <w:t>Fairchild</w:t>
      </w:r>
      <w:r w:rsidRPr="00550C35">
        <w:rPr>
          <w:rFonts w:ascii="Times New Roman" w:hAnsi="Times New Roman" w:cs="Times New Roman"/>
        </w:rPr>
        <w:t xml:space="preserve">, and that there is a good case to align tort law and insurance law in a regime </w:t>
      </w:r>
      <w:r w:rsidR="0070586D" w:rsidRPr="00550C35">
        <w:rPr>
          <w:rFonts w:ascii="Times New Roman" w:hAnsi="Times New Roman" w:cs="Times New Roman"/>
        </w:rPr>
        <w:t xml:space="preserve">which includes elements </w:t>
      </w:r>
      <w:r w:rsidRPr="00550C35">
        <w:rPr>
          <w:rFonts w:ascii="Times New Roman" w:hAnsi="Times New Roman" w:cs="Times New Roman"/>
        </w:rPr>
        <w:t>of proportional liability</w:t>
      </w:r>
      <w:r w:rsidR="0070586D" w:rsidRPr="00550C35">
        <w:rPr>
          <w:rFonts w:ascii="Times New Roman" w:hAnsi="Times New Roman" w:cs="Times New Roman"/>
        </w:rPr>
        <w:t xml:space="preserve"> in response to otherwise intractable problems</w:t>
      </w:r>
      <w:r w:rsidR="00F61283" w:rsidRPr="00550C35">
        <w:rPr>
          <w:rFonts w:ascii="Times New Roman" w:hAnsi="Times New Roman" w:cs="Times New Roman"/>
        </w:rPr>
        <w:t>. These problems are otherwise inclined</w:t>
      </w:r>
      <w:r w:rsidR="0070586D" w:rsidRPr="00550C35">
        <w:rPr>
          <w:rFonts w:ascii="Times New Roman" w:hAnsi="Times New Roman" w:cs="Times New Roman"/>
        </w:rPr>
        <w:t xml:space="preserve"> to create problems of unfairness, with a particularly heavy impact on claimants</w:t>
      </w:r>
      <w:r w:rsidRPr="00550C35">
        <w:rPr>
          <w:rFonts w:ascii="Times New Roman" w:hAnsi="Times New Roman" w:cs="Times New Roman"/>
        </w:rPr>
        <w:t>. In short, causation has been unable to adapt to produce acceptable results in the situations under consideration.</w:t>
      </w:r>
    </w:p>
    <w:p w14:paraId="09C121AA" w14:textId="77777777" w:rsidR="00B133F6" w:rsidRPr="00F31FF1" w:rsidRDefault="00B133F6" w:rsidP="00550C35">
      <w:pPr>
        <w:spacing w:line="360" w:lineRule="auto"/>
        <w:jc w:val="both"/>
        <w:rPr>
          <w:rFonts w:ascii="Times New Roman" w:hAnsi="Times New Roman" w:cs="Times New Roman"/>
        </w:rPr>
      </w:pPr>
    </w:p>
    <w:p w14:paraId="513529EF" w14:textId="1143AD83"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C. </w:t>
      </w:r>
      <w:r w:rsidR="00B133F6" w:rsidRPr="00F31FF1">
        <w:rPr>
          <w:rFonts w:ascii="Times New Roman" w:hAnsi="Times New Roman" w:cs="Times New Roman"/>
        </w:rPr>
        <w:t xml:space="preserve">Putting </w:t>
      </w:r>
      <w:r w:rsidR="00B133F6" w:rsidRPr="00F31FF1">
        <w:rPr>
          <w:rFonts w:ascii="Times New Roman" w:hAnsi="Times New Roman" w:cs="Times New Roman"/>
          <w:i/>
        </w:rPr>
        <w:t xml:space="preserve">Fairchild </w:t>
      </w:r>
      <w:r w:rsidR="00B133F6" w:rsidRPr="00F31FF1">
        <w:rPr>
          <w:rFonts w:ascii="Times New Roman" w:hAnsi="Times New Roman" w:cs="Times New Roman"/>
        </w:rPr>
        <w:t xml:space="preserve">to the </w:t>
      </w:r>
      <w:r w:rsidRPr="00F31FF1">
        <w:rPr>
          <w:rFonts w:ascii="Times New Roman" w:hAnsi="Times New Roman" w:cs="Times New Roman"/>
        </w:rPr>
        <w:t>T</w:t>
      </w:r>
      <w:r w:rsidR="00B133F6" w:rsidRPr="00F31FF1">
        <w:rPr>
          <w:rFonts w:ascii="Times New Roman" w:hAnsi="Times New Roman" w:cs="Times New Roman"/>
        </w:rPr>
        <w:t xml:space="preserve">est: </w:t>
      </w:r>
      <w:r w:rsidRPr="00F31FF1">
        <w:rPr>
          <w:rFonts w:ascii="Times New Roman" w:hAnsi="Times New Roman" w:cs="Times New Roman"/>
        </w:rPr>
        <w:t>L</w:t>
      </w:r>
      <w:r w:rsidR="00B133F6" w:rsidRPr="00F31FF1">
        <w:rPr>
          <w:rFonts w:ascii="Times New Roman" w:hAnsi="Times New Roman" w:cs="Times New Roman"/>
        </w:rPr>
        <w:t xml:space="preserve">ife without </w:t>
      </w:r>
      <w:r w:rsidR="00B133F6" w:rsidRPr="00F31FF1">
        <w:rPr>
          <w:rFonts w:ascii="Times New Roman" w:hAnsi="Times New Roman" w:cs="Times New Roman"/>
          <w:i/>
        </w:rPr>
        <w:t>Fairchild</w:t>
      </w:r>
    </w:p>
    <w:p w14:paraId="7F9691FC" w14:textId="77777777" w:rsidR="00B133F6" w:rsidRPr="00550C35" w:rsidRDefault="00B133F6" w:rsidP="00550C35">
      <w:pPr>
        <w:spacing w:line="360" w:lineRule="auto"/>
        <w:jc w:val="both"/>
        <w:rPr>
          <w:rFonts w:ascii="Times New Roman" w:hAnsi="Times New Roman" w:cs="Times New Roman"/>
        </w:rPr>
      </w:pPr>
    </w:p>
    <w:p w14:paraId="4E6B5A6C" w14:textId="734FB30A"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Without </w:t>
      </w:r>
      <w:r w:rsidRPr="00550C35">
        <w:rPr>
          <w:rFonts w:ascii="Times New Roman" w:hAnsi="Times New Roman" w:cs="Times New Roman"/>
          <w:i/>
        </w:rPr>
        <w:t>Fairchild</w:t>
      </w:r>
      <w:r w:rsidRPr="00550C35">
        <w:rPr>
          <w:rFonts w:ascii="Times New Roman" w:hAnsi="Times New Roman" w:cs="Times New Roman"/>
        </w:rPr>
        <w:t>, a victim of exposure in the conditions of uncertainty to which the decision applies by two or more defendants would have no tort claim, so</w:t>
      </w:r>
      <w:r w:rsidR="009A583C">
        <w:rPr>
          <w:rFonts w:ascii="Times New Roman" w:hAnsi="Times New Roman" w:cs="Times New Roman"/>
        </w:rPr>
        <w:t>,</w:t>
      </w:r>
      <w:r w:rsidRPr="00550C35">
        <w:rPr>
          <w:rFonts w:ascii="Times New Roman" w:hAnsi="Times New Roman" w:cs="Times New Roman"/>
        </w:rPr>
        <w:t xml:space="preserve"> to that extent</w:t>
      </w:r>
      <w:r w:rsidR="009A583C">
        <w:rPr>
          <w:rFonts w:ascii="Times New Roman" w:hAnsi="Times New Roman" w:cs="Times New Roman"/>
        </w:rPr>
        <w:t>,</w:t>
      </w:r>
      <w:r w:rsidRPr="00550C35">
        <w:rPr>
          <w:rFonts w:ascii="Times New Roman" w:hAnsi="Times New Roman" w:cs="Times New Roman"/>
        </w:rPr>
        <w:t xml:space="preserve"> the case is of crucial importance. However, it is our contention that in other respects the decision in </w:t>
      </w:r>
      <w:r w:rsidRPr="00550C35">
        <w:rPr>
          <w:rFonts w:ascii="Times New Roman" w:hAnsi="Times New Roman" w:cs="Times New Roman"/>
          <w:i/>
        </w:rPr>
        <w:t xml:space="preserve">Fairchild </w:t>
      </w:r>
      <w:r w:rsidRPr="00550C35">
        <w:rPr>
          <w:rFonts w:ascii="Times New Roman" w:hAnsi="Times New Roman" w:cs="Times New Roman"/>
        </w:rPr>
        <w:t xml:space="preserve">has contributed relatively little to the complexities of paying for mesothelioma claims and that such complexities arise wholly independently of </w:t>
      </w:r>
      <w:r w:rsidRPr="00550C35">
        <w:rPr>
          <w:rFonts w:ascii="Times New Roman" w:hAnsi="Times New Roman" w:cs="Times New Roman"/>
          <w:i/>
        </w:rPr>
        <w:t xml:space="preserve">Fairchild. </w:t>
      </w:r>
      <w:r w:rsidRPr="00550C35">
        <w:rPr>
          <w:rFonts w:ascii="Times New Roman" w:hAnsi="Times New Roman" w:cs="Times New Roman"/>
        </w:rPr>
        <w:t>To illustrate the point, let it be supposed that C has been exposed to asbestos by D1 alone for a period of 20 years and that there has been no self-exposure or atmospheric exposure. C would easily be able to satisfy a court that</w:t>
      </w:r>
      <w:r w:rsidR="009A583C">
        <w:rPr>
          <w:rFonts w:ascii="Times New Roman" w:hAnsi="Times New Roman" w:cs="Times New Roman"/>
        </w:rPr>
        <w:t>,</w:t>
      </w:r>
      <w:r w:rsidRPr="00550C35">
        <w:rPr>
          <w:rFonts w:ascii="Times New Roman" w:hAnsi="Times New Roman" w:cs="Times New Roman"/>
        </w:rPr>
        <w:t xml:space="preserve"> on the balance of probabilities</w:t>
      </w:r>
      <w:r w:rsidR="009A583C">
        <w:rPr>
          <w:rFonts w:ascii="Times New Roman" w:hAnsi="Times New Roman" w:cs="Times New Roman"/>
        </w:rPr>
        <w:t>,</w:t>
      </w:r>
      <w:r w:rsidRPr="00550C35">
        <w:rPr>
          <w:rFonts w:ascii="Times New Roman" w:hAnsi="Times New Roman" w:cs="Times New Roman"/>
        </w:rPr>
        <w:t xml:space="preserve"> his disease was caused by negligent exposure, and there is no need to engage </w:t>
      </w:r>
      <w:r w:rsidRPr="00550C35">
        <w:rPr>
          <w:rFonts w:ascii="Times New Roman" w:hAnsi="Times New Roman" w:cs="Times New Roman"/>
          <w:i/>
        </w:rPr>
        <w:t>Fairchild</w:t>
      </w:r>
      <w:r w:rsidRPr="00550C35">
        <w:rPr>
          <w:rFonts w:ascii="Times New Roman" w:hAnsi="Times New Roman" w:cs="Times New Roman"/>
        </w:rPr>
        <w:t xml:space="preserve">. At that point, tort law, manning the gate to compensation, can lift the barrier and relax in the knowledge that nobody has played fast and loose with sacred causation principles. C’s claim against D1 does not need to identify any individual exposure in the 20-year period as giving rise to his injuries, and C’s claim cannot be time-barred unless he delays for more than three years after the discoverability of his injuries. It matters not whether liability is based upon an established tort per individual exposure or whether it flows from a course of conduct.  </w:t>
      </w:r>
    </w:p>
    <w:p w14:paraId="6C643BC6"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0778AE0A" w14:textId="7405CF7B"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lastRenderedPageBreak/>
        <w:t>What, then</w:t>
      </w:r>
      <w:r w:rsidR="009A583C">
        <w:rPr>
          <w:rFonts w:ascii="Times New Roman" w:hAnsi="Times New Roman" w:cs="Times New Roman"/>
        </w:rPr>
        <w:t>,</w:t>
      </w:r>
      <w:r w:rsidRPr="00550C35">
        <w:rPr>
          <w:rFonts w:ascii="Times New Roman" w:hAnsi="Times New Roman" w:cs="Times New Roman"/>
        </w:rPr>
        <w:t xml:space="preserve"> of D1’s employers’ liability insurance, which has been compulsory in the UK since 1 January 1972? The initial question is necessarily whether those policies actually respond to mesothelioma claims. In </w:t>
      </w:r>
      <w:r w:rsidRPr="00550C35">
        <w:rPr>
          <w:rFonts w:ascii="Times New Roman" w:hAnsi="Times New Roman" w:cs="Times New Roman"/>
          <w:i/>
        </w:rPr>
        <w:t>Durham v BAI Run-Off, The Trigger Litigation</w:t>
      </w:r>
      <w:r w:rsidRPr="00550C35">
        <w:rPr>
          <w:rFonts w:ascii="Times New Roman" w:hAnsi="Times New Roman" w:cs="Times New Roman"/>
        </w:rPr>
        <w:t xml:space="preserve"> the Supreme Court held that policies issued </w:t>
      </w:r>
      <w:r w:rsidR="0070586D" w:rsidRPr="00550C35">
        <w:rPr>
          <w:rFonts w:ascii="Times New Roman" w:hAnsi="Times New Roman" w:cs="Times New Roman"/>
        </w:rPr>
        <w:t xml:space="preserve">both </w:t>
      </w:r>
      <w:r w:rsidRPr="00550C35">
        <w:rPr>
          <w:rFonts w:ascii="Times New Roman" w:hAnsi="Times New Roman" w:cs="Times New Roman"/>
        </w:rPr>
        <w:t xml:space="preserve">in the pre-compulsory period and thereafter </w:t>
      </w:r>
      <w:proofErr w:type="gramStart"/>
      <w:r w:rsidRPr="00550C35">
        <w:rPr>
          <w:rFonts w:ascii="Times New Roman" w:hAnsi="Times New Roman" w:cs="Times New Roman"/>
        </w:rPr>
        <w:t>are</w:t>
      </w:r>
      <w:proofErr w:type="gramEnd"/>
      <w:r w:rsidRPr="00550C35">
        <w:rPr>
          <w:rFonts w:ascii="Times New Roman" w:hAnsi="Times New Roman" w:cs="Times New Roman"/>
        </w:rPr>
        <w:t xml:space="preserve"> to be construed as responding to exposure</w:t>
      </w:r>
      <w:r w:rsidR="009A583C">
        <w:rPr>
          <w:rFonts w:ascii="Times New Roman" w:hAnsi="Times New Roman" w:cs="Times New Roman"/>
        </w:rPr>
        <w:t>,</w:t>
      </w:r>
      <w:r w:rsidRPr="00550C35">
        <w:rPr>
          <w:rFonts w:ascii="Times New Roman" w:hAnsi="Times New Roman" w:cs="Times New Roman"/>
        </w:rPr>
        <w:t xml:space="preserve"> rather than to injury. The latter finding would have</w:t>
      </w:r>
      <w:r w:rsidR="009A583C">
        <w:rPr>
          <w:rFonts w:ascii="Times New Roman" w:hAnsi="Times New Roman" w:cs="Times New Roman"/>
        </w:rPr>
        <w:t>,</w:t>
      </w:r>
      <w:r w:rsidRPr="00550C35">
        <w:rPr>
          <w:rFonts w:ascii="Times New Roman" w:hAnsi="Times New Roman" w:cs="Times New Roman"/>
        </w:rPr>
        <w:t xml:space="preserve"> in all but exceptional cases</w:t>
      </w:r>
      <w:r w:rsidR="009A583C">
        <w:rPr>
          <w:rFonts w:ascii="Times New Roman" w:hAnsi="Times New Roman" w:cs="Times New Roman"/>
        </w:rPr>
        <w:t>,</w:t>
      </w:r>
      <w:r w:rsidRPr="00550C35">
        <w:rPr>
          <w:rFonts w:ascii="Times New Roman" w:hAnsi="Times New Roman" w:cs="Times New Roman"/>
        </w:rPr>
        <w:t xml:space="preserve"> rendered the insurance devoid of value: injury-based policies apply to injuries inflicted upon a current employee, and mesothelioma injury – kicking in 30-40 years or so after exposure – is more likely to affect employees who have moved o</w:t>
      </w:r>
      <w:r w:rsidR="0070586D" w:rsidRPr="00550C35">
        <w:rPr>
          <w:rFonts w:ascii="Times New Roman" w:hAnsi="Times New Roman" w:cs="Times New Roman"/>
        </w:rPr>
        <w:t>n</w:t>
      </w:r>
      <w:r w:rsidRPr="00550C35">
        <w:rPr>
          <w:rFonts w:ascii="Times New Roman" w:hAnsi="Times New Roman" w:cs="Times New Roman"/>
        </w:rPr>
        <w:t xml:space="preserve"> to other employment</w:t>
      </w:r>
      <w:r w:rsidR="009A583C">
        <w:rPr>
          <w:rFonts w:ascii="Times New Roman" w:hAnsi="Times New Roman" w:cs="Times New Roman"/>
        </w:rPr>
        <w:t>,</w:t>
      </w:r>
      <w:r w:rsidRPr="00550C35">
        <w:rPr>
          <w:rFonts w:ascii="Times New Roman" w:hAnsi="Times New Roman" w:cs="Times New Roman"/>
        </w:rPr>
        <w:t xml:space="preserve"> or who have retired. The Supreme Court’s finding of exposure cover filled the </w:t>
      </w:r>
      <w:r w:rsidR="00F31FF1">
        <w:rPr>
          <w:rFonts w:ascii="Times New Roman" w:hAnsi="Times New Roman" w:cs="Times New Roman"/>
        </w:rPr>
        <w:t>‘</w:t>
      </w:r>
      <w:r w:rsidRPr="00550C35">
        <w:rPr>
          <w:rFonts w:ascii="Times New Roman" w:hAnsi="Times New Roman" w:cs="Times New Roman"/>
        </w:rPr>
        <w:t>black hole</w:t>
      </w:r>
      <w:r w:rsidR="00F31FF1">
        <w:rPr>
          <w:rFonts w:ascii="Times New Roman" w:hAnsi="Times New Roman" w:cs="Times New Roman"/>
        </w:rPr>
        <w:t>’</w:t>
      </w:r>
      <w:r w:rsidRPr="00550C35">
        <w:rPr>
          <w:rFonts w:ascii="Times New Roman" w:hAnsi="Times New Roman" w:cs="Times New Roman"/>
        </w:rPr>
        <w:t xml:space="preserve">. So we are off first base, and at this point in the reasoning we remain in a </w:t>
      </w:r>
      <w:r w:rsidRPr="00550C35">
        <w:rPr>
          <w:rFonts w:ascii="Times New Roman" w:hAnsi="Times New Roman" w:cs="Times New Roman"/>
          <w:i/>
        </w:rPr>
        <w:t>Fairchild</w:t>
      </w:r>
      <w:r w:rsidRPr="00550C35">
        <w:rPr>
          <w:rFonts w:ascii="Times New Roman" w:hAnsi="Times New Roman" w:cs="Times New Roman"/>
        </w:rPr>
        <w:t>-free zone. But for no longer; once there is more than one insurer involved,</w:t>
      </w:r>
      <w:r w:rsidRPr="00550C35">
        <w:rPr>
          <w:rStyle w:val="FootnoteReference"/>
          <w:rFonts w:ascii="Times New Roman" w:hAnsi="Times New Roman" w:cs="Times New Roman"/>
        </w:rPr>
        <w:footnoteReference w:id="44"/>
      </w:r>
      <w:r w:rsidRPr="00550C35">
        <w:rPr>
          <w:rFonts w:ascii="Times New Roman" w:hAnsi="Times New Roman" w:cs="Times New Roman"/>
        </w:rPr>
        <w:t xml:space="preserve"> proportionality and </w:t>
      </w:r>
      <w:proofErr w:type="gramStart"/>
      <w:r w:rsidRPr="00550C35">
        <w:rPr>
          <w:rFonts w:ascii="Times New Roman" w:hAnsi="Times New Roman" w:cs="Times New Roman"/>
        </w:rPr>
        <w:t>allocation necessarily raise</w:t>
      </w:r>
      <w:proofErr w:type="gramEnd"/>
      <w:r w:rsidRPr="00550C35">
        <w:rPr>
          <w:rFonts w:ascii="Times New Roman" w:hAnsi="Times New Roman" w:cs="Times New Roman"/>
        </w:rPr>
        <w:t xml:space="preserve"> their heads. It is to be remembered that the scenario with which we are concerned is one where single exposures do not contribute equally to injury: where that is the case, it may be possible to prove – by evidence or at least inference – a uniform regularity of exposure, so that each can be regarded as contributing to the loss at identifiable times. The problem is the one previously captured starkly in terms of the </w:t>
      </w:r>
      <w:r w:rsidR="00F31FF1">
        <w:rPr>
          <w:rFonts w:ascii="Times New Roman" w:hAnsi="Times New Roman" w:cs="Times New Roman"/>
        </w:rPr>
        <w:t>‘</w:t>
      </w:r>
      <w:r w:rsidRPr="00550C35">
        <w:rPr>
          <w:rFonts w:ascii="Times New Roman" w:hAnsi="Times New Roman" w:cs="Times New Roman"/>
        </w:rPr>
        <w:t>single strand</w:t>
      </w:r>
      <w:r w:rsidR="00F31FF1">
        <w:rPr>
          <w:rFonts w:ascii="Times New Roman" w:hAnsi="Times New Roman" w:cs="Times New Roman"/>
        </w:rPr>
        <w:t>’</w:t>
      </w:r>
      <w:r w:rsidRPr="00550C35">
        <w:rPr>
          <w:rFonts w:ascii="Times New Roman" w:hAnsi="Times New Roman" w:cs="Times New Roman"/>
        </w:rPr>
        <w:t>, and now more generally present in the scientific</w:t>
      </w:r>
      <w:r w:rsidR="0070586D" w:rsidRPr="00550C35">
        <w:rPr>
          <w:rFonts w:ascii="Times New Roman" w:hAnsi="Times New Roman" w:cs="Times New Roman"/>
        </w:rPr>
        <w:t xml:space="preserve"> – or at least legal </w:t>
      </w:r>
      <w:r w:rsidR="009A583C" w:rsidRPr="00550C35">
        <w:rPr>
          <w:rFonts w:ascii="Times New Roman" w:hAnsi="Times New Roman" w:cs="Times New Roman"/>
        </w:rPr>
        <w:t>–</w:t>
      </w:r>
      <w:r w:rsidRPr="00550C35">
        <w:rPr>
          <w:rFonts w:ascii="Times New Roman" w:hAnsi="Times New Roman" w:cs="Times New Roman"/>
        </w:rPr>
        <w:t xml:space="preserve"> consensus that not all fibres are involved in the causation of mesothelioma.</w:t>
      </w:r>
    </w:p>
    <w:p w14:paraId="09973A84" w14:textId="77777777" w:rsidR="00550C35" w:rsidRDefault="00550C35" w:rsidP="00550C35">
      <w:pPr>
        <w:spacing w:line="360" w:lineRule="auto"/>
        <w:jc w:val="both"/>
        <w:rPr>
          <w:rFonts w:ascii="Times New Roman" w:hAnsi="Times New Roman" w:cs="Times New Roman"/>
        </w:rPr>
      </w:pPr>
    </w:p>
    <w:p w14:paraId="3BB97014" w14:textId="05AA7FD5"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Let us assume that for a 20-year period of exposure, D1 was insured by U1 for the first 15 years and U2 for the final 5 years. Can D1 recover from one or other of his insurers? There is a range of possible responses, reflecting those discussed earlier i</w:t>
      </w:r>
      <w:r w:rsidR="007B498C">
        <w:rPr>
          <w:rFonts w:ascii="Times New Roman" w:hAnsi="Times New Roman" w:cs="Times New Roman"/>
        </w:rPr>
        <w:t>n respect to tortious liability.</w:t>
      </w:r>
      <w:r w:rsidRPr="00550C35">
        <w:rPr>
          <w:rFonts w:ascii="Times New Roman" w:hAnsi="Times New Roman" w:cs="Times New Roman"/>
        </w:rPr>
        <w:t xml:space="preserve"> </w:t>
      </w:r>
      <w:r w:rsidR="007E75E6">
        <w:rPr>
          <w:rFonts w:ascii="Times New Roman" w:hAnsi="Times New Roman" w:cs="Times New Roman"/>
        </w:rPr>
        <w:t xml:space="preserve">Outcome </w:t>
      </w:r>
      <w:r w:rsidRPr="00550C35">
        <w:rPr>
          <w:rFonts w:ascii="Times New Roman" w:hAnsi="Times New Roman" w:cs="Times New Roman"/>
        </w:rPr>
        <w:t>(a)</w:t>
      </w:r>
      <w:r w:rsidR="007E75E6">
        <w:rPr>
          <w:rFonts w:ascii="Times New Roman" w:hAnsi="Times New Roman" w:cs="Times New Roman"/>
        </w:rPr>
        <w:t>:</w:t>
      </w:r>
      <w:r w:rsidRPr="00550C35">
        <w:rPr>
          <w:rFonts w:ascii="Times New Roman" w:hAnsi="Times New Roman" w:cs="Times New Roman"/>
        </w:rPr>
        <w:t xml:space="preserve"> D1 cannot</w:t>
      </w:r>
      <w:r w:rsidR="007B498C">
        <w:rPr>
          <w:rFonts w:ascii="Times New Roman" w:hAnsi="Times New Roman" w:cs="Times New Roman"/>
        </w:rPr>
        <w:t>,</w:t>
      </w:r>
      <w:r w:rsidRPr="00550C35">
        <w:rPr>
          <w:rFonts w:ascii="Times New Roman" w:hAnsi="Times New Roman" w:cs="Times New Roman"/>
        </w:rPr>
        <w:t xml:space="preserve"> on the balance of probabilities</w:t>
      </w:r>
      <w:r w:rsidR="007B498C">
        <w:rPr>
          <w:rFonts w:ascii="Times New Roman" w:hAnsi="Times New Roman" w:cs="Times New Roman"/>
        </w:rPr>
        <w:t>,</w:t>
      </w:r>
      <w:r w:rsidRPr="00550C35">
        <w:rPr>
          <w:rFonts w:ascii="Times New Roman" w:hAnsi="Times New Roman" w:cs="Times New Roman"/>
        </w:rPr>
        <w:t xml:space="preserve"> identify the year in which the killing exposure took place, because every year has an equal chance, and so can recover nothing. </w:t>
      </w:r>
      <w:r w:rsidR="007E75E6">
        <w:rPr>
          <w:rFonts w:ascii="Times New Roman" w:hAnsi="Times New Roman" w:cs="Times New Roman"/>
        </w:rPr>
        <w:t xml:space="preserve">Outcome </w:t>
      </w:r>
      <w:r w:rsidRPr="00550C35">
        <w:rPr>
          <w:rFonts w:ascii="Times New Roman" w:hAnsi="Times New Roman" w:cs="Times New Roman"/>
        </w:rPr>
        <w:t>(b)</w:t>
      </w:r>
      <w:r w:rsidR="007E75E6">
        <w:rPr>
          <w:rFonts w:ascii="Times New Roman" w:hAnsi="Times New Roman" w:cs="Times New Roman"/>
        </w:rPr>
        <w:t>:</w:t>
      </w:r>
      <w:r w:rsidRPr="00550C35">
        <w:rPr>
          <w:rFonts w:ascii="Times New Roman" w:hAnsi="Times New Roman" w:cs="Times New Roman"/>
        </w:rPr>
        <w:t xml:space="preserve"> D1 can show that, because U1 was on risk for 75% of the period, on the balance of probabilities the killing exposure took place during U1’s time on risk. It follows that U1 must bear the entire loss without contribution from U2, because</w:t>
      </w:r>
      <w:r w:rsidR="007B498C">
        <w:rPr>
          <w:rFonts w:ascii="Times New Roman" w:hAnsi="Times New Roman" w:cs="Times New Roman"/>
        </w:rPr>
        <w:t>,</w:t>
      </w:r>
      <w:r w:rsidRPr="00550C35">
        <w:rPr>
          <w:rFonts w:ascii="Times New Roman" w:hAnsi="Times New Roman" w:cs="Times New Roman"/>
        </w:rPr>
        <w:t xml:space="preserve"> on the balance of probabilities</w:t>
      </w:r>
      <w:r w:rsidR="007B498C">
        <w:rPr>
          <w:rFonts w:ascii="Times New Roman" w:hAnsi="Times New Roman" w:cs="Times New Roman"/>
        </w:rPr>
        <w:t>,</w:t>
      </w:r>
      <w:r w:rsidRPr="00550C35">
        <w:rPr>
          <w:rFonts w:ascii="Times New Roman" w:hAnsi="Times New Roman" w:cs="Times New Roman"/>
        </w:rPr>
        <w:t xml:space="preserve"> the damage did not occur during U2’s five years on risk. That does not of course mean that D1 has identified which of the fifteen years </w:t>
      </w:r>
      <w:proofErr w:type="gramStart"/>
      <w:r w:rsidRPr="00550C35">
        <w:rPr>
          <w:rFonts w:ascii="Times New Roman" w:hAnsi="Times New Roman" w:cs="Times New Roman"/>
        </w:rPr>
        <w:t>is the relevant years</w:t>
      </w:r>
      <w:proofErr w:type="gramEnd"/>
      <w:r w:rsidRPr="00550C35">
        <w:rPr>
          <w:rFonts w:ascii="Times New Roman" w:hAnsi="Times New Roman" w:cs="Times New Roman"/>
        </w:rPr>
        <w:t xml:space="preserve">, just that it is </w:t>
      </w:r>
      <w:r w:rsidRPr="00550C35">
        <w:rPr>
          <w:rFonts w:ascii="Times New Roman" w:hAnsi="Times New Roman" w:cs="Times New Roman"/>
        </w:rPr>
        <w:lastRenderedPageBreak/>
        <w:t xml:space="preserve">more likely than not to have been one of them. </w:t>
      </w:r>
      <w:r w:rsidR="007E75E6">
        <w:rPr>
          <w:rFonts w:ascii="Times New Roman" w:hAnsi="Times New Roman" w:cs="Times New Roman"/>
        </w:rPr>
        <w:t xml:space="preserve">Outcome </w:t>
      </w:r>
      <w:r w:rsidRPr="00550C35">
        <w:rPr>
          <w:rFonts w:ascii="Times New Roman" w:hAnsi="Times New Roman" w:cs="Times New Roman"/>
        </w:rPr>
        <w:t>(c)</w:t>
      </w:r>
      <w:r w:rsidR="007E75E6">
        <w:rPr>
          <w:rFonts w:ascii="Times New Roman" w:hAnsi="Times New Roman" w:cs="Times New Roman"/>
        </w:rPr>
        <w:t>:</w:t>
      </w:r>
      <w:r w:rsidRPr="00550C35">
        <w:rPr>
          <w:rFonts w:ascii="Times New Roman" w:hAnsi="Times New Roman" w:cs="Times New Roman"/>
        </w:rPr>
        <w:t xml:space="preserve"> </w:t>
      </w:r>
      <w:r w:rsidR="007E75E6">
        <w:rPr>
          <w:rFonts w:ascii="Times New Roman" w:hAnsi="Times New Roman" w:cs="Times New Roman"/>
        </w:rPr>
        <w:t>t</w:t>
      </w:r>
      <w:r w:rsidRPr="00550C35">
        <w:rPr>
          <w:rFonts w:ascii="Times New Roman" w:hAnsi="Times New Roman" w:cs="Times New Roman"/>
        </w:rPr>
        <w:t xml:space="preserve">he loss is to be allocated 75:25 as between U1 and U2. </w:t>
      </w:r>
    </w:p>
    <w:p w14:paraId="09AC8A6F" w14:textId="77777777" w:rsidR="00550C35" w:rsidRDefault="00550C35" w:rsidP="00550C35">
      <w:pPr>
        <w:spacing w:line="360" w:lineRule="auto"/>
        <w:jc w:val="both"/>
        <w:rPr>
          <w:rFonts w:ascii="Times New Roman" w:hAnsi="Times New Roman" w:cs="Times New Roman"/>
        </w:rPr>
      </w:pPr>
    </w:p>
    <w:p w14:paraId="540D7CD1" w14:textId="2C698C63" w:rsidR="0070586D"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The difficulty with </w:t>
      </w:r>
      <w:r w:rsidR="000C1D75">
        <w:rPr>
          <w:rFonts w:ascii="Times New Roman" w:hAnsi="Times New Roman" w:cs="Times New Roman"/>
        </w:rPr>
        <w:t xml:space="preserve">Outcome </w:t>
      </w:r>
      <w:r w:rsidRPr="00550C35">
        <w:rPr>
          <w:rFonts w:ascii="Times New Roman" w:hAnsi="Times New Roman" w:cs="Times New Roman"/>
        </w:rPr>
        <w:t>(c) is that there is no insurance authority for it. To the contrary, apportionment of loss does not form a part of English insurance law</w:t>
      </w:r>
      <w:r w:rsidR="00051382">
        <w:rPr>
          <w:rFonts w:ascii="Times New Roman" w:hAnsi="Times New Roman" w:cs="Times New Roman"/>
        </w:rPr>
        <w:t>,</w:t>
      </w:r>
      <w:r w:rsidRPr="00550C35">
        <w:rPr>
          <w:rFonts w:ascii="Times New Roman" w:hAnsi="Times New Roman" w:cs="Times New Roman"/>
        </w:rPr>
        <w:t xml:space="preserve"> other than in the limited context of policies subject to average under which the assured is deemed to be his own insurer for the proportion of underinsurance: the result is that losses are divided between assured and insurer in their respective proportions.</w:t>
      </w:r>
      <w:r w:rsidRPr="00550C35">
        <w:rPr>
          <w:rStyle w:val="FootnoteReference"/>
          <w:rFonts w:ascii="Times New Roman" w:hAnsi="Times New Roman" w:cs="Times New Roman"/>
        </w:rPr>
        <w:footnoteReference w:id="45"/>
      </w:r>
      <w:r w:rsidRPr="00550C35">
        <w:rPr>
          <w:rFonts w:ascii="Times New Roman" w:hAnsi="Times New Roman" w:cs="Times New Roman"/>
        </w:rPr>
        <w:t xml:space="preserve"> </w:t>
      </w:r>
    </w:p>
    <w:p w14:paraId="19F5AE95" w14:textId="77777777" w:rsidR="00550C35" w:rsidRDefault="0062193D"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247A37B1" w14:textId="6B270AF8" w:rsidR="00B133F6" w:rsidRPr="00550C35" w:rsidRDefault="0070586D" w:rsidP="00550C35">
      <w:pPr>
        <w:spacing w:line="360" w:lineRule="auto"/>
        <w:ind w:firstLine="720"/>
        <w:jc w:val="both"/>
        <w:rPr>
          <w:rFonts w:ascii="Times New Roman" w:hAnsi="Times New Roman" w:cs="Times New Roman"/>
        </w:rPr>
      </w:pPr>
      <w:r w:rsidRPr="00550C35">
        <w:rPr>
          <w:rFonts w:ascii="Times New Roman" w:hAnsi="Times New Roman" w:cs="Times New Roman"/>
        </w:rPr>
        <w:t>The final possibility is</w:t>
      </w:r>
      <w:r w:rsidR="007E75E6">
        <w:rPr>
          <w:rFonts w:ascii="Times New Roman" w:hAnsi="Times New Roman" w:cs="Times New Roman"/>
        </w:rPr>
        <w:t xml:space="preserve"> </w:t>
      </w:r>
      <w:r w:rsidR="000C1D75">
        <w:rPr>
          <w:rFonts w:ascii="Times New Roman" w:hAnsi="Times New Roman" w:cs="Times New Roman"/>
        </w:rPr>
        <w:t>O</w:t>
      </w:r>
      <w:r w:rsidR="007E75E6">
        <w:rPr>
          <w:rFonts w:ascii="Times New Roman" w:hAnsi="Times New Roman" w:cs="Times New Roman"/>
        </w:rPr>
        <w:t xml:space="preserve">utcome </w:t>
      </w:r>
      <w:r w:rsidR="00B133F6" w:rsidRPr="00550C35">
        <w:rPr>
          <w:rFonts w:ascii="Times New Roman" w:hAnsi="Times New Roman" w:cs="Times New Roman"/>
        </w:rPr>
        <w:t>(d)</w:t>
      </w:r>
      <w:r w:rsidRPr="00550C35">
        <w:rPr>
          <w:rFonts w:ascii="Times New Roman" w:hAnsi="Times New Roman" w:cs="Times New Roman"/>
        </w:rPr>
        <w:t>: e</w:t>
      </w:r>
      <w:r w:rsidR="00B133F6" w:rsidRPr="00550C35">
        <w:rPr>
          <w:rFonts w:ascii="Times New Roman" w:hAnsi="Times New Roman" w:cs="Times New Roman"/>
        </w:rPr>
        <w:t>ach exposure is to be regarded as giving rise to a tort in its own right, so that liability can be pinned onto any exposure in any year. On that basis</w:t>
      </w:r>
      <w:r w:rsidR="00051382">
        <w:rPr>
          <w:rFonts w:ascii="Times New Roman" w:hAnsi="Times New Roman" w:cs="Times New Roman"/>
        </w:rPr>
        <w:t>,</w:t>
      </w:r>
      <w:r w:rsidR="00B133F6" w:rsidRPr="00550C35">
        <w:rPr>
          <w:rFonts w:ascii="Times New Roman" w:hAnsi="Times New Roman" w:cs="Times New Roman"/>
        </w:rPr>
        <w:t xml:space="preserve"> each of U1 and U2 is liable for 100%, but because there is concurrent liability then there is a right of contribution in the paying insurer from the non-paying insurer. At that point, as we noted in Section </w:t>
      </w:r>
      <w:r w:rsidR="00051382">
        <w:rPr>
          <w:rFonts w:ascii="Times New Roman" w:hAnsi="Times New Roman" w:cs="Times New Roman"/>
        </w:rPr>
        <w:t>I</w:t>
      </w:r>
      <w:r w:rsidR="00B133F6" w:rsidRPr="00550C35">
        <w:rPr>
          <w:rFonts w:ascii="Times New Roman" w:hAnsi="Times New Roman" w:cs="Times New Roman"/>
        </w:rPr>
        <w:t xml:space="preserve"> above, a further complication arises, because the right of contribution is generally determined on an independent liability basis, </w:t>
      </w:r>
      <w:proofErr w:type="spellStart"/>
      <w:r w:rsidR="00B133F6" w:rsidRPr="00550C35">
        <w:rPr>
          <w:rFonts w:ascii="Times New Roman" w:hAnsi="Times New Roman" w:cs="Times New Roman"/>
        </w:rPr>
        <w:t>ie</w:t>
      </w:r>
      <w:proofErr w:type="spellEnd"/>
      <w:r w:rsidR="00B133F6" w:rsidRPr="00550C35">
        <w:rPr>
          <w:rFonts w:ascii="Times New Roman" w:hAnsi="Times New Roman" w:cs="Times New Roman"/>
        </w:rPr>
        <w:t xml:space="preserve">, </w:t>
      </w:r>
      <w:r w:rsidR="00051382">
        <w:rPr>
          <w:rFonts w:ascii="Times New Roman" w:hAnsi="Times New Roman" w:cs="Times New Roman"/>
        </w:rPr>
        <w:t xml:space="preserve">on the basis </w:t>
      </w:r>
      <w:r w:rsidR="00B133F6" w:rsidRPr="00550C35">
        <w:rPr>
          <w:rFonts w:ascii="Times New Roman" w:hAnsi="Times New Roman" w:cs="Times New Roman"/>
        </w:rPr>
        <w:t>that the liability of each insurer is ascertained and the loss is allocated accordingly.</w:t>
      </w:r>
      <w:r w:rsidR="00B133F6" w:rsidRPr="00550C35">
        <w:rPr>
          <w:rStyle w:val="FootnoteReference"/>
          <w:rFonts w:ascii="Times New Roman" w:hAnsi="Times New Roman" w:cs="Times New Roman"/>
        </w:rPr>
        <w:footnoteReference w:id="46"/>
      </w:r>
      <w:r w:rsidR="00B133F6" w:rsidRPr="00550C35">
        <w:rPr>
          <w:rFonts w:ascii="Times New Roman" w:hAnsi="Times New Roman" w:cs="Times New Roman"/>
        </w:rPr>
        <w:t xml:space="preserve"> Adopting outcome (d) in an unmodified form means that U1 and U2 are each liable for 100%, so that whichever pays can claim 50% back from the other despite the disparity in time on risk. </w:t>
      </w:r>
    </w:p>
    <w:p w14:paraId="40236AE5" w14:textId="77777777" w:rsidR="00550C35" w:rsidRDefault="00550C35" w:rsidP="00550C35">
      <w:pPr>
        <w:spacing w:line="360" w:lineRule="auto"/>
        <w:jc w:val="both"/>
        <w:rPr>
          <w:rFonts w:ascii="Times New Roman" w:hAnsi="Times New Roman" w:cs="Times New Roman"/>
        </w:rPr>
      </w:pPr>
    </w:p>
    <w:p w14:paraId="7FB74C00" w14:textId="6374385D"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The point here being made is that</w:t>
      </w:r>
      <w:r w:rsidR="00EB0080">
        <w:rPr>
          <w:rFonts w:ascii="Times New Roman" w:hAnsi="Times New Roman" w:cs="Times New Roman"/>
        </w:rPr>
        <w:t>,</w:t>
      </w:r>
      <w:r w:rsidRPr="00550C35">
        <w:rPr>
          <w:rFonts w:ascii="Times New Roman" w:hAnsi="Times New Roman" w:cs="Times New Roman"/>
        </w:rPr>
        <w:t xml:space="preserve"> even where </w:t>
      </w:r>
      <w:r w:rsidRPr="00550C35">
        <w:rPr>
          <w:rFonts w:ascii="Times New Roman" w:hAnsi="Times New Roman" w:cs="Times New Roman"/>
          <w:i/>
        </w:rPr>
        <w:t xml:space="preserve">Fairchild </w:t>
      </w:r>
      <w:r w:rsidRPr="00550C35">
        <w:rPr>
          <w:rFonts w:ascii="Times New Roman" w:hAnsi="Times New Roman" w:cs="Times New Roman"/>
        </w:rPr>
        <w:t xml:space="preserve">has no part to play in pinning tort liability on D1, the allocation issue becomes live, albeit at one remove. </w:t>
      </w:r>
      <w:r w:rsidR="0070586D" w:rsidRPr="00550C35">
        <w:rPr>
          <w:rFonts w:ascii="Times New Roman" w:hAnsi="Times New Roman" w:cs="Times New Roman"/>
        </w:rPr>
        <w:t>Since we are now in the realms of insurance, we should ask w</w:t>
      </w:r>
      <w:r w:rsidRPr="00550C35">
        <w:rPr>
          <w:rFonts w:ascii="Times New Roman" w:hAnsi="Times New Roman" w:cs="Times New Roman"/>
        </w:rPr>
        <w:t xml:space="preserve">hich of the four outcomes produces the solution making the most commercial </w:t>
      </w:r>
      <w:proofErr w:type="gramStart"/>
      <w:r w:rsidRPr="00550C35">
        <w:rPr>
          <w:rFonts w:ascii="Times New Roman" w:hAnsi="Times New Roman" w:cs="Times New Roman"/>
        </w:rPr>
        <w:t>sense?</w:t>
      </w:r>
      <w:proofErr w:type="gramEnd"/>
      <w:r w:rsidRPr="00550C35">
        <w:rPr>
          <w:rFonts w:ascii="Times New Roman" w:hAnsi="Times New Roman" w:cs="Times New Roman"/>
        </w:rPr>
        <w:t xml:space="preserve"> </w:t>
      </w:r>
      <w:r w:rsidR="007E75E6">
        <w:rPr>
          <w:rFonts w:ascii="Times New Roman" w:hAnsi="Times New Roman" w:cs="Times New Roman"/>
        </w:rPr>
        <w:t xml:space="preserve">Outcome </w:t>
      </w:r>
      <w:r w:rsidRPr="00550C35">
        <w:rPr>
          <w:rFonts w:ascii="Times New Roman" w:hAnsi="Times New Roman" w:cs="Times New Roman"/>
        </w:rPr>
        <w:t xml:space="preserve">(a) is plainly nonsensical, given that D1 has paid premiums for 20 years. </w:t>
      </w:r>
      <w:r w:rsidR="007E75E6">
        <w:rPr>
          <w:rFonts w:ascii="Times New Roman" w:hAnsi="Times New Roman" w:cs="Times New Roman"/>
        </w:rPr>
        <w:t xml:space="preserve">Outcome </w:t>
      </w:r>
      <w:r w:rsidRPr="00550C35">
        <w:rPr>
          <w:rFonts w:ascii="Times New Roman" w:hAnsi="Times New Roman" w:cs="Times New Roman"/>
        </w:rPr>
        <w:t xml:space="preserve">(b) has two drawbacks. First, the insurer with the shorter period of cover is relieved of liability, even if the </w:t>
      </w:r>
      <w:r w:rsidR="00201B13" w:rsidRPr="00550C35">
        <w:rPr>
          <w:rFonts w:ascii="Times New Roman" w:hAnsi="Times New Roman" w:cs="Times New Roman"/>
        </w:rPr>
        <w:t xml:space="preserve">difference </w:t>
      </w:r>
      <w:r w:rsidRPr="00550C35">
        <w:rPr>
          <w:rFonts w:ascii="Times New Roman" w:hAnsi="Times New Roman" w:cs="Times New Roman"/>
        </w:rPr>
        <w:t xml:space="preserve">is a matter of minutes. Secondly, varying the facts and assuming that U1 and U2 are on risk for ten years each means that it is impossible to satisfy the burden of proof in respect of either and there is no recovery. </w:t>
      </w:r>
      <w:r w:rsidR="007E75E6">
        <w:rPr>
          <w:rFonts w:ascii="Times New Roman" w:hAnsi="Times New Roman" w:cs="Times New Roman"/>
        </w:rPr>
        <w:t xml:space="preserve">Outcome </w:t>
      </w:r>
      <w:r w:rsidRPr="00550C35">
        <w:rPr>
          <w:rFonts w:ascii="Times New Roman" w:hAnsi="Times New Roman" w:cs="Times New Roman"/>
        </w:rPr>
        <w:t xml:space="preserve">(c) has the benefit of rough and ready justice and probably reflects the outcome that conforms </w:t>
      </w:r>
      <w:proofErr w:type="gramStart"/>
      <w:r w:rsidRPr="00550C35">
        <w:rPr>
          <w:rFonts w:ascii="Times New Roman" w:hAnsi="Times New Roman" w:cs="Times New Roman"/>
        </w:rPr>
        <w:t>with</w:t>
      </w:r>
      <w:proofErr w:type="gramEnd"/>
      <w:r w:rsidRPr="00550C35">
        <w:rPr>
          <w:rFonts w:ascii="Times New Roman" w:hAnsi="Times New Roman" w:cs="Times New Roman"/>
        </w:rPr>
        <w:t xml:space="preserve"> the risks undertaken by U1 and U2, but it has no legal basis. </w:t>
      </w:r>
      <w:r w:rsidR="007E75E6">
        <w:rPr>
          <w:rFonts w:ascii="Times New Roman" w:hAnsi="Times New Roman" w:cs="Times New Roman"/>
        </w:rPr>
        <w:t xml:space="preserve">Outcome </w:t>
      </w:r>
      <w:r w:rsidRPr="00550C35">
        <w:rPr>
          <w:rFonts w:ascii="Times New Roman" w:hAnsi="Times New Roman" w:cs="Times New Roman"/>
        </w:rPr>
        <w:lastRenderedPageBreak/>
        <w:t xml:space="preserve">(d) achieves much the same as (c), with the additional benefit for D1 that the paying insurer bears the risk of the other’s insolvency but with the downside that it is necessary to tinker with the rules on contribution between insurers to ensure that the loss is divided proportionately to time on risk and not equally. </w:t>
      </w:r>
    </w:p>
    <w:p w14:paraId="2F124BD2" w14:textId="77777777" w:rsidR="00550C35" w:rsidRDefault="00550C35" w:rsidP="00550C35">
      <w:pPr>
        <w:spacing w:line="360" w:lineRule="auto"/>
        <w:jc w:val="both"/>
        <w:rPr>
          <w:rFonts w:ascii="Times New Roman" w:hAnsi="Times New Roman" w:cs="Times New Roman"/>
        </w:rPr>
      </w:pPr>
    </w:p>
    <w:p w14:paraId="35EB9FE0" w14:textId="07AA6E0E"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We know how the Supreme Court actually dealt with this very problem, as the facts of </w:t>
      </w:r>
      <w:r w:rsidRPr="00550C35">
        <w:rPr>
          <w:rFonts w:ascii="Times New Roman" w:hAnsi="Times New Roman" w:cs="Times New Roman"/>
          <w:i/>
        </w:rPr>
        <w:t xml:space="preserve">IEG v Zurich </w:t>
      </w:r>
      <w:r w:rsidRPr="00550C35">
        <w:rPr>
          <w:rFonts w:ascii="Times New Roman" w:hAnsi="Times New Roman" w:cs="Times New Roman"/>
        </w:rPr>
        <w:t>are in essence those set out above</w:t>
      </w:r>
      <w:r w:rsidRPr="00550C35">
        <w:rPr>
          <w:rFonts w:ascii="Times New Roman" w:hAnsi="Times New Roman" w:cs="Times New Roman"/>
          <w:i/>
        </w:rPr>
        <w:t xml:space="preserve">. </w:t>
      </w:r>
      <w:r w:rsidRPr="00550C35">
        <w:rPr>
          <w:rFonts w:ascii="Times New Roman" w:hAnsi="Times New Roman" w:cs="Times New Roman"/>
        </w:rPr>
        <w:t xml:space="preserve">The minority of </w:t>
      </w:r>
      <w:r w:rsidR="00D41D8A">
        <w:rPr>
          <w:rFonts w:ascii="Times New Roman" w:hAnsi="Times New Roman" w:cs="Times New Roman"/>
        </w:rPr>
        <w:t>three</w:t>
      </w:r>
      <w:r w:rsidRPr="00550C35">
        <w:rPr>
          <w:rFonts w:ascii="Times New Roman" w:hAnsi="Times New Roman" w:cs="Times New Roman"/>
        </w:rPr>
        <w:t xml:space="preserve"> opted for (c) and the majority of four opted for (d), but with the modification that it was necessary to vary the contribution principle to a proportional rather than independent liability approach, so that whoever paid was entitled to contribution based on time on risk. </w:t>
      </w:r>
    </w:p>
    <w:p w14:paraId="10BD0DEA" w14:textId="77777777" w:rsidR="00550C35" w:rsidRDefault="00550C35" w:rsidP="00550C35">
      <w:pPr>
        <w:spacing w:line="360" w:lineRule="auto"/>
        <w:jc w:val="both"/>
        <w:rPr>
          <w:rFonts w:ascii="Times New Roman" w:hAnsi="Times New Roman" w:cs="Times New Roman"/>
        </w:rPr>
      </w:pPr>
    </w:p>
    <w:p w14:paraId="6F9FCBC9" w14:textId="5CBF2A99" w:rsidR="00A74880"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The majority view in </w:t>
      </w:r>
      <w:r w:rsidRPr="00550C35">
        <w:rPr>
          <w:rFonts w:ascii="Times New Roman" w:hAnsi="Times New Roman" w:cs="Times New Roman"/>
          <w:i/>
        </w:rPr>
        <w:t xml:space="preserve">IEG </w:t>
      </w:r>
      <w:r w:rsidRPr="00550C35">
        <w:rPr>
          <w:rFonts w:ascii="Times New Roman" w:hAnsi="Times New Roman" w:cs="Times New Roman"/>
        </w:rPr>
        <w:t xml:space="preserve">was clearly based on the principle that, </w:t>
      </w:r>
      <w:r w:rsidRPr="00550C35">
        <w:rPr>
          <w:rFonts w:ascii="Times New Roman" w:hAnsi="Times New Roman" w:cs="Times New Roman"/>
          <w:i/>
        </w:rPr>
        <w:t xml:space="preserve">Fairchild </w:t>
      </w:r>
      <w:r w:rsidRPr="00550C35">
        <w:rPr>
          <w:rFonts w:ascii="Times New Roman" w:hAnsi="Times New Roman" w:cs="Times New Roman"/>
        </w:rPr>
        <w:t xml:space="preserve">having been decided for better or worse, it was necessary to extend </w:t>
      </w:r>
      <w:r w:rsidRPr="00550C35">
        <w:rPr>
          <w:rFonts w:ascii="Times New Roman" w:hAnsi="Times New Roman" w:cs="Times New Roman"/>
          <w:i/>
        </w:rPr>
        <w:t xml:space="preserve">Fairchild </w:t>
      </w:r>
      <w:r w:rsidRPr="00550C35">
        <w:rPr>
          <w:rFonts w:ascii="Times New Roman" w:hAnsi="Times New Roman" w:cs="Times New Roman"/>
        </w:rPr>
        <w:t xml:space="preserve">to the underlying insurance to maintain consistency. The minority view was that </w:t>
      </w:r>
      <w:r w:rsidRPr="00550C35">
        <w:rPr>
          <w:rFonts w:ascii="Times New Roman" w:hAnsi="Times New Roman" w:cs="Times New Roman"/>
          <w:i/>
        </w:rPr>
        <w:t xml:space="preserve">Fairchild </w:t>
      </w:r>
      <w:r w:rsidRPr="00550C35">
        <w:rPr>
          <w:rFonts w:ascii="Times New Roman" w:hAnsi="Times New Roman" w:cs="Times New Roman"/>
        </w:rPr>
        <w:t xml:space="preserve">was to be disregarded at the insurance stage and that proportionality was the appropriate solution. However, if we assume that </w:t>
      </w:r>
      <w:r w:rsidRPr="00550C35">
        <w:rPr>
          <w:rFonts w:ascii="Times New Roman" w:hAnsi="Times New Roman" w:cs="Times New Roman"/>
          <w:i/>
        </w:rPr>
        <w:t xml:space="preserve">Barker </w:t>
      </w:r>
      <w:r w:rsidRPr="00550C35">
        <w:rPr>
          <w:rFonts w:ascii="Times New Roman" w:hAnsi="Times New Roman" w:cs="Times New Roman"/>
        </w:rPr>
        <w:t xml:space="preserve">and </w:t>
      </w:r>
      <w:r w:rsidRPr="00550C35">
        <w:rPr>
          <w:rFonts w:ascii="Times New Roman" w:hAnsi="Times New Roman" w:cs="Times New Roman"/>
          <w:i/>
        </w:rPr>
        <w:t xml:space="preserve">Fairchild </w:t>
      </w:r>
      <w:r w:rsidRPr="00550C35">
        <w:rPr>
          <w:rFonts w:ascii="Times New Roman" w:hAnsi="Times New Roman" w:cs="Times New Roman"/>
        </w:rPr>
        <w:t xml:space="preserve">had not been decided and that the allocation problem had arisen only at the insurance stage, there is a powerful argument that the outcome in </w:t>
      </w:r>
      <w:r w:rsidRPr="00550C35">
        <w:rPr>
          <w:rFonts w:ascii="Times New Roman" w:hAnsi="Times New Roman" w:cs="Times New Roman"/>
          <w:i/>
        </w:rPr>
        <w:t>IEG</w:t>
      </w:r>
      <w:r w:rsidRPr="00550C35">
        <w:rPr>
          <w:rFonts w:ascii="Times New Roman" w:hAnsi="Times New Roman" w:cs="Times New Roman"/>
        </w:rPr>
        <w:t xml:space="preserve"> would have been the same. With no </w:t>
      </w:r>
      <w:r w:rsidRPr="00550C35">
        <w:rPr>
          <w:rFonts w:ascii="Times New Roman" w:hAnsi="Times New Roman" w:cs="Times New Roman"/>
          <w:i/>
        </w:rPr>
        <w:t>Fairchild</w:t>
      </w:r>
      <w:r w:rsidRPr="00550C35">
        <w:rPr>
          <w:rFonts w:ascii="Times New Roman" w:hAnsi="Times New Roman" w:cs="Times New Roman"/>
        </w:rPr>
        <w:t>, the principle upon which the majority judgment proceeded is cut away, but that does not mean that it</w:t>
      </w:r>
      <w:r w:rsidR="0070586D" w:rsidRPr="00550C35">
        <w:rPr>
          <w:rFonts w:ascii="Times New Roman" w:hAnsi="Times New Roman" w:cs="Times New Roman"/>
        </w:rPr>
        <w:t xml:space="preserve"> would not be reached by some other route</w:t>
      </w:r>
      <w:r w:rsidRPr="00550C35">
        <w:rPr>
          <w:rFonts w:ascii="Times New Roman" w:hAnsi="Times New Roman" w:cs="Times New Roman"/>
        </w:rPr>
        <w:t xml:space="preserve">. It is to be noted that nobody in </w:t>
      </w:r>
      <w:r w:rsidRPr="00550C35">
        <w:rPr>
          <w:rFonts w:ascii="Times New Roman" w:hAnsi="Times New Roman" w:cs="Times New Roman"/>
          <w:i/>
        </w:rPr>
        <w:t xml:space="preserve">IEG </w:t>
      </w:r>
      <w:r w:rsidRPr="00550C35">
        <w:rPr>
          <w:rFonts w:ascii="Times New Roman" w:hAnsi="Times New Roman" w:cs="Times New Roman"/>
        </w:rPr>
        <w:t xml:space="preserve">argued for (a) or (b). However, there is authority in favour of (a). In </w:t>
      </w:r>
      <w:r w:rsidRPr="00550C35">
        <w:rPr>
          <w:rFonts w:ascii="Times New Roman" w:hAnsi="Times New Roman" w:cs="Times New Roman"/>
          <w:i/>
        </w:rPr>
        <w:t>Kelly v Norwich Union Fire Insurance Ltd</w:t>
      </w:r>
      <w:r w:rsidRPr="00550C35">
        <w:rPr>
          <w:rStyle w:val="FootnoteReference"/>
          <w:rFonts w:ascii="Times New Roman" w:hAnsi="Times New Roman" w:cs="Times New Roman"/>
        </w:rPr>
        <w:footnoteReference w:id="47"/>
      </w:r>
      <w:r w:rsidRPr="00550C35">
        <w:rPr>
          <w:rFonts w:ascii="Times New Roman" w:hAnsi="Times New Roman" w:cs="Times New Roman"/>
          <w:i/>
        </w:rPr>
        <w:t xml:space="preserve"> </w:t>
      </w:r>
      <w:r w:rsidRPr="00550C35">
        <w:rPr>
          <w:rFonts w:ascii="Times New Roman" w:eastAsia="Times New Roman" w:hAnsi="Times New Roman" w:cs="Times New Roman"/>
          <w:lang w:eastAsia="en-GB"/>
        </w:rPr>
        <w:t xml:space="preserve">Mr Kelly insured his bungalow with Norwich Union under a 12-month policy incepting on 29 October 1977. The relevant cover was for </w:t>
      </w:r>
      <w:r w:rsidR="00F31FF1">
        <w:rPr>
          <w:rFonts w:ascii="Times New Roman" w:eastAsia="Times New Roman" w:hAnsi="Times New Roman" w:cs="Times New Roman"/>
          <w:lang w:eastAsia="en-GB"/>
        </w:rPr>
        <w:t>‘</w:t>
      </w:r>
      <w:r w:rsidR="00A74880">
        <w:rPr>
          <w:rFonts w:ascii="Times New Roman" w:eastAsia="Times New Roman" w:hAnsi="Times New Roman" w:cs="Times New Roman"/>
          <w:lang w:eastAsia="en-GB"/>
        </w:rPr>
        <w:t>[l]</w:t>
      </w:r>
      <w:proofErr w:type="spellStart"/>
      <w:r w:rsidRPr="00550C35">
        <w:rPr>
          <w:rFonts w:ascii="Times New Roman" w:eastAsia="Times New Roman" w:hAnsi="Times New Roman" w:cs="Times New Roman"/>
        </w:rPr>
        <w:t>oss</w:t>
      </w:r>
      <w:proofErr w:type="spellEnd"/>
      <w:r w:rsidRPr="00550C35">
        <w:rPr>
          <w:rFonts w:ascii="Times New Roman" w:eastAsia="Times New Roman" w:hAnsi="Times New Roman" w:cs="Times New Roman"/>
        </w:rPr>
        <w:t xml:space="preserve"> or damage to the buildings caused by any of the insured perils</w:t>
      </w:r>
      <w:r w:rsidR="00F31FF1">
        <w:rPr>
          <w:rFonts w:ascii="Times New Roman" w:eastAsia="Times New Roman" w:hAnsi="Times New Roman" w:cs="Times New Roman"/>
        </w:rPr>
        <w:t>’</w:t>
      </w:r>
      <w:r w:rsidRPr="00550C35">
        <w:rPr>
          <w:rFonts w:ascii="Times New Roman" w:eastAsia="Times New Roman" w:hAnsi="Times New Roman" w:cs="Times New Roman"/>
        </w:rPr>
        <w:t xml:space="preserve"> and the insurers were to pay </w:t>
      </w:r>
      <w:r w:rsidR="00F31FF1">
        <w:rPr>
          <w:rFonts w:ascii="Times New Roman" w:eastAsia="Times New Roman" w:hAnsi="Times New Roman" w:cs="Times New Roman"/>
        </w:rPr>
        <w:t>‘</w:t>
      </w:r>
      <w:r w:rsidRPr="00550C35">
        <w:rPr>
          <w:rFonts w:ascii="Times New Roman" w:hAnsi="Times New Roman" w:cs="Times New Roman"/>
        </w:rPr>
        <w:t>in respect of events occurring during the period of insurance.</w:t>
      </w:r>
      <w:r w:rsidR="00F31FF1">
        <w:rPr>
          <w:rFonts w:ascii="Times New Roman" w:hAnsi="Times New Roman" w:cs="Times New Roman"/>
        </w:rPr>
        <w:t>’</w:t>
      </w:r>
      <w:r w:rsidRPr="00550C35">
        <w:rPr>
          <w:rFonts w:ascii="Times New Roman" w:hAnsi="Times New Roman" w:cs="Times New Roman"/>
        </w:rPr>
        <w:t xml:space="preserve"> The policy was renewed on the anniversary date for a further year on terms for all material purposes identical, and renewals continued until 28 October 1981. As a consequence of effects of the long</w:t>
      </w:r>
      <w:r w:rsidR="00A74880">
        <w:rPr>
          <w:rFonts w:ascii="Times New Roman" w:hAnsi="Times New Roman" w:cs="Times New Roman"/>
        </w:rPr>
        <w:t>,</w:t>
      </w:r>
      <w:r w:rsidRPr="00550C35">
        <w:rPr>
          <w:rFonts w:ascii="Times New Roman" w:hAnsi="Times New Roman" w:cs="Times New Roman"/>
        </w:rPr>
        <w:t xml:space="preserve"> hot summer of 1976 on the subsoil, before the 1977 policy incepted there was a break in the mains water pipe leading to the bungalow, leading to an escape of water into the underlying soil and repairs were effected. A further break occurred at the repaired point in 1978. By April 1981 cracks </w:t>
      </w:r>
      <w:r w:rsidRPr="00550C35">
        <w:rPr>
          <w:rFonts w:ascii="Times New Roman" w:hAnsi="Times New Roman" w:cs="Times New Roman"/>
        </w:rPr>
        <w:lastRenderedPageBreak/>
        <w:t xml:space="preserve">appeared in the bungalow’s walls, and a claim was made against Norwich Union. Further investigation showed that there had been a further escape of water in 1980 and that the water had caused the soil to </w:t>
      </w:r>
      <w:r w:rsidR="00F31FF1">
        <w:rPr>
          <w:rFonts w:ascii="Times New Roman" w:hAnsi="Times New Roman" w:cs="Times New Roman"/>
        </w:rPr>
        <w:t>‘</w:t>
      </w:r>
      <w:r w:rsidRPr="00550C35">
        <w:rPr>
          <w:rFonts w:ascii="Times New Roman" w:hAnsi="Times New Roman" w:cs="Times New Roman"/>
        </w:rPr>
        <w:t>heave</w:t>
      </w:r>
      <w:r w:rsidR="00F31FF1">
        <w:rPr>
          <w:rFonts w:ascii="Times New Roman" w:hAnsi="Times New Roman" w:cs="Times New Roman"/>
        </w:rPr>
        <w:t>’</w:t>
      </w:r>
      <w:r w:rsidRPr="00550C35">
        <w:rPr>
          <w:rFonts w:ascii="Times New Roman" w:hAnsi="Times New Roman" w:cs="Times New Roman"/>
        </w:rPr>
        <w:t>. The result, therefore, was that the two possible causes of water causing heave were the pre-policy escape in 1977 and the post-policy escape in 1980. Each side appointed experts, and it proved impossible for either of them to apportion the relative contribution of the two causes. For that reason, the claim was not pressed</w:t>
      </w:r>
      <w:r w:rsidR="00A74880">
        <w:rPr>
          <w:rFonts w:ascii="Times New Roman" w:hAnsi="Times New Roman" w:cs="Times New Roman"/>
        </w:rPr>
        <w:t>,</w:t>
      </w:r>
      <w:r w:rsidRPr="00550C35">
        <w:rPr>
          <w:rFonts w:ascii="Times New Roman" w:hAnsi="Times New Roman" w:cs="Times New Roman"/>
        </w:rPr>
        <w:t xml:space="preserve"> on the basis that Norwich Union should be liable for a proportional part of the loss, and the judge noted that: </w:t>
      </w:r>
    </w:p>
    <w:p w14:paraId="70C098B2" w14:textId="77777777" w:rsidR="00A74880" w:rsidRDefault="00A74880" w:rsidP="00550C35">
      <w:pPr>
        <w:spacing w:line="360" w:lineRule="auto"/>
        <w:ind w:firstLine="720"/>
        <w:jc w:val="both"/>
        <w:rPr>
          <w:rFonts w:ascii="Times New Roman" w:hAnsi="Times New Roman" w:cs="Times New Roman"/>
        </w:rPr>
      </w:pPr>
    </w:p>
    <w:p w14:paraId="27AED74E" w14:textId="30BE12FC" w:rsidR="00A74880" w:rsidRPr="00A74880" w:rsidRDefault="00B133F6" w:rsidP="00A74880">
      <w:pPr>
        <w:spacing w:line="360" w:lineRule="auto"/>
        <w:ind w:left="720"/>
        <w:jc w:val="both"/>
        <w:rPr>
          <w:rFonts w:ascii="Times New Roman" w:hAnsi="Times New Roman" w:cs="Times New Roman"/>
          <w:sz w:val="22"/>
          <w:szCs w:val="22"/>
        </w:rPr>
      </w:pPr>
      <w:r w:rsidRPr="00A74880">
        <w:rPr>
          <w:rFonts w:ascii="Times New Roman" w:hAnsi="Times New Roman" w:cs="Times New Roman"/>
          <w:sz w:val="22"/>
          <w:szCs w:val="22"/>
        </w:rPr>
        <w:t>In appropriate circumstances I would have thought it right to adopt such an approach, although I have been referred to no English case where this has been done. Indeed, I was never invited by counsel for Mr. Kelly so to apportion, and there has been no argument about it.</w:t>
      </w:r>
    </w:p>
    <w:p w14:paraId="3CFD06B6" w14:textId="77777777" w:rsidR="00A74880" w:rsidRPr="00A74880" w:rsidRDefault="00A74880" w:rsidP="00550C35">
      <w:pPr>
        <w:spacing w:line="360" w:lineRule="auto"/>
        <w:ind w:firstLine="720"/>
        <w:jc w:val="both"/>
        <w:rPr>
          <w:rFonts w:ascii="Times New Roman" w:hAnsi="Times New Roman" w:cs="Times New Roman"/>
          <w:sz w:val="22"/>
          <w:szCs w:val="22"/>
        </w:rPr>
      </w:pPr>
    </w:p>
    <w:p w14:paraId="2B61223A" w14:textId="6B62FEF5" w:rsidR="00B133F6" w:rsidRPr="00550C35" w:rsidRDefault="00B133F6" w:rsidP="00A74880">
      <w:pPr>
        <w:spacing w:line="360" w:lineRule="auto"/>
        <w:jc w:val="both"/>
        <w:rPr>
          <w:rFonts w:ascii="Times New Roman" w:hAnsi="Times New Roman" w:cs="Times New Roman"/>
        </w:rPr>
      </w:pPr>
      <w:r w:rsidRPr="00550C35">
        <w:rPr>
          <w:rFonts w:ascii="Times New Roman" w:hAnsi="Times New Roman" w:cs="Times New Roman"/>
        </w:rPr>
        <w:t>Instead, Mr Kelly had to argue that both bursts were covered by the insurance. On that he failed. The insurance by its terms covered events and not damage, so it was necessary to show that the events giving rise to the damage occurred during the currency of the policy. However, because he could not show which of the events gave rise to the damage</w:t>
      </w:r>
      <w:r w:rsidR="00A74880">
        <w:rPr>
          <w:rFonts w:ascii="Times New Roman" w:hAnsi="Times New Roman" w:cs="Times New Roman"/>
        </w:rPr>
        <w:t xml:space="preserve"> –</w:t>
      </w:r>
      <w:r w:rsidRPr="00550C35">
        <w:rPr>
          <w:rFonts w:ascii="Times New Roman" w:hAnsi="Times New Roman" w:cs="Times New Roman"/>
        </w:rPr>
        <w:t xml:space="preserve"> one before the insurance incepted and one after the insurance incepted</w:t>
      </w:r>
      <w:r w:rsidR="00A74880">
        <w:rPr>
          <w:rFonts w:ascii="Times New Roman" w:hAnsi="Times New Roman" w:cs="Times New Roman"/>
        </w:rPr>
        <w:t xml:space="preserve"> –</w:t>
      </w:r>
      <w:r w:rsidRPr="00550C35">
        <w:rPr>
          <w:rFonts w:ascii="Times New Roman" w:hAnsi="Times New Roman" w:cs="Times New Roman"/>
        </w:rPr>
        <w:t xml:space="preserve"> the claim had to fail. </w:t>
      </w:r>
    </w:p>
    <w:p w14:paraId="7D797FDC" w14:textId="77777777" w:rsidR="00550C35" w:rsidRDefault="00B133F6" w:rsidP="00550C35">
      <w:pPr>
        <w:spacing w:line="360" w:lineRule="auto"/>
        <w:jc w:val="both"/>
        <w:rPr>
          <w:rFonts w:ascii="Times New Roman" w:hAnsi="Times New Roman" w:cs="Times New Roman"/>
          <w:i/>
        </w:rPr>
      </w:pPr>
      <w:r w:rsidRPr="00550C35">
        <w:rPr>
          <w:rFonts w:ascii="Times New Roman" w:hAnsi="Times New Roman" w:cs="Times New Roman"/>
          <w:i/>
        </w:rPr>
        <w:t xml:space="preserve"> </w:t>
      </w:r>
    </w:p>
    <w:p w14:paraId="486ADA58" w14:textId="304CD3A6"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i/>
        </w:rPr>
        <w:t>Kelly</w:t>
      </w:r>
      <w:r w:rsidRPr="00550C35">
        <w:rPr>
          <w:rFonts w:ascii="Times New Roman" w:hAnsi="Times New Roman" w:cs="Times New Roman"/>
        </w:rPr>
        <w:t xml:space="preserve"> can of course be distinguished as applying to a property policy</w:t>
      </w:r>
      <w:r w:rsidR="00D41D8A">
        <w:rPr>
          <w:rFonts w:ascii="Times New Roman" w:hAnsi="Times New Roman" w:cs="Times New Roman"/>
        </w:rPr>
        <w:t>,</w:t>
      </w:r>
      <w:r w:rsidRPr="00550C35">
        <w:rPr>
          <w:rFonts w:ascii="Times New Roman" w:hAnsi="Times New Roman" w:cs="Times New Roman"/>
        </w:rPr>
        <w:t xml:space="preserve"> rather than a liability policy, but there seems nothing of substance in that point. In </w:t>
      </w:r>
      <w:r w:rsidRPr="00550C35">
        <w:rPr>
          <w:rFonts w:ascii="Times New Roman" w:hAnsi="Times New Roman" w:cs="Times New Roman"/>
          <w:i/>
        </w:rPr>
        <w:t xml:space="preserve">Kelly </w:t>
      </w:r>
      <w:r w:rsidRPr="00550C35">
        <w:rPr>
          <w:rFonts w:ascii="Times New Roman" w:hAnsi="Times New Roman" w:cs="Times New Roman"/>
        </w:rPr>
        <w:t xml:space="preserve">and </w:t>
      </w:r>
      <w:r w:rsidRPr="00550C35">
        <w:rPr>
          <w:rFonts w:ascii="Times New Roman" w:hAnsi="Times New Roman" w:cs="Times New Roman"/>
          <w:i/>
        </w:rPr>
        <w:t xml:space="preserve">IEG </w:t>
      </w:r>
      <w:r w:rsidRPr="00550C35">
        <w:rPr>
          <w:rFonts w:ascii="Times New Roman" w:hAnsi="Times New Roman" w:cs="Times New Roman"/>
        </w:rPr>
        <w:t xml:space="preserve">the policies covered exposure rather than damage. The lesson from </w:t>
      </w:r>
      <w:r w:rsidRPr="00550C35">
        <w:rPr>
          <w:rFonts w:ascii="Times New Roman" w:hAnsi="Times New Roman" w:cs="Times New Roman"/>
          <w:i/>
        </w:rPr>
        <w:t xml:space="preserve">Kelly </w:t>
      </w:r>
      <w:r w:rsidRPr="00550C35">
        <w:rPr>
          <w:rFonts w:ascii="Times New Roman" w:hAnsi="Times New Roman" w:cs="Times New Roman"/>
        </w:rPr>
        <w:t>i</w:t>
      </w:r>
      <w:r w:rsidR="0070586D" w:rsidRPr="00550C35">
        <w:rPr>
          <w:rFonts w:ascii="Times New Roman" w:hAnsi="Times New Roman" w:cs="Times New Roman"/>
        </w:rPr>
        <w:t>s</w:t>
      </w:r>
      <w:r w:rsidR="00A74880">
        <w:rPr>
          <w:rFonts w:ascii="Times New Roman" w:hAnsi="Times New Roman" w:cs="Times New Roman"/>
        </w:rPr>
        <w:t xml:space="preserve"> that, </w:t>
      </w:r>
      <w:r w:rsidR="0070586D" w:rsidRPr="00550C35">
        <w:rPr>
          <w:rFonts w:ascii="Times New Roman" w:hAnsi="Times New Roman" w:cs="Times New Roman"/>
        </w:rPr>
        <w:t xml:space="preserve">if </w:t>
      </w:r>
      <w:r w:rsidRPr="00550C35">
        <w:rPr>
          <w:rFonts w:ascii="Times New Roman" w:hAnsi="Times New Roman" w:cs="Times New Roman"/>
        </w:rPr>
        <w:t xml:space="preserve">there are two exposures, each of which is capable of causing the loss but it is not possible to show which of them actually did so, then there is no recovery. Apportionment is precluded for the very reason that there is no relevant evidence. </w:t>
      </w:r>
    </w:p>
    <w:p w14:paraId="0C9771AE" w14:textId="77777777" w:rsidR="00550C35" w:rsidRDefault="00550C35" w:rsidP="00550C35">
      <w:pPr>
        <w:spacing w:line="360" w:lineRule="auto"/>
        <w:jc w:val="both"/>
        <w:rPr>
          <w:rFonts w:ascii="Times New Roman" w:hAnsi="Times New Roman" w:cs="Times New Roman"/>
        </w:rPr>
      </w:pPr>
    </w:p>
    <w:p w14:paraId="4647428D" w14:textId="7D4B895D"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Had the facts of </w:t>
      </w:r>
      <w:r w:rsidRPr="00550C35">
        <w:rPr>
          <w:rFonts w:ascii="Times New Roman" w:hAnsi="Times New Roman" w:cs="Times New Roman"/>
          <w:i/>
        </w:rPr>
        <w:t xml:space="preserve">IEG </w:t>
      </w:r>
      <w:r w:rsidRPr="00550C35">
        <w:rPr>
          <w:rFonts w:ascii="Times New Roman" w:hAnsi="Times New Roman" w:cs="Times New Roman"/>
        </w:rPr>
        <w:t xml:space="preserve">come before the Supreme Court in a </w:t>
      </w:r>
      <w:r w:rsidRPr="00550C35">
        <w:rPr>
          <w:rFonts w:ascii="Times New Roman" w:hAnsi="Times New Roman" w:cs="Times New Roman"/>
          <w:i/>
        </w:rPr>
        <w:t>Fairchild</w:t>
      </w:r>
      <w:r w:rsidRPr="00550C35">
        <w:rPr>
          <w:rFonts w:ascii="Times New Roman" w:hAnsi="Times New Roman" w:cs="Times New Roman"/>
        </w:rPr>
        <w:t xml:space="preserve">-free world, </w:t>
      </w:r>
      <w:r w:rsidRPr="00550C35">
        <w:rPr>
          <w:rFonts w:ascii="Times New Roman" w:hAnsi="Times New Roman" w:cs="Times New Roman"/>
          <w:i/>
        </w:rPr>
        <w:t xml:space="preserve">Kelly </w:t>
      </w:r>
      <w:r w:rsidRPr="00550C35">
        <w:rPr>
          <w:rFonts w:ascii="Times New Roman" w:hAnsi="Times New Roman" w:cs="Times New Roman"/>
        </w:rPr>
        <w:t xml:space="preserve">would surely have featured in the arguments. There is no way of knowing whether </w:t>
      </w:r>
      <w:r w:rsidRPr="00550C35">
        <w:rPr>
          <w:rFonts w:ascii="Times New Roman" w:hAnsi="Times New Roman" w:cs="Times New Roman"/>
          <w:i/>
        </w:rPr>
        <w:t xml:space="preserve">Kelly </w:t>
      </w:r>
      <w:r w:rsidRPr="00550C35">
        <w:rPr>
          <w:rFonts w:ascii="Times New Roman" w:hAnsi="Times New Roman" w:cs="Times New Roman"/>
        </w:rPr>
        <w:t xml:space="preserve">would have survived, but it is a reasonable guess that the absurdity of outcome (a) and the arbitrary nature of outcome (b) would have led the Court to ditch </w:t>
      </w:r>
      <w:r w:rsidRPr="00550C35">
        <w:rPr>
          <w:rFonts w:ascii="Times New Roman" w:hAnsi="Times New Roman" w:cs="Times New Roman"/>
          <w:i/>
        </w:rPr>
        <w:t xml:space="preserve">Kelly </w:t>
      </w:r>
      <w:r w:rsidRPr="00550C35">
        <w:rPr>
          <w:rFonts w:ascii="Times New Roman" w:hAnsi="Times New Roman" w:cs="Times New Roman"/>
        </w:rPr>
        <w:t>and to alight on either (c) or (d). In the mesothelioma context</w:t>
      </w:r>
      <w:r w:rsidR="00A74880">
        <w:rPr>
          <w:rFonts w:ascii="Times New Roman" w:hAnsi="Times New Roman" w:cs="Times New Roman"/>
        </w:rPr>
        <w:t>,</w:t>
      </w:r>
      <w:r w:rsidRPr="00550C35">
        <w:rPr>
          <w:rFonts w:ascii="Times New Roman" w:hAnsi="Times New Roman" w:cs="Times New Roman"/>
        </w:rPr>
        <w:t xml:space="preserve"> outcome (d) secures full payment for D1 and throws upon the paying insurer the risk </w:t>
      </w:r>
      <w:r w:rsidRPr="00550C35">
        <w:rPr>
          <w:rFonts w:ascii="Times New Roman" w:hAnsi="Times New Roman" w:cs="Times New Roman"/>
        </w:rPr>
        <w:lastRenderedPageBreak/>
        <w:t xml:space="preserve">of insolvencies of potential contributors. Outcome (c) secures as much payment for D1 as is available from those insurers who are solvent. Outcome (c) has at first sight an important advantage over (d), in that it removes to a limited extent a reinsurance problem. Under outcome (c), the paying insurer need look to his reinsurers only for his own proportion of liabilities, whereas under outcome (d) the paying insurer may well have to claim from his reinsurers both its own liabilities and those of any other insurer irrecoverable by reason of that insurer’s insolvency. But even that potential advantage is only partly of assistance. Every year of insurance will be reinsured, and there will almost certainly be some variation in the identities of participating reinsurers at each renewal. The paying insurer will therefore be required to show that the loss falls into a given reinsurance year. As we know, that is impossible. The issues in </w:t>
      </w:r>
      <w:r w:rsidRPr="00550C35">
        <w:rPr>
          <w:rFonts w:ascii="Times New Roman" w:hAnsi="Times New Roman" w:cs="Times New Roman"/>
          <w:i/>
        </w:rPr>
        <w:t xml:space="preserve">IEG </w:t>
      </w:r>
      <w:r w:rsidRPr="00550C35">
        <w:rPr>
          <w:rFonts w:ascii="Times New Roman" w:hAnsi="Times New Roman" w:cs="Times New Roman"/>
        </w:rPr>
        <w:t>thus arise at the reinsurance level, if anything in a more acute form, and potential contribution recoveries are just one further complexity.</w:t>
      </w:r>
    </w:p>
    <w:p w14:paraId="70931D76" w14:textId="77777777" w:rsidR="00550C35" w:rsidRDefault="00550C35" w:rsidP="00550C35">
      <w:pPr>
        <w:spacing w:line="360" w:lineRule="auto"/>
        <w:jc w:val="both"/>
        <w:rPr>
          <w:rFonts w:ascii="Times New Roman" w:hAnsi="Times New Roman" w:cs="Times New Roman"/>
        </w:rPr>
      </w:pPr>
    </w:p>
    <w:p w14:paraId="36D0FA3C" w14:textId="53DCABA0"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It is perhaps too far-fetched to suggest that </w:t>
      </w:r>
      <w:r w:rsidR="000C1D75">
        <w:rPr>
          <w:rFonts w:ascii="Times New Roman" w:hAnsi="Times New Roman" w:cs="Times New Roman"/>
        </w:rPr>
        <w:t>O</w:t>
      </w:r>
      <w:r w:rsidRPr="00550C35">
        <w:rPr>
          <w:rFonts w:ascii="Times New Roman" w:hAnsi="Times New Roman" w:cs="Times New Roman"/>
        </w:rPr>
        <w:t>utcome (d), th</w:t>
      </w:r>
      <w:r w:rsidR="006F3D6A">
        <w:rPr>
          <w:rFonts w:ascii="Times New Roman" w:hAnsi="Times New Roman" w:cs="Times New Roman"/>
        </w:rPr>
        <w:t xml:space="preserve">e solution </w:t>
      </w:r>
      <w:r w:rsidRPr="00550C35">
        <w:rPr>
          <w:rFonts w:ascii="Times New Roman" w:hAnsi="Times New Roman" w:cs="Times New Roman"/>
        </w:rPr>
        <w:t xml:space="preserve">adopted in </w:t>
      </w:r>
      <w:r w:rsidRPr="00550C35">
        <w:rPr>
          <w:rFonts w:ascii="Times New Roman" w:hAnsi="Times New Roman" w:cs="Times New Roman"/>
          <w:i/>
        </w:rPr>
        <w:t>Fairchild</w:t>
      </w:r>
      <w:r w:rsidRPr="00550C35">
        <w:rPr>
          <w:rFonts w:ascii="Times New Roman" w:hAnsi="Times New Roman" w:cs="Times New Roman"/>
        </w:rPr>
        <w:t>, is</w:t>
      </w:r>
      <w:r w:rsidRPr="00550C35">
        <w:rPr>
          <w:rFonts w:ascii="Times New Roman" w:hAnsi="Times New Roman" w:cs="Times New Roman"/>
          <w:i/>
        </w:rPr>
        <w:t xml:space="preserve"> </w:t>
      </w:r>
      <w:r w:rsidRPr="00550C35">
        <w:rPr>
          <w:rFonts w:ascii="Times New Roman" w:hAnsi="Times New Roman" w:cs="Times New Roman"/>
        </w:rPr>
        <w:t>close to inevitable. However, it is at the very least one of two – and in our view the only two – plausible alternatives.</w:t>
      </w:r>
    </w:p>
    <w:p w14:paraId="0A1C8F91" w14:textId="77777777" w:rsidR="00B133F6" w:rsidRPr="00550C35" w:rsidRDefault="00B133F6" w:rsidP="00550C35">
      <w:pPr>
        <w:spacing w:line="360" w:lineRule="auto"/>
        <w:jc w:val="both"/>
        <w:rPr>
          <w:rFonts w:ascii="Times New Roman" w:hAnsi="Times New Roman" w:cs="Times New Roman"/>
        </w:rPr>
      </w:pPr>
    </w:p>
    <w:p w14:paraId="04BC50E5" w14:textId="77E79E04" w:rsidR="00B133F6" w:rsidRPr="00550C35" w:rsidRDefault="00550C35" w:rsidP="00550C35">
      <w:pPr>
        <w:spacing w:line="360" w:lineRule="auto"/>
        <w:jc w:val="center"/>
        <w:rPr>
          <w:rFonts w:ascii="Times New Roman" w:hAnsi="Times New Roman" w:cs="Times New Roman"/>
          <w:b/>
          <w:sz w:val="28"/>
          <w:szCs w:val="28"/>
        </w:rPr>
      </w:pPr>
      <w:r w:rsidRPr="00550C35">
        <w:rPr>
          <w:rFonts w:ascii="Times New Roman" w:hAnsi="Times New Roman" w:cs="Times New Roman"/>
          <w:b/>
          <w:sz w:val="28"/>
          <w:szCs w:val="28"/>
        </w:rPr>
        <w:t>III.</w:t>
      </w:r>
      <w:r w:rsidR="00B133F6" w:rsidRPr="00550C35">
        <w:rPr>
          <w:rFonts w:ascii="Times New Roman" w:hAnsi="Times New Roman" w:cs="Times New Roman"/>
          <w:b/>
          <w:sz w:val="28"/>
          <w:szCs w:val="28"/>
        </w:rPr>
        <w:t xml:space="preserve"> I</w:t>
      </w:r>
      <w:r w:rsidRPr="00550C35">
        <w:rPr>
          <w:rFonts w:ascii="Times New Roman" w:hAnsi="Times New Roman" w:cs="Times New Roman"/>
          <w:b/>
          <w:sz w:val="28"/>
          <w:szCs w:val="28"/>
        </w:rPr>
        <w:t>n Support of Fairchild:</w:t>
      </w:r>
      <w:r w:rsidR="00B133F6" w:rsidRPr="00550C35">
        <w:rPr>
          <w:rFonts w:ascii="Times New Roman" w:hAnsi="Times New Roman" w:cs="Times New Roman"/>
          <w:b/>
          <w:sz w:val="28"/>
          <w:szCs w:val="28"/>
        </w:rPr>
        <w:t xml:space="preserve"> C</w:t>
      </w:r>
      <w:r w:rsidRPr="00550C35">
        <w:rPr>
          <w:rFonts w:ascii="Times New Roman" w:hAnsi="Times New Roman" w:cs="Times New Roman"/>
          <w:b/>
          <w:sz w:val="28"/>
          <w:szCs w:val="28"/>
        </w:rPr>
        <w:t>ausation in the Insurance Context</w:t>
      </w:r>
    </w:p>
    <w:p w14:paraId="477822E7" w14:textId="77777777" w:rsidR="00B133F6" w:rsidRPr="00F31FF1" w:rsidRDefault="00B133F6" w:rsidP="00550C35">
      <w:pPr>
        <w:spacing w:line="360" w:lineRule="auto"/>
        <w:jc w:val="both"/>
        <w:rPr>
          <w:rFonts w:ascii="Times New Roman" w:hAnsi="Times New Roman" w:cs="Times New Roman"/>
        </w:rPr>
      </w:pPr>
    </w:p>
    <w:p w14:paraId="66DFDD38" w14:textId="13DF5819"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A. </w:t>
      </w:r>
      <w:r w:rsidR="00B133F6" w:rsidRPr="00F31FF1">
        <w:rPr>
          <w:rFonts w:ascii="Times New Roman" w:hAnsi="Times New Roman" w:cs="Times New Roman"/>
        </w:rPr>
        <w:t xml:space="preserve">The </w:t>
      </w:r>
      <w:r w:rsidRPr="00F31FF1">
        <w:rPr>
          <w:rFonts w:ascii="Times New Roman" w:hAnsi="Times New Roman" w:cs="Times New Roman"/>
        </w:rPr>
        <w:t>D</w:t>
      </w:r>
      <w:r w:rsidR="00B133F6" w:rsidRPr="00F31FF1">
        <w:rPr>
          <w:rFonts w:ascii="Times New Roman" w:hAnsi="Times New Roman" w:cs="Times New Roman"/>
        </w:rPr>
        <w:t xml:space="preserve">octrine of </w:t>
      </w:r>
      <w:r w:rsidRPr="00F31FF1">
        <w:rPr>
          <w:rFonts w:ascii="Times New Roman" w:hAnsi="Times New Roman" w:cs="Times New Roman"/>
        </w:rPr>
        <w:t>P</w:t>
      </w:r>
      <w:r w:rsidR="00B133F6" w:rsidRPr="00F31FF1">
        <w:rPr>
          <w:rFonts w:ascii="Times New Roman" w:hAnsi="Times New Roman" w:cs="Times New Roman"/>
        </w:rPr>
        <w:t xml:space="preserve">roximate </w:t>
      </w:r>
      <w:r w:rsidRPr="00F31FF1">
        <w:rPr>
          <w:rFonts w:ascii="Times New Roman" w:hAnsi="Times New Roman" w:cs="Times New Roman"/>
        </w:rPr>
        <w:t>Cause in I</w:t>
      </w:r>
      <w:r w:rsidR="00B133F6" w:rsidRPr="00F31FF1">
        <w:rPr>
          <w:rFonts w:ascii="Times New Roman" w:hAnsi="Times New Roman" w:cs="Times New Roman"/>
        </w:rPr>
        <w:t xml:space="preserve">nsurance </w:t>
      </w:r>
      <w:r w:rsidRPr="00F31FF1">
        <w:rPr>
          <w:rFonts w:ascii="Times New Roman" w:hAnsi="Times New Roman" w:cs="Times New Roman"/>
        </w:rPr>
        <w:t>L</w:t>
      </w:r>
      <w:r w:rsidR="00B133F6" w:rsidRPr="00F31FF1">
        <w:rPr>
          <w:rFonts w:ascii="Times New Roman" w:hAnsi="Times New Roman" w:cs="Times New Roman"/>
        </w:rPr>
        <w:t>aw</w:t>
      </w:r>
    </w:p>
    <w:p w14:paraId="35369D5D" w14:textId="77777777" w:rsidR="00B133F6" w:rsidRPr="00550C35" w:rsidRDefault="00B133F6" w:rsidP="00550C35">
      <w:pPr>
        <w:spacing w:line="360" w:lineRule="auto"/>
        <w:jc w:val="both"/>
        <w:rPr>
          <w:rFonts w:ascii="Times New Roman" w:hAnsi="Times New Roman" w:cs="Times New Roman"/>
          <w:b/>
        </w:rPr>
      </w:pPr>
    </w:p>
    <w:p w14:paraId="0B3FC178" w14:textId="4C54F6A5" w:rsidR="00E47CE2" w:rsidRDefault="00E47CE2" w:rsidP="00550C35">
      <w:pPr>
        <w:spacing w:line="360" w:lineRule="auto"/>
        <w:jc w:val="both"/>
        <w:rPr>
          <w:rFonts w:ascii="Times New Roman" w:hAnsi="Times New Roman" w:cs="Times New Roman"/>
        </w:rPr>
      </w:pPr>
      <w:r w:rsidRPr="00550C35">
        <w:rPr>
          <w:rFonts w:ascii="Times New Roman" w:hAnsi="Times New Roman" w:cs="Times New Roman"/>
        </w:rPr>
        <w:t>We have already established that</w:t>
      </w:r>
      <w:r w:rsidR="00D41D8A">
        <w:rPr>
          <w:rFonts w:ascii="Times New Roman" w:hAnsi="Times New Roman" w:cs="Times New Roman"/>
        </w:rPr>
        <w:t>,</w:t>
      </w:r>
      <w:r w:rsidRPr="00550C35">
        <w:rPr>
          <w:rFonts w:ascii="Times New Roman" w:hAnsi="Times New Roman" w:cs="Times New Roman"/>
        </w:rPr>
        <w:t xml:space="preserve"> </w:t>
      </w:r>
      <w:r w:rsidR="00D41D8A">
        <w:rPr>
          <w:rFonts w:ascii="Times New Roman" w:hAnsi="Times New Roman" w:cs="Times New Roman"/>
        </w:rPr>
        <w:t>al</w:t>
      </w:r>
      <w:r w:rsidRPr="00550C35">
        <w:rPr>
          <w:rFonts w:ascii="Times New Roman" w:hAnsi="Times New Roman" w:cs="Times New Roman"/>
        </w:rPr>
        <w:t xml:space="preserve">though the insurance cases arising in the wake of </w:t>
      </w:r>
      <w:r w:rsidRPr="00550C35">
        <w:rPr>
          <w:rFonts w:ascii="Times New Roman" w:hAnsi="Times New Roman" w:cs="Times New Roman"/>
          <w:i/>
        </w:rPr>
        <w:t>Fairchild</w:t>
      </w:r>
      <w:r w:rsidRPr="00550C35">
        <w:rPr>
          <w:rFonts w:ascii="Times New Roman" w:hAnsi="Times New Roman" w:cs="Times New Roman"/>
        </w:rPr>
        <w:t xml:space="preserve"> have required novel solutions, these solutions might have been seized upon as a matter of common sense</w:t>
      </w:r>
      <w:r w:rsidR="00D41D8A">
        <w:rPr>
          <w:rFonts w:ascii="Times New Roman" w:hAnsi="Times New Roman" w:cs="Times New Roman"/>
        </w:rPr>
        <w:t>,</w:t>
      </w:r>
      <w:r w:rsidRPr="00550C35">
        <w:rPr>
          <w:rFonts w:ascii="Times New Roman" w:hAnsi="Times New Roman" w:cs="Times New Roman"/>
        </w:rPr>
        <w:t xml:space="preserve"> irrespective of any felt need to replicate </w:t>
      </w:r>
      <w:r w:rsidRPr="00550C35">
        <w:rPr>
          <w:rFonts w:ascii="Times New Roman" w:hAnsi="Times New Roman" w:cs="Times New Roman"/>
          <w:i/>
        </w:rPr>
        <w:t xml:space="preserve">Fairchild </w:t>
      </w:r>
      <w:r w:rsidRPr="00550C35">
        <w:rPr>
          <w:rFonts w:ascii="Times New Roman" w:hAnsi="Times New Roman" w:cs="Times New Roman"/>
        </w:rPr>
        <w:t>at the insurance level. The alternative solutions would not have commended th</w:t>
      </w:r>
      <w:r w:rsidR="00F61283" w:rsidRPr="00550C35">
        <w:rPr>
          <w:rFonts w:ascii="Times New Roman" w:hAnsi="Times New Roman" w:cs="Times New Roman"/>
        </w:rPr>
        <w:t>emselves. But how far could the</w:t>
      </w:r>
      <w:r w:rsidRPr="00550C35">
        <w:rPr>
          <w:rFonts w:ascii="Times New Roman" w:hAnsi="Times New Roman" w:cs="Times New Roman"/>
        </w:rPr>
        <w:t xml:space="preserve"> influence</w:t>
      </w:r>
      <w:r w:rsidR="00F61283" w:rsidRPr="00550C35">
        <w:rPr>
          <w:rFonts w:ascii="Times New Roman" w:hAnsi="Times New Roman" w:cs="Times New Roman"/>
        </w:rPr>
        <w:t xml:space="preserve"> of this</w:t>
      </w:r>
      <w:r w:rsidRPr="00550C35">
        <w:rPr>
          <w:rFonts w:ascii="Times New Roman" w:hAnsi="Times New Roman" w:cs="Times New Roman"/>
        </w:rPr>
        <w:t xml:space="preserve"> extend?</w:t>
      </w:r>
    </w:p>
    <w:p w14:paraId="7A4378F1" w14:textId="77777777" w:rsidR="00550C35" w:rsidRPr="00550C35" w:rsidRDefault="00550C35" w:rsidP="00550C35">
      <w:pPr>
        <w:spacing w:line="360" w:lineRule="auto"/>
        <w:jc w:val="both"/>
        <w:rPr>
          <w:rFonts w:ascii="Times New Roman" w:hAnsi="Times New Roman" w:cs="Times New Roman"/>
        </w:rPr>
      </w:pPr>
    </w:p>
    <w:p w14:paraId="27EDD36A" w14:textId="1F836DD6" w:rsidR="00E47CE2" w:rsidRPr="00550C35" w:rsidRDefault="00E47CE2" w:rsidP="00550C35">
      <w:pPr>
        <w:spacing w:line="360" w:lineRule="auto"/>
        <w:ind w:firstLine="720"/>
        <w:jc w:val="both"/>
        <w:rPr>
          <w:rFonts w:ascii="Times New Roman" w:hAnsi="Times New Roman" w:cs="Times New Roman"/>
        </w:rPr>
      </w:pPr>
      <w:r w:rsidRPr="00550C35">
        <w:rPr>
          <w:rFonts w:ascii="Times New Roman" w:hAnsi="Times New Roman" w:cs="Times New Roman"/>
        </w:rPr>
        <w:t>Established insurance law principles require the assured to prove on the balance of probabilities that the loss was proximately caused by an insured peril occu</w:t>
      </w:r>
      <w:r w:rsidR="00F61283" w:rsidRPr="00550C35">
        <w:rPr>
          <w:rFonts w:ascii="Times New Roman" w:hAnsi="Times New Roman" w:cs="Times New Roman"/>
        </w:rPr>
        <w:t>rring in the period of cover. Absence of any</w:t>
      </w:r>
      <w:r w:rsidRPr="00550C35">
        <w:rPr>
          <w:rFonts w:ascii="Times New Roman" w:hAnsi="Times New Roman" w:cs="Times New Roman"/>
        </w:rPr>
        <w:t xml:space="preserve"> evidence means that the claim will be lost even though there was undoubtedly insurance coverage from one or other source in every eventuality. In the following paragraphs, we first outline the </w:t>
      </w:r>
      <w:r w:rsidRPr="00550C35">
        <w:rPr>
          <w:rFonts w:ascii="Times New Roman" w:hAnsi="Times New Roman" w:cs="Times New Roman"/>
        </w:rPr>
        <w:lastRenderedPageBreak/>
        <w:t xml:space="preserve">derivation of these principles and illustrate their effect. We then consider whether </w:t>
      </w:r>
      <w:r w:rsidRPr="00550C35">
        <w:rPr>
          <w:rFonts w:ascii="Times New Roman" w:hAnsi="Times New Roman" w:cs="Times New Roman"/>
          <w:i/>
        </w:rPr>
        <w:t>Fairchild</w:t>
      </w:r>
      <w:r w:rsidR="00B335A3" w:rsidRPr="00550C35">
        <w:rPr>
          <w:rFonts w:ascii="Times New Roman" w:hAnsi="Times New Roman" w:cs="Times New Roman"/>
        </w:rPr>
        <w:t>, at least its example,</w:t>
      </w:r>
      <w:r w:rsidRPr="00550C35">
        <w:rPr>
          <w:rFonts w:ascii="Times New Roman" w:hAnsi="Times New Roman" w:cs="Times New Roman"/>
          <w:i/>
        </w:rPr>
        <w:t xml:space="preserve"> </w:t>
      </w:r>
      <w:r w:rsidRPr="00550C35">
        <w:rPr>
          <w:rFonts w:ascii="Times New Roman" w:hAnsi="Times New Roman" w:cs="Times New Roman"/>
        </w:rPr>
        <w:t xml:space="preserve">does or should pose a challenge to these established principles. </w:t>
      </w:r>
      <w:r w:rsidR="00230409" w:rsidRPr="00550C35">
        <w:rPr>
          <w:rFonts w:ascii="Times New Roman" w:hAnsi="Times New Roman" w:cs="Times New Roman"/>
        </w:rPr>
        <w:t>Is the absence of evidence the same as the impossibility of proof?</w:t>
      </w:r>
    </w:p>
    <w:p w14:paraId="10196C9B" w14:textId="77777777" w:rsidR="00550C35" w:rsidRDefault="00550C35" w:rsidP="00550C35">
      <w:pPr>
        <w:spacing w:line="360" w:lineRule="auto"/>
        <w:jc w:val="both"/>
        <w:rPr>
          <w:rFonts w:ascii="Times New Roman" w:hAnsi="Times New Roman" w:cs="Times New Roman"/>
        </w:rPr>
      </w:pPr>
    </w:p>
    <w:p w14:paraId="69D45389" w14:textId="7286E663"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Causation principles in insurance law were relatively late to develop. Until the growth of other forms of insurance in the 1850’s, the courts were concerned almost exclusively with marine disputes, and the overwhelming bulk of the decided cases between 1756 and 1815 – the formative period of the law under Lords Mansfield and Ellenborough – were concerned with wartime conditions. Enemy warships and armed merchant vessels (privateers) derived a good living from seizing British merchant vessels and selling both vessel and cargo following condemnation by a prize court. Virtually all of the principles of law subsequently codified in the Marine Insurance Act 1906 were developed in seizure cases. The Lloyd’s SG Policy, formally adopted in 1779 but based on wordings in use for the previous 150 years,</w:t>
      </w:r>
      <w:r w:rsidRPr="00550C35">
        <w:rPr>
          <w:rStyle w:val="FootnoteReference"/>
          <w:rFonts w:ascii="Times New Roman" w:hAnsi="Times New Roman" w:cs="Times New Roman"/>
        </w:rPr>
        <w:footnoteReference w:id="48"/>
      </w:r>
      <w:r w:rsidRPr="00550C35">
        <w:rPr>
          <w:rFonts w:ascii="Times New Roman" w:hAnsi="Times New Roman" w:cs="Times New Roman"/>
        </w:rPr>
        <w:t xml:space="preserve"> generally insured war and marine risks alike, and relevant exceptions related not to the cause of loss</w:t>
      </w:r>
      <w:r w:rsidR="00D41D8A">
        <w:rPr>
          <w:rFonts w:ascii="Times New Roman" w:hAnsi="Times New Roman" w:cs="Times New Roman"/>
        </w:rPr>
        <w:t>,</w:t>
      </w:r>
      <w:r w:rsidRPr="00550C35">
        <w:rPr>
          <w:rFonts w:ascii="Times New Roman" w:hAnsi="Times New Roman" w:cs="Times New Roman"/>
        </w:rPr>
        <w:t xml:space="preserve"> but rather to the amount recoverable. However, war conditions led to increasing use of the </w:t>
      </w:r>
      <w:r w:rsidR="00F31FF1">
        <w:rPr>
          <w:rFonts w:ascii="Times New Roman" w:hAnsi="Times New Roman" w:cs="Times New Roman"/>
        </w:rPr>
        <w:t>‘</w:t>
      </w:r>
      <w:r w:rsidRPr="00550C35">
        <w:rPr>
          <w:rFonts w:ascii="Times New Roman" w:hAnsi="Times New Roman" w:cs="Times New Roman"/>
        </w:rPr>
        <w:t>FCS Warranty</w:t>
      </w:r>
      <w:r w:rsidR="00F31FF1">
        <w:rPr>
          <w:rFonts w:ascii="Times New Roman" w:hAnsi="Times New Roman" w:cs="Times New Roman"/>
        </w:rPr>
        <w:t>’</w:t>
      </w:r>
      <w:r w:rsidRPr="00550C35">
        <w:rPr>
          <w:rFonts w:ascii="Times New Roman" w:hAnsi="Times New Roman" w:cs="Times New Roman"/>
        </w:rPr>
        <w:t xml:space="preserve">, an exclusion stating that the subject matter was </w:t>
      </w:r>
      <w:r w:rsidR="00F31FF1">
        <w:rPr>
          <w:rFonts w:ascii="Times New Roman" w:hAnsi="Times New Roman" w:cs="Times New Roman"/>
        </w:rPr>
        <w:t>‘</w:t>
      </w:r>
      <w:r w:rsidRPr="00550C35">
        <w:rPr>
          <w:rFonts w:ascii="Times New Roman" w:hAnsi="Times New Roman" w:cs="Times New Roman"/>
        </w:rPr>
        <w:t>warranted free of capture and seizure</w:t>
      </w:r>
      <w:r w:rsidR="00F31FF1">
        <w:rPr>
          <w:rFonts w:ascii="Times New Roman" w:hAnsi="Times New Roman" w:cs="Times New Roman"/>
        </w:rPr>
        <w:t>’</w:t>
      </w:r>
      <w:r w:rsidRPr="00550C35">
        <w:rPr>
          <w:rFonts w:ascii="Times New Roman" w:hAnsi="Times New Roman" w:cs="Times New Roman"/>
        </w:rPr>
        <w:t>.</w:t>
      </w:r>
      <w:r w:rsidRPr="00550C35">
        <w:rPr>
          <w:rStyle w:val="FootnoteReference"/>
          <w:rFonts w:ascii="Times New Roman" w:hAnsi="Times New Roman" w:cs="Times New Roman"/>
        </w:rPr>
        <w:footnoteReference w:id="49"/>
      </w:r>
      <w:r w:rsidRPr="00550C35">
        <w:rPr>
          <w:rFonts w:ascii="Times New Roman" w:hAnsi="Times New Roman" w:cs="Times New Roman"/>
        </w:rPr>
        <w:t xml:space="preserve"> This first appeared in the reported cases in 1743,</w:t>
      </w:r>
      <w:r w:rsidRPr="00550C35">
        <w:rPr>
          <w:rStyle w:val="FootnoteReference"/>
          <w:rFonts w:ascii="Times New Roman" w:hAnsi="Times New Roman" w:cs="Times New Roman"/>
        </w:rPr>
        <w:footnoteReference w:id="50"/>
      </w:r>
      <w:r w:rsidRPr="00550C35">
        <w:rPr>
          <w:rFonts w:ascii="Times New Roman" w:hAnsi="Times New Roman" w:cs="Times New Roman"/>
        </w:rPr>
        <w:t xml:space="preserve"> was pressed into greater use during the American War of Independence and became commonplace in the Napoleonic period. The FCS Warranty was the most important source of causation disputes. </w:t>
      </w:r>
    </w:p>
    <w:p w14:paraId="3D82D95F" w14:textId="77777777" w:rsidR="00550C35" w:rsidRDefault="00550C35" w:rsidP="00550C35">
      <w:pPr>
        <w:spacing w:line="360" w:lineRule="auto"/>
        <w:jc w:val="both"/>
        <w:rPr>
          <w:rFonts w:ascii="Times New Roman" w:hAnsi="Times New Roman" w:cs="Times New Roman"/>
        </w:rPr>
      </w:pPr>
    </w:p>
    <w:p w14:paraId="11959A4B" w14:textId="1672A266"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Causati</w:t>
      </w:r>
      <w:r w:rsidR="00D41D8A">
        <w:rPr>
          <w:rFonts w:ascii="Times New Roman" w:hAnsi="Times New Roman" w:cs="Times New Roman"/>
        </w:rPr>
        <w:t>on questions were resolved on an</w:t>
      </w:r>
      <w:r w:rsidRPr="00550C35">
        <w:rPr>
          <w:rFonts w:ascii="Times New Roman" w:hAnsi="Times New Roman" w:cs="Times New Roman"/>
        </w:rPr>
        <w:t xml:space="preserve"> </w:t>
      </w:r>
      <w:r w:rsidR="00F31FF1">
        <w:rPr>
          <w:rFonts w:ascii="Times New Roman" w:hAnsi="Times New Roman" w:cs="Times New Roman"/>
        </w:rPr>
        <w:t>‘</w:t>
      </w:r>
      <w:r w:rsidRPr="00550C35">
        <w:rPr>
          <w:rFonts w:ascii="Times New Roman" w:hAnsi="Times New Roman" w:cs="Times New Roman"/>
        </w:rPr>
        <w:t>immediate</w:t>
      </w:r>
      <w:r w:rsidR="00F31FF1">
        <w:rPr>
          <w:rFonts w:ascii="Times New Roman" w:hAnsi="Times New Roman" w:cs="Times New Roman"/>
        </w:rPr>
        <w:t>’</w:t>
      </w:r>
      <w:r w:rsidRPr="00550C35">
        <w:rPr>
          <w:rFonts w:ascii="Times New Roman" w:hAnsi="Times New Roman" w:cs="Times New Roman"/>
        </w:rPr>
        <w:t xml:space="preserve"> or </w:t>
      </w:r>
      <w:r w:rsidR="00F31FF1">
        <w:rPr>
          <w:rFonts w:ascii="Times New Roman" w:hAnsi="Times New Roman" w:cs="Times New Roman"/>
        </w:rPr>
        <w:t>‘</w:t>
      </w:r>
      <w:r w:rsidRPr="00550C35">
        <w:rPr>
          <w:rFonts w:ascii="Times New Roman" w:hAnsi="Times New Roman" w:cs="Times New Roman"/>
        </w:rPr>
        <w:t>direct</w:t>
      </w:r>
      <w:r w:rsidR="00F31FF1">
        <w:rPr>
          <w:rFonts w:ascii="Times New Roman" w:hAnsi="Times New Roman" w:cs="Times New Roman"/>
        </w:rPr>
        <w:t>’</w:t>
      </w:r>
      <w:r w:rsidRPr="00550C35">
        <w:rPr>
          <w:rFonts w:ascii="Times New Roman" w:hAnsi="Times New Roman" w:cs="Times New Roman"/>
        </w:rPr>
        <w:t xml:space="preserve"> basis. That was generally taken to point to the last thing to happen to the subject matter, unless there was a clean break between events. Thus a vessel driven aground by bad weather and then confiscated by the enemy was lost by the latter cause,</w:t>
      </w:r>
      <w:r w:rsidRPr="00550C35">
        <w:rPr>
          <w:rStyle w:val="FootnoteReference"/>
          <w:rFonts w:ascii="Times New Roman" w:hAnsi="Times New Roman" w:cs="Times New Roman"/>
        </w:rPr>
        <w:footnoteReference w:id="51"/>
      </w:r>
      <w:r w:rsidRPr="00550C35">
        <w:rPr>
          <w:rFonts w:ascii="Times New Roman" w:hAnsi="Times New Roman" w:cs="Times New Roman"/>
        </w:rPr>
        <w:t xml:space="preserve"> and a vessel taken by the enemy and then lost by sea perils </w:t>
      </w:r>
      <w:proofErr w:type="spellStart"/>
      <w:r w:rsidRPr="00550C35">
        <w:rPr>
          <w:rFonts w:ascii="Times New Roman" w:hAnsi="Times New Roman" w:cs="Times New Roman"/>
        </w:rPr>
        <w:t>en</w:t>
      </w:r>
      <w:proofErr w:type="spellEnd"/>
      <w:r w:rsidRPr="00550C35">
        <w:rPr>
          <w:rFonts w:ascii="Times New Roman" w:hAnsi="Times New Roman" w:cs="Times New Roman"/>
        </w:rPr>
        <w:t xml:space="preserve"> route to an enemy port was regarded as the victim of a sea peril rather than capture.</w:t>
      </w:r>
      <w:r w:rsidRPr="00550C35">
        <w:rPr>
          <w:rStyle w:val="FootnoteReference"/>
          <w:rFonts w:ascii="Times New Roman" w:hAnsi="Times New Roman" w:cs="Times New Roman"/>
        </w:rPr>
        <w:footnoteReference w:id="52"/>
      </w:r>
      <w:r w:rsidRPr="00550C35">
        <w:rPr>
          <w:rFonts w:ascii="Times New Roman" w:hAnsi="Times New Roman" w:cs="Times New Roman"/>
        </w:rPr>
        <w:t xml:space="preserve"> It was only where the loss was complete at the time of enemy intervention that sea perils were to be regarded as the </w:t>
      </w:r>
      <w:r w:rsidR="00F31FF1">
        <w:rPr>
          <w:rFonts w:ascii="Times New Roman" w:hAnsi="Times New Roman" w:cs="Times New Roman"/>
        </w:rPr>
        <w:t>‘</w:t>
      </w:r>
      <w:r w:rsidRPr="00550C35">
        <w:rPr>
          <w:rFonts w:ascii="Times New Roman" w:hAnsi="Times New Roman" w:cs="Times New Roman"/>
        </w:rPr>
        <w:t xml:space="preserve">proximate </w:t>
      </w:r>
      <w:r w:rsidRPr="00550C35">
        <w:rPr>
          <w:rFonts w:ascii="Times New Roman" w:hAnsi="Times New Roman" w:cs="Times New Roman"/>
        </w:rPr>
        <w:lastRenderedPageBreak/>
        <w:t>cause</w:t>
      </w:r>
      <w:r w:rsidR="00F31FF1">
        <w:rPr>
          <w:rFonts w:ascii="Times New Roman" w:hAnsi="Times New Roman" w:cs="Times New Roman"/>
        </w:rPr>
        <w:t>’</w:t>
      </w:r>
      <w:r w:rsidRPr="00550C35">
        <w:rPr>
          <w:rFonts w:ascii="Times New Roman" w:hAnsi="Times New Roman" w:cs="Times New Roman"/>
        </w:rPr>
        <w:t>.</w:t>
      </w:r>
      <w:r w:rsidRPr="00550C35">
        <w:rPr>
          <w:rStyle w:val="FootnoteReference"/>
          <w:rFonts w:ascii="Times New Roman" w:hAnsi="Times New Roman" w:cs="Times New Roman"/>
        </w:rPr>
        <w:footnoteReference w:id="53"/>
      </w:r>
      <w:r w:rsidRPr="00550C35">
        <w:rPr>
          <w:rFonts w:ascii="Times New Roman" w:hAnsi="Times New Roman" w:cs="Times New Roman"/>
        </w:rPr>
        <w:t xml:space="preserve"> These and similar cases were reconsidered by the House of Lords in the landmark ruling </w:t>
      </w:r>
      <w:r w:rsidRPr="00550C35">
        <w:rPr>
          <w:rFonts w:ascii="Times New Roman" w:hAnsi="Times New Roman" w:cs="Times New Roman"/>
          <w:i/>
          <w:iCs/>
        </w:rPr>
        <w:t>Leyland Shipping Co</w:t>
      </w:r>
      <w:r w:rsidRPr="00550C35">
        <w:rPr>
          <w:rFonts w:ascii="Times New Roman" w:hAnsi="Times New Roman" w:cs="Times New Roman"/>
          <w:i/>
          <w:iCs/>
          <w:vanish/>
        </w:rPr>
        <w:t>&lt;/i&gt;</w:t>
      </w:r>
      <w:r w:rsidR="00D41D8A">
        <w:rPr>
          <w:rFonts w:ascii="Times New Roman" w:hAnsi="Times New Roman" w:cs="Times New Roman"/>
        </w:rPr>
        <w:t xml:space="preserve"> v</w:t>
      </w:r>
      <w:r w:rsidRPr="00550C35">
        <w:rPr>
          <w:rFonts w:ascii="Times New Roman" w:hAnsi="Times New Roman" w:cs="Times New Roman"/>
        </w:rPr>
        <w:t xml:space="preserve"> </w:t>
      </w:r>
      <w:r w:rsidRPr="00550C35">
        <w:rPr>
          <w:rFonts w:ascii="Times New Roman" w:hAnsi="Times New Roman" w:cs="Times New Roman"/>
          <w:vanish/>
        </w:rPr>
        <w:t>&lt;i&gt;</w:t>
      </w:r>
      <w:r w:rsidRPr="00550C35">
        <w:rPr>
          <w:rFonts w:ascii="Times New Roman" w:hAnsi="Times New Roman" w:cs="Times New Roman"/>
          <w:i/>
          <w:iCs/>
        </w:rPr>
        <w:t>Norwich Union Fire Insurance Society</w:t>
      </w:r>
      <w:r w:rsidRPr="00550C35">
        <w:rPr>
          <w:rFonts w:ascii="Times New Roman" w:hAnsi="Times New Roman" w:cs="Times New Roman"/>
          <w:i/>
          <w:iCs/>
          <w:vanish/>
        </w:rPr>
        <w:t>&lt;/i&gt;</w:t>
      </w:r>
      <w:r w:rsidRPr="00550C35">
        <w:rPr>
          <w:rFonts w:ascii="Times New Roman" w:hAnsi="Times New Roman" w:cs="Times New Roman"/>
        </w:rPr>
        <w:t>,</w:t>
      </w:r>
      <w:r w:rsidRPr="00550C35">
        <w:rPr>
          <w:rStyle w:val="FootnoteReference"/>
          <w:rFonts w:ascii="Times New Roman" w:hAnsi="Times New Roman" w:cs="Times New Roman"/>
        </w:rPr>
        <w:footnoteReference w:id="54"/>
      </w:r>
      <w:r w:rsidRPr="00550C35">
        <w:rPr>
          <w:rFonts w:ascii="Times New Roman" w:hAnsi="Times New Roman" w:cs="Times New Roman"/>
        </w:rPr>
        <w:t xml:space="preserve"> where a vessel holed by a torpedo limped into Le Havre</w:t>
      </w:r>
      <w:r w:rsidR="00D41D8A">
        <w:rPr>
          <w:rFonts w:ascii="Times New Roman" w:hAnsi="Times New Roman" w:cs="Times New Roman"/>
        </w:rPr>
        <w:t>,</w:t>
      </w:r>
      <w:r w:rsidRPr="00550C35">
        <w:rPr>
          <w:rFonts w:ascii="Times New Roman" w:hAnsi="Times New Roman" w:cs="Times New Roman"/>
        </w:rPr>
        <w:t xml:space="preserve"> only to be ordered out lest she sank in a coming storm. She was lost at sea in the storm. Their Lordships rejected the earlier case law pointing at the storm, and</w:t>
      </w:r>
      <w:r w:rsidR="00D41D8A">
        <w:rPr>
          <w:rFonts w:ascii="Times New Roman" w:hAnsi="Times New Roman" w:cs="Times New Roman"/>
        </w:rPr>
        <w:t>,</w:t>
      </w:r>
      <w:r w:rsidRPr="00550C35">
        <w:rPr>
          <w:rFonts w:ascii="Times New Roman" w:hAnsi="Times New Roman" w:cs="Times New Roman"/>
        </w:rPr>
        <w:t xml:space="preserve"> in holding that the proximate cause of the loss was the torpedo rather than sea perils, each of the Law Lords used various terms to confirm the concept that the proximate cause was the effective, rather than the last, cause.</w:t>
      </w:r>
    </w:p>
    <w:p w14:paraId="741AFEAA" w14:textId="77777777" w:rsidR="00F31FF1" w:rsidRDefault="00F31FF1" w:rsidP="00550C35">
      <w:pPr>
        <w:spacing w:line="360" w:lineRule="auto"/>
        <w:ind w:firstLine="720"/>
        <w:jc w:val="both"/>
        <w:rPr>
          <w:rFonts w:ascii="Times New Roman" w:hAnsi="Times New Roman" w:cs="Times New Roman"/>
          <w:i/>
        </w:rPr>
      </w:pPr>
    </w:p>
    <w:p w14:paraId="334CFBD3" w14:textId="3B071450"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i/>
        </w:rPr>
        <w:t xml:space="preserve">Leyland Shipping </w:t>
      </w:r>
      <w:r w:rsidRPr="00550C35">
        <w:rPr>
          <w:rFonts w:ascii="Times New Roman" w:hAnsi="Times New Roman" w:cs="Times New Roman"/>
        </w:rPr>
        <w:t xml:space="preserve">was taken a step further in </w:t>
      </w:r>
      <w:proofErr w:type="spellStart"/>
      <w:r w:rsidRPr="00550C35">
        <w:rPr>
          <w:rFonts w:ascii="Times New Roman" w:hAnsi="Times New Roman" w:cs="Times New Roman"/>
          <w:i/>
        </w:rPr>
        <w:t>Rhesa</w:t>
      </w:r>
      <w:proofErr w:type="spellEnd"/>
      <w:r w:rsidRPr="00550C35">
        <w:rPr>
          <w:rFonts w:ascii="Times New Roman" w:hAnsi="Times New Roman" w:cs="Times New Roman"/>
          <w:i/>
        </w:rPr>
        <w:t xml:space="preserve"> Shipping v Edmunds, </w:t>
      </w:r>
      <w:proofErr w:type="gramStart"/>
      <w:r w:rsidRPr="00550C35">
        <w:rPr>
          <w:rFonts w:ascii="Times New Roman" w:hAnsi="Times New Roman" w:cs="Times New Roman"/>
          <w:i/>
        </w:rPr>
        <w:t>The</w:t>
      </w:r>
      <w:proofErr w:type="gramEnd"/>
      <w:r w:rsidRPr="00550C35">
        <w:rPr>
          <w:rFonts w:ascii="Times New Roman" w:hAnsi="Times New Roman" w:cs="Times New Roman"/>
          <w:i/>
        </w:rPr>
        <w:t xml:space="preserv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w:t>
      </w:r>
      <w:r w:rsidRPr="00550C35">
        <w:rPr>
          <w:rFonts w:ascii="Times New Roman" w:hAnsi="Times New Roman" w:cs="Times New Roman"/>
        </w:rPr>
        <w:t>.</w:t>
      </w:r>
      <w:r w:rsidRPr="00550C35">
        <w:rPr>
          <w:rStyle w:val="FootnoteReference"/>
          <w:rFonts w:ascii="Times New Roman" w:hAnsi="Times New Roman" w:cs="Times New Roman"/>
        </w:rPr>
        <w:footnoteReference w:id="55"/>
      </w:r>
      <w:r w:rsidRPr="00550C35">
        <w:rPr>
          <w:rFonts w:ascii="Times New Roman" w:hAnsi="Times New Roman" w:cs="Times New Roman"/>
          <w:i/>
        </w:rPr>
        <w:t xml:space="preserve"> </w:t>
      </w:r>
      <w:r w:rsidRPr="00550C35">
        <w:rPr>
          <w:rFonts w:ascii="Times New Roman" w:hAnsi="Times New Roman" w:cs="Times New Roman"/>
        </w:rPr>
        <w:t xml:space="preserve">In that case a fishing vessel disappeared without explanation off the coast of Scotland. Competing contentions were put forward: that of the insurers was unseaworthiness; that of the assured was the possibility of the nets having been snared by a Russian submarine. Neither could be proven, and at first instance Bingham J found for the assured on the basis of </w:t>
      </w:r>
      <w:r w:rsidR="00F31FF1">
        <w:rPr>
          <w:rFonts w:ascii="Times New Roman" w:hAnsi="Times New Roman" w:cs="Times New Roman"/>
        </w:rPr>
        <w:t>‘</w:t>
      </w:r>
      <w:r w:rsidRPr="00550C35">
        <w:rPr>
          <w:rFonts w:ascii="Times New Roman" w:hAnsi="Times New Roman" w:cs="Times New Roman"/>
        </w:rPr>
        <w:t>the least unlikely</w:t>
      </w:r>
      <w:r w:rsidR="00F31FF1">
        <w:rPr>
          <w:rFonts w:ascii="Times New Roman" w:hAnsi="Times New Roman" w:cs="Times New Roman"/>
        </w:rPr>
        <w:t>’</w:t>
      </w:r>
      <w:r w:rsidRPr="00550C35">
        <w:rPr>
          <w:rFonts w:ascii="Times New Roman" w:hAnsi="Times New Roman" w:cs="Times New Roman"/>
        </w:rPr>
        <w:t xml:space="preserve"> cause. The House of Lords rejected that concept and instead confirmed </w:t>
      </w:r>
      <w:r w:rsidR="00CF6137" w:rsidRPr="00550C35">
        <w:rPr>
          <w:rFonts w:ascii="Times New Roman" w:hAnsi="Times New Roman" w:cs="Times New Roman"/>
        </w:rPr>
        <w:t xml:space="preserve">that </w:t>
      </w:r>
      <w:r w:rsidRPr="00550C35">
        <w:rPr>
          <w:rFonts w:ascii="Times New Roman" w:hAnsi="Times New Roman" w:cs="Times New Roman"/>
        </w:rPr>
        <w:t xml:space="preserve">the assured bears the burden of proving that the loss was proximately caused by an insured peril. It was argued in </w:t>
      </w:r>
      <w:r w:rsidRPr="00550C35">
        <w:rPr>
          <w:rFonts w:ascii="Times New Roman" w:hAnsi="Times New Roman" w:cs="Times New Roman"/>
          <w:i/>
        </w:rPr>
        <w:t xml:space="preserve">The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w:t>
      </w:r>
      <w:r w:rsidRPr="00550C35">
        <w:rPr>
          <w:rFonts w:ascii="Times New Roman" w:hAnsi="Times New Roman" w:cs="Times New Roman"/>
        </w:rPr>
        <w:t xml:space="preserve"> that, where competing causes of loss were put forward, it was appropriate to apply the Sherlock Holmes dictum that </w:t>
      </w:r>
      <w:r w:rsidR="00F31FF1">
        <w:rPr>
          <w:rFonts w:ascii="Times New Roman" w:hAnsi="Times New Roman" w:cs="Times New Roman"/>
        </w:rPr>
        <w:t>‘</w:t>
      </w:r>
      <w:r w:rsidRPr="00550C35">
        <w:rPr>
          <w:rFonts w:ascii="Times New Roman" w:hAnsi="Times New Roman" w:cs="Times New Roman"/>
        </w:rPr>
        <w:t>once you eliminate the impossible, whatever remains, no matter how improbable, must be the truth.</w:t>
      </w:r>
      <w:r w:rsidR="00F31FF1">
        <w:rPr>
          <w:rFonts w:ascii="Times New Roman" w:hAnsi="Times New Roman" w:cs="Times New Roman"/>
        </w:rPr>
        <w:t>’</w:t>
      </w:r>
      <w:r w:rsidRPr="00550C35">
        <w:rPr>
          <w:rStyle w:val="FootnoteReference"/>
          <w:rFonts w:ascii="Times New Roman" w:hAnsi="Times New Roman" w:cs="Times New Roman"/>
        </w:rPr>
        <w:footnoteReference w:id="56"/>
      </w:r>
      <w:r w:rsidRPr="00550C35">
        <w:rPr>
          <w:rFonts w:ascii="Times New Roman" w:hAnsi="Times New Roman" w:cs="Times New Roman"/>
        </w:rPr>
        <w:t xml:space="preserve"> That suggestion was viewed with deep suspicion, although not entirely ruled out in </w:t>
      </w:r>
      <w:r w:rsidRPr="00550C35">
        <w:rPr>
          <w:rFonts w:ascii="Times New Roman" w:hAnsi="Times New Roman" w:cs="Times New Roman"/>
          <w:i/>
        </w:rPr>
        <w:t xml:space="preserve">The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w:t>
      </w:r>
      <w:r w:rsidRPr="00550C35">
        <w:rPr>
          <w:rFonts w:ascii="Times New Roman" w:hAnsi="Times New Roman" w:cs="Times New Roman"/>
        </w:rPr>
        <w:t>, but it is now clear from later cases that the choice between two competing suggestions is not binary and that there is always a third possibility, namely that nothing has been proved to the standard of the balance of probabilities.</w:t>
      </w:r>
      <w:r w:rsidRPr="00550C35">
        <w:rPr>
          <w:rStyle w:val="FootnoteReference"/>
          <w:rFonts w:ascii="Times New Roman" w:hAnsi="Times New Roman" w:cs="Times New Roman"/>
        </w:rPr>
        <w:footnoteReference w:id="57"/>
      </w:r>
    </w:p>
    <w:p w14:paraId="73C0B67F" w14:textId="0B355D08" w:rsidR="00B133F6" w:rsidRPr="00F31FF1"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43262524" w14:textId="5DB82F5C" w:rsidR="00B133F6" w:rsidRPr="00F31FF1" w:rsidRDefault="00550C35" w:rsidP="00550C35">
      <w:pPr>
        <w:spacing w:line="360" w:lineRule="auto"/>
        <w:jc w:val="both"/>
        <w:rPr>
          <w:rFonts w:ascii="Times New Roman" w:hAnsi="Times New Roman" w:cs="Times New Roman"/>
          <w:i/>
        </w:rPr>
      </w:pPr>
      <w:r w:rsidRPr="00F31FF1">
        <w:rPr>
          <w:rFonts w:ascii="Times New Roman" w:hAnsi="Times New Roman" w:cs="Times New Roman"/>
        </w:rPr>
        <w:t xml:space="preserve">B. </w:t>
      </w:r>
      <w:r w:rsidR="00B133F6" w:rsidRPr="00F31FF1">
        <w:rPr>
          <w:rFonts w:ascii="Times New Roman" w:hAnsi="Times New Roman" w:cs="Times New Roman"/>
        </w:rPr>
        <w:t xml:space="preserve">Proving the </w:t>
      </w:r>
      <w:r w:rsidRPr="00F31FF1">
        <w:rPr>
          <w:rFonts w:ascii="Times New Roman" w:hAnsi="Times New Roman" w:cs="Times New Roman"/>
        </w:rPr>
        <w:t>T</w:t>
      </w:r>
      <w:r w:rsidR="00B133F6" w:rsidRPr="00F31FF1">
        <w:rPr>
          <w:rFonts w:ascii="Times New Roman" w:hAnsi="Times New Roman" w:cs="Times New Roman"/>
        </w:rPr>
        <w:t xml:space="preserve">ime of </w:t>
      </w:r>
      <w:r w:rsidRPr="00F31FF1">
        <w:rPr>
          <w:rFonts w:ascii="Times New Roman" w:hAnsi="Times New Roman" w:cs="Times New Roman"/>
        </w:rPr>
        <w:t>L</w:t>
      </w:r>
      <w:r w:rsidR="00B133F6" w:rsidRPr="00F31FF1">
        <w:rPr>
          <w:rFonts w:ascii="Times New Roman" w:hAnsi="Times New Roman" w:cs="Times New Roman"/>
        </w:rPr>
        <w:t xml:space="preserve">oss: </w:t>
      </w:r>
      <w:r w:rsidRPr="00F31FF1">
        <w:rPr>
          <w:rFonts w:ascii="Times New Roman" w:hAnsi="Times New Roman" w:cs="Times New Roman"/>
        </w:rPr>
        <w:t>R</w:t>
      </w:r>
      <w:r w:rsidR="00B133F6" w:rsidRPr="00F31FF1">
        <w:rPr>
          <w:rFonts w:ascii="Times New Roman" w:hAnsi="Times New Roman" w:cs="Times New Roman"/>
        </w:rPr>
        <w:t xml:space="preserve">eassessing </w:t>
      </w:r>
      <w:r w:rsidR="00B133F6" w:rsidRPr="00F31FF1">
        <w:rPr>
          <w:rFonts w:ascii="Times New Roman" w:hAnsi="Times New Roman" w:cs="Times New Roman"/>
          <w:i/>
        </w:rPr>
        <w:t>Kelly</w:t>
      </w:r>
    </w:p>
    <w:p w14:paraId="296BAB6C" w14:textId="77777777" w:rsidR="00B133F6" w:rsidRPr="00550C35" w:rsidRDefault="00B133F6" w:rsidP="00550C35">
      <w:pPr>
        <w:spacing w:line="360" w:lineRule="auto"/>
        <w:jc w:val="both"/>
        <w:rPr>
          <w:rFonts w:ascii="Times New Roman" w:hAnsi="Times New Roman" w:cs="Times New Roman"/>
        </w:rPr>
      </w:pPr>
    </w:p>
    <w:p w14:paraId="229C23CE" w14:textId="19A30E64"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lastRenderedPageBreak/>
        <w:t xml:space="preserve">In </w:t>
      </w:r>
      <w:r w:rsidRPr="00550C35">
        <w:rPr>
          <w:rFonts w:ascii="Times New Roman" w:hAnsi="Times New Roman" w:cs="Times New Roman"/>
          <w:i/>
        </w:rPr>
        <w:t>Kelly v Norwich Union</w:t>
      </w:r>
      <w:r w:rsidR="00D41D8A">
        <w:rPr>
          <w:rFonts w:ascii="Times New Roman" w:hAnsi="Times New Roman" w:cs="Times New Roman"/>
          <w:i/>
        </w:rPr>
        <w:t>,</w:t>
      </w:r>
      <w:r w:rsidRPr="00550C35">
        <w:rPr>
          <w:rFonts w:ascii="Times New Roman" w:hAnsi="Times New Roman" w:cs="Times New Roman"/>
          <w:i/>
        </w:rPr>
        <w:t xml:space="preserve"> </w:t>
      </w:r>
      <w:r w:rsidR="00CF6137" w:rsidRPr="00550C35">
        <w:rPr>
          <w:rFonts w:ascii="Times New Roman" w:hAnsi="Times New Roman" w:cs="Times New Roman"/>
        </w:rPr>
        <w:t xml:space="preserve">as we have seen, </w:t>
      </w:r>
      <w:r w:rsidRPr="00550C35">
        <w:rPr>
          <w:rFonts w:ascii="Times New Roman" w:hAnsi="Times New Roman" w:cs="Times New Roman"/>
        </w:rPr>
        <w:t xml:space="preserve">Mr Kelly was plainly the victim of an insured peril, and suffered consequent damage, in the life of the insurance. What stopped him recovering was the possibility that the same peril occurring at an earlier point was also the potential cause of the damage. Minor changes to the facts demonstrate the weakness in the reasoning. Let it be supposed that in year 1 Mr Kelly was insured by IA, and there was an underground leak arising from an insured peril. In year 2 Mr Kelly was insured by IB and there was another underground leak arising from an insured peril. In year 3 Mr Kelly discovered damage. It does not matter for our purposes whether the insurer in year 3 is IA, IB or non-existent: there cannot be a claim in year 3 because there is no insured peril in year 3, only damage. So Mr Kelly’s claim has to be brought against IA and IB, and each claim inevitably fails because IA and IB can both point their respective fingers at each other and Mr Kelly can prove nothing either way. A related problem has arisen in the aftermath of the consecutive earthquakes in Christchurch in September 2010, February 2011 and June 2011, causing cumulative damage and frequently ultimate total loss. Many policyholders have been faced with the scenario of a change of insurers between the earthquakes, and there have been disputes as to the allocation of damage and repair costs to successive events. The issue has not been as acute as that in </w:t>
      </w:r>
      <w:r w:rsidRPr="00550C35">
        <w:rPr>
          <w:rFonts w:ascii="Times New Roman" w:hAnsi="Times New Roman" w:cs="Times New Roman"/>
          <w:i/>
        </w:rPr>
        <w:t>Kelly</w:t>
      </w:r>
      <w:r w:rsidRPr="00550C35">
        <w:rPr>
          <w:rFonts w:ascii="Times New Roman" w:hAnsi="Times New Roman" w:cs="Times New Roman"/>
        </w:rPr>
        <w:t xml:space="preserve"> and indeed </w:t>
      </w:r>
      <w:r w:rsidRPr="00550C35">
        <w:rPr>
          <w:rFonts w:ascii="Times New Roman" w:hAnsi="Times New Roman" w:cs="Times New Roman"/>
          <w:i/>
        </w:rPr>
        <w:t>Fairchild</w:t>
      </w:r>
      <w:r w:rsidRPr="00550C35">
        <w:rPr>
          <w:rFonts w:ascii="Times New Roman" w:hAnsi="Times New Roman" w:cs="Times New Roman"/>
        </w:rPr>
        <w:t>, because it has proved possible to apply science to allow the assured to jump the balance of probabilities hurdle, although there has been interesting analysis of the credibility of modelling used as evidence for the purpose.</w:t>
      </w:r>
      <w:r w:rsidRPr="00550C35">
        <w:rPr>
          <w:rStyle w:val="FootnoteReference"/>
          <w:rFonts w:ascii="Times New Roman" w:hAnsi="Times New Roman" w:cs="Times New Roman"/>
        </w:rPr>
        <w:footnoteReference w:id="58"/>
      </w:r>
    </w:p>
    <w:p w14:paraId="7DFDCC96" w14:textId="77777777" w:rsidR="00550C35" w:rsidRDefault="00550C35" w:rsidP="00550C35">
      <w:pPr>
        <w:spacing w:line="360" w:lineRule="auto"/>
        <w:jc w:val="both"/>
        <w:rPr>
          <w:rFonts w:ascii="Times New Roman" w:hAnsi="Times New Roman" w:cs="Times New Roman"/>
        </w:rPr>
      </w:pPr>
    </w:p>
    <w:p w14:paraId="5B1659F2" w14:textId="072B2382"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But assume that the insurer in both year 1 and year 2 was IA? Can IA escape liability by arguing that unless someon</w:t>
      </w:r>
      <w:r w:rsidR="0065056B" w:rsidRPr="00550C35">
        <w:rPr>
          <w:rFonts w:ascii="Times New Roman" w:hAnsi="Times New Roman" w:cs="Times New Roman"/>
        </w:rPr>
        <w:t>e</w:t>
      </w:r>
      <w:r w:rsidRPr="00550C35">
        <w:rPr>
          <w:rFonts w:ascii="Times New Roman" w:hAnsi="Times New Roman" w:cs="Times New Roman"/>
        </w:rPr>
        <w:t xml:space="preserve"> in Mr Kelly’s position can place his claim in either year 1 or year 2 there is no liability? From Mr Kelly’s point of view that outcome is bizarre: he was insured for a two year period, and insured perils occurred in the two-year period, but he recovers nothing. From IA’s point of view, the position is potentially somewhat different. Policy terms may have changed between the two years: a long hot summer before the year 1 insurance incepted has given rise to a mass of claims in year 1, and IA decides that with effect from year 2 the deductible for </w:t>
      </w:r>
      <w:r w:rsidRPr="00550C35">
        <w:rPr>
          <w:rFonts w:ascii="Times New Roman" w:hAnsi="Times New Roman" w:cs="Times New Roman"/>
        </w:rPr>
        <w:lastRenderedPageBreak/>
        <w:t>heave or subsidence damage should be raised from £100 to £1000. Additionally, in the light of the long hot summer, reinsurers decide to exclude heave and subsidence damage from the renewed casualty treaty issued to IA in respect of claims for perils occurring in year 2. So the year of coverage matters both to Mr Kelly and to IA, albeit in different degrees. Whose problem should this be? We suggest that it is contrary to sense to deprive Mr Kelly of all cover, that some proportional solution is called for and that</w:t>
      </w:r>
      <w:r w:rsidR="00D41D8A">
        <w:rPr>
          <w:rFonts w:ascii="Times New Roman" w:hAnsi="Times New Roman" w:cs="Times New Roman"/>
        </w:rPr>
        <w:t>,</w:t>
      </w:r>
      <w:r w:rsidRPr="00550C35">
        <w:rPr>
          <w:rFonts w:ascii="Times New Roman" w:hAnsi="Times New Roman" w:cs="Times New Roman"/>
        </w:rPr>
        <w:t xml:space="preserve"> as far as he is concerned</w:t>
      </w:r>
      <w:r w:rsidR="00D41D8A">
        <w:rPr>
          <w:rFonts w:ascii="Times New Roman" w:hAnsi="Times New Roman" w:cs="Times New Roman"/>
        </w:rPr>
        <w:t>,</w:t>
      </w:r>
      <w:r w:rsidRPr="00550C35">
        <w:rPr>
          <w:rFonts w:ascii="Times New Roman" w:hAnsi="Times New Roman" w:cs="Times New Roman"/>
        </w:rPr>
        <w:t xml:space="preserve"> the loss can be treated as occurring equally in each year: it is then a matter of taste as to whether he has to bear the full amount of each deductible or perhaps only half of each deductible, but that is a relatively trivial matter in the scale of things. As far as IA’s outward claim against reinsurers is concerned, that follows IA’s liability to Mr Kelly, so that IA cannot arbitrarily place the loss in year 1 and the reinsurers cannot insist that it is treated as a year 2 loss and consequently not reinsured.</w:t>
      </w:r>
    </w:p>
    <w:p w14:paraId="7EAAC726" w14:textId="77777777" w:rsid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03857707" w14:textId="380B76D9"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An issue of this type arose in </w:t>
      </w:r>
      <w:r w:rsidRPr="00550C35">
        <w:rPr>
          <w:rFonts w:ascii="Times New Roman" w:hAnsi="Times New Roman" w:cs="Times New Roman"/>
          <w:i/>
          <w:lang w:val="en-US"/>
        </w:rPr>
        <w:t>MMI v Sea Insurance,</w:t>
      </w:r>
      <w:r w:rsidRPr="00D41D8A">
        <w:rPr>
          <w:rStyle w:val="FootnoteReference"/>
          <w:rFonts w:ascii="Times New Roman" w:hAnsi="Times New Roman" w:cs="Times New Roman"/>
          <w:lang w:val="en-US"/>
        </w:rPr>
        <w:footnoteReference w:id="59"/>
      </w:r>
      <w:r w:rsidRPr="00550C35">
        <w:rPr>
          <w:rFonts w:ascii="Times New Roman" w:hAnsi="Times New Roman" w:cs="Times New Roman"/>
          <w:i/>
          <w:lang w:val="en-US"/>
        </w:rPr>
        <w:t xml:space="preserve"> </w:t>
      </w:r>
      <w:r w:rsidRPr="00550C35">
        <w:rPr>
          <w:rFonts w:ascii="Times New Roman" w:hAnsi="Times New Roman" w:cs="Times New Roman"/>
          <w:lang w:val="en-US"/>
        </w:rPr>
        <w:t xml:space="preserve">where the Court of Appeal was satisfied on the balance of probabilities that a series of thefts at a dockyard over a period of 18 months, straddling three policy periods, had occurred with uniform regularity and could be allocated proportionately to each period of insurance. It is of interest to note that a single insurer was on risk for the entire period, and the question was how the losses were to be allocated to the three </w:t>
      </w:r>
      <w:r w:rsidR="00D41D8A">
        <w:rPr>
          <w:rFonts w:ascii="Times New Roman" w:hAnsi="Times New Roman" w:cs="Times New Roman"/>
          <w:lang w:val="en-US"/>
        </w:rPr>
        <w:t>successive years of reinsurance</w:t>
      </w:r>
      <w:r w:rsidRPr="00550C35">
        <w:rPr>
          <w:rFonts w:ascii="Times New Roman" w:hAnsi="Times New Roman" w:cs="Times New Roman"/>
          <w:lang w:val="en-US"/>
        </w:rPr>
        <w:t xml:space="preserve"> coverage: there is nothing in the report to indicate an issue between assured and insurers whereby the assured was put to proof of loss per year, as demanded by </w:t>
      </w:r>
      <w:r w:rsidRPr="00550C35">
        <w:rPr>
          <w:rFonts w:ascii="Times New Roman" w:hAnsi="Times New Roman" w:cs="Times New Roman"/>
          <w:i/>
          <w:lang w:val="en-US"/>
        </w:rPr>
        <w:t>Kelly</w:t>
      </w:r>
      <w:r w:rsidRPr="00550C35">
        <w:rPr>
          <w:rFonts w:ascii="Times New Roman" w:hAnsi="Times New Roman" w:cs="Times New Roman"/>
          <w:lang w:val="en-US"/>
        </w:rPr>
        <w:t>. However, it is hardly satisfactory to say that just because the point is not always taken in practice then there is no problem.</w:t>
      </w:r>
    </w:p>
    <w:p w14:paraId="219AD244" w14:textId="77777777" w:rsidR="00550C35" w:rsidRDefault="00550C35" w:rsidP="00550C35">
      <w:pPr>
        <w:spacing w:line="360" w:lineRule="auto"/>
        <w:jc w:val="both"/>
        <w:rPr>
          <w:rFonts w:ascii="Times New Roman" w:hAnsi="Times New Roman" w:cs="Times New Roman"/>
        </w:rPr>
      </w:pPr>
    </w:p>
    <w:p w14:paraId="3234006A" w14:textId="55653ABE" w:rsidR="00B133F6" w:rsidRPr="00550C35" w:rsidRDefault="007658AF"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The proportional approach </w:t>
      </w:r>
      <w:r w:rsidR="00A86137" w:rsidRPr="00550C35">
        <w:rPr>
          <w:rFonts w:ascii="Times New Roman" w:hAnsi="Times New Roman" w:cs="Times New Roman"/>
        </w:rPr>
        <w:t xml:space="preserve">that </w:t>
      </w:r>
      <w:r w:rsidRPr="00550C35">
        <w:rPr>
          <w:rFonts w:ascii="Times New Roman" w:hAnsi="Times New Roman" w:cs="Times New Roman"/>
        </w:rPr>
        <w:t xml:space="preserve">we </w:t>
      </w:r>
      <w:r w:rsidR="00A86137" w:rsidRPr="00550C35">
        <w:rPr>
          <w:rFonts w:ascii="Times New Roman" w:hAnsi="Times New Roman" w:cs="Times New Roman"/>
        </w:rPr>
        <w:t xml:space="preserve">have </w:t>
      </w:r>
      <w:r w:rsidRPr="00550C35">
        <w:rPr>
          <w:rFonts w:ascii="Times New Roman" w:hAnsi="Times New Roman" w:cs="Times New Roman"/>
        </w:rPr>
        <w:t>suggest</w:t>
      </w:r>
      <w:r w:rsidR="00A86137" w:rsidRPr="00550C35">
        <w:rPr>
          <w:rFonts w:ascii="Times New Roman" w:hAnsi="Times New Roman" w:cs="Times New Roman"/>
        </w:rPr>
        <w:t>ed</w:t>
      </w:r>
      <w:r w:rsidRPr="00550C35">
        <w:rPr>
          <w:rFonts w:ascii="Times New Roman" w:hAnsi="Times New Roman" w:cs="Times New Roman"/>
        </w:rPr>
        <w:t xml:space="preserve"> could resolve the </w:t>
      </w:r>
      <w:r w:rsidRPr="00550C35">
        <w:rPr>
          <w:rFonts w:ascii="Times New Roman" w:hAnsi="Times New Roman" w:cs="Times New Roman"/>
          <w:i/>
        </w:rPr>
        <w:t xml:space="preserve">Kelly </w:t>
      </w:r>
      <w:r w:rsidRPr="00550C35">
        <w:rPr>
          <w:rFonts w:ascii="Times New Roman" w:hAnsi="Times New Roman" w:cs="Times New Roman"/>
        </w:rPr>
        <w:t>problem owes a great deal to</w:t>
      </w:r>
      <w:r w:rsidR="00744AEB" w:rsidRPr="00550C35">
        <w:rPr>
          <w:rFonts w:ascii="Times New Roman" w:hAnsi="Times New Roman" w:cs="Times New Roman"/>
        </w:rPr>
        <w:t xml:space="preserve"> the example of</w:t>
      </w:r>
      <w:r w:rsidRPr="00550C35">
        <w:rPr>
          <w:rFonts w:ascii="Times New Roman" w:hAnsi="Times New Roman" w:cs="Times New Roman"/>
        </w:rPr>
        <w:t xml:space="preserve"> </w:t>
      </w:r>
      <w:r w:rsidRPr="00550C35">
        <w:rPr>
          <w:rFonts w:ascii="Times New Roman" w:hAnsi="Times New Roman" w:cs="Times New Roman"/>
          <w:i/>
        </w:rPr>
        <w:t>Fairchild</w:t>
      </w:r>
      <w:r w:rsidRPr="00550C35">
        <w:rPr>
          <w:rFonts w:ascii="Times New Roman" w:hAnsi="Times New Roman" w:cs="Times New Roman"/>
        </w:rPr>
        <w:t xml:space="preserve">, and arises from a similar problem in a different context. We know the general cause of the damage suffered, but do not know which policy period it fell within, nor can we know. Essentially, each potential claim (against IA in period 1 or against IA in period 2) is, under </w:t>
      </w:r>
      <w:r w:rsidRPr="00550C35">
        <w:rPr>
          <w:rFonts w:ascii="Times New Roman" w:hAnsi="Times New Roman" w:cs="Times New Roman"/>
          <w:i/>
        </w:rPr>
        <w:t>Fairchild</w:t>
      </w:r>
      <w:r w:rsidRPr="00550C35">
        <w:rPr>
          <w:rFonts w:ascii="Times New Roman" w:hAnsi="Times New Roman" w:cs="Times New Roman"/>
        </w:rPr>
        <w:t xml:space="preserve">, </w:t>
      </w:r>
      <w:r w:rsidRPr="00550C35">
        <w:rPr>
          <w:rFonts w:ascii="Times New Roman" w:hAnsi="Times New Roman" w:cs="Times New Roman"/>
        </w:rPr>
        <w:lastRenderedPageBreak/>
        <w:t xml:space="preserve">now capable of being successful (though precisely what this means needs further articulation). </w:t>
      </w:r>
      <w:r w:rsidR="00B133F6" w:rsidRPr="00550C35">
        <w:rPr>
          <w:rFonts w:ascii="Times New Roman" w:hAnsi="Times New Roman" w:cs="Times New Roman"/>
        </w:rPr>
        <w:t xml:space="preserve">If it is right that </w:t>
      </w:r>
      <w:r w:rsidR="00B133F6" w:rsidRPr="00550C35">
        <w:rPr>
          <w:rFonts w:ascii="Times New Roman" w:hAnsi="Times New Roman" w:cs="Times New Roman"/>
          <w:i/>
        </w:rPr>
        <w:t xml:space="preserve">Fairchild </w:t>
      </w:r>
      <w:r w:rsidR="00B133F6" w:rsidRPr="00550C35">
        <w:rPr>
          <w:rFonts w:ascii="Times New Roman" w:hAnsi="Times New Roman" w:cs="Times New Roman"/>
        </w:rPr>
        <w:t xml:space="preserve">provides a workable solution to the </w:t>
      </w:r>
      <w:r w:rsidR="00B133F6" w:rsidRPr="00550C35">
        <w:rPr>
          <w:rFonts w:ascii="Times New Roman" w:hAnsi="Times New Roman" w:cs="Times New Roman"/>
          <w:i/>
        </w:rPr>
        <w:t xml:space="preserve">Kelly </w:t>
      </w:r>
      <w:r w:rsidR="00B133F6" w:rsidRPr="00550C35">
        <w:rPr>
          <w:rFonts w:ascii="Times New Roman" w:hAnsi="Times New Roman" w:cs="Times New Roman"/>
        </w:rPr>
        <w:t>problem, then, at risk of letting the tail wag the dog, it must surely be appropriate to apply the same analysis to the scenario in which IA is on risk in year 1 and IB is on risk in year two. The number of cases is likely to be very small, as there will generally be enough evidence for the court to reach a conclusion on the balance of probabilities, but</w:t>
      </w:r>
      <w:r w:rsidR="00D41D8A">
        <w:rPr>
          <w:rFonts w:ascii="Times New Roman" w:hAnsi="Times New Roman" w:cs="Times New Roman"/>
        </w:rPr>
        <w:t>,</w:t>
      </w:r>
      <w:r w:rsidR="00B133F6" w:rsidRPr="00550C35">
        <w:rPr>
          <w:rFonts w:ascii="Times New Roman" w:hAnsi="Times New Roman" w:cs="Times New Roman"/>
        </w:rPr>
        <w:t xml:space="preserve"> where that is not the case</w:t>
      </w:r>
      <w:r w:rsidR="00D41D8A">
        <w:rPr>
          <w:rFonts w:ascii="Times New Roman" w:hAnsi="Times New Roman" w:cs="Times New Roman"/>
        </w:rPr>
        <w:t>,</w:t>
      </w:r>
      <w:r w:rsidR="00B133F6" w:rsidRPr="00550C35">
        <w:rPr>
          <w:rFonts w:ascii="Times New Roman" w:hAnsi="Times New Roman" w:cs="Times New Roman"/>
        </w:rPr>
        <w:t xml:space="preserve"> then the loss could perfectly easily be split. The </w:t>
      </w:r>
      <w:r w:rsidR="00B133F6" w:rsidRPr="00550C35">
        <w:rPr>
          <w:rFonts w:ascii="Times New Roman" w:hAnsi="Times New Roman" w:cs="Times New Roman"/>
          <w:i/>
        </w:rPr>
        <w:t>Fairchild</w:t>
      </w:r>
      <w:r w:rsidR="00B133F6" w:rsidRPr="00550C35">
        <w:rPr>
          <w:rFonts w:ascii="Times New Roman" w:hAnsi="Times New Roman" w:cs="Times New Roman"/>
        </w:rPr>
        <w:t xml:space="preserve"> analysis</w:t>
      </w:r>
      <w:r w:rsidR="00D41D8A">
        <w:rPr>
          <w:rFonts w:ascii="Times New Roman" w:hAnsi="Times New Roman" w:cs="Times New Roman"/>
        </w:rPr>
        <w:t>,</w:t>
      </w:r>
      <w:r w:rsidR="00B133F6" w:rsidRPr="00550C35">
        <w:rPr>
          <w:rFonts w:ascii="Times New Roman" w:hAnsi="Times New Roman" w:cs="Times New Roman"/>
        </w:rPr>
        <w:t xml:space="preserve"> as adopted by the majority ruling in </w:t>
      </w:r>
      <w:r w:rsidR="00B133F6" w:rsidRPr="00550C35">
        <w:rPr>
          <w:rFonts w:ascii="Times New Roman" w:hAnsi="Times New Roman" w:cs="Times New Roman"/>
          <w:i/>
        </w:rPr>
        <w:t>IEG</w:t>
      </w:r>
      <w:r w:rsidR="00D41D8A">
        <w:rPr>
          <w:rFonts w:ascii="Times New Roman" w:hAnsi="Times New Roman" w:cs="Times New Roman"/>
          <w:i/>
        </w:rPr>
        <w:t>,</w:t>
      </w:r>
      <w:r w:rsidR="00B133F6" w:rsidRPr="00550C35">
        <w:rPr>
          <w:rFonts w:ascii="Times New Roman" w:hAnsi="Times New Roman" w:cs="Times New Roman"/>
          <w:i/>
        </w:rPr>
        <w:t xml:space="preserve"> </w:t>
      </w:r>
      <w:r w:rsidR="00B133F6" w:rsidRPr="00550C35">
        <w:rPr>
          <w:rFonts w:ascii="Times New Roman" w:hAnsi="Times New Roman" w:cs="Times New Roman"/>
        </w:rPr>
        <w:t xml:space="preserve">would allow Mr Kelly to sue either IA or IB for the full amount, leaving the paying insurer to recover what it can by way of contribution. The minority ruling in </w:t>
      </w:r>
      <w:r w:rsidR="00B133F6" w:rsidRPr="00550C35">
        <w:rPr>
          <w:rFonts w:ascii="Times New Roman" w:hAnsi="Times New Roman" w:cs="Times New Roman"/>
          <w:i/>
        </w:rPr>
        <w:t xml:space="preserve">IEG </w:t>
      </w:r>
      <w:r w:rsidR="00B133F6" w:rsidRPr="00550C35">
        <w:rPr>
          <w:rFonts w:ascii="Times New Roman" w:hAnsi="Times New Roman" w:cs="Times New Roman"/>
        </w:rPr>
        <w:t>would require Mr Kelly to claim half from each insurer. Given the current</w:t>
      </w:r>
      <w:r w:rsidR="00D41D8A">
        <w:rPr>
          <w:rFonts w:ascii="Times New Roman" w:hAnsi="Times New Roman" w:cs="Times New Roman"/>
        </w:rPr>
        <w:t>,</w:t>
      </w:r>
      <w:r w:rsidR="00B133F6" w:rsidRPr="00550C35">
        <w:rPr>
          <w:rFonts w:ascii="Times New Roman" w:hAnsi="Times New Roman" w:cs="Times New Roman"/>
        </w:rPr>
        <w:t xml:space="preserve"> tight prudential regulation of insurers, which of the approaches is adopted is probably of no great significance, at least other </w:t>
      </w:r>
      <w:r w:rsidR="002F2F21" w:rsidRPr="00550C35">
        <w:rPr>
          <w:rFonts w:ascii="Times New Roman" w:hAnsi="Times New Roman" w:cs="Times New Roman"/>
        </w:rPr>
        <w:t xml:space="preserve">than </w:t>
      </w:r>
      <w:r w:rsidR="00B133F6" w:rsidRPr="00550C35">
        <w:rPr>
          <w:rFonts w:ascii="Times New Roman" w:hAnsi="Times New Roman" w:cs="Times New Roman"/>
        </w:rPr>
        <w:t xml:space="preserve">for the reinsurers involved. </w:t>
      </w:r>
      <w:r w:rsidR="00B133F6" w:rsidRPr="00550C35">
        <w:rPr>
          <w:rFonts w:ascii="Times New Roman" w:hAnsi="Times New Roman" w:cs="Times New Roman"/>
          <w:i/>
        </w:rPr>
        <w:t xml:space="preserve">Fairchild </w:t>
      </w:r>
      <w:r w:rsidR="00B133F6" w:rsidRPr="00550C35">
        <w:rPr>
          <w:rFonts w:ascii="Times New Roman" w:hAnsi="Times New Roman" w:cs="Times New Roman"/>
        </w:rPr>
        <w:t xml:space="preserve">seems to us to point to either of two perfectly good solutions. Far from condemning the decision, </w:t>
      </w:r>
      <w:r w:rsidR="002F2F21" w:rsidRPr="00550C35">
        <w:rPr>
          <w:rFonts w:ascii="Times New Roman" w:hAnsi="Times New Roman" w:cs="Times New Roman"/>
        </w:rPr>
        <w:t xml:space="preserve">this suggests that </w:t>
      </w:r>
      <w:r w:rsidR="00B133F6" w:rsidRPr="00550C35">
        <w:rPr>
          <w:rFonts w:ascii="Times New Roman" w:hAnsi="Times New Roman" w:cs="Times New Roman"/>
        </w:rPr>
        <w:t xml:space="preserve">it is worthy of wider application. </w:t>
      </w:r>
    </w:p>
    <w:p w14:paraId="1000B72E" w14:textId="77777777" w:rsidR="00B133F6" w:rsidRPr="00F31FF1" w:rsidRDefault="00B133F6" w:rsidP="00550C35">
      <w:pPr>
        <w:spacing w:line="360" w:lineRule="auto"/>
        <w:jc w:val="both"/>
        <w:rPr>
          <w:rFonts w:ascii="Times New Roman" w:hAnsi="Times New Roman" w:cs="Times New Roman"/>
        </w:rPr>
      </w:pPr>
    </w:p>
    <w:p w14:paraId="06801CEE" w14:textId="5ED075D9"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C. </w:t>
      </w:r>
      <w:r w:rsidR="00B133F6" w:rsidRPr="00F31FF1">
        <w:rPr>
          <w:rFonts w:ascii="Times New Roman" w:hAnsi="Times New Roman" w:cs="Times New Roman"/>
        </w:rPr>
        <w:t xml:space="preserve">Proving the </w:t>
      </w:r>
      <w:r w:rsidRPr="00F31FF1">
        <w:rPr>
          <w:rFonts w:ascii="Times New Roman" w:hAnsi="Times New Roman" w:cs="Times New Roman"/>
        </w:rPr>
        <w:t>C</w:t>
      </w:r>
      <w:r w:rsidR="00B133F6" w:rsidRPr="00F31FF1">
        <w:rPr>
          <w:rFonts w:ascii="Times New Roman" w:hAnsi="Times New Roman" w:cs="Times New Roman"/>
        </w:rPr>
        <w:t xml:space="preserve">ause of </w:t>
      </w:r>
      <w:r w:rsidRPr="00F31FF1">
        <w:rPr>
          <w:rFonts w:ascii="Times New Roman" w:hAnsi="Times New Roman" w:cs="Times New Roman"/>
        </w:rPr>
        <w:t>L</w:t>
      </w:r>
      <w:r w:rsidR="00B133F6" w:rsidRPr="00F31FF1">
        <w:rPr>
          <w:rFonts w:ascii="Times New Roman" w:hAnsi="Times New Roman" w:cs="Times New Roman"/>
        </w:rPr>
        <w:t>oss</w:t>
      </w:r>
    </w:p>
    <w:p w14:paraId="7BE2994B" w14:textId="77777777" w:rsidR="00B133F6" w:rsidRPr="00550C35" w:rsidRDefault="00B133F6" w:rsidP="00550C35">
      <w:pPr>
        <w:spacing w:line="360" w:lineRule="auto"/>
        <w:jc w:val="both"/>
        <w:rPr>
          <w:rFonts w:ascii="Times New Roman" w:hAnsi="Times New Roman" w:cs="Times New Roman"/>
          <w:b/>
        </w:rPr>
      </w:pPr>
    </w:p>
    <w:p w14:paraId="3F1FD359" w14:textId="75E84498" w:rsidR="00B133F6"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We have thus far argued, in the context of </w:t>
      </w:r>
      <w:r w:rsidRPr="00550C35">
        <w:rPr>
          <w:rFonts w:ascii="Times New Roman" w:hAnsi="Times New Roman" w:cs="Times New Roman"/>
          <w:i/>
        </w:rPr>
        <w:t>Kelly</w:t>
      </w:r>
      <w:r w:rsidRPr="00550C35">
        <w:rPr>
          <w:rFonts w:ascii="Times New Roman" w:hAnsi="Times New Roman" w:cs="Times New Roman"/>
        </w:rPr>
        <w:t>, that an application of apportionment under</w:t>
      </w:r>
      <w:r w:rsidR="00A86137" w:rsidRPr="00550C35">
        <w:rPr>
          <w:rFonts w:ascii="Times New Roman" w:hAnsi="Times New Roman" w:cs="Times New Roman"/>
        </w:rPr>
        <w:t xml:space="preserve"> an approach resembling</w:t>
      </w:r>
      <w:r w:rsidRPr="00550C35">
        <w:rPr>
          <w:rFonts w:ascii="Times New Roman" w:hAnsi="Times New Roman" w:cs="Times New Roman"/>
        </w:rPr>
        <w:t xml:space="preserve"> </w:t>
      </w:r>
      <w:r w:rsidRPr="00550C35">
        <w:rPr>
          <w:rFonts w:ascii="Times New Roman" w:hAnsi="Times New Roman" w:cs="Times New Roman"/>
          <w:i/>
        </w:rPr>
        <w:t>Fairchild</w:t>
      </w:r>
      <w:r w:rsidRPr="00550C35">
        <w:rPr>
          <w:rFonts w:ascii="Times New Roman" w:hAnsi="Times New Roman" w:cs="Times New Roman"/>
        </w:rPr>
        <w:t xml:space="preserve"> is appropriate where a claim is defeated because the time of the loss cannot be pinned down</w:t>
      </w:r>
      <w:r w:rsidR="00D41D8A">
        <w:rPr>
          <w:rFonts w:ascii="Times New Roman" w:hAnsi="Times New Roman" w:cs="Times New Roman"/>
        </w:rPr>
        <w:t>,</w:t>
      </w:r>
      <w:r w:rsidRPr="00550C35">
        <w:rPr>
          <w:rFonts w:ascii="Times New Roman" w:hAnsi="Times New Roman" w:cs="Times New Roman"/>
        </w:rPr>
        <w:t xml:space="preserve"> even though there was insurance in place whenever the loss occurred. We would go further and suggest that apportionment may be appropriate where there is undoubtedly insurance in place but the cause of loss, and thus the appropriate insurer, cannot be identified.</w:t>
      </w:r>
      <w:r w:rsidR="00A86137" w:rsidRPr="00550C35">
        <w:rPr>
          <w:rFonts w:ascii="Times New Roman" w:hAnsi="Times New Roman" w:cs="Times New Roman"/>
          <w:b/>
        </w:rPr>
        <w:t xml:space="preserve"> </w:t>
      </w:r>
      <w:r w:rsidR="00A86137" w:rsidRPr="00550C35">
        <w:rPr>
          <w:rFonts w:ascii="Times New Roman" w:hAnsi="Times New Roman" w:cs="Times New Roman"/>
        </w:rPr>
        <w:t xml:space="preserve">This however takes our discussion into new territory. In </w:t>
      </w:r>
      <w:proofErr w:type="spellStart"/>
      <w:r w:rsidR="00A86137" w:rsidRPr="00550C35">
        <w:rPr>
          <w:rFonts w:ascii="Times New Roman" w:hAnsi="Times New Roman" w:cs="Times New Roman"/>
          <w:i/>
        </w:rPr>
        <w:t>Heneghan</w:t>
      </w:r>
      <w:proofErr w:type="spellEnd"/>
      <w:r w:rsidR="00A86137" w:rsidRPr="00550C35">
        <w:rPr>
          <w:rFonts w:ascii="Times New Roman" w:hAnsi="Times New Roman" w:cs="Times New Roman"/>
          <w:i/>
        </w:rPr>
        <w:t xml:space="preserve"> </w:t>
      </w:r>
      <w:r w:rsidR="00A86137" w:rsidRPr="00550C35">
        <w:rPr>
          <w:rFonts w:ascii="Times New Roman" w:hAnsi="Times New Roman" w:cs="Times New Roman"/>
        </w:rPr>
        <w:t xml:space="preserve">as we have seen, the Court of Appeal ruled that </w:t>
      </w:r>
      <w:r w:rsidR="00A86137" w:rsidRPr="00550C35">
        <w:rPr>
          <w:rFonts w:ascii="Times New Roman" w:hAnsi="Times New Roman" w:cs="Times New Roman"/>
          <w:i/>
        </w:rPr>
        <w:t xml:space="preserve">Fairchild </w:t>
      </w:r>
      <w:r w:rsidR="00A86137" w:rsidRPr="00550C35">
        <w:rPr>
          <w:rFonts w:ascii="Times New Roman" w:hAnsi="Times New Roman" w:cs="Times New Roman"/>
        </w:rPr>
        <w:t xml:space="preserve">should apply in any case where its preconditions were fulfilled, to avoid incoherence in the law. The case was clearly and closely concerned with difficulties of evidence and proof in relation to industrial disease, and the preconditions of </w:t>
      </w:r>
      <w:r w:rsidR="00A86137" w:rsidRPr="00550C35">
        <w:rPr>
          <w:rFonts w:ascii="Times New Roman" w:hAnsi="Times New Roman" w:cs="Times New Roman"/>
          <w:i/>
        </w:rPr>
        <w:t xml:space="preserve">Fairchild </w:t>
      </w:r>
      <w:r w:rsidR="00B335A3" w:rsidRPr="00550C35">
        <w:rPr>
          <w:rFonts w:ascii="Times New Roman" w:hAnsi="Times New Roman" w:cs="Times New Roman"/>
        </w:rPr>
        <w:t xml:space="preserve">as stated by the Court of Appeal </w:t>
      </w:r>
      <w:r w:rsidR="00A86137" w:rsidRPr="00550C35">
        <w:rPr>
          <w:rFonts w:ascii="Times New Roman" w:hAnsi="Times New Roman" w:cs="Times New Roman"/>
        </w:rPr>
        <w:t xml:space="preserve">included the (problematic) ‘single agent’ criterion. In </w:t>
      </w:r>
      <w:proofErr w:type="spellStart"/>
      <w:r w:rsidR="00A86137" w:rsidRPr="00550C35">
        <w:rPr>
          <w:rFonts w:ascii="Times New Roman" w:hAnsi="Times New Roman" w:cs="Times New Roman"/>
          <w:i/>
        </w:rPr>
        <w:t>Heneghan</w:t>
      </w:r>
      <w:proofErr w:type="spellEnd"/>
      <w:r w:rsidR="00A86137" w:rsidRPr="00550C35">
        <w:rPr>
          <w:rFonts w:ascii="Times New Roman" w:hAnsi="Times New Roman" w:cs="Times New Roman"/>
          <w:i/>
        </w:rPr>
        <w:t xml:space="preserve"> </w:t>
      </w:r>
      <w:r w:rsidR="00A86137" w:rsidRPr="00550C35">
        <w:rPr>
          <w:rFonts w:ascii="Times New Roman" w:hAnsi="Times New Roman" w:cs="Times New Roman"/>
        </w:rPr>
        <w:t xml:space="preserve">itself, it was treated as established on the balance of probabilities that the deceased’s cancer was caused by exposure to asbestos. There were other potential causes (the deceased was a smoker), but the exposure to asbestos more than ‘doubled the risk’ that cancer would develop. The insurance cases we consider next </w:t>
      </w:r>
      <w:r w:rsidR="0021291B" w:rsidRPr="00550C35">
        <w:rPr>
          <w:rFonts w:ascii="Times New Roman" w:hAnsi="Times New Roman" w:cs="Times New Roman"/>
        </w:rPr>
        <w:t xml:space="preserve">cannot fit the single agent criterion. They are cases </w:t>
      </w:r>
      <w:r w:rsidR="0021291B" w:rsidRPr="00550C35">
        <w:rPr>
          <w:rFonts w:ascii="Times New Roman" w:hAnsi="Times New Roman" w:cs="Times New Roman"/>
        </w:rPr>
        <w:lastRenderedPageBreak/>
        <w:t xml:space="preserve">concerning unexplained losses, where sufficient evidence is impossible. Our argument is that the problems raised are equivalent to those problems with which </w:t>
      </w:r>
      <w:r w:rsidR="0021291B" w:rsidRPr="00550C35">
        <w:rPr>
          <w:rFonts w:ascii="Times New Roman" w:hAnsi="Times New Roman" w:cs="Times New Roman"/>
          <w:i/>
        </w:rPr>
        <w:t xml:space="preserve">Fairchild </w:t>
      </w:r>
      <w:r w:rsidR="0021291B" w:rsidRPr="00550C35">
        <w:rPr>
          <w:rFonts w:ascii="Times New Roman" w:hAnsi="Times New Roman" w:cs="Times New Roman"/>
        </w:rPr>
        <w:t>dealt; and that</w:t>
      </w:r>
      <w:r w:rsidR="00D41D8A">
        <w:rPr>
          <w:rFonts w:ascii="Times New Roman" w:hAnsi="Times New Roman" w:cs="Times New Roman"/>
        </w:rPr>
        <w:t>,</w:t>
      </w:r>
      <w:r w:rsidR="0021291B" w:rsidRPr="00550C35">
        <w:rPr>
          <w:rFonts w:ascii="Times New Roman" w:hAnsi="Times New Roman" w:cs="Times New Roman"/>
        </w:rPr>
        <w:t xml:space="preserve"> far from confining the </w:t>
      </w:r>
      <w:r w:rsidR="0021291B" w:rsidRPr="00550C35">
        <w:rPr>
          <w:rFonts w:ascii="Times New Roman" w:hAnsi="Times New Roman" w:cs="Times New Roman"/>
          <w:i/>
        </w:rPr>
        <w:t xml:space="preserve">Fairchild </w:t>
      </w:r>
      <w:r w:rsidR="0021291B" w:rsidRPr="00550C35">
        <w:rPr>
          <w:rFonts w:ascii="Times New Roman" w:hAnsi="Times New Roman" w:cs="Times New Roman"/>
        </w:rPr>
        <w:t xml:space="preserve">approach to its enclave, it should be expanded as providing a more rational solution to the issues raised. This is not surprising. Outside the insurance field, in the law of tort, notions of ‘proximate cause’ were developed in all their gory complexity in order to deal with the injustice of the complete defence of contributory negligence. </w:t>
      </w:r>
      <w:r w:rsidR="00744AEB" w:rsidRPr="00550C35">
        <w:rPr>
          <w:rFonts w:ascii="Times New Roman" w:hAnsi="Times New Roman" w:cs="Times New Roman"/>
        </w:rPr>
        <w:t>The</w:t>
      </w:r>
      <w:r w:rsidR="0021291B" w:rsidRPr="00550C35">
        <w:rPr>
          <w:rFonts w:ascii="Times New Roman" w:hAnsi="Times New Roman" w:cs="Times New Roman"/>
        </w:rPr>
        <w:t xml:space="preserve"> reformed, proportional form</w:t>
      </w:r>
      <w:r w:rsidR="00744AEB" w:rsidRPr="00550C35">
        <w:rPr>
          <w:rFonts w:ascii="Times New Roman" w:hAnsi="Times New Roman" w:cs="Times New Roman"/>
        </w:rPr>
        <w:t xml:space="preserve"> of contributory negligence</w:t>
      </w:r>
      <w:r w:rsidR="0021291B" w:rsidRPr="00550C35">
        <w:rPr>
          <w:rFonts w:ascii="Times New Roman" w:hAnsi="Times New Roman" w:cs="Times New Roman"/>
        </w:rPr>
        <w:t xml:space="preserve"> was devised precisely in order to </w:t>
      </w:r>
      <w:proofErr w:type="spellStart"/>
      <w:r w:rsidR="0021291B" w:rsidRPr="00550C35">
        <w:rPr>
          <w:rFonts w:ascii="Times New Roman" w:hAnsi="Times New Roman" w:cs="Times New Roman"/>
        </w:rPr>
        <w:t>supercede</w:t>
      </w:r>
      <w:proofErr w:type="spellEnd"/>
      <w:r w:rsidR="0021291B" w:rsidRPr="00550C35">
        <w:rPr>
          <w:rFonts w:ascii="Times New Roman" w:hAnsi="Times New Roman" w:cs="Times New Roman"/>
        </w:rPr>
        <w:t xml:space="preserve"> all of this. Can common law now achieve similar results to deal with continued problems in the application of the doctrine of proximate cause </w:t>
      </w:r>
      <w:r w:rsidR="00B335A3" w:rsidRPr="00550C35">
        <w:rPr>
          <w:rFonts w:ascii="Times New Roman" w:hAnsi="Times New Roman" w:cs="Times New Roman"/>
        </w:rPr>
        <w:t xml:space="preserve">in insurance, </w:t>
      </w:r>
      <w:r w:rsidR="000A1C40" w:rsidRPr="00550C35">
        <w:rPr>
          <w:rFonts w:ascii="Times New Roman" w:hAnsi="Times New Roman" w:cs="Times New Roman"/>
        </w:rPr>
        <w:t>in the particular context of impossibili</w:t>
      </w:r>
      <w:r w:rsidR="00744AEB" w:rsidRPr="00550C35">
        <w:rPr>
          <w:rFonts w:ascii="Times New Roman" w:hAnsi="Times New Roman" w:cs="Times New Roman"/>
        </w:rPr>
        <w:t>ty of proof?</w:t>
      </w:r>
    </w:p>
    <w:p w14:paraId="7CD92B9C" w14:textId="77777777" w:rsidR="00F31FF1" w:rsidRPr="00550C35" w:rsidRDefault="00F31FF1" w:rsidP="00550C35">
      <w:pPr>
        <w:spacing w:line="360" w:lineRule="auto"/>
        <w:jc w:val="both"/>
        <w:rPr>
          <w:rFonts w:ascii="Times New Roman" w:hAnsi="Times New Roman" w:cs="Times New Roman"/>
          <w:b/>
        </w:rPr>
      </w:pPr>
    </w:p>
    <w:p w14:paraId="42FBD5F9" w14:textId="68563DD8" w:rsidR="00B133F6" w:rsidRPr="00550C35" w:rsidRDefault="00B133F6" w:rsidP="00550C35">
      <w:pPr>
        <w:spacing w:line="360" w:lineRule="auto"/>
        <w:ind w:firstLine="720"/>
        <w:jc w:val="both"/>
        <w:rPr>
          <w:rFonts w:ascii="Times New Roman" w:hAnsi="Times New Roman" w:cs="Times New Roman"/>
          <w:b/>
        </w:rPr>
      </w:pPr>
      <w:r w:rsidRPr="00550C35">
        <w:rPr>
          <w:rFonts w:ascii="Times New Roman" w:hAnsi="Times New Roman" w:cs="Times New Roman"/>
          <w:i/>
        </w:rPr>
        <w:t xml:space="preserve">The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 </w:t>
      </w:r>
      <w:r w:rsidRPr="00550C35">
        <w:rPr>
          <w:rFonts w:ascii="Times New Roman" w:hAnsi="Times New Roman" w:cs="Times New Roman"/>
        </w:rPr>
        <w:t xml:space="preserve">and subsequent cases deny recovery for unexplained loss, on the basis that no contention can be proved or disproved. There may or may not be insurance coverage, but it cannot be demonstrated either way. In those circumstances there cannot be a claim, and the </w:t>
      </w:r>
      <w:r w:rsidRPr="00550C35">
        <w:rPr>
          <w:rFonts w:ascii="Times New Roman" w:hAnsi="Times New Roman" w:cs="Times New Roman"/>
          <w:i/>
        </w:rPr>
        <w:t xml:space="preserve">Fairchild </w:t>
      </w:r>
      <w:r w:rsidRPr="00550C35">
        <w:rPr>
          <w:rFonts w:ascii="Times New Roman" w:hAnsi="Times New Roman" w:cs="Times New Roman"/>
        </w:rPr>
        <w:t>principle</w:t>
      </w:r>
      <w:r w:rsidR="00351DD5" w:rsidRPr="00550C35">
        <w:rPr>
          <w:rFonts w:ascii="Times New Roman" w:hAnsi="Times New Roman" w:cs="Times New Roman"/>
        </w:rPr>
        <w:t xml:space="preserve"> has not been extended so far.</w:t>
      </w:r>
      <w:r w:rsidRPr="00550C35">
        <w:rPr>
          <w:rFonts w:ascii="Times New Roman" w:hAnsi="Times New Roman" w:cs="Times New Roman"/>
        </w:rPr>
        <w:t xml:space="preserve"> </w:t>
      </w:r>
      <w:r w:rsidRPr="00550C35">
        <w:rPr>
          <w:rFonts w:ascii="Times New Roman" w:hAnsi="Times New Roman" w:cs="Times New Roman"/>
          <w:i/>
        </w:rPr>
        <w:t xml:space="preserve">Fairchild </w:t>
      </w:r>
      <w:r w:rsidR="00351DD5" w:rsidRPr="00550C35">
        <w:rPr>
          <w:rFonts w:ascii="Times New Roman" w:hAnsi="Times New Roman" w:cs="Times New Roman"/>
        </w:rPr>
        <w:t>itself</w:t>
      </w:r>
      <w:r w:rsidR="0021291B" w:rsidRPr="00550C35">
        <w:rPr>
          <w:rFonts w:ascii="Times New Roman" w:hAnsi="Times New Roman" w:cs="Times New Roman"/>
        </w:rPr>
        <w:t xml:space="preserve"> </w:t>
      </w:r>
      <w:r w:rsidRPr="00550C35">
        <w:rPr>
          <w:rFonts w:ascii="Times New Roman" w:hAnsi="Times New Roman" w:cs="Times New Roman"/>
        </w:rPr>
        <w:t>deal</w:t>
      </w:r>
      <w:r w:rsidR="00351DD5" w:rsidRPr="00550C35">
        <w:rPr>
          <w:rFonts w:ascii="Times New Roman" w:hAnsi="Times New Roman" w:cs="Times New Roman"/>
        </w:rPr>
        <w:t>t</w:t>
      </w:r>
      <w:r w:rsidRPr="00550C35">
        <w:rPr>
          <w:rFonts w:ascii="Times New Roman" w:hAnsi="Times New Roman" w:cs="Times New Roman"/>
        </w:rPr>
        <w:t xml:space="preserve"> with a case where it has been proved that there is a loss for which someone is responsible, but </w:t>
      </w:r>
      <w:r w:rsidR="00B335A3" w:rsidRPr="00550C35">
        <w:rPr>
          <w:rFonts w:ascii="Times New Roman" w:hAnsi="Times New Roman" w:cs="Times New Roman"/>
        </w:rPr>
        <w:t>irresolvable</w:t>
      </w:r>
      <w:r w:rsidRPr="00550C35">
        <w:rPr>
          <w:rFonts w:ascii="Times New Roman" w:hAnsi="Times New Roman" w:cs="Times New Roman"/>
        </w:rPr>
        <w:t xml:space="preserve"> doubt as to who that person might be</w:t>
      </w:r>
      <w:r w:rsidR="00351DD5" w:rsidRPr="00550C35">
        <w:rPr>
          <w:rFonts w:ascii="Times New Roman" w:hAnsi="Times New Roman" w:cs="Times New Roman"/>
        </w:rPr>
        <w:t>; and the extensions of this to deal with cases where there are alternative</w:t>
      </w:r>
      <w:r w:rsidR="00B335A3" w:rsidRPr="00550C35">
        <w:rPr>
          <w:rFonts w:ascii="Times New Roman" w:hAnsi="Times New Roman" w:cs="Times New Roman"/>
        </w:rPr>
        <w:t>, non-tortious</w:t>
      </w:r>
      <w:r w:rsidR="00351DD5" w:rsidRPr="00550C35">
        <w:rPr>
          <w:rFonts w:ascii="Times New Roman" w:hAnsi="Times New Roman" w:cs="Times New Roman"/>
        </w:rPr>
        <w:t xml:space="preserve"> causes have insisted on the ‘single agent’ criterion</w:t>
      </w:r>
      <w:r w:rsidRPr="00550C35">
        <w:rPr>
          <w:rFonts w:ascii="Times New Roman" w:hAnsi="Times New Roman" w:cs="Times New Roman"/>
        </w:rPr>
        <w:t>. However,</w:t>
      </w:r>
      <w:r w:rsidR="000A1C40" w:rsidRPr="00550C35">
        <w:rPr>
          <w:rFonts w:ascii="Times New Roman" w:hAnsi="Times New Roman" w:cs="Times New Roman"/>
        </w:rPr>
        <w:t xml:space="preserve"> we suggest that</w:t>
      </w:r>
      <w:r w:rsidRPr="00550C35">
        <w:rPr>
          <w:rFonts w:ascii="Times New Roman" w:hAnsi="Times New Roman" w:cs="Times New Roman"/>
        </w:rPr>
        <w:t xml:space="preserve"> </w:t>
      </w:r>
      <w:r w:rsidRPr="00550C35">
        <w:rPr>
          <w:rFonts w:ascii="Times New Roman" w:hAnsi="Times New Roman" w:cs="Times New Roman"/>
          <w:i/>
        </w:rPr>
        <w:t xml:space="preserve">The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 </w:t>
      </w:r>
      <w:r w:rsidRPr="00550C35">
        <w:rPr>
          <w:rFonts w:ascii="Times New Roman" w:hAnsi="Times New Roman" w:cs="Times New Roman"/>
        </w:rPr>
        <w:t xml:space="preserve">does come into conflict with </w:t>
      </w:r>
      <w:r w:rsidR="00B335A3" w:rsidRPr="00550C35">
        <w:rPr>
          <w:rFonts w:ascii="Times New Roman" w:hAnsi="Times New Roman" w:cs="Times New Roman"/>
        </w:rPr>
        <w:t xml:space="preserve">the spirit of </w:t>
      </w:r>
      <w:r w:rsidRPr="00550C35">
        <w:rPr>
          <w:rFonts w:ascii="Times New Roman" w:hAnsi="Times New Roman" w:cs="Times New Roman"/>
          <w:i/>
        </w:rPr>
        <w:t>Fairchild</w:t>
      </w:r>
      <w:r w:rsidR="00B335A3" w:rsidRPr="00550C35">
        <w:rPr>
          <w:rFonts w:ascii="Times New Roman" w:hAnsi="Times New Roman" w:cs="Times New Roman"/>
        </w:rPr>
        <w:t>, raising very similar problems to the ones it was designed to ameliorate,</w:t>
      </w:r>
      <w:r w:rsidRPr="00550C35">
        <w:rPr>
          <w:rFonts w:ascii="Times New Roman" w:hAnsi="Times New Roman" w:cs="Times New Roman"/>
          <w:i/>
        </w:rPr>
        <w:t xml:space="preserve"> </w:t>
      </w:r>
      <w:r w:rsidRPr="00550C35">
        <w:rPr>
          <w:rFonts w:ascii="Times New Roman" w:hAnsi="Times New Roman" w:cs="Times New Roman"/>
        </w:rPr>
        <w:t>where it is clear that one or other policy does respond to the loss.</w:t>
      </w:r>
      <w:r w:rsidR="00B335A3" w:rsidRPr="00550C35">
        <w:rPr>
          <w:rStyle w:val="FootnoteReference"/>
          <w:rFonts w:ascii="Times New Roman" w:hAnsi="Times New Roman" w:cs="Times New Roman"/>
        </w:rPr>
        <w:footnoteReference w:id="60"/>
      </w:r>
      <w:r w:rsidRPr="00550C35">
        <w:rPr>
          <w:rFonts w:ascii="Times New Roman" w:hAnsi="Times New Roman" w:cs="Times New Roman"/>
        </w:rPr>
        <w:t xml:space="preserve"> Consider Malaysian Airlines flight MH370, which disappeared on 8 March 2014. Four years on, there is still no clear evidence as to why it was lost. Let us suppose – not unreasonably – that the aircraft’s liability to passengers was insured by separate insurers against respectively aviation risks and terrorism risks. One or other of the insurers is plainly liable, but there is no way of knowing whether the cause of the loss was mechanical fault</w:t>
      </w:r>
      <w:r w:rsidR="00D41D8A">
        <w:rPr>
          <w:rFonts w:ascii="Times New Roman" w:hAnsi="Times New Roman" w:cs="Times New Roman"/>
        </w:rPr>
        <w:t>,</w:t>
      </w:r>
      <w:r w:rsidRPr="00550C35">
        <w:rPr>
          <w:rFonts w:ascii="Times New Roman" w:hAnsi="Times New Roman" w:cs="Times New Roman"/>
        </w:rPr>
        <w:t xml:space="preserve"> or hostile action. This scenario differs from that in </w:t>
      </w:r>
      <w:r w:rsidRPr="00550C35">
        <w:rPr>
          <w:rFonts w:ascii="Times New Roman" w:hAnsi="Times New Roman" w:cs="Times New Roman"/>
          <w:i/>
        </w:rPr>
        <w:t xml:space="preserve">The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w:t>
      </w:r>
      <w:r w:rsidRPr="00550C35">
        <w:rPr>
          <w:rFonts w:ascii="Times New Roman" w:hAnsi="Times New Roman" w:cs="Times New Roman"/>
        </w:rPr>
        <w:t>,</w:t>
      </w:r>
      <w:r w:rsidRPr="00550C35">
        <w:rPr>
          <w:rFonts w:ascii="Times New Roman" w:hAnsi="Times New Roman" w:cs="Times New Roman"/>
          <w:i/>
        </w:rPr>
        <w:t xml:space="preserve"> </w:t>
      </w:r>
      <w:r w:rsidRPr="00550C35">
        <w:rPr>
          <w:rFonts w:ascii="Times New Roman" w:hAnsi="Times New Roman" w:cs="Times New Roman"/>
        </w:rPr>
        <w:t xml:space="preserve">in that here there is insurance coverage whatever the cause of the loss but the insurer cannot be identified, whereas in </w:t>
      </w:r>
      <w:r w:rsidRPr="00550C35">
        <w:rPr>
          <w:rFonts w:ascii="Times New Roman" w:hAnsi="Times New Roman" w:cs="Times New Roman"/>
          <w:i/>
        </w:rPr>
        <w:t xml:space="preserve">The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w:t>
      </w:r>
      <w:r w:rsidRPr="00550C35">
        <w:rPr>
          <w:rFonts w:ascii="Times New Roman" w:hAnsi="Times New Roman" w:cs="Times New Roman"/>
        </w:rPr>
        <w:t xml:space="preserve"> there may o</w:t>
      </w:r>
      <w:r w:rsidR="00D41D8A">
        <w:rPr>
          <w:rFonts w:ascii="Times New Roman" w:hAnsi="Times New Roman" w:cs="Times New Roman"/>
        </w:rPr>
        <w:t>r may not be insurance coverage:</w:t>
      </w:r>
      <w:r w:rsidRPr="00550C35">
        <w:rPr>
          <w:rFonts w:ascii="Times New Roman" w:hAnsi="Times New Roman" w:cs="Times New Roman"/>
        </w:rPr>
        <w:t xml:space="preserve"> nobody knows. </w:t>
      </w:r>
      <w:r w:rsidR="00B335A3" w:rsidRPr="00550C35">
        <w:rPr>
          <w:rFonts w:ascii="Times New Roman" w:hAnsi="Times New Roman" w:cs="Times New Roman"/>
        </w:rPr>
        <w:t>A</w:t>
      </w:r>
      <w:r w:rsidRPr="00550C35">
        <w:rPr>
          <w:rFonts w:ascii="Times New Roman" w:hAnsi="Times New Roman" w:cs="Times New Roman"/>
        </w:rPr>
        <w:t xml:space="preserve">pplying </w:t>
      </w:r>
      <w:r w:rsidRPr="00550C35">
        <w:rPr>
          <w:rFonts w:ascii="Times New Roman" w:hAnsi="Times New Roman" w:cs="Times New Roman"/>
          <w:i/>
        </w:rPr>
        <w:t xml:space="preserve">The </w:t>
      </w:r>
      <w:proofErr w:type="spellStart"/>
      <w:r w:rsidRPr="00550C35">
        <w:rPr>
          <w:rFonts w:ascii="Times New Roman" w:hAnsi="Times New Roman" w:cs="Times New Roman"/>
          <w:i/>
        </w:rPr>
        <w:t>Popi</w:t>
      </w:r>
      <w:proofErr w:type="spellEnd"/>
      <w:r w:rsidRPr="00550C35">
        <w:rPr>
          <w:rFonts w:ascii="Times New Roman" w:hAnsi="Times New Roman" w:cs="Times New Roman"/>
          <w:i/>
        </w:rPr>
        <w:t xml:space="preserve"> M</w:t>
      </w:r>
      <w:r w:rsidRPr="00550C35">
        <w:rPr>
          <w:rFonts w:ascii="Times New Roman" w:hAnsi="Times New Roman" w:cs="Times New Roman"/>
        </w:rPr>
        <w:t xml:space="preserve"> to MH370, the assured will fail because the assured cannot establish a </w:t>
      </w:r>
      <w:r w:rsidRPr="00550C35">
        <w:rPr>
          <w:rFonts w:ascii="Times New Roman" w:hAnsi="Times New Roman" w:cs="Times New Roman"/>
        </w:rPr>
        <w:lastRenderedPageBreak/>
        <w:t>proximate cause on the balance of probabilities against either insurer.</w:t>
      </w:r>
      <w:r w:rsidRPr="00550C35">
        <w:rPr>
          <w:rStyle w:val="FootnoteReference"/>
          <w:rFonts w:ascii="Times New Roman" w:hAnsi="Times New Roman" w:cs="Times New Roman"/>
        </w:rPr>
        <w:footnoteReference w:id="61"/>
      </w:r>
      <w:r w:rsidRPr="00550C35">
        <w:rPr>
          <w:rFonts w:ascii="Times New Roman" w:hAnsi="Times New Roman" w:cs="Times New Roman"/>
        </w:rPr>
        <w:t xml:space="preserve"> Even if we alter the scenario in a minor fashion by assuming a single insurer covering all losses, the problem does not disappear if the insurer has separate reinsurances for aviation and terrorism: the insurer pays, but which of the reinsurers can be called upon for indemnification? The law points to no recovery, but this </w:t>
      </w:r>
      <w:r w:rsidR="00201B13" w:rsidRPr="00550C35">
        <w:rPr>
          <w:rFonts w:ascii="Times New Roman" w:hAnsi="Times New Roman" w:cs="Times New Roman"/>
        </w:rPr>
        <w:t xml:space="preserve">does </w:t>
      </w:r>
      <w:r w:rsidRPr="00550C35">
        <w:rPr>
          <w:rFonts w:ascii="Times New Roman" w:hAnsi="Times New Roman" w:cs="Times New Roman"/>
        </w:rPr>
        <w:t xml:space="preserve">not seem to be a logical outcome when there was plainly cover in place. </w:t>
      </w:r>
      <w:r w:rsidR="00B335A3" w:rsidRPr="00550C35">
        <w:rPr>
          <w:rFonts w:ascii="Times New Roman" w:hAnsi="Times New Roman" w:cs="Times New Roman"/>
        </w:rPr>
        <w:t xml:space="preserve">In such a case, </w:t>
      </w:r>
      <w:r w:rsidR="00B335A3" w:rsidRPr="00550C35">
        <w:rPr>
          <w:rFonts w:ascii="Times New Roman" w:hAnsi="Times New Roman" w:cs="Times New Roman"/>
          <w:i/>
        </w:rPr>
        <w:t xml:space="preserve">The </w:t>
      </w:r>
      <w:proofErr w:type="spellStart"/>
      <w:r w:rsidR="00B335A3" w:rsidRPr="00550C35">
        <w:rPr>
          <w:rFonts w:ascii="Times New Roman" w:hAnsi="Times New Roman" w:cs="Times New Roman"/>
          <w:i/>
        </w:rPr>
        <w:t>Popi</w:t>
      </w:r>
      <w:proofErr w:type="spellEnd"/>
      <w:r w:rsidR="00B335A3" w:rsidRPr="00550C35">
        <w:rPr>
          <w:rFonts w:ascii="Times New Roman" w:hAnsi="Times New Roman" w:cs="Times New Roman"/>
          <w:i/>
        </w:rPr>
        <w:t xml:space="preserve"> M </w:t>
      </w:r>
      <w:r w:rsidR="00B335A3" w:rsidRPr="00550C35">
        <w:rPr>
          <w:rFonts w:ascii="Times New Roman" w:hAnsi="Times New Roman" w:cs="Times New Roman"/>
        </w:rPr>
        <w:t xml:space="preserve">can be distinguished, using </w:t>
      </w:r>
      <w:r w:rsidR="00B335A3" w:rsidRPr="00550C35">
        <w:rPr>
          <w:rFonts w:ascii="Times New Roman" w:hAnsi="Times New Roman" w:cs="Times New Roman"/>
          <w:i/>
        </w:rPr>
        <w:t xml:space="preserve">Fairchild </w:t>
      </w:r>
      <w:r w:rsidR="00B335A3" w:rsidRPr="00550C35">
        <w:rPr>
          <w:rFonts w:ascii="Times New Roman" w:hAnsi="Times New Roman" w:cs="Times New Roman"/>
        </w:rPr>
        <w:t>as the means to distinguish the problems</w:t>
      </w:r>
      <w:r w:rsidR="00F91EA6" w:rsidRPr="00550C35">
        <w:rPr>
          <w:rFonts w:ascii="Times New Roman" w:hAnsi="Times New Roman" w:cs="Times New Roman"/>
        </w:rPr>
        <w:t xml:space="preserve"> for solution</w:t>
      </w:r>
      <w:r w:rsidR="00B335A3" w:rsidRPr="00550C35">
        <w:rPr>
          <w:rFonts w:ascii="Times New Roman" w:hAnsi="Times New Roman" w:cs="Times New Roman"/>
        </w:rPr>
        <w:t xml:space="preserve">. </w:t>
      </w:r>
      <w:r w:rsidRPr="00550C35">
        <w:rPr>
          <w:rFonts w:ascii="Times New Roman" w:hAnsi="Times New Roman" w:cs="Times New Roman"/>
        </w:rPr>
        <w:t xml:space="preserve">In the tort context, if scientific evidence cannot establish which of two defendants is liable, </w:t>
      </w:r>
      <w:r w:rsidRPr="00550C35">
        <w:rPr>
          <w:rFonts w:ascii="Times New Roman" w:hAnsi="Times New Roman" w:cs="Times New Roman"/>
          <w:i/>
        </w:rPr>
        <w:t xml:space="preserve">Fairchild </w:t>
      </w:r>
      <w:r w:rsidRPr="00550C35">
        <w:rPr>
          <w:rFonts w:ascii="Times New Roman" w:hAnsi="Times New Roman" w:cs="Times New Roman"/>
        </w:rPr>
        <w:t xml:space="preserve">requires them to apportion the loss. </w:t>
      </w:r>
      <w:r w:rsidR="00F91EA6" w:rsidRPr="00550C35">
        <w:rPr>
          <w:rFonts w:ascii="Times New Roman" w:hAnsi="Times New Roman" w:cs="Times New Roman"/>
        </w:rPr>
        <w:t xml:space="preserve">Arguably, </w:t>
      </w:r>
      <w:r w:rsidR="00F91EA6" w:rsidRPr="00550C35">
        <w:rPr>
          <w:rFonts w:ascii="Times New Roman" w:hAnsi="Times New Roman" w:cs="Times New Roman"/>
          <w:i/>
        </w:rPr>
        <w:t xml:space="preserve">Fairchild </w:t>
      </w:r>
      <w:r w:rsidR="00F91EA6" w:rsidRPr="00550C35">
        <w:rPr>
          <w:rFonts w:ascii="Times New Roman" w:hAnsi="Times New Roman" w:cs="Times New Roman"/>
        </w:rPr>
        <w:t>may be applied by analogy where it is not clear which insurance policy should respond either where the alternative causes are themselves insured (all potential causes ought to give rise to liability, but are prevented by the existence of an alternative cause); or, by extension, to the cases where there is an alternative uninsured cause, provided it can be shown that</w:t>
      </w:r>
      <w:r w:rsidR="003272CC">
        <w:rPr>
          <w:rFonts w:ascii="Times New Roman" w:hAnsi="Times New Roman" w:cs="Times New Roman"/>
        </w:rPr>
        <w:t>,</w:t>
      </w:r>
      <w:r w:rsidR="00F91EA6" w:rsidRPr="00550C35">
        <w:rPr>
          <w:rFonts w:ascii="Times New Roman" w:hAnsi="Times New Roman" w:cs="Times New Roman"/>
        </w:rPr>
        <w:t xml:space="preserve"> on the balance of probabilities, the loss arose from one of the insured causes.</w:t>
      </w:r>
      <w:r w:rsidR="00F91EA6" w:rsidRPr="00550C35">
        <w:rPr>
          <w:rStyle w:val="FootnoteReference"/>
          <w:rFonts w:ascii="Times New Roman" w:hAnsi="Times New Roman" w:cs="Times New Roman"/>
        </w:rPr>
        <w:footnoteReference w:id="62"/>
      </w:r>
      <w:r w:rsidR="00F91EA6" w:rsidRPr="00550C35">
        <w:rPr>
          <w:rFonts w:ascii="Times New Roman" w:hAnsi="Times New Roman" w:cs="Times New Roman"/>
        </w:rPr>
        <w:t xml:space="preserve"> The latter will be inherently difficult in the absence of evidence, but the former should hold good, resembling the problems of over</w:t>
      </w:r>
      <w:r w:rsidR="003272CC">
        <w:rPr>
          <w:rFonts w:ascii="Times New Roman" w:hAnsi="Times New Roman" w:cs="Times New Roman"/>
        </w:rPr>
        <w:t>-</w:t>
      </w:r>
      <w:r w:rsidR="00F91EA6" w:rsidRPr="00550C35">
        <w:rPr>
          <w:rFonts w:ascii="Times New Roman" w:hAnsi="Times New Roman" w:cs="Times New Roman"/>
        </w:rPr>
        <w:t xml:space="preserve">determination on which some of the reasoning in </w:t>
      </w:r>
      <w:r w:rsidR="00F91EA6" w:rsidRPr="00550C35">
        <w:rPr>
          <w:rFonts w:ascii="Times New Roman" w:hAnsi="Times New Roman" w:cs="Times New Roman"/>
          <w:i/>
        </w:rPr>
        <w:t xml:space="preserve">Fairchild </w:t>
      </w:r>
      <w:r w:rsidR="00F91EA6" w:rsidRPr="00550C35">
        <w:rPr>
          <w:rFonts w:ascii="Times New Roman" w:hAnsi="Times New Roman" w:cs="Times New Roman"/>
        </w:rPr>
        <w:t xml:space="preserve">was based. This reflects our problem-based approach to </w:t>
      </w:r>
      <w:r w:rsidR="00F91EA6" w:rsidRPr="00550C35">
        <w:rPr>
          <w:rFonts w:ascii="Times New Roman" w:hAnsi="Times New Roman" w:cs="Times New Roman"/>
          <w:i/>
        </w:rPr>
        <w:t>Fairchild</w:t>
      </w:r>
      <w:r w:rsidR="00F91EA6" w:rsidRPr="00550C35">
        <w:rPr>
          <w:rFonts w:ascii="Times New Roman" w:hAnsi="Times New Roman" w:cs="Times New Roman"/>
        </w:rPr>
        <w:t>: that it showed a pragmatic route to dealing with an inherent problem which is not confined to mesothelioma, nor even to industrial disease, and can point the way to suitable solutions for a range of similar issues.</w:t>
      </w:r>
    </w:p>
    <w:p w14:paraId="524C86BA" w14:textId="77777777" w:rsidR="00B133F6" w:rsidRPr="00F31FF1"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5CD95C2B" w14:textId="2F987B0F"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D. </w:t>
      </w:r>
      <w:r w:rsidR="00B133F6" w:rsidRPr="00F31FF1">
        <w:rPr>
          <w:rFonts w:ascii="Times New Roman" w:hAnsi="Times New Roman" w:cs="Times New Roman"/>
        </w:rPr>
        <w:t>Concurrent</w:t>
      </w:r>
      <w:r w:rsidRPr="00F31FF1">
        <w:rPr>
          <w:rFonts w:ascii="Times New Roman" w:hAnsi="Times New Roman" w:cs="Times New Roman"/>
        </w:rPr>
        <w:t>,</w:t>
      </w:r>
      <w:r w:rsidR="00B133F6" w:rsidRPr="00F31FF1">
        <w:rPr>
          <w:rFonts w:ascii="Times New Roman" w:hAnsi="Times New Roman" w:cs="Times New Roman"/>
        </w:rPr>
        <w:t xml:space="preserve"> </w:t>
      </w:r>
      <w:r w:rsidRPr="00F31FF1">
        <w:rPr>
          <w:rFonts w:ascii="Times New Roman" w:hAnsi="Times New Roman" w:cs="Times New Roman"/>
        </w:rPr>
        <w:t>I</w:t>
      </w:r>
      <w:r w:rsidR="00B133F6" w:rsidRPr="00F31FF1">
        <w:rPr>
          <w:rFonts w:ascii="Times New Roman" w:hAnsi="Times New Roman" w:cs="Times New Roman"/>
        </w:rPr>
        <w:t xml:space="preserve">nterdependent </w:t>
      </w:r>
      <w:r w:rsidRPr="00F31FF1">
        <w:rPr>
          <w:rFonts w:ascii="Times New Roman" w:hAnsi="Times New Roman" w:cs="Times New Roman"/>
        </w:rPr>
        <w:t>C</w:t>
      </w:r>
      <w:r w:rsidR="00B133F6" w:rsidRPr="00F31FF1">
        <w:rPr>
          <w:rFonts w:ascii="Times New Roman" w:hAnsi="Times New Roman" w:cs="Times New Roman"/>
        </w:rPr>
        <w:t xml:space="preserve">auses of </w:t>
      </w:r>
      <w:r w:rsidRPr="00F31FF1">
        <w:rPr>
          <w:rFonts w:ascii="Times New Roman" w:hAnsi="Times New Roman" w:cs="Times New Roman"/>
        </w:rPr>
        <w:t>L</w:t>
      </w:r>
      <w:r w:rsidR="00B133F6" w:rsidRPr="00F31FF1">
        <w:rPr>
          <w:rFonts w:ascii="Times New Roman" w:hAnsi="Times New Roman" w:cs="Times New Roman"/>
        </w:rPr>
        <w:t>oss</w:t>
      </w:r>
    </w:p>
    <w:p w14:paraId="19B1CC38" w14:textId="77777777" w:rsidR="00B133F6" w:rsidRPr="00550C35" w:rsidRDefault="00B133F6" w:rsidP="00550C35">
      <w:pPr>
        <w:spacing w:line="360" w:lineRule="auto"/>
        <w:jc w:val="both"/>
        <w:rPr>
          <w:rFonts w:ascii="Times New Roman" w:hAnsi="Times New Roman" w:cs="Times New Roman"/>
          <w:b/>
        </w:rPr>
      </w:pPr>
    </w:p>
    <w:p w14:paraId="54F437B7" w14:textId="454223E4"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Where there are two or more possible causes of loss, the general approach of the courts is to strive to identify one or other of the causes as the proximate cause. However, that is not always possible, and where one of the causes is insured but the other excluded the position is governed by the ruling of the Court of Appeal in </w:t>
      </w:r>
      <w:r w:rsidRPr="00550C35">
        <w:rPr>
          <w:rFonts w:ascii="Times New Roman" w:hAnsi="Times New Roman" w:cs="Times New Roman"/>
          <w:i/>
        </w:rPr>
        <w:t>Wayne Tank v Employers Liability Association</w:t>
      </w:r>
      <w:r w:rsidRPr="00550C35">
        <w:rPr>
          <w:rFonts w:ascii="Times New Roman" w:hAnsi="Times New Roman" w:cs="Times New Roman"/>
        </w:rPr>
        <w:t>.</w:t>
      </w:r>
      <w:r w:rsidRPr="00550C35">
        <w:rPr>
          <w:rStyle w:val="FootnoteReference"/>
          <w:rFonts w:ascii="Times New Roman" w:hAnsi="Times New Roman" w:cs="Times New Roman"/>
        </w:rPr>
        <w:footnoteReference w:id="63"/>
      </w:r>
      <w:r w:rsidRPr="00550C35">
        <w:rPr>
          <w:rFonts w:ascii="Times New Roman" w:hAnsi="Times New Roman" w:cs="Times New Roman"/>
        </w:rPr>
        <w:t xml:space="preserve"> Here, the assured installed equipment for storing and conveying liquid wax used in the manufacture of the modelling clay </w:t>
      </w:r>
      <w:r w:rsidR="00F31FF1">
        <w:rPr>
          <w:rFonts w:ascii="Times New Roman" w:hAnsi="Times New Roman" w:cs="Times New Roman"/>
        </w:rPr>
        <w:t>‘</w:t>
      </w:r>
      <w:proofErr w:type="spellStart"/>
      <w:r w:rsidRPr="00550C35">
        <w:rPr>
          <w:rFonts w:ascii="Times New Roman" w:hAnsi="Times New Roman" w:cs="Times New Roman"/>
        </w:rPr>
        <w:t>plasticine</w:t>
      </w:r>
      <w:proofErr w:type="spellEnd"/>
      <w:r w:rsidR="00F31FF1">
        <w:rPr>
          <w:rFonts w:ascii="Times New Roman" w:hAnsi="Times New Roman" w:cs="Times New Roman"/>
        </w:rPr>
        <w:t>’</w:t>
      </w:r>
      <w:r w:rsidRPr="00550C35">
        <w:rPr>
          <w:rFonts w:ascii="Times New Roman" w:hAnsi="Times New Roman" w:cs="Times New Roman"/>
        </w:rPr>
        <w:t>. A major fire occurred at the premises, and</w:t>
      </w:r>
      <w:r w:rsidR="003272CC">
        <w:rPr>
          <w:rFonts w:ascii="Times New Roman" w:hAnsi="Times New Roman" w:cs="Times New Roman"/>
        </w:rPr>
        <w:t>,</w:t>
      </w:r>
      <w:r w:rsidRPr="00550C35">
        <w:rPr>
          <w:rFonts w:ascii="Times New Roman" w:hAnsi="Times New Roman" w:cs="Times New Roman"/>
        </w:rPr>
        <w:t xml:space="preserve"> in successful proceedings brought against the assured by the owners</w:t>
      </w:r>
      <w:r w:rsidR="003272CC">
        <w:rPr>
          <w:rFonts w:ascii="Times New Roman" w:hAnsi="Times New Roman" w:cs="Times New Roman"/>
        </w:rPr>
        <w:t>,</w:t>
      </w:r>
      <w:r w:rsidRPr="00550C35">
        <w:rPr>
          <w:rFonts w:ascii="Times New Roman" w:hAnsi="Times New Roman" w:cs="Times New Roman"/>
        </w:rPr>
        <w:t xml:space="preserve"> two separate forms of negligence were </w:t>
      </w:r>
      <w:r w:rsidRPr="00550C35">
        <w:rPr>
          <w:rFonts w:ascii="Times New Roman" w:hAnsi="Times New Roman" w:cs="Times New Roman"/>
        </w:rPr>
        <w:lastRenderedPageBreak/>
        <w:t xml:space="preserve">identified: using dangerous materials; and leaving the equipment unattended but in operation before it had been tested. The assured sought indemnification under a liability policy that excluded </w:t>
      </w:r>
      <w:r w:rsidR="00F31FF1">
        <w:rPr>
          <w:rFonts w:ascii="Times New Roman" w:hAnsi="Times New Roman" w:cs="Times New Roman"/>
        </w:rPr>
        <w:t>‘</w:t>
      </w:r>
      <w:r w:rsidRPr="00550C35">
        <w:rPr>
          <w:rFonts w:ascii="Times New Roman" w:hAnsi="Times New Roman" w:cs="Times New Roman"/>
        </w:rPr>
        <w:t>damage caused by the nature or condition of any goods … sold or supplied by or on behalf of the assured</w:t>
      </w:r>
      <w:r w:rsidR="00F31FF1">
        <w:rPr>
          <w:rFonts w:ascii="Times New Roman" w:hAnsi="Times New Roman" w:cs="Times New Roman"/>
        </w:rPr>
        <w:t>’</w:t>
      </w:r>
      <w:r w:rsidRPr="00550C35">
        <w:rPr>
          <w:rFonts w:ascii="Times New Roman" w:hAnsi="Times New Roman" w:cs="Times New Roman"/>
        </w:rPr>
        <w:t>. The Court of Appeal concluded that the proximate ca</w:t>
      </w:r>
      <w:r w:rsidR="008E2183" w:rsidRPr="00550C35">
        <w:rPr>
          <w:rFonts w:ascii="Times New Roman" w:hAnsi="Times New Roman" w:cs="Times New Roman"/>
        </w:rPr>
        <w:t>u</w:t>
      </w:r>
      <w:r w:rsidRPr="00550C35">
        <w:rPr>
          <w:rFonts w:ascii="Times New Roman" w:hAnsi="Times New Roman" w:cs="Times New Roman"/>
        </w:rPr>
        <w:t>se of the loss was the nature of the goods so that the exclusion operated, but ruled obiter that, had it not been possible to split the two causes, there would have been judgment for the insurers. The rationale for giving priority to the exclusion is far from obvious. The decision turned on contract interpretation, Lord Denning being of the view that</w:t>
      </w:r>
      <w:r w:rsidR="003272CC">
        <w:rPr>
          <w:rFonts w:ascii="Times New Roman" w:hAnsi="Times New Roman" w:cs="Times New Roman"/>
        </w:rPr>
        <w:t>,</w:t>
      </w:r>
      <w:r w:rsidRPr="00550C35">
        <w:rPr>
          <w:rFonts w:ascii="Times New Roman" w:hAnsi="Times New Roman" w:cs="Times New Roman"/>
        </w:rPr>
        <w:t xml:space="preserve"> if the underwriters </w:t>
      </w:r>
      <w:r w:rsidR="00F31FF1">
        <w:rPr>
          <w:rFonts w:ascii="Times New Roman" w:eastAsia="Times New Roman" w:hAnsi="Times New Roman" w:cs="Times New Roman"/>
        </w:rPr>
        <w:t>‘</w:t>
      </w:r>
      <w:r w:rsidRPr="00550C35">
        <w:rPr>
          <w:rFonts w:ascii="Times New Roman" w:eastAsia="Times New Roman" w:hAnsi="Times New Roman" w:cs="Times New Roman"/>
        </w:rPr>
        <w:t>have stipulated for freedom, the only way of giving effect to it is by exempting them altogether</w:t>
      </w:r>
      <w:r w:rsidR="00F31FF1">
        <w:rPr>
          <w:rFonts w:ascii="Times New Roman" w:eastAsia="Times New Roman" w:hAnsi="Times New Roman" w:cs="Times New Roman"/>
        </w:rPr>
        <w:t>’</w:t>
      </w:r>
      <w:r w:rsidRPr="00550C35">
        <w:rPr>
          <w:rFonts w:ascii="Times New Roman" w:eastAsia="Times New Roman" w:hAnsi="Times New Roman" w:cs="Times New Roman"/>
        </w:rPr>
        <w:t>.</w:t>
      </w:r>
      <w:r w:rsidRPr="00550C35">
        <w:rPr>
          <w:rStyle w:val="FootnoteReference"/>
          <w:rFonts w:ascii="Times New Roman" w:eastAsia="Times New Roman" w:hAnsi="Times New Roman" w:cs="Times New Roman"/>
        </w:rPr>
        <w:footnoteReference w:id="64"/>
      </w:r>
      <w:r w:rsidRPr="00550C35">
        <w:rPr>
          <w:rFonts w:ascii="Times New Roman" w:eastAsia="Times New Roman" w:hAnsi="Times New Roman" w:cs="Times New Roman"/>
        </w:rPr>
        <w:t xml:space="preserve"> Lord Denning added </w:t>
      </w:r>
      <w:r w:rsidRPr="00550C35">
        <w:rPr>
          <w:rFonts w:ascii="Times New Roman" w:hAnsi="Times New Roman" w:cs="Times New Roman"/>
        </w:rPr>
        <w:t xml:space="preserve">that the generality of an insuring clause should give way to the specificity of </w:t>
      </w:r>
      <w:proofErr w:type="gramStart"/>
      <w:r w:rsidRPr="00550C35">
        <w:rPr>
          <w:rFonts w:ascii="Times New Roman" w:hAnsi="Times New Roman" w:cs="Times New Roman"/>
        </w:rPr>
        <w:t>a</w:t>
      </w:r>
      <w:r w:rsidR="003272CC">
        <w:rPr>
          <w:rFonts w:ascii="Times New Roman" w:hAnsi="Times New Roman" w:cs="Times New Roman"/>
        </w:rPr>
        <w:t>n</w:t>
      </w:r>
      <w:r w:rsidRPr="00550C35">
        <w:rPr>
          <w:rFonts w:ascii="Times New Roman" w:hAnsi="Times New Roman" w:cs="Times New Roman"/>
        </w:rPr>
        <w:t xml:space="preserve"> exclusion</w:t>
      </w:r>
      <w:proofErr w:type="gramEnd"/>
      <w:r w:rsidRPr="00550C35">
        <w:rPr>
          <w:rFonts w:ascii="Times New Roman" w:hAnsi="Times New Roman" w:cs="Times New Roman"/>
        </w:rPr>
        <w:t xml:space="preserve">, a comment that is far from convincing and indeed frequently an inaccurate representation of how policies are drafted. </w:t>
      </w:r>
    </w:p>
    <w:p w14:paraId="07B5CB70" w14:textId="77777777" w:rsidR="00550C35" w:rsidRDefault="00550C35" w:rsidP="00550C35">
      <w:pPr>
        <w:spacing w:line="360" w:lineRule="auto"/>
        <w:jc w:val="both"/>
        <w:rPr>
          <w:rFonts w:ascii="Times New Roman" w:hAnsi="Times New Roman" w:cs="Times New Roman"/>
        </w:rPr>
      </w:pPr>
    </w:p>
    <w:p w14:paraId="380A4A3D" w14:textId="53B109BE" w:rsidR="00B133F6" w:rsidRPr="00550C35" w:rsidRDefault="00B133F6" w:rsidP="00550C35">
      <w:pPr>
        <w:spacing w:line="360" w:lineRule="auto"/>
        <w:ind w:firstLine="720"/>
        <w:jc w:val="both"/>
        <w:rPr>
          <w:rFonts w:ascii="Times New Roman" w:hAnsi="Times New Roman" w:cs="Times New Roman"/>
          <w:lang w:val="en-AU"/>
        </w:rPr>
      </w:pPr>
      <w:r w:rsidRPr="00550C35">
        <w:rPr>
          <w:rFonts w:ascii="Times New Roman" w:hAnsi="Times New Roman" w:cs="Times New Roman"/>
        </w:rPr>
        <w:t xml:space="preserve">The proposition put forward in </w:t>
      </w:r>
      <w:r w:rsidRPr="00550C35">
        <w:rPr>
          <w:rFonts w:ascii="Times New Roman" w:hAnsi="Times New Roman" w:cs="Times New Roman"/>
          <w:i/>
        </w:rPr>
        <w:t xml:space="preserve">Wayne Tank </w:t>
      </w:r>
      <w:r w:rsidRPr="00550C35">
        <w:rPr>
          <w:rFonts w:ascii="Times New Roman" w:hAnsi="Times New Roman" w:cs="Times New Roman"/>
        </w:rPr>
        <w:t>has received general acceptance in England</w:t>
      </w:r>
      <w:r w:rsidRPr="00550C35">
        <w:rPr>
          <w:rStyle w:val="FootnoteReference"/>
          <w:rFonts w:ascii="Times New Roman" w:hAnsi="Times New Roman" w:cs="Times New Roman"/>
        </w:rPr>
        <w:footnoteReference w:id="65"/>
      </w:r>
      <w:r w:rsidRPr="00550C35">
        <w:rPr>
          <w:rFonts w:ascii="Times New Roman" w:hAnsi="Times New Roman" w:cs="Times New Roman"/>
        </w:rPr>
        <w:t xml:space="preserve"> and other common law jurisdictions. </w:t>
      </w:r>
      <w:r w:rsidR="00E104E3">
        <w:rPr>
          <w:rFonts w:ascii="Times New Roman" w:hAnsi="Times New Roman" w:cs="Times New Roman"/>
        </w:rPr>
        <w:t xml:space="preserve">A recent </w:t>
      </w:r>
      <w:r w:rsidRPr="00550C35">
        <w:rPr>
          <w:rFonts w:ascii="Times New Roman" w:hAnsi="Times New Roman" w:cs="Times New Roman"/>
        </w:rPr>
        <w:t xml:space="preserve">decision in Australia is </w:t>
      </w:r>
      <w:r w:rsidRPr="00550C35">
        <w:rPr>
          <w:rFonts w:ascii="Times New Roman" w:hAnsi="Times New Roman" w:cs="Times New Roman"/>
          <w:i/>
        </w:rPr>
        <w:t>Sheehan v Lloyd’s Underwriters</w:t>
      </w:r>
      <w:r w:rsidRPr="00550C35">
        <w:rPr>
          <w:rFonts w:ascii="Times New Roman" w:hAnsi="Times New Roman" w:cs="Times New Roman"/>
        </w:rPr>
        <w:t>,</w:t>
      </w:r>
      <w:r w:rsidRPr="00550C35">
        <w:rPr>
          <w:rStyle w:val="FootnoteReference"/>
          <w:rFonts w:ascii="Times New Roman" w:hAnsi="Times New Roman" w:cs="Times New Roman"/>
        </w:rPr>
        <w:footnoteReference w:id="66"/>
      </w:r>
      <w:r w:rsidRPr="00550C35">
        <w:rPr>
          <w:rFonts w:ascii="Times New Roman" w:hAnsi="Times New Roman" w:cs="Times New Roman"/>
          <w:i/>
        </w:rPr>
        <w:t xml:space="preserve"> </w:t>
      </w:r>
      <w:r w:rsidRPr="00550C35">
        <w:rPr>
          <w:rFonts w:ascii="Times New Roman" w:hAnsi="Times New Roman" w:cs="Times New Roman"/>
        </w:rPr>
        <w:t xml:space="preserve">where the Federal Court was faced with fatal damage to an engine of the assured’s motor vessel. Within minutes of leaving berth, the engine suffered a loss of oil pressure, but the assured – who had neglected to read the manual and thus was unaware of the significance of the various alarms flashing and sounding – wrongly thought that it would be safe to return to berth at the automatically reduced speed. The policy covered </w:t>
      </w:r>
      <w:r w:rsidR="00F31FF1">
        <w:rPr>
          <w:rFonts w:ascii="Times New Roman" w:hAnsi="Times New Roman" w:cs="Times New Roman"/>
        </w:rPr>
        <w:t>‘</w:t>
      </w:r>
      <w:r w:rsidRPr="00550C35">
        <w:rPr>
          <w:rFonts w:ascii="Times New Roman" w:hAnsi="Times New Roman" w:cs="Times New Roman"/>
        </w:rPr>
        <w:t>accident</w:t>
      </w:r>
      <w:r w:rsidR="00F31FF1">
        <w:rPr>
          <w:rFonts w:ascii="Times New Roman" w:hAnsi="Times New Roman" w:cs="Times New Roman"/>
        </w:rPr>
        <w:t>’</w:t>
      </w:r>
      <w:r w:rsidRPr="00550C35">
        <w:rPr>
          <w:rFonts w:ascii="Times New Roman" w:hAnsi="Times New Roman" w:cs="Times New Roman"/>
        </w:rPr>
        <w:t xml:space="preserve"> but excluded </w:t>
      </w:r>
      <w:r w:rsidR="00F31FF1">
        <w:rPr>
          <w:rFonts w:ascii="Times New Roman" w:hAnsi="Times New Roman" w:cs="Times New Roman"/>
          <w:lang w:val="en-AU"/>
        </w:rPr>
        <w:t>‘</w:t>
      </w:r>
      <w:r w:rsidRPr="00550C35">
        <w:rPr>
          <w:rFonts w:ascii="Times New Roman" w:hAnsi="Times New Roman" w:cs="Times New Roman"/>
          <w:lang w:val="en-AU"/>
        </w:rPr>
        <w:t>faulty design …</w:t>
      </w:r>
      <w:r w:rsidR="00F31FF1">
        <w:rPr>
          <w:rFonts w:ascii="Times New Roman" w:hAnsi="Times New Roman" w:cs="Times New Roman"/>
          <w:lang w:val="en-AU"/>
        </w:rPr>
        <w:t>’</w:t>
      </w:r>
      <w:r w:rsidRPr="00550C35">
        <w:rPr>
          <w:rFonts w:ascii="Times New Roman" w:hAnsi="Times New Roman" w:cs="Times New Roman"/>
          <w:lang w:val="en-AU"/>
        </w:rPr>
        <w:t xml:space="preserve"> </w:t>
      </w:r>
      <w:proofErr w:type="spellStart"/>
      <w:r w:rsidRPr="00550C35">
        <w:rPr>
          <w:rFonts w:ascii="Times New Roman" w:hAnsi="Times New Roman" w:cs="Times New Roman"/>
          <w:lang w:val="en-AU"/>
        </w:rPr>
        <w:t>Allsop</w:t>
      </w:r>
      <w:proofErr w:type="spellEnd"/>
      <w:r w:rsidRPr="00550C35">
        <w:rPr>
          <w:rFonts w:ascii="Times New Roman" w:hAnsi="Times New Roman" w:cs="Times New Roman"/>
          <w:lang w:val="en-AU"/>
        </w:rPr>
        <w:t xml:space="preserve"> J held that the assured’s conduct constituted an accident, but that the claim was defeated because proximate cause of the loss was faulty design in the form of defective oil seals. </w:t>
      </w:r>
      <w:proofErr w:type="spellStart"/>
      <w:r w:rsidRPr="00550C35">
        <w:rPr>
          <w:rFonts w:ascii="Times New Roman" w:hAnsi="Times New Roman" w:cs="Times New Roman"/>
          <w:lang w:val="en-AU"/>
        </w:rPr>
        <w:t>Allsop</w:t>
      </w:r>
      <w:proofErr w:type="spellEnd"/>
      <w:r w:rsidRPr="00550C35">
        <w:rPr>
          <w:rFonts w:ascii="Times New Roman" w:hAnsi="Times New Roman" w:cs="Times New Roman"/>
          <w:lang w:val="en-AU"/>
        </w:rPr>
        <w:t xml:space="preserve"> J ruled in the alternative that, had the two causes been interdependent and concurrent, the outcome would have been the same. </w:t>
      </w:r>
    </w:p>
    <w:p w14:paraId="57293DF5" w14:textId="77777777" w:rsidR="00550C35" w:rsidRDefault="00B133F6" w:rsidP="00550C35">
      <w:pPr>
        <w:spacing w:line="360" w:lineRule="auto"/>
        <w:jc w:val="both"/>
        <w:rPr>
          <w:rFonts w:ascii="Times New Roman" w:hAnsi="Times New Roman" w:cs="Times New Roman"/>
          <w:lang w:val="en-AU"/>
        </w:rPr>
      </w:pPr>
      <w:r w:rsidRPr="00550C35">
        <w:rPr>
          <w:rFonts w:ascii="Times New Roman" w:hAnsi="Times New Roman" w:cs="Times New Roman"/>
          <w:lang w:val="en-AU"/>
        </w:rPr>
        <w:t xml:space="preserve"> </w:t>
      </w:r>
    </w:p>
    <w:p w14:paraId="7DCEC911" w14:textId="1567ABA3"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i/>
          <w:lang w:val="en-AU"/>
        </w:rPr>
        <w:lastRenderedPageBreak/>
        <w:t xml:space="preserve">Wayne Tank </w:t>
      </w:r>
      <w:r w:rsidRPr="00550C35">
        <w:rPr>
          <w:rFonts w:ascii="Times New Roman" w:hAnsi="Times New Roman" w:cs="Times New Roman"/>
          <w:lang w:val="en-AU"/>
        </w:rPr>
        <w:t xml:space="preserve">has also been recently reaffirmed in New Zealand. In </w:t>
      </w:r>
      <w:r w:rsidRPr="00550C35">
        <w:rPr>
          <w:rFonts w:ascii="Times New Roman" w:hAnsi="Times New Roman" w:cs="Times New Roman"/>
          <w:i/>
        </w:rPr>
        <w:t>AMI Insurance Ltd v Legg</w:t>
      </w:r>
      <w:r w:rsidRPr="00550C35">
        <w:rPr>
          <w:rStyle w:val="FootnoteReference"/>
          <w:rFonts w:ascii="Times New Roman" w:hAnsi="Times New Roman" w:cs="Times New Roman"/>
        </w:rPr>
        <w:footnoteReference w:id="67"/>
      </w:r>
      <w:r w:rsidRPr="00550C35">
        <w:rPr>
          <w:rFonts w:ascii="Times New Roman" w:hAnsi="Times New Roman" w:cs="Times New Roman"/>
        </w:rPr>
        <w:t xml:space="preserve"> the assured operated both a farming business and a landscaping business from his lifestyle block. The assured’s liability policy extended to farming but excluded </w:t>
      </w:r>
      <w:r w:rsidR="00F31FF1">
        <w:rPr>
          <w:rFonts w:ascii="Times New Roman" w:hAnsi="Times New Roman" w:cs="Times New Roman"/>
        </w:rPr>
        <w:t>‘</w:t>
      </w:r>
      <w:r w:rsidRPr="00550C35">
        <w:rPr>
          <w:rFonts w:ascii="Times New Roman" w:hAnsi="Times New Roman" w:cs="Times New Roman"/>
        </w:rPr>
        <w:t>legal liability arising out of or in connection with any retail shop.</w:t>
      </w:r>
      <w:r w:rsidR="00F31FF1">
        <w:rPr>
          <w:rFonts w:ascii="Times New Roman" w:hAnsi="Times New Roman" w:cs="Times New Roman"/>
        </w:rPr>
        <w:t>’</w:t>
      </w:r>
      <w:r w:rsidRPr="00550C35">
        <w:rPr>
          <w:rFonts w:ascii="Times New Roman" w:hAnsi="Times New Roman" w:cs="Times New Roman"/>
        </w:rPr>
        <w:t xml:space="preserve">  The assured burned rubbish from both businesses on a single heap. The fire was thought to have been extinguished, but flared up as a result of weather conditions and caused substantial damage to neighbouring property. The Court of Appeal held that the insurers were not responsible for the loss,</w:t>
      </w:r>
      <w:r w:rsidR="003272CC">
        <w:rPr>
          <w:rFonts w:ascii="Times New Roman" w:hAnsi="Times New Roman" w:cs="Times New Roman"/>
        </w:rPr>
        <w:t xml:space="preserve"> </w:t>
      </w:r>
      <w:r w:rsidRPr="00550C35">
        <w:rPr>
          <w:rFonts w:ascii="Times New Roman" w:hAnsi="Times New Roman" w:cs="Times New Roman"/>
        </w:rPr>
        <w:t xml:space="preserve">by reference to the evidence and to the precise terms of the coverage clause. The Court of Appeal nevertheless added that, had the point arisen, </w:t>
      </w:r>
      <w:r w:rsidRPr="00550C35">
        <w:rPr>
          <w:rFonts w:ascii="Times New Roman" w:hAnsi="Times New Roman" w:cs="Times New Roman"/>
          <w:i/>
        </w:rPr>
        <w:t xml:space="preserve">Wayne Tank </w:t>
      </w:r>
      <w:r w:rsidRPr="00550C35">
        <w:rPr>
          <w:rFonts w:ascii="Times New Roman" w:hAnsi="Times New Roman" w:cs="Times New Roman"/>
        </w:rPr>
        <w:t>would have been applied: it had been recognised in earlier New Zealand authorities</w:t>
      </w:r>
      <w:r w:rsidRPr="00550C35">
        <w:rPr>
          <w:rStyle w:val="FootnoteReference"/>
          <w:rFonts w:ascii="Times New Roman" w:hAnsi="Times New Roman" w:cs="Times New Roman"/>
        </w:rPr>
        <w:footnoteReference w:id="68"/>
      </w:r>
      <w:r w:rsidRPr="00550C35">
        <w:rPr>
          <w:rFonts w:ascii="Times New Roman" w:hAnsi="Times New Roman" w:cs="Times New Roman"/>
        </w:rPr>
        <w:t xml:space="preserve"> and to reject the principle as a matter of the construction of the words used would be to take contra </w:t>
      </w:r>
      <w:proofErr w:type="spellStart"/>
      <w:r w:rsidRPr="00550C35">
        <w:rPr>
          <w:rFonts w:ascii="Times New Roman" w:hAnsi="Times New Roman" w:cs="Times New Roman"/>
        </w:rPr>
        <w:t>proferentem</w:t>
      </w:r>
      <w:proofErr w:type="spellEnd"/>
      <w:r w:rsidRPr="00550C35">
        <w:rPr>
          <w:rFonts w:ascii="Times New Roman" w:hAnsi="Times New Roman" w:cs="Times New Roman"/>
        </w:rPr>
        <w:t xml:space="preserve"> beyond its acceptable limits.</w:t>
      </w:r>
    </w:p>
    <w:p w14:paraId="01049940" w14:textId="77777777" w:rsidR="00B133F6" w:rsidRPr="00F31FF1" w:rsidRDefault="00B133F6" w:rsidP="00550C35">
      <w:pPr>
        <w:spacing w:line="360" w:lineRule="auto"/>
        <w:jc w:val="both"/>
        <w:rPr>
          <w:rFonts w:ascii="Times New Roman" w:hAnsi="Times New Roman" w:cs="Times New Roman"/>
        </w:rPr>
      </w:pPr>
    </w:p>
    <w:p w14:paraId="2877DA55" w14:textId="6E3CD39C"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E. </w:t>
      </w:r>
      <w:r w:rsidR="00B133F6" w:rsidRPr="00F31FF1">
        <w:rPr>
          <w:rFonts w:ascii="Times New Roman" w:hAnsi="Times New Roman" w:cs="Times New Roman"/>
        </w:rPr>
        <w:t xml:space="preserve">Critique of the </w:t>
      </w:r>
      <w:r w:rsidRPr="00F31FF1">
        <w:rPr>
          <w:rFonts w:ascii="Times New Roman" w:hAnsi="Times New Roman" w:cs="Times New Roman"/>
        </w:rPr>
        <w:t>Concurrent C</w:t>
      </w:r>
      <w:r w:rsidR="00B133F6" w:rsidRPr="00F31FF1">
        <w:rPr>
          <w:rFonts w:ascii="Times New Roman" w:hAnsi="Times New Roman" w:cs="Times New Roman"/>
        </w:rPr>
        <w:t xml:space="preserve">auses </w:t>
      </w:r>
      <w:r w:rsidRPr="00F31FF1">
        <w:rPr>
          <w:rFonts w:ascii="Times New Roman" w:hAnsi="Times New Roman" w:cs="Times New Roman"/>
        </w:rPr>
        <w:t>R</w:t>
      </w:r>
      <w:r w:rsidR="00B133F6" w:rsidRPr="00F31FF1">
        <w:rPr>
          <w:rFonts w:ascii="Times New Roman" w:hAnsi="Times New Roman" w:cs="Times New Roman"/>
        </w:rPr>
        <w:t>ule</w:t>
      </w:r>
    </w:p>
    <w:p w14:paraId="0B21BC62" w14:textId="77777777" w:rsidR="0062193D" w:rsidRPr="00550C35" w:rsidRDefault="0062193D" w:rsidP="00550C35">
      <w:pPr>
        <w:spacing w:line="360" w:lineRule="auto"/>
        <w:jc w:val="both"/>
        <w:rPr>
          <w:rFonts w:ascii="Times New Roman" w:hAnsi="Times New Roman" w:cs="Times New Roman"/>
          <w:b/>
        </w:rPr>
      </w:pPr>
    </w:p>
    <w:p w14:paraId="2617CB4A" w14:textId="668CA088"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i/>
        </w:rPr>
        <w:t xml:space="preserve">Wayne Tank </w:t>
      </w:r>
      <w:r w:rsidRPr="00550C35">
        <w:rPr>
          <w:rFonts w:ascii="Times New Roman" w:hAnsi="Times New Roman" w:cs="Times New Roman"/>
        </w:rPr>
        <w:t xml:space="preserve">bites in two different situations. The first is where the assured has a single policy: the assured must initially bring himself within the insuring clause on the balance of probabilities, and if that can be done then it is open to the insurers to demonstrate the operation of </w:t>
      </w:r>
      <w:proofErr w:type="gramStart"/>
      <w:r w:rsidRPr="00550C35">
        <w:rPr>
          <w:rFonts w:ascii="Times New Roman" w:hAnsi="Times New Roman" w:cs="Times New Roman"/>
        </w:rPr>
        <w:t>an exclusion</w:t>
      </w:r>
      <w:proofErr w:type="gramEnd"/>
      <w:r w:rsidRPr="00550C35">
        <w:rPr>
          <w:rFonts w:ascii="Times New Roman" w:hAnsi="Times New Roman" w:cs="Times New Roman"/>
        </w:rPr>
        <w:t xml:space="preserve"> on the balance of probabilities.  It has not been suggested in the cases that if the assured gets home on the first point then that automatically defe</w:t>
      </w:r>
      <w:r w:rsidR="003272CC">
        <w:rPr>
          <w:rFonts w:ascii="Times New Roman" w:hAnsi="Times New Roman" w:cs="Times New Roman"/>
        </w:rPr>
        <w:t xml:space="preserve">ats any possible reliance on </w:t>
      </w:r>
      <w:proofErr w:type="gramStart"/>
      <w:r w:rsidR="003272CC">
        <w:rPr>
          <w:rFonts w:ascii="Times New Roman" w:hAnsi="Times New Roman" w:cs="Times New Roman"/>
        </w:rPr>
        <w:t xml:space="preserve">an </w:t>
      </w:r>
      <w:r w:rsidRPr="00550C35">
        <w:rPr>
          <w:rFonts w:ascii="Times New Roman" w:hAnsi="Times New Roman" w:cs="Times New Roman"/>
        </w:rPr>
        <w:t>exclusion</w:t>
      </w:r>
      <w:proofErr w:type="gramEnd"/>
      <w:r w:rsidRPr="00550C35">
        <w:rPr>
          <w:rFonts w:ascii="Times New Roman" w:hAnsi="Times New Roman" w:cs="Times New Roman"/>
        </w:rPr>
        <w:t>,</w:t>
      </w:r>
      <w:r w:rsidRPr="00550C35">
        <w:rPr>
          <w:rStyle w:val="FootnoteReference"/>
          <w:rFonts w:ascii="Times New Roman" w:hAnsi="Times New Roman" w:cs="Times New Roman"/>
        </w:rPr>
        <w:footnoteReference w:id="69"/>
      </w:r>
      <w:r w:rsidRPr="00550C35">
        <w:rPr>
          <w:rFonts w:ascii="Times New Roman" w:hAnsi="Times New Roman" w:cs="Times New Roman"/>
        </w:rPr>
        <w:t xml:space="preserve"> nor has it been suggested that there is a 50% prospect that the assured is covered and should therefore have a claim for 50% of the proceeds.</w:t>
      </w:r>
    </w:p>
    <w:p w14:paraId="2E8EFB23" w14:textId="77777777" w:rsidR="00550C35" w:rsidRDefault="00550C35" w:rsidP="00550C35">
      <w:pPr>
        <w:spacing w:line="360" w:lineRule="auto"/>
        <w:jc w:val="both"/>
        <w:rPr>
          <w:rFonts w:ascii="Times New Roman" w:hAnsi="Times New Roman" w:cs="Times New Roman"/>
        </w:rPr>
      </w:pPr>
    </w:p>
    <w:p w14:paraId="79DE97C7" w14:textId="5D7B0171"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The second </w:t>
      </w:r>
      <w:proofErr w:type="gramStart"/>
      <w:r w:rsidRPr="00550C35">
        <w:rPr>
          <w:rFonts w:ascii="Times New Roman" w:hAnsi="Times New Roman" w:cs="Times New Roman"/>
        </w:rPr>
        <w:t>situation</w:t>
      </w:r>
      <w:proofErr w:type="gramEnd"/>
      <w:r w:rsidRPr="00550C35">
        <w:rPr>
          <w:rFonts w:ascii="Times New Roman" w:hAnsi="Times New Roman" w:cs="Times New Roman"/>
        </w:rPr>
        <w:t xml:space="preserve"> in which </w:t>
      </w:r>
      <w:r w:rsidRPr="00550C35">
        <w:rPr>
          <w:rFonts w:ascii="Times New Roman" w:hAnsi="Times New Roman" w:cs="Times New Roman"/>
          <w:i/>
        </w:rPr>
        <w:t xml:space="preserve">Wayne Tank </w:t>
      </w:r>
      <w:r w:rsidRPr="00550C35">
        <w:rPr>
          <w:rFonts w:ascii="Times New Roman" w:hAnsi="Times New Roman" w:cs="Times New Roman"/>
        </w:rPr>
        <w:t>has an impact</w:t>
      </w:r>
      <w:r w:rsidR="008E2183" w:rsidRPr="00550C35">
        <w:rPr>
          <w:rFonts w:ascii="Times New Roman" w:hAnsi="Times New Roman" w:cs="Times New Roman"/>
        </w:rPr>
        <w:t xml:space="preserve">, bringing us closer to </w:t>
      </w:r>
      <w:r w:rsidR="008E2183" w:rsidRPr="00550C35">
        <w:rPr>
          <w:rFonts w:ascii="Times New Roman" w:hAnsi="Times New Roman" w:cs="Times New Roman"/>
          <w:i/>
        </w:rPr>
        <w:t>Fairchild</w:t>
      </w:r>
      <w:r w:rsidR="008E2183" w:rsidRPr="00550C35">
        <w:rPr>
          <w:rFonts w:ascii="Times New Roman" w:hAnsi="Times New Roman" w:cs="Times New Roman"/>
        </w:rPr>
        <w:t>,</w:t>
      </w:r>
      <w:r w:rsidRPr="00550C35">
        <w:rPr>
          <w:rFonts w:ascii="Times New Roman" w:hAnsi="Times New Roman" w:cs="Times New Roman"/>
        </w:rPr>
        <w:t xml:space="preserve"> is where the assured has two or more policies potentially covering the loss. Many business activities take out insurance covering specific risks on a mutually </w:t>
      </w:r>
      <w:r w:rsidRPr="00550C35">
        <w:rPr>
          <w:rFonts w:ascii="Times New Roman" w:hAnsi="Times New Roman" w:cs="Times New Roman"/>
        </w:rPr>
        <w:lastRenderedPageBreak/>
        <w:t xml:space="preserve">exclusive basis. By way of illustration: a supplier of products will carry product liability insurance and public liability insurance (generally as separate sections of the same policy); an integrated construction company will carry professional indemnity insurance for the design stage and construction insurance for the building stage; and a </w:t>
      </w:r>
      <w:proofErr w:type="spellStart"/>
      <w:r w:rsidRPr="00550C35">
        <w:rPr>
          <w:rFonts w:ascii="Times New Roman" w:hAnsi="Times New Roman" w:cs="Times New Roman"/>
        </w:rPr>
        <w:t>shipowner</w:t>
      </w:r>
      <w:proofErr w:type="spellEnd"/>
      <w:r w:rsidRPr="00550C35">
        <w:rPr>
          <w:rFonts w:ascii="Times New Roman" w:hAnsi="Times New Roman" w:cs="Times New Roman"/>
        </w:rPr>
        <w:t xml:space="preserve"> will carry marine risks insurance and separate war risks insurance. Each form of insurance will exclude the other, so</w:t>
      </w:r>
      <w:r w:rsidR="00F61EF2">
        <w:rPr>
          <w:rFonts w:ascii="Times New Roman" w:hAnsi="Times New Roman" w:cs="Times New Roman"/>
        </w:rPr>
        <w:t xml:space="preserve"> –</w:t>
      </w:r>
      <w:r w:rsidRPr="00550C35">
        <w:rPr>
          <w:rFonts w:ascii="Times New Roman" w:hAnsi="Times New Roman" w:cs="Times New Roman"/>
        </w:rPr>
        <w:t xml:space="preserve"> assuming no gaps in coverage or overlaps</w:t>
      </w:r>
      <w:r w:rsidR="00F61EF2">
        <w:rPr>
          <w:rFonts w:ascii="Times New Roman" w:hAnsi="Times New Roman" w:cs="Times New Roman"/>
        </w:rPr>
        <w:t xml:space="preserve"> –</w:t>
      </w:r>
      <w:r w:rsidRPr="00550C35">
        <w:rPr>
          <w:rFonts w:ascii="Times New Roman" w:hAnsi="Times New Roman" w:cs="Times New Roman"/>
        </w:rPr>
        <w:t xml:space="preserve"> the assumption is that one or other of the policies will respond to any loss. If there is evidence as to what has occurred,</w:t>
      </w:r>
      <w:r w:rsidRPr="00550C35">
        <w:rPr>
          <w:rStyle w:val="FootnoteReference"/>
          <w:rFonts w:ascii="Times New Roman" w:hAnsi="Times New Roman" w:cs="Times New Roman"/>
        </w:rPr>
        <w:footnoteReference w:id="70"/>
      </w:r>
      <w:r w:rsidRPr="00550C35">
        <w:rPr>
          <w:rFonts w:ascii="Times New Roman" w:hAnsi="Times New Roman" w:cs="Times New Roman"/>
        </w:rPr>
        <w:t xml:space="preserve"> and the claim has elements that trigger both the insuring clause and the exclusion, there will be no recovery by virtu</w:t>
      </w:r>
      <w:r w:rsidR="008E2183" w:rsidRPr="00550C35">
        <w:rPr>
          <w:rFonts w:ascii="Times New Roman" w:hAnsi="Times New Roman" w:cs="Times New Roman"/>
        </w:rPr>
        <w:t>e</w:t>
      </w:r>
      <w:r w:rsidRPr="00550C35">
        <w:rPr>
          <w:rFonts w:ascii="Times New Roman" w:hAnsi="Times New Roman" w:cs="Times New Roman"/>
        </w:rPr>
        <w:t xml:space="preserve"> of the exclusions even though the assured can prove that each policy responds to the loss. </w:t>
      </w:r>
      <w:r w:rsidR="008E2183" w:rsidRPr="00550C35">
        <w:rPr>
          <w:rFonts w:ascii="Times New Roman" w:hAnsi="Times New Roman" w:cs="Times New Roman"/>
        </w:rPr>
        <w:t>Here we have a similarly absurd solution to the one featuring two hunters,</w:t>
      </w:r>
      <w:r w:rsidR="00F61EF2">
        <w:rPr>
          <w:rFonts w:ascii="Times New Roman" w:hAnsi="Times New Roman" w:cs="Times New Roman"/>
        </w:rPr>
        <w:t xml:space="preserve"> </w:t>
      </w:r>
      <w:r w:rsidR="008E2183" w:rsidRPr="00550C35">
        <w:rPr>
          <w:rFonts w:ascii="Times New Roman" w:hAnsi="Times New Roman" w:cs="Times New Roman"/>
        </w:rPr>
        <w:t xml:space="preserve">with which </w:t>
      </w:r>
      <w:r w:rsidR="008E2183" w:rsidRPr="00550C35">
        <w:rPr>
          <w:rFonts w:ascii="Times New Roman" w:hAnsi="Times New Roman" w:cs="Times New Roman"/>
          <w:i/>
        </w:rPr>
        <w:t xml:space="preserve">Fairchild </w:t>
      </w:r>
      <w:r w:rsidR="008E2183" w:rsidRPr="00550C35">
        <w:rPr>
          <w:rFonts w:ascii="Times New Roman" w:hAnsi="Times New Roman" w:cs="Times New Roman"/>
        </w:rPr>
        <w:t>initially grappled. Here, each insurer can point to the existence of the other, and the assured bears the consequences.</w:t>
      </w:r>
    </w:p>
    <w:p w14:paraId="15A1EE12" w14:textId="77777777" w:rsidR="00550C35" w:rsidRDefault="00550C35" w:rsidP="00550C35">
      <w:pPr>
        <w:spacing w:line="360" w:lineRule="auto"/>
        <w:jc w:val="both"/>
        <w:rPr>
          <w:rFonts w:ascii="Times New Roman" w:hAnsi="Times New Roman" w:cs="Times New Roman"/>
          <w:i/>
        </w:rPr>
      </w:pPr>
    </w:p>
    <w:p w14:paraId="6B71B732" w14:textId="19E5299B"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i/>
        </w:rPr>
        <w:t xml:space="preserve">Wayne Tank </w:t>
      </w:r>
      <w:r w:rsidRPr="00550C35">
        <w:rPr>
          <w:rFonts w:ascii="Times New Roman" w:hAnsi="Times New Roman" w:cs="Times New Roman"/>
        </w:rPr>
        <w:t xml:space="preserve">has not gone entirely unchallenged. In </w:t>
      </w:r>
      <w:proofErr w:type="spellStart"/>
      <w:r w:rsidRPr="00550C35">
        <w:rPr>
          <w:rFonts w:ascii="Times New Roman" w:hAnsi="Times New Roman" w:cs="Times New Roman"/>
          <w:i/>
        </w:rPr>
        <w:t>Derksen</w:t>
      </w:r>
      <w:proofErr w:type="spellEnd"/>
      <w:r w:rsidRPr="00550C35">
        <w:rPr>
          <w:rFonts w:ascii="Times New Roman" w:hAnsi="Times New Roman" w:cs="Times New Roman"/>
          <w:i/>
        </w:rPr>
        <w:t xml:space="preserve"> v 539938 Ontario Ltd</w:t>
      </w:r>
      <w:r w:rsidRPr="00550C35">
        <w:rPr>
          <w:rStyle w:val="FootnoteReference"/>
          <w:rFonts w:ascii="Times New Roman" w:hAnsi="Times New Roman" w:cs="Times New Roman"/>
        </w:rPr>
        <w:footnoteReference w:id="71"/>
      </w:r>
      <w:r w:rsidRPr="00550C35">
        <w:rPr>
          <w:rFonts w:ascii="Times New Roman" w:hAnsi="Times New Roman" w:cs="Times New Roman"/>
        </w:rPr>
        <w:t xml:space="preserve"> the assured had mutually exclusive </w:t>
      </w:r>
      <w:proofErr w:type="gramStart"/>
      <w:r w:rsidRPr="00550C35">
        <w:rPr>
          <w:rFonts w:ascii="Times New Roman" w:hAnsi="Times New Roman" w:cs="Times New Roman"/>
        </w:rPr>
        <w:t>employers</w:t>
      </w:r>
      <w:proofErr w:type="gramEnd"/>
      <w:r w:rsidRPr="00550C35">
        <w:rPr>
          <w:rFonts w:ascii="Times New Roman" w:hAnsi="Times New Roman" w:cs="Times New Roman"/>
        </w:rPr>
        <w:t xml:space="preserve"> liability and motor insurance policies. An employee was injured in a work-related motor accident, with the result that the </w:t>
      </w:r>
      <w:proofErr w:type="gramStart"/>
      <w:r w:rsidRPr="00550C35">
        <w:rPr>
          <w:rFonts w:ascii="Times New Roman" w:hAnsi="Times New Roman" w:cs="Times New Roman"/>
        </w:rPr>
        <w:t>employers</w:t>
      </w:r>
      <w:proofErr w:type="gramEnd"/>
      <w:r w:rsidRPr="00550C35">
        <w:rPr>
          <w:rFonts w:ascii="Times New Roman" w:hAnsi="Times New Roman" w:cs="Times New Roman"/>
        </w:rPr>
        <w:t xml:space="preserve"> liability insurer denied liability by reference to the exclusion. Plainly a claim under the motor policy would have met with the same response. The assured was held by the Supreme Court of Canada to be entitled to an indemnity under the </w:t>
      </w:r>
      <w:proofErr w:type="gramStart"/>
      <w:r w:rsidRPr="00550C35">
        <w:rPr>
          <w:rFonts w:ascii="Times New Roman" w:hAnsi="Times New Roman" w:cs="Times New Roman"/>
        </w:rPr>
        <w:t>employers</w:t>
      </w:r>
      <w:proofErr w:type="gramEnd"/>
      <w:r w:rsidRPr="00550C35">
        <w:rPr>
          <w:rFonts w:ascii="Times New Roman" w:hAnsi="Times New Roman" w:cs="Times New Roman"/>
        </w:rPr>
        <w:t xml:space="preserve"> liability policy, and </w:t>
      </w:r>
      <w:r w:rsidRPr="00550C35">
        <w:rPr>
          <w:rFonts w:ascii="Times New Roman" w:hAnsi="Times New Roman" w:cs="Times New Roman"/>
          <w:i/>
        </w:rPr>
        <w:t xml:space="preserve">Wayne Tank </w:t>
      </w:r>
      <w:r w:rsidRPr="00550C35">
        <w:rPr>
          <w:rFonts w:ascii="Times New Roman" w:hAnsi="Times New Roman" w:cs="Times New Roman"/>
        </w:rPr>
        <w:t xml:space="preserve">was rejected. </w:t>
      </w:r>
      <w:proofErr w:type="spellStart"/>
      <w:r w:rsidRPr="00550C35">
        <w:rPr>
          <w:rFonts w:ascii="Times New Roman" w:hAnsi="Times New Roman" w:cs="Times New Roman"/>
          <w:i/>
        </w:rPr>
        <w:t>Derkson</w:t>
      </w:r>
      <w:proofErr w:type="spellEnd"/>
      <w:r w:rsidRPr="00550C35">
        <w:rPr>
          <w:rFonts w:ascii="Times New Roman" w:hAnsi="Times New Roman" w:cs="Times New Roman"/>
          <w:i/>
        </w:rPr>
        <w:t xml:space="preserve"> </w:t>
      </w:r>
      <w:r w:rsidRPr="00550C35">
        <w:rPr>
          <w:rFonts w:ascii="Times New Roman" w:hAnsi="Times New Roman" w:cs="Times New Roman"/>
        </w:rPr>
        <w:t xml:space="preserve">was seized upon by Nation J at first instance in the </w:t>
      </w:r>
      <w:r w:rsidRPr="00550C35">
        <w:rPr>
          <w:rFonts w:ascii="Times New Roman" w:hAnsi="Times New Roman" w:cs="Times New Roman"/>
          <w:i/>
        </w:rPr>
        <w:t xml:space="preserve">Legg </w:t>
      </w:r>
      <w:r w:rsidRPr="00F61EF2">
        <w:rPr>
          <w:rFonts w:ascii="Times New Roman" w:hAnsi="Times New Roman" w:cs="Times New Roman"/>
        </w:rPr>
        <w:t>case</w:t>
      </w:r>
      <w:r w:rsidRPr="00550C35">
        <w:rPr>
          <w:rFonts w:ascii="Times New Roman" w:hAnsi="Times New Roman" w:cs="Times New Roman"/>
        </w:rPr>
        <w:t xml:space="preserve">, </w:t>
      </w:r>
      <w:r w:rsidRPr="00550C35">
        <w:rPr>
          <w:rFonts w:ascii="Times New Roman" w:hAnsi="Times New Roman" w:cs="Times New Roman"/>
          <w:i/>
        </w:rPr>
        <w:t>New Zealand Fire Service Commission v Legg</w:t>
      </w:r>
      <w:r w:rsidRPr="00550C35">
        <w:rPr>
          <w:rFonts w:ascii="Times New Roman" w:hAnsi="Times New Roman" w:cs="Times New Roman"/>
        </w:rPr>
        <w:t>,</w:t>
      </w:r>
      <w:r w:rsidRPr="00550C35">
        <w:rPr>
          <w:rStyle w:val="FootnoteReference"/>
          <w:rFonts w:ascii="Times New Roman" w:hAnsi="Times New Roman" w:cs="Times New Roman"/>
        </w:rPr>
        <w:footnoteReference w:id="72"/>
      </w:r>
      <w:r w:rsidRPr="00550C35">
        <w:rPr>
          <w:rFonts w:ascii="Times New Roman" w:hAnsi="Times New Roman" w:cs="Times New Roman"/>
        </w:rPr>
        <w:t xml:space="preserve"> the judge stating that </w:t>
      </w:r>
      <w:r w:rsidR="00F31FF1">
        <w:rPr>
          <w:rFonts w:ascii="Times New Roman" w:hAnsi="Times New Roman" w:cs="Times New Roman"/>
        </w:rPr>
        <w:t>‘</w:t>
      </w:r>
      <w:r w:rsidRPr="00550C35">
        <w:rPr>
          <w:rFonts w:ascii="Times New Roman" w:hAnsi="Times New Roman" w:cs="Times New Roman"/>
        </w:rPr>
        <w:t xml:space="preserve">the </w:t>
      </w:r>
      <w:r w:rsidRPr="00550C35">
        <w:rPr>
          <w:rFonts w:ascii="Times New Roman" w:hAnsi="Times New Roman" w:cs="Times New Roman"/>
          <w:i/>
        </w:rPr>
        <w:t xml:space="preserve">Wayne Tank </w:t>
      </w:r>
      <w:r w:rsidRPr="00550C35">
        <w:rPr>
          <w:rFonts w:ascii="Times New Roman" w:hAnsi="Times New Roman" w:cs="Times New Roman"/>
        </w:rPr>
        <w:t>principle should not be extended to apply to a situation where liability has been caused by an event or circumstances which the insurer agreed to cover but there is some connection with circumstances, not causative of the insured’s loss, which the insurer argues should exclude its liability.</w:t>
      </w:r>
      <w:r w:rsidR="00F31FF1">
        <w:rPr>
          <w:rFonts w:ascii="Times New Roman" w:hAnsi="Times New Roman" w:cs="Times New Roman"/>
        </w:rPr>
        <w:t>’</w:t>
      </w:r>
      <w:r w:rsidRPr="00550C35">
        <w:rPr>
          <w:rFonts w:ascii="Times New Roman" w:hAnsi="Times New Roman" w:cs="Times New Roman"/>
        </w:rPr>
        <w:t xml:space="preserve"> </w:t>
      </w:r>
      <w:r w:rsidRPr="00550C35">
        <w:rPr>
          <w:rFonts w:ascii="Times New Roman" w:hAnsi="Times New Roman" w:cs="Times New Roman"/>
          <w:i/>
        </w:rPr>
        <w:t xml:space="preserve">Legg </w:t>
      </w:r>
      <w:r w:rsidRPr="00550C35">
        <w:rPr>
          <w:rFonts w:ascii="Times New Roman" w:hAnsi="Times New Roman" w:cs="Times New Roman"/>
        </w:rPr>
        <w:t xml:space="preserve">was itself a case in which there was separate insurance for non-farming activities but separate defences were raised to the claim, and it is clear that Nation J thought that an assured who had two policies apparently providing </w:t>
      </w:r>
      <w:r w:rsidRPr="00550C35">
        <w:rPr>
          <w:rFonts w:ascii="Times New Roman" w:hAnsi="Times New Roman" w:cs="Times New Roman"/>
        </w:rPr>
        <w:lastRenderedPageBreak/>
        <w:t>comprehensive coverage should be able to recover from at least one of the insurers. As we have seen, the Court of Appeal thought otherwise.</w:t>
      </w:r>
      <w:r w:rsidRPr="00550C35">
        <w:rPr>
          <w:rStyle w:val="FootnoteReference"/>
          <w:rFonts w:ascii="Times New Roman" w:hAnsi="Times New Roman" w:cs="Times New Roman"/>
        </w:rPr>
        <w:footnoteReference w:id="73"/>
      </w:r>
    </w:p>
    <w:p w14:paraId="2CDC82D5" w14:textId="77777777" w:rsidR="00550C35" w:rsidRDefault="00550C35" w:rsidP="00550C35">
      <w:pPr>
        <w:spacing w:line="360" w:lineRule="auto"/>
        <w:jc w:val="both"/>
        <w:rPr>
          <w:rFonts w:ascii="Times New Roman" w:hAnsi="Times New Roman" w:cs="Times New Roman"/>
        </w:rPr>
      </w:pPr>
    </w:p>
    <w:p w14:paraId="048DF22D" w14:textId="6A9A414B" w:rsidR="00B133F6" w:rsidRPr="00550C35" w:rsidRDefault="009664B4" w:rsidP="00550C35">
      <w:pPr>
        <w:spacing w:line="360" w:lineRule="auto"/>
        <w:ind w:firstLine="720"/>
        <w:jc w:val="both"/>
        <w:rPr>
          <w:rFonts w:ascii="Times New Roman" w:hAnsi="Times New Roman" w:cs="Times New Roman"/>
        </w:rPr>
      </w:pPr>
      <w:r w:rsidRPr="00550C35">
        <w:rPr>
          <w:rFonts w:ascii="Times New Roman" w:hAnsi="Times New Roman" w:cs="Times New Roman"/>
        </w:rPr>
        <w:t>A</w:t>
      </w:r>
      <w:r w:rsidR="00B133F6" w:rsidRPr="00550C35">
        <w:rPr>
          <w:rFonts w:ascii="Times New Roman" w:hAnsi="Times New Roman" w:cs="Times New Roman"/>
        </w:rPr>
        <w:t xml:space="preserve">uthority against </w:t>
      </w:r>
      <w:r w:rsidR="00B133F6" w:rsidRPr="00550C35">
        <w:rPr>
          <w:rFonts w:ascii="Times New Roman" w:hAnsi="Times New Roman" w:cs="Times New Roman"/>
          <w:i/>
        </w:rPr>
        <w:t xml:space="preserve">Wayne Tank </w:t>
      </w:r>
      <w:r w:rsidR="00F61EF2">
        <w:rPr>
          <w:rFonts w:ascii="Times New Roman" w:hAnsi="Times New Roman" w:cs="Times New Roman"/>
        </w:rPr>
        <w:t>is</w:t>
      </w:r>
      <w:r w:rsidR="00B133F6" w:rsidRPr="00550C35">
        <w:rPr>
          <w:rFonts w:ascii="Times New Roman" w:hAnsi="Times New Roman" w:cs="Times New Roman"/>
        </w:rPr>
        <w:t xml:space="preserve"> present</w:t>
      </w:r>
      <w:r w:rsidR="00F61EF2">
        <w:rPr>
          <w:rFonts w:ascii="Times New Roman" w:hAnsi="Times New Roman" w:cs="Times New Roman"/>
        </w:rPr>
        <w:t>ly</w:t>
      </w:r>
      <w:r w:rsidR="00B133F6" w:rsidRPr="00550C35">
        <w:rPr>
          <w:rFonts w:ascii="Times New Roman" w:hAnsi="Times New Roman" w:cs="Times New Roman"/>
        </w:rPr>
        <w:t xml:space="preserve"> slender, </w:t>
      </w:r>
      <w:r w:rsidRPr="00550C35">
        <w:rPr>
          <w:rFonts w:ascii="Times New Roman" w:hAnsi="Times New Roman" w:cs="Times New Roman"/>
        </w:rPr>
        <w:t xml:space="preserve">and the authority of the case has recently been reaffirmed by the </w:t>
      </w:r>
      <w:r w:rsidR="00B133F6" w:rsidRPr="00550C35">
        <w:rPr>
          <w:rFonts w:ascii="Times New Roman" w:hAnsi="Times New Roman" w:cs="Times New Roman"/>
        </w:rPr>
        <w:t>UK Supreme Court. In</w:t>
      </w:r>
      <w:r w:rsidR="00B133F6" w:rsidRPr="00550C35">
        <w:rPr>
          <w:rFonts w:ascii="Times New Roman" w:hAnsi="Times New Roman" w:cs="Times New Roman"/>
          <w:i/>
        </w:rPr>
        <w:t xml:space="preserve"> </w:t>
      </w:r>
      <w:proofErr w:type="spellStart"/>
      <w:r w:rsidR="00B133F6" w:rsidRPr="00550C35">
        <w:rPr>
          <w:rFonts w:ascii="Times New Roman" w:hAnsi="Times New Roman" w:cs="Times New Roman"/>
          <w:i/>
        </w:rPr>
        <w:t>Atlasnavios-Navegacao</w:t>
      </w:r>
      <w:proofErr w:type="spellEnd"/>
      <w:r w:rsidR="00B133F6" w:rsidRPr="00550C35">
        <w:rPr>
          <w:rFonts w:ascii="Times New Roman" w:hAnsi="Times New Roman" w:cs="Times New Roman"/>
          <w:i/>
        </w:rPr>
        <w:t xml:space="preserve"> </w:t>
      </w:r>
      <w:proofErr w:type="spellStart"/>
      <w:r w:rsidR="00B133F6" w:rsidRPr="00550C35">
        <w:rPr>
          <w:rFonts w:ascii="Times New Roman" w:hAnsi="Times New Roman" w:cs="Times New Roman"/>
          <w:i/>
        </w:rPr>
        <w:t>Lda</w:t>
      </w:r>
      <w:proofErr w:type="spellEnd"/>
      <w:r w:rsidR="00B133F6" w:rsidRPr="00550C35">
        <w:rPr>
          <w:rFonts w:ascii="Times New Roman" w:hAnsi="Times New Roman" w:cs="Times New Roman"/>
          <w:i/>
        </w:rPr>
        <w:t xml:space="preserve"> v Navigators Insurance Co Ltd</w:t>
      </w:r>
      <w:r w:rsidR="00B133F6" w:rsidRPr="00F61EF2">
        <w:rPr>
          <w:rStyle w:val="FootnoteReference"/>
          <w:rFonts w:ascii="Times New Roman" w:hAnsi="Times New Roman" w:cs="Times New Roman"/>
        </w:rPr>
        <w:footnoteReference w:id="74"/>
      </w:r>
      <w:r w:rsidR="00B133F6" w:rsidRPr="00F61EF2">
        <w:rPr>
          <w:rFonts w:ascii="Times New Roman" w:hAnsi="Times New Roman" w:cs="Times New Roman"/>
        </w:rPr>
        <w:t xml:space="preserve"> </w:t>
      </w:r>
      <w:r w:rsidR="00B133F6" w:rsidRPr="00550C35">
        <w:rPr>
          <w:rFonts w:ascii="Times New Roman" w:hAnsi="Times New Roman" w:cs="Times New Roman"/>
        </w:rPr>
        <w:t>the assured’s vessel was seized by Venezuelan customs authorities following the discovery of a quantity of cocaine strapped to the underside of her hull. The policy afforded coverage for malicious acts</w:t>
      </w:r>
      <w:r w:rsidR="00F61EF2">
        <w:rPr>
          <w:rFonts w:ascii="Times New Roman" w:hAnsi="Times New Roman" w:cs="Times New Roman"/>
        </w:rPr>
        <w:t>,</w:t>
      </w:r>
      <w:r w:rsidR="00B133F6" w:rsidRPr="00550C35">
        <w:rPr>
          <w:rFonts w:ascii="Times New Roman" w:hAnsi="Times New Roman" w:cs="Times New Roman"/>
        </w:rPr>
        <w:t xml:space="preserve"> but excluded loss caused by infringement of customs or trading regulations. The Court of Appeal held that the loss had been concurrently caused by these perils, and that </w:t>
      </w:r>
      <w:r w:rsidR="00B133F6" w:rsidRPr="00550C35">
        <w:rPr>
          <w:rFonts w:ascii="Times New Roman" w:hAnsi="Times New Roman" w:cs="Times New Roman"/>
          <w:i/>
        </w:rPr>
        <w:t xml:space="preserve">Wayne Tank </w:t>
      </w:r>
      <w:r w:rsidR="00B133F6" w:rsidRPr="00550C35">
        <w:rPr>
          <w:rFonts w:ascii="Times New Roman" w:hAnsi="Times New Roman" w:cs="Times New Roman"/>
        </w:rPr>
        <w:t xml:space="preserve">precluded recovery. </w:t>
      </w:r>
      <w:r w:rsidRPr="00550C35">
        <w:rPr>
          <w:rFonts w:ascii="Times New Roman" w:hAnsi="Times New Roman" w:cs="Times New Roman"/>
        </w:rPr>
        <w:t xml:space="preserve">The Supreme Court upheld the appeal on the alternative ground that there was no malicious act and the only peril was infringement of customs or trading regulations, so the concurrent cause point did not arise, but Lord </w:t>
      </w:r>
      <w:proofErr w:type="spellStart"/>
      <w:r w:rsidRPr="00550C35">
        <w:rPr>
          <w:rFonts w:ascii="Times New Roman" w:hAnsi="Times New Roman" w:cs="Times New Roman"/>
        </w:rPr>
        <w:t>Mance</w:t>
      </w:r>
      <w:proofErr w:type="spellEnd"/>
      <w:r w:rsidRPr="00550C35">
        <w:rPr>
          <w:rFonts w:ascii="Times New Roman" w:hAnsi="Times New Roman" w:cs="Times New Roman"/>
        </w:rPr>
        <w:t xml:space="preserve"> </w:t>
      </w:r>
      <w:r w:rsidR="00F61EF2">
        <w:rPr>
          <w:rFonts w:ascii="Times New Roman" w:hAnsi="Times New Roman" w:cs="Times New Roman"/>
        </w:rPr>
        <w:t>–</w:t>
      </w:r>
      <w:r w:rsidRPr="00550C35">
        <w:rPr>
          <w:rFonts w:ascii="Times New Roman" w:hAnsi="Times New Roman" w:cs="Times New Roman"/>
        </w:rPr>
        <w:t xml:space="preserve"> speaking for the entire Court </w:t>
      </w:r>
      <w:r w:rsidR="00F61EF2">
        <w:rPr>
          <w:rFonts w:ascii="Times New Roman" w:hAnsi="Times New Roman" w:cs="Times New Roman"/>
        </w:rPr>
        <w:t>–</w:t>
      </w:r>
      <w:r w:rsidRPr="00550C35">
        <w:rPr>
          <w:rFonts w:ascii="Times New Roman" w:hAnsi="Times New Roman" w:cs="Times New Roman"/>
        </w:rPr>
        <w:t xml:space="preserve"> noted that any doubts as to </w:t>
      </w:r>
      <w:r w:rsidRPr="00550C35">
        <w:rPr>
          <w:rFonts w:ascii="Times New Roman" w:hAnsi="Times New Roman" w:cs="Times New Roman"/>
          <w:i/>
        </w:rPr>
        <w:t xml:space="preserve">Wayne Tank </w:t>
      </w:r>
      <w:r w:rsidRPr="00550C35">
        <w:rPr>
          <w:rFonts w:ascii="Times New Roman" w:hAnsi="Times New Roman" w:cs="Times New Roman"/>
        </w:rPr>
        <w:t xml:space="preserve">did not in the present case </w:t>
      </w:r>
      <w:r w:rsidR="00F31FF1">
        <w:rPr>
          <w:rFonts w:ascii="Times New Roman" w:hAnsi="Times New Roman" w:cs="Times New Roman"/>
        </w:rPr>
        <w:t>‘</w:t>
      </w:r>
      <w:r w:rsidRPr="00550C35">
        <w:rPr>
          <w:rFonts w:ascii="Times New Roman" w:hAnsi="Times New Roman" w:cs="Times New Roman"/>
        </w:rPr>
        <w:t>have traction in relation to the present careful exclusion of the peril of loss arising from detainment by reason of infringement of customs regulations from cover.</w:t>
      </w:r>
      <w:r w:rsidR="00F31FF1">
        <w:rPr>
          <w:rFonts w:ascii="Times New Roman" w:hAnsi="Times New Roman" w:cs="Times New Roman"/>
        </w:rPr>
        <w:t>’</w:t>
      </w:r>
      <w:r w:rsidRPr="00550C35">
        <w:rPr>
          <w:rStyle w:val="FootnoteReference"/>
          <w:rFonts w:ascii="Times New Roman" w:hAnsi="Times New Roman" w:cs="Times New Roman"/>
        </w:rPr>
        <w:footnoteReference w:id="75"/>
      </w:r>
      <w:r w:rsidRPr="00550C35">
        <w:rPr>
          <w:rFonts w:ascii="Times New Roman" w:hAnsi="Times New Roman" w:cs="Times New Roman"/>
        </w:rPr>
        <w:t xml:space="preserve"> </w:t>
      </w:r>
      <w:r w:rsidR="008E2183" w:rsidRPr="00550C35">
        <w:rPr>
          <w:rFonts w:ascii="Times New Roman" w:hAnsi="Times New Roman" w:cs="Times New Roman"/>
        </w:rPr>
        <w:t xml:space="preserve">It is </w:t>
      </w:r>
      <w:r w:rsidRPr="00550C35">
        <w:rPr>
          <w:rFonts w:ascii="Times New Roman" w:hAnsi="Times New Roman" w:cs="Times New Roman"/>
        </w:rPr>
        <w:t xml:space="preserve">nevertheless </w:t>
      </w:r>
      <w:r w:rsidR="008E2183" w:rsidRPr="00550C35">
        <w:rPr>
          <w:rFonts w:ascii="Times New Roman" w:hAnsi="Times New Roman" w:cs="Times New Roman"/>
        </w:rPr>
        <w:t xml:space="preserve">our suggestion that the example of </w:t>
      </w:r>
      <w:r w:rsidR="008E2183" w:rsidRPr="00550C35">
        <w:rPr>
          <w:rFonts w:ascii="Times New Roman" w:hAnsi="Times New Roman" w:cs="Times New Roman"/>
          <w:i/>
        </w:rPr>
        <w:t xml:space="preserve">Fairchild </w:t>
      </w:r>
      <w:r w:rsidR="008E2183" w:rsidRPr="00550C35">
        <w:rPr>
          <w:rFonts w:ascii="Times New Roman" w:hAnsi="Times New Roman" w:cs="Times New Roman"/>
        </w:rPr>
        <w:t>shows the way to avoiding the absurd conclusion that each effective policy can successfully exclude the other.</w:t>
      </w:r>
    </w:p>
    <w:p w14:paraId="5490694F" w14:textId="77777777" w:rsidR="00B133F6" w:rsidRPr="00F31FF1" w:rsidRDefault="00B133F6" w:rsidP="00550C35">
      <w:pPr>
        <w:spacing w:line="360" w:lineRule="auto"/>
        <w:jc w:val="both"/>
        <w:rPr>
          <w:rFonts w:ascii="Times New Roman" w:hAnsi="Times New Roman" w:cs="Times New Roman"/>
        </w:rPr>
      </w:pPr>
    </w:p>
    <w:p w14:paraId="4324E80C" w14:textId="31D02399" w:rsidR="00B133F6" w:rsidRPr="00F31FF1" w:rsidRDefault="00550C35" w:rsidP="00550C35">
      <w:pPr>
        <w:spacing w:line="360" w:lineRule="auto"/>
        <w:jc w:val="both"/>
        <w:rPr>
          <w:rFonts w:ascii="Times New Roman" w:hAnsi="Times New Roman" w:cs="Times New Roman"/>
        </w:rPr>
      </w:pPr>
      <w:r w:rsidRPr="00F31FF1">
        <w:rPr>
          <w:rFonts w:ascii="Times New Roman" w:hAnsi="Times New Roman" w:cs="Times New Roman"/>
        </w:rPr>
        <w:t xml:space="preserve">F. </w:t>
      </w:r>
      <w:r w:rsidR="00B133F6" w:rsidRPr="00F31FF1">
        <w:rPr>
          <w:rFonts w:ascii="Times New Roman" w:hAnsi="Times New Roman" w:cs="Times New Roman"/>
        </w:rPr>
        <w:t>Concurrent</w:t>
      </w:r>
      <w:r w:rsidRPr="00F31FF1">
        <w:rPr>
          <w:rFonts w:ascii="Times New Roman" w:hAnsi="Times New Roman" w:cs="Times New Roman"/>
        </w:rPr>
        <w:t>,</w:t>
      </w:r>
      <w:r w:rsidR="00B133F6" w:rsidRPr="00F31FF1">
        <w:rPr>
          <w:rFonts w:ascii="Times New Roman" w:hAnsi="Times New Roman" w:cs="Times New Roman"/>
        </w:rPr>
        <w:t xml:space="preserve"> </w:t>
      </w:r>
      <w:r w:rsidRPr="00F31FF1">
        <w:rPr>
          <w:rFonts w:ascii="Times New Roman" w:hAnsi="Times New Roman" w:cs="Times New Roman"/>
        </w:rPr>
        <w:t>I</w:t>
      </w:r>
      <w:r w:rsidR="00B133F6" w:rsidRPr="00F31FF1">
        <w:rPr>
          <w:rFonts w:ascii="Times New Roman" w:hAnsi="Times New Roman" w:cs="Times New Roman"/>
        </w:rPr>
        <w:t xml:space="preserve">ndependent </w:t>
      </w:r>
      <w:r w:rsidRPr="00F31FF1">
        <w:rPr>
          <w:rFonts w:ascii="Times New Roman" w:hAnsi="Times New Roman" w:cs="Times New Roman"/>
        </w:rPr>
        <w:t>C</w:t>
      </w:r>
      <w:r w:rsidR="00B133F6" w:rsidRPr="00F31FF1">
        <w:rPr>
          <w:rFonts w:ascii="Times New Roman" w:hAnsi="Times New Roman" w:cs="Times New Roman"/>
        </w:rPr>
        <w:t xml:space="preserve">auses of </w:t>
      </w:r>
      <w:r w:rsidRPr="00F31FF1">
        <w:rPr>
          <w:rFonts w:ascii="Times New Roman" w:hAnsi="Times New Roman" w:cs="Times New Roman"/>
        </w:rPr>
        <w:t>L</w:t>
      </w:r>
      <w:r w:rsidR="00B133F6" w:rsidRPr="00F31FF1">
        <w:rPr>
          <w:rFonts w:ascii="Times New Roman" w:hAnsi="Times New Roman" w:cs="Times New Roman"/>
        </w:rPr>
        <w:t xml:space="preserve">oss </w:t>
      </w:r>
    </w:p>
    <w:p w14:paraId="79E6E0DC" w14:textId="77777777" w:rsidR="00B133F6" w:rsidRPr="00550C35" w:rsidRDefault="00B133F6" w:rsidP="00550C35">
      <w:pPr>
        <w:spacing w:line="360" w:lineRule="auto"/>
        <w:jc w:val="both"/>
        <w:rPr>
          <w:rFonts w:ascii="Times New Roman" w:hAnsi="Times New Roman" w:cs="Times New Roman"/>
        </w:rPr>
      </w:pPr>
    </w:p>
    <w:p w14:paraId="294D4339" w14:textId="5715E9C5" w:rsidR="00B133F6"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One</w:t>
      </w:r>
      <w:r w:rsidR="00F61EF2">
        <w:rPr>
          <w:rFonts w:ascii="Times New Roman" w:hAnsi="Times New Roman" w:cs="Times New Roman"/>
        </w:rPr>
        <w:t>,</w:t>
      </w:r>
      <w:r w:rsidRPr="00550C35">
        <w:rPr>
          <w:rFonts w:ascii="Times New Roman" w:hAnsi="Times New Roman" w:cs="Times New Roman"/>
        </w:rPr>
        <w:t xml:space="preserve"> final scenario merits brief mention. </w:t>
      </w:r>
      <w:r w:rsidRPr="00550C35">
        <w:rPr>
          <w:rFonts w:ascii="Times New Roman" w:hAnsi="Times New Roman" w:cs="Times New Roman"/>
          <w:i/>
        </w:rPr>
        <w:t xml:space="preserve">Wayne Tank </w:t>
      </w:r>
      <w:r w:rsidRPr="00550C35">
        <w:rPr>
          <w:rFonts w:ascii="Times New Roman" w:hAnsi="Times New Roman" w:cs="Times New Roman"/>
        </w:rPr>
        <w:t>is concerned with the situation where two events, one insured and one excluded, have contributed to the loss. It may also be possible that two events operating at the same time were independently capable of causing the loss. The position here is somewhat different, because if the assured is able to prove that the loss was proximately caused by an insured peril operating, the insurer’s only defence can be that</w:t>
      </w:r>
      <w:r w:rsidR="00961326" w:rsidRPr="00550C35">
        <w:rPr>
          <w:rFonts w:ascii="Times New Roman" w:hAnsi="Times New Roman" w:cs="Times New Roman"/>
        </w:rPr>
        <w:t>, had the claim been brought on the basis of the other insured peril, the</w:t>
      </w:r>
      <w:r w:rsidR="00F61EF2">
        <w:rPr>
          <w:rFonts w:ascii="Times New Roman" w:hAnsi="Times New Roman" w:cs="Times New Roman"/>
        </w:rPr>
        <w:t>re would have been no cover.</w:t>
      </w:r>
      <w:r w:rsidRPr="00550C35">
        <w:rPr>
          <w:rFonts w:ascii="Times New Roman" w:hAnsi="Times New Roman" w:cs="Times New Roman"/>
        </w:rPr>
        <w:t xml:space="preserve"> The distinction between the two situations was noted by </w:t>
      </w:r>
      <w:proofErr w:type="spellStart"/>
      <w:r w:rsidRPr="00550C35">
        <w:rPr>
          <w:rFonts w:ascii="Times New Roman" w:hAnsi="Times New Roman" w:cs="Times New Roman"/>
        </w:rPr>
        <w:t>Hamblen</w:t>
      </w:r>
      <w:proofErr w:type="spellEnd"/>
      <w:r w:rsidRPr="00550C35">
        <w:rPr>
          <w:rFonts w:ascii="Times New Roman" w:hAnsi="Times New Roman" w:cs="Times New Roman"/>
        </w:rPr>
        <w:t xml:space="preserve"> J in </w:t>
      </w:r>
      <w:r w:rsidRPr="00550C35">
        <w:rPr>
          <w:rStyle w:val="Ital"/>
          <w:rFonts w:ascii="Times New Roman" w:hAnsi="Times New Roman" w:cs="Times New Roman"/>
          <w:iCs/>
        </w:rPr>
        <w:t xml:space="preserve">Orient-Express Hotels Ltd v </w:t>
      </w:r>
      <w:proofErr w:type="spellStart"/>
      <w:r w:rsidRPr="00550C35">
        <w:rPr>
          <w:rStyle w:val="Ital"/>
          <w:rFonts w:ascii="Times New Roman" w:hAnsi="Times New Roman" w:cs="Times New Roman"/>
          <w:iCs/>
        </w:rPr>
        <w:lastRenderedPageBreak/>
        <w:t>Assicurazioni</w:t>
      </w:r>
      <w:proofErr w:type="spellEnd"/>
      <w:r w:rsidRPr="00550C35">
        <w:rPr>
          <w:rStyle w:val="Ital"/>
          <w:rFonts w:ascii="Times New Roman" w:hAnsi="Times New Roman" w:cs="Times New Roman"/>
          <w:iCs/>
        </w:rPr>
        <w:t xml:space="preserve"> General </w:t>
      </w:r>
      <w:proofErr w:type="spellStart"/>
      <w:r w:rsidRPr="00550C35">
        <w:rPr>
          <w:rStyle w:val="Ital"/>
          <w:rFonts w:ascii="Times New Roman" w:hAnsi="Times New Roman" w:cs="Times New Roman"/>
          <w:iCs/>
        </w:rPr>
        <w:t>SpA</w:t>
      </w:r>
      <w:proofErr w:type="spellEnd"/>
      <w:r w:rsidRPr="00550C35">
        <w:rPr>
          <w:rStyle w:val="Ital"/>
          <w:rFonts w:ascii="Times New Roman" w:hAnsi="Times New Roman" w:cs="Times New Roman"/>
          <w:i w:val="0"/>
          <w:iCs/>
        </w:rPr>
        <w:t>,</w:t>
      </w:r>
      <w:r w:rsidRPr="00550C35">
        <w:rPr>
          <w:rStyle w:val="footref"/>
          <w:rFonts w:ascii="Times New Roman" w:hAnsi="Times New Roman" w:cs="Times New Roman"/>
        </w:rPr>
        <w:footnoteReference w:id="76"/>
      </w:r>
      <w:r w:rsidRPr="00550C35">
        <w:rPr>
          <w:rFonts w:ascii="Times New Roman" w:hAnsi="Times New Roman" w:cs="Times New Roman"/>
        </w:rPr>
        <w:t xml:space="preserve"> a case arising out of the New Orleans hurricane in 2007</w:t>
      </w:r>
      <w:r w:rsidR="00F61EF2">
        <w:rPr>
          <w:rFonts w:ascii="Times New Roman" w:hAnsi="Times New Roman" w:cs="Times New Roman"/>
        </w:rPr>
        <w:t>,</w:t>
      </w:r>
      <w:r w:rsidRPr="00550C35">
        <w:rPr>
          <w:rFonts w:ascii="Times New Roman" w:hAnsi="Times New Roman" w:cs="Times New Roman"/>
        </w:rPr>
        <w:t xml:space="preserve"> where a hotel suffered loss of business by reason of damage </w:t>
      </w:r>
      <w:r w:rsidR="008E2183" w:rsidRPr="00550C35">
        <w:rPr>
          <w:rFonts w:ascii="Times New Roman" w:hAnsi="Times New Roman" w:cs="Times New Roman"/>
        </w:rPr>
        <w:t xml:space="preserve">to </w:t>
      </w:r>
      <w:r w:rsidRPr="00550C35">
        <w:rPr>
          <w:rFonts w:ascii="Times New Roman" w:hAnsi="Times New Roman" w:cs="Times New Roman"/>
        </w:rPr>
        <w:t xml:space="preserve">its building and also by reason of administrative action which effectively shut down entire parts of the city until general repairs had been effected.  The decision, largely in favour of the insurers, turned upon the express wording of the policy, but </w:t>
      </w:r>
      <w:proofErr w:type="spellStart"/>
      <w:r w:rsidRPr="00550C35">
        <w:rPr>
          <w:rFonts w:ascii="Times New Roman" w:hAnsi="Times New Roman" w:cs="Times New Roman"/>
        </w:rPr>
        <w:t>Hamblen</w:t>
      </w:r>
      <w:proofErr w:type="spellEnd"/>
      <w:r w:rsidRPr="00550C35">
        <w:rPr>
          <w:rFonts w:ascii="Times New Roman" w:hAnsi="Times New Roman" w:cs="Times New Roman"/>
        </w:rPr>
        <w:t xml:space="preserve"> J noted that none of the decided cases applying </w:t>
      </w:r>
      <w:r w:rsidRPr="00550C35">
        <w:rPr>
          <w:rFonts w:ascii="Times New Roman" w:hAnsi="Times New Roman" w:cs="Times New Roman"/>
          <w:i/>
        </w:rPr>
        <w:t xml:space="preserve">Wayne Tank </w:t>
      </w:r>
      <w:r w:rsidRPr="00550C35">
        <w:rPr>
          <w:rFonts w:ascii="Times New Roman" w:hAnsi="Times New Roman" w:cs="Times New Roman"/>
        </w:rPr>
        <w:t>had involved independent concurrent causes.</w:t>
      </w:r>
    </w:p>
    <w:p w14:paraId="18F26074" w14:textId="77777777" w:rsidR="00550C35" w:rsidRDefault="0062193D"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14189962" w14:textId="27A8BD65" w:rsidR="00B133F6" w:rsidRPr="00550C35" w:rsidRDefault="00B133F6"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The same point had earlier been made, in more detail, by </w:t>
      </w:r>
      <w:proofErr w:type="spellStart"/>
      <w:r w:rsidRPr="00550C35">
        <w:rPr>
          <w:rFonts w:ascii="Times New Roman" w:hAnsi="Times New Roman" w:cs="Times New Roman"/>
        </w:rPr>
        <w:t>Kiefel</w:t>
      </w:r>
      <w:proofErr w:type="spellEnd"/>
      <w:r w:rsidRPr="00550C35">
        <w:rPr>
          <w:rFonts w:ascii="Times New Roman" w:hAnsi="Times New Roman" w:cs="Times New Roman"/>
        </w:rPr>
        <w:t xml:space="preserve"> J in</w:t>
      </w:r>
      <w:r w:rsidRPr="00550C35">
        <w:rPr>
          <w:rFonts w:ascii="Times New Roman" w:hAnsi="Times New Roman" w:cs="Times New Roman"/>
          <w:i/>
        </w:rPr>
        <w:t xml:space="preserve"> McCarthy v St Paul International Insurance Co Ltd</w:t>
      </w:r>
      <w:r w:rsidRPr="00550C35">
        <w:rPr>
          <w:rFonts w:ascii="Times New Roman" w:hAnsi="Times New Roman" w:cs="Times New Roman"/>
        </w:rPr>
        <w:t>.</w:t>
      </w:r>
      <w:r w:rsidRPr="00550C35">
        <w:rPr>
          <w:rStyle w:val="FootnoteReference"/>
          <w:rFonts w:ascii="Times New Roman" w:hAnsi="Times New Roman" w:cs="Times New Roman"/>
        </w:rPr>
        <w:footnoteReference w:id="77"/>
      </w:r>
      <w:r w:rsidRPr="00550C35">
        <w:rPr>
          <w:rFonts w:ascii="Times New Roman" w:hAnsi="Times New Roman" w:cs="Times New Roman"/>
        </w:rPr>
        <w:t xml:space="preserve"> Her Honour noted that the outcome rested upon the proper construction of the policy, and that the question was whether the parties had agreed that there would be no cover if the loss was caused by the excluded peril</w:t>
      </w:r>
      <w:r w:rsidR="00F61EF2">
        <w:rPr>
          <w:rFonts w:ascii="Times New Roman" w:hAnsi="Times New Roman" w:cs="Times New Roman"/>
        </w:rPr>
        <w:t>,</w:t>
      </w:r>
      <w:r w:rsidRPr="00550C35">
        <w:rPr>
          <w:rFonts w:ascii="Times New Roman" w:hAnsi="Times New Roman" w:cs="Times New Roman"/>
        </w:rPr>
        <w:t xml:space="preserve"> or if the loss was </w:t>
      </w:r>
      <w:r w:rsidRPr="00550C35">
        <w:rPr>
          <w:rFonts w:ascii="Times New Roman" w:hAnsi="Times New Roman" w:cs="Times New Roman"/>
          <w:i/>
        </w:rPr>
        <w:t xml:space="preserve">solely </w:t>
      </w:r>
      <w:r w:rsidRPr="00550C35">
        <w:rPr>
          <w:rFonts w:ascii="Times New Roman" w:hAnsi="Times New Roman" w:cs="Times New Roman"/>
        </w:rPr>
        <w:t xml:space="preserve">caused by the excluded peril. Plainly Her Honour’s sympathies were in favour of the latter. The same distinction, without the need for any decision, was drawn in </w:t>
      </w:r>
      <w:proofErr w:type="spellStart"/>
      <w:r w:rsidRPr="00550C35">
        <w:rPr>
          <w:rFonts w:ascii="Times New Roman" w:hAnsi="Times New Roman" w:cs="Times New Roman"/>
          <w:i/>
        </w:rPr>
        <w:t>Baulderstone</w:t>
      </w:r>
      <w:proofErr w:type="spellEnd"/>
      <w:r w:rsidRPr="00550C35">
        <w:rPr>
          <w:rFonts w:ascii="Times New Roman" w:hAnsi="Times New Roman" w:cs="Times New Roman"/>
          <w:i/>
        </w:rPr>
        <w:t xml:space="preserve"> </w:t>
      </w:r>
      <w:proofErr w:type="spellStart"/>
      <w:r w:rsidRPr="00550C35">
        <w:rPr>
          <w:rFonts w:ascii="Times New Roman" w:hAnsi="Times New Roman" w:cs="Times New Roman"/>
          <w:i/>
        </w:rPr>
        <w:t>Hornibrook</w:t>
      </w:r>
      <w:proofErr w:type="spellEnd"/>
      <w:r w:rsidRPr="00550C35">
        <w:rPr>
          <w:rFonts w:ascii="Times New Roman" w:hAnsi="Times New Roman" w:cs="Times New Roman"/>
          <w:i/>
        </w:rPr>
        <w:t xml:space="preserve"> Engineering Pty Ltd v Gordian Runoff Ltd</w:t>
      </w:r>
      <w:r w:rsidRPr="00550C35">
        <w:rPr>
          <w:rStyle w:val="FootnoteReference"/>
          <w:rFonts w:ascii="Times New Roman" w:hAnsi="Times New Roman" w:cs="Times New Roman"/>
          <w:i/>
        </w:rPr>
        <w:footnoteReference w:id="78"/>
      </w:r>
      <w:r w:rsidRPr="00550C35">
        <w:rPr>
          <w:rFonts w:ascii="Times New Roman" w:hAnsi="Times New Roman" w:cs="Times New Roman"/>
        </w:rPr>
        <w:t xml:space="preserve"> and</w:t>
      </w:r>
      <w:r w:rsidRPr="00550C35">
        <w:rPr>
          <w:rFonts w:ascii="Times New Roman" w:hAnsi="Times New Roman" w:cs="Times New Roman"/>
          <w:i/>
        </w:rPr>
        <w:t xml:space="preserve"> Limit (No.3) Ltd v ACE Insurance Ltd</w:t>
      </w:r>
      <w:r w:rsidRPr="00550C35">
        <w:rPr>
          <w:rFonts w:ascii="Times New Roman" w:hAnsi="Times New Roman" w:cs="Times New Roman"/>
        </w:rPr>
        <w:t>.</w:t>
      </w:r>
      <w:r w:rsidRPr="00550C35">
        <w:rPr>
          <w:rStyle w:val="FootnoteReference"/>
          <w:rFonts w:ascii="Times New Roman" w:hAnsi="Times New Roman" w:cs="Times New Roman"/>
        </w:rPr>
        <w:footnoteReference w:id="79"/>
      </w:r>
      <w:r w:rsidRPr="00550C35">
        <w:rPr>
          <w:rFonts w:ascii="Times New Roman" w:hAnsi="Times New Roman" w:cs="Times New Roman"/>
        </w:rPr>
        <w:t xml:space="preserve"> </w:t>
      </w:r>
      <w:r w:rsidR="00F65E0C" w:rsidRPr="00550C35">
        <w:rPr>
          <w:rFonts w:ascii="Times New Roman" w:hAnsi="Times New Roman" w:cs="Times New Roman"/>
        </w:rPr>
        <w:t xml:space="preserve">Most recently, in </w:t>
      </w:r>
      <w:r w:rsidR="00F65E0C" w:rsidRPr="00550C35">
        <w:rPr>
          <w:rFonts w:ascii="Times New Roman" w:hAnsi="Times New Roman" w:cs="Times New Roman"/>
          <w:bCs/>
          <w:i/>
          <w:spacing w:val="-3"/>
        </w:rPr>
        <w:t xml:space="preserve">The Cultural Foundation v Beazley </w:t>
      </w:r>
      <w:proofErr w:type="spellStart"/>
      <w:r w:rsidR="00F65E0C" w:rsidRPr="00550C35">
        <w:rPr>
          <w:rFonts w:ascii="Times New Roman" w:hAnsi="Times New Roman" w:cs="Times New Roman"/>
          <w:bCs/>
          <w:i/>
          <w:spacing w:val="-3"/>
        </w:rPr>
        <w:t>Furlonge</w:t>
      </w:r>
      <w:proofErr w:type="spellEnd"/>
      <w:r w:rsidR="00F65E0C" w:rsidRPr="00550C35">
        <w:rPr>
          <w:rFonts w:ascii="Times New Roman" w:hAnsi="Times New Roman" w:cs="Times New Roman"/>
          <w:bCs/>
          <w:i/>
          <w:spacing w:val="-3"/>
        </w:rPr>
        <w:t xml:space="preserve"> Ltd</w:t>
      </w:r>
      <w:r w:rsidR="00F65E0C" w:rsidRPr="00550C35">
        <w:rPr>
          <w:rFonts w:ascii="Times New Roman" w:hAnsi="Times New Roman" w:cs="Times New Roman"/>
          <w:bCs/>
          <w:spacing w:val="-3"/>
        </w:rPr>
        <w:t>,</w:t>
      </w:r>
      <w:r w:rsidR="00F65E0C" w:rsidRPr="00550C35">
        <w:rPr>
          <w:rStyle w:val="FootnoteReference"/>
          <w:rFonts w:ascii="Times New Roman" w:hAnsi="Times New Roman" w:cs="Times New Roman"/>
          <w:bCs/>
          <w:spacing w:val="-3"/>
        </w:rPr>
        <w:footnoteReference w:id="80"/>
      </w:r>
      <w:r w:rsidR="00F65E0C" w:rsidRPr="00550C35">
        <w:rPr>
          <w:rFonts w:ascii="Times New Roman" w:hAnsi="Times New Roman" w:cs="Times New Roman"/>
          <w:bCs/>
          <w:spacing w:val="-3"/>
        </w:rPr>
        <w:t xml:space="preserve"> Simon Henshaw QC, sitting as a High Court Judge, commented that </w:t>
      </w:r>
      <w:r w:rsidR="00F65E0C" w:rsidRPr="00550C35">
        <w:rPr>
          <w:rFonts w:ascii="Times New Roman" w:hAnsi="Times New Roman" w:cs="Times New Roman"/>
          <w:bCs/>
          <w:i/>
          <w:spacing w:val="-3"/>
        </w:rPr>
        <w:t>Wayne Tank</w:t>
      </w:r>
      <w:r w:rsidR="00F65E0C" w:rsidRPr="00550C35">
        <w:rPr>
          <w:rFonts w:ascii="Times New Roman" w:hAnsi="Times New Roman" w:cs="Times New Roman"/>
          <w:bCs/>
          <w:spacing w:val="-3"/>
        </w:rPr>
        <w:t xml:space="preserve"> and the other English cases were not concerned with the situation in which the loss arose from two causes operating independently, although the comments were obiter and the point was not developed.</w:t>
      </w:r>
    </w:p>
    <w:p w14:paraId="0EC0F682" w14:textId="77777777" w:rsidR="00B133F6" w:rsidRPr="00550C35" w:rsidRDefault="00B133F6" w:rsidP="00550C35">
      <w:pPr>
        <w:spacing w:line="360" w:lineRule="auto"/>
        <w:jc w:val="both"/>
        <w:rPr>
          <w:rFonts w:ascii="Times New Roman" w:hAnsi="Times New Roman" w:cs="Times New Roman"/>
        </w:rPr>
      </w:pPr>
    </w:p>
    <w:p w14:paraId="1BBD8BA8" w14:textId="2126768A" w:rsidR="00B133F6" w:rsidRPr="00550C35" w:rsidRDefault="00550C35" w:rsidP="00550C35">
      <w:pPr>
        <w:spacing w:line="360" w:lineRule="auto"/>
        <w:jc w:val="center"/>
        <w:rPr>
          <w:rFonts w:ascii="Times New Roman" w:hAnsi="Times New Roman" w:cs="Times New Roman"/>
          <w:b/>
          <w:sz w:val="28"/>
          <w:szCs w:val="28"/>
        </w:rPr>
      </w:pPr>
      <w:r w:rsidRPr="00550C35">
        <w:rPr>
          <w:rFonts w:ascii="Times New Roman" w:hAnsi="Times New Roman" w:cs="Times New Roman"/>
          <w:b/>
          <w:sz w:val="28"/>
          <w:szCs w:val="28"/>
        </w:rPr>
        <w:t>IV</w:t>
      </w:r>
      <w:r w:rsidR="00B133F6" w:rsidRPr="00550C35">
        <w:rPr>
          <w:rFonts w:ascii="Times New Roman" w:hAnsi="Times New Roman" w:cs="Times New Roman"/>
          <w:b/>
          <w:sz w:val="28"/>
          <w:szCs w:val="28"/>
        </w:rPr>
        <w:t>. C</w:t>
      </w:r>
      <w:r w:rsidRPr="00550C35">
        <w:rPr>
          <w:rFonts w:ascii="Times New Roman" w:hAnsi="Times New Roman" w:cs="Times New Roman"/>
          <w:b/>
          <w:sz w:val="28"/>
          <w:szCs w:val="28"/>
        </w:rPr>
        <w:t>onclusion</w:t>
      </w:r>
    </w:p>
    <w:p w14:paraId="51A368DF" w14:textId="77777777" w:rsidR="00B133F6" w:rsidRPr="00550C35" w:rsidRDefault="00B133F6" w:rsidP="00550C35">
      <w:pPr>
        <w:spacing w:line="360" w:lineRule="auto"/>
        <w:jc w:val="both"/>
        <w:rPr>
          <w:rFonts w:ascii="Times New Roman" w:hAnsi="Times New Roman" w:cs="Times New Roman"/>
        </w:rPr>
      </w:pPr>
    </w:p>
    <w:p w14:paraId="04FB1FBD" w14:textId="699F8B74" w:rsidR="008E20F0" w:rsidRPr="00550C35" w:rsidRDefault="008E20F0" w:rsidP="00550C35">
      <w:pPr>
        <w:spacing w:line="360" w:lineRule="auto"/>
        <w:jc w:val="both"/>
        <w:rPr>
          <w:rFonts w:ascii="Times New Roman" w:hAnsi="Times New Roman" w:cs="Times New Roman"/>
        </w:rPr>
      </w:pPr>
      <w:r w:rsidRPr="00550C35">
        <w:rPr>
          <w:rFonts w:ascii="Times New Roman" w:hAnsi="Times New Roman" w:cs="Times New Roman"/>
        </w:rPr>
        <w:t xml:space="preserve">Here, we have taken a problem-based approach to </w:t>
      </w:r>
      <w:r w:rsidRPr="00550C35">
        <w:rPr>
          <w:rFonts w:ascii="Times New Roman" w:hAnsi="Times New Roman" w:cs="Times New Roman"/>
          <w:i/>
        </w:rPr>
        <w:t>Fairchild</w:t>
      </w:r>
      <w:r w:rsidRPr="00550C35">
        <w:rPr>
          <w:rFonts w:ascii="Times New Roman" w:hAnsi="Times New Roman" w:cs="Times New Roman"/>
        </w:rPr>
        <w:t xml:space="preserve">, suggesting that its pragmatic solution – which is rooted ultimately in proportionality – is not something to be feared, but to be appreciated. Attempts to confine </w:t>
      </w:r>
      <w:r w:rsidRPr="00550C35">
        <w:rPr>
          <w:rFonts w:ascii="Times New Roman" w:hAnsi="Times New Roman" w:cs="Times New Roman"/>
          <w:i/>
        </w:rPr>
        <w:t xml:space="preserve">Fairchild </w:t>
      </w:r>
      <w:r w:rsidRPr="00550C35">
        <w:rPr>
          <w:rFonts w:ascii="Times New Roman" w:hAnsi="Times New Roman" w:cs="Times New Roman"/>
        </w:rPr>
        <w:t xml:space="preserve">have turned on concerns about its disruptive effect on legal principle, and its potential unfairness to certain categories of defendant (particularly those making a minimal contribution to the risk of injury). The latter has been dealt with, in </w:t>
      </w:r>
      <w:r w:rsidRPr="00550C35">
        <w:rPr>
          <w:rFonts w:ascii="Times New Roman" w:hAnsi="Times New Roman" w:cs="Times New Roman"/>
          <w:i/>
        </w:rPr>
        <w:t>Barker v Corus</w:t>
      </w:r>
      <w:r w:rsidRPr="00550C35">
        <w:rPr>
          <w:rFonts w:ascii="Times New Roman" w:hAnsi="Times New Roman" w:cs="Times New Roman"/>
        </w:rPr>
        <w:t xml:space="preserve">, by bringing a degree of proportionality into the law of tort, rather than leaving it to contribution proceedings. The former can be largely avoided by regarding </w:t>
      </w:r>
      <w:r w:rsidRPr="00550C35">
        <w:rPr>
          <w:rFonts w:ascii="Times New Roman" w:hAnsi="Times New Roman" w:cs="Times New Roman"/>
          <w:i/>
        </w:rPr>
        <w:t xml:space="preserve">Fairchild </w:t>
      </w:r>
      <w:r w:rsidRPr="00550C35">
        <w:rPr>
          <w:rFonts w:ascii="Times New Roman" w:hAnsi="Times New Roman" w:cs="Times New Roman"/>
        </w:rPr>
        <w:t xml:space="preserve">not as stating </w:t>
      </w:r>
      <w:r w:rsidRPr="00550C35">
        <w:rPr>
          <w:rFonts w:ascii="Times New Roman" w:hAnsi="Times New Roman" w:cs="Times New Roman"/>
        </w:rPr>
        <w:lastRenderedPageBreak/>
        <w:t>revised principles so much as practical soluti</w:t>
      </w:r>
      <w:r w:rsidR="00F61EF2">
        <w:rPr>
          <w:rFonts w:ascii="Times New Roman" w:hAnsi="Times New Roman" w:cs="Times New Roman"/>
        </w:rPr>
        <w:t xml:space="preserve">ons to particular, but </w:t>
      </w:r>
      <w:proofErr w:type="spellStart"/>
      <w:r w:rsidR="00F61EF2">
        <w:rPr>
          <w:rFonts w:ascii="Times New Roman" w:hAnsi="Times New Roman" w:cs="Times New Roman"/>
        </w:rPr>
        <w:t>generalis</w:t>
      </w:r>
      <w:r w:rsidRPr="00550C35">
        <w:rPr>
          <w:rFonts w:ascii="Times New Roman" w:hAnsi="Times New Roman" w:cs="Times New Roman"/>
        </w:rPr>
        <w:t>able</w:t>
      </w:r>
      <w:proofErr w:type="spellEnd"/>
      <w:r w:rsidRPr="00550C35">
        <w:rPr>
          <w:rFonts w:ascii="Times New Roman" w:hAnsi="Times New Roman" w:cs="Times New Roman"/>
        </w:rPr>
        <w:t xml:space="preserve">, problems of evidence and proof. A start was made in those insurance decisions which were made necessary by </w:t>
      </w:r>
      <w:r w:rsidRPr="00550C35">
        <w:rPr>
          <w:rFonts w:ascii="Times New Roman" w:hAnsi="Times New Roman" w:cs="Times New Roman"/>
          <w:i/>
        </w:rPr>
        <w:t xml:space="preserve">Fairchild </w:t>
      </w:r>
      <w:r w:rsidRPr="00550C35">
        <w:rPr>
          <w:rFonts w:ascii="Times New Roman" w:hAnsi="Times New Roman" w:cs="Times New Roman"/>
        </w:rPr>
        <w:t xml:space="preserve">liability – most notably the </w:t>
      </w:r>
      <w:r w:rsidRPr="00550C35">
        <w:rPr>
          <w:rFonts w:ascii="Times New Roman" w:hAnsi="Times New Roman" w:cs="Times New Roman"/>
          <w:i/>
        </w:rPr>
        <w:t xml:space="preserve">Trigger Litigation </w:t>
      </w:r>
      <w:r w:rsidRPr="00550C35">
        <w:rPr>
          <w:rFonts w:ascii="Times New Roman" w:hAnsi="Times New Roman" w:cs="Times New Roman"/>
        </w:rPr>
        <w:t xml:space="preserve">and </w:t>
      </w:r>
      <w:r w:rsidRPr="00550C35">
        <w:rPr>
          <w:rFonts w:ascii="Times New Roman" w:hAnsi="Times New Roman" w:cs="Times New Roman"/>
          <w:i/>
        </w:rPr>
        <w:t>IEG</w:t>
      </w:r>
      <w:r w:rsidR="00F61EF2">
        <w:rPr>
          <w:rFonts w:ascii="Times New Roman" w:hAnsi="Times New Roman" w:cs="Times New Roman"/>
          <w:i/>
        </w:rPr>
        <w:t xml:space="preserve"> –</w:t>
      </w:r>
      <w:r w:rsidRPr="00550C35">
        <w:rPr>
          <w:rFonts w:ascii="Times New Roman" w:hAnsi="Times New Roman" w:cs="Times New Roman"/>
        </w:rPr>
        <w:t xml:space="preserve"> but we have argued that these are not the only cases in which a </w:t>
      </w:r>
      <w:r w:rsidRPr="00550C35">
        <w:rPr>
          <w:rFonts w:ascii="Times New Roman" w:hAnsi="Times New Roman" w:cs="Times New Roman"/>
          <w:i/>
        </w:rPr>
        <w:t>Fairchild</w:t>
      </w:r>
      <w:r w:rsidRPr="00550C35">
        <w:rPr>
          <w:rFonts w:ascii="Times New Roman" w:hAnsi="Times New Roman" w:cs="Times New Roman"/>
        </w:rPr>
        <w:t xml:space="preserve">-style solution would benefit the law. Indeed without the close connection to </w:t>
      </w:r>
      <w:r w:rsidRPr="00550C35">
        <w:rPr>
          <w:rFonts w:ascii="Times New Roman" w:hAnsi="Times New Roman" w:cs="Times New Roman"/>
          <w:i/>
        </w:rPr>
        <w:t>Fairchild</w:t>
      </w:r>
      <w:r w:rsidRPr="00550C35">
        <w:rPr>
          <w:rFonts w:ascii="Times New Roman" w:hAnsi="Times New Roman" w:cs="Times New Roman"/>
        </w:rPr>
        <w:t>, we suggest these cases would most likely have been decided in the same way.</w:t>
      </w:r>
    </w:p>
    <w:p w14:paraId="2F397C6F" w14:textId="77777777" w:rsidR="00550C35" w:rsidRDefault="0062193D"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30FD3847" w14:textId="18B50B88" w:rsidR="003C3D8B" w:rsidRPr="00550C35" w:rsidRDefault="008E20F0"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The proportionality of </w:t>
      </w:r>
      <w:r w:rsidRPr="00550C35">
        <w:rPr>
          <w:rFonts w:ascii="Times New Roman" w:hAnsi="Times New Roman" w:cs="Times New Roman"/>
          <w:i/>
        </w:rPr>
        <w:t>F</w:t>
      </w:r>
      <w:bookmarkStart w:id="0" w:name="_GoBack"/>
      <w:bookmarkEnd w:id="0"/>
      <w:r w:rsidRPr="00550C35">
        <w:rPr>
          <w:rFonts w:ascii="Times New Roman" w:hAnsi="Times New Roman" w:cs="Times New Roman"/>
          <w:i/>
        </w:rPr>
        <w:t xml:space="preserve">airchild </w:t>
      </w:r>
      <w:r w:rsidRPr="00550C35">
        <w:rPr>
          <w:rFonts w:ascii="Times New Roman" w:hAnsi="Times New Roman" w:cs="Times New Roman"/>
        </w:rPr>
        <w:t>as it is now applied and understood is based ultimately on compromise, just as the proportionate form of contributory negligence (which rescued the law of tort from convoluted notions attached to proximate cause, and claimants from the effect of a harsh ‘all or nothing’ rule) is also based on compromise.</w:t>
      </w:r>
      <w:r w:rsidRPr="00550C35">
        <w:rPr>
          <w:rStyle w:val="FootnoteReference"/>
          <w:rFonts w:ascii="Times New Roman" w:hAnsi="Times New Roman" w:cs="Times New Roman"/>
        </w:rPr>
        <w:footnoteReference w:id="81"/>
      </w:r>
      <w:r w:rsidRPr="00550C35">
        <w:rPr>
          <w:rFonts w:ascii="Times New Roman" w:hAnsi="Times New Roman" w:cs="Times New Roman"/>
        </w:rPr>
        <w:t xml:space="preserve"> It avoids placing the burden of impossibility on claimants alone. The initial, full liability version of </w:t>
      </w:r>
      <w:r w:rsidRPr="00550C35">
        <w:rPr>
          <w:rFonts w:ascii="Times New Roman" w:hAnsi="Times New Roman" w:cs="Times New Roman"/>
          <w:i/>
        </w:rPr>
        <w:t xml:space="preserve">Fairchild </w:t>
      </w:r>
      <w:r w:rsidRPr="00550C35">
        <w:rPr>
          <w:rFonts w:ascii="Times New Roman" w:hAnsi="Times New Roman" w:cs="Times New Roman"/>
        </w:rPr>
        <w:t>passed that burden entirely to the class of defendants, a result now confined (by statute) to mesothelioma.</w:t>
      </w:r>
      <w:r w:rsidR="003C3D8B" w:rsidRPr="00550C35">
        <w:rPr>
          <w:rFonts w:ascii="Times New Roman" w:hAnsi="Times New Roman" w:cs="Times New Roman"/>
        </w:rPr>
        <w:t xml:space="preserve"> But the resulting position spelled out in </w:t>
      </w:r>
      <w:r w:rsidR="003C3D8B" w:rsidRPr="00550C35">
        <w:rPr>
          <w:rFonts w:ascii="Times New Roman" w:hAnsi="Times New Roman" w:cs="Times New Roman"/>
          <w:i/>
        </w:rPr>
        <w:t xml:space="preserve">Barker </w:t>
      </w:r>
      <w:r w:rsidR="003C3D8B" w:rsidRPr="00550C35">
        <w:rPr>
          <w:rFonts w:ascii="Times New Roman" w:hAnsi="Times New Roman" w:cs="Times New Roman"/>
        </w:rPr>
        <w:t xml:space="preserve">is a robust and broad-brush solution, not to be confused with a principled statement that </w:t>
      </w:r>
      <w:r w:rsidR="00B56005">
        <w:rPr>
          <w:rFonts w:ascii="Times New Roman" w:hAnsi="Times New Roman" w:cs="Times New Roman"/>
        </w:rPr>
        <w:t xml:space="preserve">the </w:t>
      </w:r>
      <w:r w:rsidR="003C3D8B" w:rsidRPr="00550C35">
        <w:rPr>
          <w:rFonts w:ascii="Times New Roman" w:hAnsi="Times New Roman" w:cs="Times New Roman"/>
        </w:rPr>
        <w:t>share of exposure to risk is a measure of true responsibility. In the problems with which we have dealt, it is proof that is lacking, and in the absence of proof, a proportional solution cannot claim to precision. The further risk, that one defendant or another will prove to be insolvent, is now carried by claimants outside the area governed by s</w:t>
      </w:r>
      <w:r w:rsidR="00B56005">
        <w:rPr>
          <w:rFonts w:ascii="Times New Roman" w:hAnsi="Times New Roman" w:cs="Times New Roman"/>
        </w:rPr>
        <w:t xml:space="preserve">ection </w:t>
      </w:r>
      <w:r w:rsidR="003C3D8B" w:rsidRPr="00550C35">
        <w:rPr>
          <w:rFonts w:ascii="Times New Roman" w:hAnsi="Times New Roman" w:cs="Times New Roman"/>
        </w:rPr>
        <w:t xml:space="preserve">3 </w:t>
      </w:r>
      <w:r w:rsidR="00B56005">
        <w:rPr>
          <w:rFonts w:ascii="Times New Roman" w:hAnsi="Times New Roman" w:cs="Times New Roman"/>
        </w:rPr>
        <w:t xml:space="preserve">of the </w:t>
      </w:r>
      <w:r w:rsidR="003C3D8B" w:rsidRPr="00550C35">
        <w:rPr>
          <w:rFonts w:ascii="Times New Roman" w:hAnsi="Times New Roman" w:cs="Times New Roman"/>
        </w:rPr>
        <w:t>Compensation Act. In the insurance context, as we have argued, this is a lesser risk.</w:t>
      </w:r>
    </w:p>
    <w:p w14:paraId="5FAD8AA7" w14:textId="77777777" w:rsidR="00550C35" w:rsidRDefault="00550C35" w:rsidP="00550C35">
      <w:pPr>
        <w:spacing w:line="360" w:lineRule="auto"/>
        <w:jc w:val="both"/>
        <w:rPr>
          <w:rFonts w:ascii="Times New Roman" w:hAnsi="Times New Roman" w:cs="Times New Roman"/>
        </w:rPr>
      </w:pPr>
    </w:p>
    <w:p w14:paraId="7D64D27B" w14:textId="49CF9816" w:rsidR="008E20F0" w:rsidRPr="00550C35" w:rsidRDefault="003C3D8B" w:rsidP="00550C35">
      <w:pPr>
        <w:spacing w:line="360" w:lineRule="auto"/>
        <w:ind w:firstLine="720"/>
        <w:jc w:val="both"/>
        <w:rPr>
          <w:rFonts w:ascii="Times New Roman" w:hAnsi="Times New Roman" w:cs="Times New Roman"/>
        </w:rPr>
      </w:pPr>
      <w:r w:rsidRPr="00550C35">
        <w:rPr>
          <w:rFonts w:ascii="Times New Roman" w:hAnsi="Times New Roman" w:cs="Times New Roman"/>
        </w:rPr>
        <w:t xml:space="preserve">We have therefore interpreted </w:t>
      </w:r>
      <w:r w:rsidRPr="00550C35">
        <w:rPr>
          <w:rFonts w:ascii="Times New Roman" w:hAnsi="Times New Roman" w:cs="Times New Roman"/>
          <w:i/>
        </w:rPr>
        <w:t xml:space="preserve">Fairchild </w:t>
      </w:r>
      <w:r w:rsidRPr="00550C35">
        <w:rPr>
          <w:rFonts w:ascii="Times New Roman" w:hAnsi="Times New Roman" w:cs="Times New Roman"/>
        </w:rPr>
        <w:t xml:space="preserve">as a pragmatic solution. It does not </w:t>
      </w:r>
      <w:r w:rsidR="00F31FF1">
        <w:rPr>
          <w:rFonts w:ascii="Times New Roman" w:hAnsi="Times New Roman" w:cs="Times New Roman"/>
        </w:rPr>
        <w:t>‘</w:t>
      </w:r>
      <w:r w:rsidRPr="00550C35">
        <w:rPr>
          <w:rFonts w:ascii="Times New Roman" w:hAnsi="Times New Roman" w:cs="Times New Roman"/>
        </w:rPr>
        <w:t>peg back</w:t>
      </w:r>
      <w:r w:rsidR="00F31FF1">
        <w:rPr>
          <w:rFonts w:ascii="Times New Roman" w:hAnsi="Times New Roman" w:cs="Times New Roman"/>
        </w:rPr>
        <w:t>’</w:t>
      </w:r>
      <w:r w:rsidRPr="00550C35">
        <w:rPr>
          <w:rFonts w:ascii="Times New Roman" w:hAnsi="Times New Roman" w:cs="Times New Roman"/>
        </w:rPr>
        <w:t xml:space="preserve"> liability on the basis of some appropriate share of global responsibility for an outcome, as </w:t>
      </w:r>
      <w:proofErr w:type="spellStart"/>
      <w:r w:rsidRPr="00550C35">
        <w:rPr>
          <w:rFonts w:ascii="Times New Roman" w:hAnsi="Times New Roman" w:cs="Times New Roman"/>
          <w:i/>
        </w:rPr>
        <w:t>Heneghan</w:t>
      </w:r>
      <w:proofErr w:type="spellEnd"/>
      <w:r w:rsidRPr="00550C35">
        <w:rPr>
          <w:rFonts w:ascii="Times New Roman" w:hAnsi="Times New Roman" w:cs="Times New Roman"/>
          <w:i/>
        </w:rPr>
        <w:t xml:space="preserve"> </w:t>
      </w:r>
      <w:r w:rsidRPr="00550C35">
        <w:rPr>
          <w:rFonts w:ascii="Times New Roman" w:hAnsi="Times New Roman" w:cs="Times New Roman"/>
        </w:rPr>
        <w:t xml:space="preserve">shows, but apportions the burden of impossibility of proof. A similar solution is mandated at the insurance level in circumstances which are analogous in appropriate ways, in order </w:t>
      </w:r>
      <w:r w:rsidR="00E104E3">
        <w:rPr>
          <w:rFonts w:ascii="Times New Roman" w:hAnsi="Times New Roman" w:cs="Times New Roman"/>
        </w:rPr>
        <w:t xml:space="preserve">similarly </w:t>
      </w:r>
      <w:r w:rsidRPr="00550C35">
        <w:rPr>
          <w:rFonts w:ascii="Times New Roman" w:hAnsi="Times New Roman" w:cs="Times New Roman"/>
        </w:rPr>
        <w:t xml:space="preserve">to avoid absurdity. This is not necessarily motivated by a need to replicate </w:t>
      </w:r>
      <w:r w:rsidR="00F31FF1">
        <w:rPr>
          <w:rFonts w:ascii="Times New Roman" w:hAnsi="Times New Roman" w:cs="Times New Roman"/>
        </w:rPr>
        <w:t>‘</w:t>
      </w:r>
      <w:r w:rsidRPr="00550C35">
        <w:rPr>
          <w:rFonts w:ascii="Times New Roman" w:hAnsi="Times New Roman" w:cs="Times New Roman"/>
        </w:rPr>
        <w:t>principles</w:t>
      </w:r>
      <w:r w:rsidR="00F31FF1">
        <w:rPr>
          <w:rFonts w:ascii="Times New Roman" w:hAnsi="Times New Roman" w:cs="Times New Roman"/>
        </w:rPr>
        <w:t>’</w:t>
      </w:r>
      <w:r w:rsidRPr="00550C35">
        <w:rPr>
          <w:rFonts w:ascii="Times New Roman" w:hAnsi="Times New Roman" w:cs="Times New Roman"/>
        </w:rPr>
        <w:t xml:space="preserve"> derived from </w:t>
      </w:r>
      <w:r w:rsidRPr="00550C35">
        <w:rPr>
          <w:rFonts w:ascii="Times New Roman" w:hAnsi="Times New Roman" w:cs="Times New Roman"/>
          <w:i/>
        </w:rPr>
        <w:t>Fairchild</w:t>
      </w:r>
      <w:r w:rsidRPr="00550C35">
        <w:rPr>
          <w:rFonts w:ascii="Times New Roman" w:hAnsi="Times New Roman" w:cs="Times New Roman"/>
        </w:rPr>
        <w:t xml:space="preserve">: it is the existence of similar problems which suggests the appropriateness of similar solutions. We have had some years to appreciate the difficulties thrown up by </w:t>
      </w:r>
      <w:r w:rsidRPr="00550C35">
        <w:rPr>
          <w:rFonts w:ascii="Times New Roman" w:hAnsi="Times New Roman" w:cs="Times New Roman"/>
          <w:i/>
        </w:rPr>
        <w:t>Fairchild</w:t>
      </w:r>
      <w:r w:rsidRPr="00550C35">
        <w:rPr>
          <w:rFonts w:ascii="Times New Roman" w:hAnsi="Times New Roman" w:cs="Times New Roman"/>
        </w:rPr>
        <w:t xml:space="preserve">, and to begin to deal with them. Our argument is that we should now learn </w:t>
      </w:r>
      <w:r w:rsidRPr="00550C35">
        <w:rPr>
          <w:rFonts w:ascii="Times New Roman" w:hAnsi="Times New Roman" w:cs="Times New Roman"/>
        </w:rPr>
        <w:lastRenderedPageBreak/>
        <w:t xml:space="preserve">from </w:t>
      </w:r>
      <w:r w:rsidRPr="00550C35">
        <w:rPr>
          <w:rFonts w:ascii="Times New Roman" w:hAnsi="Times New Roman" w:cs="Times New Roman"/>
          <w:i/>
        </w:rPr>
        <w:t>Fairchild</w:t>
      </w:r>
      <w:r w:rsidRPr="00550C35">
        <w:rPr>
          <w:rFonts w:ascii="Times New Roman" w:hAnsi="Times New Roman" w:cs="Times New Roman"/>
        </w:rPr>
        <w:t xml:space="preserve">, rather than attempting to treat it as confined to a special enclave of its own. </w:t>
      </w:r>
    </w:p>
    <w:p w14:paraId="1FAD17DD" w14:textId="77777777" w:rsidR="00550C35" w:rsidRDefault="00550C35" w:rsidP="00550C35">
      <w:pPr>
        <w:spacing w:line="360" w:lineRule="auto"/>
        <w:jc w:val="both"/>
        <w:rPr>
          <w:rFonts w:ascii="Times New Roman" w:hAnsi="Times New Roman" w:cs="Times New Roman"/>
        </w:rPr>
      </w:pPr>
    </w:p>
    <w:p w14:paraId="08ED6996" w14:textId="53592364" w:rsidR="00667E83" w:rsidRPr="00550C35" w:rsidRDefault="00156FA9" w:rsidP="00550C35">
      <w:pPr>
        <w:spacing w:line="360" w:lineRule="auto"/>
        <w:ind w:firstLine="720"/>
        <w:jc w:val="both"/>
        <w:rPr>
          <w:rFonts w:ascii="Times New Roman" w:hAnsi="Times New Roman" w:cs="Times New Roman"/>
        </w:rPr>
      </w:pPr>
      <w:r w:rsidRPr="00550C35">
        <w:rPr>
          <w:rFonts w:ascii="Times New Roman" w:hAnsi="Times New Roman" w:cs="Times New Roman"/>
        </w:rPr>
        <w:t>As a concluding comment we would note that</w:t>
      </w:r>
      <w:r w:rsidR="00B56005">
        <w:rPr>
          <w:rFonts w:ascii="Times New Roman" w:hAnsi="Times New Roman" w:cs="Times New Roman"/>
        </w:rPr>
        <w:t>,</w:t>
      </w:r>
      <w:r w:rsidRPr="00550C35">
        <w:rPr>
          <w:rFonts w:ascii="Times New Roman" w:hAnsi="Times New Roman" w:cs="Times New Roman"/>
        </w:rPr>
        <w:t xml:space="preserve"> in the UK</w:t>
      </w:r>
      <w:r w:rsidR="00B56005">
        <w:rPr>
          <w:rFonts w:ascii="Times New Roman" w:hAnsi="Times New Roman" w:cs="Times New Roman"/>
        </w:rPr>
        <w:t>,</w:t>
      </w:r>
      <w:r w:rsidRPr="00550C35">
        <w:rPr>
          <w:rFonts w:ascii="Times New Roman" w:hAnsi="Times New Roman" w:cs="Times New Roman"/>
        </w:rPr>
        <w:t xml:space="preserve"> </w:t>
      </w:r>
      <w:r w:rsidR="00F31FF1">
        <w:rPr>
          <w:rFonts w:ascii="Times New Roman" w:hAnsi="Times New Roman" w:cs="Times New Roman"/>
        </w:rPr>
        <w:t>‘</w:t>
      </w:r>
      <w:r w:rsidRPr="00550C35">
        <w:rPr>
          <w:rFonts w:ascii="Times New Roman" w:hAnsi="Times New Roman" w:cs="Times New Roman"/>
        </w:rPr>
        <w:t>all</w:t>
      </w:r>
      <w:r w:rsidR="00B56005">
        <w:rPr>
          <w:rFonts w:ascii="Times New Roman" w:hAnsi="Times New Roman" w:cs="Times New Roman"/>
        </w:rPr>
        <w:t>-</w:t>
      </w:r>
      <w:r w:rsidRPr="00550C35">
        <w:rPr>
          <w:rFonts w:ascii="Times New Roman" w:hAnsi="Times New Roman" w:cs="Times New Roman"/>
        </w:rPr>
        <w:t>or</w:t>
      </w:r>
      <w:r w:rsidR="00B56005">
        <w:rPr>
          <w:rFonts w:ascii="Times New Roman" w:hAnsi="Times New Roman" w:cs="Times New Roman"/>
        </w:rPr>
        <w:t>-</w:t>
      </w:r>
      <w:r w:rsidRPr="00550C35">
        <w:rPr>
          <w:rFonts w:ascii="Times New Roman" w:hAnsi="Times New Roman" w:cs="Times New Roman"/>
        </w:rPr>
        <w:t>nothing</w:t>
      </w:r>
      <w:r w:rsidR="00F31FF1">
        <w:rPr>
          <w:rFonts w:ascii="Times New Roman" w:hAnsi="Times New Roman" w:cs="Times New Roman"/>
        </w:rPr>
        <w:t>’</w:t>
      </w:r>
      <w:r w:rsidRPr="00550C35">
        <w:rPr>
          <w:rFonts w:ascii="Times New Roman" w:hAnsi="Times New Roman" w:cs="Times New Roman"/>
        </w:rPr>
        <w:t xml:space="preserve"> responses are gradually falling out of favour in contract law in general and insurance law in particular. Although the sharing of liability and the adoption of proportional remedies are different in nature, they have in common the overriding objective that losses should not necessarily </w:t>
      </w:r>
      <w:proofErr w:type="gramStart"/>
      <w:r w:rsidRPr="00550C35">
        <w:rPr>
          <w:rFonts w:ascii="Times New Roman" w:hAnsi="Times New Roman" w:cs="Times New Roman"/>
        </w:rPr>
        <w:t>lie</w:t>
      </w:r>
      <w:proofErr w:type="gramEnd"/>
      <w:r w:rsidRPr="00550C35">
        <w:rPr>
          <w:rFonts w:ascii="Times New Roman" w:hAnsi="Times New Roman" w:cs="Times New Roman"/>
        </w:rPr>
        <w:t xml:space="preserve"> where they fall where there is the possibility of a more nuanced approach. Th</w:t>
      </w:r>
      <w:r w:rsidR="00B56005">
        <w:rPr>
          <w:rFonts w:ascii="Times New Roman" w:hAnsi="Times New Roman" w:cs="Times New Roman"/>
        </w:rPr>
        <w:t>e majority of the Supreme Court</w:t>
      </w:r>
      <w:r w:rsidR="006C7EA0" w:rsidRPr="00550C35">
        <w:rPr>
          <w:rFonts w:ascii="Times New Roman" w:hAnsi="Times New Roman" w:cs="Times New Roman"/>
        </w:rPr>
        <w:t xml:space="preserve"> in </w:t>
      </w:r>
      <w:r w:rsidR="006C7EA0" w:rsidRPr="00550C35">
        <w:rPr>
          <w:rFonts w:ascii="Times New Roman" w:hAnsi="Times New Roman" w:cs="Times New Roman"/>
          <w:i/>
        </w:rPr>
        <w:t>Patel v Mirza</w:t>
      </w:r>
      <w:r w:rsidR="006C7EA0" w:rsidRPr="00550C35">
        <w:rPr>
          <w:rStyle w:val="FootnoteReference"/>
          <w:rFonts w:ascii="Times New Roman" w:hAnsi="Times New Roman" w:cs="Times New Roman"/>
        </w:rPr>
        <w:footnoteReference w:id="82"/>
      </w:r>
      <w:r w:rsidR="00F45685" w:rsidRPr="00550C35">
        <w:rPr>
          <w:rFonts w:ascii="Times New Roman" w:hAnsi="Times New Roman" w:cs="Times New Roman"/>
        </w:rPr>
        <w:t xml:space="preserve"> </w:t>
      </w:r>
      <w:r w:rsidR="00801D20" w:rsidRPr="00550C35">
        <w:rPr>
          <w:rFonts w:ascii="Times New Roman" w:hAnsi="Times New Roman" w:cs="Times New Roman"/>
        </w:rPr>
        <w:t>rejected the previous</w:t>
      </w:r>
      <w:r w:rsidR="00B56005">
        <w:rPr>
          <w:rFonts w:ascii="Times New Roman" w:hAnsi="Times New Roman" w:cs="Times New Roman"/>
        </w:rPr>
        <w:t>,</w:t>
      </w:r>
      <w:r w:rsidR="00801D20" w:rsidRPr="00550C35">
        <w:rPr>
          <w:rFonts w:ascii="Times New Roman" w:hAnsi="Times New Roman" w:cs="Times New Roman"/>
        </w:rPr>
        <w:t xml:space="preserve"> formalistic approach to the enforcement of illegal contracts and replaced it with proportionality criteria</w:t>
      </w:r>
      <w:r w:rsidRPr="00550C35">
        <w:rPr>
          <w:rFonts w:ascii="Times New Roman" w:hAnsi="Times New Roman" w:cs="Times New Roman"/>
        </w:rPr>
        <w:t xml:space="preserve"> in this broader sense</w:t>
      </w:r>
      <w:r w:rsidR="00667E83" w:rsidRPr="00550C35">
        <w:rPr>
          <w:rFonts w:ascii="Times New Roman" w:hAnsi="Times New Roman" w:cs="Times New Roman"/>
        </w:rPr>
        <w:t xml:space="preserve">. It was recognised by a majority of the Supreme Court in </w:t>
      </w:r>
      <w:proofErr w:type="spellStart"/>
      <w:r w:rsidR="00667E83" w:rsidRPr="00550C35">
        <w:rPr>
          <w:rFonts w:ascii="Times New Roman" w:hAnsi="Times New Roman" w:cs="Times New Roman"/>
          <w:i/>
        </w:rPr>
        <w:t>Versloot</w:t>
      </w:r>
      <w:proofErr w:type="spellEnd"/>
      <w:r w:rsidR="00667E83" w:rsidRPr="00550C35">
        <w:rPr>
          <w:rFonts w:ascii="Times New Roman" w:hAnsi="Times New Roman" w:cs="Times New Roman"/>
          <w:i/>
        </w:rPr>
        <w:t xml:space="preserve"> Dredging</w:t>
      </w:r>
      <w:r w:rsidR="007B328A" w:rsidRPr="00550C35">
        <w:rPr>
          <w:rFonts w:ascii="Times New Roman" w:hAnsi="Times New Roman" w:cs="Times New Roman"/>
          <w:i/>
        </w:rPr>
        <w:t xml:space="preserve"> BV</w:t>
      </w:r>
      <w:r w:rsidR="00667E83" w:rsidRPr="00550C35">
        <w:rPr>
          <w:rFonts w:ascii="Times New Roman" w:hAnsi="Times New Roman" w:cs="Times New Roman"/>
          <w:i/>
        </w:rPr>
        <w:t xml:space="preserve"> v HDI</w:t>
      </w:r>
      <w:r w:rsidR="007B328A" w:rsidRPr="00550C35">
        <w:rPr>
          <w:rFonts w:ascii="Times New Roman" w:hAnsi="Times New Roman" w:cs="Times New Roman"/>
          <w:i/>
        </w:rPr>
        <w:t xml:space="preserve"> </w:t>
      </w:r>
      <w:proofErr w:type="spellStart"/>
      <w:r w:rsidR="007B328A" w:rsidRPr="00550C35">
        <w:rPr>
          <w:rFonts w:ascii="Times New Roman" w:hAnsi="Times New Roman" w:cs="Times New Roman"/>
          <w:i/>
        </w:rPr>
        <w:t>Industrie</w:t>
      </w:r>
      <w:proofErr w:type="spellEnd"/>
      <w:r w:rsidR="007B328A" w:rsidRPr="00550C35">
        <w:rPr>
          <w:rFonts w:ascii="Times New Roman" w:hAnsi="Times New Roman" w:cs="Times New Roman"/>
          <w:i/>
        </w:rPr>
        <w:t xml:space="preserve"> </w:t>
      </w:r>
      <w:proofErr w:type="spellStart"/>
      <w:r w:rsidR="007B328A" w:rsidRPr="00550C35">
        <w:rPr>
          <w:rFonts w:ascii="Times New Roman" w:hAnsi="Times New Roman" w:cs="Times New Roman"/>
          <w:i/>
        </w:rPr>
        <w:t>Versicherung</w:t>
      </w:r>
      <w:proofErr w:type="spellEnd"/>
      <w:r w:rsidR="007B328A" w:rsidRPr="00550C35">
        <w:rPr>
          <w:rFonts w:ascii="Times New Roman" w:hAnsi="Times New Roman" w:cs="Times New Roman"/>
          <w:i/>
        </w:rPr>
        <w:t xml:space="preserve"> AG</w:t>
      </w:r>
      <w:r w:rsidR="00C96DE8" w:rsidRPr="00550C35">
        <w:rPr>
          <w:rStyle w:val="FootnoteReference"/>
          <w:rFonts w:ascii="Times New Roman" w:hAnsi="Times New Roman" w:cs="Times New Roman"/>
        </w:rPr>
        <w:footnoteReference w:id="83"/>
      </w:r>
      <w:r w:rsidR="00C96DE8" w:rsidRPr="00550C35">
        <w:rPr>
          <w:rFonts w:ascii="Times New Roman" w:hAnsi="Times New Roman" w:cs="Times New Roman"/>
          <w:i/>
        </w:rPr>
        <w:t xml:space="preserve"> </w:t>
      </w:r>
      <w:r w:rsidR="00C96DE8" w:rsidRPr="00550C35">
        <w:rPr>
          <w:rFonts w:ascii="Times New Roman" w:hAnsi="Times New Roman" w:cs="Times New Roman"/>
        </w:rPr>
        <w:t xml:space="preserve">that allowing an insurer to refuse to pay a genuine claim by reason of false statements made in the </w:t>
      </w:r>
      <w:r w:rsidR="00CC6075" w:rsidRPr="00550C35">
        <w:rPr>
          <w:rFonts w:ascii="Times New Roman" w:hAnsi="Times New Roman" w:cs="Times New Roman"/>
        </w:rPr>
        <w:t xml:space="preserve">negotiation process was a disproportionate response to fraud. Finally, the Insurance Act 2015, following the lead of the non-marine regime in Australia in the Insurance Contracts Act 1984, </w:t>
      </w:r>
      <w:r w:rsidR="0089115C" w:rsidRPr="00550C35">
        <w:rPr>
          <w:rFonts w:ascii="Times New Roman" w:hAnsi="Times New Roman" w:cs="Times New Roman"/>
        </w:rPr>
        <w:t>has eschewed the all</w:t>
      </w:r>
      <w:r w:rsidR="00B56005">
        <w:rPr>
          <w:rFonts w:ascii="Times New Roman" w:hAnsi="Times New Roman" w:cs="Times New Roman"/>
        </w:rPr>
        <w:t>-</w:t>
      </w:r>
      <w:r w:rsidR="0089115C" w:rsidRPr="00550C35">
        <w:rPr>
          <w:rFonts w:ascii="Times New Roman" w:hAnsi="Times New Roman" w:cs="Times New Roman"/>
        </w:rPr>
        <w:t>or</w:t>
      </w:r>
      <w:r w:rsidR="00B56005">
        <w:rPr>
          <w:rFonts w:ascii="Times New Roman" w:hAnsi="Times New Roman" w:cs="Times New Roman"/>
        </w:rPr>
        <w:t>-</w:t>
      </w:r>
      <w:r w:rsidR="0089115C" w:rsidRPr="00550C35">
        <w:rPr>
          <w:rFonts w:ascii="Times New Roman" w:hAnsi="Times New Roman" w:cs="Times New Roman"/>
        </w:rPr>
        <w:t xml:space="preserve">nothing approach of avoidance to non-disclosure and misrepresentation and instead </w:t>
      </w:r>
      <w:r w:rsidR="00514AEE" w:rsidRPr="00550C35">
        <w:rPr>
          <w:rFonts w:ascii="Times New Roman" w:hAnsi="Times New Roman" w:cs="Times New Roman"/>
        </w:rPr>
        <w:t>has adopted proportional remedies based upon what the insurer would have done</w:t>
      </w:r>
      <w:r w:rsidR="00B56005">
        <w:rPr>
          <w:rFonts w:ascii="Times New Roman" w:hAnsi="Times New Roman" w:cs="Times New Roman"/>
        </w:rPr>
        <w:t>,</w:t>
      </w:r>
      <w:r w:rsidR="00514AEE" w:rsidRPr="00550C35">
        <w:rPr>
          <w:rFonts w:ascii="Times New Roman" w:hAnsi="Times New Roman" w:cs="Times New Roman"/>
        </w:rPr>
        <w:t xml:space="preserve"> had there been a fair presentation. </w:t>
      </w:r>
      <w:r w:rsidR="006401F0" w:rsidRPr="00550C35">
        <w:rPr>
          <w:rFonts w:ascii="Times New Roman" w:hAnsi="Times New Roman" w:cs="Times New Roman"/>
        </w:rPr>
        <w:t>None of this could have</w:t>
      </w:r>
      <w:r w:rsidR="009D35A5" w:rsidRPr="00550C35">
        <w:rPr>
          <w:rFonts w:ascii="Times New Roman" w:hAnsi="Times New Roman" w:cs="Times New Roman"/>
        </w:rPr>
        <w:t xml:space="preserve"> been predicted five years ago, and our suggestion of an extension into the world of causation is </w:t>
      </w:r>
      <w:r w:rsidR="006401F0" w:rsidRPr="00550C35">
        <w:rPr>
          <w:rFonts w:ascii="Times New Roman" w:hAnsi="Times New Roman" w:cs="Times New Roman"/>
        </w:rPr>
        <w:t xml:space="preserve">far from </w:t>
      </w:r>
      <w:r w:rsidR="009D35A5" w:rsidRPr="00550C35">
        <w:rPr>
          <w:rFonts w:ascii="Times New Roman" w:hAnsi="Times New Roman" w:cs="Times New Roman"/>
        </w:rPr>
        <w:t>a heresy.</w:t>
      </w:r>
      <w:r w:rsidR="007B328A" w:rsidRPr="00550C35">
        <w:rPr>
          <w:rFonts w:ascii="Times New Roman" w:hAnsi="Times New Roman" w:cs="Times New Roman"/>
          <w:i/>
        </w:rPr>
        <w:t xml:space="preserve"> </w:t>
      </w:r>
    </w:p>
    <w:p w14:paraId="1FEBBEF5" w14:textId="77777777" w:rsidR="008E20F0" w:rsidRPr="00550C35" w:rsidRDefault="00B133F6" w:rsidP="00550C35">
      <w:pPr>
        <w:spacing w:line="360" w:lineRule="auto"/>
        <w:jc w:val="both"/>
        <w:rPr>
          <w:rFonts w:ascii="Times New Roman" w:hAnsi="Times New Roman" w:cs="Times New Roman"/>
        </w:rPr>
      </w:pPr>
      <w:r w:rsidRPr="00550C35">
        <w:rPr>
          <w:rFonts w:ascii="Times New Roman" w:hAnsi="Times New Roman" w:cs="Times New Roman"/>
        </w:rPr>
        <w:t xml:space="preserve">      </w:t>
      </w:r>
    </w:p>
    <w:p w14:paraId="320983AA" w14:textId="3C1E5BCA" w:rsidR="00B133F6" w:rsidRPr="00550C35" w:rsidRDefault="00B133F6" w:rsidP="00550C35">
      <w:pPr>
        <w:spacing w:line="360" w:lineRule="auto"/>
        <w:jc w:val="both"/>
        <w:rPr>
          <w:rFonts w:ascii="Times New Roman" w:hAnsi="Times New Roman" w:cs="Times New Roman"/>
          <w:i/>
        </w:rPr>
      </w:pPr>
      <w:bookmarkStart w:id="1" w:name="first"/>
      <w:bookmarkStart w:id="2" w:name="_Ref488759202"/>
      <w:bookmarkStart w:id="3" w:name="_Ref488759241"/>
      <w:bookmarkEnd w:id="1"/>
      <w:bookmarkEnd w:id="2"/>
      <w:bookmarkEnd w:id="3"/>
    </w:p>
    <w:p w14:paraId="320CCF40" w14:textId="77777777" w:rsidR="00EE33C0" w:rsidRPr="00550C35" w:rsidRDefault="00EE33C0" w:rsidP="00550C35">
      <w:pPr>
        <w:spacing w:line="360" w:lineRule="auto"/>
        <w:jc w:val="both"/>
        <w:rPr>
          <w:rFonts w:ascii="Times New Roman" w:hAnsi="Times New Roman" w:cs="Times New Roman"/>
        </w:rPr>
      </w:pPr>
    </w:p>
    <w:sectPr w:rsidR="00EE33C0" w:rsidRPr="00550C35" w:rsidSect="00526A76">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3842B" w14:textId="77777777" w:rsidR="00C54567" w:rsidRDefault="00C54567" w:rsidP="00B133F6">
      <w:r>
        <w:separator/>
      </w:r>
    </w:p>
  </w:endnote>
  <w:endnote w:type="continuationSeparator" w:id="0">
    <w:p w14:paraId="4D9CBB89" w14:textId="77777777" w:rsidR="00C54567" w:rsidRDefault="00C54567" w:rsidP="00B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A9E4" w14:textId="2D9980B1" w:rsidR="00953880" w:rsidRDefault="00953880">
    <w:pPr>
      <w:pStyle w:val="Footer"/>
      <w:jc w:val="right"/>
    </w:pPr>
  </w:p>
  <w:p w14:paraId="61ECFF73" w14:textId="77777777" w:rsidR="00953880" w:rsidRDefault="00953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E98A4" w14:textId="77777777" w:rsidR="00C54567" w:rsidRDefault="00C54567" w:rsidP="00B133F6">
      <w:r>
        <w:separator/>
      </w:r>
    </w:p>
  </w:footnote>
  <w:footnote w:type="continuationSeparator" w:id="0">
    <w:p w14:paraId="07AE680E" w14:textId="77777777" w:rsidR="00C54567" w:rsidRDefault="00C54567" w:rsidP="00B133F6">
      <w:r>
        <w:continuationSeparator/>
      </w:r>
    </w:p>
  </w:footnote>
  <w:footnote w:id="1">
    <w:p w14:paraId="3749FC59"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[2002] UKHL 22; [2003] 1 AC 32.</w:t>
      </w:r>
      <w:proofErr w:type="gramEnd"/>
    </w:p>
  </w:footnote>
  <w:footnote w:id="2">
    <w:p w14:paraId="30198EB9" w14:textId="276A20B3" w:rsidR="00953880" w:rsidRPr="00710184" w:rsidRDefault="00953880" w:rsidP="00DD7A26">
      <w:pPr>
        <w:pStyle w:val="FootnoteText"/>
        <w:jc w:val="both"/>
        <w:rPr>
          <w:rFonts w:ascii="Times New Roman" w:hAnsi="Times New Roman" w:cs="Times New Roman"/>
          <w:sz w:val="20"/>
          <w:szCs w:val="20"/>
          <w:lang w:val="en-US"/>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t>
      </w:r>
      <w:r w:rsidRPr="00710184">
        <w:rPr>
          <w:rFonts w:ascii="Times New Roman" w:hAnsi="Times New Roman" w:cs="Times New Roman"/>
          <w:sz w:val="20"/>
          <w:szCs w:val="20"/>
          <w:lang w:val="en-US"/>
        </w:rPr>
        <w:t>A bizarre fact of academic life in the common law world is the virtual dearth of scholars researching into both tort and insurance. The issues that arise are frequently common to both, particularly in the spheres of causation and loss, but the solution reached in one rarely refers to the other.  By way of example, both tort and insurance agree that an event causing unrepaired damage is for liability purposes to be left out of account if</w:t>
      </w:r>
      <w:r>
        <w:rPr>
          <w:rFonts w:ascii="Times New Roman" w:hAnsi="Times New Roman" w:cs="Times New Roman"/>
          <w:sz w:val="20"/>
          <w:szCs w:val="20"/>
          <w:lang w:val="en-US"/>
        </w:rPr>
        <w:t>,</w:t>
      </w:r>
      <w:r w:rsidRPr="00710184">
        <w:rPr>
          <w:rFonts w:ascii="Times New Roman" w:hAnsi="Times New Roman" w:cs="Times New Roman"/>
          <w:sz w:val="20"/>
          <w:szCs w:val="20"/>
          <w:lang w:val="en-US"/>
        </w:rPr>
        <w:t xml:space="preserve"> by the time of the trial</w:t>
      </w:r>
      <w:r>
        <w:rPr>
          <w:rFonts w:ascii="Times New Roman" w:hAnsi="Times New Roman" w:cs="Times New Roman"/>
          <w:sz w:val="20"/>
          <w:szCs w:val="20"/>
          <w:lang w:val="en-US"/>
        </w:rPr>
        <w:t>,</w:t>
      </w:r>
      <w:r w:rsidRPr="00710184">
        <w:rPr>
          <w:rFonts w:ascii="Times New Roman" w:hAnsi="Times New Roman" w:cs="Times New Roman"/>
          <w:sz w:val="20"/>
          <w:szCs w:val="20"/>
          <w:lang w:val="en-US"/>
        </w:rPr>
        <w:t xml:space="preserve"> there has been a supervening subsuming loss, but the bumpy journeys to that conclusion in tort (</w:t>
      </w:r>
      <w:r w:rsidRPr="00710184">
        <w:rPr>
          <w:rFonts w:ascii="Times New Roman" w:hAnsi="Times New Roman" w:cs="Times New Roman"/>
          <w:i/>
          <w:sz w:val="20"/>
          <w:szCs w:val="20"/>
          <w:lang w:val="en-US"/>
        </w:rPr>
        <w:t xml:space="preserve">Jobling v Associated Dairies </w:t>
      </w:r>
      <w:r w:rsidRPr="00710184">
        <w:rPr>
          <w:rFonts w:ascii="Times New Roman" w:hAnsi="Times New Roman" w:cs="Times New Roman"/>
          <w:sz w:val="20"/>
          <w:szCs w:val="20"/>
          <w:lang w:val="en-US"/>
        </w:rPr>
        <w:t xml:space="preserve">[1982] AC 794, effectively undermining </w:t>
      </w:r>
      <w:r w:rsidRPr="00710184">
        <w:rPr>
          <w:rFonts w:ascii="Times New Roman" w:hAnsi="Times New Roman" w:cs="Times New Roman"/>
          <w:i/>
          <w:sz w:val="20"/>
          <w:szCs w:val="20"/>
          <w:lang w:val="en-US"/>
        </w:rPr>
        <w:t xml:space="preserve">Baker v Willoughby </w:t>
      </w:r>
      <w:r w:rsidRPr="00710184">
        <w:rPr>
          <w:rFonts w:ascii="Times New Roman" w:hAnsi="Times New Roman" w:cs="Times New Roman"/>
          <w:sz w:val="20"/>
          <w:szCs w:val="20"/>
          <w:lang w:val="en-US"/>
        </w:rPr>
        <w:t>[1970] AC 467) and in insurance (</w:t>
      </w:r>
      <w:r w:rsidRPr="00710184">
        <w:rPr>
          <w:rFonts w:ascii="Times New Roman" w:hAnsi="Times New Roman" w:cs="Times New Roman"/>
          <w:i/>
          <w:sz w:val="20"/>
          <w:szCs w:val="20"/>
        </w:rPr>
        <w:t xml:space="preserve">QBE Insurance (International) Ltd v Wild South Holdings Ltd </w:t>
      </w:r>
      <w:r w:rsidRPr="00710184">
        <w:rPr>
          <w:rFonts w:ascii="Times New Roman" w:hAnsi="Times New Roman" w:cs="Times New Roman"/>
          <w:sz w:val="20"/>
          <w:szCs w:val="20"/>
        </w:rPr>
        <w:t xml:space="preserve">[2014] NZCA 447, effectively undermining </w:t>
      </w:r>
      <w:r w:rsidRPr="00710184">
        <w:rPr>
          <w:rFonts w:ascii="Times New Roman" w:hAnsi="Times New Roman" w:cs="Times New Roman"/>
          <w:i/>
          <w:sz w:val="20"/>
          <w:szCs w:val="20"/>
        </w:rPr>
        <w:t>Ridgecrest NZ Ltd v IAG New Zealand Ltd</w:t>
      </w:r>
      <w:r w:rsidRPr="00710184">
        <w:rPr>
          <w:rFonts w:ascii="Times New Roman" w:hAnsi="Times New Roman" w:cs="Times New Roman"/>
          <w:sz w:val="20"/>
          <w:szCs w:val="20"/>
          <w:lang w:val="en-US"/>
        </w:rPr>
        <w:t xml:space="preserve">  [2014] NZSC 117) have been endured quite independently.</w:t>
      </w:r>
    </w:p>
  </w:footnote>
  <w:footnote w:id="3">
    <w:p w14:paraId="2C62C397" w14:textId="77777777" w:rsidR="00953880" w:rsidRPr="00710184"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A variety of factors is relevant in making the decision on quantum of contribution. In arriving at proportional solutions, the criteria applied in different contexts may vary considerably.</w:t>
      </w:r>
    </w:p>
  </w:footnote>
  <w:footnote w:id="4">
    <w:p w14:paraId="63F648DA" w14:textId="73B41C3C"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lang w:val="en-US"/>
        </w:rPr>
        <w:t xml:space="preserve">Marine Insurance Act 1906 (UK), </w:t>
      </w:r>
      <w:proofErr w:type="spellStart"/>
      <w:r w:rsidRPr="00FB6A3D">
        <w:rPr>
          <w:rFonts w:ascii="Times New Roman" w:hAnsi="Times New Roman" w:cs="Times New Roman"/>
          <w:sz w:val="20"/>
          <w:szCs w:val="20"/>
          <w:lang w:val="en-US"/>
        </w:rPr>
        <w:t>ss</w:t>
      </w:r>
      <w:proofErr w:type="spellEnd"/>
      <w:r w:rsidRPr="00FB6A3D">
        <w:rPr>
          <w:rFonts w:ascii="Times New Roman" w:hAnsi="Times New Roman" w:cs="Times New Roman"/>
          <w:sz w:val="20"/>
          <w:szCs w:val="20"/>
          <w:lang w:val="en-US"/>
        </w:rPr>
        <w:t xml:space="preserve"> 32 and 80, codifying the common law on marine insurance and subsequently adopted in the non-marine context.</w:t>
      </w:r>
      <w:proofErr w:type="gramEnd"/>
      <w:r w:rsidRPr="00FB6A3D">
        <w:rPr>
          <w:rFonts w:ascii="Times New Roman" w:hAnsi="Times New Roman" w:cs="Times New Roman"/>
          <w:sz w:val="20"/>
          <w:szCs w:val="20"/>
          <w:lang w:val="en-US"/>
        </w:rPr>
        <w:t xml:space="preserve"> The same sections appear in the legislation of virtually all common law jurisdictions.</w:t>
      </w:r>
    </w:p>
  </w:footnote>
  <w:footnote w:id="5">
    <w:p w14:paraId="7A55BA98" w14:textId="62F56820"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 xml:space="preserve">There are various measures of apportionment in this situation, notably </w:t>
      </w:r>
      <w:r>
        <w:rPr>
          <w:rFonts w:ascii="Times New Roman" w:hAnsi="Times New Roman" w:cs="Times New Roman"/>
          <w:sz w:val="20"/>
          <w:szCs w:val="20"/>
          <w:lang w:val="en-US"/>
        </w:rPr>
        <w:t>‘</w:t>
      </w:r>
      <w:r w:rsidRPr="00FB6A3D">
        <w:rPr>
          <w:rFonts w:ascii="Times New Roman" w:hAnsi="Times New Roman" w:cs="Times New Roman"/>
          <w:sz w:val="20"/>
          <w:szCs w:val="20"/>
          <w:lang w:val="en-US"/>
        </w:rPr>
        <w:t>maximum liability</w:t>
      </w:r>
      <w:r>
        <w:rPr>
          <w:rFonts w:ascii="Times New Roman" w:hAnsi="Times New Roman" w:cs="Times New Roman"/>
          <w:sz w:val="20"/>
          <w:szCs w:val="20"/>
          <w:lang w:val="en-US"/>
        </w:rPr>
        <w:t xml:space="preserve">,’ </w:t>
      </w:r>
      <w:r w:rsidRPr="00FB6A3D">
        <w:rPr>
          <w:rFonts w:ascii="Times New Roman" w:hAnsi="Times New Roman" w:cs="Times New Roman"/>
          <w:sz w:val="20"/>
          <w:szCs w:val="20"/>
          <w:lang w:val="en-US"/>
        </w:rPr>
        <w:t xml:space="preserve">which focuses on the sum insured by each policy, and </w:t>
      </w:r>
      <w:r>
        <w:rPr>
          <w:rFonts w:ascii="Times New Roman" w:hAnsi="Times New Roman" w:cs="Times New Roman"/>
          <w:sz w:val="20"/>
          <w:szCs w:val="20"/>
          <w:lang w:val="en-US"/>
        </w:rPr>
        <w:t>‘</w:t>
      </w:r>
      <w:r w:rsidRPr="00FB6A3D">
        <w:rPr>
          <w:rFonts w:ascii="Times New Roman" w:hAnsi="Times New Roman" w:cs="Times New Roman"/>
          <w:sz w:val="20"/>
          <w:szCs w:val="20"/>
          <w:lang w:val="en-US"/>
        </w:rPr>
        <w:t>independent liability</w:t>
      </w:r>
      <w:r>
        <w:rPr>
          <w:rFonts w:ascii="Times New Roman" w:hAnsi="Times New Roman" w:cs="Times New Roman"/>
          <w:sz w:val="20"/>
          <w:szCs w:val="20"/>
          <w:lang w:val="en-US"/>
        </w:rPr>
        <w:t>’</w:t>
      </w:r>
      <w:r w:rsidRPr="00FB6A3D">
        <w:rPr>
          <w:rFonts w:ascii="Times New Roman" w:hAnsi="Times New Roman" w:cs="Times New Roman"/>
          <w:sz w:val="20"/>
          <w:szCs w:val="20"/>
          <w:lang w:val="en-US"/>
        </w:rPr>
        <w:t xml:space="preserve"> which focuses on the liability of each insurer for the amount of the specific claim. In most cases both formulae give rise to a 50:50 outcome. It will be assumed for the purposes only of what follows, that independent liability is the correct analysis.</w:t>
      </w:r>
    </w:p>
  </w:footnote>
  <w:footnote w:id="6">
    <w:p w14:paraId="45E44C89"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[2006] UKHL 20; [2006] 2 AC 572.</w:t>
      </w:r>
      <w:proofErr w:type="gramEnd"/>
    </w:p>
  </w:footnote>
  <w:footnote w:id="7">
    <w:p w14:paraId="6258EC39"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[2012] UKSC 14; [2012] 1 WLR 867.</w:t>
      </w:r>
      <w:proofErr w:type="gramEnd"/>
    </w:p>
  </w:footnote>
  <w:footnote w:id="8">
    <w:p w14:paraId="086B395A"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[2015] UKSC 33; [2016] AC 509.</w:t>
      </w:r>
      <w:proofErr w:type="gramEnd"/>
    </w:p>
  </w:footnote>
  <w:footnote w:id="9">
    <w:p w14:paraId="1483E1BA" w14:textId="7F1C049D"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 xml:space="preserve">A suggestion put forward by the present authors </w:t>
      </w:r>
      <w:r w:rsidRPr="00A8644E">
        <w:rPr>
          <w:rFonts w:ascii="Times New Roman" w:hAnsi="Times New Roman" w:cs="Times New Roman"/>
          <w:sz w:val="20"/>
          <w:szCs w:val="20"/>
          <w:lang w:val="en-US"/>
        </w:rPr>
        <w:t xml:space="preserve">in R </w:t>
      </w:r>
      <w:proofErr w:type="spellStart"/>
      <w:r w:rsidRPr="00A8644E">
        <w:rPr>
          <w:rFonts w:ascii="Times New Roman" w:hAnsi="Times New Roman" w:cs="Times New Roman"/>
          <w:sz w:val="20"/>
          <w:szCs w:val="20"/>
          <w:lang w:val="en-US"/>
        </w:rPr>
        <w:t>Merkin</w:t>
      </w:r>
      <w:proofErr w:type="spellEnd"/>
      <w:r w:rsidRPr="00A8644E">
        <w:rPr>
          <w:rFonts w:ascii="Times New Roman" w:hAnsi="Times New Roman" w:cs="Times New Roman"/>
          <w:sz w:val="20"/>
          <w:szCs w:val="20"/>
          <w:lang w:val="en-US"/>
        </w:rPr>
        <w:t xml:space="preserve"> and J Steele, </w:t>
      </w:r>
      <w:r w:rsidRPr="00A8644E">
        <w:rPr>
          <w:rFonts w:ascii="Times New Roman" w:hAnsi="Times New Roman" w:cs="Times New Roman"/>
          <w:i/>
          <w:sz w:val="20"/>
          <w:szCs w:val="20"/>
          <w:lang w:val="en-US"/>
        </w:rPr>
        <w:t>Insurance</w:t>
      </w:r>
      <w:r w:rsidRPr="00FB6A3D">
        <w:rPr>
          <w:rFonts w:ascii="Times New Roman" w:hAnsi="Times New Roman" w:cs="Times New Roman"/>
          <w:i/>
          <w:sz w:val="20"/>
          <w:szCs w:val="20"/>
          <w:lang w:val="en-US"/>
        </w:rPr>
        <w:t xml:space="preserve"> and the Law of Obligations </w:t>
      </w:r>
      <w:r w:rsidRPr="00FB6A3D">
        <w:rPr>
          <w:rFonts w:ascii="Times New Roman" w:hAnsi="Times New Roman" w:cs="Times New Roman"/>
          <w:sz w:val="20"/>
          <w:szCs w:val="20"/>
          <w:lang w:val="en-US"/>
        </w:rPr>
        <w:t>(</w:t>
      </w:r>
      <w:r>
        <w:rPr>
          <w:rFonts w:ascii="Times New Roman" w:hAnsi="Times New Roman" w:cs="Times New Roman"/>
          <w:sz w:val="20"/>
          <w:szCs w:val="20"/>
          <w:lang w:val="en-US"/>
        </w:rPr>
        <w:t xml:space="preserve">Oxford, </w:t>
      </w:r>
      <w:r w:rsidRPr="00FB6A3D">
        <w:rPr>
          <w:rFonts w:ascii="Times New Roman" w:hAnsi="Times New Roman" w:cs="Times New Roman"/>
          <w:sz w:val="20"/>
          <w:szCs w:val="20"/>
          <w:lang w:val="en-US"/>
        </w:rPr>
        <w:t>Oxford University Press</w:t>
      </w:r>
      <w:r>
        <w:rPr>
          <w:rFonts w:ascii="Times New Roman" w:hAnsi="Times New Roman" w:cs="Times New Roman"/>
          <w:sz w:val="20"/>
          <w:szCs w:val="20"/>
          <w:lang w:val="en-US"/>
        </w:rPr>
        <w:t>, 2013</w:t>
      </w:r>
      <w:r w:rsidRPr="00FB6A3D">
        <w:rPr>
          <w:rFonts w:ascii="Times New Roman" w:hAnsi="Times New Roman" w:cs="Times New Roman"/>
          <w:sz w:val="20"/>
          <w:szCs w:val="20"/>
          <w:lang w:val="en-US"/>
        </w:rPr>
        <w:t xml:space="preserve">), 378 and adopted by Lord </w:t>
      </w:r>
      <w:proofErr w:type="spellStart"/>
      <w:r w:rsidRPr="00FB6A3D">
        <w:rPr>
          <w:rFonts w:ascii="Times New Roman" w:hAnsi="Times New Roman" w:cs="Times New Roman"/>
          <w:sz w:val="20"/>
          <w:szCs w:val="20"/>
          <w:lang w:val="en-US"/>
        </w:rPr>
        <w:t>Mance</w:t>
      </w:r>
      <w:proofErr w:type="spellEnd"/>
      <w:r w:rsidRPr="00FB6A3D">
        <w:rPr>
          <w:rFonts w:ascii="Times New Roman" w:hAnsi="Times New Roman" w:cs="Times New Roman"/>
          <w:sz w:val="20"/>
          <w:szCs w:val="20"/>
          <w:lang w:val="en-US"/>
        </w:rPr>
        <w:t xml:space="preserve"> in </w:t>
      </w:r>
      <w:r w:rsidRPr="00FB6A3D">
        <w:rPr>
          <w:rFonts w:ascii="Times New Roman" w:hAnsi="Times New Roman" w:cs="Times New Roman"/>
          <w:i/>
          <w:sz w:val="20"/>
          <w:szCs w:val="20"/>
        </w:rPr>
        <w:t xml:space="preserve">IEG </w:t>
      </w:r>
      <w:r w:rsidRPr="00AF74A6">
        <w:rPr>
          <w:rFonts w:ascii="Times New Roman" w:hAnsi="Times New Roman" w:cs="Times New Roman"/>
          <w:sz w:val="20"/>
          <w:szCs w:val="20"/>
        </w:rPr>
        <w:t>(n</w:t>
      </w:r>
      <w:r>
        <w:rPr>
          <w:rFonts w:ascii="Times New Roman" w:hAnsi="Times New Roman" w:cs="Times New Roman"/>
          <w:sz w:val="20"/>
          <w:szCs w:val="20"/>
        </w:rPr>
        <w:t xml:space="preserve"> </w:t>
      </w:r>
      <w:r w:rsidRPr="00AF74A6">
        <w:rPr>
          <w:rFonts w:ascii="Times New Roman" w:hAnsi="Times New Roman" w:cs="Times New Roman"/>
          <w:sz w:val="20"/>
          <w:szCs w:val="20"/>
        </w:rPr>
        <w:t xml:space="preserve">8) </w:t>
      </w:r>
      <w:r>
        <w:rPr>
          <w:rFonts w:ascii="Times New Roman" w:hAnsi="Times New Roman" w:cs="Times New Roman"/>
          <w:sz w:val="20"/>
          <w:szCs w:val="20"/>
        </w:rPr>
        <w:t>[</w:t>
      </w:r>
      <w:r w:rsidRPr="00FB6A3D">
        <w:rPr>
          <w:rFonts w:ascii="Times New Roman" w:hAnsi="Times New Roman" w:cs="Times New Roman"/>
          <w:sz w:val="20"/>
          <w:szCs w:val="20"/>
        </w:rPr>
        <w:t>63</w:t>
      </w:r>
      <w:r>
        <w:rPr>
          <w:rFonts w:ascii="Times New Roman" w:hAnsi="Times New Roman" w:cs="Times New Roman"/>
          <w:sz w:val="20"/>
          <w:szCs w:val="20"/>
        </w:rPr>
        <w:t>]</w:t>
      </w:r>
      <w:r w:rsidRPr="00FB6A3D">
        <w:rPr>
          <w:rFonts w:ascii="Times New Roman" w:hAnsi="Times New Roman" w:cs="Times New Roman"/>
          <w:sz w:val="20"/>
          <w:szCs w:val="20"/>
        </w:rPr>
        <w:t>.</w:t>
      </w:r>
    </w:p>
  </w:footnote>
  <w:footnote w:id="10">
    <w:p w14:paraId="2277609B" w14:textId="5F89E010"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Note the wide range of comparative common law</w:t>
      </w:r>
      <w:r>
        <w:rPr>
          <w:rFonts w:ascii="Times New Roman" w:hAnsi="Times New Roman" w:cs="Times New Roman"/>
          <w:sz w:val="20"/>
          <w:szCs w:val="20"/>
        </w:rPr>
        <w:t xml:space="preserve"> and civilian</w:t>
      </w:r>
      <w:r w:rsidRPr="00FB6A3D">
        <w:rPr>
          <w:rFonts w:ascii="Times New Roman" w:hAnsi="Times New Roman" w:cs="Times New Roman"/>
          <w:sz w:val="20"/>
          <w:szCs w:val="20"/>
        </w:rPr>
        <w:t xml:space="preserve"> solutions canvassed in Lord Bingham’s opinion in </w:t>
      </w:r>
      <w:r w:rsidRPr="00FB6A3D">
        <w:rPr>
          <w:rFonts w:ascii="Times New Roman" w:hAnsi="Times New Roman" w:cs="Times New Roman"/>
          <w:i/>
          <w:sz w:val="20"/>
          <w:szCs w:val="20"/>
        </w:rPr>
        <w:t xml:space="preserve">Fairchild </w:t>
      </w:r>
      <w:r w:rsidRPr="00FB6A3D">
        <w:rPr>
          <w:rFonts w:ascii="Times New Roman" w:hAnsi="Times New Roman" w:cs="Times New Roman"/>
          <w:sz w:val="20"/>
          <w:szCs w:val="20"/>
        </w:rPr>
        <w:t>itself</w:t>
      </w:r>
      <w:r>
        <w:rPr>
          <w:rFonts w:ascii="Times New Roman" w:hAnsi="Times New Roman" w:cs="Times New Roman"/>
          <w:sz w:val="20"/>
          <w:szCs w:val="20"/>
        </w:rPr>
        <w:t xml:space="preserve"> (n1) [23]-[32], concluding that if ‘</w:t>
      </w:r>
      <w:r w:rsidRPr="00CC31CA">
        <w:rPr>
          <w:rFonts w:ascii="Times New Roman" w:hAnsi="Times New Roman" w:cs="Times New Roman"/>
          <w:sz w:val="20"/>
          <w:szCs w:val="20"/>
        </w:rPr>
        <w:t>a decision is given in this country which offends one's basic sense of justice, and if consideration of international sources suggests that a different and more acceptable decision would be given in most other jurisdictions, whatever their legal tradition, this must prompt anxious review of the decision in question</w:t>
      </w:r>
      <w:r>
        <w:rPr>
          <w:rFonts w:ascii="Times New Roman" w:hAnsi="Times New Roman" w:cs="Times New Roman"/>
          <w:sz w:val="20"/>
          <w:szCs w:val="20"/>
        </w:rPr>
        <w:t>’</w:t>
      </w:r>
      <w:r w:rsidRPr="00CC31CA">
        <w:rPr>
          <w:rFonts w:ascii="Times New Roman" w:hAnsi="Times New Roman" w:cs="Times New Roman"/>
          <w:sz w:val="20"/>
          <w:szCs w:val="20"/>
        </w:rPr>
        <w:t>.</w:t>
      </w:r>
    </w:p>
  </w:footnote>
  <w:footnote w:id="11">
    <w:p w14:paraId="58C1F173" w14:textId="214B941A" w:rsidR="00953880" w:rsidRPr="00067835" w:rsidRDefault="00953880" w:rsidP="00DD7A26">
      <w:pPr>
        <w:pStyle w:val="FootnoteText"/>
        <w:jc w:val="both"/>
        <w:rPr>
          <w:rFonts w:ascii="Times New Roman" w:hAnsi="Times New Roman" w:cs="Times New Roman"/>
          <w:sz w:val="20"/>
          <w:szCs w:val="20"/>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This, ultimately, seems to have been the view of Lord Hoffmann: had the House of Lords rejected liability in </w:t>
      </w:r>
      <w:r w:rsidRPr="00710184">
        <w:rPr>
          <w:rFonts w:ascii="Times New Roman" w:hAnsi="Times New Roman" w:cs="Times New Roman"/>
          <w:i/>
          <w:sz w:val="20"/>
          <w:szCs w:val="20"/>
        </w:rPr>
        <w:t>Fairchild</w:t>
      </w:r>
      <w:r w:rsidRPr="00710184">
        <w:rPr>
          <w:rFonts w:ascii="Times New Roman" w:hAnsi="Times New Roman" w:cs="Times New Roman"/>
          <w:sz w:val="20"/>
          <w:szCs w:val="20"/>
        </w:rPr>
        <w:t>, Parliament would have created a bespoke solution for mesothelioma claims, so that the experiment was unnecessary</w:t>
      </w:r>
      <w:r>
        <w:rPr>
          <w:rFonts w:ascii="Times New Roman" w:hAnsi="Times New Roman" w:cs="Times New Roman"/>
          <w:sz w:val="20"/>
          <w:szCs w:val="20"/>
        </w:rPr>
        <w:t>: L Hoffmann, ‘</w:t>
      </w:r>
      <w:r>
        <w:rPr>
          <w:rFonts w:ascii="Times New Roman" w:hAnsi="Times New Roman" w:cs="Times New Roman"/>
          <w:i/>
          <w:sz w:val="20"/>
          <w:szCs w:val="20"/>
        </w:rPr>
        <w:t xml:space="preserve">Fairchild </w:t>
      </w:r>
      <w:r>
        <w:rPr>
          <w:rFonts w:ascii="Times New Roman" w:hAnsi="Times New Roman" w:cs="Times New Roman"/>
          <w:sz w:val="20"/>
          <w:szCs w:val="20"/>
        </w:rPr>
        <w:t xml:space="preserve">in Retrospect’ (2012) 39 </w:t>
      </w:r>
      <w:r>
        <w:rPr>
          <w:rFonts w:ascii="Times New Roman" w:hAnsi="Times New Roman" w:cs="Times New Roman"/>
          <w:i/>
          <w:sz w:val="20"/>
          <w:szCs w:val="20"/>
        </w:rPr>
        <w:t xml:space="preserve">The Advocates Quarterly </w:t>
      </w:r>
      <w:r>
        <w:rPr>
          <w:rFonts w:ascii="Times New Roman" w:hAnsi="Times New Roman" w:cs="Times New Roman"/>
          <w:sz w:val="20"/>
          <w:szCs w:val="20"/>
        </w:rPr>
        <w:t>257-71</w:t>
      </w:r>
      <w:r w:rsidRPr="00710184">
        <w:rPr>
          <w:rFonts w:ascii="Times New Roman" w:hAnsi="Times New Roman" w:cs="Times New Roman"/>
          <w:sz w:val="20"/>
          <w:szCs w:val="20"/>
        </w:rPr>
        <w:t>.</w:t>
      </w:r>
      <w:r>
        <w:rPr>
          <w:rFonts w:ascii="Times New Roman" w:hAnsi="Times New Roman" w:cs="Times New Roman"/>
          <w:sz w:val="20"/>
          <w:szCs w:val="20"/>
        </w:rPr>
        <w:t xml:space="preserve"> Lord Hoffmann, however, did not adopt the view that </w:t>
      </w:r>
      <w:r>
        <w:rPr>
          <w:rFonts w:ascii="Times New Roman" w:hAnsi="Times New Roman" w:cs="Times New Roman"/>
          <w:i/>
          <w:sz w:val="20"/>
          <w:szCs w:val="20"/>
        </w:rPr>
        <w:t xml:space="preserve">Fairchild </w:t>
      </w:r>
      <w:r>
        <w:rPr>
          <w:rFonts w:ascii="Times New Roman" w:hAnsi="Times New Roman" w:cs="Times New Roman"/>
          <w:sz w:val="20"/>
          <w:szCs w:val="20"/>
        </w:rPr>
        <w:t>went wrong in meddling with orthodox causation doctrine, since his view of causation is that the law can properly adapt the notion to its own ends.</w:t>
      </w:r>
    </w:p>
  </w:footnote>
  <w:footnote w:id="12">
    <w:p w14:paraId="2358AC22" w14:textId="77777777" w:rsidR="00953880" w:rsidRPr="00FB6A3D" w:rsidRDefault="00953880" w:rsidP="00DD7A26">
      <w:pPr>
        <w:widowControl w:val="0"/>
        <w:autoSpaceDE w:val="0"/>
        <w:autoSpaceDN w:val="0"/>
        <w:adjustRightInd w:val="0"/>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710184">
        <w:rPr>
          <w:rFonts w:ascii="Times New Roman" w:hAnsi="Times New Roman" w:cs="Times New Roman"/>
          <w:sz w:val="20"/>
          <w:szCs w:val="20"/>
          <w:lang w:val="en-US"/>
        </w:rPr>
        <w:t xml:space="preserve">[2006] EWCA </w:t>
      </w:r>
      <w:proofErr w:type="spellStart"/>
      <w:r w:rsidRPr="00710184">
        <w:rPr>
          <w:rFonts w:ascii="Times New Roman" w:hAnsi="Times New Roman" w:cs="Times New Roman"/>
          <w:sz w:val="20"/>
          <w:szCs w:val="20"/>
          <w:lang w:val="en-US"/>
        </w:rPr>
        <w:t>Civ</w:t>
      </w:r>
      <w:proofErr w:type="spellEnd"/>
      <w:r w:rsidRPr="00710184">
        <w:rPr>
          <w:rFonts w:ascii="Times New Roman" w:hAnsi="Times New Roman" w:cs="Times New Roman"/>
          <w:sz w:val="20"/>
          <w:szCs w:val="20"/>
          <w:lang w:val="en-US"/>
        </w:rPr>
        <w:t xml:space="preserve"> 50; [2006] 1 WLR 1492.</w:t>
      </w:r>
      <w:proofErr w:type="gramEnd"/>
    </w:p>
  </w:footnote>
  <w:footnote w:id="13">
    <w:p w14:paraId="1BD068A6" w14:textId="0DCDD50D" w:rsidR="00953880" w:rsidRPr="00710184" w:rsidRDefault="00953880" w:rsidP="00DD7A26">
      <w:pPr>
        <w:pStyle w:val="FootnoteText"/>
        <w:jc w:val="both"/>
        <w:rPr>
          <w:rFonts w:ascii="Times New Roman" w:hAnsi="Times New Roman" w:cs="Times New Roman"/>
          <w:sz w:val="20"/>
          <w:szCs w:val="20"/>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It may be presented, of course, as a new route to establishing causation, in a limited range of circumstances; but the proportional nature of </w:t>
      </w:r>
      <w:r w:rsidRPr="00710184">
        <w:rPr>
          <w:rFonts w:ascii="Times New Roman" w:hAnsi="Times New Roman" w:cs="Times New Roman"/>
          <w:i/>
          <w:sz w:val="20"/>
          <w:szCs w:val="20"/>
        </w:rPr>
        <w:t xml:space="preserve">Fairchild </w:t>
      </w:r>
      <w:r w:rsidRPr="00710184">
        <w:rPr>
          <w:rFonts w:ascii="Times New Roman" w:hAnsi="Times New Roman" w:cs="Times New Roman"/>
          <w:sz w:val="20"/>
          <w:szCs w:val="20"/>
        </w:rPr>
        <w:t xml:space="preserve">liability after </w:t>
      </w:r>
      <w:r w:rsidRPr="00710184">
        <w:rPr>
          <w:rFonts w:ascii="Times New Roman" w:hAnsi="Times New Roman" w:cs="Times New Roman"/>
          <w:i/>
          <w:sz w:val="20"/>
          <w:szCs w:val="20"/>
        </w:rPr>
        <w:t>Barker</w:t>
      </w:r>
      <w:r>
        <w:rPr>
          <w:rFonts w:ascii="Times New Roman" w:hAnsi="Times New Roman" w:cs="Times New Roman"/>
          <w:i/>
          <w:sz w:val="20"/>
          <w:szCs w:val="20"/>
        </w:rPr>
        <w:t xml:space="preserve"> </w:t>
      </w:r>
      <w:r w:rsidRPr="00D07799">
        <w:rPr>
          <w:rFonts w:ascii="Times New Roman" w:hAnsi="Times New Roman" w:cs="Times New Roman"/>
          <w:sz w:val="20"/>
          <w:szCs w:val="20"/>
        </w:rPr>
        <w:t>(n 6)</w:t>
      </w:r>
      <w:r w:rsidRPr="00710184">
        <w:rPr>
          <w:rFonts w:ascii="Times New Roman" w:hAnsi="Times New Roman" w:cs="Times New Roman"/>
          <w:i/>
          <w:sz w:val="20"/>
          <w:szCs w:val="20"/>
        </w:rPr>
        <w:t xml:space="preserve"> </w:t>
      </w:r>
      <w:r w:rsidRPr="00710184">
        <w:rPr>
          <w:rFonts w:ascii="Times New Roman" w:hAnsi="Times New Roman" w:cs="Times New Roman"/>
          <w:sz w:val="20"/>
          <w:szCs w:val="20"/>
        </w:rPr>
        <w:t xml:space="preserve">has made this hard to rationalise with coherence, particularly given that the route of arguing that what is caused is </w:t>
      </w:r>
      <w:r w:rsidRPr="00710184">
        <w:rPr>
          <w:rFonts w:ascii="Times New Roman" w:hAnsi="Times New Roman" w:cs="Times New Roman"/>
          <w:i/>
          <w:sz w:val="20"/>
          <w:szCs w:val="20"/>
        </w:rPr>
        <w:t xml:space="preserve">risk </w:t>
      </w:r>
      <w:r w:rsidRPr="00710184">
        <w:rPr>
          <w:rFonts w:ascii="Times New Roman" w:hAnsi="Times New Roman" w:cs="Times New Roman"/>
          <w:sz w:val="20"/>
          <w:szCs w:val="20"/>
        </w:rPr>
        <w:t xml:space="preserve">rather than injury – apparently espoused by Lord Hoffmann in </w:t>
      </w:r>
      <w:r w:rsidRPr="00710184">
        <w:rPr>
          <w:rFonts w:ascii="Times New Roman" w:hAnsi="Times New Roman" w:cs="Times New Roman"/>
          <w:i/>
          <w:sz w:val="20"/>
          <w:szCs w:val="20"/>
        </w:rPr>
        <w:t xml:space="preserve">Barker </w:t>
      </w:r>
      <w:r w:rsidRPr="00710184">
        <w:rPr>
          <w:rFonts w:ascii="Times New Roman" w:hAnsi="Times New Roman" w:cs="Times New Roman"/>
          <w:sz w:val="20"/>
          <w:szCs w:val="20"/>
        </w:rPr>
        <w:t xml:space="preserve">– has been closed off by the Supreme Court’s decision in </w:t>
      </w:r>
      <w:r w:rsidRPr="00710184">
        <w:rPr>
          <w:rFonts w:ascii="Times New Roman" w:hAnsi="Times New Roman" w:cs="Times New Roman"/>
          <w:i/>
          <w:sz w:val="20"/>
          <w:szCs w:val="20"/>
        </w:rPr>
        <w:t>Durham v BAI (Trigger Litigation)</w:t>
      </w:r>
      <w:r>
        <w:rPr>
          <w:rFonts w:ascii="Times New Roman" w:hAnsi="Times New Roman" w:cs="Times New Roman"/>
          <w:i/>
          <w:sz w:val="20"/>
          <w:szCs w:val="20"/>
        </w:rPr>
        <w:t xml:space="preserve"> </w:t>
      </w:r>
      <w:r>
        <w:rPr>
          <w:rFonts w:ascii="Times New Roman" w:hAnsi="Times New Roman" w:cs="Times New Roman"/>
          <w:sz w:val="20"/>
          <w:szCs w:val="20"/>
        </w:rPr>
        <w:t>[2012] UKSC 14; [2012] 1 WLR 867</w:t>
      </w:r>
      <w:r w:rsidRPr="00710184">
        <w:rPr>
          <w:rFonts w:ascii="Times New Roman" w:hAnsi="Times New Roman" w:cs="Times New Roman"/>
          <w:sz w:val="20"/>
          <w:szCs w:val="20"/>
        </w:rPr>
        <w:t xml:space="preserve">, in which the issue was crucial. Lord Dyson’s comments in </w:t>
      </w:r>
      <w:proofErr w:type="spellStart"/>
      <w:r w:rsidRPr="00710184">
        <w:rPr>
          <w:rFonts w:ascii="Times New Roman" w:hAnsi="Times New Roman" w:cs="Times New Roman"/>
          <w:i/>
          <w:sz w:val="20"/>
          <w:szCs w:val="20"/>
        </w:rPr>
        <w:t>Heneghan</w:t>
      </w:r>
      <w:proofErr w:type="spellEnd"/>
      <w:r w:rsidRPr="00710184">
        <w:rPr>
          <w:rFonts w:ascii="Times New Roman" w:hAnsi="Times New Roman" w:cs="Times New Roman"/>
          <w:i/>
          <w:sz w:val="20"/>
          <w:szCs w:val="20"/>
        </w:rPr>
        <w:t xml:space="preserve"> v Manchester Dry Docks </w:t>
      </w:r>
      <w:r w:rsidRPr="00FB6A3D">
        <w:rPr>
          <w:rFonts w:ascii="Times New Roman" w:hAnsi="Times New Roman" w:cs="Times New Roman"/>
          <w:sz w:val="20"/>
          <w:szCs w:val="20"/>
        </w:rPr>
        <w:t xml:space="preserve">[2016] EWCA </w:t>
      </w:r>
      <w:proofErr w:type="spellStart"/>
      <w:r w:rsidRPr="00FB6A3D">
        <w:rPr>
          <w:rFonts w:ascii="Times New Roman" w:hAnsi="Times New Roman" w:cs="Times New Roman"/>
          <w:sz w:val="20"/>
          <w:szCs w:val="20"/>
        </w:rPr>
        <w:t>Civ</w:t>
      </w:r>
      <w:proofErr w:type="spellEnd"/>
      <w:r w:rsidRPr="00FB6A3D">
        <w:rPr>
          <w:rFonts w:ascii="Times New Roman" w:hAnsi="Times New Roman" w:cs="Times New Roman"/>
          <w:sz w:val="20"/>
          <w:szCs w:val="20"/>
        </w:rPr>
        <w:t xml:space="preserve"> 86</w:t>
      </w:r>
      <w:r w:rsidRPr="00710184">
        <w:rPr>
          <w:rFonts w:ascii="Times New Roman" w:hAnsi="Times New Roman" w:cs="Times New Roman"/>
          <w:sz w:val="20"/>
          <w:szCs w:val="20"/>
        </w:rPr>
        <w:t>, [2016] 1 WLR 2036</w:t>
      </w:r>
      <w:r>
        <w:rPr>
          <w:rFonts w:ascii="Times New Roman" w:hAnsi="Times New Roman" w:cs="Times New Roman"/>
          <w:sz w:val="20"/>
          <w:szCs w:val="20"/>
        </w:rPr>
        <w:t>,</w:t>
      </w:r>
      <w:r w:rsidRPr="00710184">
        <w:rPr>
          <w:rFonts w:ascii="Times New Roman" w:hAnsi="Times New Roman" w:cs="Times New Roman"/>
          <w:sz w:val="20"/>
          <w:szCs w:val="20"/>
        </w:rPr>
        <w:t xml:space="preserve"> citing Lord Hoffmann’s approach in order to justify proportional rather than full liability on the part of defendants,</w:t>
      </w:r>
      <w:r w:rsidRPr="00710184">
        <w:rPr>
          <w:rFonts w:ascii="Times New Roman" w:hAnsi="Times New Roman" w:cs="Times New Roman"/>
          <w:i/>
          <w:sz w:val="20"/>
          <w:szCs w:val="20"/>
        </w:rPr>
        <w:t xml:space="preserve"> </w:t>
      </w:r>
      <w:r w:rsidRPr="00710184">
        <w:rPr>
          <w:rFonts w:ascii="Times New Roman" w:hAnsi="Times New Roman" w:cs="Times New Roman"/>
          <w:sz w:val="20"/>
          <w:szCs w:val="20"/>
        </w:rPr>
        <w:t>are to this extent problematic.</w:t>
      </w:r>
    </w:p>
  </w:footnote>
  <w:footnote w:id="14">
    <w:p w14:paraId="6EB356FF" w14:textId="125635E2" w:rsidR="00953880" w:rsidRPr="00710184" w:rsidRDefault="00953880" w:rsidP="00DD7A26">
      <w:pPr>
        <w:pStyle w:val="FootnoteText"/>
        <w:jc w:val="both"/>
        <w:rPr>
          <w:rFonts w:ascii="Times New Roman" w:hAnsi="Times New Roman" w:cs="Times New Roman"/>
          <w:sz w:val="20"/>
          <w:szCs w:val="20"/>
          <w:lang w:val="en-US"/>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t>
      </w:r>
      <w:r w:rsidRPr="00710184">
        <w:rPr>
          <w:rFonts w:ascii="Times New Roman" w:hAnsi="Times New Roman" w:cs="Times New Roman"/>
          <w:sz w:val="20"/>
          <w:szCs w:val="20"/>
          <w:lang w:val="en-US"/>
        </w:rPr>
        <w:t xml:space="preserve">The market decided to resolve the question whether </w:t>
      </w:r>
      <w:r w:rsidRPr="00710184">
        <w:rPr>
          <w:rFonts w:ascii="Times New Roman" w:hAnsi="Times New Roman" w:cs="Times New Roman"/>
          <w:i/>
          <w:sz w:val="20"/>
          <w:szCs w:val="20"/>
          <w:lang w:val="en-US"/>
        </w:rPr>
        <w:t xml:space="preserve">IEG </w:t>
      </w:r>
      <w:r w:rsidRPr="00AF74A6">
        <w:rPr>
          <w:rFonts w:ascii="Times New Roman" w:hAnsi="Times New Roman" w:cs="Times New Roman"/>
          <w:sz w:val="20"/>
          <w:szCs w:val="20"/>
          <w:lang w:val="en-US"/>
        </w:rPr>
        <w:t>(n 8)</w:t>
      </w:r>
      <w:r>
        <w:rPr>
          <w:rFonts w:ascii="Times New Roman" w:hAnsi="Times New Roman" w:cs="Times New Roman"/>
          <w:i/>
          <w:sz w:val="20"/>
          <w:szCs w:val="20"/>
          <w:lang w:val="en-US"/>
        </w:rPr>
        <w:t xml:space="preserve"> </w:t>
      </w:r>
      <w:r w:rsidRPr="00710184">
        <w:rPr>
          <w:rFonts w:ascii="Times New Roman" w:hAnsi="Times New Roman" w:cs="Times New Roman"/>
          <w:sz w:val="20"/>
          <w:szCs w:val="20"/>
          <w:lang w:val="en-US"/>
        </w:rPr>
        <w:t xml:space="preserve">is to be applied at the reinsurance level, </w:t>
      </w:r>
      <w:proofErr w:type="spellStart"/>
      <w:r w:rsidRPr="00710184">
        <w:rPr>
          <w:rFonts w:ascii="Times New Roman" w:hAnsi="Times New Roman" w:cs="Times New Roman"/>
          <w:sz w:val="20"/>
          <w:szCs w:val="20"/>
          <w:lang w:val="en-US"/>
        </w:rPr>
        <w:t>ie</w:t>
      </w:r>
      <w:proofErr w:type="spellEnd"/>
      <w:r w:rsidRPr="00710184">
        <w:rPr>
          <w:rFonts w:ascii="Times New Roman" w:hAnsi="Times New Roman" w:cs="Times New Roman"/>
          <w:sz w:val="20"/>
          <w:szCs w:val="20"/>
          <w:lang w:val="en-US"/>
        </w:rPr>
        <w:t xml:space="preserve"> whether an insurer liable under </w:t>
      </w:r>
      <w:r w:rsidRPr="00710184">
        <w:rPr>
          <w:rFonts w:ascii="Times New Roman" w:hAnsi="Times New Roman" w:cs="Times New Roman"/>
          <w:i/>
          <w:sz w:val="20"/>
          <w:szCs w:val="20"/>
          <w:lang w:val="en-US"/>
        </w:rPr>
        <w:t xml:space="preserve">IEG </w:t>
      </w:r>
      <w:r w:rsidRPr="00710184">
        <w:rPr>
          <w:rFonts w:ascii="Times New Roman" w:hAnsi="Times New Roman" w:cs="Times New Roman"/>
          <w:sz w:val="20"/>
          <w:szCs w:val="20"/>
          <w:lang w:val="en-US"/>
        </w:rPr>
        <w:t xml:space="preserve">principles is entitled to </w:t>
      </w:r>
      <w:r>
        <w:rPr>
          <w:rFonts w:ascii="Times New Roman" w:hAnsi="Times New Roman" w:cs="Times New Roman"/>
          <w:sz w:val="20"/>
          <w:szCs w:val="20"/>
          <w:lang w:val="en-US"/>
        </w:rPr>
        <w:t>‘</w:t>
      </w:r>
      <w:r w:rsidRPr="00710184">
        <w:rPr>
          <w:rFonts w:ascii="Times New Roman" w:hAnsi="Times New Roman" w:cs="Times New Roman"/>
          <w:sz w:val="20"/>
          <w:szCs w:val="20"/>
          <w:lang w:val="en-US"/>
        </w:rPr>
        <w:t>spike</w:t>
      </w:r>
      <w:r>
        <w:rPr>
          <w:rFonts w:ascii="Times New Roman" w:hAnsi="Times New Roman" w:cs="Times New Roman"/>
          <w:sz w:val="20"/>
          <w:szCs w:val="20"/>
          <w:lang w:val="en-US"/>
        </w:rPr>
        <w:t>’</w:t>
      </w:r>
      <w:r w:rsidRPr="00710184">
        <w:rPr>
          <w:rFonts w:ascii="Times New Roman" w:hAnsi="Times New Roman" w:cs="Times New Roman"/>
          <w:sz w:val="20"/>
          <w:szCs w:val="20"/>
          <w:lang w:val="en-US"/>
        </w:rPr>
        <w:t xml:space="preserve"> claims into the most </w:t>
      </w:r>
      <w:proofErr w:type="spellStart"/>
      <w:r w:rsidRPr="00710184">
        <w:rPr>
          <w:rFonts w:ascii="Times New Roman" w:hAnsi="Times New Roman" w:cs="Times New Roman"/>
          <w:sz w:val="20"/>
          <w:szCs w:val="20"/>
          <w:lang w:val="en-US"/>
        </w:rPr>
        <w:t>favourable</w:t>
      </w:r>
      <w:proofErr w:type="spellEnd"/>
      <w:r w:rsidRPr="00710184">
        <w:rPr>
          <w:rFonts w:ascii="Times New Roman" w:hAnsi="Times New Roman" w:cs="Times New Roman"/>
          <w:sz w:val="20"/>
          <w:szCs w:val="20"/>
          <w:lang w:val="en-US"/>
        </w:rPr>
        <w:t xml:space="preserve"> year of reinsurance cover, in arbitration under the cover of confidentiality. </w:t>
      </w:r>
      <w:proofErr w:type="spellStart"/>
      <w:r w:rsidRPr="00710184">
        <w:rPr>
          <w:rFonts w:ascii="Times New Roman" w:hAnsi="Times New Roman" w:cs="Times New Roman"/>
          <w:sz w:val="20"/>
          <w:szCs w:val="20"/>
          <w:lang w:val="en-US"/>
        </w:rPr>
        <w:t>Flaux</w:t>
      </w:r>
      <w:proofErr w:type="spellEnd"/>
      <w:r w:rsidRPr="00710184">
        <w:rPr>
          <w:rFonts w:ascii="Times New Roman" w:hAnsi="Times New Roman" w:cs="Times New Roman"/>
          <w:sz w:val="20"/>
          <w:szCs w:val="20"/>
          <w:lang w:val="en-US"/>
        </w:rPr>
        <w:t xml:space="preserve"> LJ was appointed as judge-arbitrator for the purpose. His confidential award was issued in April 2017 but, by virtue of a successful application to the Court of Appeal for permission to appeal on points of law under section 69 of the Arbitration Act 1996, in</w:t>
      </w:r>
      <w:r w:rsidRPr="00710184">
        <w:rPr>
          <w:rFonts w:ascii="Times New Roman" w:hAnsi="Times New Roman" w:cs="Times New Roman"/>
          <w:i/>
          <w:sz w:val="20"/>
          <w:szCs w:val="20"/>
          <w:lang w:val="en-US"/>
        </w:rPr>
        <w:t xml:space="preserve"> </w:t>
      </w:r>
      <w:proofErr w:type="spellStart"/>
      <w:r w:rsidRPr="00710184">
        <w:rPr>
          <w:rFonts w:ascii="Times New Roman" w:eastAsia="Times New Roman" w:hAnsi="Times New Roman" w:cs="Times New Roman"/>
          <w:i/>
          <w:sz w:val="20"/>
          <w:szCs w:val="20"/>
        </w:rPr>
        <w:t>Equitas</w:t>
      </w:r>
      <w:proofErr w:type="spellEnd"/>
      <w:r w:rsidRPr="00710184">
        <w:rPr>
          <w:rFonts w:ascii="Times New Roman" w:eastAsia="Times New Roman" w:hAnsi="Times New Roman" w:cs="Times New Roman"/>
          <w:i/>
          <w:sz w:val="20"/>
          <w:szCs w:val="20"/>
        </w:rPr>
        <w:t xml:space="preserve"> Insurance Ltd v Municipal Mutual Insurance Ltd</w:t>
      </w:r>
      <w:r w:rsidRPr="00710184">
        <w:rPr>
          <w:rFonts w:ascii="Times New Roman" w:eastAsia="Times New Roman" w:hAnsi="Times New Roman" w:cs="Times New Roman"/>
          <w:sz w:val="20"/>
          <w:szCs w:val="20"/>
        </w:rPr>
        <w:t xml:space="preserve"> [2018] EWCA </w:t>
      </w:r>
      <w:proofErr w:type="spellStart"/>
      <w:r w:rsidRPr="00710184">
        <w:rPr>
          <w:rFonts w:ascii="Times New Roman" w:eastAsia="Times New Roman" w:hAnsi="Times New Roman" w:cs="Times New Roman"/>
          <w:sz w:val="20"/>
          <w:szCs w:val="20"/>
        </w:rPr>
        <w:t>Civ</w:t>
      </w:r>
      <w:proofErr w:type="spellEnd"/>
      <w:r w:rsidRPr="00710184">
        <w:rPr>
          <w:rFonts w:ascii="Times New Roman" w:eastAsia="Times New Roman" w:hAnsi="Times New Roman" w:cs="Times New Roman"/>
          <w:sz w:val="20"/>
          <w:szCs w:val="20"/>
        </w:rPr>
        <w:t xml:space="preserve"> 991, </w:t>
      </w:r>
      <w:r w:rsidRPr="00710184">
        <w:rPr>
          <w:rFonts w:ascii="Times New Roman" w:hAnsi="Times New Roman" w:cs="Times New Roman"/>
          <w:sz w:val="20"/>
          <w:szCs w:val="20"/>
          <w:lang w:val="en-US"/>
        </w:rPr>
        <w:t>his conclusions but not yet his reasoning</w:t>
      </w:r>
      <w:r>
        <w:rPr>
          <w:rFonts w:ascii="Times New Roman" w:hAnsi="Times New Roman" w:cs="Times New Roman"/>
          <w:sz w:val="20"/>
          <w:szCs w:val="20"/>
          <w:lang w:val="en-US"/>
        </w:rPr>
        <w:t xml:space="preserve"> have become public. </w:t>
      </w:r>
      <w:proofErr w:type="spellStart"/>
      <w:r w:rsidRPr="00710184">
        <w:rPr>
          <w:rFonts w:ascii="Times New Roman" w:hAnsi="Times New Roman" w:cs="Times New Roman"/>
          <w:sz w:val="20"/>
          <w:szCs w:val="20"/>
          <w:lang w:val="en-US"/>
        </w:rPr>
        <w:t>Flaux</w:t>
      </w:r>
      <w:proofErr w:type="spellEnd"/>
      <w:r w:rsidRPr="00710184">
        <w:rPr>
          <w:rFonts w:ascii="Times New Roman" w:hAnsi="Times New Roman" w:cs="Times New Roman"/>
          <w:sz w:val="20"/>
          <w:szCs w:val="20"/>
          <w:lang w:val="en-US"/>
        </w:rPr>
        <w:t xml:space="preserve"> LJ concluded that </w:t>
      </w:r>
      <w:r w:rsidRPr="00710184">
        <w:rPr>
          <w:rFonts w:ascii="Times New Roman" w:hAnsi="Times New Roman" w:cs="Times New Roman"/>
          <w:i/>
          <w:sz w:val="20"/>
          <w:szCs w:val="20"/>
          <w:lang w:val="en-US"/>
        </w:rPr>
        <w:t xml:space="preserve">IEG </w:t>
      </w:r>
      <w:r w:rsidRPr="00710184">
        <w:rPr>
          <w:rFonts w:ascii="Times New Roman" w:hAnsi="Times New Roman" w:cs="Times New Roman"/>
          <w:sz w:val="20"/>
          <w:szCs w:val="20"/>
          <w:lang w:val="en-US"/>
        </w:rPr>
        <w:t xml:space="preserve">should apply, that spiking was permissible and that an insurer with an entitlement to spike was not under any contractual or general law duty of utmost good faith to spread claims proportionately. The Court of Appeal, granting permission to appeal, ruled that these conclusions satisfied the appeal threshold test of being </w:t>
      </w:r>
      <w:r>
        <w:rPr>
          <w:rFonts w:ascii="Times New Roman" w:hAnsi="Times New Roman" w:cs="Times New Roman"/>
          <w:sz w:val="20"/>
          <w:szCs w:val="20"/>
          <w:lang w:val="en-US"/>
        </w:rPr>
        <w:t>‘</w:t>
      </w:r>
      <w:r w:rsidRPr="00710184">
        <w:rPr>
          <w:rFonts w:ascii="Times New Roman" w:hAnsi="Times New Roman" w:cs="Times New Roman"/>
          <w:sz w:val="20"/>
          <w:szCs w:val="20"/>
          <w:lang w:val="en-US"/>
        </w:rPr>
        <w:t>open to serious doubt</w:t>
      </w:r>
      <w:r>
        <w:rPr>
          <w:rFonts w:ascii="Times New Roman" w:hAnsi="Times New Roman" w:cs="Times New Roman"/>
          <w:sz w:val="20"/>
          <w:szCs w:val="20"/>
          <w:lang w:val="en-US"/>
        </w:rPr>
        <w:t>’</w:t>
      </w:r>
      <w:r w:rsidRPr="00710184">
        <w:rPr>
          <w:rFonts w:ascii="Times New Roman" w:hAnsi="Times New Roman" w:cs="Times New Roman"/>
          <w:sz w:val="20"/>
          <w:szCs w:val="20"/>
          <w:lang w:val="en-US"/>
        </w:rPr>
        <w:t xml:space="preserve">.  </w:t>
      </w:r>
    </w:p>
  </w:footnote>
  <w:footnote w:id="15">
    <w:p w14:paraId="5B4BA801" w14:textId="74622713" w:rsidR="00953880" w:rsidRPr="00710184" w:rsidRDefault="00953880" w:rsidP="00DD7A26">
      <w:pPr>
        <w:pStyle w:val="FootnoteText"/>
        <w:jc w:val="both"/>
        <w:rPr>
          <w:rFonts w:ascii="Times New Roman" w:hAnsi="Times New Roman" w:cs="Times New Roman"/>
          <w:sz w:val="20"/>
          <w:szCs w:val="20"/>
          <w:lang w:val="en-US"/>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t>
      </w:r>
      <w:r w:rsidRPr="00710184">
        <w:rPr>
          <w:rFonts w:ascii="Times New Roman" w:hAnsi="Times New Roman" w:cs="Times New Roman"/>
          <w:sz w:val="20"/>
          <w:szCs w:val="20"/>
          <w:lang w:val="en-US"/>
        </w:rPr>
        <w:t xml:space="preserve">Note also the decision in </w:t>
      </w:r>
      <w:r w:rsidRPr="00710184">
        <w:rPr>
          <w:rFonts w:ascii="Times New Roman" w:hAnsi="Times New Roman" w:cs="Times New Roman"/>
          <w:bCs/>
          <w:i/>
          <w:spacing w:val="-3"/>
          <w:sz w:val="20"/>
          <w:szCs w:val="20"/>
        </w:rPr>
        <w:t xml:space="preserve">The Cultural Foundation v Beazley </w:t>
      </w:r>
      <w:proofErr w:type="spellStart"/>
      <w:r w:rsidRPr="00710184">
        <w:rPr>
          <w:rFonts w:ascii="Times New Roman" w:hAnsi="Times New Roman" w:cs="Times New Roman"/>
          <w:bCs/>
          <w:i/>
          <w:spacing w:val="-3"/>
          <w:sz w:val="20"/>
          <w:szCs w:val="20"/>
        </w:rPr>
        <w:t>Furlonge</w:t>
      </w:r>
      <w:proofErr w:type="spellEnd"/>
      <w:r w:rsidRPr="00710184">
        <w:rPr>
          <w:rFonts w:ascii="Times New Roman" w:hAnsi="Times New Roman" w:cs="Times New Roman"/>
          <w:bCs/>
          <w:i/>
          <w:spacing w:val="-3"/>
          <w:sz w:val="20"/>
          <w:szCs w:val="20"/>
        </w:rPr>
        <w:t xml:space="preserve"> Ltd </w:t>
      </w:r>
      <w:r w:rsidRPr="00710184">
        <w:rPr>
          <w:rFonts w:ascii="Times New Roman" w:hAnsi="Times New Roman" w:cs="Times New Roman"/>
          <w:bCs/>
          <w:spacing w:val="-3"/>
          <w:sz w:val="20"/>
          <w:szCs w:val="20"/>
        </w:rPr>
        <w:t>[2018] EWHC 1083 (</w:t>
      </w:r>
      <w:proofErr w:type="spellStart"/>
      <w:r w:rsidRPr="00710184">
        <w:rPr>
          <w:rFonts w:ascii="Times New Roman" w:hAnsi="Times New Roman" w:cs="Times New Roman"/>
          <w:bCs/>
          <w:spacing w:val="-3"/>
          <w:sz w:val="20"/>
          <w:szCs w:val="20"/>
        </w:rPr>
        <w:t>Comm</w:t>
      </w:r>
      <w:proofErr w:type="spellEnd"/>
      <w:r w:rsidRPr="00710184">
        <w:rPr>
          <w:rFonts w:ascii="Times New Roman" w:hAnsi="Times New Roman" w:cs="Times New Roman"/>
          <w:bCs/>
          <w:spacing w:val="-3"/>
          <w:sz w:val="20"/>
          <w:szCs w:val="20"/>
        </w:rPr>
        <w:t xml:space="preserve">), where the court considered the possibility that a loss fell within each of two consecutive years of insurance cover and held it to be arguable that the assured would, based on </w:t>
      </w:r>
      <w:r w:rsidRPr="00FB6A3D">
        <w:rPr>
          <w:rFonts w:ascii="Times New Roman" w:hAnsi="Times New Roman" w:cs="Times New Roman"/>
          <w:bCs/>
          <w:i/>
          <w:spacing w:val="-3"/>
          <w:sz w:val="20"/>
          <w:szCs w:val="20"/>
        </w:rPr>
        <w:t>IEG</w:t>
      </w:r>
      <w:r>
        <w:rPr>
          <w:rFonts w:ascii="Times New Roman" w:hAnsi="Times New Roman" w:cs="Times New Roman"/>
          <w:bCs/>
          <w:spacing w:val="-3"/>
          <w:sz w:val="20"/>
          <w:szCs w:val="20"/>
        </w:rPr>
        <w:t xml:space="preserve"> (n 8),</w:t>
      </w:r>
      <w:r w:rsidRPr="00FB6A3D">
        <w:rPr>
          <w:rFonts w:ascii="Times New Roman" w:hAnsi="Times New Roman" w:cs="Times New Roman"/>
          <w:bCs/>
          <w:spacing w:val="-3"/>
          <w:sz w:val="20"/>
          <w:szCs w:val="20"/>
        </w:rPr>
        <w:t xml:space="preserve"> have the right to choose the appropriate year of cover. The point arose in the context of </w:t>
      </w:r>
      <w:r>
        <w:rPr>
          <w:rFonts w:ascii="Times New Roman" w:hAnsi="Times New Roman" w:cs="Times New Roman"/>
          <w:bCs/>
          <w:spacing w:val="-3"/>
          <w:sz w:val="20"/>
          <w:szCs w:val="20"/>
        </w:rPr>
        <w:t>‘</w:t>
      </w:r>
      <w:r w:rsidRPr="00FB6A3D">
        <w:rPr>
          <w:rFonts w:ascii="Times New Roman" w:hAnsi="Times New Roman" w:cs="Times New Roman"/>
          <w:bCs/>
          <w:spacing w:val="-3"/>
          <w:sz w:val="20"/>
          <w:szCs w:val="20"/>
        </w:rPr>
        <w:t>claims made</w:t>
      </w:r>
      <w:r>
        <w:rPr>
          <w:rFonts w:ascii="Times New Roman" w:hAnsi="Times New Roman" w:cs="Times New Roman"/>
          <w:bCs/>
          <w:spacing w:val="-3"/>
          <w:sz w:val="20"/>
          <w:szCs w:val="20"/>
        </w:rPr>
        <w:t>’</w:t>
      </w:r>
      <w:r w:rsidRPr="00FB6A3D">
        <w:rPr>
          <w:rFonts w:ascii="Times New Roman" w:hAnsi="Times New Roman" w:cs="Times New Roman"/>
          <w:bCs/>
          <w:spacing w:val="-3"/>
          <w:sz w:val="20"/>
          <w:szCs w:val="20"/>
        </w:rPr>
        <w:t xml:space="preserve"> liability insurance, where cover is triggered by the notification to the insurer of circumstances that may give rise to a claim against the assured, or the making of a claim against the assured. Most policies provide that a notification of circumstances prevents notification in a later year, but in the absence of such a clause the possibility of two different notifications can arise.</w:t>
      </w:r>
    </w:p>
  </w:footnote>
  <w:footnote w:id="16">
    <w:p w14:paraId="5909A270" w14:textId="589A90F9"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An influential variation in academic debate is the ‘NESS’ test, which considers whether the defendant’s breach was a ‘necessary element in a sufficient set’ of factors, or a necessary element of a set of conditions jointly sufficient for the result: see initially HLA Hart and T </w:t>
      </w:r>
      <w:proofErr w:type="spellStart"/>
      <w:r w:rsidRPr="00FB6A3D">
        <w:rPr>
          <w:rFonts w:ascii="Times New Roman" w:hAnsi="Times New Roman" w:cs="Times New Roman"/>
          <w:sz w:val="20"/>
          <w:szCs w:val="20"/>
        </w:rPr>
        <w:t>Honoré</w:t>
      </w:r>
      <w:proofErr w:type="spellEnd"/>
      <w:r w:rsidRPr="00FB6A3D">
        <w:rPr>
          <w:rFonts w:ascii="Times New Roman" w:hAnsi="Times New Roman" w:cs="Times New Roman"/>
          <w:sz w:val="20"/>
          <w:szCs w:val="20"/>
        </w:rPr>
        <w:t xml:space="preserve">, </w:t>
      </w:r>
      <w:r w:rsidRPr="00FB6A3D">
        <w:rPr>
          <w:rFonts w:ascii="Times New Roman" w:hAnsi="Times New Roman" w:cs="Times New Roman"/>
          <w:i/>
          <w:sz w:val="20"/>
          <w:szCs w:val="20"/>
        </w:rPr>
        <w:t>Causation in the Law</w:t>
      </w:r>
      <w:r w:rsidRPr="00FB6A3D">
        <w:rPr>
          <w:rFonts w:ascii="Times New Roman" w:hAnsi="Times New Roman" w:cs="Times New Roman"/>
          <w:sz w:val="20"/>
          <w:szCs w:val="20"/>
        </w:rPr>
        <w:t xml:space="preserve">, and more recently R Wright, ‘Causation in Tort Law’ (1985) 73 </w:t>
      </w:r>
      <w:r w:rsidRPr="00D07799">
        <w:rPr>
          <w:rFonts w:ascii="Times New Roman" w:hAnsi="Times New Roman" w:cs="Times New Roman"/>
          <w:i/>
          <w:sz w:val="20"/>
          <w:szCs w:val="20"/>
        </w:rPr>
        <w:t>Cal L Rev</w:t>
      </w:r>
      <w:r w:rsidRPr="00FB6A3D">
        <w:rPr>
          <w:rFonts w:ascii="Times New Roman" w:hAnsi="Times New Roman" w:cs="Times New Roman"/>
          <w:sz w:val="20"/>
          <w:szCs w:val="20"/>
        </w:rPr>
        <w:t xml:space="preserve"> 1735. </w:t>
      </w:r>
    </w:p>
  </w:footnote>
  <w:footnote w:id="17">
    <w:p w14:paraId="61A97B8D" w14:textId="1BAF9543"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D07799">
        <w:rPr>
          <w:rFonts w:ascii="Times New Roman" w:hAnsi="Times New Roman" w:cs="Times New Roman"/>
          <w:i/>
          <w:sz w:val="20"/>
          <w:szCs w:val="20"/>
        </w:rPr>
        <w:t>Barker</w:t>
      </w:r>
      <w:r>
        <w:rPr>
          <w:rFonts w:ascii="Times New Roman" w:hAnsi="Times New Roman" w:cs="Times New Roman"/>
          <w:sz w:val="20"/>
          <w:szCs w:val="20"/>
        </w:rPr>
        <w:t xml:space="preserve"> (n 6) [</w:t>
      </w:r>
      <w:r w:rsidRPr="00FB6A3D">
        <w:rPr>
          <w:rFonts w:ascii="Times New Roman" w:hAnsi="Times New Roman" w:cs="Times New Roman"/>
          <w:sz w:val="20"/>
          <w:szCs w:val="20"/>
          <w:lang w:val="en-US"/>
        </w:rPr>
        <w:t>30</w:t>
      </w:r>
      <w:r>
        <w:rPr>
          <w:rFonts w:ascii="Times New Roman" w:hAnsi="Times New Roman" w:cs="Times New Roman"/>
          <w:sz w:val="20"/>
          <w:szCs w:val="20"/>
          <w:lang w:val="en-US"/>
        </w:rPr>
        <w:t>]</w:t>
      </w:r>
      <w:r w:rsidRPr="00FB6A3D">
        <w:rPr>
          <w:rFonts w:ascii="Times New Roman" w:hAnsi="Times New Roman" w:cs="Times New Roman"/>
          <w:sz w:val="20"/>
          <w:szCs w:val="20"/>
          <w:lang w:val="en-US"/>
        </w:rPr>
        <w:t>.</w:t>
      </w:r>
      <w:proofErr w:type="gramEnd"/>
    </w:p>
  </w:footnote>
  <w:footnote w:id="18">
    <w:p w14:paraId="3DF5BA66" w14:textId="39FDF452"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Civil Liability (Contribution) Act 1978</w:t>
      </w:r>
      <w:r>
        <w:rPr>
          <w:rFonts w:ascii="Times New Roman" w:hAnsi="Times New Roman" w:cs="Times New Roman"/>
          <w:sz w:val="20"/>
          <w:szCs w:val="20"/>
        </w:rPr>
        <w:t xml:space="preserve"> (UK)</w:t>
      </w:r>
      <w:r w:rsidRPr="00FB6A3D">
        <w:rPr>
          <w:rFonts w:ascii="Times New Roman" w:hAnsi="Times New Roman" w:cs="Times New Roman"/>
          <w:sz w:val="20"/>
          <w:szCs w:val="20"/>
        </w:rPr>
        <w:t>.</w:t>
      </w:r>
      <w:proofErr w:type="gramEnd"/>
      <w:r w:rsidRPr="00FB6A3D">
        <w:rPr>
          <w:rFonts w:ascii="Times New Roman" w:hAnsi="Times New Roman" w:cs="Times New Roman"/>
          <w:sz w:val="20"/>
          <w:szCs w:val="20"/>
        </w:rPr>
        <w:t xml:space="preserve"> This allows a liable party to recover contribution from any other person who is liable in respect of ‘the same damage’.</w:t>
      </w:r>
    </w:p>
  </w:footnote>
  <w:footnote w:id="19">
    <w:p w14:paraId="16FC9D4B" w14:textId="7306C7E0"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The amount of contribution recoverable ‘shall be such as may be found by the court to be just and equitable having regard to that person’s responsibility for the damage’ (Civil Liability (Contribution) Act 1978 </w:t>
      </w:r>
      <w:r>
        <w:rPr>
          <w:rFonts w:ascii="Times New Roman" w:hAnsi="Times New Roman" w:cs="Times New Roman"/>
          <w:sz w:val="20"/>
          <w:szCs w:val="20"/>
        </w:rPr>
        <w:t xml:space="preserve">(UK) </w:t>
      </w:r>
      <w:r w:rsidRPr="00FB6A3D">
        <w:rPr>
          <w:rFonts w:ascii="Times New Roman" w:hAnsi="Times New Roman" w:cs="Times New Roman"/>
          <w:sz w:val="20"/>
          <w:szCs w:val="20"/>
        </w:rPr>
        <w:t>s</w:t>
      </w:r>
      <w:r>
        <w:rPr>
          <w:rFonts w:ascii="Times New Roman" w:hAnsi="Times New Roman" w:cs="Times New Roman"/>
          <w:sz w:val="20"/>
          <w:szCs w:val="20"/>
        </w:rPr>
        <w:t xml:space="preserve"> </w:t>
      </w:r>
      <w:r w:rsidRPr="00FB6A3D">
        <w:rPr>
          <w:rFonts w:ascii="Times New Roman" w:hAnsi="Times New Roman" w:cs="Times New Roman"/>
          <w:sz w:val="20"/>
          <w:szCs w:val="20"/>
        </w:rPr>
        <w:t>2(1)).</w:t>
      </w:r>
    </w:p>
  </w:footnote>
  <w:footnote w:id="20">
    <w:p w14:paraId="742B0F99"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K Barker and J Steele, ‘Drifting Towards Proportional Liability: Ethics and Pragmatics’ (2015) 74 </w:t>
      </w:r>
      <w:r w:rsidRPr="00D07799">
        <w:rPr>
          <w:rFonts w:ascii="Times New Roman" w:hAnsi="Times New Roman" w:cs="Times New Roman"/>
          <w:i/>
          <w:sz w:val="20"/>
          <w:szCs w:val="20"/>
        </w:rPr>
        <w:t>CLJ</w:t>
      </w:r>
      <w:r w:rsidRPr="00FB6A3D">
        <w:rPr>
          <w:rFonts w:ascii="Times New Roman" w:hAnsi="Times New Roman" w:cs="Times New Roman"/>
          <w:sz w:val="20"/>
          <w:szCs w:val="20"/>
        </w:rPr>
        <w:t xml:space="preserve"> 49-77.</w:t>
      </w:r>
    </w:p>
  </w:footnote>
  <w:footnote w:id="21">
    <w:p w14:paraId="33025A1E" w14:textId="6585C6B9"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i/>
          <w:sz w:val="20"/>
          <w:szCs w:val="20"/>
        </w:rPr>
        <w:t xml:space="preserve">Dubai Aluminium v Salaam </w:t>
      </w:r>
      <w:r w:rsidRPr="00FB6A3D">
        <w:rPr>
          <w:rFonts w:ascii="Times New Roman" w:hAnsi="Times New Roman" w:cs="Times New Roman"/>
          <w:sz w:val="20"/>
          <w:szCs w:val="20"/>
        </w:rPr>
        <w:t>[2003] 2 AC 366</w:t>
      </w:r>
      <w:r>
        <w:rPr>
          <w:rFonts w:ascii="Times New Roman" w:hAnsi="Times New Roman" w:cs="Times New Roman"/>
          <w:sz w:val="20"/>
          <w:szCs w:val="20"/>
        </w:rPr>
        <w:t xml:space="preserve"> (HL).</w:t>
      </w:r>
      <w:proofErr w:type="gramEnd"/>
    </w:p>
  </w:footnote>
  <w:footnote w:id="22">
    <w:p w14:paraId="7C47FC59" w14:textId="5825A443"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i/>
          <w:sz w:val="20"/>
          <w:szCs w:val="20"/>
        </w:rPr>
        <w:t xml:space="preserve">Re-Source America v Platt Site Services </w:t>
      </w:r>
      <w:r w:rsidRPr="00FB6A3D">
        <w:rPr>
          <w:rFonts w:ascii="Times New Roman" w:hAnsi="Times New Roman" w:cs="Times New Roman"/>
          <w:sz w:val="20"/>
          <w:szCs w:val="20"/>
        </w:rPr>
        <w:t xml:space="preserve">[2004] EWCA </w:t>
      </w:r>
      <w:proofErr w:type="spellStart"/>
      <w:r w:rsidRPr="00FB6A3D">
        <w:rPr>
          <w:rFonts w:ascii="Times New Roman" w:hAnsi="Times New Roman" w:cs="Times New Roman"/>
          <w:sz w:val="20"/>
          <w:szCs w:val="20"/>
        </w:rPr>
        <w:t>Civ</w:t>
      </w:r>
      <w:proofErr w:type="spellEnd"/>
      <w:r w:rsidRPr="00FB6A3D">
        <w:rPr>
          <w:rFonts w:ascii="Times New Roman" w:hAnsi="Times New Roman" w:cs="Times New Roman"/>
          <w:sz w:val="20"/>
          <w:szCs w:val="20"/>
        </w:rPr>
        <w:t xml:space="preserve"> 665</w:t>
      </w:r>
      <w:r>
        <w:rPr>
          <w:rFonts w:ascii="Times New Roman" w:hAnsi="Times New Roman" w:cs="Times New Roman"/>
          <w:sz w:val="20"/>
          <w:szCs w:val="20"/>
        </w:rPr>
        <w:t>.</w:t>
      </w:r>
    </w:p>
  </w:footnote>
  <w:footnote w:id="23">
    <w:p w14:paraId="70A8DF29" w14:textId="020A2BD9"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Pr>
          <w:rFonts w:ascii="Times New Roman" w:hAnsi="Times New Roman" w:cs="Times New Roman"/>
          <w:sz w:val="20"/>
          <w:szCs w:val="20"/>
        </w:rPr>
        <w:t xml:space="preserve">It has been suggested that this may be justified on the basis that all defendants have, through their breaches, contributed to the impossibility of proof </w:t>
      </w:r>
      <w:r w:rsidRPr="00FB6A3D">
        <w:rPr>
          <w:rFonts w:ascii="Times New Roman" w:hAnsi="Times New Roman" w:cs="Times New Roman"/>
          <w:sz w:val="20"/>
          <w:szCs w:val="20"/>
        </w:rPr>
        <w:t>with which the claimant is faced</w:t>
      </w:r>
      <w:r>
        <w:rPr>
          <w:rFonts w:ascii="Times New Roman" w:hAnsi="Times New Roman" w:cs="Times New Roman"/>
          <w:sz w:val="20"/>
          <w:szCs w:val="20"/>
        </w:rPr>
        <w:t xml:space="preserve">: S Steel. </w:t>
      </w:r>
      <w:proofErr w:type="gramStart"/>
      <w:r>
        <w:rPr>
          <w:rFonts w:ascii="Times New Roman" w:hAnsi="Times New Roman" w:cs="Times New Roman"/>
          <w:sz w:val="20"/>
          <w:szCs w:val="20"/>
        </w:rPr>
        <w:t xml:space="preserve">‘On When Fairchild Applies’ (2015) 131 </w:t>
      </w:r>
      <w:r w:rsidRPr="00D07799">
        <w:rPr>
          <w:rFonts w:ascii="Times New Roman" w:hAnsi="Times New Roman" w:cs="Times New Roman"/>
          <w:i/>
          <w:sz w:val="20"/>
          <w:szCs w:val="20"/>
        </w:rPr>
        <w:t>LQR</w:t>
      </w:r>
      <w:r>
        <w:rPr>
          <w:rFonts w:ascii="Times New Roman" w:hAnsi="Times New Roman" w:cs="Times New Roman"/>
          <w:sz w:val="20"/>
          <w:szCs w:val="20"/>
        </w:rPr>
        <w:t xml:space="preserve"> 363</w:t>
      </w:r>
      <w:r w:rsidRPr="00FB6A3D">
        <w:rPr>
          <w:rFonts w:ascii="Times New Roman" w:hAnsi="Times New Roman" w:cs="Times New Roman"/>
          <w:sz w:val="20"/>
          <w:szCs w:val="20"/>
        </w:rPr>
        <w:t>.</w:t>
      </w:r>
      <w:proofErr w:type="gramEnd"/>
    </w:p>
  </w:footnote>
  <w:footnote w:id="24">
    <w:p w14:paraId="1986196A" w14:textId="11EEB0C1"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spellStart"/>
      <w:proofErr w:type="gramStart"/>
      <w:r w:rsidRPr="00FB6A3D">
        <w:rPr>
          <w:rFonts w:ascii="Times New Roman" w:hAnsi="Times New Roman" w:cs="Times New Roman"/>
          <w:i/>
          <w:sz w:val="20"/>
          <w:szCs w:val="20"/>
        </w:rPr>
        <w:t>Holtby</w:t>
      </w:r>
      <w:proofErr w:type="spellEnd"/>
      <w:r w:rsidRPr="00FB6A3D">
        <w:rPr>
          <w:rFonts w:ascii="Times New Roman" w:hAnsi="Times New Roman" w:cs="Times New Roman"/>
          <w:i/>
          <w:sz w:val="20"/>
          <w:szCs w:val="20"/>
        </w:rPr>
        <w:t xml:space="preserve"> v Brigham and Cowan </w:t>
      </w:r>
      <w:r w:rsidRPr="00FB6A3D">
        <w:rPr>
          <w:rFonts w:ascii="Times New Roman" w:hAnsi="Times New Roman" w:cs="Times New Roman"/>
          <w:sz w:val="20"/>
          <w:szCs w:val="20"/>
        </w:rPr>
        <w:t>[2000] 3 All ER 423</w:t>
      </w:r>
      <w:r>
        <w:rPr>
          <w:rFonts w:ascii="Times New Roman" w:hAnsi="Times New Roman" w:cs="Times New Roman"/>
          <w:sz w:val="20"/>
          <w:szCs w:val="20"/>
        </w:rPr>
        <w:t xml:space="preserve"> (asbestosis)</w:t>
      </w:r>
      <w:r w:rsidRPr="00FB6A3D">
        <w:rPr>
          <w:rFonts w:ascii="Times New Roman" w:hAnsi="Times New Roman" w:cs="Times New Roman"/>
          <w:sz w:val="20"/>
          <w:szCs w:val="20"/>
        </w:rPr>
        <w:t xml:space="preserve">; </w:t>
      </w:r>
      <w:r w:rsidRPr="00FB6A3D">
        <w:rPr>
          <w:rFonts w:ascii="Times New Roman" w:hAnsi="Times New Roman" w:cs="Times New Roman"/>
          <w:i/>
          <w:sz w:val="20"/>
          <w:szCs w:val="20"/>
        </w:rPr>
        <w:t xml:space="preserve">Thompson v Smiths </w:t>
      </w:r>
      <w:proofErr w:type="spellStart"/>
      <w:r w:rsidRPr="00FB6A3D">
        <w:rPr>
          <w:rFonts w:ascii="Times New Roman" w:hAnsi="Times New Roman" w:cs="Times New Roman"/>
          <w:i/>
          <w:sz w:val="20"/>
          <w:szCs w:val="20"/>
        </w:rPr>
        <w:t>Shiprepairers</w:t>
      </w:r>
      <w:proofErr w:type="spellEnd"/>
      <w:r w:rsidRPr="00FB6A3D">
        <w:rPr>
          <w:rFonts w:ascii="Times New Roman" w:hAnsi="Times New Roman" w:cs="Times New Roman"/>
          <w:i/>
          <w:sz w:val="20"/>
          <w:szCs w:val="20"/>
        </w:rPr>
        <w:t xml:space="preserve"> </w:t>
      </w:r>
      <w:r w:rsidRPr="00FB6A3D">
        <w:rPr>
          <w:rFonts w:ascii="Times New Roman" w:hAnsi="Times New Roman" w:cs="Times New Roman"/>
          <w:sz w:val="20"/>
          <w:szCs w:val="20"/>
        </w:rPr>
        <w:t>[1984] QB 405</w:t>
      </w:r>
      <w:r>
        <w:rPr>
          <w:rFonts w:ascii="Times New Roman" w:hAnsi="Times New Roman" w:cs="Times New Roman"/>
          <w:sz w:val="20"/>
          <w:szCs w:val="20"/>
        </w:rPr>
        <w:t xml:space="preserve"> (</w:t>
      </w:r>
      <w:r w:rsidRPr="00FB6A3D">
        <w:rPr>
          <w:rFonts w:ascii="Times New Roman" w:hAnsi="Times New Roman" w:cs="Times New Roman"/>
          <w:sz w:val="20"/>
          <w:szCs w:val="20"/>
        </w:rPr>
        <w:t>progressive hearing loss</w:t>
      </w:r>
      <w:r>
        <w:rPr>
          <w:rFonts w:ascii="Times New Roman" w:hAnsi="Times New Roman" w:cs="Times New Roman"/>
          <w:sz w:val="20"/>
          <w:szCs w:val="20"/>
        </w:rPr>
        <w:t>).</w:t>
      </w:r>
      <w:proofErr w:type="gramEnd"/>
      <w:r w:rsidRPr="00FB6A3D">
        <w:rPr>
          <w:rFonts w:ascii="Times New Roman" w:hAnsi="Times New Roman" w:cs="Times New Roman"/>
          <w:sz w:val="20"/>
          <w:szCs w:val="20"/>
        </w:rPr>
        <w:t xml:space="preserve"> </w:t>
      </w:r>
      <w:proofErr w:type="spellStart"/>
      <w:r w:rsidRPr="00FB6A3D">
        <w:rPr>
          <w:rFonts w:ascii="Times New Roman" w:hAnsi="Times New Roman" w:cs="Times New Roman"/>
          <w:i/>
          <w:sz w:val="20"/>
          <w:szCs w:val="20"/>
        </w:rPr>
        <w:t>Bonnington</w:t>
      </w:r>
      <w:proofErr w:type="spellEnd"/>
      <w:r w:rsidRPr="00FB6A3D">
        <w:rPr>
          <w:rFonts w:ascii="Times New Roman" w:hAnsi="Times New Roman" w:cs="Times New Roman"/>
          <w:i/>
          <w:sz w:val="20"/>
          <w:szCs w:val="20"/>
        </w:rPr>
        <w:t xml:space="preserve"> Castings v </w:t>
      </w:r>
      <w:proofErr w:type="spellStart"/>
      <w:r w:rsidRPr="00FB6A3D">
        <w:rPr>
          <w:rFonts w:ascii="Times New Roman" w:hAnsi="Times New Roman" w:cs="Times New Roman"/>
          <w:i/>
          <w:sz w:val="20"/>
          <w:szCs w:val="20"/>
        </w:rPr>
        <w:t>Wardlaw</w:t>
      </w:r>
      <w:proofErr w:type="spellEnd"/>
      <w:r w:rsidRPr="00FB6A3D">
        <w:rPr>
          <w:rFonts w:ascii="Times New Roman" w:hAnsi="Times New Roman" w:cs="Times New Roman"/>
          <w:i/>
          <w:sz w:val="20"/>
          <w:szCs w:val="20"/>
        </w:rPr>
        <w:t xml:space="preserve"> </w:t>
      </w:r>
      <w:r w:rsidRPr="00FB6A3D">
        <w:rPr>
          <w:rFonts w:ascii="Times New Roman" w:hAnsi="Times New Roman" w:cs="Times New Roman"/>
          <w:sz w:val="20"/>
          <w:szCs w:val="20"/>
        </w:rPr>
        <w:t>[1956] AC 613, where a breach of duty made a ‘material contribution’ to development of a progressive disease, is now understood to be such a case, though no question of proportionality was raised in that case.</w:t>
      </w:r>
    </w:p>
  </w:footnote>
  <w:footnote w:id="25">
    <w:p w14:paraId="4889B22D" w14:textId="02CA39FB"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i/>
          <w:sz w:val="20"/>
          <w:szCs w:val="20"/>
        </w:rPr>
        <w:t xml:space="preserve">Bailey v Ministry of Defence </w:t>
      </w:r>
      <w:r w:rsidRPr="00FB6A3D">
        <w:rPr>
          <w:rFonts w:ascii="Times New Roman" w:hAnsi="Times New Roman" w:cs="Times New Roman"/>
          <w:sz w:val="20"/>
          <w:szCs w:val="20"/>
        </w:rPr>
        <w:t xml:space="preserve">[2008] EWCA </w:t>
      </w:r>
      <w:proofErr w:type="spellStart"/>
      <w:r w:rsidRPr="00FB6A3D">
        <w:rPr>
          <w:rFonts w:ascii="Times New Roman" w:hAnsi="Times New Roman" w:cs="Times New Roman"/>
          <w:sz w:val="20"/>
          <w:szCs w:val="20"/>
        </w:rPr>
        <w:t>Civ</w:t>
      </w:r>
      <w:proofErr w:type="spellEnd"/>
      <w:r w:rsidRPr="00FB6A3D">
        <w:rPr>
          <w:rFonts w:ascii="Times New Roman" w:hAnsi="Times New Roman" w:cs="Times New Roman"/>
          <w:sz w:val="20"/>
          <w:szCs w:val="20"/>
        </w:rPr>
        <w:t xml:space="preserve"> 883; [2009] 1 WLR 1052</w:t>
      </w:r>
      <w:r>
        <w:rPr>
          <w:rFonts w:ascii="Times New Roman" w:hAnsi="Times New Roman" w:cs="Times New Roman"/>
          <w:sz w:val="20"/>
          <w:szCs w:val="20"/>
        </w:rPr>
        <w:t xml:space="preserve"> – a controversial decision: S </w:t>
      </w:r>
      <w:r w:rsidRPr="00FB6A3D">
        <w:rPr>
          <w:rFonts w:ascii="Times New Roman" w:hAnsi="Times New Roman" w:cs="Times New Roman"/>
          <w:sz w:val="20"/>
          <w:szCs w:val="20"/>
        </w:rPr>
        <w:t xml:space="preserve">Green, ‘Contributing to the Risk of Confusion? </w:t>
      </w:r>
      <w:proofErr w:type="gramStart"/>
      <w:r w:rsidRPr="00FB6A3D">
        <w:rPr>
          <w:rFonts w:ascii="Times New Roman" w:hAnsi="Times New Roman" w:cs="Times New Roman"/>
          <w:sz w:val="20"/>
          <w:szCs w:val="20"/>
        </w:rPr>
        <w:t xml:space="preserve">Causation in the Court of Appeal’ (2009) 125 </w:t>
      </w:r>
      <w:r w:rsidRPr="0000570D">
        <w:rPr>
          <w:rFonts w:ascii="Times New Roman" w:hAnsi="Times New Roman" w:cs="Times New Roman"/>
          <w:i/>
          <w:sz w:val="20"/>
          <w:szCs w:val="20"/>
        </w:rPr>
        <w:t>LQR</w:t>
      </w:r>
      <w:r w:rsidRPr="00FB6A3D">
        <w:rPr>
          <w:rFonts w:ascii="Times New Roman" w:hAnsi="Times New Roman" w:cs="Times New Roman"/>
          <w:sz w:val="20"/>
          <w:szCs w:val="20"/>
        </w:rPr>
        <w:t xml:space="preserve"> 44-</w:t>
      </w:r>
      <w:r>
        <w:rPr>
          <w:rFonts w:ascii="Times New Roman" w:hAnsi="Times New Roman" w:cs="Times New Roman"/>
          <w:sz w:val="20"/>
          <w:szCs w:val="20"/>
        </w:rPr>
        <w:t>48; S</w:t>
      </w:r>
      <w:r w:rsidRPr="00FB6A3D">
        <w:rPr>
          <w:rFonts w:ascii="Times New Roman" w:hAnsi="Times New Roman" w:cs="Times New Roman"/>
          <w:sz w:val="20"/>
          <w:szCs w:val="20"/>
        </w:rPr>
        <w:t xml:space="preserve"> Bailey, ‘What is a Material Contribution?’</w:t>
      </w:r>
      <w:proofErr w:type="gramEnd"/>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 xml:space="preserve">(2010) 30 </w:t>
      </w:r>
      <w:r w:rsidRPr="0000570D">
        <w:rPr>
          <w:rFonts w:ascii="Times New Roman" w:hAnsi="Times New Roman" w:cs="Times New Roman"/>
          <w:i/>
          <w:sz w:val="20"/>
          <w:szCs w:val="20"/>
        </w:rPr>
        <w:t>LS</w:t>
      </w:r>
      <w:r w:rsidRPr="00FB6A3D">
        <w:rPr>
          <w:rFonts w:ascii="Times New Roman" w:hAnsi="Times New Roman" w:cs="Times New Roman"/>
          <w:sz w:val="20"/>
          <w:szCs w:val="20"/>
        </w:rPr>
        <w:t xml:space="preserve"> 167.</w:t>
      </w:r>
      <w:proofErr w:type="gramEnd"/>
      <w:r w:rsidRPr="00FB6A3D">
        <w:rPr>
          <w:rFonts w:ascii="Times New Roman" w:hAnsi="Times New Roman" w:cs="Times New Roman"/>
          <w:sz w:val="20"/>
          <w:szCs w:val="20"/>
        </w:rPr>
        <w:t xml:space="preserve"> In </w:t>
      </w:r>
      <w:r w:rsidRPr="00FB6A3D">
        <w:rPr>
          <w:rFonts w:ascii="Times New Roman" w:hAnsi="Times New Roman" w:cs="Times New Roman"/>
          <w:i/>
          <w:sz w:val="20"/>
          <w:szCs w:val="20"/>
        </w:rPr>
        <w:t xml:space="preserve">Williams v Bermuda Hospital Board </w:t>
      </w:r>
      <w:r w:rsidRPr="00FB6A3D">
        <w:rPr>
          <w:rFonts w:ascii="Times New Roman" w:hAnsi="Times New Roman" w:cs="Times New Roman"/>
          <w:sz w:val="20"/>
          <w:szCs w:val="20"/>
        </w:rPr>
        <w:t xml:space="preserve">[2016] UKPC 4; [2016] AC 888, the Privy Council regarded </w:t>
      </w:r>
      <w:r w:rsidRPr="00FB6A3D">
        <w:rPr>
          <w:rFonts w:ascii="Times New Roman" w:hAnsi="Times New Roman" w:cs="Times New Roman"/>
          <w:i/>
          <w:sz w:val="20"/>
          <w:szCs w:val="20"/>
        </w:rPr>
        <w:t xml:space="preserve">Bailey </w:t>
      </w:r>
      <w:r w:rsidRPr="00FB6A3D">
        <w:rPr>
          <w:rFonts w:ascii="Times New Roman" w:hAnsi="Times New Roman" w:cs="Times New Roman"/>
          <w:sz w:val="20"/>
          <w:szCs w:val="20"/>
        </w:rPr>
        <w:t xml:space="preserve">as merely applying the traditional </w:t>
      </w:r>
      <w:r>
        <w:rPr>
          <w:rFonts w:ascii="Times New Roman" w:hAnsi="Times New Roman" w:cs="Times New Roman"/>
          <w:sz w:val="20"/>
          <w:szCs w:val="20"/>
        </w:rPr>
        <w:t>‘</w:t>
      </w:r>
      <w:r w:rsidRPr="00FB6A3D">
        <w:rPr>
          <w:rFonts w:ascii="Times New Roman" w:hAnsi="Times New Roman" w:cs="Times New Roman"/>
          <w:sz w:val="20"/>
          <w:szCs w:val="20"/>
        </w:rPr>
        <w:t>but for</w:t>
      </w:r>
      <w:r>
        <w:rPr>
          <w:rFonts w:ascii="Times New Roman" w:hAnsi="Times New Roman" w:cs="Times New Roman"/>
          <w:sz w:val="20"/>
          <w:szCs w:val="20"/>
        </w:rPr>
        <w:t>’</w:t>
      </w:r>
      <w:r w:rsidRPr="00FB6A3D">
        <w:rPr>
          <w:rFonts w:ascii="Times New Roman" w:hAnsi="Times New Roman" w:cs="Times New Roman"/>
          <w:sz w:val="20"/>
          <w:szCs w:val="20"/>
        </w:rPr>
        <w:t xml:space="preserve"> test, as proposed by </w:t>
      </w:r>
      <w:proofErr w:type="spellStart"/>
      <w:r w:rsidRPr="00FB6A3D">
        <w:rPr>
          <w:rFonts w:ascii="Times New Roman" w:hAnsi="Times New Roman" w:cs="Times New Roman"/>
          <w:sz w:val="20"/>
          <w:szCs w:val="20"/>
        </w:rPr>
        <w:t>Foskett</w:t>
      </w:r>
      <w:proofErr w:type="spellEnd"/>
      <w:r w:rsidRPr="00FB6A3D">
        <w:rPr>
          <w:rFonts w:ascii="Times New Roman" w:hAnsi="Times New Roman" w:cs="Times New Roman"/>
          <w:sz w:val="20"/>
          <w:szCs w:val="20"/>
        </w:rPr>
        <w:t xml:space="preserve"> J at first instance, but this was not the view of the Court of Appeal deciding the case.</w:t>
      </w:r>
    </w:p>
  </w:footnote>
  <w:footnote w:id="26">
    <w:p w14:paraId="65854ACD" w14:textId="50FBE23A"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Lord Phillips described the theory as ‘discredited’ in </w:t>
      </w:r>
      <w:r w:rsidRPr="00FB6A3D">
        <w:rPr>
          <w:rFonts w:ascii="Times New Roman" w:hAnsi="Times New Roman" w:cs="Times New Roman"/>
          <w:i/>
          <w:sz w:val="20"/>
          <w:szCs w:val="20"/>
        </w:rPr>
        <w:t xml:space="preserve">Sienkiewicz v Greif </w:t>
      </w:r>
      <w:r w:rsidRPr="00FB6A3D">
        <w:rPr>
          <w:rFonts w:ascii="Times New Roman" w:hAnsi="Times New Roman" w:cs="Times New Roman"/>
          <w:sz w:val="20"/>
          <w:szCs w:val="20"/>
        </w:rPr>
        <w:t xml:space="preserve">[2011] UKSC 10; [2011] 2 AC 229, at [102]. The theory was rejected by the High Court of Australia in </w:t>
      </w:r>
      <w:proofErr w:type="spellStart"/>
      <w:r w:rsidRPr="00FB6A3D">
        <w:rPr>
          <w:rFonts w:ascii="Times New Roman" w:hAnsi="Times New Roman" w:cs="Times New Roman"/>
          <w:i/>
          <w:sz w:val="20"/>
          <w:szCs w:val="20"/>
        </w:rPr>
        <w:t>Amaca</w:t>
      </w:r>
      <w:proofErr w:type="spellEnd"/>
      <w:r w:rsidRPr="00FB6A3D">
        <w:rPr>
          <w:rFonts w:ascii="Times New Roman" w:hAnsi="Times New Roman" w:cs="Times New Roman"/>
          <w:i/>
          <w:sz w:val="20"/>
          <w:szCs w:val="20"/>
        </w:rPr>
        <w:t xml:space="preserve"> Properties v Booth </w:t>
      </w:r>
      <w:r w:rsidRPr="00FB6A3D">
        <w:rPr>
          <w:rFonts w:ascii="Times New Roman" w:hAnsi="Times New Roman" w:cs="Times New Roman"/>
          <w:sz w:val="20"/>
          <w:szCs w:val="20"/>
        </w:rPr>
        <w:t>[2011] HCA 53.</w:t>
      </w:r>
    </w:p>
  </w:footnote>
  <w:footnote w:id="27">
    <w:p w14:paraId="45938E3D" w14:textId="01A4F2FD"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For example, it is understood that once a cell is cancerous, further exposures will have no causative effect: </w:t>
      </w:r>
      <w:r w:rsidRPr="00FB6A3D">
        <w:rPr>
          <w:rFonts w:ascii="Times New Roman" w:hAnsi="Times New Roman" w:cs="Times New Roman"/>
          <w:i/>
          <w:sz w:val="20"/>
          <w:szCs w:val="20"/>
        </w:rPr>
        <w:t>Sienkiewicz</w:t>
      </w:r>
      <w:r>
        <w:rPr>
          <w:rFonts w:ascii="Times New Roman" w:hAnsi="Times New Roman" w:cs="Times New Roman"/>
          <w:sz w:val="20"/>
          <w:szCs w:val="20"/>
        </w:rPr>
        <w:t xml:space="preserve"> (n 26)</w:t>
      </w:r>
      <w:r w:rsidRPr="00FB6A3D">
        <w:rPr>
          <w:rFonts w:ascii="Times New Roman" w:hAnsi="Times New Roman" w:cs="Times New Roman"/>
          <w:sz w:val="20"/>
          <w:szCs w:val="20"/>
        </w:rPr>
        <w:t xml:space="preserve"> [103].</w:t>
      </w:r>
    </w:p>
  </w:footnote>
  <w:footnote w:id="28">
    <w:p w14:paraId="3C2B6716" w14:textId="2837B954" w:rsidR="00953880"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Compare comments from the </w:t>
      </w:r>
      <w:r>
        <w:rPr>
          <w:rFonts w:ascii="Times New Roman" w:hAnsi="Times New Roman" w:cs="Times New Roman"/>
          <w:sz w:val="20"/>
          <w:szCs w:val="20"/>
        </w:rPr>
        <w:t xml:space="preserve">same </w:t>
      </w:r>
      <w:r w:rsidRPr="00FB6A3D">
        <w:rPr>
          <w:rFonts w:ascii="Times New Roman" w:hAnsi="Times New Roman" w:cs="Times New Roman"/>
          <w:sz w:val="20"/>
          <w:szCs w:val="20"/>
        </w:rPr>
        <w:t>expert for claimant</w:t>
      </w:r>
      <w:r>
        <w:rPr>
          <w:rFonts w:ascii="Times New Roman" w:hAnsi="Times New Roman" w:cs="Times New Roman"/>
          <w:sz w:val="20"/>
          <w:szCs w:val="20"/>
        </w:rPr>
        <w:t>s</w:t>
      </w:r>
      <w:r w:rsidRPr="00FB6A3D">
        <w:rPr>
          <w:rFonts w:ascii="Times New Roman" w:hAnsi="Times New Roman" w:cs="Times New Roman"/>
          <w:sz w:val="20"/>
          <w:szCs w:val="20"/>
        </w:rPr>
        <w:t xml:space="preserve"> in </w:t>
      </w:r>
      <w:r w:rsidRPr="00FB6A3D">
        <w:rPr>
          <w:rFonts w:ascii="Times New Roman" w:hAnsi="Times New Roman" w:cs="Times New Roman"/>
          <w:i/>
          <w:sz w:val="20"/>
          <w:szCs w:val="20"/>
        </w:rPr>
        <w:t>Jones v Secretary of</w:t>
      </w:r>
      <w:r>
        <w:rPr>
          <w:rFonts w:ascii="Times New Roman" w:hAnsi="Times New Roman" w:cs="Times New Roman"/>
          <w:i/>
          <w:sz w:val="20"/>
          <w:szCs w:val="20"/>
        </w:rPr>
        <w:t xml:space="preserve"> </w:t>
      </w:r>
      <w:r w:rsidRPr="00FB6A3D">
        <w:rPr>
          <w:rFonts w:ascii="Times New Roman" w:hAnsi="Times New Roman" w:cs="Times New Roman"/>
          <w:i/>
          <w:sz w:val="20"/>
          <w:szCs w:val="20"/>
        </w:rPr>
        <w:t>State for Energy and Climate Change</w:t>
      </w:r>
      <w:r w:rsidRPr="00FB6A3D">
        <w:rPr>
          <w:rFonts w:ascii="Times New Roman" w:hAnsi="Times New Roman" w:cs="Times New Roman"/>
          <w:sz w:val="20"/>
          <w:szCs w:val="20"/>
        </w:rPr>
        <w:t xml:space="preserve"> [2012] EWHC 2936 (QB) (occupational lung and bladder </w:t>
      </w:r>
      <w:r>
        <w:rPr>
          <w:rFonts w:ascii="Times New Roman" w:hAnsi="Times New Roman" w:cs="Times New Roman"/>
          <w:sz w:val="20"/>
          <w:szCs w:val="20"/>
        </w:rPr>
        <w:t>cancer, the ‘</w:t>
      </w:r>
      <w:proofErr w:type="spellStart"/>
      <w:r>
        <w:rPr>
          <w:rFonts w:ascii="Times New Roman" w:hAnsi="Times New Roman" w:cs="Times New Roman"/>
          <w:sz w:val="20"/>
          <w:szCs w:val="20"/>
        </w:rPr>
        <w:t>Phurnacite</w:t>
      </w:r>
      <w:proofErr w:type="spellEnd"/>
      <w:r>
        <w:rPr>
          <w:rFonts w:ascii="Times New Roman" w:hAnsi="Times New Roman" w:cs="Times New Roman"/>
          <w:sz w:val="20"/>
          <w:szCs w:val="20"/>
        </w:rPr>
        <w:t xml:space="preserve"> case’) </w:t>
      </w:r>
      <w:r w:rsidRPr="00FB6A3D">
        <w:rPr>
          <w:rFonts w:ascii="Times New Roman" w:hAnsi="Times New Roman" w:cs="Times New Roman"/>
          <w:sz w:val="20"/>
          <w:szCs w:val="20"/>
        </w:rPr>
        <w:t xml:space="preserve">and </w:t>
      </w:r>
      <w:proofErr w:type="spellStart"/>
      <w:r w:rsidRPr="00FB6A3D">
        <w:rPr>
          <w:rFonts w:ascii="Times New Roman" w:hAnsi="Times New Roman" w:cs="Times New Roman"/>
          <w:i/>
          <w:sz w:val="20"/>
          <w:szCs w:val="20"/>
        </w:rPr>
        <w:t>Heneghan</w:t>
      </w:r>
      <w:proofErr w:type="spellEnd"/>
      <w:r w:rsidRPr="00FB6A3D">
        <w:rPr>
          <w:rFonts w:ascii="Times New Roman" w:hAnsi="Times New Roman" w:cs="Times New Roman"/>
          <w:i/>
          <w:sz w:val="20"/>
          <w:szCs w:val="20"/>
        </w:rPr>
        <w:t xml:space="preserve"> v Manchester Dry Docks </w:t>
      </w:r>
      <w:r>
        <w:rPr>
          <w:rFonts w:ascii="Times New Roman" w:hAnsi="Times New Roman" w:cs="Times New Roman"/>
          <w:sz w:val="20"/>
          <w:szCs w:val="20"/>
        </w:rPr>
        <w:t xml:space="preserve">[2016] EWCA </w:t>
      </w:r>
      <w:proofErr w:type="spellStart"/>
      <w:r>
        <w:rPr>
          <w:rFonts w:ascii="Times New Roman" w:hAnsi="Times New Roman" w:cs="Times New Roman"/>
          <w:sz w:val="20"/>
          <w:szCs w:val="20"/>
        </w:rPr>
        <w:t>Civ</w:t>
      </w:r>
      <w:proofErr w:type="spellEnd"/>
      <w:r>
        <w:rPr>
          <w:rFonts w:ascii="Times New Roman" w:hAnsi="Times New Roman" w:cs="Times New Roman"/>
          <w:sz w:val="20"/>
          <w:szCs w:val="20"/>
        </w:rPr>
        <w:t xml:space="preserve"> 86; [2016] 1 WLR 2036 </w:t>
      </w:r>
      <w:r w:rsidRPr="00FB6A3D">
        <w:rPr>
          <w:rFonts w:ascii="Times New Roman" w:hAnsi="Times New Roman" w:cs="Times New Roman"/>
          <w:sz w:val="20"/>
          <w:szCs w:val="20"/>
        </w:rPr>
        <w:t xml:space="preserve">(lung cancer). The expert argued in </w:t>
      </w:r>
      <w:r w:rsidRPr="00FB6A3D">
        <w:rPr>
          <w:rFonts w:ascii="Times New Roman" w:hAnsi="Times New Roman" w:cs="Times New Roman"/>
          <w:i/>
          <w:sz w:val="20"/>
          <w:szCs w:val="20"/>
        </w:rPr>
        <w:t xml:space="preserve">Jones </w:t>
      </w:r>
      <w:r w:rsidRPr="00FB6A3D">
        <w:rPr>
          <w:rFonts w:ascii="Times New Roman" w:hAnsi="Times New Roman" w:cs="Times New Roman"/>
          <w:sz w:val="20"/>
          <w:szCs w:val="20"/>
        </w:rPr>
        <w:t>that</w:t>
      </w:r>
      <w:r>
        <w:rPr>
          <w:rFonts w:ascii="Times New Roman" w:hAnsi="Times New Roman" w:cs="Times New Roman"/>
          <w:sz w:val="20"/>
          <w:szCs w:val="20"/>
        </w:rPr>
        <w:t>,</w:t>
      </w:r>
      <w:r w:rsidRPr="00FB6A3D">
        <w:rPr>
          <w:rFonts w:ascii="Times New Roman" w:hAnsi="Times New Roman" w:cs="Times New Roman"/>
          <w:sz w:val="20"/>
          <w:szCs w:val="20"/>
        </w:rPr>
        <w:t xml:space="preserve"> if he were to be asked the same question that had been asked in </w:t>
      </w:r>
      <w:r w:rsidRPr="00FB6A3D">
        <w:rPr>
          <w:rFonts w:ascii="Times New Roman" w:hAnsi="Times New Roman" w:cs="Times New Roman"/>
          <w:i/>
          <w:sz w:val="20"/>
          <w:szCs w:val="20"/>
        </w:rPr>
        <w:t>Fairchild</w:t>
      </w:r>
      <w:r w:rsidRPr="00FB6A3D">
        <w:rPr>
          <w:rFonts w:ascii="Times New Roman" w:hAnsi="Times New Roman" w:cs="Times New Roman"/>
          <w:sz w:val="20"/>
          <w:szCs w:val="20"/>
        </w:rPr>
        <w:t xml:space="preserve">, he would say that all exposures had probably contributed to the carcinogenic process. This, however, did not sway either Court. In </w:t>
      </w:r>
      <w:proofErr w:type="spellStart"/>
      <w:r w:rsidRPr="00FB6A3D">
        <w:rPr>
          <w:rFonts w:ascii="Times New Roman" w:hAnsi="Times New Roman" w:cs="Times New Roman"/>
          <w:i/>
          <w:sz w:val="20"/>
          <w:szCs w:val="20"/>
        </w:rPr>
        <w:t>Heneghan</w:t>
      </w:r>
      <w:proofErr w:type="spellEnd"/>
      <w:r w:rsidRPr="00FB6A3D">
        <w:rPr>
          <w:rFonts w:ascii="Times New Roman" w:hAnsi="Times New Roman" w:cs="Times New Roman"/>
          <w:sz w:val="20"/>
          <w:szCs w:val="20"/>
        </w:rPr>
        <w:t xml:space="preserve">, the Court of Appeal applied a proportionate version of </w:t>
      </w:r>
      <w:r w:rsidRPr="00FB6A3D">
        <w:rPr>
          <w:rFonts w:ascii="Times New Roman" w:hAnsi="Times New Roman" w:cs="Times New Roman"/>
          <w:i/>
          <w:sz w:val="20"/>
          <w:szCs w:val="20"/>
        </w:rPr>
        <w:t xml:space="preserve">Fairchild </w:t>
      </w:r>
      <w:r w:rsidRPr="00FB6A3D">
        <w:rPr>
          <w:rFonts w:ascii="Times New Roman" w:hAnsi="Times New Roman" w:cs="Times New Roman"/>
          <w:sz w:val="20"/>
          <w:szCs w:val="20"/>
        </w:rPr>
        <w:t xml:space="preserve">to the development of a lung cancer after occupational exposure to asbestos. The claimant had argued for full liability based on a material contribution. The judge below, like the judge in </w:t>
      </w:r>
      <w:r w:rsidRPr="00FB6A3D">
        <w:rPr>
          <w:rFonts w:ascii="Times New Roman" w:hAnsi="Times New Roman" w:cs="Times New Roman"/>
          <w:i/>
          <w:sz w:val="20"/>
          <w:szCs w:val="20"/>
        </w:rPr>
        <w:t>Jones</w:t>
      </w:r>
      <w:r w:rsidRPr="00FB6A3D">
        <w:rPr>
          <w:rFonts w:ascii="Times New Roman" w:hAnsi="Times New Roman" w:cs="Times New Roman"/>
          <w:sz w:val="20"/>
          <w:szCs w:val="20"/>
        </w:rPr>
        <w:t>, the Court of Appeal argued, was right to reject the opinion of Dr Rudd that every period of exposure in fact contributed to the development of the deceased’s cancer</w:t>
      </w:r>
      <w:r>
        <w:rPr>
          <w:rFonts w:ascii="Times New Roman" w:hAnsi="Times New Roman" w:cs="Times New Roman"/>
          <w:sz w:val="20"/>
          <w:szCs w:val="20"/>
        </w:rPr>
        <w:t>:</w:t>
      </w:r>
      <w:r w:rsidRPr="00FB6A3D">
        <w:rPr>
          <w:rFonts w:ascii="Times New Roman" w:hAnsi="Times New Roman" w:cs="Times New Roman"/>
          <w:sz w:val="20"/>
          <w:szCs w:val="20"/>
        </w:rPr>
        <w:t xml:space="preserve"> </w:t>
      </w:r>
    </w:p>
    <w:p w14:paraId="36550DDB" w14:textId="76509C9E" w:rsidR="00953880" w:rsidRPr="00FB6A3D" w:rsidRDefault="00953880" w:rsidP="0000570D">
      <w:pPr>
        <w:pStyle w:val="FootnoteText"/>
        <w:ind w:left="720"/>
        <w:jc w:val="both"/>
        <w:rPr>
          <w:rFonts w:ascii="Times New Roman" w:hAnsi="Times New Roman" w:cs="Times New Roman"/>
          <w:sz w:val="20"/>
          <w:szCs w:val="20"/>
        </w:rPr>
      </w:pPr>
      <w:r w:rsidRPr="00FB6A3D">
        <w:rPr>
          <w:rFonts w:ascii="Times New Roman" w:hAnsi="Times New Roman" w:cs="Times New Roman"/>
          <w:sz w:val="20"/>
          <w:szCs w:val="20"/>
        </w:rPr>
        <w:t xml:space="preserve">This was not a medical opinion. It was an opinion that an inference of causation could be drawn from the epidemiological evidence. But for the reasons stated in the </w:t>
      </w:r>
      <w:proofErr w:type="spellStart"/>
      <w:r w:rsidRPr="00FB6A3D">
        <w:rPr>
          <w:rFonts w:ascii="Times New Roman" w:hAnsi="Times New Roman" w:cs="Times New Roman"/>
          <w:sz w:val="20"/>
          <w:szCs w:val="20"/>
        </w:rPr>
        <w:t>Phurnacite</w:t>
      </w:r>
      <w:proofErr w:type="spellEnd"/>
      <w:r w:rsidRPr="00FB6A3D">
        <w:rPr>
          <w:rFonts w:ascii="Times New Roman" w:hAnsi="Times New Roman" w:cs="Times New Roman"/>
          <w:sz w:val="20"/>
          <w:szCs w:val="20"/>
        </w:rPr>
        <w:t xml:space="preserve"> case and by the judge in this case, it was wrong to draw this inference. The epidemiological evidence permitted the contribution to the risk of cancer attributable to an individual defendant to be quantified. But it went no further than that.</w:t>
      </w:r>
    </w:p>
  </w:footnote>
  <w:footnote w:id="29">
    <w:p w14:paraId="78016751" w14:textId="7AF01C0D" w:rsidR="00953880" w:rsidRPr="0000570D" w:rsidRDefault="00953880" w:rsidP="00DD7A26">
      <w:pPr>
        <w:pStyle w:val="FootnoteText"/>
        <w:jc w:val="both"/>
        <w:rPr>
          <w:rFonts w:ascii="Times New Roman" w:hAnsi="Times New Roman" w:cs="Times New Roman"/>
          <w:sz w:val="20"/>
          <w:szCs w:val="20"/>
        </w:rPr>
      </w:pPr>
      <w:r w:rsidRPr="0000570D">
        <w:rPr>
          <w:rStyle w:val="FootnoteReference"/>
          <w:rFonts w:ascii="Times New Roman" w:hAnsi="Times New Roman" w:cs="Times New Roman"/>
          <w:sz w:val="20"/>
          <w:szCs w:val="20"/>
        </w:rPr>
        <w:footnoteRef/>
      </w:r>
      <w:r w:rsidRPr="0000570D">
        <w:rPr>
          <w:rFonts w:ascii="Times New Roman" w:hAnsi="Times New Roman" w:cs="Times New Roman"/>
          <w:sz w:val="20"/>
          <w:szCs w:val="20"/>
        </w:rPr>
        <w:t xml:space="preserve"> </w:t>
      </w:r>
      <w:proofErr w:type="gramStart"/>
      <w:r w:rsidRPr="0000570D">
        <w:rPr>
          <w:rFonts w:ascii="Times New Roman" w:hAnsi="Times New Roman" w:cs="Times New Roman"/>
          <w:i/>
          <w:sz w:val="20"/>
          <w:szCs w:val="20"/>
        </w:rPr>
        <w:t>Sienkiewicz</w:t>
      </w:r>
      <w:r w:rsidRPr="0000570D">
        <w:rPr>
          <w:rFonts w:ascii="Times New Roman" w:hAnsi="Times New Roman" w:cs="Times New Roman"/>
          <w:sz w:val="20"/>
          <w:szCs w:val="20"/>
        </w:rPr>
        <w:t xml:space="preserve"> (n 26)</w:t>
      </w:r>
      <w:r w:rsidRPr="0000570D">
        <w:rPr>
          <w:rFonts w:ascii="Times New Roman" w:eastAsia="Times New Roman" w:hAnsi="Times New Roman" w:cs="Times New Roman"/>
          <w:sz w:val="20"/>
          <w:szCs w:val="20"/>
        </w:rPr>
        <w:t>.</w:t>
      </w:r>
      <w:proofErr w:type="gramEnd"/>
    </w:p>
  </w:footnote>
  <w:footnote w:id="30">
    <w:p w14:paraId="68E589AE" w14:textId="5C6D345F" w:rsidR="00953880" w:rsidRPr="00FB6A3D" w:rsidRDefault="00953880" w:rsidP="00953880">
      <w:pPr>
        <w:pStyle w:val="FootnoteText"/>
        <w:jc w:val="both"/>
        <w:rPr>
          <w:rFonts w:ascii="Times New Roman" w:hAnsi="Times New Roman" w:cs="Times New Roman"/>
          <w:sz w:val="20"/>
          <w:szCs w:val="20"/>
        </w:rPr>
      </w:pPr>
      <w:r w:rsidRPr="0000570D">
        <w:rPr>
          <w:rStyle w:val="FootnoteReference"/>
          <w:rFonts w:ascii="Times New Roman" w:hAnsi="Times New Roman" w:cs="Times New Roman"/>
          <w:sz w:val="20"/>
          <w:szCs w:val="20"/>
        </w:rPr>
        <w:footnoteRef/>
      </w:r>
      <w:r w:rsidRPr="0000570D">
        <w:rPr>
          <w:rFonts w:ascii="Times New Roman" w:hAnsi="Times New Roman" w:cs="Times New Roman"/>
          <w:sz w:val="20"/>
          <w:szCs w:val="20"/>
        </w:rPr>
        <w:t xml:space="preserve"> According to Lord</w:t>
      </w:r>
      <w:r w:rsidRPr="00FB6A3D">
        <w:rPr>
          <w:rFonts w:ascii="Times New Roman" w:hAnsi="Times New Roman" w:cs="Times New Roman"/>
          <w:sz w:val="20"/>
          <w:szCs w:val="20"/>
        </w:rPr>
        <w:t xml:space="preserve"> Dyson</w:t>
      </w:r>
      <w:r>
        <w:rPr>
          <w:rFonts w:ascii="Times New Roman" w:hAnsi="Times New Roman" w:cs="Times New Roman"/>
          <w:sz w:val="20"/>
          <w:szCs w:val="20"/>
        </w:rPr>
        <w:t xml:space="preserve"> (ibid [216])</w:t>
      </w:r>
      <w:r w:rsidRPr="00FB6A3D">
        <w:rPr>
          <w:rFonts w:ascii="Times New Roman" w:hAnsi="Times New Roman" w:cs="Times New Roman"/>
          <w:sz w:val="20"/>
          <w:szCs w:val="20"/>
        </w:rPr>
        <w:t xml:space="preserve">, a </w:t>
      </w:r>
      <w:r>
        <w:rPr>
          <w:rFonts w:ascii="Times New Roman" w:hAnsi="Times New Roman" w:cs="Times New Roman"/>
          <w:sz w:val="20"/>
          <w:szCs w:val="20"/>
        </w:rPr>
        <w:t>‘</w:t>
      </w:r>
      <w:r w:rsidRPr="00FB6A3D">
        <w:rPr>
          <w:rFonts w:ascii="Times New Roman" w:hAnsi="Times New Roman" w:cs="Times New Roman"/>
          <w:sz w:val="20"/>
          <w:szCs w:val="20"/>
        </w:rPr>
        <w:t>claimant who seeks to prove his case on the balance of probability in reliance entirely on statistical evidence will inevitably fail, since he is able to do no more than prove on the balance of probability that the</w:t>
      </w:r>
      <w:r>
        <w:rPr>
          <w:rFonts w:ascii="Times New Roman" w:hAnsi="Times New Roman" w:cs="Times New Roman"/>
          <w:sz w:val="20"/>
          <w:szCs w:val="20"/>
        </w:rPr>
        <w:t xml:space="preserve"> defendant probably injured him.’ </w:t>
      </w:r>
      <w:r w:rsidRPr="00FB6A3D">
        <w:rPr>
          <w:rFonts w:ascii="Times New Roman" w:hAnsi="Times New Roman" w:cs="Times New Roman"/>
          <w:sz w:val="20"/>
          <w:szCs w:val="20"/>
        </w:rPr>
        <w:t>T</w:t>
      </w:r>
      <w:r>
        <w:rPr>
          <w:rFonts w:ascii="Times New Roman" w:hAnsi="Times New Roman" w:cs="Times New Roman"/>
          <w:sz w:val="20"/>
          <w:szCs w:val="20"/>
        </w:rPr>
        <w:t>he Justices were persuaded by S</w:t>
      </w:r>
      <w:r w:rsidRPr="00FB6A3D">
        <w:rPr>
          <w:rFonts w:ascii="Times New Roman" w:hAnsi="Times New Roman" w:cs="Times New Roman"/>
          <w:sz w:val="20"/>
          <w:szCs w:val="20"/>
        </w:rPr>
        <w:t xml:space="preserve"> Gold, ‘Causation in Toxic Torts: Burdens of Proof, Standards of Causation, and Statistical Evidence’ (1986) 96 </w:t>
      </w:r>
      <w:r w:rsidRPr="00FB6A3D">
        <w:rPr>
          <w:rFonts w:ascii="Times New Roman" w:hAnsi="Times New Roman" w:cs="Times New Roman"/>
          <w:i/>
          <w:sz w:val="20"/>
          <w:szCs w:val="20"/>
        </w:rPr>
        <w:t xml:space="preserve">Yale LJ </w:t>
      </w:r>
      <w:r w:rsidRPr="00FB6A3D">
        <w:rPr>
          <w:rFonts w:ascii="Times New Roman" w:hAnsi="Times New Roman" w:cs="Times New Roman"/>
          <w:sz w:val="20"/>
          <w:szCs w:val="20"/>
        </w:rPr>
        <w:t>376.</w:t>
      </w:r>
    </w:p>
  </w:footnote>
  <w:footnote w:id="31">
    <w:p w14:paraId="48DFD0C5" w14:textId="0A226FB2"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[2006] UKHL 20; [2006] 2 WLR 1027.</w:t>
      </w:r>
      <w:proofErr w:type="gramEnd"/>
    </w:p>
  </w:footnote>
  <w:footnote w:id="32">
    <w:p w14:paraId="69638940" w14:textId="7CC9353D"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i/>
          <w:sz w:val="20"/>
          <w:szCs w:val="20"/>
        </w:rPr>
        <w:t xml:space="preserve">Fairchild </w:t>
      </w:r>
      <w:r w:rsidRPr="00A8644E">
        <w:rPr>
          <w:rFonts w:ascii="Times New Roman" w:hAnsi="Times New Roman" w:cs="Times New Roman"/>
          <w:sz w:val="20"/>
          <w:szCs w:val="20"/>
        </w:rPr>
        <w:t>(n 1)</w:t>
      </w:r>
      <w:r>
        <w:rPr>
          <w:rFonts w:ascii="Times New Roman" w:hAnsi="Times New Roman" w:cs="Times New Roman"/>
          <w:i/>
          <w:sz w:val="20"/>
          <w:szCs w:val="20"/>
        </w:rPr>
        <w:t xml:space="preserve"> </w:t>
      </w:r>
      <w:r w:rsidRPr="00FB6A3D">
        <w:rPr>
          <w:rFonts w:ascii="Times New Roman" w:hAnsi="Times New Roman" w:cs="Times New Roman"/>
          <w:sz w:val="20"/>
          <w:szCs w:val="20"/>
        </w:rPr>
        <w:t>[34].</w:t>
      </w:r>
      <w:proofErr w:type="gramEnd"/>
    </w:p>
  </w:footnote>
  <w:footnote w:id="33">
    <w:p w14:paraId="2A9550FD" w14:textId="3A004704" w:rsidR="00953880" w:rsidRPr="00710184" w:rsidRDefault="00953880" w:rsidP="00DD7A26">
      <w:pPr>
        <w:pStyle w:val="FootnoteText"/>
        <w:jc w:val="both"/>
        <w:rPr>
          <w:rFonts w:ascii="Times New Roman" w:hAnsi="Times New Roman" w:cs="Times New Roman"/>
          <w:sz w:val="20"/>
          <w:szCs w:val="20"/>
        </w:rPr>
      </w:pPr>
      <w:r w:rsidRPr="00A21E50">
        <w:rPr>
          <w:rStyle w:val="FootnoteReference"/>
          <w:rFonts w:ascii="Times New Roman" w:hAnsi="Times New Roman" w:cs="Times New Roman"/>
          <w:sz w:val="20"/>
          <w:szCs w:val="20"/>
        </w:rPr>
        <w:footnoteRef/>
      </w:r>
      <w:r w:rsidRPr="00A21E50">
        <w:rPr>
          <w:rFonts w:ascii="Times New Roman" w:hAnsi="Times New Roman" w:cs="Times New Roman"/>
          <w:sz w:val="20"/>
          <w:szCs w:val="20"/>
        </w:rPr>
        <w:t xml:space="preserve"> </w:t>
      </w:r>
      <w:proofErr w:type="gramStart"/>
      <w:r>
        <w:rPr>
          <w:rFonts w:ascii="Times New Roman" w:eastAsia="Times New Roman" w:hAnsi="Times New Roman" w:cs="Times New Roman"/>
          <w:i/>
          <w:iCs/>
          <w:sz w:val="20"/>
          <w:szCs w:val="20"/>
        </w:rPr>
        <w:t xml:space="preserve">Rothwell </w:t>
      </w:r>
      <w:r w:rsidRPr="00A21E50">
        <w:rPr>
          <w:rFonts w:ascii="Times New Roman" w:eastAsia="Times New Roman" w:hAnsi="Times New Roman" w:cs="Times New Roman"/>
          <w:i/>
          <w:iCs/>
          <w:sz w:val="20"/>
          <w:szCs w:val="20"/>
        </w:rPr>
        <w:t>v</w:t>
      </w:r>
      <w:r w:rsidRPr="00710184">
        <w:rPr>
          <w:rFonts w:ascii="Times New Roman" w:eastAsia="Times New Roman" w:hAnsi="Times New Roman" w:cs="Times New Roman"/>
          <w:i/>
          <w:iCs/>
          <w:sz w:val="20"/>
          <w:szCs w:val="20"/>
        </w:rPr>
        <w:t xml:space="preserve"> Chemical and Insulating Co Limited</w:t>
      </w:r>
      <w:r w:rsidRPr="00710184">
        <w:rPr>
          <w:rFonts w:ascii="Times New Roman" w:eastAsia="Times New Roman" w:hAnsi="Times New Roman" w:cs="Times New Roman"/>
          <w:sz w:val="20"/>
          <w:szCs w:val="20"/>
        </w:rPr>
        <w:t xml:space="preserve"> </w:t>
      </w:r>
      <w:hyperlink r:id="rId1" w:tooltip="Link to BAILII version" w:history="1">
        <w:r w:rsidRPr="00156FA9">
          <w:rPr>
            <w:rStyle w:val="Hyperlink"/>
            <w:rFonts w:ascii="Times New Roman" w:hAnsi="Times New Roman" w:cs="Times New Roman"/>
            <w:color w:val="auto"/>
            <w:sz w:val="20"/>
            <w:szCs w:val="20"/>
            <w:u w:val="none"/>
          </w:rPr>
          <w:t>[2007] UKHL 39</w:t>
        </w:r>
      </w:hyperlink>
      <w:r w:rsidRPr="00A21E50">
        <w:rPr>
          <w:rFonts w:ascii="Times New Roman" w:eastAsia="Times New Roman" w:hAnsi="Times New Roman" w:cs="Times New Roman"/>
          <w:sz w:val="20"/>
          <w:szCs w:val="20"/>
        </w:rPr>
        <w:t xml:space="preserve">, </w:t>
      </w:r>
      <w:hyperlink r:id="rId2" w:tooltip="Link to BAILII version" w:history="1">
        <w:r w:rsidRPr="00156FA9">
          <w:rPr>
            <w:rStyle w:val="Hyperlink"/>
            <w:rFonts w:ascii="Times New Roman" w:hAnsi="Times New Roman" w:cs="Times New Roman"/>
            <w:color w:val="auto"/>
            <w:sz w:val="20"/>
            <w:szCs w:val="20"/>
            <w:u w:val="none"/>
          </w:rPr>
          <w:t>[2008] 1 AC 281</w:t>
        </w:r>
      </w:hyperlink>
      <w:r>
        <w:rPr>
          <w:rStyle w:val="Hyperlink"/>
          <w:rFonts w:ascii="Times New Roman" w:hAnsi="Times New Roman" w:cs="Times New Roman"/>
          <w:color w:val="auto"/>
          <w:sz w:val="20"/>
          <w:szCs w:val="20"/>
          <w:u w:val="none"/>
        </w:rPr>
        <w:t>.</w:t>
      </w:r>
      <w:proofErr w:type="gramEnd"/>
    </w:p>
  </w:footnote>
  <w:footnote w:id="34">
    <w:p w14:paraId="60D27EAE" w14:textId="7F895CB9"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 xml:space="preserve">Section </w:t>
      </w:r>
      <w:r>
        <w:rPr>
          <w:rFonts w:ascii="Times New Roman" w:hAnsi="Times New Roman" w:cs="Times New Roman"/>
          <w:sz w:val="20"/>
          <w:szCs w:val="20"/>
        </w:rPr>
        <w:t>3.</w:t>
      </w:r>
      <w:proofErr w:type="gramEnd"/>
      <w:r>
        <w:rPr>
          <w:rFonts w:ascii="Times New Roman" w:hAnsi="Times New Roman" w:cs="Times New Roman"/>
          <w:sz w:val="20"/>
          <w:szCs w:val="20"/>
        </w:rPr>
        <w:t xml:space="preserve"> </w:t>
      </w:r>
    </w:p>
  </w:footnote>
  <w:footnote w:id="35">
    <w:p w14:paraId="0652BAD9"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[2012] UKSC 14; [2012] 1 WLR 1148.</w:t>
      </w:r>
      <w:proofErr w:type="gramEnd"/>
    </w:p>
  </w:footnote>
  <w:footnote w:id="36">
    <w:p w14:paraId="2ED6BDF2" w14:textId="57499A64"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Underlining this, see J</w:t>
      </w:r>
      <w:r w:rsidRPr="00FB6A3D">
        <w:rPr>
          <w:rFonts w:ascii="Times New Roman" w:hAnsi="Times New Roman" w:cs="Times New Roman"/>
          <w:sz w:val="20"/>
          <w:szCs w:val="20"/>
        </w:rPr>
        <w:t xml:space="preserve"> </w:t>
      </w:r>
      <w:proofErr w:type="spellStart"/>
      <w:r w:rsidRPr="00FB6A3D">
        <w:rPr>
          <w:rFonts w:ascii="Times New Roman" w:hAnsi="Times New Roman" w:cs="Times New Roman"/>
          <w:sz w:val="20"/>
          <w:szCs w:val="20"/>
        </w:rPr>
        <w:t>Goudkamp</w:t>
      </w:r>
      <w:proofErr w:type="spellEnd"/>
      <w:r w:rsidRPr="00FB6A3D">
        <w:rPr>
          <w:rFonts w:ascii="Times New Roman" w:hAnsi="Times New Roman" w:cs="Times New Roman"/>
          <w:sz w:val="20"/>
          <w:szCs w:val="20"/>
        </w:rPr>
        <w:t xml:space="preserve"> and D Nolan, '</w:t>
      </w:r>
      <w:hyperlink r:id="rId3" w:history="1">
        <w:r w:rsidRPr="00FB6A3D">
          <w:rPr>
            <w:rStyle w:val="Hyperlink"/>
            <w:rFonts w:ascii="Times New Roman" w:hAnsi="Times New Roman" w:cs="Times New Roman"/>
            <w:bCs/>
            <w:color w:val="auto"/>
            <w:sz w:val="20"/>
            <w:szCs w:val="20"/>
            <w:u w:val="none"/>
          </w:rPr>
          <w:t>Contributory Negligence in the Twenty-First Century: An Empirical Study of First Instance Decisions</w:t>
        </w:r>
      </w:hyperlink>
      <w:r w:rsidRPr="00FB6A3D">
        <w:rPr>
          <w:rFonts w:ascii="Times New Roman" w:hAnsi="Times New Roman" w:cs="Times New Roman"/>
          <w:sz w:val="20"/>
          <w:szCs w:val="20"/>
        </w:rPr>
        <w:t xml:space="preserve">' (2016) 79 </w:t>
      </w:r>
      <w:r w:rsidRPr="00A8644E">
        <w:rPr>
          <w:rFonts w:ascii="Times New Roman" w:hAnsi="Times New Roman" w:cs="Times New Roman"/>
          <w:i/>
          <w:sz w:val="20"/>
          <w:szCs w:val="20"/>
        </w:rPr>
        <w:t>MLR</w:t>
      </w:r>
      <w:r w:rsidRPr="00FB6A3D">
        <w:rPr>
          <w:rFonts w:ascii="Times New Roman" w:hAnsi="Times New Roman" w:cs="Times New Roman"/>
          <w:sz w:val="20"/>
          <w:szCs w:val="20"/>
        </w:rPr>
        <w:t xml:space="preserve"> 575; and </w:t>
      </w:r>
      <w:r w:rsidRPr="00FB6A3D">
        <w:rPr>
          <w:rFonts w:ascii="Times New Roman" w:hAnsi="Times New Roman" w:cs="Times New Roman"/>
          <w:i/>
          <w:sz w:val="20"/>
          <w:szCs w:val="20"/>
        </w:rPr>
        <w:t xml:space="preserve">Jackson v Murray </w:t>
      </w:r>
      <w:r w:rsidRPr="00FB6A3D">
        <w:rPr>
          <w:rFonts w:ascii="Times New Roman" w:hAnsi="Times New Roman" w:cs="Times New Roman"/>
          <w:sz w:val="20"/>
          <w:szCs w:val="20"/>
        </w:rPr>
        <w:t>[2015] UKSC 5 [27]: ‘It is not possible for a court to arrive at an apportionment which is demonstrably correct’</w:t>
      </w:r>
      <w:r>
        <w:rPr>
          <w:rFonts w:ascii="Times New Roman" w:hAnsi="Times New Roman" w:cs="Times New Roman"/>
          <w:sz w:val="20"/>
          <w:szCs w:val="20"/>
        </w:rPr>
        <w:t xml:space="preserve"> (Lord Reed)</w:t>
      </w:r>
      <w:r w:rsidRPr="00FB6A3D">
        <w:rPr>
          <w:rFonts w:ascii="Times New Roman" w:hAnsi="Times New Roman" w:cs="Times New Roman"/>
          <w:sz w:val="20"/>
          <w:szCs w:val="20"/>
        </w:rPr>
        <w:t>.</w:t>
      </w:r>
    </w:p>
  </w:footnote>
  <w:footnote w:id="37">
    <w:p w14:paraId="7F41BFB5"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i/>
          <w:sz w:val="20"/>
          <w:szCs w:val="20"/>
        </w:rPr>
        <w:t xml:space="preserve">IEG </w:t>
      </w:r>
      <w:r w:rsidRPr="00FB6A3D">
        <w:rPr>
          <w:rFonts w:ascii="Times New Roman" w:hAnsi="Times New Roman" w:cs="Times New Roman"/>
          <w:sz w:val="20"/>
          <w:szCs w:val="20"/>
        </w:rPr>
        <w:t>itself was a mesothelioma case, but arose in Guernsey, to which the Compensation Act 2006 did not apply.</w:t>
      </w:r>
    </w:p>
  </w:footnote>
  <w:footnote w:id="38">
    <w:p w14:paraId="186477F2"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Apportionment of liability for divisible injury is an application of traditional causation principles, rather than a departure from them.</w:t>
      </w:r>
    </w:p>
  </w:footnote>
  <w:footnote w:id="39">
    <w:p w14:paraId="615A35AF"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The Diffuse Mesothelioma Payment Scheme (DMPS) was launched in April 2014 and began taking applications from July 2014. It was set up to provide payments to sufferers of mesothelioma who were negligently exposed to asbestos at work but unable to pursue a civil claim because their former employer no longer exists and their former employer’s insurer cannot be traced. The insurance industry acknowledged their failure to keep adequate records and this was a factor in its agreement to fund the DMPS via a levy on active employers’ liability insurers.</w:t>
      </w:r>
    </w:p>
  </w:footnote>
  <w:footnote w:id="40">
    <w:p w14:paraId="7DD82079" w14:textId="74E9A7BD" w:rsidR="00953880" w:rsidRPr="00FB6A3D" w:rsidRDefault="00953880" w:rsidP="00DD7A26">
      <w:pPr>
        <w:pStyle w:val="FootnoteText"/>
        <w:jc w:val="both"/>
        <w:rPr>
          <w:rFonts w:ascii="Times New Roman" w:hAnsi="Times New Roman" w:cs="Times New Roman"/>
          <w:i/>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Lord Brown expressed this view clearly in </w:t>
      </w:r>
      <w:r w:rsidRPr="00FB6A3D">
        <w:rPr>
          <w:rFonts w:ascii="Times New Roman" w:hAnsi="Times New Roman" w:cs="Times New Roman"/>
          <w:i/>
          <w:sz w:val="20"/>
          <w:szCs w:val="20"/>
        </w:rPr>
        <w:t xml:space="preserve">Sienkiewicz </w:t>
      </w:r>
      <w:r w:rsidRPr="00A8644E">
        <w:rPr>
          <w:rFonts w:ascii="Times New Roman" w:hAnsi="Times New Roman" w:cs="Times New Roman"/>
          <w:sz w:val="20"/>
          <w:szCs w:val="20"/>
        </w:rPr>
        <w:t>(</w:t>
      </w:r>
      <w:r>
        <w:rPr>
          <w:rFonts w:ascii="Times New Roman" w:hAnsi="Times New Roman" w:cs="Times New Roman"/>
          <w:sz w:val="20"/>
          <w:szCs w:val="20"/>
        </w:rPr>
        <w:t>n 26) [186]</w:t>
      </w:r>
      <w:r w:rsidRPr="00FB6A3D">
        <w:rPr>
          <w:rFonts w:ascii="Times New Roman" w:hAnsi="Times New Roman" w:cs="Times New Roman"/>
          <w:sz w:val="20"/>
          <w:szCs w:val="20"/>
        </w:rPr>
        <w:t xml:space="preserve">: ‘mesothelioma claims must now be considered from the defendant’s standpoint a lost cause, there is to my mind a lesson to be learned from losing it: the law tampers with the </w:t>
      </w:r>
      <w:r>
        <w:rPr>
          <w:rFonts w:ascii="Times New Roman" w:hAnsi="Times New Roman" w:cs="Times New Roman"/>
          <w:sz w:val="20"/>
          <w:szCs w:val="20"/>
        </w:rPr>
        <w:t>‘</w:t>
      </w:r>
      <w:r w:rsidRPr="00FB6A3D">
        <w:rPr>
          <w:rFonts w:ascii="Times New Roman" w:hAnsi="Times New Roman" w:cs="Times New Roman"/>
          <w:sz w:val="20"/>
          <w:szCs w:val="20"/>
        </w:rPr>
        <w:t>but for</w:t>
      </w:r>
      <w:r>
        <w:rPr>
          <w:rFonts w:ascii="Times New Roman" w:hAnsi="Times New Roman" w:cs="Times New Roman"/>
          <w:sz w:val="20"/>
          <w:szCs w:val="20"/>
        </w:rPr>
        <w:t>’</w:t>
      </w:r>
      <w:r w:rsidRPr="00FB6A3D">
        <w:rPr>
          <w:rFonts w:ascii="Times New Roman" w:hAnsi="Times New Roman" w:cs="Times New Roman"/>
          <w:sz w:val="20"/>
          <w:szCs w:val="20"/>
        </w:rPr>
        <w:t xml:space="preserve"> </w:t>
      </w:r>
      <w:r>
        <w:rPr>
          <w:rFonts w:ascii="Times New Roman" w:hAnsi="Times New Roman" w:cs="Times New Roman"/>
          <w:sz w:val="20"/>
          <w:szCs w:val="20"/>
        </w:rPr>
        <w:t>test of causation at its peril’</w:t>
      </w:r>
      <w:r w:rsidRPr="00FB6A3D">
        <w:rPr>
          <w:rFonts w:ascii="Times New Roman" w:hAnsi="Times New Roman" w:cs="Times New Roman"/>
          <w:sz w:val="20"/>
          <w:szCs w:val="20"/>
        </w:rPr>
        <w:t>.</w:t>
      </w:r>
    </w:p>
  </w:footnote>
  <w:footnote w:id="41">
    <w:p w14:paraId="6762B292"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spellStart"/>
      <w:proofErr w:type="gramStart"/>
      <w:r w:rsidRPr="00FB6A3D">
        <w:rPr>
          <w:rFonts w:ascii="Times New Roman" w:hAnsi="Times New Roman" w:cs="Times New Roman"/>
          <w:i/>
          <w:sz w:val="20"/>
          <w:szCs w:val="20"/>
        </w:rPr>
        <w:t>Heneghan</w:t>
      </w:r>
      <w:proofErr w:type="spellEnd"/>
      <w:r w:rsidRPr="00FB6A3D">
        <w:rPr>
          <w:rFonts w:ascii="Times New Roman" w:hAnsi="Times New Roman" w:cs="Times New Roman"/>
          <w:i/>
          <w:sz w:val="20"/>
          <w:szCs w:val="20"/>
        </w:rPr>
        <w:t xml:space="preserve"> v Manchester Dry Docks </w:t>
      </w:r>
      <w:r w:rsidRPr="00FB6A3D">
        <w:rPr>
          <w:rFonts w:ascii="Times New Roman" w:hAnsi="Times New Roman" w:cs="Times New Roman"/>
          <w:sz w:val="20"/>
          <w:szCs w:val="20"/>
        </w:rPr>
        <w:t xml:space="preserve">[2016] EWCA </w:t>
      </w:r>
      <w:proofErr w:type="spellStart"/>
      <w:r w:rsidRPr="00FB6A3D">
        <w:rPr>
          <w:rFonts w:ascii="Times New Roman" w:hAnsi="Times New Roman" w:cs="Times New Roman"/>
          <w:sz w:val="20"/>
          <w:szCs w:val="20"/>
        </w:rPr>
        <w:t>Civ</w:t>
      </w:r>
      <w:proofErr w:type="spellEnd"/>
      <w:r w:rsidRPr="00FB6A3D">
        <w:rPr>
          <w:rFonts w:ascii="Times New Roman" w:hAnsi="Times New Roman" w:cs="Times New Roman"/>
          <w:sz w:val="20"/>
          <w:szCs w:val="20"/>
        </w:rPr>
        <w:t xml:space="preserve"> 86.</w:t>
      </w:r>
      <w:proofErr w:type="gramEnd"/>
    </w:p>
  </w:footnote>
  <w:footnote w:id="42">
    <w:p w14:paraId="50698B8A" w14:textId="79125F73" w:rsidR="00953880" w:rsidRPr="00710184" w:rsidRDefault="00953880" w:rsidP="00DD7A26">
      <w:pPr>
        <w:pStyle w:val="FootnoteText"/>
        <w:jc w:val="both"/>
        <w:rPr>
          <w:rFonts w:ascii="Times New Roman" w:hAnsi="Times New Roman" w:cs="Times New Roman"/>
          <w:sz w:val="20"/>
          <w:szCs w:val="20"/>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We have argued this point at length elsewhere,</w:t>
      </w:r>
      <w:r>
        <w:rPr>
          <w:rFonts w:ascii="Times New Roman" w:hAnsi="Times New Roman" w:cs="Times New Roman"/>
          <w:sz w:val="20"/>
          <w:szCs w:val="20"/>
        </w:rPr>
        <w:t xml:space="preserve"> </w:t>
      </w:r>
      <w:r w:rsidRPr="00710184">
        <w:rPr>
          <w:rFonts w:ascii="Times New Roman" w:hAnsi="Times New Roman" w:cs="Times New Roman"/>
          <w:sz w:val="20"/>
          <w:szCs w:val="20"/>
        </w:rPr>
        <w:t xml:space="preserve">most comprehensively in </w:t>
      </w:r>
      <w:proofErr w:type="spellStart"/>
      <w:r w:rsidRPr="00710184">
        <w:rPr>
          <w:rFonts w:ascii="Times New Roman" w:hAnsi="Times New Roman" w:cs="Times New Roman"/>
          <w:sz w:val="20"/>
          <w:szCs w:val="20"/>
        </w:rPr>
        <w:t>Merkin</w:t>
      </w:r>
      <w:proofErr w:type="spellEnd"/>
      <w:r w:rsidRPr="00710184">
        <w:rPr>
          <w:rFonts w:ascii="Times New Roman" w:hAnsi="Times New Roman" w:cs="Times New Roman"/>
          <w:sz w:val="20"/>
          <w:szCs w:val="20"/>
        </w:rPr>
        <w:t xml:space="preserve"> and Steele</w:t>
      </w:r>
      <w:r>
        <w:rPr>
          <w:rFonts w:ascii="Times New Roman" w:hAnsi="Times New Roman" w:cs="Times New Roman"/>
          <w:sz w:val="20"/>
          <w:szCs w:val="20"/>
        </w:rPr>
        <w:t xml:space="preserve"> (n 9).</w:t>
      </w:r>
    </w:p>
  </w:footnote>
  <w:footnote w:id="43">
    <w:p w14:paraId="7C1B1AAD"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The 2006 Act precludes a contribution claim against the victim for any period of self-exposure.</w:t>
      </w:r>
    </w:p>
  </w:footnote>
  <w:footnote w:id="44">
    <w:p w14:paraId="36DB4E1E"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And even if there is only one insurer, what follows will arise where that insurer seeks to bring claims against the various reinsurers on risk during its period of exposure.</w:t>
      </w:r>
    </w:p>
  </w:footnote>
  <w:footnote w:id="45">
    <w:p w14:paraId="1650A4B3" w14:textId="1251F1BE"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Marine Insurance Act 1906 (UK), s 81.</w:t>
      </w:r>
      <w:proofErr w:type="gramEnd"/>
    </w:p>
  </w:footnote>
  <w:footnote w:id="46">
    <w:p w14:paraId="2ECB2BAA" w14:textId="6D9E796D"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710184">
        <w:rPr>
          <w:rFonts w:ascii="Times New Roman" w:hAnsi="Times New Roman" w:cs="Times New Roman"/>
          <w:i/>
          <w:sz w:val="20"/>
          <w:szCs w:val="20"/>
        </w:rPr>
        <w:t xml:space="preserve">Commercial Union Assurance Co Ltd v Hayden </w:t>
      </w:r>
      <w:r>
        <w:rPr>
          <w:rFonts w:ascii="Times New Roman" w:hAnsi="Times New Roman" w:cs="Times New Roman"/>
          <w:sz w:val="20"/>
          <w:szCs w:val="20"/>
        </w:rPr>
        <w:t>[1977] QB</w:t>
      </w:r>
      <w:r w:rsidRPr="00710184">
        <w:rPr>
          <w:rFonts w:ascii="Times New Roman" w:hAnsi="Times New Roman" w:cs="Times New Roman"/>
          <w:sz w:val="20"/>
          <w:szCs w:val="20"/>
        </w:rPr>
        <w:t xml:space="preserve"> 804.</w:t>
      </w:r>
      <w:proofErr w:type="gramEnd"/>
    </w:p>
  </w:footnote>
  <w:footnote w:id="47">
    <w:p w14:paraId="4356DAEB" w14:textId="587DE588"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Pr>
          <w:rFonts w:ascii="Times New Roman" w:hAnsi="Times New Roman" w:cs="Times New Roman"/>
          <w:sz w:val="20"/>
          <w:szCs w:val="20"/>
        </w:rPr>
        <w:t>[1989] 2 All ER</w:t>
      </w:r>
      <w:r w:rsidRPr="00710184">
        <w:rPr>
          <w:rFonts w:ascii="Times New Roman" w:hAnsi="Times New Roman" w:cs="Times New Roman"/>
          <w:sz w:val="20"/>
          <w:szCs w:val="20"/>
        </w:rPr>
        <w:t xml:space="preserve"> 888.</w:t>
      </w:r>
      <w:proofErr w:type="gramEnd"/>
    </w:p>
  </w:footnote>
  <w:footnote w:id="48">
    <w:p w14:paraId="7619521E"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It was not abandoned until 1983.</w:t>
      </w:r>
    </w:p>
  </w:footnote>
  <w:footnote w:id="49">
    <w:p w14:paraId="4470468E"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The risk to merchant vessels was that of capture, not destruction. There was no profit to be made from burning or sinking merchant vessels. </w:t>
      </w:r>
    </w:p>
  </w:footnote>
  <w:footnote w:id="50">
    <w:p w14:paraId="224F8097"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Style w:val="starpage"/>
          <w:rFonts w:ascii="Times New Roman" w:hAnsi="Times New Roman" w:cs="Times New Roman"/>
          <w:i/>
          <w:sz w:val="20"/>
          <w:szCs w:val="20"/>
        </w:rPr>
        <w:t xml:space="preserve">Green v Brown </w:t>
      </w:r>
      <w:r w:rsidRPr="00FB6A3D">
        <w:rPr>
          <w:rFonts w:ascii="Times New Roman" w:hAnsi="Times New Roman" w:cs="Times New Roman"/>
          <w:sz w:val="20"/>
          <w:szCs w:val="20"/>
          <w:lang w:val="en-US"/>
        </w:rPr>
        <w:t xml:space="preserve">(1743) 2 </w:t>
      </w:r>
      <w:proofErr w:type="spellStart"/>
      <w:proofErr w:type="gramStart"/>
      <w:r w:rsidRPr="00FB6A3D">
        <w:rPr>
          <w:rFonts w:ascii="Times New Roman" w:hAnsi="Times New Roman" w:cs="Times New Roman"/>
          <w:sz w:val="20"/>
          <w:szCs w:val="20"/>
          <w:lang w:val="en-US"/>
        </w:rPr>
        <w:t>Str</w:t>
      </w:r>
      <w:proofErr w:type="spellEnd"/>
      <w:proofErr w:type="gramEnd"/>
      <w:r w:rsidRPr="00FB6A3D">
        <w:rPr>
          <w:rFonts w:ascii="Times New Roman" w:hAnsi="Times New Roman" w:cs="Times New Roman"/>
          <w:sz w:val="20"/>
          <w:szCs w:val="20"/>
          <w:lang w:val="en-US"/>
        </w:rPr>
        <w:t xml:space="preserve"> 1199.</w:t>
      </w:r>
    </w:p>
  </w:footnote>
  <w:footnote w:id="51">
    <w:p w14:paraId="5F04F3E0"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eastAsia="Times New Roman" w:hAnsi="Times New Roman" w:cs="Times New Roman"/>
          <w:i/>
          <w:sz w:val="20"/>
          <w:szCs w:val="20"/>
        </w:rPr>
        <w:t xml:space="preserve">Green v </w:t>
      </w:r>
      <w:proofErr w:type="spellStart"/>
      <w:r w:rsidRPr="00FB6A3D">
        <w:rPr>
          <w:rFonts w:ascii="Times New Roman" w:eastAsia="Times New Roman" w:hAnsi="Times New Roman" w:cs="Times New Roman"/>
          <w:i/>
          <w:sz w:val="20"/>
          <w:szCs w:val="20"/>
        </w:rPr>
        <w:t>Elmslie</w:t>
      </w:r>
      <w:proofErr w:type="spellEnd"/>
      <w:r w:rsidRPr="00FB6A3D">
        <w:rPr>
          <w:rFonts w:ascii="Times New Roman" w:eastAsia="Times New Roman" w:hAnsi="Times New Roman" w:cs="Times New Roman"/>
          <w:i/>
          <w:sz w:val="20"/>
          <w:szCs w:val="20"/>
        </w:rPr>
        <w:t xml:space="preserve"> </w:t>
      </w:r>
      <w:r w:rsidRPr="00FB6A3D">
        <w:rPr>
          <w:rFonts w:ascii="Times New Roman" w:eastAsia="Times New Roman" w:hAnsi="Times New Roman" w:cs="Times New Roman"/>
          <w:sz w:val="20"/>
          <w:szCs w:val="20"/>
        </w:rPr>
        <w:t xml:space="preserve">(1794) Peake 279; </w:t>
      </w:r>
      <w:proofErr w:type="spellStart"/>
      <w:r w:rsidRPr="00FB6A3D">
        <w:rPr>
          <w:rFonts w:ascii="Times New Roman" w:eastAsia="Times New Roman" w:hAnsi="Times New Roman" w:cs="Times New Roman"/>
          <w:i/>
          <w:sz w:val="20"/>
          <w:szCs w:val="20"/>
        </w:rPr>
        <w:t>Livie</w:t>
      </w:r>
      <w:proofErr w:type="spellEnd"/>
      <w:r w:rsidRPr="00FB6A3D">
        <w:rPr>
          <w:rFonts w:ascii="Times New Roman" w:eastAsia="Times New Roman" w:hAnsi="Times New Roman" w:cs="Times New Roman"/>
          <w:i/>
          <w:sz w:val="20"/>
          <w:szCs w:val="20"/>
        </w:rPr>
        <w:t xml:space="preserve"> v Janson </w:t>
      </w:r>
      <w:r w:rsidRPr="00FB6A3D">
        <w:rPr>
          <w:rFonts w:ascii="Times New Roman" w:eastAsia="Times New Roman" w:hAnsi="Times New Roman" w:cs="Times New Roman"/>
          <w:sz w:val="20"/>
          <w:szCs w:val="20"/>
        </w:rPr>
        <w:t>(1807)</w:t>
      </w:r>
    </w:p>
  </w:footnote>
  <w:footnote w:id="52">
    <w:p w14:paraId="5C0CBC1A"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i/>
          <w:sz w:val="20"/>
          <w:szCs w:val="20"/>
        </w:rPr>
        <w:t>Hagedorn v Whitmore</w:t>
      </w:r>
      <w:r w:rsidRPr="00FB6A3D">
        <w:rPr>
          <w:rFonts w:ascii="Times New Roman" w:hAnsi="Times New Roman" w:cs="Times New Roman"/>
          <w:sz w:val="20"/>
          <w:szCs w:val="20"/>
        </w:rPr>
        <w:t xml:space="preserve"> (1816) 1 Stark 157.</w:t>
      </w:r>
      <w:proofErr w:type="gramEnd"/>
    </w:p>
  </w:footnote>
  <w:footnote w:id="53">
    <w:p w14:paraId="6F992894" w14:textId="7F4423B6"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spellStart"/>
      <w:proofErr w:type="gramStart"/>
      <w:r w:rsidRPr="00FB6A3D">
        <w:rPr>
          <w:rFonts w:ascii="Times New Roman" w:eastAsia="Times New Roman" w:hAnsi="Times New Roman" w:cs="Times New Roman"/>
          <w:i/>
          <w:sz w:val="20"/>
          <w:szCs w:val="20"/>
        </w:rPr>
        <w:t>Bondrett</w:t>
      </w:r>
      <w:proofErr w:type="spellEnd"/>
      <w:r w:rsidRPr="00FB6A3D">
        <w:rPr>
          <w:rFonts w:ascii="Times New Roman" w:eastAsia="Times New Roman" w:hAnsi="Times New Roman" w:cs="Times New Roman"/>
          <w:i/>
          <w:sz w:val="20"/>
          <w:szCs w:val="20"/>
        </w:rPr>
        <w:t xml:space="preserve"> v </w:t>
      </w:r>
      <w:proofErr w:type="spellStart"/>
      <w:r w:rsidRPr="00FB6A3D">
        <w:rPr>
          <w:rFonts w:ascii="Times New Roman" w:eastAsia="Times New Roman" w:hAnsi="Times New Roman" w:cs="Times New Roman"/>
          <w:i/>
          <w:sz w:val="20"/>
          <w:szCs w:val="20"/>
        </w:rPr>
        <w:t>Hentigg</w:t>
      </w:r>
      <w:proofErr w:type="spellEnd"/>
      <w:r w:rsidRPr="00FB6A3D">
        <w:rPr>
          <w:rFonts w:ascii="Times New Roman" w:eastAsia="Times New Roman" w:hAnsi="Times New Roman" w:cs="Times New Roman"/>
          <w:i/>
          <w:sz w:val="20"/>
          <w:szCs w:val="20"/>
        </w:rPr>
        <w:t xml:space="preserve"> </w:t>
      </w:r>
      <w:r w:rsidRPr="00FB6A3D">
        <w:rPr>
          <w:rFonts w:ascii="Times New Roman" w:eastAsia="Times New Roman" w:hAnsi="Times New Roman" w:cs="Times New Roman"/>
          <w:sz w:val="20"/>
          <w:szCs w:val="20"/>
        </w:rPr>
        <w:t xml:space="preserve">(1816) Holt 149; </w:t>
      </w:r>
      <w:r w:rsidRPr="00FB6A3D">
        <w:rPr>
          <w:rFonts w:ascii="Times New Roman" w:hAnsi="Times New Roman" w:cs="Times New Roman"/>
          <w:i/>
          <w:sz w:val="20"/>
          <w:szCs w:val="20"/>
        </w:rPr>
        <w:t>Hahn v Corbett</w:t>
      </w:r>
      <w:r w:rsidRPr="00FB6A3D">
        <w:rPr>
          <w:rFonts w:ascii="Times New Roman" w:hAnsi="Times New Roman" w:cs="Times New Roman"/>
          <w:sz w:val="20"/>
          <w:szCs w:val="20"/>
        </w:rPr>
        <w:t xml:space="preserve"> (1824) 2 Bing 205.</w:t>
      </w:r>
      <w:proofErr w:type="gramEnd"/>
      <w:r w:rsidRPr="00FB6A3D">
        <w:rPr>
          <w:rFonts w:ascii="Times New Roman" w:hAnsi="Times New Roman" w:cs="Times New Roman"/>
          <w:sz w:val="20"/>
          <w:szCs w:val="20"/>
        </w:rPr>
        <w:t xml:space="preserve"> Unlike the position in English tort law, insurance law continues </w:t>
      </w:r>
      <w:proofErr w:type="gramStart"/>
      <w:r w:rsidRPr="00FB6A3D">
        <w:rPr>
          <w:rFonts w:ascii="Times New Roman" w:hAnsi="Times New Roman" w:cs="Times New Roman"/>
          <w:sz w:val="20"/>
          <w:szCs w:val="20"/>
        </w:rPr>
        <w:t>to  work</w:t>
      </w:r>
      <w:proofErr w:type="gramEnd"/>
      <w:r w:rsidRPr="00FB6A3D">
        <w:rPr>
          <w:rFonts w:ascii="Times New Roman" w:hAnsi="Times New Roman" w:cs="Times New Roman"/>
          <w:sz w:val="20"/>
          <w:szCs w:val="20"/>
        </w:rPr>
        <w:t xml:space="preserve"> with the terminology of </w:t>
      </w:r>
      <w:r>
        <w:rPr>
          <w:rFonts w:ascii="Times New Roman" w:hAnsi="Times New Roman" w:cs="Times New Roman"/>
          <w:sz w:val="20"/>
          <w:szCs w:val="20"/>
        </w:rPr>
        <w:t>‘</w:t>
      </w:r>
      <w:r w:rsidRPr="00FB6A3D">
        <w:rPr>
          <w:rFonts w:ascii="Times New Roman" w:hAnsi="Times New Roman" w:cs="Times New Roman"/>
          <w:sz w:val="20"/>
          <w:szCs w:val="20"/>
        </w:rPr>
        <w:t>proximate cause</w:t>
      </w:r>
      <w:r>
        <w:rPr>
          <w:rFonts w:ascii="Times New Roman" w:hAnsi="Times New Roman" w:cs="Times New Roman"/>
          <w:sz w:val="20"/>
          <w:szCs w:val="20"/>
        </w:rPr>
        <w:t>’</w:t>
      </w:r>
      <w:r w:rsidRPr="00FB6A3D">
        <w:rPr>
          <w:rFonts w:ascii="Times New Roman" w:hAnsi="Times New Roman" w:cs="Times New Roman"/>
          <w:sz w:val="20"/>
          <w:szCs w:val="20"/>
        </w:rPr>
        <w:t>, despite significant developments in the principles applied.</w:t>
      </w:r>
    </w:p>
  </w:footnote>
  <w:footnote w:id="54">
    <w:p w14:paraId="61B6AEA0" w14:textId="70DB772F"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[1918] AC 350</w:t>
      </w:r>
      <w:r>
        <w:rPr>
          <w:rFonts w:ascii="Times New Roman" w:hAnsi="Times New Roman" w:cs="Times New Roman"/>
          <w:sz w:val="20"/>
          <w:szCs w:val="20"/>
        </w:rPr>
        <w:t xml:space="preserve"> (HL)</w:t>
      </w:r>
      <w:r w:rsidRPr="00FB6A3D">
        <w:rPr>
          <w:rFonts w:ascii="Times New Roman" w:hAnsi="Times New Roman" w:cs="Times New Roman"/>
          <w:sz w:val="20"/>
          <w:szCs w:val="20"/>
        </w:rPr>
        <w:t>.</w:t>
      </w:r>
      <w:proofErr w:type="gramEnd"/>
    </w:p>
  </w:footnote>
  <w:footnote w:id="55">
    <w:p w14:paraId="38560984" w14:textId="56F7DB29"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[1983] 2 Lloyd’s Rep 235.</w:t>
      </w:r>
      <w:proofErr w:type="gramEnd"/>
    </w:p>
  </w:footnote>
  <w:footnote w:id="56">
    <w:p w14:paraId="57B7DB2D"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 xml:space="preserve">A quote that appears in </w:t>
      </w:r>
      <w:r w:rsidRPr="00FB6A3D">
        <w:rPr>
          <w:rFonts w:ascii="Times New Roman" w:hAnsi="Times New Roman" w:cs="Times New Roman"/>
          <w:i/>
          <w:sz w:val="20"/>
          <w:szCs w:val="20"/>
        </w:rPr>
        <w:t xml:space="preserve">The Adventure of the Blanched Soldier </w:t>
      </w:r>
      <w:r w:rsidRPr="00FB6A3D">
        <w:rPr>
          <w:rFonts w:ascii="Times New Roman" w:hAnsi="Times New Roman" w:cs="Times New Roman"/>
          <w:sz w:val="20"/>
          <w:szCs w:val="20"/>
        </w:rPr>
        <w:t>(1926).</w:t>
      </w:r>
      <w:proofErr w:type="gramEnd"/>
    </w:p>
  </w:footnote>
  <w:footnote w:id="57">
    <w:p w14:paraId="5E6F8435" w14:textId="4A1EE9BE" w:rsidR="00953880" w:rsidRPr="00710184" w:rsidRDefault="00953880" w:rsidP="00DD7A26">
      <w:pPr>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spellStart"/>
      <w:r w:rsidRPr="00FB6A3D">
        <w:rPr>
          <w:rFonts w:ascii="Times New Roman" w:hAnsi="Times New Roman" w:cs="Times New Roman"/>
          <w:i/>
          <w:sz w:val="20"/>
          <w:szCs w:val="20"/>
        </w:rPr>
        <w:t>Nulty</w:t>
      </w:r>
      <w:proofErr w:type="spellEnd"/>
      <w:r w:rsidRPr="00FB6A3D">
        <w:rPr>
          <w:rFonts w:ascii="Times New Roman" w:hAnsi="Times New Roman" w:cs="Times New Roman"/>
          <w:i/>
          <w:sz w:val="20"/>
          <w:szCs w:val="20"/>
        </w:rPr>
        <w:t xml:space="preserve"> v Milton Keynes BC</w:t>
      </w:r>
      <w:r w:rsidRPr="00FB6A3D">
        <w:rPr>
          <w:rFonts w:ascii="Times New Roman" w:hAnsi="Times New Roman" w:cs="Times New Roman"/>
          <w:sz w:val="20"/>
          <w:szCs w:val="20"/>
        </w:rPr>
        <w:t xml:space="preserve"> [2013] EWCA </w:t>
      </w:r>
      <w:proofErr w:type="spellStart"/>
      <w:r w:rsidRPr="00FB6A3D">
        <w:rPr>
          <w:rFonts w:ascii="Times New Roman" w:hAnsi="Times New Roman" w:cs="Times New Roman"/>
          <w:sz w:val="20"/>
          <w:szCs w:val="20"/>
        </w:rPr>
        <w:t>Civ</w:t>
      </w:r>
      <w:proofErr w:type="spellEnd"/>
      <w:r w:rsidRPr="00FB6A3D">
        <w:rPr>
          <w:rFonts w:ascii="Times New Roman" w:hAnsi="Times New Roman" w:cs="Times New Roman"/>
          <w:sz w:val="20"/>
          <w:szCs w:val="20"/>
        </w:rPr>
        <w:t xml:space="preserve"> 15; </w:t>
      </w:r>
      <w:r w:rsidRPr="00FB6A3D">
        <w:rPr>
          <w:rFonts w:ascii="Times New Roman" w:hAnsi="Times New Roman" w:cs="Times New Roman"/>
          <w:i/>
          <w:sz w:val="20"/>
          <w:szCs w:val="20"/>
        </w:rPr>
        <w:t xml:space="preserve">Ace European Group Ltd v </w:t>
      </w:r>
      <w:proofErr w:type="spellStart"/>
      <w:r w:rsidRPr="00FB6A3D">
        <w:rPr>
          <w:rFonts w:ascii="Times New Roman" w:hAnsi="Times New Roman" w:cs="Times New Roman"/>
          <w:i/>
          <w:sz w:val="20"/>
          <w:szCs w:val="20"/>
        </w:rPr>
        <w:t>Chartis</w:t>
      </w:r>
      <w:proofErr w:type="spellEnd"/>
      <w:r w:rsidRPr="00FB6A3D">
        <w:rPr>
          <w:rFonts w:ascii="Times New Roman" w:hAnsi="Times New Roman" w:cs="Times New Roman"/>
          <w:i/>
          <w:sz w:val="20"/>
          <w:szCs w:val="20"/>
        </w:rPr>
        <w:t xml:space="preserve"> Insurance UK Ltd</w:t>
      </w:r>
      <w:r w:rsidRPr="00FB6A3D">
        <w:rPr>
          <w:rFonts w:ascii="Times New Roman" w:hAnsi="Times New Roman" w:cs="Times New Roman"/>
          <w:sz w:val="20"/>
          <w:szCs w:val="20"/>
        </w:rPr>
        <w:t xml:space="preserve"> [2013] EWCA </w:t>
      </w:r>
      <w:proofErr w:type="spellStart"/>
      <w:r w:rsidRPr="00FB6A3D">
        <w:rPr>
          <w:rFonts w:ascii="Times New Roman" w:hAnsi="Times New Roman" w:cs="Times New Roman"/>
          <w:sz w:val="20"/>
          <w:szCs w:val="20"/>
        </w:rPr>
        <w:t>Civ</w:t>
      </w:r>
      <w:proofErr w:type="spellEnd"/>
      <w:r w:rsidRPr="00FB6A3D">
        <w:rPr>
          <w:rFonts w:ascii="Times New Roman" w:hAnsi="Times New Roman" w:cs="Times New Roman"/>
          <w:sz w:val="20"/>
          <w:szCs w:val="20"/>
        </w:rPr>
        <w:t xml:space="preserve"> 224; </w:t>
      </w:r>
      <w:r w:rsidRPr="00FB6A3D">
        <w:rPr>
          <w:rFonts w:ascii="Times New Roman" w:eastAsia="Times New Roman" w:hAnsi="Times New Roman" w:cs="Times New Roman"/>
          <w:i/>
          <w:sz w:val="20"/>
          <w:szCs w:val="20"/>
        </w:rPr>
        <w:t>Contact (Print And Packaging) Ltd v Travelers Insurance Co Ltd</w:t>
      </w:r>
      <w:r w:rsidRPr="00FB6A3D">
        <w:rPr>
          <w:rFonts w:ascii="Times New Roman" w:eastAsia="Times New Roman" w:hAnsi="Times New Roman" w:cs="Times New Roman"/>
          <w:sz w:val="20"/>
          <w:szCs w:val="20"/>
        </w:rPr>
        <w:t xml:space="preserve"> [2018] EWHC 83 (TCC).</w:t>
      </w:r>
    </w:p>
  </w:footnote>
  <w:footnote w:id="58">
    <w:p w14:paraId="772FC622"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i/>
          <w:sz w:val="20"/>
          <w:szCs w:val="20"/>
        </w:rPr>
        <w:t>Vero Insurance New Zealand Ltd v Morrison</w:t>
      </w:r>
      <w:r w:rsidRPr="00FB6A3D">
        <w:rPr>
          <w:rFonts w:ascii="Times New Roman" w:hAnsi="Times New Roman" w:cs="Times New Roman"/>
          <w:sz w:val="20"/>
          <w:szCs w:val="20"/>
        </w:rPr>
        <w:t xml:space="preserve"> [2015] NZCA 246, where it was held that a model based on earthquake intensity was unreliable and to be taken into account only if there was no better evidence. Intensity modelling was similarly regarded with scepticism in </w:t>
      </w:r>
      <w:proofErr w:type="spellStart"/>
      <w:r w:rsidRPr="00FB6A3D">
        <w:rPr>
          <w:rFonts w:ascii="Times New Roman" w:hAnsi="Times New Roman" w:cs="Times New Roman"/>
          <w:i/>
          <w:sz w:val="20"/>
          <w:szCs w:val="20"/>
        </w:rPr>
        <w:t>Prattley</w:t>
      </w:r>
      <w:proofErr w:type="spellEnd"/>
      <w:r w:rsidRPr="00FB6A3D">
        <w:rPr>
          <w:rFonts w:ascii="Times New Roman" w:hAnsi="Times New Roman" w:cs="Times New Roman"/>
          <w:i/>
          <w:sz w:val="20"/>
          <w:szCs w:val="20"/>
        </w:rPr>
        <w:t xml:space="preserve"> Enterprises Ltd v Vero Insurance New Zealand Ltd</w:t>
      </w:r>
      <w:r w:rsidRPr="00FB6A3D">
        <w:rPr>
          <w:rFonts w:ascii="Times New Roman" w:hAnsi="Times New Roman" w:cs="Times New Roman"/>
          <w:sz w:val="20"/>
          <w:szCs w:val="20"/>
        </w:rPr>
        <w:t xml:space="preserve"> [2016] NZCA 67, on the basis that it said nothing about repair costs following each event, and in</w:t>
      </w:r>
      <w:r w:rsidRPr="00FB6A3D">
        <w:rPr>
          <w:rFonts w:ascii="Times New Roman" w:hAnsi="Times New Roman" w:cs="Times New Roman"/>
          <w:i/>
          <w:sz w:val="20"/>
          <w:szCs w:val="20"/>
        </w:rPr>
        <w:t xml:space="preserve"> Sadat v Tower Insurance Ltd</w:t>
      </w:r>
      <w:r w:rsidRPr="00FB6A3D">
        <w:rPr>
          <w:rFonts w:ascii="Times New Roman" w:hAnsi="Times New Roman" w:cs="Times New Roman"/>
          <w:sz w:val="20"/>
          <w:szCs w:val="20"/>
        </w:rPr>
        <w:t xml:space="preserve"> [2017] NZHC 1550 such evidence was rejected entirely. </w:t>
      </w:r>
    </w:p>
  </w:footnote>
  <w:footnote w:id="59">
    <w:p w14:paraId="7ED1013B" w14:textId="090CFFBF"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 xml:space="preserve">But contrast </w:t>
      </w:r>
      <w:r w:rsidRPr="00FB6A3D">
        <w:rPr>
          <w:rFonts w:ascii="Times New Roman" w:hAnsi="Times New Roman" w:cs="Times New Roman"/>
          <w:i/>
          <w:sz w:val="20"/>
          <w:szCs w:val="20"/>
          <w:lang w:val="en-US"/>
        </w:rPr>
        <w:t xml:space="preserve">Ted Baker Ltd v </w:t>
      </w:r>
      <w:proofErr w:type="spellStart"/>
      <w:r w:rsidRPr="00FB6A3D">
        <w:rPr>
          <w:rFonts w:ascii="Times New Roman" w:hAnsi="Times New Roman" w:cs="Times New Roman"/>
          <w:i/>
          <w:sz w:val="20"/>
          <w:szCs w:val="20"/>
          <w:lang w:val="en-US"/>
        </w:rPr>
        <w:t>Axa</w:t>
      </w:r>
      <w:proofErr w:type="spellEnd"/>
      <w:r w:rsidRPr="00FB6A3D">
        <w:rPr>
          <w:rFonts w:ascii="Times New Roman" w:hAnsi="Times New Roman" w:cs="Times New Roman"/>
          <w:i/>
          <w:sz w:val="20"/>
          <w:szCs w:val="20"/>
          <w:lang w:val="en-US"/>
        </w:rPr>
        <w:t xml:space="preserve"> Insurance </w:t>
      </w:r>
      <w:r w:rsidRPr="00FB6A3D">
        <w:rPr>
          <w:rFonts w:ascii="Times New Roman" w:hAnsi="Times New Roman" w:cs="Times New Roman"/>
          <w:sz w:val="20"/>
          <w:szCs w:val="20"/>
          <w:lang w:val="en-US"/>
        </w:rPr>
        <w:t xml:space="preserve">[2017] EWCA </w:t>
      </w:r>
      <w:proofErr w:type="spellStart"/>
      <w:r w:rsidRPr="00FB6A3D">
        <w:rPr>
          <w:rFonts w:ascii="Times New Roman" w:hAnsi="Times New Roman" w:cs="Times New Roman"/>
          <w:sz w:val="20"/>
          <w:szCs w:val="20"/>
          <w:lang w:val="en-US"/>
        </w:rPr>
        <w:t>Civ</w:t>
      </w:r>
      <w:proofErr w:type="spellEnd"/>
      <w:r w:rsidRPr="00FB6A3D">
        <w:rPr>
          <w:rFonts w:ascii="Times New Roman" w:hAnsi="Times New Roman" w:cs="Times New Roman"/>
          <w:sz w:val="20"/>
          <w:szCs w:val="20"/>
          <w:lang w:val="en-US"/>
        </w:rPr>
        <w:t xml:space="preserve"> 4097, where the policy imposed a £5000 per loss deductible in a scenario where there had been regular thefts over a five-year period. There was simply no evidence as to the size or frequency of losses to enable the Court to determine whether and how often thefts exceeded the deductible, with the outcome that the assured recovered nothing despite suffering losses of around £2 million in that period.</w:t>
      </w:r>
    </w:p>
  </w:footnote>
  <w:footnote w:id="60">
    <w:p w14:paraId="33293071" w14:textId="77777777" w:rsidR="00953880" w:rsidRPr="00710184" w:rsidRDefault="00953880" w:rsidP="00DD7A26">
      <w:pPr>
        <w:pStyle w:val="FootnoteText"/>
        <w:jc w:val="both"/>
        <w:rPr>
          <w:rFonts w:ascii="Times New Roman" w:hAnsi="Times New Roman" w:cs="Times New Roman"/>
          <w:sz w:val="20"/>
          <w:szCs w:val="20"/>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This may also be the case where it is shown on balance of probabilities that the loss was covered by one policy or another, and we return to this shortly.</w:t>
      </w:r>
    </w:p>
  </w:footnote>
  <w:footnote w:id="61">
    <w:p w14:paraId="4E342A34"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It is understood that insurers did in fact pay for this loss, but the basis of the settlement is unknown.</w:t>
      </w:r>
    </w:p>
  </w:footnote>
  <w:footnote w:id="62">
    <w:p w14:paraId="4243EDD9" w14:textId="7FCD4CFB" w:rsidR="00953880" w:rsidRPr="00710184" w:rsidRDefault="00953880" w:rsidP="00DD7A26">
      <w:pPr>
        <w:pStyle w:val="FootnoteText"/>
        <w:jc w:val="both"/>
        <w:rPr>
          <w:rFonts w:ascii="Times New Roman" w:hAnsi="Times New Roman" w:cs="Times New Roman"/>
          <w:sz w:val="20"/>
          <w:szCs w:val="20"/>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We have here stated the </w:t>
      </w:r>
      <w:proofErr w:type="spellStart"/>
      <w:r w:rsidRPr="00710184">
        <w:rPr>
          <w:rFonts w:ascii="Times New Roman" w:hAnsi="Times New Roman" w:cs="Times New Roman"/>
          <w:i/>
          <w:sz w:val="20"/>
          <w:szCs w:val="20"/>
        </w:rPr>
        <w:t>Heneghan</w:t>
      </w:r>
      <w:proofErr w:type="spellEnd"/>
      <w:r w:rsidRPr="00710184">
        <w:rPr>
          <w:rFonts w:ascii="Times New Roman" w:hAnsi="Times New Roman" w:cs="Times New Roman"/>
          <w:i/>
          <w:sz w:val="20"/>
          <w:szCs w:val="20"/>
        </w:rPr>
        <w:t xml:space="preserve"> </w:t>
      </w:r>
      <w:r w:rsidRPr="00710184">
        <w:rPr>
          <w:rFonts w:ascii="Times New Roman" w:hAnsi="Times New Roman" w:cs="Times New Roman"/>
          <w:sz w:val="20"/>
          <w:szCs w:val="20"/>
        </w:rPr>
        <w:t>decision</w:t>
      </w:r>
      <w:r>
        <w:rPr>
          <w:rFonts w:ascii="Times New Roman" w:hAnsi="Times New Roman" w:cs="Times New Roman"/>
          <w:sz w:val="20"/>
          <w:szCs w:val="20"/>
        </w:rPr>
        <w:t xml:space="preserve"> (n 41)</w:t>
      </w:r>
      <w:r w:rsidRPr="00710184">
        <w:rPr>
          <w:rFonts w:ascii="Times New Roman" w:hAnsi="Times New Roman" w:cs="Times New Roman"/>
          <w:sz w:val="20"/>
          <w:szCs w:val="20"/>
        </w:rPr>
        <w:t>, in effect, without recourse to the ‘single agent’ notion.</w:t>
      </w:r>
    </w:p>
  </w:footnote>
  <w:footnote w:id="63">
    <w:p w14:paraId="43087952"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[1974] QB 57.</w:t>
      </w:r>
      <w:proofErr w:type="gramEnd"/>
    </w:p>
  </w:footnote>
  <w:footnote w:id="64">
    <w:p w14:paraId="37231050"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 xml:space="preserve">If one cause is insured and the other uninsured but not excluded, then Lord Denning’s principle is inapplicable, in that the insurers have not stipulated for freedom, and there is full recovery because the insurers have been unable to prove the operation of </w:t>
      </w:r>
      <w:proofErr w:type="gramStart"/>
      <w:r w:rsidRPr="00FB6A3D">
        <w:rPr>
          <w:rFonts w:ascii="Times New Roman" w:hAnsi="Times New Roman" w:cs="Times New Roman"/>
          <w:sz w:val="20"/>
          <w:szCs w:val="20"/>
          <w:lang w:val="en-US"/>
        </w:rPr>
        <w:t>an exclusion</w:t>
      </w:r>
      <w:proofErr w:type="gramEnd"/>
      <w:r w:rsidRPr="00FB6A3D">
        <w:rPr>
          <w:rFonts w:ascii="Times New Roman" w:hAnsi="Times New Roman" w:cs="Times New Roman"/>
          <w:sz w:val="20"/>
          <w:szCs w:val="20"/>
          <w:lang w:val="en-US"/>
        </w:rPr>
        <w:t xml:space="preserve">: </w:t>
      </w:r>
      <w:r w:rsidRPr="00FB6A3D">
        <w:rPr>
          <w:rFonts w:ascii="Times New Roman" w:hAnsi="Times New Roman" w:cs="Times New Roman"/>
          <w:i/>
          <w:sz w:val="20"/>
          <w:szCs w:val="20"/>
        </w:rPr>
        <w:t xml:space="preserve">Global Process Systems </w:t>
      </w:r>
      <w:proofErr w:type="spellStart"/>
      <w:r w:rsidRPr="00FB6A3D">
        <w:rPr>
          <w:rFonts w:ascii="Times New Roman" w:hAnsi="Times New Roman" w:cs="Times New Roman"/>
          <w:i/>
          <w:sz w:val="20"/>
          <w:szCs w:val="20"/>
        </w:rPr>
        <w:t>Inc</w:t>
      </w:r>
      <w:proofErr w:type="spellEnd"/>
      <w:r w:rsidRPr="00FB6A3D">
        <w:rPr>
          <w:rFonts w:ascii="Times New Roman" w:hAnsi="Times New Roman" w:cs="Times New Roman"/>
          <w:i/>
          <w:sz w:val="20"/>
          <w:szCs w:val="20"/>
        </w:rPr>
        <w:t xml:space="preserve"> v </w:t>
      </w:r>
      <w:proofErr w:type="spellStart"/>
      <w:r w:rsidRPr="00FB6A3D">
        <w:rPr>
          <w:rFonts w:ascii="Times New Roman" w:hAnsi="Times New Roman" w:cs="Times New Roman"/>
          <w:i/>
          <w:sz w:val="20"/>
          <w:szCs w:val="20"/>
        </w:rPr>
        <w:t>Berhad</w:t>
      </w:r>
      <w:proofErr w:type="spellEnd"/>
      <w:r w:rsidRPr="00FB6A3D">
        <w:rPr>
          <w:rFonts w:ascii="Times New Roman" w:hAnsi="Times New Roman" w:cs="Times New Roman"/>
          <w:i/>
          <w:sz w:val="20"/>
          <w:szCs w:val="20"/>
        </w:rPr>
        <w:t xml:space="preserve">, The </w:t>
      </w:r>
      <w:proofErr w:type="spellStart"/>
      <w:r w:rsidRPr="00FB6A3D">
        <w:rPr>
          <w:rFonts w:ascii="Times New Roman" w:hAnsi="Times New Roman" w:cs="Times New Roman"/>
          <w:i/>
          <w:sz w:val="20"/>
          <w:szCs w:val="20"/>
        </w:rPr>
        <w:t>Cendor</w:t>
      </w:r>
      <w:proofErr w:type="spellEnd"/>
      <w:r w:rsidRPr="00FB6A3D">
        <w:rPr>
          <w:rFonts w:ascii="Times New Roman" w:hAnsi="Times New Roman" w:cs="Times New Roman"/>
          <w:i/>
          <w:sz w:val="20"/>
          <w:szCs w:val="20"/>
        </w:rPr>
        <w:t xml:space="preserve"> </w:t>
      </w:r>
      <w:proofErr w:type="spellStart"/>
      <w:r w:rsidRPr="00FB6A3D">
        <w:rPr>
          <w:rFonts w:ascii="Times New Roman" w:hAnsi="Times New Roman" w:cs="Times New Roman"/>
          <w:i/>
          <w:sz w:val="20"/>
          <w:szCs w:val="20"/>
        </w:rPr>
        <w:t>Mopu</w:t>
      </w:r>
      <w:proofErr w:type="spellEnd"/>
      <w:r w:rsidRPr="00FB6A3D">
        <w:rPr>
          <w:rFonts w:ascii="Times New Roman" w:hAnsi="Times New Roman" w:cs="Times New Roman"/>
          <w:sz w:val="20"/>
          <w:szCs w:val="20"/>
        </w:rPr>
        <w:t xml:space="preserve"> [2011] UKSC 5.</w:t>
      </w:r>
    </w:p>
  </w:footnote>
  <w:footnote w:id="65">
    <w:p w14:paraId="57359884" w14:textId="3C8AE6E9"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i/>
          <w:sz w:val="20"/>
          <w:szCs w:val="20"/>
        </w:rPr>
        <w:t>Kuwait Airways Corp SAK v Kuwait Insurance Co SA</w:t>
      </w:r>
      <w:r>
        <w:rPr>
          <w:rFonts w:ascii="Times New Roman" w:hAnsi="Times New Roman" w:cs="Times New Roman"/>
          <w:sz w:val="20"/>
          <w:szCs w:val="20"/>
        </w:rPr>
        <w:t xml:space="preserve"> [1999] Lloyd’s Rep IR</w:t>
      </w:r>
      <w:r w:rsidRPr="00FB6A3D">
        <w:rPr>
          <w:rFonts w:ascii="Times New Roman" w:hAnsi="Times New Roman" w:cs="Times New Roman"/>
          <w:sz w:val="20"/>
          <w:szCs w:val="20"/>
        </w:rPr>
        <w:t xml:space="preserve"> 803;</w:t>
      </w:r>
      <w:r w:rsidRPr="00FB6A3D">
        <w:rPr>
          <w:rFonts w:ascii="Times New Roman" w:hAnsi="Times New Roman" w:cs="Times New Roman"/>
          <w:i/>
          <w:sz w:val="20"/>
          <w:szCs w:val="20"/>
        </w:rPr>
        <w:t xml:space="preserve"> Midland Mainline Ltd v Commercial Union Assurance Co Ltd</w:t>
      </w:r>
      <w:r w:rsidRPr="00FB6A3D">
        <w:rPr>
          <w:rFonts w:ascii="Times New Roman" w:hAnsi="Times New Roman" w:cs="Times New Roman"/>
          <w:sz w:val="20"/>
          <w:szCs w:val="20"/>
        </w:rPr>
        <w:t xml:space="preserve"> [2</w:t>
      </w:r>
      <w:r>
        <w:rPr>
          <w:rFonts w:ascii="Times New Roman" w:hAnsi="Times New Roman" w:cs="Times New Roman"/>
          <w:sz w:val="20"/>
          <w:szCs w:val="20"/>
        </w:rPr>
        <w:t>004] Lloyd’s Rep IR</w:t>
      </w:r>
      <w:r w:rsidRPr="00FB6A3D">
        <w:rPr>
          <w:rFonts w:ascii="Times New Roman" w:hAnsi="Times New Roman" w:cs="Times New Roman"/>
          <w:sz w:val="20"/>
          <w:szCs w:val="20"/>
        </w:rPr>
        <w:t xml:space="preserve"> 239;</w:t>
      </w:r>
      <w:r w:rsidRPr="00FB6A3D">
        <w:rPr>
          <w:rFonts w:ascii="Times New Roman" w:hAnsi="Times New Roman" w:cs="Times New Roman"/>
          <w:i/>
          <w:sz w:val="20"/>
          <w:szCs w:val="20"/>
        </w:rPr>
        <w:t xml:space="preserve"> </w:t>
      </w:r>
      <w:proofErr w:type="spellStart"/>
      <w:r w:rsidRPr="00FB6A3D">
        <w:rPr>
          <w:rFonts w:ascii="Times New Roman" w:hAnsi="Times New Roman" w:cs="Times New Roman"/>
          <w:i/>
          <w:sz w:val="20"/>
          <w:szCs w:val="20"/>
        </w:rPr>
        <w:t>Tektrol</w:t>
      </w:r>
      <w:proofErr w:type="spellEnd"/>
      <w:r w:rsidRPr="00FB6A3D">
        <w:rPr>
          <w:rFonts w:ascii="Times New Roman" w:hAnsi="Times New Roman" w:cs="Times New Roman"/>
          <w:i/>
          <w:sz w:val="20"/>
          <w:szCs w:val="20"/>
        </w:rPr>
        <w:t xml:space="preserve"> Ltd v International Insurance Co of Hanover Ltd</w:t>
      </w:r>
      <w:r>
        <w:rPr>
          <w:rFonts w:ascii="Times New Roman" w:hAnsi="Times New Roman" w:cs="Times New Roman"/>
          <w:sz w:val="20"/>
          <w:szCs w:val="20"/>
        </w:rPr>
        <w:t xml:space="preserve"> [2006] Lloyd’s Rep IR</w:t>
      </w:r>
      <w:r w:rsidRPr="00FB6A3D">
        <w:rPr>
          <w:rFonts w:ascii="Times New Roman" w:hAnsi="Times New Roman" w:cs="Times New Roman"/>
          <w:sz w:val="20"/>
          <w:szCs w:val="20"/>
        </w:rPr>
        <w:t xml:space="preserve"> 38;</w:t>
      </w:r>
      <w:r w:rsidRPr="00FB6A3D">
        <w:rPr>
          <w:rFonts w:ascii="Times New Roman" w:hAnsi="Times New Roman" w:cs="Times New Roman"/>
          <w:i/>
          <w:sz w:val="20"/>
          <w:szCs w:val="20"/>
        </w:rPr>
        <w:t xml:space="preserve"> UK Insurance v Farrow</w:t>
      </w:r>
      <w:r w:rsidRPr="00FB6A3D">
        <w:rPr>
          <w:rFonts w:ascii="Times New Roman" w:hAnsi="Times New Roman" w:cs="Times New Roman"/>
          <w:sz w:val="20"/>
          <w:szCs w:val="20"/>
        </w:rPr>
        <w:t xml:space="preserve"> [2016] EWHC 1090 (</w:t>
      </w:r>
      <w:proofErr w:type="spellStart"/>
      <w:r w:rsidRPr="00FB6A3D">
        <w:rPr>
          <w:rFonts w:ascii="Times New Roman" w:hAnsi="Times New Roman" w:cs="Times New Roman"/>
          <w:sz w:val="20"/>
          <w:szCs w:val="20"/>
        </w:rPr>
        <w:t>Comm</w:t>
      </w:r>
      <w:proofErr w:type="spellEnd"/>
      <w:r w:rsidRPr="00FB6A3D">
        <w:rPr>
          <w:rFonts w:ascii="Times New Roman" w:hAnsi="Times New Roman" w:cs="Times New Roman"/>
          <w:sz w:val="20"/>
          <w:szCs w:val="20"/>
        </w:rPr>
        <w:t>).</w:t>
      </w:r>
    </w:p>
  </w:footnote>
  <w:footnote w:id="66">
    <w:p w14:paraId="3E28D66C" w14:textId="4D79B4B7" w:rsidR="00953880" w:rsidRPr="00E104E3" w:rsidRDefault="00953880" w:rsidP="00DD7A26">
      <w:pPr>
        <w:pStyle w:val="FootnoteText"/>
        <w:jc w:val="both"/>
        <w:rPr>
          <w:rFonts w:ascii="Times New Roman" w:hAnsi="Times New Roman" w:cs="Times New Roman"/>
          <w:sz w:val="20"/>
          <w:szCs w:val="20"/>
          <w:lang w:val="en-US"/>
        </w:rPr>
      </w:pPr>
      <w:r w:rsidRPr="00E104E3">
        <w:rPr>
          <w:rStyle w:val="FootnoteReference"/>
          <w:rFonts w:ascii="Times New Roman" w:hAnsi="Times New Roman" w:cs="Times New Roman"/>
          <w:sz w:val="20"/>
          <w:szCs w:val="20"/>
        </w:rPr>
        <w:footnoteRef/>
      </w:r>
      <w:r w:rsidRPr="00E104E3">
        <w:rPr>
          <w:rFonts w:ascii="Times New Roman" w:hAnsi="Times New Roman" w:cs="Times New Roman"/>
          <w:sz w:val="20"/>
          <w:szCs w:val="20"/>
        </w:rPr>
        <w:t xml:space="preserve"> </w:t>
      </w:r>
      <w:proofErr w:type="gramStart"/>
      <w:r w:rsidRPr="00E104E3">
        <w:rPr>
          <w:rFonts w:ascii="Times New Roman" w:hAnsi="Times New Roman" w:cs="Times New Roman"/>
          <w:sz w:val="20"/>
          <w:szCs w:val="20"/>
        </w:rPr>
        <w:t>[2017] FCA 1340.</w:t>
      </w:r>
      <w:proofErr w:type="gramEnd"/>
      <w:r w:rsidR="00E104E3" w:rsidRPr="00E104E3">
        <w:rPr>
          <w:rFonts w:ascii="Times New Roman" w:hAnsi="Times New Roman" w:cs="Times New Roman"/>
          <w:sz w:val="20"/>
          <w:szCs w:val="20"/>
        </w:rPr>
        <w:t xml:space="preserve"> See also </w:t>
      </w:r>
      <w:proofErr w:type="spellStart"/>
      <w:r w:rsidR="00E104E3" w:rsidRPr="000976A6">
        <w:rPr>
          <w:rFonts w:ascii="Times New Roman" w:eastAsia="Times New Roman" w:hAnsi="Times New Roman" w:cs="Times New Roman"/>
          <w:bCs/>
          <w:i/>
          <w:color w:val="000000"/>
          <w:sz w:val="20"/>
          <w:szCs w:val="20"/>
          <w:shd w:val="clear" w:color="auto" w:fill="F2F2F2"/>
        </w:rPr>
        <w:t>Wiesac</w:t>
      </w:r>
      <w:proofErr w:type="spellEnd"/>
      <w:r w:rsidR="00E104E3" w:rsidRPr="000976A6">
        <w:rPr>
          <w:rFonts w:ascii="Times New Roman" w:eastAsia="Times New Roman" w:hAnsi="Times New Roman" w:cs="Times New Roman"/>
          <w:bCs/>
          <w:i/>
          <w:color w:val="000000"/>
          <w:sz w:val="20"/>
          <w:szCs w:val="20"/>
          <w:shd w:val="clear" w:color="auto" w:fill="F2F2F2"/>
        </w:rPr>
        <w:t xml:space="preserve"> Pty </w:t>
      </w:r>
      <w:proofErr w:type="gramStart"/>
      <w:r w:rsidR="00E104E3" w:rsidRPr="000976A6">
        <w:rPr>
          <w:rFonts w:ascii="Times New Roman" w:eastAsia="Times New Roman" w:hAnsi="Times New Roman" w:cs="Times New Roman"/>
          <w:bCs/>
          <w:i/>
          <w:color w:val="000000"/>
          <w:sz w:val="20"/>
          <w:szCs w:val="20"/>
          <w:shd w:val="clear" w:color="auto" w:fill="F2F2F2"/>
        </w:rPr>
        <w:t>Ltd  v</w:t>
      </w:r>
      <w:proofErr w:type="gramEnd"/>
      <w:r w:rsidR="00E104E3" w:rsidRPr="000976A6">
        <w:rPr>
          <w:rFonts w:ascii="Times New Roman" w:eastAsia="Times New Roman" w:hAnsi="Times New Roman" w:cs="Times New Roman"/>
          <w:bCs/>
          <w:i/>
          <w:color w:val="000000"/>
          <w:sz w:val="20"/>
          <w:szCs w:val="20"/>
          <w:shd w:val="clear" w:color="auto" w:fill="F2F2F2"/>
        </w:rPr>
        <w:t xml:space="preserve"> Insurance Australia Ltd</w:t>
      </w:r>
      <w:r w:rsidR="00E104E3" w:rsidRPr="000976A6">
        <w:rPr>
          <w:rStyle w:val="apple-converted-space"/>
          <w:rFonts w:ascii="Times New Roman" w:eastAsia="Times New Roman" w:hAnsi="Times New Roman" w:cs="Times New Roman"/>
          <w:bCs/>
          <w:color w:val="000000"/>
          <w:sz w:val="20"/>
          <w:szCs w:val="20"/>
          <w:shd w:val="clear" w:color="auto" w:fill="F2F2F2"/>
        </w:rPr>
        <w:t> </w:t>
      </w:r>
      <w:r w:rsidR="00E104E3" w:rsidRPr="000976A6">
        <w:rPr>
          <w:rFonts w:ascii="Times New Roman" w:eastAsia="Times New Roman" w:hAnsi="Times New Roman" w:cs="Times New Roman"/>
          <w:bCs/>
          <w:color w:val="000000"/>
          <w:sz w:val="20"/>
          <w:szCs w:val="20"/>
          <w:shd w:val="clear" w:color="auto" w:fill="F2F2F2"/>
        </w:rPr>
        <w:t>[2018] QSC 123.</w:t>
      </w:r>
    </w:p>
  </w:footnote>
  <w:footnote w:id="67">
    <w:p w14:paraId="3FB6B83D"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[2017] NZCA 321.</w:t>
      </w:r>
      <w:proofErr w:type="gramEnd"/>
    </w:p>
  </w:footnote>
  <w:footnote w:id="68">
    <w:p w14:paraId="5FC6CF2E" w14:textId="0E3BC353"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i/>
          <w:iCs/>
          <w:color w:val="000000"/>
          <w:sz w:val="20"/>
          <w:szCs w:val="20"/>
        </w:rPr>
        <w:t xml:space="preserve">State Insurance Office Manager v </w:t>
      </w:r>
      <w:proofErr w:type="spellStart"/>
      <w:r w:rsidRPr="00FB6A3D">
        <w:rPr>
          <w:rFonts w:ascii="Times New Roman" w:hAnsi="Times New Roman" w:cs="Times New Roman"/>
          <w:i/>
          <w:iCs/>
          <w:color w:val="000000"/>
          <w:sz w:val="20"/>
          <w:szCs w:val="20"/>
        </w:rPr>
        <w:t>Bettany</w:t>
      </w:r>
      <w:proofErr w:type="spellEnd"/>
      <w:r w:rsidRPr="00FB6A3D">
        <w:rPr>
          <w:rStyle w:val="apple-converted-space"/>
          <w:rFonts w:ascii="Times New Roman" w:hAnsi="Times New Roman" w:cs="Times New Roman"/>
          <w:color w:val="000000"/>
          <w:sz w:val="20"/>
          <w:szCs w:val="20"/>
        </w:rPr>
        <w:t> </w:t>
      </w:r>
      <w:r w:rsidRPr="00FB6A3D">
        <w:rPr>
          <w:rFonts w:ascii="Times New Roman" w:hAnsi="Times New Roman" w:cs="Times New Roman"/>
          <w:color w:val="000000"/>
          <w:sz w:val="20"/>
          <w:szCs w:val="20"/>
        </w:rPr>
        <w:t>(1990) 6 ANZ Insurances Cases 76,818;</w:t>
      </w:r>
      <w:r w:rsidRPr="00FB6A3D">
        <w:rPr>
          <w:rStyle w:val="apple-converted-space"/>
          <w:rFonts w:ascii="Times New Roman" w:hAnsi="Times New Roman" w:cs="Times New Roman"/>
          <w:color w:val="000000"/>
          <w:sz w:val="20"/>
          <w:szCs w:val="20"/>
        </w:rPr>
        <w:t> </w:t>
      </w:r>
      <w:r w:rsidRPr="00FB6A3D">
        <w:rPr>
          <w:rFonts w:ascii="Times New Roman" w:hAnsi="Times New Roman" w:cs="Times New Roman"/>
          <w:i/>
          <w:iCs/>
          <w:color w:val="000000"/>
          <w:sz w:val="20"/>
          <w:szCs w:val="20"/>
        </w:rPr>
        <w:t>Countryside Finance Ltd v State Insurance Ltd</w:t>
      </w:r>
      <w:proofErr w:type="gramStart"/>
      <w:r w:rsidRPr="00FB6A3D">
        <w:rPr>
          <w:rStyle w:val="apple-converted-space"/>
          <w:rFonts w:ascii="Times New Roman" w:hAnsi="Times New Roman" w:cs="Times New Roman"/>
          <w:color w:val="000000"/>
          <w:sz w:val="20"/>
          <w:szCs w:val="20"/>
        </w:rPr>
        <w:t> </w:t>
      </w:r>
      <w:r w:rsidRPr="00FB6A3D">
        <w:rPr>
          <w:rFonts w:ascii="Times New Roman" w:hAnsi="Times New Roman" w:cs="Times New Roman"/>
          <w:color w:val="000000"/>
          <w:sz w:val="20"/>
          <w:szCs w:val="20"/>
        </w:rPr>
        <w:t xml:space="preserve"> [</w:t>
      </w:r>
      <w:proofErr w:type="gramEnd"/>
      <w:r w:rsidRPr="00FB6A3D">
        <w:rPr>
          <w:rFonts w:ascii="Times New Roman" w:hAnsi="Times New Roman" w:cs="Times New Roman"/>
          <w:color w:val="000000"/>
          <w:sz w:val="20"/>
          <w:szCs w:val="20"/>
        </w:rPr>
        <w:t xml:space="preserve">1993] 3 NZLR 745; </w:t>
      </w:r>
      <w:r w:rsidRPr="00FB6A3D">
        <w:rPr>
          <w:rFonts w:ascii="Times New Roman" w:hAnsi="Times New Roman" w:cs="Times New Roman"/>
          <w:i/>
          <w:iCs/>
          <w:color w:val="000000"/>
          <w:sz w:val="20"/>
          <w:szCs w:val="20"/>
        </w:rPr>
        <w:t xml:space="preserve">Body Corporate 326421 v Auckland </w:t>
      </w:r>
      <w:r w:rsidRPr="0077532F">
        <w:rPr>
          <w:rFonts w:ascii="Times New Roman" w:hAnsi="Times New Roman" w:cs="Times New Roman"/>
          <w:i/>
          <w:iCs/>
          <w:color w:val="000000"/>
          <w:sz w:val="20"/>
          <w:szCs w:val="20"/>
        </w:rPr>
        <w:t>Council</w:t>
      </w:r>
      <w:r w:rsidRPr="0077532F">
        <w:rPr>
          <w:rStyle w:val="apple-converted-space"/>
          <w:rFonts w:ascii="Times New Roman" w:hAnsi="Times New Roman" w:cs="Times New Roman"/>
          <w:color w:val="000000"/>
          <w:sz w:val="20"/>
          <w:szCs w:val="20"/>
        </w:rPr>
        <w:t> </w:t>
      </w:r>
      <w:r w:rsidRPr="0077532F">
        <w:rPr>
          <w:rFonts w:ascii="Times New Roman" w:hAnsi="Times New Roman" w:cs="Times New Roman"/>
          <w:sz w:val="20"/>
          <w:szCs w:val="20"/>
        </w:rPr>
        <w:t>[2015] NZHC 862</w:t>
      </w:r>
      <w:r w:rsidRPr="0077532F">
        <w:rPr>
          <w:rStyle w:val="apple-converted-space"/>
          <w:rFonts w:ascii="Times New Roman" w:hAnsi="Times New Roman" w:cs="Times New Roman"/>
          <w:color w:val="000000"/>
          <w:sz w:val="20"/>
          <w:szCs w:val="20"/>
        </w:rPr>
        <w:t>.</w:t>
      </w:r>
    </w:p>
  </w:footnote>
  <w:footnote w:id="69">
    <w:p w14:paraId="6906FB70"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There is an exception in marine insurance, where it has been held that perils of the seas (insured) and inherent vice (excluded) are mutually exclusive, so that if the assured proves the former then the latter is automatically discounted: </w:t>
      </w:r>
      <w:r w:rsidRPr="00FB6A3D">
        <w:rPr>
          <w:rFonts w:ascii="Times New Roman" w:hAnsi="Times New Roman" w:cs="Times New Roman"/>
          <w:i/>
          <w:sz w:val="20"/>
          <w:szCs w:val="20"/>
        </w:rPr>
        <w:t xml:space="preserve">Global Process Systems </w:t>
      </w:r>
      <w:proofErr w:type="spellStart"/>
      <w:r w:rsidRPr="00FB6A3D">
        <w:rPr>
          <w:rFonts w:ascii="Times New Roman" w:hAnsi="Times New Roman" w:cs="Times New Roman"/>
          <w:i/>
          <w:sz w:val="20"/>
          <w:szCs w:val="20"/>
        </w:rPr>
        <w:t>Inc</w:t>
      </w:r>
      <w:proofErr w:type="spellEnd"/>
      <w:r w:rsidRPr="00FB6A3D">
        <w:rPr>
          <w:rFonts w:ascii="Times New Roman" w:hAnsi="Times New Roman" w:cs="Times New Roman"/>
          <w:i/>
          <w:sz w:val="20"/>
          <w:szCs w:val="20"/>
        </w:rPr>
        <w:t xml:space="preserve"> v Syarikat Takaful Malaysia </w:t>
      </w:r>
      <w:proofErr w:type="spellStart"/>
      <w:r w:rsidRPr="00FB6A3D">
        <w:rPr>
          <w:rFonts w:ascii="Times New Roman" w:hAnsi="Times New Roman" w:cs="Times New Roman"/>
          <w:i/>
          <w:sz w:val="20"/>
          <w:szCs w:val="20"/>
        </w:rPr>
        <w:t>Berhad</w:t>
      </w:r>
      <w:proofErr w:type="spellEnd"/>
      <w:r w:rsidRPr="00FB6A3D">
        <w:rPr>
          <w:rFonts w:ascii="Times New Roman" w:hAnsi="Times New Roman" w:cs="Times New Roman"/>
          <w:i/>
          <w:sz w:val="20"/>
          <w:szCs w:val="20"/>
        </w:rPr>
        <w:t xml:space="preserve">, The </w:t>
      </w:r>
      <w:proofErr w:type="spellStart"/>
      <w:r w:rsidRPr="00FB6A3D">
        <w:rPr>
          <w:rFonts w:ascii="Times New Roman" w:hAnsi="Times New Roman" w:cs="Times New Roman"/>
          <w:i/>
          <w:sz w:val="20"/>
          <w:szCs w:val="20"/>
        </w:rPr>
        <w:t>Cendor</w:t>
      </w:r>
      <w:proofErr w:type="spellEnd"/>
      <w:r w:rsidRPr="00FB6A3D">
        <w:rPr>
          <w:rFonts w:ascii="Times New Roman" w:hAnsi="Times New Roman" w:cs="Times New Roman"/>
          <w:i/>
          <w:sz w:val="20"/>
          <w:szCs w:val="20"/>
        </w:rPr>
        <w:t xml:space="preserve"> </w:t>
      </w:r>
      <w:proofErr w:type="spellStart"/>
      <w:r w:rsidRPr="00FB6A3D">
        <w:rPr>
          <w:rFonts w:ascii="Times New Roman" w:hAnsi="Times New Roman" w:cs="Times New Roman"/>
          <w:i/>
          <w:sz w:val="20"/>
          <w:szCs w:val="20"/>
        </w:rPr>
        <w:t>Mopu</w:t>
      </w:r>
      <w:proofErr w:type="spellEnd"/>
      <w:r w:rsidRPr="00FB6A3D">
        <w:rPr>
          <w:rFonts w:ascii="Times New Roman" w:hAnsi="Times New Roman" w:cs="Times New Roman"/>
          <w:sz w:val="20"/>
          <w:szCs w:val="20"/>
        </w:rPr>
        <w:t xml:space="preserve"> [2011] UKSC 5.</w:t>
      </w:r>
    </w:p>
  </w:footnote>
  <w:footnote w:id="70">
    <w:p w14:paraId="4BE8EED3"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We have already discussed the position where there is no such evidence.</w:t>
      </w:r>
    </w:p>
  </w:footnote>
  <w:footnote w:id="71">
    <w:p w14:paraId="421EE726"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[2001] SCC 72.</w:t>
      </w:r>
      <w:proofErr w:type="gramEnd"/>
    </w:p>
  </w:footnote>
  <w:footnote w:id="72">
    <w:p w14:paraId="3696761F" w14:textId="7777777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[2016] NZHC 1492.</w:t>
      </w:r>
      <w:proofErr w:type="gramEnd"/>
    </w:p>
  </w:footnote>
  <w:footnote w:id="73">
    <w:p w14:paraId="453E4A85" w14:textId="77777777"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r w:rsidRPr="00FB6A3D">
        <w:rPr>
          <w:rFonts w:ascii="Times New Roman" w:hAnsi="Times New Roman" w:cs="Times New Roman"/>
          <w:sz w:val="20"/>
          <w:szCs w:val="20"/>
          <w:lang w:val="en-US"/>
        </w:rPr>
        <w:t xml:space="preserve">The first instance decision in </w:t>
      </w:r>
      <w:r w:rsidRPr="00FB6A3D">
        <w:rPr>
          <w:rFonts w:ascii="Times New Roman" w:hAnsi="Times New Roman" w:cs="Times New Roman"/>
          <w:i/>
          <w:sz w:val="20"/>
          <w:szCs w:val="20"/>
          <w:lang w:val="en-US"/>
        </w:rPr>
        <w:t xml:space="preserve">Legg </w:t>
      </w:r>
      <w:r w:rsidRPr="00FB6A3D">
        <w:rPr>
          <w:rFonts w:ascii="Times New Roman" w:hAnsi="Times New Roman" w:cs="Times New Roman"/>
          <w:sz w:val="20"/>
          <w:szCs w:val="20"/>
          <w:lang w:val="en-US"/>
        </w:rPr>
        <w:t xml:space="preserve">was, before the Court of Appeal’s reversal of it, questioned in </w:t>
      </w:r>
      <w:r w:rsidRPr="00FB6A3D">
        <w:rPr>
          <w:rFonts w:ascii="Times New Roman" w:hAnsi="Times New Roman" w:cs="Times New Roman"/>
          <w:i/>
          <w:sz w:val="20"/>
          <w:szCs w:val="20"/>
        </w:rPr>
        <w:t xml:space="preserve">Sadat v Tower Insurance Ltd </w:t>
      </w:r>
      <w:r w:rsidRPr="00FB6A3D">
        <w:rPr>
          <w:rFonts w:ascii="Times New Roman" w:hAnsi="Times New Roman" w:cs="Times New Roman"/>
          <w:sz w:val="20"/>
          <w:szCs w:val="20"/>
        </w:rPr>
        <w:t>[2017] NZHC 1550.</w:t>
      </w:r>
    </w:p>
  </w:footnote>
  <w:footnote w:id="74">
    <w:p w14:paraId="01BDA032" w14:textId="5B012C86"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Pr>
          <w:rFonts w:ascii="Times New Roman" w:hAnsi="Times New Roman" w:cs="Times New Roman"/>
          <w:sz w:val="20"/>
          <w:szCs w:val="20"/>
        </w:rPr>
        <w:t>[2018] UKSC 26</w:t>
      </w:r>
      <w:r w:rsidRPr="00FB6A3D">
        <w:rPr>
          <w:rFonts w:ascii="Times New Roman" w:hAnsi="Times New Roman" w:cs="Times New Roman"/>
          <w:sz w:val="20"/>
          <w:szCs w:val="20"/>
        </w:rPr>
        <w:t>.</w:t>
      </w:r>
      <w:proofErr w:type="gramEnd"/>
    </w:p>
  </w:footnote>
  <w:footnote w:id="75">
    <w:p w14:paraId="78F86719" w14:textId="6715B12F" w:rsidR="00953880" w:rsidRPr="0077532F" w:rsidRDefault="00953880" w:rsidP="00DD7A26">
      <w:pPr>
        <w:pStyle w:val="FootnoteText"/>
        <w:jc w:val="both"/>
        <w:rPr>
          <w:rFonts w:ascii="Times New Roman" w:hAnsi="Times New Roman" w:cs="Times New Roman"/>
          <w:sz w:val="20"/>
          <w:szCs w:val="20"/>
        </w:rPr>
      </w:pPr>
      <w:r w:rsidRPr="0077532F">
        <w:rPr>
          <w:rStyle w:val="FootnoteReference"/>
          <w:rFonts w:ascii="Times New Roman" w:hAnsi="Times New Roman" w:cs="Times New Roman"/>
          <w:sz w:val="20"/>
          <w:szCs w:val="20"/>
        </w:rPr>
        <w:footnoteRef/>
      </w:r>
      <w:r w:rsidRPr="0077532F">
        <w:rPr>
          <w:rFonts w:ascii="Times New Roman" w:hAnsi="Times New Roman" w:cs="Times New Roman"/>
          <w:sz w:val="20"/>
          <w:szCs w:val="20"/>
        </w:rPr>
        <w:t xml:space="preserve"> </w:t>
      </w:r>
      <w:proofErr w:type="gramStart"/>
      <w:r w:rsidRPr="0077532F">
        <w:rPr>
          <w:rFonts w:ascii="Times New Roman" w:hAnsi="Times New Roman" w:cs="Times New Roman"/>
          <w:sz w:val="20"/>
          <w:szCs w:val="20"/>
        </w:rPr>
        <w:t>ibid [49].</w:t>
      </w:r>
      <w:proofErr w:type="gramEnd"/>
    </w:p>
  </w:footnote>
  <w:footnote w:id="76">
    <w:p w14:paraId="2BA1AAD3" w14:textId="4DBE5F38" w:rsidR="00953880" w:rsidRPr="00FB6A3D" w:rsidRDefault="00953880" w:rsidP="00DD7A26">
      <w:pPr>
        <w:pStyle w:val="Footnote"/>
        <w:spacing w:line="240" w:lineRule="auto"/>
        <w:ind w:left="0" w:firstLine="0"/>
        <w:rPr>
          <w:rFonts w:ascii="Times New Roman" w:hAnsi="Times New Roman" w:cs="Times New Roman"/>
          <w:sz w:val="20"/>
          <w:szCs w:val="20"/>
        </w:rPr>
      </w:pPr>
      <w:r w:rsidRPr="00FB6A3D">
        <w:rPr>
          <w:rFonts w:ascii="Times New Roman" w:hAnsi="Times New Roman" w:cs="Times New Roman"/>
          <w:sz w:val="20"/>
          <w:szCs w:val="20"/>
          <w:vertAlign w:val="superscript"/>
        </w:rPr>
        <w:footnoteRef/>
      </w:r>
      <w:r w:rsidRPr="00FB6A3D">
        <w:rPr>
          <w:rStyle w:val="footref"/>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[2010] EWHC 1186 (</w:t>
      </w:r>
      <w:proofErr w:type="spellStart"/>
      <w:r w:rsidRPr="00FB6A3D">
        <w:rPr>
          <w:rFonts w:ascii="Times New Roman" w:hAnsi="Times New Roman" w:cs="Times New Roman"/>
          <w:sz w:val="20"/>
          <w:szCs w:val="20"/>
        </w:rPr>
        <w:t>Comm</w:t>
      </w:r>
      <w:proofErr w:type="spellEnd"/>
      <w:r w:rsidRPr="00FB6A3D">
        <w:rPr>
          <w:rFonts w:ascii="Times New Roman" w:hAnsi="Times New Roman" w:cs="Times New Roman"/>
          <w:sz w:val="20"/>
          <w:szCs w:val="20"/>
        </w:rPr>
        <w:t>).</w:t>
      </w:r>
      <w:proofErr w:type="gramEnd"/>
      <w:r w:rsidRPr="00FB6A3D" w:rsidDel="00C078BF">
        <w:rPr>
          <w:rFonts w:ascii="Times New Roman" w:hAnsi="Times New Roman" w:cs="Times New Roman"/>
          <w:sz w:val="20"/>
          <w:szCs w:val="20"/>
        </w:rPr>
        <w:t xml:space="preserve"> </w:t>
      </w:r>
    </w:p>
  </w:footnote>
  <w:footnote w:id="77">
    <w:p w14:paraId="74233A6A" w14:textId="77777777" w:rsidR="00953880" w:rsidRPr="009664B4" w:rsidRDefault="00953880" w:rsidP="00DD7A26">
      <w:pPr>
        <w:pStyle w:val="Footnote"/>
        <w:spacing w:line="240" w:lineRule="auto"/>
        <w:rPr>
          <w:rFonts w:ascii="Times New Roman" w:hAnsi="Times New Roman" w:cs="Times New Roman"/>
          <w:sz w:val="20"/>
          <w:szCs w:val="20"/>
        </w:rPr>
      </w:pPr>
      <w:r w:rsidRPr="009664B4">
        <w:rPr>
          <w:rStyle w:val="FootnoteReference"/>
          <w:rFonts w:ascii="Times New Roman" w:hAnsi="Times New Roman" w:cs="Times New Roman"/>
          <w:sz w:val="20"/>
          <w:szCs w:val="20"/>
        </w:rPr>
        <w:footnoteRef/>
      </w:r>
      <w:r w:rsidRPr="009664B4">
        <w:rPr>
          <w:rFonts w:ascii="Times New Roman" w:hAnsi="Times New Roman" w:cs="Times New Roman"/>
          <w:sz w:val="20"/>
          <w:szCs w:val="20"/>
        </w:rPr>
        <w:t xml:space="preserve"> (2007) 14 ANZ Insurance Cases 61–725.</w:t>
      </w:r>
    </w:p>
  </w:footnote>
  <w:footnote w:id="78">
    <w:p w14:paraId="0684E594" w14:textId="3E7A7C57" w:rsidR="00953880" w:rsidRPr="00FB6A3D" w:rsidRDefault="00953880" w:rsidP="00DD7A26">
      <w:pPr>
        <w:pStyle w:val="FootnoteText"/>
        <w:jc w:val="both"/>
        <w:rPr>
          <w:rFonts w:ascii="Times New Roman" w:hAnsi="Times New Roman" w:cs="Times New Roman"/>
          <w:sz w:val="20"/>
          <w:szCs w:val="20"/>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[2008] NSWCA 243.</w:t>
      </w:r>
      <w:proofErr w:type="gramEnd"/>
    </w:p>
  </w:footnote>
  <w:footnote w:id="79">
    <w:p w14:paraId="336815FD" w14:textId="0B5E5F4B" w:rsidR="00953880" w:rsidRPr="00FB6A3D" w:rsidRDefault="00953880" w:rsidP="00DD7A26">
      <w:pPr>
        <w:pStyle w:val="FootnoteText"/>
        <w:jc w:val="both"/>
        <w:rPr>
          <w:rFonts w:ascii="Times New Roman" w:hAnsi="Times New Roman" w:cs="Times New Roman"/>
          <w:sz w:val="20"/>
          <w:szCs w:val="20"/>
          <w:lang w:val="en-US"/>
        </w:rPr>
      </w:pPr>
      <w:r w:rsidRPr="00FB6A3D">
        <w:rPr>
          <w:rStyle w:val="FootnoteReference"/>
          <w:rFonts w:ascii="Times New Roman" w:hAnsi="Times New Roman" w:cs="Times New Roman"/>
          <w:sz w:val="20"/>
          <w:szCs w:val="20"/>
        </w:rPr>
        <w:footnoteRef/>
      </w:r>
      <w:r w:rsidRPr="00FB6A3D">
        <w:rPr>
          <w:rFonts w:ascii="Times New Roman" w:hAnsi="Times New Roman" w:cs="Times New Roman"/>
          <w:sz w:val="20"/>
          <w:szCs w:val="20"/>
        </w:rPr>
        <w:t xml:space="preserve"> </w:t>
      </w:r>
      <w:proofErr w:type="gramStart"/>
      <w:r w:rsidRPr="00710184">
        <w:rPr>
          <w:rFonts w:ascii="Times New Roman" w:hAnsi="Times New Roman" w:cs="Times New Roman"/>
          <w:sz w:val="20"/>
          <w:szCs w:val="20"/>
        </w:rPr>
        <w:t>[2009] NSWSC 51.</w:t>
      </w:r>
      <w:proofErr w:type="gramEnd"/>
    </w:p>
  </w:footnote>
  <w:footnote w:id="80">
    <w:p w14:paraId="61E475CF" w14:textId="12FCFE6F" w:rsidR="00953880" w:rsidRPr="00710184" w:rsidRDefault="00953880" w:rsidP="00DD7A26">
      <w:pPr>
        <w:pStyle w:val="FootnoteText"/>
        <w:jc w:val="both"/>
        <w:rPr>
          <w:rFonts w:ascii="Times New Roman" w:hAnsi="Times New Roman" w:cs="Times New Roman"/>
          <w:sz w:val="20"/>
          <w:szCs w:val="20"/>
          <w:lang w:val="en-US"/>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t>
      </w:r>
      <w:proofErr w:type="gramStart"/>
      <w:r w:rsidRPr="00FB6A3D">
        <w:rPr>
          <w:rFonts w:ascii="Times New Roman" w:hAnsi="Times New Roman" w:cs="Times New Roman"/>
          <w:bCs/>
          <w:spacing w:val="-3"/>
          <w:sz w:val="20"/>
          <w:szCs w:val="20"/>
        </w:rPr>
        <w:t>[2018] EWHC 1083 (</w:t>
      </w:r>
      <w:proofErr w:type="spellStart"/>
      <w:r w:rsidRPr="00FB6A3D">
        <w:rPr>
          <w:rFonts w:ascii="Times New Roman" w:hAnsi="Times New Roman" w:cs="Times New Roman"/>
          <w:bCs/>
          <w:spacing w:val="-3"/>
          <w:sz w:val="20"/>
          <w:szCs w:val="20"/>
        </w:rPr>
        <w:t>Comm</w:t>
      </w:r>
      <w:proofErr w:type="spellEnd"/>
      <w:r w:rsidRPr="00FB6A3D">
        <w:rPr>
          <w:rFonts w:ascii="Times New Roman" w:hAnsi="Times New Roman" w:cs="Times New Roman"/>
          <w:bCs/>
          <w:spacing w:val="-3"/>
          <w:sz w:val="20"/>
          <w:szCs w:val="20"/>
        </w:rPr>
        <w:t>).</w:t>
      </w:r>
      <w:proofErr w:type="gramEnd"/>
    </w:p>
  </w:footnote>
  <w:footnote w:id="81">
    <w:p w14:paraId="3B205FBB" w14:textId="372B68D5" w:rsidR="00953880" w:rsidRPr="00710184" w:rsidRDefault="00953880" w:rsidP="00DD7A26">
      <w:pPr>
        <w:pStyle w:val="FootnoteText"/>
        <w:jc w:val="both"/>
        <w:rPr>
          <w:rFonts w:ascii="Times New Roman" w:hAnsi="Times New Roman" w:cs="Times New Roman"/>
          <w:sz w:val="20"/>
          <w:szCs w:val="20"/>
        </w:rPr>
      </w:pPr>
      <w:r w:rsidRPr="00710184">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proofErr w:type="gramStart"/>
      <w:r>
        <w:rPr>
          <w:rFonts w:ascii="Times New Roman" w:hAnsi="Times New Roman" w:cs="Times New Roman"/>
          <w:sz w:val="20"/>
          <w:szCs w:val="20"/>
        </w:rPr>
        <w:t>Barker and Steele (n 20)</w:t>
      </w:r>
      <w:r w:rsidRPr="00710184">
        <w:rPr>
          <w:rFonts w:ascii="Times New Roman" w:hAnsi="Times New Roman" w:cs="Times New Roman"/>
          <w:sz w:val="20"/>
          <w:szCs w:val="20"/>
        </w:rPr>
        <w:t>.</w:t>
      </w:r>
      <w:proofErr w:type="gramEnd"/>
    </w:p>
  </w:footnote>
  <w:footnote w:id="82">
    <w:p w14:paraId="73254396" w14:textId="1E57CD29" w:rsidR="00953880" w:rsidRPr="00710184" w:rsidRDefault="00953880" w:rsidP="00DD7A26">
      <w:pPr>
        <w:pStyle w:val="FootnoteText"/>
        <w:jc w:val="both"/>
        <w:rPr>
          <w:rFonts w:ascii="Times New Roman" w:hAnsi="Times New Roman" w:cs="Times New Roman"/>
          <w:sz w:val="20"/>
          <w:szCs w:val="20"/>
          <w:lang w:val="en-US"/>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t>
      </w:r>
      <w:proofErr w:type="gramStart"/>
      <w:r w:rsidRPr="00710184">
        <w:rPr>
          <w:rFonts w:ascii="Times New Roman" w:hAnsi="Times New Roman" w:cs="Times New Roman"/>
          <w:sz w:val="20"/>
          <w:szCs w:val="20"/>
        </w:rPr>
        <w:t>[2016] UKSC 42, [2016] 3 WLR 399.</w:t>
      </w:r>
      <w:proofErr w:type="gramEnd"/>
    </w:p>
  </w:footnote>
  <w:footnote w:id="83">
    <w:p w14:paraId="554D5FC1" w14:textId="3FF3AE0E" w:rsidR="00953880" w:rsidRPr="00710184" w:rsidRDefault="00953880" w:rsidP="00DD7A26">
      <w:pPr>
        <w:pStyle w:val="FootnoteText"/>
        <w:jc w:val="both"/>
        <w:rPr>
          <w:rFonts w:ascii="Times New Roman" w:hAnsi="Times New Roman" w:cs="Times New Roman"/>
          <w:sz w:val="20"/>
          <w:szCs w:val="20"/>
          <w:lang w:val="en-US"/>
        </w:rPr>
      </w:pPr>
      <w:r w:rsidRPr="00710184">
        <w:rPr>
          <w:rStyle w:val="FootnoteReference"/>
          <w:rFonts w:ascii="Times New Roman" w:hAnsi="Times New Roman" w:cs="Times New Roman"/>
          <w:sz w:val="20"/>
          <w:szCs w:val="20"/>
        </w:rPr>
        <w:footnoteRef/>
      </w:r>
      <w:r w:rsidRPr="00710184">
        <w:rPr>
          <w:rFonts w:ascii="Times New Roman" w:hAnsi="Times New Roman" w:cs="Times New Roman"/>
          <w:sz w:val="20"/>
          <w:szCs w:val="20"/>
        </w:rPr>
        <w:t xml:space="preserve"> </w:t>
      </w:r>
      <w:proofErr w:type="gramStart"/>
      <w:r w:rsidRPr="00FB6A3D">
        <w:rPr>
          <w:rFonts w:ascii="Times New Roman" w:hAnsi="Times New Roman" w:cs="Times New Roman"/>
          <w:sz w:val="20"/>
          <w:szCs w:val="20"/>
        </w:rPr>
        <w:t>[2016] UKSC 45, [2017] AC 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0B7"/>
    <w:multiLevelType w:val="multilevel"/>
    <w:tmpl w:val="50DE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20AD8"/>
    <w:multiLevelType w:val="multilevel"/>
    <w:tmpl w:val="50C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64D7B"/>
    <w:multiLevelType w:val="multilevel"/>
    <w:tmpl w:val="4C2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E7213"/>
    <w:multiLevelType w:val="multilevel"/>
    <w:tmpl w:val="46C8F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Merkin">
    <w15:presenceInfo w15:providerId="Windows Live" w15:userId="dc1ad9afbcd2d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F6"/>
    <w:rsid w:val="0000570D"/>
    <w:rsid w:val="00027549"/>
    <w:rsid w:val="00050EE8"/>
    <w:rsid w:val="00051382"/>
    <w:rsid w:val="00067835"/>
    <w:rsid w:val="00081772"/>
    <w:rsid w:val="00084932"/>
    <w:rsid w:val="000976A6"/>
    <w:rsid w:val="000A1C40"/>
    <w:rsid w:val="000C1D75"/>
    <w:rsid w:val="000F1744"/>
    <w:rsid w:val="001000E3"/>
    <w:rsid w:val="001430DE"/>
    <w:rsid w:val="00150ACD"/>
    <w:rsid w:val="00156FA9"/>
    <w:rsid w:val="00186B97"/>
    <w:rsid w:val="001926DF"/>
    <w:rsid w:val="001C05F7"/>
    <w:rsid w:val="001C662E"/>
    <w:rsid w:val="001F7AF0"/>
    <w:rsid w:val="00201B13"/>
    <w:rsid w:val="0021291B"/>
    <w:rsid w:val="002214A0"/>
    <w:rsid w:val="00230409"/>
    <w:rsid w:val="00267F7D"/>
    <w:rsid w:val="002774DD"/>
    <w:rsid w:val="002A70E4"/>
    <w:rsid w:val="002C3A63"/>
    <w:rsid w:val="002F2F21"/>
    <w:rsid w:val="003272CC"/>
    <w:rsid w:val="00341EC9"/>
    <w:rsid w:val="00351DD5"/>
    <w:rsid w:val="00352F32"/>
    <w:rsid w:val="003C3D8B"/>
    <w:rsid w:val="003E780D"/>
    <w:rsid w:val="00412795"/>
    <w:rsid w:val="0042589D"/>
    <w:rsid w:val="00431D85"/>
    <w:rsid w:val="00447035"/>
    <w:rsid w:val="00463873"/>
    <w:rsid w:val="004676CC"/>
    <w:rsid w:val="004A6229"/>
    <w:rsid w:val="004A7EFB"/>
    <w:rsid w:val="004B66BF"/>
    <w:rsid w:val="004C573D"/>
    <w:rsid w:val="004D12FC"/>
    <w:rsid w:val="004E2C00"/>
    <w:rsid w:val="004F08BF"/>
    <w:rsid w:val="004F50F8"/>
    <w:rsid w:val="00501FC8"/>
    <w:rsid w:val="005041DB"/>
    <w:rsid w:val="00504C5C"/>
    <w:rsid w:val="0051471F"/>
    <w:rsid w:val="00514AEE"/>
    <w:rsid w:val="005167D1"/>
    <w:rsid w:val="00521213"/>
    <w:rsid w:val="00523CFE"/>
    <w:rsid w:val="00526A76"/>
    <w:rsid w:val="00526D85"/>
    <w:rsid w:val="00550C35"/>
    <w:rsid w:val="00567133"/>
    <w:rsid w:val="005A5CD1"/>
    <w:rsid w:val="005F255C"/>
    <w:rsid w:val="005F4DAB"/>
    <w:rsid w:val="0061782D"/>
    <w:rsid w:val="00617E80"/>
    <w:rsid w:val="00620076"/>
    <w:rsid w:val="0062193D"/>
    <w:rsid w:val="006401F0"/>
    <w:rsid w:val="00647FE8"/>
    <w:rsid w:val="0065056B"/>
    <w:rsid w:val="00667E83"/>
    <w:rsid w:val="00683332"/>
    <w:rsid w:val="006B1C20"/>
    <w:rsid w:val="006C6551"/>
    <w:rsid w:val="006C7EA0"/>
    <w:rsid w:val="006D59BC"/>
    <w:rsid w:val="006E0F98"/>
    <w:rsid w:val="006F3D6A"/>
    <w:rsid w:val="0070586D"/>
    <w:rsid w:val="00706257"/>
    <w:rsid w:val="00710184"/>
    <w:rsid w:val="00744AEB"/>
    <w:rsid w:val="00752ADC"/>
    <w:rsid w:val="00762C4D"/>
    <w:rsid w:val="00762F8E"/>
    <w:rsid w:val="007658AF"/>
    <w:rsid w:val="0077532F"/>
    <w:rsid w:val="007B328A"/>
    <w:rsid w:val="007B498C"/>
    <w:rsid w:val="007E6ED8"/>
    <w:rsid w:val="007E75E6"/>
    <w:rsid w:val="007F0E1B"/>
    <w:rsid w:val="007F234F"/>
    <w:rsid w:val="00801D20"/>
    <w:rsid w:val="00855CB1"/>
    <w:rsid w:val="00882A23"/>
    <w:rsid w:val="00883366"/>
    <w:rsid w:val="00885B2D"/>
    <w:rsid w:val="0089115C"/>
    <w:rsid w:val="008E20F0"/>
    <w:rsid w:val="008E2183"/>
    <w:rsid w:val="008E43E3"/>
    <w:rsid w:val="009315AB"/>
    <w:rsid w:val="00953880"/>
    <w:rsid w:val="009557DB"/>
    <w:rsid w:val="00955DC8"/>
    <w:rsid w:val="00956C8A"/>
    <w:rsid w:val="00961326"/>
    <w:rsid w:val="009664B4"/>
    <w:rsid w:val="00983FD5"/>
    <w:rsid w:val="00986F2F"/>
    <w:rsid w:val="009A583C"/>
    <w:rsid w:val="009D35A5"/>
    <w:rsid w:val="00A21E50"/>
    <w:rsid w:val="00A37AD7"/>
    <w:rsid w:val="00A53299"/>
    <w:rsid w:val="00A625CA"/>
    <w:rsid w:val="00A633AE"/>
    <w:rsid w:val="00A679E1"/>
    <w:rsid w:val="00A67BC4"/>
    <w:rsid w:val="00A74880"/>
    <w:rsid w:val="00A76B88"/>
    <w:rsid w:val="00A86137"/>
    <w:rsid w:val="00A8644E"/>
    <w:rsid w:val="00AC449E"/>
    <w:rsid w:val="00AD4128"/>
    <w:rsid w:val="00AF74A6"/>
    <w:rsid w:val="00B02DC4"/>
    <w:rsid w:val="00B133F6"/>
    <w:rsid w:val="00B25C25"/>
    <w:rsid w:val="00B335A3"/>
    <w:rsid w:val="00B35320"/>
    <w:rsid w:val="00B46DFD"/>
    <w:rsid w:val="00B56005"/>
    <w:rsid w:val="00B57321"/>
    <w:rsid w:val="00B64008"/>
    <w:rsid w:val="00B642FE"/>
    <w:rsid w:val="00B67218"/>
    <w:rsid w:val="00B70911"/>
    <w:rsid w:val="00B94126"/>
    <w:rsid w:val="00BB6097"/>
    <w:rsid w:val="00C0221A"/>
    <w:rsid w:val="00C03585"/>
    <w:rsid w:val="00C06F99"/>
    <w:rsid w:val="00C078BF"/>
    <w:rsid w:val="00C1167D"/>
    <w:rsid w:val="00C128FA"/>
    <w:rsid w:val="00C169CD"/>
    <w:rsid w:val="00C37BC6"/>
    <w:rsid w:val="00C402BF"/>
    <w:rsid w:val="00C47C0E"/>
    <w:rsid w:val="00C51337"/>
    <w:rsid w:val="00C54567"/>
    <w:rsid w:val="00C54DCD"/>
    <w:rsid w:val="00C72D1D"/>
    <w:rsid w:val="00C83A48"/>
    <w:rsid w:val="00C96DE8"/>
    <w:rsid w:val="00CB11D6"/>
    <w:rsid w:val="00CC31CA"/>
    <w:rsid w:val="00CC6075"/>
    <w:rsid w:val="00CF212B"/>
    <w:rsid w:val="00CF500A"/>
    <w:rsid w:val="00CF6137"/>
    <w:rsid w:val="00D07799"/>
    <w:rsid w:val="00D26892"/>
    <w:rsid w:val="00D41D8A"/>
    <w:rsid w:val="00D5420C"/>
    <w:rsid w:val="00D5762A"/>
    <w:rsid w:val="00D8632D"/>
    <w:rsid w:val="00D95315"/>
    <w:rsid w:val="00D95528"/>
    <w:rsid w:val="00DB3FC6"/>
    <w:rsid w:val="00DC1D50"/>
    <w:rsid w:val="00DC6E46"/>
    <w:rsid w:val="00DD2354"/>
    <w:rsid w:val="00DD7A26"/>
    <w:rsid w:val="00E104E3"/>
    <w:rsid w:val="00E36028"/>
    <w:rsid w:val="00E41C5D"/>
    <w:rsid w:val="00E45CA0"/>
    <w:rsid w:val="00E47CE2"/>
    <w:rsid w:val="00E65D98"/>
    <w:rsid w:val="00E7183F"/>
    <w:rsid w:val="00EB0080"/>
    <w:rsid w:val="00ED6380"/>
    <w:rsid w:val="00EE33C0"/>
    <w:rsid w:val="00EE6D61"/>
    <w:rsid w:val="00F24704"/>
    <w:rsid w:val="00F31C08"/>
    <w:rsid w:val="00F31FF1"/>
    <w:rsid w:val="00F45685"/>
    <w:rsid w:val="00F61283"/>
    <w:rsid w:val="00F61EF2"/>
    <w:rsid w:val="00F65E0C"/>
    <w:rsid w:val="00F72675"/>
    <w:rsid w:val="00F83F47"/>
    <w:rsid w:val="00F91EA6"/>
    <w:rsid w:val="00FB18C1"/>
    <w:rsid w:val="00FB3938"/>
    <w:rsid w:val="00FB6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C3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F6"/>
  </w:style>
  <w:style w:type="paragraph" w:styleId="Heading1">
    <w:name w:val="heading 1"/>
    <w:basedOn w:val="Normal"/>
    <w:link w:val="Heading1Char"/>
    <w:uiPriority w:val="9"/>
    <w:qFormat/>
    <w:rsid w:val="00B133F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133F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133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3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133F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B133F6"/>
    <w:rPr>
      <w:rFonts w:asciiTheme="majorHAnsi" w:eastAsiaTheme="majorEastAsia" w:hAnsiTheme="majorHAnsi" w:cstheme="majorBidi"/>
      <w:b/>
      <w:bCs/>
      <w:color w:val="4F81BD" w:themeColor="accent1"/>
    </w:rPr>
  </w:style>
  <w:style w:type="paragraph" w:styleId="FootnoteText">
    <w:name w:val="footnote text"/>
    <w:aliases w:val="Char,Footnote Text Char1,Footnote Text Char Char,Footnote Text Char2 Char Char,Footnote Text Char Char Char Char,Footnote Text Char1 Char Char Char Char,Footnote Text Char Char Char Char Char Char,Footnote Text Char1 Char Char"/>
    <w:basedOn w:val="Normal"/>
    <w:link w:val="FootnoteTextChar"/>
    <w:uiPriority w:val="99"/>
    <w:unhideWhenUsed/>
    <w:qFormat/>
    <w:rsid w:val="00B133F6"/>
  </w:style>
  <w:style w:type="character" w:customStyle="1" w:styleId="FootnoteTextChar">
    <w:name w:val="Footnote Text Char"/>
    <w:aliases w:val="Char Char,Footnote Text Char1 Char,Footnote Text Char Char Char,Footnote Text Char2 Char Char Char,Footnote Text Char Char Char Char Char,Footnote Text Char1 Char Char Char Char Char,Footnote Text Char Char Char Char Char Char Char"/>
    <w:basedOn w:val="DefaultParagraphFont"/>
    <w:link w:val="FootnoteText"/>
    <w:uiPriority w:val="99"/>
    <w:rsid w:val="00B133F6"/>
  </w:style>
  <w:style w:type="character" w:styleId="FootnoteReference">
    <w:name w:val="footnote reference"/>
    <w:aliases w:val="fr,Ref,de nota al pie,註腳內容,de nota al pie + (Asian) MS Mincho,11 pt"/>
    <w:basedOn w:val="DefaultParagraphFont"/>
    <w:uiPriority w:val="99"/>
    <w:unhideWhenUsed/>
    <w:rsid w:val="00B133F6"/>
    <w:rPr>
      <w:vertAlign w:val="superscript"/>
    </w:rPr>
  </w:style>
  <w:style w:type="paragraph" w:customStyle="1" w:styleId="indent1">
    <w:name w:val="indent1"/>
    <w:basedOn w:val="Normal"/>
    <w:rsid w:val="00B133F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133F6"/>
  </w:style>
  <w:style w:type="paragraph" w:customStyle="1" w:styleId="center">
    <w:name w:val="center"/>
    <w:basedOn w:val="Normal"/>
    <w:rsid w:val="00B133F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133F6"/>
    <w:rPr>
      <w:b/>
      <w:bCs/>
    </w:rPr>
  </w:style>
  <w:style w:type="character" w:styleId="Emphasis">
    <w:name w:val="Emphasis"/>
    <w:basedOn w:val="DefaultParagraphFont"/>
    <w:uiPriority w:val="20"/>
    <w:qFormat/>
    <w:rsid w:val="00B133F6"/>
    <w:rPr>
      <w:i/>
      <w:iCs/>
    </w:rPr>
  </w:style>
  <w:style w:type="character" w:customStyle="1" w:styleId="starpage">
    <w:name w:val="starpage"/>
    <w:basedOn w:val="DefaultParagraphFont"/>
    <w:rsid w:val="00B133F6"/>
  </w:style>
  <w:style w:type="character" w:styleId="Hyperlink">
    <w:name w:val="Hyperlink"/>
    <w:basedOn w:val="DefaultParagraphFont"/>
    <w:uiPriority w:val="99"/>
    <w:unhideWhenUsed/>
    <w:rsid w:val="00B133F6"/>
    <w:rPr>
      <w:color w:val="0000FF"/>
      <w:u w:val="single"/>
    </w:rPr>
  </w:style>
  <w:style w:type="paragraph" w:customStyle="1" w:styleId="indent1center">
    <w:name w:val="indent1center"/>
    <w:basedOn w:val="Normal"/>
    <w:rsid w:val="00B133F6"/>
    <w:pPr>
      <w:spacing w:before="100" w:beforeAutospacing="1" w:after="100" w:afterAutospacing="1"/>
    </w:pPr>
    <w:rPr>
      <w:rFonts w:ascii="Times New Roman" w:eastAsia="Times New Roman" w:hAnsi="Times New Roman" w:cs="Times New Roman"/>
      <w:lang w:eastAsia="en-GB"/>
    </w:rPr>
  </w:style>
  <w:style w:type="character" w:customStyle="1" w:styleId="searchterm">
    <w:name w:val="searchterm"/>
    <w:basedOn w:val="DefaultParagraphFont"/>
    <w:rsid w:val="00B133F6"/>
  </w:style>
  <w:style w:type="character" w:customStyle="1" w:styleId="quote1">
    <w:name w:val="quote1"/>
    <w:basedOn w:val="DefaultParagraphFont"/>
    <w:rsid w:val="00B133F6"/>
  </w:style>
  <w:style w:type="character" w:customStyle="1" w:styleId="highlight">
    <w:name w:val="highlight"/>
    <w:basedOn w:val="DefaultParagraphFont"/>
    <w:rsid w:val="00B133F6"/>
  </w:style>
  <w:style w:type="paragraph" w:customStyle="1" w:styleId="article">
    <w:name w:val="article"/>
    <w:basedOn w:val="Normal"/>
    <w:rsid w:val="00B133F6"/>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133F6"/>
    <w:rPr>
      <w:rFonts w:ascii="Tahoma" w:hAnsi="Tahoma" w:cs="Tahoma"/>
      <w:sz w:val="16"/>
      <w:szCs w:val="16"/>
    </w:rPr>
  </w:style>
  <w:style w:type="character" w:customStyle="1" w:styleId="BalloonTextChar">
    <w:name w:val="Balloon Text Char"/>
    <w:basedOn w:val="DefaultParagraphFont"/>
    <w:link w:val="BalloonText"/>
    <w:uiPriority w:val="99"/>
    <w:semiHidden/>
    <w:rsid w:val="00B133F6"/>
    <w:rPr>
      <w:rFonts w:ascii="Tahoma" w:hAnsi="Tahoma" w:cs="Tahoma"/>
      <w:sz w:val="16"/>
      <w:szCs w:val="16"/>
    </w:rPr>
  </w:style>
  <w:style w:type="character" w:styleId="CommentReference">
    <w:name w:val="annotation reference"/>
    <w:basedOn w:val="DefaultParagraphFont"/>
    <w:uiPriority w:val="99"/>
    <w:semiHidden/>
    <w:unhideWhenUsed/>
    <w:rsid w:val="00B133F6"/>
    <w:rPr>
      <w:sz w:val="16"/>
      <w:szCs w:val="16"/>
    </w:rPr>
  </w:style>
  <w:style w:type="paragraph" w:styleId="CommentText">
    <w:name w:val="annotation text"/>
    <w:basedOn w:val="Normal"/>
    <w:link w:val="CommentTextChar"/>
    <w:uiPriority w:val="99"/>
    <w:semiHidden/>
    <w:unhideWhenUsed/>
    <w:rsid w:val="00B133F6"/>
    <w:rPr>
      <w:sz w:val="20"/>
      <w:szCs w:val="20"/>
    </w:rPr>
  </w:style>
  <w:style w:type="character" w:customStyle="1" w:styleId="CommentTextChar">
    <w:name w:val="Comment Text Char"/>
    <w:basedOn w:val="DefaultParagraphFont"/>
    <w:link w:val="CommentText"/>
    <w:uiPriority w:val="99"/>
    <w:semiHidden/>
    <w:rsid w:val="00B133F6"/>
    <w:rPr>
      <w:sz w:val="20"/>
      <w:szCs w:val="20"/>
    </w:rPr>
  </w:style>
  <w:style w:type="character" w:customStyle="1" w:styleId="CommentSubjectChar">
    <w:name w:val="Comment Subject Char"/>
    <w:basedOn w:val="CommentTextChar"/>
    <w:link w:val="CommentSubject"/>
    <w:uiPriority w:val="99"/>
    <w:semiHidden/>
    <w:rsid w:val="00B133F6"/>
    <w:rPr>
      <w:b/>
      <w:bCs/>
      <w:sz w:val="20"/>
      <w:szCs w:val="20"/>
    </w:rPr>
  </w:style>
  <w:style w:type="paragraph" w:styleId="CommentSubject">
    <w:name w:val="annotation subject"/>
    <w:basedOn w:val="CommentText"/>
    <w:next w:val="CommentText"/>
    <w:link w:val="CommentSubjectChar"/>
    <w:uiPriority w:val="99"/>
    <w:semiHidden/>
    <w:unhideWhenUsed/>
    <w:rsid w:val="00B133F6"/>
    <w:rPr>
      <w:b/>
      <w:bCs/>
    </w:rPr>
  </w:style>
  <w:style w:type="character" w:customStyle="1" w:styleId="smallcaps">
    <w:name w:val="smallcaps"/>
    <w:basedOn w:val="DefaultParagraphFont"/>
    <w:rsid w:val="00B133F6"/>
  </w:style>
  <w:style w:type="paragraph" w:customStyle="1" w:styleId="Footnote">
    <w:name w:val="Footnote"/>
    <w:basedOn w:val="Normal"/>
    <w:next w:val="Normal"/>
    <w:uiPriority w:val="99"/>
    <w:rsid w:val="00B133F6"/>
    <w:pPr>
      <w:widowControl w:val="0"/>
      <w:suppressAutoHyphens/>
      <w:autoSpaceDE w:val="0"/>
      <w:autoSpaceDN w:val="0"/>
      <w:adjustRightInd w:val="0"/>
      <w:spacing w:line="180" w:lineRule="atLeast"/>
      <w:ind w:left="230" w:hanging="230"/>
      <w:jc w:val="both"/>
      <w:textAlignment w:val="center"/>
    </w:pPr>
    <w:rPr>
      <w:rFonts w:ascii="TimesNewRomanPS" w:eastAsia="Times New Roman" w:hAnsi="TimesNewRomanPS" w:cs="TimesNewRomanPS"/>
      <w:color w:val="000000"/>
      <w:sz w:val="14"/>
      <w:szCs w:val="14"/>
      <w:lang w:val="en-US"/>
    </w:rPr>
  </w:style>
  <w:style w:type="character" w:customStyle="1" w:styleId="Ital">
    <w:name w:val="Ital"/>
    <w:uiPriority w:val="99"/>
    <w:rsid w:val="00B133F6"/>
    <w:rPr>
      <w:i/>
    </w:rPr>
  </w:style>
  <w:style w:type="character" w:customStyle="1" w:styleId="footref">
    <w:name w:val="foot_ref"/>
    <w:uiPriority w:val="99"/>
    <w:rsid w:val="00B133F6"/>
    <w:rPr>
      <w:rFonts w:ascii="TimesNewRomanPS" w:hAnsi="TimesNewRomanPS"/>
      <w:vertAlign w:val="superscript"/>
    </w:rPr>
  </w:style>
  <w:style w:type="paragraph" w:styleId="Header">
    <w:name w:val="header"/>
    <w:basedOn w:val="Normal"/>
    <w:link w:val="HeaderChar"/>
    <w:uiPriority w:val="99"/>
    <w:unhideWhenUsed/>
    <w:rsid w:val="00201B13"/>
    <w:pPr>
      <w:tabs>
        <w:tab w:val="center" w:pos="4513"/>
        <w:tab w:val="right" w:pos="9026"/>
      </w:tabs>
    </w:pPr>
  </w:style>
  <w:style w:type="character" w:customStyle="1" w:styleId="HeaderChar">
    <w:name w:val="Header Char"/>
    <w:basedOn w:val="DefaultParagraphFont"/>
    <w:link w:val="Header"/>
    <w:uiPriority w:val="99"/>
    <w:rsid w:val="00201B13"/>
  </w:style>
  <w:style w:type="paragraph" w:styleId="Footer">
    <w:name w:val="footer"/>
    <w:basedOn w:val="Normal"/>
    <w:link w:val="FooterChar"/>
    <w:uiPriority w:val="99"/>
    <w:unhideWhenUsed/>
    <w:rsid w:val="00201B13"/>
    <w:pPr>
      <w:tabs>
        <w:tab w:val="center" w:pos="4513"/>
        <w:tab w:val="right" w:pos="9026"/>
      </w:tabs>
    </w:pPr>
  </w:style>
  <w:style w:type="character" w:customStyle="1" w:styleId="FooterChar">
    <w:name w:val="Footer Char"/>
    <w:basedOn w:val="DefaultParagraphFont"/>
    <w:link w:val="Footer"/>
    <w:uiPriority w:val="99"/>
    <w:rsid w:val="00201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3F6"/>
  </w:style>
  <w:style w:type="paragraph" w:styleId="Heading1">
    <w:name w:val="heading 1"/>
    <w:basedOn w:val="Normal"/>
    <w:link w:val="Heading1Char"/>
    <w:uiPriority w:val="9"/>
    <w:qFormat/>
    <w:rsid w:val="00B133F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133F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133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3F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133F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B133F6"/>
    <w:rPr>
      <w:rFonts w:asciiTheme="majorHAnsi" w:eastAsiaTheme="majorEastAsia" w:hAnsiTheme="majorHAnsi" w:cstheme="majorBidi"/>
      <w:b/>
      <w:bCs/>
      <w:color w:val="4F81BD" w:themeColor="accent1"/>
    </w:rPr>
  </w:style>
  <w:style w:type="paragraph" w:styleId="FootnoteText">
    <w:name w:val="footnote text"/>
    <w:aliases w:val="Char,Footnote Text Char1,Footnote Text Char Char,Footnote Text Char2 Char Char,Footnote Text Char Char Char Char,Footnote Text Char1 Char Char Char Char,Footnote Text Char Char Char Char Char Char,Footnote Text Char1 Char Char"/>
    <w:basedOn w:val="Normal"/>
    <w:link w:val="FootnoteTextChar"/>
    <w:uiPriority w:val="99"/>
    <w:unhideWhenUsed/>
    <w:qFormat/>
    <w:rsid w:val="00B133F6"/>
  </w:style>
  <w:style w:type="character" w:customStyle="1" w:styleId="FootnoteTextChar">
    <w:name w:val="Footnote Text Char"/>
    <w:aliases w:val="Char Char,Footnote Text Char1 Char,Footnote Text Char Char Char,Footnote Text Char2 Char Char Char,Footnote Text Char Char Char Char Char,Footnote Text Char1 Char Char Char Char Char,Footnote Text Char Char Char Char Char Char Char"/>
    <w:basedOn w:val="DefaultParagraphFont"/>
    <w:link w:val="FootnoteText"/>
    <w:uiPriority w:val="99"/>
    <w:rsid w:val="00B133F6"/>
  </w:style>
  <w:style w:type="character" w:styleId="FootnoteReference">
    <w:name w:val="footnote reference"/>
    <w:aliases w:val="fr,Ref,de nota al pie,註腳內容,de nota al pie + (Asian) MS Mincho,11 pt"/>
    <w:basedOn w:val="DefaultParagraphFont"/>
    <w:uiPriority w:val="99"/>
    <w:unhideWhenUsed/>
    <w:rsid w:val="00B133F6"/>
    <w:rPr>
      <w:vertAlign w:val="superscript"/>
    </w:rPr>
  </w:style>
  <w:style w:type="paragraph" w:customStyle="1" w:styleId="indent1">
    <w:name w:val="indent1"/>
    <w:basedOn w:val="Normal"/>
    <w:rsid w:val="00B133F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133F6"/>
  </w:style>
  <w:style w:type="paragraph" w:customStyle="1" w:styleId="center">
    <w:name w:val="center"/>
    <w:basedOn w:val="Normal"/>
    <w:rsid w:val="00B133F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133F6"/>
    <w:rPr>
      <w:b/>
      <w:bCs/>
    </w:rPr>
  </w:style>
  <w:style w:type="character" w:styleId="Emphasis">
    <w:name w:val="Emphasis"/>
    <w:basedOn w:val="DefaultParagraphFont"/>
    <w:uiPriority w:val="20"/>
    <w:qFormat/>
    <w:rsid w:val="00B133F6"/>
    <w:rPr>
      <w:i/>
      <w:iCs/>
    </w:rPr>
  </w:style>
  <w:style w:type="character" w:customStyle="1" w:styleId="starpage">
    <w:name w:val="starpage"/>
    <w:basedOn w:val="DefaultParagraphFont"/>
    <w:rsid w:val="00B133F6"/>
  </w:style>
  <w:style w:type="character" w:styleId="Hyperlink">
    <w:name w:val="Hyperlink"/>
    <w:basedOn w:val="DefaultParagraphFont"/>
    <w:uiPriority w:val="99"/>
    <w:unhideWhenUsed/>
    <w:rsid w:val="00B133F6"/>
    <w:rPr>
      <w:color w:val="0000FF"/>
      <w:u w:val="single"/>
    </w:rPr>
  </w:style>
  <w:style w:type="paragraph" w:customStyle="1" w:styleId="indent1center">
    <w:name w:val="indent1center"/>
    <w:basedOn w:val="Normal"/>
    <w:rsid w:val="00B133F6"/>
    <w:pPr>
      <w:spacing w:before="100" w:beforeAutospacing="1" w:after="100" w:afterAutospacing="1"/>
    </w:pPr>
    <w:rPr>
      <w:rFonts w:ascii="Times New Roman" w:eastAsia="Times New Roman" w:hAnsi="Times New Roman" w:cs="Times New Roman"/>
      <w:lang w:eastAsia="en-GB"/>
    </w:rPr>
  </w:style>
  <w:style w:type="character" w:customStyle="1" w:styleId="searchterm">
    <w:name w:val="searchterm"/>
    <w:basedOn w:val="DefaultParagraphFont"/>
    <w:rsid w:val="00B133F6"/>
  </w:style>
  <w:style w:type="character" w:customStyle="1" w:styleId="quote1">
    <w:name w:val="quote1"/>
    <w:basedOn w:val="DefaultParagraphFont"/>
    <w:rsid w:val="00B133F6"/>
  </w:style>
  <w:style w:type="character" w:customStyle="1" w:styleId="highlight">
    <w:name w:val="highlight"/>
    <w:basedOn w:val="DefaultParagraphFont"/>
    <w:rsid w:val="00B133F6"/>
  </w:style>
  <w:style w:type="paragraph" w:customStyle="1" w:styleId="article">
    <w:name w:val="article"/>
    <w:basedOn w:val="Normal"/>
    <w:rsid w:val="00B133F6"/>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133F6"/>
    <w:rPr>
      <w:rFonts w:ascii="Tahoma" w:hAnsi="Tahoma" w:cs="Tahoma"/>
      <w:sz w:val="16"/>
      <w:szCs w:val="16"/>
    </w:rPr>
  </w:style>
  <w:style w:type="character" w:customStyle="1" w:styleId="BalloonTextChar">
    <w:name w:val="Balloon Text Char"/>
    <w:basedOn w:val="DefaultParagraphFont"/>
    <w:link w:val="BalloonText"/>
    <w:uiPriority w:val="99"/>
    <w:semiHidden/>
    <w:rsid w:val="00B133F6"/>
    <w:rPr>
      <w:rFonts w:ascii="Tahoma" w:hAnsi="Tahoma" w:cs="Tahoma"/>
      <w:sz w:val="16"/>
      <w:szCs w:val="16"/>
    </w:rPr>
  </w:style>
  <w:style w:type="character" w:styleId="CommentReference">
    <w:name w:val="annotation reference"/>
    <w:basedOn w:val="DefaultParagraphFont"/>
    <w:uiPriority w:val="99"/>
    <w:semiHidden/>
    <w:unhideWhenUsed/>
    <w:rsid w:val="00B133F6"/>
    <w:rPr>
      <w:sz w:val="16"/>
      <w:szCs w:val="16"/>
    </w:rPr>
  </w:style>
  <w:style w:type="paragraph" w:styleId="CommentText">
    <w:name w:val="annotation text"/>
    <w:basedOn w:val="Normal"/>
    <w:link w:val="CommentTextChar"/>
    <w:uiPriority w:val="99"/>
    <w:semiHidden/>
    <w:unhideWhenUsed/>
    <w:rsid w:val="00B133F6"/>
    <w:rPr>
      <w:sz w:val="20"/>
      <w:szCs w:val="20"/>
    </w:rPr>
  </w:style>
  <w:style w:type="character" w:customStyle="1" w:styleId="CommentTextChar">
    <w:name w:val="Comment Text Char"/>
    <w:basedOn w:val="DefaultParagraphFont"/>
    <w:link w:val="CommentText"/>
    <w:uiPriority w:val="99"/>
    <w:semiHidden/>
    <w:rsid w:val="00B133F6"/>
    <w:rPr>
      <w:sz w:val="20"/>
      <w:szCs w:val="20"/>
    </w:rPr>
  </w:style>
  <w:style w:type="character" w:customStyle="1" w:styleId="CommentSubjectChar">
    <w:name w:val="Comment Subject Char"/>
    <w:basedOn w:val="CommentTextChar"/>
    <w:link w:val="CommentSubject"/>
    <w:uiPriority w:val="99"/>
    <w:semiHidden/>
    <w:rsid w:val="00B133F6"/>
    <w:rPr>
      <w:b/>
      <w:bCs/>
      <w:sz w:val="20"/>
      <w:szCs w:val="20"/>
    </w:rPr>
  </w:style>
  <w:style w:type="paragraph" w:styleId="CommentSubject">
    <w:name w:val="annotation subject"/>
    <w:basedOn w:val="CommentText"/>
    <w:next w:val="CommentText"/>
    <w:link w:val="CommentSubjectChar"/>
    <w:uiPriority w:val="99"/>
    <w:semiHidden/>
    <w:unhideWhenUsed/>
    <w:rsid w:val="00B133F6"/>
    <w:rPr>
      <w:b/>
      <w:bCs/>
    </w:rPr>
  </w:style>
  <w:style w:type="character" w:customStyle="1" w:styleId="smallcaps">
    <w:name w:val="smallcaps"/>
    <w:basedOn w:val="DefaultParagraphFont"/>
    <w:rsid w:val="00B133F6"/>
  </w:style>
  <w:style w:type="paragraph" w:customStyle="1" w:styleId="Footnote">
    <w:name w:val="Footnote"/>
    <w:basedOn w:val="Normal"/>
    <w:next w:val="Normal"/>
    <w:uiPriority w:val="99"/>
    <w:rsid w:val="00B133F6"/>
    <w:pPr>
      <w:widowControl w:val="0"/>
      <w:suppressAutoHyphens/>
      <w:autoSpaceDE w:val="0"/>
      <w:autoSpaceDN w:val="0"/>
      <w:adjustRightInd w:val="0"/>
      <w:spacing w:line="180" w:lineRule="atLeast"/>
      <w:ind w:left="230" w:hanging="230"/>
      <w:jc w:val="both"/>
      <w:textAlignment w:val="center"/>
    </w:pPr>
    <w:rPr>
      <w:rFonts w:ascii="TimesNewRomanPS" w:eastAsia="Times New Roman" w:hAnsi="TimesNewRomanPS" w:cs="TimesNewRomanPS"/>
      <w:color w:val="000000"/>
      <w:sz w:val="14"/>
      <w:szCs w:val="14"/>
      <w:lang w:val="en-US"/>
    </w:rPr>
  </w:style>
  <w:style w:type="character" w:customStyle="1" w:styleId="Ital">
    <w:name w:val="Ital"/>
    <w:uiPriority w:val="99"/>
    <w:rsid w:val="00B133F6"/>
    <w:rPr>
      <w:i/>
    </w:rPr>
  </w:style>
  <w:style w:type="character" w:customStyle="1" w:styleId="footref">
    <w:name w:val="foot_ref"/>
    <w:uiPriority w:val="99"/>
    <w:rsid w:val="00B133F6"/>
    <w:rPr>
      <w:rFonts w:ascii="TimesNewRomanPS" w:hAnsi="TimesNewRomanPS"/>
      <w:vertAlign w:val="superscript"/>
    </w:rPr>
  </w:style>
  <w:style w:type="paragraph" w:styleId="Header">
    <w:name w:val="header"/>
    <w:basedOn w:val="Normal"/>
    <w:link w:val="HeaderChar"/>
    <w:uiPriority w:val="99"/>
    <w:unhideWhenUsed/>
    <w:rsid w:val="00201B13"/>
    <w:pPr>
      <w:tabs>
        <w:tab w:val="center" w:pos="4513"/>
        <w:tab w:val="right" w:pos="9026"/>
      </w:tabs>
    </w:pPr>
  </w:style>
  <w:style w:type="character" w:customStyle="1" w:styleId="HeaderChar">
    <w:name w:val="Header Char"/>
    <w:basedOn w:val="DefaultParagraphFont"/>
    <w:link w:val="Header"/>
    <w:uiPriority w:val="99"/>
    <w:rsid w:val="00201B13"/>
  </w:style>
  <w:style w:type="paragraph" w:styleId="Footer">
    <w:name w:val="footer"/>
    <w:basedOn w:val="Normal"/>
    <w:link w:val="FooterChar"/>
    <w:uiPriority w:val="99"/>
    <w:unhideWhenUsed/>
    <w:rsid w:val="00201B13"/>
    <w:pPr>
      <w:tabs>
        <w:tab w:val="center" w:pos="4513"/>
        <w:tab w:val="right" w:pos="9026"/>
      </w:tabs>
    </w:pPr>
  </w:style>
  <w:style w:type="character" w:customStyle="1" w:styleId="FooterChar">
    <w:name w:val="Footer Char"/>
    <w:basedOn w:val="DefaultParagraphFont"/>
    <w:link w:val="Footer"/>
    <w:uiPriority w:val="99"/>
    <w:rsid w:val="0020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614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onlinelibrary.wiley.com/doi/10.1111/1468-2230.12202/abstract" TargetMode="External"/><Relationship Id="rId2" Type="http://schemas.openxmlformats.org/officeDocument/2006/relationships/hyperlink" Target="http://www.bailii.org/cgi-bin/redirect.cgi?path=/uk/cases/UKHL/2007/39.html" TargetMode="External"/><Relationship Id="rId1" Type="http://schemas.openxmlformats.org/officeDocument/2006/relationships/hyperlink" Target="http://www.bailii.org/uk/cases/UKHL/2007/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0A95-127D-4AEC-9CA7-46287B10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1DD9EA24.dotm</Template>
  <TotalTime>0</TotalTime>
  <Pages>34</Pages>
  <Words>12101</Words>
  <Characters>60715</Characters>
  <Application>Microsoft Office Word</Application>
  <DocSecurity>0</DocSecurity>
  <Lines>505</Lines>
  <Paragraphs>145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Merkin</dc:creator>
  <cp:lastModifiedBy>Jenny Steele</cp:lastModifiedBy>
  <cp:revision>3</cp:revision>
  <dcterms:created xsi:type="dcterms:W3CDTF">2018-10-15T13:44:00Z</dcterms:created>
  <dcterms:modified xsi:type="dcterms:W3CDTF">2018-10-15T13:44:00Z</dcterms:modified>
</cp:coreProperties>
</file>