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6C15D9" w14:textId="77777777" w:rsidR="00D8711C" w:rsidRPr="009C3204" w:rsidRDefault="1B3EAF6B" w:rsidP="00CB29CE">
      <w:pPr>
        <w:spacing w:line="240" w:lineRule="auto"/>
        <w:jc w:val="center"/>
        <w:outlineLvl w:val="0"/>
        <w:rPr>
          <w:rFonts w:ascii="Cambria" w:hAnsi="Cambria"/>
          <w:b/>
          <w:bCs/>
          <w:sz w:val="24"/>
          <w:szCs w:val="24"/>
        </w:rPr>
      </w:pPr>
      <w:r w:rsidRPr="009C3204">
        <w:rPr>
          <w:rFonts w:ascii="Cambria" w:hAnsi="Cambria"/>
          <w:b/>
          <w:bCs/>
          <w:sz w:val="24"/>
          <w:szCs w:val="24"/>
        </w:rPr>
        <w:t>Risk Revolutions in Private Law</w:t>
      </w:r>
    </w:p>
    <w:p w14:paraId="6D5E8303" w14:textId="5DD4F6CF" w:rsidR="00395347" w:rsidRPr="009C3204" w:rsidRDefault="00395347" w:rsidP="00CB29CE">
      <w:pPr>
        <w:spacing w:line="240" w:lineRule="auto"/>
        <w:jc w:val="center"/>
        <w:outlineLvl w:val="0"/>
        <w:rPr>
          <w:rFonts w:ascii="Cambria" w:hAnsi="Cambria"/>
          <w:sz w:val="24"/>
          <w:szCs w:val="24"/>
        </w:rPr>
      </w:pPr>
      <w:r w:rsidRPr="009C3204">
        <w:rPr>
          <w:rFonts w:ascii="Cambria" w:hAnsi="Cambria"/>
          <w:bCs/>
          <w:sz w:val="24"/>
          <w:szCs w:val="24"/>
        </w:rPr>
        <w:t>JENNY STEELE</w:t>
      </w:r>
    </w:p>
    <w:p w14:paraId="4E0D529E" w14:textId="77777777" w:rsidR="00395347" w:rsidRPr="009C3204" w:rsidRDefault="00395347" w:rsidP="008E4509">
      <w:pPr>
        <w:spacing w:line="240" w:lineRule="auto"/>
        <w:jc w:val="both"/>
        <w:rPr>
          <w:rFonts w:ascii="Cambria" w:hAnsi="Cambria"/>
          <w:sz w:val="24"/>
          <w:szCs w:val="24"/>
        </w:rPr>
      </w:pPr>
    </w:p>
    <w:p w14:paraId="012964EF" w14:textId="4CBCED5A" w:rsidR="00EA2C12" w:rsidRPr="009C3204" w:rsidRDefault="00456D15" w:rsidP="008E4509">
      <w:pPr>
        <w:spacing w:line="240" w:lineRule="auto"/>
        <w:jc w:val="both"/>
        <w:rPr>
          <w:rFonts w:ascii="Cambria" w:hAnsi="Cambria"/>
          <w:sz w:val="24"/>
          <w:szCs w:val="24"/>
        </w:rPr>
      </w:pPr>
      <w:r w:rsidRPr="009C3204">
        <w:rPr>
          <w:rFonts w:ascii="Cambria" w:hAnsi="Cambria"/>
          <w:sz w:val="24"/>
          <w:szCs w:val="24"/>
        </w:rPr>
        <w:t>G</w:t>
      </w:r>
      <w:r w:rsidR="00395347" w:rsidRPr="009C3204">
        <w:rPr>
          <w:rFonts w:ascii="Cambria" w:hAnsi="Cambria"/>
          <w:sz w:val="24"/>
          <w:szCs w:val="24"/>
        </w:rPr>
        <w:t xml:space="preserve">enuine revolutions </w:t>
      </w:r>
      <w:r w:rsidR="00111D01" w:rsidRPr="009C3204">
        <w:rPr>
          <w:rFonts w:ascii="Cambria" w:hAnsi="Cambria"/>
          <w:sz w:val="24"/>
          <w:szCs w:val="24"/>
        </w:rPr>
        <w:t xml:space="preserve">within </w:t>
      </w:r>
      <w:r w:rsidR="00395347" w:rsidRPr="009C3204">
        <w:rPr>
          <w:rFonts w:ascii="Cambria" w:hAnsi="Cambria"/>
          <w:sz w:val="24"/>
          <w:szCs w:val="24"/>
        </w:rPr>
        <w:t xml:space="preserve">private law </w:t>
      </w:r>
      <w:r w:rsidR="00111D01" w:rsidRPr="009C3204">
        <w:rPr>
          <w:rFonts w:ascii="Cambria" w:hAnsi="Cambria"/>
          <w:sz w:val="24"/>
          <w:szCs w:val="24"/>
        </w:rPr>
        <w:t>appear to be</w:t>
      </w:r>
      <w:r w:rsidR="00395347" w:rsidRPr="009C3204">
        <w:rPr>
          <w:rFonts w:ascii="Cambria" w:hAnsi="Cambria"/>
          <w:sz w:val="24"/>
          <w:szCs w:val="24"/>
        </w:rPr>
        <w:t xml:space="preserve"> thin on the ground</w:t>
      </w:r>
      <w:r w:rsidRPr="009C3204">
        <w:rPr>
          <w:rFonts w:ascii="Cambria" w:hAnsi="Cambria"/>
          <w:sz w:val="24"/>
          <w:szCs w:val="24"/>
        </w:rPr>
        <w:t>, at least when taking the ‘longer view’</w:t>
      </w:r>
      <w:r w:rsidR="007F53B7" w:rsidRPr="009C3204">
        <w:rPr>
          <w:rFonts w:ascii="Cambria" w:hAnsi="Cambria"/>
          <w:sz w:val="24"/>
          <w:szCs w:val="24"/>
        </w:rPr>
        <w:t>.</w:t>
      </w:r>
      <w:r w:rsidR="00230F06" w:rsidRPr="009C3204">
        <w:rPr>
          <w:rStyle w:val="FootnoteReference"/>
          <w:rFonts w:ascii="Cambria" w:hAnsi="Cambria"/>
          <w:sz w:val="24"/>
          <w:szCs w:val="24"/>
        </w:rPr>
        <w:footnoteReference w:id="1"/>
      </w:r>
      <w:r w:rsidR="007F53B7" w:rsidRPr="009C3204">
        <w:rPr>
          <w:rFonts w:ascii="Cambria" w:hAnsi="Cambria"/>
          <w:sz w:val="24"/>
          <w:szCs w:val="24"/>
        </w:rPr>
        <w:t xml:space="preserve"> On some accounts</w:t>
      </w:r>
      <w:r w:rsidR="00395347" w:rsidRPr="009C3204">
        <w:rPr>
          <w:rFonts w:ascii="Cambria" w:hAnsi="Cambria"/>
          <w:sz w:val="24"/>
          <w:szCs w:val="24"/>
        </w:rPr>
        <w:t xml:space="preserve">, </w:t>
      </w:r>
      <w:r w:rsidR="00331C9E" w:rsidRPr="009C3204">
        <w:rPr>
          <w:rFonts w:ascii="Cambria" w:hAnsi="Cambria"/>
          <w:sz w:val="24"/>
          <w:szCs w:val="24"/>
        </w:rPr>
        <w:t>nothing deserving the title can be identified at all</w:t>
      </w:r>
      <w:r w:rsidR="005602CC" w:rsidRPr="009C3204">
        <w:rPr>
          <w:rFonts w:ascii="Cambria" w:hAnsi="Cambria"/>
          <w:sz w:val="24"/>
          <w:szCs w:val="24"/>
        </w:rPr>
        <w:t>,</w:t>
      </w:r>
      <w:r w:rsidR="007555DD" w:rsidRPr="009C3204">
        <w:rPr>
          <w:rStyle w:val="FootnoteReference"/>
          <w:rFonts w:ascii="Cambria" w:hAnsi="Cambria"/>
          <w:sz w:val="24"/>
          <w:szCs w:val="24"/>
        </w:rPr>
        <w:footnoteReference w:id="2"/>
      </w:r>
      <w:r w:rsidR="00111D01" w:rsidRPr="009C3204">
        <w:rPr>
          <w:rFonts w:ascii="Cambria" w:hAnsi="Cambria"/>
          <w:sz w:val="24"/>
          <w:szCs w:val="24"/>
        </w:rPr>
        <w:t xml:space="preserve"> </w:t>
      </w:r>
      <w:r w:rsidR="005602CC" w:rsidRPr="009C3204">
        <w:rPr>
          <w:rFonts w:ascii="Cambria" w:hAnsi="Cambria"/>
          <w:sz w:val="24"/>
          <w:szCs w:val="24"/>
        </w:rPr>
        <w:t>and</w:t>
      </w:r>
      <w:r w:rsidR="00EA2C12" w:rsidRPr="009C3204">
        <w:rPr>
          <w:rFonts w:ascii="Cambria" w:hAnsi="Cambria"/>
          <w:sz w:val="24"/>
          <w:szCs w:val="24"/>
        </w:rPr>
        <w:t xml:space="preserve"> the story</w:t>
      </w:r>
      <w:r w:rsidR="004F7B82" w:rsidRPr="009C3204">
        <w:rPr>
          <w:rFonts w:ascii="Cambria" w:hAnsi="Cambria"/>
          <w:sz w:val="24"/>
          <w:szCs w:val="24"/>
        </w:rPr>
        <w:t xml:space="preserve"> </w:t>
      </w:r>
      <w:r w:rsidR="00E367ED" w:rsidRPr="009C3204">
        <w:rPr>
          <w:rFonts w:ascii="Cambria" w:hAnsi="Cambria"/>
          <w:sz w:val="24"/>
          <w:szCs w:val="24"/>
        </w:rPr>
        <w:t xml:space="preserve">overall </w:t>
      </w:r>
      <w:r w:rsidRPr="009C3204">
        <w:rPr>
          <w:rFonts w:ascii="Cambria" w:hAnsi="Cambria"/>
          <w:sz w:val="24"/>
          <w:szCs w:val="24"/>
        </w:rPr>
        <w:t>seems to be</w:t>
      </w:r>
      <w:r w:rsidR="00EA2C12" w:rsidRPr="009C3204">
        <w:rPr>
          <w:rFonts w:ascii="Cambria" w:hAnsi="Cambria"/>
          <w:sz w:val="24"/>
          <w:szCs w:val="24"/>
        </w:rPr>
        <w:t xml:space="preserve"> one of </w:t>
      </w:r>
      <w:r w:rsidR="004F7B82" w:rsidRPr="009C3204">
        <w:rPr>
          <w:rFonts w:ascii="Cambria" w:hAnsi="Cambria"/>
          <w:sz w:val="24"/>
          <w:szCs w:val="24"/>
        </w:rPr>
        <w:t>continuity and consistency</w:t>
      </w:r>
      <w:r w:rsidR="00872ED7" w:rsidRPr="009C3204">
        <w:rPr>
          <w:rFonts w:ascii="Cambria" w:hAnsi="Cambria"/>
          <w:sz w:val="24"/>
          <w:szCs w:val="24"/>
        </w:rPr>
        <w:t xml:space="preserve">, or at least </w:t>
      </w:r>
      <w:r w:rsidR="006C6642" w:rsidRPr="009C3204">
        <w:rPr>
          <w:rFonts w:ascii="Cambria" w:hAnsi="Cambria"/>
          <w:sz w:val="24"/>
          <w:szCs w:val="24"/>
        </w:rPr>
        <w:t xml:space="preserve">of </w:t>
      </w:r>
      <w:r w:rsidR="00872ED7" w:rsidRPr="009C3204">
        <w:rPr>
          <w:rFonts w:ascii="Cambria" w:hAnsi="Cambria"/>
          <w:sz w:val="24"/>
          <w:szCs w:val="24"/>
        </w:rPr>
        <w:t>repetition</w:t>
      </w:r>
      <w:r w:rsidR="004F7B82" w:rsidRPr="009C3204">
        <w:rPr>
          <w:rFonts w:ascii="Cambria" w:hAnsi="Cambria"/>
          <w:sz w:val="24"/>
          <w:szCs w:val="24"/>
        </w:rPr>
        <w:t>.</w:t>
      </w:r>
      <w:bookmarkStart w:id="0" w:name="_Ref480741443"/>
      <w:r w:rsidR="006C6642" w:rsidRPr="009C3204">
        <w:rPr>
          <w:rStyle w:val="FootnoteReference"/>
          <w:rFonts w:ascii="Cambria" w:hAnsi="Cambria"/>
          <w:sz w:val="24"/>
          <w:szCs w:val="24"/>
        </w:rPr>
        <w:footnoteReference w:id="3"/>
      </w:r>
      <w:bookmarkEnd w:id="0"/>
      <w:r w:rsidR="004F7B82" w:rsidRPr="009C3204">
        <w:rPr>
          <w:rFonts w:ascii="Cambria" w:hAnsi="Cambria"/>
          <w:sz w:val="24"/>
          <w:szCs w:val="24"/>
        </w:rPr>
        <w:t xml:space="preserve"> </w:t>
      </w:r>
      <w:r w:rsidR="00111D01" w:rsidRPr="009C3204">
        <w:rPr>
          <w:rFonts w:ascii="Cambria" w:hAnsi="Cambria"/>
          <w:sz w:val="24"/>
          <w:szCs w:val="24"/>
        </w:rPr>
        <w:t xml:space="preserve">In seeking </w:t>
      </w:r>
      <w:r w:rsidR="008E6C2E" w:rsidRPr="009C3204">
        <w:rPr>
          <w:rFonts w:ascii="Cambria" w:hAnsi="Cambria"/>
          <w:sz w:val="24"/>
          <w:szCs w:val="24"/>
        </w:rPr>
        <w:t>revolutionary moments</w:t>
      </w:r>
      <w:r w:rsidR="00111D01" w:rsidRPr="009C3204">
        <w:rPr>
          <w:rFonts w:ascii="Cambria" w:hAnsi="Cambria"/>
          <w:sz w:val="24"/>
          <w:szCs w:val="24"/>
        </w:rPr>
        <w:t xml:space="preserve"> in private law,</w:t>
      </w:r>
      <w:r w:rsidR="00395347" w:rsidRPr="009C3204">
        <w:rPr>
          <w:rFonts w:ascii="Cambria" w:hAnsi="Cambria"/>
          <w:sz w:val="24"/>
          <w:szCs w:val="24"/>
        </w:rPr>
        <w:t xml:space="preserve"> </w:t>
      </w:r>
      <w:r w:rsidR="004F7B82" w:rsidRPr="009C3204">
        <w:rPr>
          <w:rFonts w:ascii="Cambria" w:hAnsi="Cambria"/>
          <w:sz w:val="24"/>
          <w:szCs w:val="24"/>
        </w:rPr>
        <w:t>this chapter turns</w:t>
      </w:r>
      <w:r w:rsidR="007555DD" w:rsidRPr="009C3204">
        <w:rPr>
          <w:rFonts w:ascii="Cambria" w:hAnsi="Cambria"/>
          <w:sz w:val="24"/>
          <w:szCs w:val="24"/>
        </w:rPr>
        <w:t xml:space="preserve"> </w:t>
      </w:r>
      <w:r w:rsidR="00111D01" w:rsidRPr="009C3204">
        <w:rPr>
          <w:rFonts w:ascii="Cambria" w:hAnsi="Cambria"/>
          <w:sz w:val="24"/>
          <w:szCs w:val="24"/>
        </w:rPr>
        <w:t xml:space="preserve">instead </w:t>
      </w:r>
      <w:r w:rsidR="00395347" w:rsidRPr="009C3204">
        <w:rPr>
          <w:rFonts w:ascii="Cambria" w:hAnsi="Cambria"/>
          <w:sz w:val="24"/>
          <w:szCs w:val="24"/>
        </w:rPr>
        <w:t xml:space="preserve">to the influence </w:t>
      </w:r>
      <w:r w:rsidR="00157C00" w:rsidRPr="009C3204">
        <w:rPr>
          <w:rFonts w:ascii="Cambria" w:hAnsi="Cambria"/>
          <w:sz w:val="24"/>
          <w:szCs w:val="24"/>
        </w:rPr>
        <w:t>in and</w:t>
      </w:r>
      <w:r w:rsidR="00395347" w:rsidRPr="009C3204">
        <w:rPr>
          <w:rFonts w:ascii="Cambria" w:hAnsi="Cambria"/>
          <w:sz w:val="24"/>
          <w:szCs w:val="24"/>
        </w:rPr>
        <w:t xml:space="preserve"> on private law of </w:t>
      </w:r>
      <w:r w:rsidR="008E6C2E" w:rsidRPr="009C3204">
        <w:rPr>
          <w:rFonts w:ascii="Cambria" w:hAnsi="Cambria"/>
          <w:sz w:val="24"/>
          <w:szCs w:val="24"/>
        </w:rPr>
        <w:t xml:space="preserve">much </w:t>
      </w:r>
      <w:r w:rsidR="00CC1C99">
        <w:rPr>
          <w:rFonts w:ascii="Cambria" w:hAnsi="Cambria"/>
          <w:sz w:val="24"/>
          <w:szCs w:val="24"/>
        </w:rPr>
        <w:t>more general</w:t>
      </w:r>
      <w:r w:rsidR="00EF5F62">
        <w:rPr>
          <w:rFonts w:ascii="Cambria" w:hAnsi="Cambria"/>
          <w:sz w:val="24"/>
          <w:szCs w:val="24"/>
        </w:rPr>
        <w:t xml:space="preserve"> </w:t>
      </w:r>
      <w:r w:rsidR="00395347" w:rsidRPr="009C3204">
        <w:rPr>
          <w:rFonts w:ascii="Cambria" w:hAnsi="Cambria"/>
          <w:sz w:val="24"/>
          <w:szCs w:val="24"/>
        </w:rPr>
        <w:t>‘paradigm change</w:t>
      </w:r>
      <w:r w:rsidR="00373BDC" w:rsidRPr="009C3204">
        <w:rPr>
          <w:rFonts w:ascii="Cambria" w:hAnsi="Cambria"/>
          <w:sz w:val="24"/>
          <w:szCs w:val="24"/>
        </w:rPr>
        <w:t>s</w:t>
      </w:r>
      <w:r w:rsidR="00395347" w:rsidRPr="009C3204">
        <w:rPr>
          <w:rFonts w:ascii="Cambria" w:hAnsi="Cambria"/>
          <w:sz w:val="24"/>
          <w:szCs w:val="24"/>
        </w:rPr>
        <w:t>’</w:t>
      </w:r>
      <w:r w:rsidR="004F7B82" w:rsidRPr="009C3204">
        <w:rPr>
          <w:rFonts w:ascii="Cambria" w:hAnsi="Cambria"/>
          <w:sz w:val="24"/>
          <w:szCs w:val="24"/>
        </w:rPr>
        <w:t xml:space="preserve">. </w:t>
      </w:r>
    </w:p>
    <w:p w14:paraId="474D8034" w14:textId="52149D9B" w:rsidR="00157C00" w:rsidRPr="009C3204" w:rsidRDefault="004F7B82" w:rsidP="008E4509">
      <w:pPr>
        <w:spacing w:line="240" w:lineRule="auto"/>
        <w:jc w:val="both"/>
        <w:rPr>
          <w:rFonts w:ascii="Cambria" w:hAnsi="Cambria"/>
          <w:sz w:val="24"/>
          <w:szCs w:val="24"/>
        </w:rPr>
      </w:pPr>
      <w:r w:rsidRPr="009C3204">
        <w:rPr>
          <w:rFonts w:ascii="Cambria" w:hAnsi="Cambria"/>
          <w:sz w:val="24"/>
          <w:szCs w:val="24"/>
        </w:rPr>
        <w:t>This</w:t>
      </w:r>
      <w:r w:rsidR="000D79D5" w:rsidRPr="009C3204">
        <w:rPr>
          <w:rFonts w:ascii="Cambria" w:hAnsi="Cambria"/>
          <w:sz w:val="24"/>
          <w:szCs w:val="24"/>
        </w:rPr>
        <w:t xml:space="preserve"> </w:t>
      </w:r>
      <w:r w:rsidR="00EA2C12" w:rsidRPr="009C3204">
        <w:rPr>
          <w:rFonts w:ascii="Cambria" w:hAnsi="Cambria"/>
          <w:sz w:val="24"/>
          <w:szCs w:val="24"/>
        </w:rPr>
        <w:t xml:space="preserve">move </w:t>
      </w:r>
      <w:r w:rsidR="00F6223A" w:rsidRPr="009C3204">
        <w:rPr>
          <w:rFonts w:ascii="Cambria" w:hAnsi="Cambria"/>
          <w:sz w:val="24"/>
          <w:szCs w:val="24"/>
        </w:rPr>
        <w:t>might r</w:t>
      </w:r>
      <w:r w:rsidR="00EA2C12" w:rsidRPr="009C3204">
        <w:rPr>
          <w:rFonts w:ascii="Cambria" w:hAnsi="Cambria"/>
          <w:sz w:val="24"/>
          <w:szCs w:val="24"/>
        </w:rPr>
        <w:t>aise suspicions</w:t>
      </w:r>
      <w:r w:rsidR="006C6642" w:rsidRPr="009C3204">
        <w:rPr>
          <w:rFonts w:ascii="Cambria" w:hAnsi="Cambria"/>
          <w:sz w:val="24"/>
          <w:szCs w:val="24"/>
        </w:rPr>
        <w:t xml:space="preserve">: </w:t>
      </w:r>
      <w:r w:rsidR="00EA2C12" w:rsidRPr="009C3204">
        <w:rPr>
          <w:rFonts w:ascii="Cambria" w:hAnsi="Cambria"/>
          <w:sz w:val="24"/>
          <w:szCs w:val="24"/>
        </w:rPr>
        <w:t>does the</w:t>
      </w:r>
      <w:r w:rsidR="001815F6" w:rsidRPr="009C3204">
        <w:rPr>
          <w:rFonts w:ascii="Cambria" w:hAnsi="Cambria"/>
          <w:sz w:val="24"/>
          <w:szCs w:val="24"/>
        </w:rPr>
        <w:t xml:space="preserve"> </w:t>
      </w:r>
      <w:r w:rsidR="00872ED7" w:rsidRPr="009C3204">
        <w:rPr>
          <w:rFonts w:ascii="Cambria" w:hAnsi="Cambria"/>
          <w:sz w:val="24"/>
          <w:szCs w:val="24"/>
        </w:rPr>
        <w:t>c</w:t>
      </w:r>
      <w:r w:rsidR="001815F6" w:rsidRPr="009C3204">
        <w:rPr>
          <w:rFonts w:ascii="Cambria" w:hAnsi="Cambria"/>
          <w:sz w:val="24"/>
          <w:szCs w:val="24"/>
        </w:rPr>
        <w:t xml:space="preserve">hoice </w:t>
      </w:r>
      <w:r w:rsidR="00872ED7" w:rsidRPr="009C3204">
        <w:rPr>
          <w:rFonts w:ascii="Cambria" w:hAnsi="Cambria"/>
          <w:sz w:val="24"/>
          <w:szCs w:val="24"/>
        </w:rPr>
        <w:t>to</w:t>
      </w:r>
      <w:r w:rsidR="001815F6" w:rsidRPr="009C3204">
        <w:rPr>
          <w:rFonts w:ascii="Cambria" w:hAnsi="Cambria"/>
          <w:sz w:val="24"/>
          <w:szCs w:val="24"/>
        </w:rPr>
        <w:t xml:space="preserve"> focus</w:t>
      </w:r>
      <w:r w:rsidR="00872ED7" w:rsidRPr="009C3204">
        <w:rPr>
          <w:rFonts w:ascii="Cambria" w:hAnsi="Cambria"/>
          <w:sz w:val="24"/>
          <w:szCs w:val="24"/>
        </w:rPr>
        <w:t xml:space="preserve"> </w:t>
      </w:r>
      <w:r w:rsidR="00A50B27" w:rsidRPr="009C3204">
        <w:rPr>
          <w:rFonts w:ascii="Cambria" w:hAnsi="Cambria"/>
          <w:sz w:val="24"/>
          <w:szCs w:val="24"/>
        </w:rPr>
        <w:t xml:space="preserve">in this way </w:t>
      </w:r>
      <w:r w:rsidR="00F6223A" w:rsidRPr="009C3204">
        <w:rPr>
          <w:rFonts w:ascii="Cambria" w:hAnsi="Cambria"/>
          <w:sz w:val="24"/>
          <w:szCs w:val="24"/>
        </w:rPr>
        <w:t xml:space="preserve">tend to devalue </w:t>
      </w:r>
      <w:r w:rsidR="00373BDC" w:rsidRPr="009C3204">
        <w:rPr>
          <w:rFonts w:ascii="Cambria" w:hAnsi="Cambria"/>
          <w:sz w:val="24"/>
          <w:szCs w:val="24"/>
        </w:rPr>
        <w:t xml:space="preserve">principled </w:t>
      </w:r>
      <w:r w:rsidR="00A50B27" w:rsidRPr="009C3204">
        <w:rPr>
          <w:rFonts w:ascii="Cambria" w:hAnsi="Cambria"/>
          <w:sz w:val="24"/>
          <w:szCs w:val="24"/>
        </w:rPr>
        <w:t>or internal</w:t>
      </w:r>
      <w:r w:rsidR="00111D01" w:rsidRPr="009C3204">
        <w:rPr>
          <w:rFonts w:ascii="Cambria" w:hAnsi="Cambria"/>
          <w:sz w:val="24"/>
          <w:szCs w:val="24"/>
        </w:rPr>
        <w:t xml:space="preserve"> </w:t>
      </w:r>
      <w:r w:rsidR="00F6223A" w:rsidRPr="009C3204">
        <w:rPr>
          <w:rFonts w:ascii="Cambria" w:hAnsi="Cambria"/>
          <w:sz w:val="24"/>
          <w:szCs w:val="24"/>
        </w:rPr>
        <w:t xml:space="preserve">accounts of </w:t>
      </w:r>
      <w:r w:rsidR="00872ED7" w:rsidRPr="009C3204">
        <w:rPr>
          <w:rFonts w:ascii="Cambria" w:hAnsi="Cambria"/>
          <w:sz w:val="24"/>
          <w:szCs w:val="24"/>
        </w:rPr>
        <w:t>private law</w:t>
      </w:r>
      <w:r w:rsidR="00F6223A" w:rsidRPr="009C3204">
        <w:rPr>
          <w:rFonts w:ascii="Cambria" w:hAnsi="Cambria"/>
          <w:sz w:val="24"/>
          <w:szCs w:val="24"/>
        </w:rPr>
        <w:t>?</w:t>
      </w:r>
      <w:r w:rsidR="00373BDC" w:rsidRPr="009C3204">
        <w:rPr>
          <w:rStyle w:val="FootnoteReference"/>
          <w:rFonts w:ascii="Cambria" w:hAnsi="Cambria"/>
          <w:sz w:val="24"/>
          <w:szCs w:val="24"/>
        </w:rPr>
        <w:footnoteReference w:id="4"/>
      </w:r>
      <w:r w:rsidR="00F6223A" w:rsidRPr="009C3204">
        <w:rPr>
          <w:rFonts w:ascii="Cambria" w:hAnsi="Cambria"/>
          <w:sz w:val="24"/>
          <w:szCs w:val="24"/>
        </w:rPr>
        <w:t xml:space="preserve"> </w:t>
      </w:r>
      <w:r w:rsidR="006C6642" w:rsidRPr="009C3204">
        <w:rPr>
          <w:rFonts w:ascii="Cambria" w:hAnsi="Cambria"/>
          <w:sz w:val="24"/>
          <w:szCs w:val="24"/>
        </w:rPr>
        <w:t>I</w:t>
      </w:r>
      <w:r w:rsidR="00373BDC" w:rsidRPr="009C3204">
        <w:rPr>
          <w:rFonts w:ascii="Cambria" w:hAnsi="Cambria"/>
          <w:sz w:val="24"/>
          <w:szCs w:val="24"/>
        </w:rPr>
        <w:t xml:space="preserve">t is suggested that </w:t>
      </w:r>
      <w:r w:rsidR="00CC1C99">
        <w:rPr>
          <w:rFonts w:ascii="Cambria" w:hAnsi="Cambria"/>
          <w:sz w:val="24"/>
          <w:szCs w:val="24"/>
        </w:rPr>
        <w:t xml:space="preserve">this focus </w:t>
      </w:r>
      <w:r w:rsidR="001815F6" w:rsidRPr="009C3204">
        <w:rPr>
          <w:rFonts w:ascii="Cambria" w:hAnsi="Cambria"/>
          <w:sz w:val="24"/>
          <w:szCs w:val="24"/>
        </w:rPr>
        <w:t>rais</w:t>
      </w:r>
      <w:r w:rsidR="00EA2C12" w:rsidRPr="009C3204">
        <w:rPr>
          <w:rFonts w:ascii="Cambria" w:hAnsi="Cambria"/>
          <w:sz w:val="24"/>
          <w:szCs w:val="24"/>
        </w:rPr>
        <w:t>e</w:t>
      </w:r>
      <w:r w:rsidR="00CC1C99">
        <w:rPr>
          <w:rFonts w:ascii="Cambria" w:hAnsi="Cambria"/>
          <w:sz w:val="24"/>
          <w:szCs w:val="24"/>
        </w:rPr>
        <w:t>s</w:t>
      </w:r>
      <w:r w:rsidR="00373BDC" w:rsidRPr="009C3204">
        <w:rPr>
          <w:rFonts w:ascii="Cambria" w:hAnsi="Cambria"/>
          <w:sz w:val="24"/>
          <w:szCs w:val="24"/>
        </w:rPr>
        <w:t xml:space="preserve"> </w:t>
      </w:r>
      <w:r w:rsidR="00EA2C12" w:rsidRPr="009C3204">
        <w:rPr>
          <w:rFonts w:ascii="Cambria" w:hAnsi="Cambria"/>
          <w:sz w:val="24"/>
          <w:szCs w:val="24"/>
        </w:rPr>
        <w:t xml:space="preserve">pertinent </w:t>
      </w:r>
      <w:r w:rsidR="001815F6" w:rsidRPr="009C3204">
        <w:rPr>
          <w:rFonts w:ascii="Cambria" w:hAnsi="Cambria"/>
          <w:sz w:val="24"/>
          <w:szCs w:val="24"/>
        </w:rPr>
        <w:t>questions</w:t>
      </w:r>
      <w:r w:rsidR="00872ED7" w:rsidRPr="009C3204">
        <w:rPr>
          <w:rFonts w:ascii="Cambria" w:hAnsi="Cambria"/>
          <w:sz w:val="24"/>
          <w:szCs w:val="24"/>
        </w:rPr>
        <w:t xml:space="preserve"> which need not be </w:t>
      </w:r>
      <w:r w:rsidR="00EB756A" w:rsidRPr="009C3204">
        <w:rPr>
          <w:rFonts w:ascii="Cambria" w:hAnsi="Cambria"/>
          <w:sz w:val="24"/>
          <w:szCs w:val="24"/>
        </w:rPr>
        <w:t xml:space="preserve">perceived as </w:t>
      </w:r>
      <w:r w:rsidR="00872ED7" w:rsidRPr="009C3204">
        <w:rPr>
          <w:rFonts w:ascii="Cambria" w:hAnsi="Cambria"/>
          <w:sz w:val="24"/>
          <w:szCs w:val="24"/>
        </w:rPr>
        <w:t>threatening to the integrity of private law</w:t>
      </w:r>
      <w:r w:rsidR="000D79D5" w:rsidRPr="009C3204">
        <w:rPr>
          <w:rFonts w:ascii="Cambria" w:hAnsi="Cambria"/>
          <w:sz w:val="24"/>
          <w:szCs w:val="24"/>
        </w:rPr>
        <w:t>.</w:t>
      </w:r>
      <w:r w:rsidR="006361C1">
        <w:rPr>
          <w:rFonts w:ascii="Cambria" w:hAnsi="Cambria"/>
          <w:sz w:val="24"/>
          <w:szCs w:val="24"/>
        </w:rPr>
        <w:t xml:space="preserve"> </w:t>
      </w:r>
      <w:r w:rsidR="005E59C3" w:rsidRPr="009C3204">
        <w:rPr>
          <w:rFonts w:ascii="Cambria" w:hAnsi="Cambria"/>
          <w:sz w:val="24"/>
          <w:szCs w:val="24"/>
        </w:rPr>
        <w:t xml:space="preserve">For example, </w:t>
      </w:r>
      <w:r w:rsidR="00BE658D" w:rsidRPr="009C3204">
        <w:rPr>
          <w:rFonts w:ascii="Cambria" w:hAnsi="Cambria"/>
          <w:sz w:val="24"/>
          <w:szCs w:val="24"/>
        </w:rPr>
        <w:t>what if changes in society and styles of governance</w:t>
      </w:r>
      <w:r w:rsidR="00373BDC" w:rsidRPr="009C3204">
        <w:rPr>
          <w:rStyle w:val="FootnoteReference"/>
          <w:rFonts w:ascii="Cambria" w:hAnsi="Cambria"/>
          <w:sz w:val="24"/>
          <w:szCs w:val="24"/>
        </w:rPr>
        <w:footnoteReference w:id="5"/>
      </w:r>
      <w:r w:rsidR="00BE658D" w:rsidRPr="009C3204">
        <w:rPr>
          <w:rFonts w:ascii="Cambria" w:hAnsi="Cambria"/>
          <w:sz w:val="24"/>
          <w:szCs w:val="24"/>
        </w:rPr>
        <w:t xml:space="preserve"> give private law </w:t>
      </w:r>
      <w:r w:rsidR="000D79D5" w:rsidRPr="009C3204">
        <w:rPr>
          <w:rFonts w:ascii="Cambria" w:hAnsi="Cambria"/>
          <w:sz w:val="24"/>
          <w:szCs w:val="24"/>
        </w:rPr>
        <w:t xml:space="preserve">new </w:t>
      </w:r>
      <w:r w:rsidR="00B16892" w:rsidRPr="009C3204">
        <w:rPr>
          <w:rFonts w:ascii="Cambria" w:hAnsi="Cambria"/>
          <w:sz w:val="24"/>
          <w:szCs w:val="24"/>
        </w:rPr>
        <w:t xml:space="preserve">and no less important </w:t>
      </w:r>
      <w:r w:rsidR="005E59C3" w:rsidRPr="009C3204">
        <w:rPr>
          <w:rFonts w:ascii="Cambria" w:hAnsi="Cambria"/>
          <w:sz w:val="24"/>
          <w:szCs w:val="24"/>
        </w:rPr>
        <w:t>role</w:t>
      </w:r>
      <w:r w:rsidR="00373BDC" w:rsidRPr="009C3204">
        <w:rPr>
          <w:rFonts w:ascii="Cambria" w:hAnsi="Cambria"/>
          <w:sz w:val="24"/>
          <w:szCs w:val="24"/>
        </w:rPr>
        <w:t>s</w:t>
      </w:r>
      <w:r w:rsidR="005E59C3" w:rsidRPr="009C3204">
        <w:rPr>
          <w:rFonts w:ascii="Cambria" w:hAnsi="Cambria"/>
          <w:sz w:val="24"/>
          <w:szCs w:val="24"/>
        </w:rPr>
        <w:t xml:space="preserve"> to play</w:t>
      </w:r>
      <w:r w:rsidR="00B16892" w:rsidRPr="009C3204">
        <w:rPr>
          <w:rFonts w:ascii="Cambria" w:hAnsi="Cambria"/>
          <w:sz w:val="24"/>
          <w:szCs w:val="24"/>
        </w:rPr>
        <w:t xml:space="preserve"> compared </w:t>
      </w:r>
      <w:r w:rsidR="00621F04">
        <w:rPr>
          <w:rFonts w:ascii="Cambria" w:hAnsi="Cambria"/>
          <w:sz w:val="24"/>
          <w:szCs w:val="24"/>
        </w:rPr>
        <w:t>with</w:t>
      </w:r>
      <w:r w:rsidR="00B16892" w:rsidRPr="009C3204">
        <w:rPr>
          <w:rFonts w:ascii="Cambria" w:hAnsi="Cambria"/>
          <w:sz w:val="24"/>
          <w:szCs w:val="24"/>
        </w:rPr>
        <w:t xml:space="preserve"> its past</w:t>
      </w:r>
      <w:r w:rsidR="005E59C3" w:rsidRPr="009C3204">
        <w:rPr>
          <w:rFonts w:ascii="Cambria" w:hAnsi="Cambria"/>
          <w:sz w:val="24"/>
          <w:szCs w:val="24"/>
        </w:rPr>
        <w:t>? Could</w:t>
      </w:r>
      <w:r w:rsidR="00BE658D" w:rsidRPr="009C3204">
        <w:rPr>
          <w:rFonts w:ascii="Cambria" w:hAnsi="Cambria"/>
          <w:sz w:val="24"/>
          <w:szCs w:val="24"/>
        </w:rPr>
        <w:t xml:space="preserve"> private law contribute to such changes, or form part of them,</w:t>
      </w:r>
      <w:r w:rsidR="005E59C3" w:rsidRPr="009C3204">
        <w:rPr>
          <w:rFonts w:ascii="Cambria" w:hAnsi="Cambria"/>
          <w:sz w:val="24"/>
          <w:szCs w:val="24"/>
        </w:rPr>
        <w:t xml:space="preserve"> </w:t>
      </w:r>
      <w:r w:rsidR="00373BDC" w:rsidRPr="009C3204">
        <w:rPr>
          <w:rFonts w:ascii="Cambria" w:hAnsi="Cambria"/>
          <w:sz w:val="24"/>
          <w:szCs w:val="24"/>
        </w:rPr>
        <w:t xml:space="preserve">and if so is there a danger that this will take place </w:t>
      </w:r>
      <w:r w:rsidR="005E59C3" w:rsidRPr="009C3204">
        <w:rPr>
          <w:rFonts w:ascii="Cambria" w:hAnsi="Cambria"/>
          <w:sz w:val="24"/>
          <w:szCs w:val="24"/>
        </w:rPr>
        <w:t>without serious debate by legal scholars</w:t>
      </w:r>
      <w:r w:rsidR="00BE658D" w:rsidRPr="009C3204">
        <w:rPr>
          <w:rFonts w:ascii="Cambria" w:hAnsi="Cambria"/>
          <w:sz w:val="24"/>
          <w:szCs w:val="24"/>
        </w:rPr>
        <w:t>?</w:t>
      </w:r>
      <w:r w:rsidR="005E59C3" w:rsidRPr="009C3204">
        <w:rPr>
          <w:rFonts w:ascii="Cambria" w:hAnsi="Cambria"/>
          <w:sz w:val="24"/>
          <w:szCs w:val="24"/>
        </w:rPr>
        <w:t xml:space="preserve"> </w:t>
      </w:r>
      <w:r w:rsidR="00EA2C12" w:rsidRPr="009C3204">
        <w:rPr>
          <w:rFonts w:ascii="Cambria" w:hAnsi="Cambria"/>
          <w:sz w:val="24"/>
          <w:szCs w:val="24"/>
        </w:rPr>
        <w:t>In marked contrast to private lawyers’ traditional emphasis on continuity, we might c</w:t>
      </w:r>
      <w:r w:rsidR="002604C0" w:rsidRPr="009C3204">
        <w:rPr>
          <w:rFonts w:ascii="Cambria" w:hAnsi="Cambria"/>
          <w:sz w:val="24"/>
          <w:szCs w:val="24"/>
        </w:rPr>
        <w:t xml:space="preserve">onsider John Braithwaite’s suggestion, in </w:t>
      </w:r>
      <w:r w:rsidR="00E367ED" w:rsidRPr="009C3204">
        <w:rPr>
          <w:rFonts w:ascii="Cambria" w:hAnsi="Cambria"/>
          <w:sz w:val="24"/>
          <w:szCs w:val="24"/>
        </w:rPr>
        <w:t xml:space="preserve">the context of </w:t>
      </w:r>
      <w:r w:rsidR="002604C0" w:rsidRPr="009C3204">
        <w:rPr>
          <w:rFonts w:ascii="Cambria" w:hAnsi="Cambria"/>
          <w:sz w:val="24"/>
          <w:szCs w:val="24"/>
        </w:rPr>
        <w:t>shifting styles of regulation, that ‘[a] key to progress is to keep constructing new paradigms that sweep across the disciplines in ways that are responsive to the new realities of the world, but that fade, like Keynesianism, when those realities change’.</w:t>
      </w:r>
      <w:bookmarkStart w:id="1" w:name="_Ref480741661"/>
      <w:r w:rsidR="002604C0" w:rsidRPr="009C3204">
        <w:rPr>
          <w:rStyle w:val="FootnoteReference"/>
          <w:rFonts w:ascii="Cambria" w:hAnsi="Cambria"/>
          <w:sz w:val="24"/>
          <w:szCs w:val="24"/>
        </w:rPr>
        <w:footnoteReference w:id="6"/>
      </w:r>
      <w:bookmarkEnd w:id="1"/>
      <w:r w:rsidR="002604C0" w:rsidRPr="009C3204">
        <w:rPr>
          <w:rFonts w:ascii="Cambria" w:hAnsi="Cambria"/>
          <w:sz w:val="24"/>
          <w:szCs w:val="24"/>
        </w:rPr>
        <w:t xml:space="preserve"> </w:t>
      </w:r>
      <w:r w:rsidR="00A50B27" w:rsidRPr="009C3204">
        <w:rPr>
          <w:rFonts w:ascii="Cambria" w:hAnsi="Cambria"/>
          <w:sz w:val="24"/>
          <w:szCs w:val="24"/>
        </w:rPr>
        <w:t>I</w:t>
      </w:r>
      <w:r w:rsidR="00327644" w:rsidRPr="009C3204">
        <w:rPr>
          <w:rFonts w:ascii="Cambria" w:hAnsi="Cambria"/>
          <w:sz w:val="24"/>
          <w:szCs w:val="24"/>
        </w:rPr>
        <w:t>t is unlikely that p</w:t>
      </w:r>
      <w:r w:rsidR="00872ED7" w:rsidRPr="009C3204">
        <w:rPr>
          <w:rFonts w:ascii="Cambria" w:hAnsi="Cambria"/>
          <w:sz w:val="24"/>
          <w:szCs w:val="24"/>
        </w:rPr>
        <w:t>rivate law c</w:t>
      </w:r>
      <w:r w:rsidR="00327644" w:rsidRPr="009C3204">
        <w:rPr>
          <w:rFonts w:ascii="Cambria" w:hAnsi="Cambria"/>
          <w:sz w:val="24"/>
          <w:szCs w:val="24"/>
        </w:rPr>
        <w:t>ould remain insulated from such broad changes</w:t>
      </w:r>
      <w:r w:rsidR="00A50B27" w:rsidRPr="009C3204">
        <w:rPr>
          <w:rFonts w:ascii="Cambria" w:hAnsi="Cambria"/>
          <w:sz w:val="24"/>
          <w:szCs w:val="24"/>
        </w:rPr>
        <w:t>, particularly when they affect regulatory styles</w:t>
      </w:r>
      <w:r w:rsidR="00327644" w:rsidRPr="009C3204">
        <w:rPr>
          <w:rFonts w:ascii="Cambria" w:hAnsi="Cambria"/>
          <w:sz w:val="24"/>
          <w:szCs w:val="24"/>
        </w:rPr>
        <w:t>. D</w:t>
      </w:r>
      <w:r w:rsidR="00E367ED" w:rsidRPr="009C3204">
        <w:rPr>
          <w:rFonts w:ascii="Cambria" w:hAnsi="Cambria"/>
          <w:sz w:val="24"/>
          <w:szCs w:val="24"/>
        </w:rPr>
        <w:t xml:space="preserve">oes </w:t>
      </w:r>
      <w:r w:rsidR="00CC1C99">
        <w:rPr>
          <w:rFonts w:ascii="Cambria" w:hAnsi="Cambria"/>
          <w:sz w:val="24"/>
          <w:szCs w:val="24"/>
        </w:rPr>
        <w:t xml:space="preserve">private lawyers’ </w:t>
      </w:r>
      <w:r w:rsidR="00E367ED" w:rsidRPr="009C3204">
        <w:rPr>
          <w:rFonts w:ascii="Cambria" w:hAnsi="Cambria"/>
          <w:sz w:val="24"/>
          <w:szCs w:val="24"/>
        </w:rPr>
        <w:t xml:space="preserve">focus </w:t>
      </w:r>
      <w:r w:rsidR="002604C0" w:rsidRPr="009C3204">
        <w:rPr>
          <w:rFonts w:ascii="Cambria" w:hAnsi="Cambria"/>
          <w:sz w:val="24"/>
          <w:szCs w:val="24"/>
        </w:rPr>
        <w:t xml:space="preserve">on </w:t>
      </w:r>
      <w:r w:rsidR="00E367ED" w:rsidRPr="009C3204">
        <w:rPr>
          <w:rFonts w:ascii="Cambria" w:hAnsi="Cambria"/>
          <w:sz w:val="24"/>
          <w:szCs w:val="24"/>
        </w:rPr>
        <w:t xml:space="preserve">internal patterns of </w:t>
      </w:r>
      <w:r w:rsidR="002604C0" w:rsidRPr="009C3204">
        <w:rPr>
          <w:rFonts w:ascii="Cambria" w:hAnsi="Cambria"/>
          <w:sz w:val="24"/>
          <w:szCs w:val="24"/>
        </w:rPr>
        <w:t xml:space="preserve">continuity and consistency </w:t>
      </w:r>
      <w:r w:rsidR="006C6642" w:rsidRPr="009C3204">
        <w:rPr>
          <w:rFonts w:ascii="Cambria" w:hAnsi="Cambria"/>
          <w:sz w:val="24"/>
          <w:szCs w:val="24"/>
        </w:rPr>
        <w:t xml:space="preserve">therefore </w:t>
      </w:r>
      <w:r w:rsidR="002604C0" w:rsidRPr="009C3204">
        <w:rPr>
          <w:rFonts w:ascii="Cambria" w:hAnsi="Cambria"/>
          <w:sz w:val="24"/>
          <w:szCs w:val="24"/>
        </w:rPr>
        <w:t>risk missin</w:t>
      </w:r>
      <w:r w:rsidR="00CB6B43" w:rsidRPr="009C3204">
        <w:rPr>
          <w:rFonts w:ascii="Cambria" w:hAnsi="Cambria"/>
          <w:sz w:val="24"/>
          <w:szCs w:val="24"/>
        </w:rPr>
        <w:t>g significant paradigm changes —</w:t>
      </w:r>
      <w:r w:rsidR="002604C0" w:rsidRPr="009C3204">
        <w:rPr>
          <w:rFonts w:ascii="Cambria" w:hAnsi="Cambria"/>
          <w:sz w:val="24"/>
          <w:szCs w:val="24"/>
        </w:rPr>
        <w:t xml:space="preserve"> in </w:t>
      </w:r>
      <w:r w:rsidR="00E367ED" w:rsidRPr="009C3204">
        <w:rPr>
          <w:rFonts w:ascii="Cambria" w:hAnsi="Cambria"/>
          <w:sz w:val="24"/>
          <w:szCs w:val="24"/>
        </w:rPr>
        <w:t xml:space="preserve">the </w:t>
      </w:r>
      <w:r w:rsidR="002604C0" w:rsidRPr="009C3204">
        <w:rPr>
          <w:rFonts w:ascii="Cambria" w:hAnsi="Cambria"/>
          <w:sz w:val="24"/>
          <w:szCs w:val="24"/>
        </w:rPr>
        <w:t>context and function</w:t>
      </w:r>
      <w:r w:rsidR="00E367ED" w:rsidRPr="009C3204">
        <w:rPr>
          <w:rFonts w:ascii="Cambria" w:hAnsi="Cambria"/>
          <w:sz w:val="24"/>
          <w:szCs w:val="24"/>
        </w:rPr>
        <w:t xml:space="preserve"> of private law</w:t>
      </w:r>
      <w:r w:rsidR="002604C0" w:rsidRPr="009C3204">
        <w:rPr>
          <w:rFonts w:ascii="Cambria" w:hAnsi="Cambria"/>
          <w:sz w:val="24"/>
          <w:szCs w:val="24"/>
        </w:rPr>
        <w:t>?</w:t>
      </w:r>
      <w:r w:rsidR="00CB6B43" w:rsidRPr="009C3204">
        <w:rPr>
          <w:rFonts w:ascii="Cambria" w:hAnsi="Cambria"/>
          <w:sz w:val="24"/>
          <w:szCs w:val="24"/>
        </w:rPr>
        <w:t xml:space="preserve"> </w:t>
      </w:r>
    </w:p>
    <w:p w14:paraId="2423AEFF" w14:textId="3803F5C3" w:rsidR="00B32D87" w:rsidRPr="009C3204" w:rsidRDefault="00B32D87" w:rsidP="008E4509">
      <w:pPr>
        <w:spacing w:line="240" w:lineRule="auto"/>
        <w:jc w:val="both"/>
        <w:rPr>
          <w:rFonts w:ascii="Cambria" w:hAnsi="Cambria"/>
          <w:sz w:val="24"/>
          <w:szCs w:val="24"/>
        </w:rPr>
      </w:pPr>
      <w:r w:rsidRPr="009C3204">
        <w:rPr>
          <w:rFonts w:ascii="Cambria" w:hAnsi="Cambria"/>
          <w:sz w:val="24"/>
          <w:szCs w:val="24"/>
        </w:rPr>
        <w:t xml:space="preserve">This </w:t>
      </w:r>
      <w:r w:rsidR="00157C00" w:rsidRPr="009C3204">
        <w:rPr>
          <w:rFonts w:ascii="Cambria" w:hAnsi="Cambria"/>
          <w:sz w:val="24"/>
          <w:szCs w:val="24"/>
        </w:rPr>
        <w:t>chapter</w:t>
      </w:r>
      <w:r w:rsidRPr="009C3204">
        <w:rPr>
          <w:rFonts w:ascii="Cambria" w:hAnsi="Cambria"/>
          <w:sz w:val="24"/>
          <w:szCs w:val="24"/>
        </w:rPr>
        <w:t xml:space="preserve"> </w:t>
      </w:r>
      <w:r w:rsidR="009A34E4" w:rsidRPr="009C3204">
        <w:rPr>
          <w:rFonts w:ascii="Cambria" w:hAnsi="Cambria"/>
          <w:sz w:val="24"/>
          <w:szCs w:val="24"/>
        </w:rPr>
        <w:t xml:space="preserve">addresses </w:t>
      </w:r>
      <w:r w:rsidR="00E25441" w:rsidRPr="009C3204">
        <w:rPr>
          <w:rFonts w:ascii="Cambria" w:hAnsi="Cambria"/>
          <w:sz w:val="24"/>
          <w:szCs w:val="24"/>
        </w:rPr>
        <w:t xml:space="preserve">such </w:t>
      </w:r>
      <w:r w:rsidR="00157C00" w:rsidRPr="009C3204">
        <w:rPr>
          <w:rFonts w:ascii="Cambria" w:hAnsi="Cambria"/>
          <w:sz w:val="24"/>
          <w:szCs w:val="24"/>
        </w:rPr>
        <w:t>question</w:t>
      </w:r>
      <w:r w:rsidR="00E25441" w:rsidRPr="009C3204">
        <w:rPr>
          <w:rFonts w:ascii="Cambria" w:hAnsi="Cambria"/>
          <w:sz w:val="24"/>
          <w:szCs w:val="24"/>
        </w:rPr>
        <w:t>s</w:t>
      </w:r>
      <w:r w:rsidR="00157C00" w:rsidRPr="009C3204">
        <w:rPr>
          <w:rFonts w:ascii="Cambria" w:hAnsi="Cambria"/>
          <w:sz w:val="24"/>
          <w:szCs w:val="24"/>
        </w:rPr>
        <w:t xml:space="preserve"> </w:t>
      </w:r>
      <w:r w:rsidR="00E25441" w:rsidRPr="009C3204">
        <w:rPr>
          <w:rFonts w:ascii="Cambria" w:hAnsi="Cambria"/>
          <w:sz w:val="24"/>
          <w:szCs w:val="24"/>
        </w:rPr>
        <w:t>by exploring</w:t>
      </w:r>
      <w:r w:rsidR="00157C00" w:rsidRPr="009C3204">
        <w:rPr>
          <w:rFonts w:ascii="Cambria" w:hAnsi="Cambria"/>
          <w:sz w:val="24"/>
          <w:szCs w:val="24"/>
        </w:rPr>
        <w:t xml:space="preserve"> </w:t>
      </w:r>
      <w:r w:rsidR="009A34E4" w:rsidRPr="009C3204">
        <w:rPr>
          <w:rFonts w:ascii="Cambria" w:hAnsi="Cambria"/>
          <w:sz w:val="24"/>
          <w:szCs w:val="24"/>
        </w:rPr>
        <w:t xml:space="preserve">the relationship between ‘risk revolutions’ and private law. In doing so, it </w:t>
      </w:r>
      <w:r w:rsidR="00403CDA" w:rsidRPr="009C3204">
        <w:rPr>
          <w:rFonts w:ascii="Cambria" w:hAnsi="Cambria"/>
          <w:sz w:val="24"/>
          <w:szCs w:val="24"/>
        </w:rPr>
        <w:t xml:space="preserve">examines </w:t>
      </w:r>
      <w:r w:rsidRPr="009C3204">
        <w:rPr>
          <w:rFonts w:ascii="Cambria" w:hAnsi="Cambria"/>
          <w:sz w:val="24"/>
          <w:szCs w:val="24"/>
        </w:rPr>
        <w:t xml:space="preserve">the </w:t>
      </w:r>
      <w:r w:rsidR="00D854A2" w:rsidRPr="009C3204">
        <w:rPr>
          <w:rFonts w:ascii="Cambria" w:hAnsi="Cambria"/>
          <w:sz w:val="24"/>
          <w:szCs w:val="24"/>
        </w:rPr>
        <w:t xml:space="preserve">relationship between </w:t>
      </w:r>
      <w:r w:rsidR="00D962C9" w:rsidRPr="009C3204">
        <w:rPr>
          <w:rFonts w:ascii="Cambria" w:hAnsi="Cambria"/>
          <w:sz w:val="24"/>
          <w:szCs w:val="24"/>
        </w:rPr>
        <w:t xml:space="preserve">the </w:t>
      </w:r>
      <w:r w:rsidR="00D854A2" w:rsidRPr="009C3204">
        <w:rPr>
          <w:rFonts w:ascii="Cambria" w:hAnsi="Cambria"/>
          <w:sz w:val="24"/>
          <w:szCs w:val="24"/>
        </w:rPr>
        <w:t xml:space="preserve">development of private law, and </w:t>
      </w:r>
      <w:r w:rsidR="00B767EA" w:rsidRPr="009C3204">
        <w:rPr>
          <w:rFonts w:ascii="Cambria" w:hAnsi="Cambria"/>
          <w:sz w:val="24"/>
          <w:szCs w:val="24"/>
        </w:rPr>
        <w:t>broader societal changes</w:t>
      </w:r>
      <w:r w:rsidR="009A34E4" w:rsidRPr="009C3204">
        <w:rPr>
          <w:rFonts w:ascii="Cambria" w:hAnsi="Cambria"/>
          <w:sz w:val="24"/>
          <w:szCs w:val="24"/>
        </w:rPr>
        <w:t xml:space="preserve"> which, in this instance, have </w:t>
      </w:r>
      <w:r w:rsidR="00373BDC" w:rsidRPr="009C3204">
        <w:rPr>
          <w:rFonts w:ascii="Cambria" w:hAnsi="Cambria"/>
          <w:sz w:val="24"/>
          <w:szCs w:val="24"/>
        </w:rPr>
        <w:t xml:space="preserve">already </w:t>
      </w:r>
      <w:r w:rsidR="009A34E4" w:rsidRPr="009C3204">
        <w:rPr>
          <w:rFonts w:ascii="Cambria" w:hAnsi="Cambria"/>
          <w:sz w:val="24"/>
          <w:szCs w:val="24"/>
        </w:rPr>
        <w:t xml:space="preserve">been </w:t>
      </w:r>
      <w:r w:rsidR="00373BDC" w:rsidRPr="009C3204">
        <w:rPr>
          <w:rFonts w:ascii="Cambria" w:hAnsi="Cambria"/>
          <w:sz w:val="24"/>
          <w:szCs w:val="24"/>
        </w:rPr>
        <w:t xml:space="preserve">widely </w:t>
      </w:r>
      <w:r w:rsidR="009A34E4" w:rsidRPr="009C3204">
        <w:rPr>
          <w:rFonts w:ascii="Cambria" w:hAnsi="Cambria"/>
          <w:sz w:val="24"/>
          <w:szCs w:val="24"/>
        </w:rPr>
        <w:t>described</w:t>
      </w:r>
      <w:r w:rsidR="00111D01" w:rsidRPr="009C3204">
        <w:rPr>
          <w:rFonts w:ascii="Cambria" w:hAnsi="Cambria"/>
          <w:sz w:val="24"/>
          <w:szCs w:val="24"/>
        </w:rPr>
        <w:t xml:space="preserve"> as</w:t>
      </w:r>
      <w:r w:rsidR="009A34E4" w:rsidRPr="009C3204">
        <w:rPr>
          <w:rFonts w:ascii="Cambria" w:hAnsi="Cambria"/>
          <w:sz w:val="24"/>
          <w:szCs w:val="24"/>
        </w:rPr>
        <w:t xml:space="preserve"> paradigm-changing</w:t>
      </w:r>
      <w:r w:rsidRPr="009C3204">
        <w:rPr>
          <w:rFonts w:ascii="Cambria" w:hAnsi="Cambria"/>
          <w:sz w:val="24"/>
          <w:szCs w:val="24"/>
        </w:rPr>
        <w:t xml:space="preserve">. </w:t>
      </w:r>
      <w:r w:rsidR="00E25441" w:rsidRPr="009C3204">
        <w:rPr>
          <w:rFonts w:ascii="Cambria" w:hAnsi="Cambria"/>
          <w:sz w:val="24"/>
          <w:szCs w:val="24"/>
        </w:rPr>
        <w:t xml:space="preserve">In debating </w:t>
      </w:r>
      <w:r w:rsidR="004A267C" w:rsidRPr="009C3204">
        <w:rPr>
          <w:rFonts w:ascii="Cambria" w:hAnsi="Cambria"/>
          <w:sz w:val="24"/>
          <w:szCs w:val="24"/>
        </w:rPr>
        <w:t xml:space="preserve">the relationship between private law and broader dynamics and change, </w:t>
      </w:r>
      <w:r w:rsidR="00403CDA" w:rsidRPr="009C3204">
        <w:rPr>
          <w:rFonts w:ascii="Cambria" w:hAnsi="Cambria"/>
          <w:sz w:val="24"/>
          <w:szCs w:val="24"/>
        </w:rPr>
        <w:t>the chapter</w:t>
      </w:r>
      <w:r w:rsidRPr="009C3204">
        <w:rPr>
          <w:rFonts w:ascii="Cambria" w:hAnsi="Cambria"/>
          <w:sz w:val="24"/>
          <w:szCs w:val="24"/>
        </w:rPr>
        <w:t xml:space="preserve"> does not assume that private law is a passive recipient of external developments</w:t>
      </w:r>
      <w:r w:rsidR="00403CDA" w:rsidRPr="009C3204">
        <w:rPr>
          <w:rFonts w:ascii="Cambria" w:hAnsi="Cambria"/>
          <w:sz w:val="24"/>
          <w:szCs w:val="24"/>
        </w:rPr>
        <w:t xml:space="preserve">: </w:t>
      </w:r>
      <w:r w:rsidRPr="009C3204">
        <w:rPr>
          <w:rFonts w:ascii="Cambria" w:hAnsi="Cambria"/>
          <w:sz w:val="24"/>
          <w:szCs w:val="24"/>
        </w:rPr>
        <w:t>significant social</w:t>
      </w:r>
      <w:r w:rsidR="00D854A2" w:rsidRPr="009C3204">
        <w:rPr>
          <w:rFonts w:ascii="Cambria" w:hAnsi="Cambria"/>
          <w:sz w:val="24"/>
          <w:szCs w:val="24"/>
        </w:rPr>
        <w:t xml:space="preserve"> changes </w:t>
      </w:r>
      <w:r w:rsidR="00B767EA" w:rsidRPr="009C3204">
        <w:rPr>
          <w:rFonts w:ascii="Cambria" w:hAnsi="Cambria"/>
          <w:sz w:val="24"/>
          <w:szCs w:val="24"/>
        </w:rPr>
        <w:t xml:space="preserve">might </w:t>
      </w:r>
      <w:r w:rsidR="00397114" w:rsidRPr="009C3204">
        <w:rPr>
          <w:rFonts w:ascii="Cambria" w:hAnsi="Cambria"/>
          <w:sz w:val="24"/>
          <w:szCs w:val="24"/>
        </w:rPr>
        <w:t xml:space="preserve">engage </w:t>
      </w:r>
      <w:r w:rsidR="008D41BB" w:rsidRPr="009C3204">
        <w:rPr>
          <w:rFonts w:ascii="Cambria" w:hAnsi="Cambria"/>
          <w:sz w:val="24"/>
          <w:szCs w:val="24"/>
        </w:rPr>
        <w:t xml:space="preserve">and </w:t>
      </w:r>
      <w:r w:rsidR="00C52907" w:rsidRPr="009C3204">
        <w:rPr>
          <w:rFonts w:ascii="Cambria" w:hAnsi="Cambria"/>
          <w:sz w:val="24"/>
          <w:szCs w:val="24"/>
        </w:rPr>
        <w:t xml:space="preserve">even </w:t>
      </w:r>
      <w:r w:rsidR="008D41BB" w:rsidRPr="009C3204">
        <w:rPr>
          <w:rFonts w:ascii="Cambria" w:hAnsi="Cambria"/>
          <w:sz w:val="24"/>
          <w:szCs w:val="24"/>
        </w:rPr>
        <w:t>mobilise</w:t>
      </w:r>
      <w:r w:rsidR="008D41BB" w:rsidRPr="009C3204">
        <w:rPr>
          <w:rFonts w:ascii="Cambria" w:hAnsi="Cambria"/>
          <w:i/>
          <w:sz w:val="24"/>
          <w:szCs w:val="24"/>
        </w:rPr>
        <w:t xml:space="preserve"> </w:t>
      </w:r>
      <w:r w:rsidR="00397114" w:rsidRPr="009C3204">
        <w:rPr>
          <w:rFonts w:ascii="Cambria" w:hAnsi="Cambria"/>
          <w:sz w:val="24"/>
          <w:szCs w:val="24"/>
        </w:rPr>
        <w:t>private law</w:t>
      </w:r>
      <w:r w:rsidR="00A50B27" w:rsidRPr="009C3204">
        <w:rPr>
          <w:rFonts w:ascii="Cambria" w:hAnsi="Cambria"/>
          <w:sz w:val="24"/>
          <w:szCs w:val="24"/>
        </w:rPr>
        <w:t xml:space="preserve">, and private law may make a </w:t>
      </w:r>
      <w:r w:rsidR="00AF0A42" w:rsidRPr="009C3204">
        <w:rPr>
          <w:rFonts w:ascii="Cambria" w:hAnsi="Cambria"/>
          <w:sz w:val="24"/>
          <w:szCs w:val="24"/>
        </w:rPr>
        <w:t xml:space="preserve">distinct contribution </w:t>
      </w:r>
      <w:r w:rsidR="00A50B27" w:rsidRPr="009C3204">
        <w:rPr>
          <w:rFonts w:ascii="Cambria" w:hAnsi="Cambria"/>
          <w:sz w:val="24"/>
          <w:szCs w:val="24"/>
        </w:rPr>
        <w:t>to such changes</w:t>
      </w:r>
      <w:r w:rsidR="00AF0A42" w:rsidRPr="009C3204">
        <w:rPr>
          <w:rFonts w:ascii="Cambria" w:hAnsi="Cambria"/>
          <w:sz w:val="24"/>
          <w:szCs w:val="24"/>
        </w:rPr>
        <w:t>.</w:t>
      </w:r>
    </w:p>
    <w:p w14:paraId="42CC44CD" w14:textId="5BA86561" w:rsidR="005A5859" w:rsidRPr="00157767" w:rsidRDefault="00B32D87" w:rsidP="008E4509">
      <w:pPr>
        <w:spacing w:line="240" w:lineRule="auto"/>
        <w:jc w:val="both"/>
        <w:rPr>
          <w:rFonts w:ascii="Cambria" w:hAnsi="Cambria"/>
          <w:sz w:val="24"/>
          <w:szCs w:val="24"/>
        </w:rPr>
      </w:pPr>
      <w:r w:rsidRPr="009C3204">
        <w:rPr>
          <w:rFonts w:ascii="Cambria" w:hAnsi="Cambria"/>
          <w:sz w:val="24"/>
          <w:szCs w:val="24"/>
        </w:rPr>
        <w:t>I</w:t>
      </w:r>
      <w:r w:rsidR="00A0022B" w:rsidRPr="009C3204">
        <w:rPr>
          <w:rFonts w:ascii="Cambria" w:hAnsi="Cambria"/>
          <w:sz w:val="24"/>
          <w:szCs w:val="24"/>
        </w:rPr>
        <w:t xml:space="preserve"> </w:t>
      </w:r>
      <w:r w:rsidR="00D854A2" w:rsidRPr="009C3204">
        <w:rPr>
          <w:rFonts w:ascii="Cambria" w:hAnsi="Cambria"/>
          <w:sz w:val="24"/>
          <w:szCs w:val="24"/>
        </w:rPr>
        <w:t xml:space="preserve">will </w:t>
      </w:r>
      <w:r w:rsidR="00A0022B" w:rsidRPr="009C3204">
        <w:rPr>
          <w:rFonts w:ascii="Cambria" w:hAnsi="Cambria"/>
          <w:sz w:val="24"/>
          <w:szCs w:val="24"/>
        </w:rPr>
        <w:t>suggest</w:t>
      </w:r>
      <w:r w:rsidR="00397114" w:rsidRPr="009C3204">
        <w:rPr>
          <w:rFonts w:ascii="Cambria" w:hAnsi="Cambria"/>
          <w:sz w:val="24"/>
          <w:szCs w:val="24"/>
        </w:rPr>
        <w:t xml:space="preserve"> that private law has been directly and</w:t>
      </w:r>
      <w:r w:rsidR="00B16892" w:rsidRPr="009C3204">
        <w:rPr>
          <w:rFonts w:ascii="Cambria" w:hAnsi="Cambria"/>
          <w:sz w:val="24"/>
          <w:szCs w:val="24"/>
        </w:rPr>
        <w:t xml:space="preserve"> </w:t>
      </w:r>
      <w:r w:rsidR="00397114" w:rsidRPr="009C3204">
        <w:rPr>
          <w:rFonts w:ascii="Cambria" w:hAnsi="Cambria"/>
          <w:sz w:val="24"/>
          <w:szCs w:val="24"/>
        </w:rPr>
        <w:t xml:space="preserve">indirectly affected by </w:t>
      </w:r>
      <w:r w:rsidR="0013050F" w:rsidRPr="009C3204">
        <w:rPr>
          <w:rFonts w:ascii="Cambria" w:hAnsi="Cambria"/>
          <w:sz w:val="24"/>
          <w:szCs w:val="24"/>
        </w:rPr>
        <w:t xml:space="preserve">broad </w:t>
      </w:r>
      <w:r w:rsidR="00312EF4" w:rsidRPr="009C3204">
        <w:rPr>
          <w:rFonts w:ascii="Cambria" w:hAnsi="Cambria"/>
          <w:sz w:val="24"/>
          <w:szCs w:val="24"/>
        </w:rPr>
        <w:t xml:space="preserve">developments </w:t>
      </w:r>
      <w:r w:rsidR="00397114" w:rsidRPr="009C3204">
        <w:rPr>
          <w:rFonts w:ascii="Cambria" w:hAnsi="Cambria"/>
          <w:sz w:val="24"/>
          <w:szCs w:val="24"/>
        </w:rPr>
        <w:t>in societal approaches to ris</w:t>
      </w:r>
      <w:r w:rsidR="00A0022B" w:rsidRPr="009C3204">
        <w:rPr>
          <w:rFonts w:ascii="Cambria" w:hAnsi="Cambria"/>
          <w:sz w:val="24"/>
          <w:szCs w:val="24"/>
        </w:rPr>
        <w:t>k</w:t>
      </w:r>
      <w:r w:rsidR="008C3C84" w:rsidRPr="009C3204">
        <w:rPr>
          <w:rFonts w:ascii="Cambria" w:hAnsi="Cambria"/>
          <w:sz w:val="24"/>
          <w:szCs w:val="24"/>
        </w:rPr>
        <w:t xml:space="preserve">, and </w:t>
      </w:r>
      <w:r w:rsidR="00484C8E" w:rsidRPr="009C3204">
        <w:rPr>
          <w:rFonts w:ascii="Cambria" w:hAnsi="Cambria"/>
          <w:sz w:val="24"/>
          <w:szCs w:val="24"/>
        </w:rPr>
        <w:t xml:space="preserve">that it </w:t>
      </w:r>
      <w:r w:rsidR="008C3C84" w:rsidRPr="009C3204">
        <w:rPr>
          <w:rFonts w:ascii="Cambria" w:hAnsi="Cambria"/>
          <w:sz w:val="24"/>
          <w:szCs w:val="24"/>
        </w:rPr>
        <w:t xml:space="preserve">still is and will </w:t>
      </w:r>
      <w:r w:rsidR="007555DD" w:rsidRPr="009C3204">
        <w:rPr>
          <w:rFonts w:ascii="Cambria" w:hAnsi="Cambria"/>
          <w:sz w:val="24"/>
          <w:szCs w:val="24"/>
        </w:rPr>
        <w:t xml:space="preserve">continue to </w:t>
      </w:r>
      <w:r w:rsidR="008C3C84" w:rsidRPr="009C3204">
        <w:rPr>
          <w:rFonts w:ascii="Cambria" w:hAnsi="Cambria"/>
          <w:sz w:val="24"/>
          <w:szCs w:val="24"/>
        </w:rPr>
        <w:t>be.</w:t>
      </w:r>
      <w:r w:rsidR="00CC1C99">
        <w:rPr>
          <w:rFonts w:ascii="Cambria" w:hAnsi="Cambria"/>
          <w:sz w:val="24"/>
          <w:szCs w:val="24"/>
        </w:rPr>
        <w:t xml:space="preserve"> </w:t>
      </w:r>
      <w:r w:rsidR="00CC1C99">
        <w:rPr>
          <w:rFonts w:ascii="Cambria" w:hAnsi="Cambria"/>
          <w:sz w:val="24"/>
          <w:szCs w:val="24"/>
        </w:rPr>
        <w:lastRenderedPageBreak/>
        <w:t>While statutory developments form an essential element of ‘private law’, I will suggest that the influence of these broader developments also affects private law as it is developed in the courts.</w:t>
      </w:r>
      <w:r w:rsidR="008C3C84" w:rsidRPr="009C3204">
        <w:rPr>
          <w:rFonts w:ascii="Cambria" w:hAnsi="Cambria"/>
          <w:sz w:val="24"/>
          <w:szCs w:val="24"/>
        </w:rPr>
        <w:t xml:space="preserve"> Some of t</w:t>
      </w:r>
      <w:r w:rsidR="001E0138" w:rsidRPr="009C3204">
        <w:rPr>
          <w:rFonts w:ascii="Cambria" w:hAnsi="Cambria"/>
          <w:sz w:val="24"/>
          <w:szCs w:val="24"/>
        </w:rPr>
        <w:t>his influence</w:t>
      </w:r>
      <w:r w:rsidR="008C3C84" w:rsidRPr="009C3204">
        <w:rPr>
          <w:rFonts w:ascii="Cambria" w:hAnsi="Cambria"/>
          <w:sz w:val="24"/>
          <w:szCs w:val="24"/>
        </w:rPr>
        <w:t>, historically,</w:t>
      </w:r>
      <w:r w:rsidR="001E0138" w:rsidRPr="009C3204">
        <w:rPr>
          <w:rFonts w:ascii="Cambria" w:hAnsi="Cambria"/>
          <w:sz w:val="24"/>
          <w:szCs w:val="24"/>
        </w:rPr>
        <w:t xml:space="preserve"> is </w:t>
      </w:r>
      <w:r w:rsidR="00C52907" w:rsidRPr="009C3204">
        <w:rPr>
          <w:rFonts w:ascii="Cambria" w:hAnsi="Cambria"/>
          <w:sz w:val="24"/>
          <w:szCs w:val="24"/>
        </w:rPr>
        <w:t>clearly documented and</w:t>
      </w:r>
      <w:r w:rsidR="009A34E4" w:rsidRPr="009C3204">
        <w:rPr>
          <w:rFonts w:ascii="Cambria" w:hAnsi="Cambria"/>
          <w:sz w:val="24"/>
          <w:szCs w:val="24"/>
        </w:rPr>
        <w:t xml:space="preserve"> subject to a good deal of consensus</w:t>
      </w:r>
      <w:r w:rsidR="00C52907" w:rsidRPr="009C3204">
        <w:rPr>
          <w:rFonts w:ascii="Cambria" w:hAnsi="Cambria"/>
          <w:sz w:val="24"/>
          <w:szCs w:val="24"/>
        </w:rPr>
        <w:t>;</w:t>
      </w:r>
      <w:r w:rsidR="008C3C84" w:rsidRPr="009C3204">
        <w:rPr>
          <w:rFonts w:ascii="Cambria" w:hAnsi="Cambria"/>
          <w:sz w:val="24"/>
          <w:szCs w:val="24"/>
        </w:rPr>
        <w:t xml:space="preserve"> </w:t>
      </w:r>
      <w:r w:rsidR="001E0138" w:rsidRPr="009C3204">
        <w:rPr>
          <w:rFonts w:ascii="Cambria" w:hAnsi="Cambria"/>
          <w:sz w:val="24"/>
          <w:szCs w:val="24"/>
        </w:rPr>
        <w:t xml:space="preserve">though its </w:t>
      </w:r>
      <w:r w:rsidR="00C52907" w:rsidRPr="009C3204">
        <w:rPr>
          <w:rFonts w:ascii="Cambria" w:hAnsi="Cambria"/>
          <w:sz w:val="24"/>
          <w:szCs w:val="24"/>
        </w:rPr>
        <w:t xml:space="preserve">nature </w:t>
      </w:r>
      <w:r w:rsidR="00C40FF1" w:rsidRPr="009C3204">
        <w:rPr>
          <w:rFonts w:ascii="Cambria" w:hAnsi="Cambria"/>
          <w:sz w:val="24"/>
          <w:szCs w:val="24"/>
        </w:rPr>
        <w:t xml:space="preserve">and extent </w:t>
      </w:r>
      <w:r w:rsidR="009A34E4" w:rsidRPr="009C3204">
        <w:rPr>
          <w:rFonts w:ascii="Cambria" w:hAnsi="Cambria"/>
          <w:sz w:val="24"/>
          <w:szCs w:val="24"/>
        </w:rPr>
        <w:t xml:space="preserve">are </w:t>
      </w:r>
      <w:r w:rsidR="001E0138" w:rsidRPr="009C3204">
        <w:rPr>
          <w:rFonts w:ascii="Cambria" w:hAnsi="Cambria"/>
          <w:sz w:val="24"/>
          <w:szCs w:val="24"/>
        </w:rPr>
        <w:t xml:space="preserve">certainly </w:t>
      </w:r>
      <w:r w:rsidR="009A34E4" w:rsidRPr="009C3204">
        <w:rPr>
          <w:rFonts w:ascii="Cambria" w:hAnsi="Cambria"/>
          <w:sz w:val="24"/>
          <w:szCs w:val="24"/>
        </w:rPr>
        <w:t>controversial</w:t>
      </w:r>
      <w:r w:rsidR="001E0138" w:rsidRPr="009C3204">
        <w:rPr>
          <w:rFonts w:ascii="Cambria" w:hAnsi="Cambria"/>
          <w:sz w:val="24"/>
          <w:szCs w:val="24"/>
        </w:rPr>
        <w:t xml:space="preserve">. </w:t>
      </w:r>
      <w:r w:rsidR="00C52907" w:rsidRPr="009C3204">
        <w:rPr>
          <w:rFonts w:ascii="Cambria" w:hAnsi="Cambria"/>
          <w:sz w:val="24"/>
          <w:szCs w:val="24"/>
        </w:rPr>
        <w:t xml:space="preserve">More recent changes however are more diffuse and their nature, let alone their impact, is harder to discern. These changes tend, I suggest, to raise the question </w:t>
      </w:r>
      <w:r w:rsidR="00D962C9" w:rsidRPr="009C3204">
        <w:rPr>
          <w:rFonts w:ascii="Cambria" w:hAnsi="Cambria"/>
          <w:sz w:val="24"/>
          <w:szCs w:val="24"/>
        </w:rPr>
        <w:t>of</w:t>
      </w:r>
      <w:r w:rsidR="00C86B21" w:rsidRPr="009C3204">
        <w:rPr>
          <w:rFonts w:ascii="Cambria" w:hAnsi="Cambria"/>
          <w:sz w:val="24"/>
          <w:szCs w:val="24"/>
        </w:rPr>
        <w:t xml:space="preserve"> </w:t>
      </w:r>
      <w:r w:rsidR="00CC1C99">
        <w:rPr>
          <w:rFonts w:ascii="Cambria" w:hAnsi="Cambria"/>
          <w:sz w:val="24"/>
          <w:szCs w:val="24"/>
        </w:rPr>
        <w:t>the</w:t>
      </w:r>
      <w:r w:rsidR="00C86B21" w:rsidRPr="009C3204">
        <w:rPr>
          <w:rFonts w:ascii="Cambria" w:hAnsi="Cambria"/>
          <w:sz w:val="24"/>
          <w:szCs w:val="24"/>
        </w:rPr>
        <w:t xml:space="preserve"> extent</w:t>
      </w:r>
      <w:r w:rsidRPr="009C3204">
        <w:rPr>
          <w:rFonts w:ascii="Cambria" w:hAnsi="Cambria"/>
          <w:sz w:val="24"/>
          <w:szCs w:val="24"/>
        </w:rPr>
        <w:t xml:space="preserve"> </w:t>
      </w:r>
      <w:r w:rsidR="00CC1C99">
        <w:rPr>
          <w:rFonts w:ascii="Cambria" w:hAnsi="Cambria"/>
          <w:sz w:val="24"/>
          <w:szCs w:val="24"/>
        </w:rPr>
        <w:t xml:space="preserve">to which </w:t>
      </w:r>
      <w:r w:rsidR="001E0138" w:rsidRPr="009C3204">
        <w:rPr>
          <w:rFonts w:ascii="Cambria" w:hAnsi="Cambria"/>
          <w:sz w:val="24"/>
          <w:szCs w:val="24"/>
        </w:rPr>
        <w:t>private law</w:t>
      </w:r>
      <w:r w:rsidR="00397114" w:rsidRPr="009C3204">
        <w:rPr>
          <w:rFonts w:ascii="Cambria" w:hAnsi="Cambria"/>
          <w:sz w:val="24"/>
          <w:szCs w:val="24"/>
        </w:rPr>
        <w:t xml:space="preserve"> </w:t>
      </w:r>
      <w:r w:rsidRPr="009C3204">
        <w:rPr>
          <w:rFonts w:ascii="Cambria" w:hAnsi="Cambria"/>
          <w:sz w:val="24"/>
          <w:szCs w:val="24"/>
        </w:rPr>
        <w:t>contribut</w:t>
      </w:r>
      <w:r w:rsidR="00C86B21" w:rsidRPr="009C3204">
        <w:rPr>
          <w:rFonts w:ascii="Cambria" w:hAnsi="Cambria"/>
          <w:sz w:val="24"/>
          <w:szCs w:val="24"/>
        </w:rPr>
        <w:t>es</w:t>
      </w:r>
      <w:r w:rsidR="00397114" w:rsidRPr="009C3204">
        <w:rPr>
          <w:rFonts w:ascii="Cambria" w:hAnsi="Cambria"/>
          <w:sz w:val="24"/>
          <w:szCs w:val="24"/>
        </w:rPr>
        <w:t xml:space="preserve"> to, and </w:t>
      </w:r>
      <w:r w:rsidR="00A0022B" w:rsidRPr="009C3204">
        <w:rPr>
          <w:rFonts w:ascii="Cambria" w:hAnsi="Cambria"/>
          <w:sz w:val="24"/>
          <w:szCs w:val="24"/>
        </w:rPr>
        <w:t xml:space="preserve">indeed </w:t>
      </w:r>
      <w:r w:rsidRPr="009C3204">
        <w:rPr>
          <w:rFonts w:ascii="Cambria" w:hAnsi="Cambria"/>
          <w:sz w:val="24"/>
          <w:szCs w:val="24"/>
        </w:rPr>
        <w:t>help</w:t>
      </w:r>
      <w:r w:rsidR="00C86B21" w:rsidRPr="009C3204">
        <w:rPr>
          <w:rFonts w:ascii="Cambria" w:hAnsi="Cambria"/>
          <w:sz w:val="24"/>
          <w:szCs w:val="24"/>
        </w:rPr>
        <w:t>s</w:t>
      </w:r>
      <w:r w:rsidR="00397114" w:rsidRPr="009C3204">
        <w:rPr>
          <w:rFonts w:ascii="Cambria" w:hAnsi="Cambria"/>
          <w:sz w:val="24"/>
          <w:szCs w:val="24"/>
        </w:rPr>
        <w:t xml:space="preserve"> to constitute, society’s evolving response</w:t>
      </w:r>
      <w:r w:rsidR="00A0022B" w:rsidRPr="009C3204">
        <w:rPr>
          <w:rFonts w:ascii="Cambria" w:hAnsi="Cambria"/>
          <w:sz w:val="24"/>
          <w:szCs w:val="24"/>
        </w:rPr>
        <w:t>s</w:t>
      </w:r>
      <w:r w:rsidR="00397114" w:rsidRPr="009C3204">
        <w:rPr>
          <w:rFonts w:ascii="Cambria" w:hAnsi="Cambria"/>
          <w:sz w:val="24"/>
          <w:szCs w:val="24"/>
        </w:rPr>
        <w:t xml:space="preserve"> and approach</w:t>
      </w:r>
      <w:r w:rsidR="00A0022B" w:rsidRPr="009C3204">
        <w:rPr>
          <w:rFonts w:ascii="Cambria" w:hAnsi="Cambria"/>
          <w:sz w:val="24"/>
          <w:szCs w:val="24"/>
        </w:rPr>
        <w:t>es</w:t>
      </w:r>
      <w:r w:rsidR="00397114" w:rsidRPr="009C3204">
        <w:rPr>
          <w:rFonts w:ascii="Cambria" w:hAnsi="Cambria"/>
          <w:sz w:val="24"/>
          <w:szCs w:val="24"/>
        </w:rPr>
        <w:t xml:space="preserve"> to risk, security, and responsibility.</w:t>
      </w:r>
      <w:r w:rsidR="00B16892" w:rsidRPr="009C3204">
        <w:rPr>
          <w:rStyle w:val="FootnoteReference"/>
          <w:rFonts w:ascii="Cambria" w:hAnsi="Cambria"/>
          <w:sz w:val="24"/>
          <w:szCs w:val="24"/>
        </w:rPr>
        <w:footnoteReference w:id="7"/>
      </w:r>
      <w:r w:rsidR="00A0022B" w:rsidRPr="009C3204">
        <w:rPr>
          <w:rFonts w:ascii="Cambria" w:hAnsi="Cambria"/>
          <w:sz w:val="24"/>
          <w:szCs w:val="24"/>
        </w:rPr>
        <w:t xml:space="preserve"> </w:t>
      </w:r>
      <w:r w:rsidR="004A267C" w:rsidRPr="009C3204">
        <w:rPr>
          <w:rFonts w:ascii="Cambria" w:hAnsi="Cambria"/>
          <w:sz w:val="24"/>
          <w:szCs w:val="24"/>
        </w:rPr>
        <w:t xml:space="preserve">A </w:t>
      </w:r>
      <w:r w:rsidR="001E0138" w:rsidRPr="009C3204">
        <w:rPr>
          <w:rFonts w:ascii="Cambria" w:hAnsi="Cambria"/>
          <w:sz w:val="24"/>
          <w:szCs w:val="24"/>
        </w:rPr>
        <w:t xml:space="preserve">contributing role for private law </w:t>
      </w:r>
      <w:r w:rsidR="00E367ED" w:rsidRPr="009C3204">
        <w:rPr>
          <w:rFonts w:ascii="Cambria" w:hAnsi="Cambria"/>
          <w:sz w:val="24"/>
          <w:szCs w:val="24"/>
        </w:rPr>
        <w:t>seems more likely</w:t>
      </w:r>
      <w:r w:rsidR="008C3C84" w:rsidRPr="009C3204">
        <w:rPr>
          <w:rFonts w:ascii="Cambria" w:hAnsi="Cambria"/>
          <w:sz w:val="24"/>
          <w:szCs w:val="24"/>
        </w:rPr>
        <w:t xml:space="preserve"> given </w:t>
      </w:r>
      <w:r w:rsidR="00A0022B" w:rsidRPr="009C3204">
        <w:rPr>
          <w:rFonts w:ascii="Cambria" w:hAnsi="Cambria"/>
          <w:sz w:val="24"/>
          <w:szCs w:val="24"/>
        </w:rPr>
        <w:t>observation of the increasing decentralis</w:t>
      </w:r>
      <w:r w:rsidR="008C3C84" w:rsidRPr="009C3204">
        <w:rPr>
          <w:rFonts w:ascii="Cambria" w:hAnsi="Cambria"/>
          <w:sz w:val="24"/>
          <w:szCs w:val="24"/>
        </w:rPr>
        <w:t xml:space="preserve">ation </w:t>
      </w:r>
      <w:r w:rsidR="00872ED7" w:rsidRPr="009C3204">
        <w:rPr>
          <w:rFonts w:ascii="Cambria" w:hAnsi="Cambria"/>
          <w:sz w:val="24"/>
          <w:szCs w:val="24"/>
        </w:rPr>
        <w:t>of risk management and rise of meta-regulation</w:t>
      </w:r>
      <w:r w:rsidR="008C3C84" w:rsidRPr="009C3204">
        <w:rPr>
          <w:rFonts w:ascii="Cambria" w:hAnsi="Cambria"/>
          <w:sz w:val="24"/>
          <w:szCs w:val="24"/>
        </w:rPr>
        <w:t>;</w:t>
      </w:r>
      <w:bookmarkStart w:id="2" w:name="_Ref480741692"/>
      <w:r w:rsidR="008F7E7B" w:rsidRPr="009C3204">
        <w:rPr>
          <w:rStyle w:val="FootnoteReference"/>
          <w:rFonts w:ascii="Cambria" w:hAnsi="Cambria"/>
          <w:sz w:val="24"/>
          <w:szCs w:val="24"/>
        </w:rPr>
        <w:footnoteReference w:id="8"/>
      </w:r>
      <w:bookmarkEnd w:id="2"/>
      <w:r w:rsidR="008C3C84" w:rsidRPr="009C3204">
        <w:rPr>
          <w:rFonts w:ascii="Cambria" w:hAnsi="Cambria"/>
          <w:sz w:val="24"/>
          <w:szCs w:val="24"/>
        </w:rPr>
        <w:t xml:space="preserve"> rhetorical affirmation of a </w:t>
      </w:r>
      <w:r w:rsidR="00542AD8" w:rsidRPr="009C3204">
        <w:rPr>
          <w:rFonts w:ascii="Cambria" w:hAnsi="Cambria"/>
          <w:sz w:val="24"/>
          <w:szCs w:val="24"/>
        </w:rPr>
        <w:t xml:space="preserve">clear </w:t>
      </w:r>
      <w:r w:rsidR="008C3C84" w:rsidRPr="009C3204">
        <w:rPr>
          <w:rFonts w:ascii="Cambria" w:hAnsi="Cambria"/>
          <w:sz w:val="24"/>
          <w:szCs w:val="24"/>
        </w:rPr>
        <w:t xml:space="preserve">distinction between </w:t>
      </w:r>
      <w:r w:rsidR="00542AD8" w:rsidRPr="009C3204">
        <w:rPr>
          <w:rFonts w:ascii="Cambria" w:hAnsi="Cambria"/>
          <w:sz w:val="24"/>
          <w:szCs w:val="24"/>
        </w:rPr>
        <w:t xml:space="preserve">‘public’ </w:t>
      </w:r>
      <w:r w:rsidR="008C3C84" w:rsidRPr="009C3204">
        <w:rPr>
          <w:rFonts w:ascii="Cambria" w:hAnsi="Cambria"/>
          <w:sz w:val="24"/>
          <w:szCs w:val="24"/>
        </w:rPr>
        <w:t xml:space="preserve">and </w:t>
      </w:r>
      <w:r w:rsidR="00542AD8" w:rsidRPr="009C3204">
        <w:rPr>
          <w:rFonts w:ascii="Cambria" w:hAnsi="Cambria"/>
          <w:sz w:val="24"/>
          <w:szCs w:val="24"/>
        </w:rPr>
        <w:t>‘</w:t>
      </w:r>
      <w:r w:rsidR="008C3C84" w:rsidRPr="009C3204">
        <w:rPr>
          <w:rFonts w:ascii="Cambria" w:hAnsi="Cambria"/>
          <w:sz w:val="24"/>
          <w:szCs w:val="24"/>
        </w:rPr>
        <w:t>private</w:t>
      </w:r>
      <w:r w:rsidR="00542AD8" w:rsidRPr="009C3204">
        <w:rPr>
          <w:rFonts w:ascii="Cambria" w:hAnsi="Cambria"/>
          <w:sz w:val="24"/>
          <w:szCs w:val="24"/>
        </w:rPr>
        <w:t>’</w:t>
      </w:r>
      <w:r w:rsidR="007D3C86" w:rsidRPr="009C3204">
        <w:rPr>
          <w:rFonts w:ascii="Cambria" w:hAnsi="Cambria"/>
          <w:sz w:val="24"/>
          <w:szCs w:val="24"/>
        </w:rPr>
        <w:t xml:space="preserve"> despite observable blurring of the boundary between these</w:t>
      </w:r>
      <w:r w:rsidR="008C3C84" w:rsidRPr="009C3204">
        <w:rPr>
          <w:rFonts w:ascii="Cambria" w:hAnsi="Cambria"/>
          <w:sz w:val="24"/>
          <w:szCs w:val="24"/>
        </w:rPr>
        <w:t>;</w:t>
      </w:r>
      <w:bookmarkStart w:id="3" w:name="_Ref480742268"/>
      <w:r w:rsidR="008F7E7B" w:rsidRPr="009C3204">
        <w:rPr>
          <w:rStyle w:val="FootnoteReference"/>
          <w:rFonts w:ascii="Cambria" w:hAnsi="Cambria"/>
          <w:sz w:val="24"/>
          <w:szCs w:val="24"/>
        </w:rPr>
        <w:footnoteReference w:id="9"/>
      </w:r>
      <w:bookmarkEnd w:id="3"/>
      <w:r w:rsidR="00A0022B" w:rsidRPr="009C3204">
        <w:rPr>
          <w:rFonts w:ascii="Cambria" w:hAnsi="Cambria"/>
          <w:sz w:val="24"/>
          <w:szCs w:val="24"/>
        </w:rPr>
        <w:t xml:space="preserve"> and rebirth of uncertainty and </w:t>
      </w:r>
      <w:r w:rsidR="00896555" w:rsidRPr="009C3204">
        <w:rPr>
          <w:rFonts w:ascii="Cambria" w:hAnsi="Cambria"/>
          <w:sz w:val="24"/>
          <w:szCs w:val="24"/>
        </w:rPr>
        <w:t>individualised responsibility</w:t>
      </w:r>
      <w:r w:rsidR="007D3C86" w:rsidRPr="009C3204">
        <w:rPr>
          <w:rFonts w:ascii="Cambria" w:hAnsi="Cambria"/>
          <w:sz w:val="24"/>
          <w:szCs w:val="24"/>
        </w:rPr>
        <w:t>.</w:t>
      </w:r>
      <w:bookmarkStart w:id="4" w:name="_Ref480741450"/>
      <w:r w:rsidR="008F7E7B" w:rsidRPr="009C3204">
        <w:rPr>
          <w:rStyle w:val="FootnoteReference"/>
          <w:rFonts w:ascii="Cambria" w:hAnsi="Cambria"/>
          <w:sz w:val="24"/>
          <w:szCs w:val="24"/>
        </w:rPr>
        <w:footnoteReference w:id="10"/>
      </w:r>
      <w:bookmarkEnd w:id="4"/>
      <w:r w:rsidR="007D3C86" w:rsidRPr="009C3204">
        <w:rPr>
          <w:rFonts w:ascii="Cambria" w:hAnsi="Cambria"/>
          <w:sz w:val="24"/>
          <w:szCs w:val="24"/>
        </w:rPr>
        <w:t xml:space="preserve"> All of these</w:t>
      </w:r>
      <w:r w:rsidR="001E0138" w:rsidRPr="009C3204">
        <w:rPr>
          <w:rFonts w:ascii="Cambria" w:hAnsi="Cambria"/>
          <w:sz w:val="24"/>
          <w:szCs w:val="24"/>
        </w:rPr>
        <w:t xml:space="preserve"> </w:t>
      </w:r>
      <w:r w:rsidRPr="009C3204">
        <w:rPr>
          <w:rFonts w:ascii="Cambria" w:hAnsi="Cambria"/>
          <w:sz w:val="24"/>
          <w:szCs w:val="24"/>
        </w:rPr>
        <w:t xml:space="preserve">have been </w:t>
      </w:r>
      <w:r w:rsidR="001E0138" w:rsidRPr="009C3204">
        <w:rPr>
          <w:rFonts w:ascii="Cambria" w:hAnsi="Cambria"/>
          <w:sz w:val="24"/>
          <w:szCs w:val="24"/>
        </w:rPr>
        <w:t>part of latter day depictions of ‘risk revolution’</w:t>
      </w:r>
      <w:r w:rsidR="008C3C84" w:rsidRPr="009C3204">
        <w:rPr>
          <w:rFonts w:ascii="Cambria" w:hAnsi="Cambria"/>
          <w:sz w:val="24"/>
          <w:szCs w:val="24"/>
        </w:rPr>
        <w:t xml:space="preserve"> and indeed of regulatory developments more generally</w:t>
      </w:r>
      <w:r w:rsidR="008D41BB" w:rsidRPr="009C3204">
        <w:rPr>
          <w:rFonts w:ascii="Cambria" w:hAnsi="Cambria"/>
          <w:sz w:val="24"/>
          <w:szCs w:val="24"/>
        </w:rPr>
        <w:t>.</w:t>
      </w:r>
      <w:r w:rsidR="00872ED7" w:rsidRPr="009C3204">
        <w:rPr>
          <w:rStyle w:val="FootnoteReference"/>
          <w:rFonts w:ascii="Cambria" w:hAnsi="Cambria"/>
          <w:sz w:val="24"/>
          <w:szCs w:val="24"/>
        </w:rPr>
        <w:footnoteReference w:id="11"/>
      </w:r>
      <w:r w:rsidR="008D41BB" w:rsidRPr="009C3204">
        <w:rPr>
          <w:rFonts w:ascii="Cambria" w:hAnsi="Cambria"/>
          <w:sz w:val="24"/>
          <w:szCs w:val="24"/>
        </w:rPr>
        <w:t xml:space="preserve"> </w:t>
      </w:r>
      <w:r w:rsidR="00542AD8" w:rsidRPr="009C3204">
        <w:rPr>
          <w:rFonts w:ascii="Cambria" w:hAnsi="Cambria"/>
          <w:sz w:val="24"/>
          <w:szCs w:val="24"/>
        </w:rPr>
        <w:t>If these are features of more recent risk (r)evolution</w:t>
      </w:r>
      <w:r w:rsidR="00D04B70">
        <w:rPr>
          <w:rFonts w:ascii="Cambria" w:hAnsi="Cambria"/>
          <w:sz w:val="24"/>
          <w:szCs w:val="24"/>
        </w:rPr>
        <w:t>s</w:t>
      </w:r>
      <w:r w:rsidR="00542AD8" w:rsidRPr="009C3204">
        <w:rPr>
          <w:rFonts w:ascii="Cambria" w:hAnsi="Cambria"/>
          <w:sz w:val="24"/>
          <w:szCs w:val="24"/>
        </w:rPr>
        <w:t>, d</w:t>
      </w:r>
      <w:r w:rsidRPr="009C3204">
        <w:rPr>
          <w:rFonts w:ascii="Cambria" w:hAnsi="Cambria"/>
          <w:sz w:val="24"/>
          <w:szCs w:val="24"/>
        </w:rPr>
        <w:t>oes private law help</w:t>
      </w:r>
      <w:r w:rsidR="00896555" w:rsidRPr="009C3204">
        <w:rPr>
          <w:rFonts w:ascii="Cambria" w:hAnsi="Cambria"/>
          <w:sz w:val="24"/>
          <w:szCs w:val="24"/>
        </w:rPr>
        <w:t xml:space="preserve"> to shape evolving </w:t>
      </w:r>
      <w:r w:rsidR="007555DD" w:rsidRPr="009C3204">
        <w:rPr>
          <w:rFonts w:ascii="Cambria" w:hAnsi="Cambria"/>
          <w:sz w:val="24"/>
          <w:szCs w:val="24"/>
        </w:rPr>
        <w:t xml:space="preserve">societal </w:t>
      </w:r>
      <w:r w:rsidR="00896555" w:rsidRPr="009C3204">
        <w:rPr>
          <w:rFonts w:ascii="Cambria" w:hAnsi="Cambria"/>
          <w:sz w:val="24"/>
          <w:szCs w:val="24"/>
        </w:rPr>
        <w:t xml:space="preserve">responses to risk, and to negotiate the </w:t>
      </w:r>
      <w:r w:rsidR="00896555" w:rsidRPr="00157767">
        <w:rPr>
          <w:rFonts w:ascii="Cambria" w:hAnsi="Cambria"/>
          <w:sz w:val="24"/>
          <w:szCs w:val="24"/>
        </w:rPr>
        <w:t>balance between ris</w:t>
      </w:r>
      <w:r w:rsidRPr="00157767">
        <w:rPr>
          <w:rFonts w:ascii="Cambria" w:hAnsi="Cambria"/>
          <w:sz w:val="24"/>
          <w:szCs w:val="24"/>
        </w:rPr>
        <w:t xml:space="preserve">k, security, and responsibility? </w:t>
      </w:r>
    </w:p>
    <w:p w14:paraId="6824F811" w14:textId="5E45FAB1" w:rsidR="005C0BE6" w:rsidRPr="009C3204" w:rsidRDefault="00872ED7" w:rsidP="008E4509">
      <w:pPr>
        <w:spacing w:line="240" w:lineRule="auto"/>
        <w:jc w:val="both"/>
        <w:rPr>
          <w:rFonts w:ascii="Cambria" w:hAnsi="Cambria"/>
          <w:sz w:val="24"/>
          <w:szCs w:val="24"/>
        </w:rPr>
      </w:pPr>
      <w:r w:rsidRPr="00157767">
        <w:rPr>
          <w:rFonts w:ascii="Cambria" w:hAnsi="Cambria"/>
          <w:sz w:val="24"/>
          <w:szCs w:val="24"/>
        </w:rPr>
        <w:t>T</w:t>
      </w:r>
      <w:r w:rsidR="007D3C86" w:rsidRPr="00157767">
        <w:rPr>
          <w:rFonts w:ascii="Cambria" w:hAnsi="Cambria"/>
          <w:sz w:val="24"/>
          <w:szCs w:val="24"/>
        </w:rPr>
        <w:t xml:space="preserve">he chapter falls into four </w:t>
      </w:r>
      <w:r w:rsidRPr="00157767">
        <w:rPr>
          <w:rFonts w:ascii="Cambria" w:hAnsi="Cambria"/>
          <w:sz w:val="24"/>
          <w:szCs w:val="24"/>
        </w:rPr>
        <w:t>parts</w:t>
      </w:r>
      <w:r w:rsidR="007D3C86" w:rsidRPr="00157767">
        <w:rPr>
          <w:rFonts w:ascii="Cambria" w:hAnsi="Cambria"/>
          <w:sz w:val="24"/>
          <w:szCs w:val="24"/>
        </w:rPr>
        <w:t xml:space="preserve">. </w:t>
      </w:r>
      <w:r w:rsidR="00CC1C99" w:rsidRPr="00157767">
        <w:rPr>
          <w:rFonts w:ascii="Cambria" w:hAnsi="Cambria"/>
          <w:sz w:val="24"/>
          <w:szCs w:val="24"/>
        </w:rPr>
        <w:t xml:space="preserve">Part I </w:t>
      </w:r>
      <w:r w:rsidR="0065573F" w:rsidRPr="00157767">
        <w:rPr>
          <w:rFonts w:ascii="Cambria" w:hAnsi="Cambria"/>
          <w:sz w:val="24"/>
          <w:szCs w:val="24"/>
        </w:rPr>
        <w:t xml:space="preserve">introduces the key notions of security and responsibility </w:t>
      </w:r>
      <w:r w:rsidR="00103353" w:rsidRPr="00157767">
        <w:rPr>
          <w:rFonts w:ascii="Cambria" w:hAnsi="Cambria"/>
          <w:sz w:val="24"/>
          <w:szCs w:val="24"/>
        </w:rPr>
        <w:t xml:space="preserve">developed </w:t>
      </w:r>
      <w:r w:rsidR="0065573F" w:rsidRPr="00157767">
        <w:rPr>
          <w:rFonts w:ascii="Cambria" w:hAnsi="Cambria"/>
          <w:sz w:val="24"/>
          <w:szCs w:val="24"/>
        </w:rPr>
        <w:t xml:space="preserve">in the chapter, and </w:t>
      </w:r>
      <w:r w:rsidR="007D3C86" w:rsidRPr="00157767">
        <w:rPr>
          <w:rFonts w:ascii="Cambria" w:hAnsi="Cambria"/>
          <w:sz w:val="24"/>
          <w:szCs w:val="24"/>
        </w:rPr>
        <w:t>offers an overview of ‘risk revolutions’ for the purposes of the discussion here</w:t>
      </w:r>
      <w:r w:rsidR="0065573F" w:rsidRPr="00157767">
        <w:rPr>
          <w:rFonts w:ascii="Cambria" w:hAnsi="Cambria"/>
          <w:sz w:val="24"/>
          <w:szCs w:val="24"/>
        </w:rPr>
        <w:t>.</w:t>
      </w:r>
      <w:r w:rsidRPr="00157767">
        <w:rPr>
          <w:rFonts w:ascii="Cambria" w:hAnsi="Cambria"/>
          <w:sz w:val="24"/>
          <w:szCs w:val="24"/>
        </w:rPr>
        <w:t xml:space="preserve"> </w:t>
      </w:r>
      <w:r w:rsidR="00CC1C99" w:rsidRPr="00157767">
        <w:rPr>
          <w:rFonts w:ascii="Cambria" w:hAnsi="Cambria"/>
          <w:sz w:val="24"/>
          <w:szCs w:val="24"/>
        </w:rPr>
        <w:t>Part II</w:t>
      </w:r>
      <w:r w:rsidR="007D3C86" w:rsidRPr="00157767">
        <w:rPr>
          <w:rFonts w:ascii="Cambria" w:hAnsi="Cambria"/>
          <w:sz w:val="24"/>
          <w:szCs w:val="24"/>
        </w:rPr>
        <w:t xml:space="preserve"> focuses on a first alleged paradigm shift concerning risk, which I refer to as a ‘security revolution’, and its potential impact on private law. </w:t>
      </w:r>
      <w:r w:rsidR="00CC1C99" w:rsidRPr="00157767">
        <w:rPr>
          <w:rFonts w:ascii="Cambria" w:hAnsi="Cambria"/>
          <w:sz w:val="24"/>
          <w:szCs w:val="24"/>
        </w:rPr>
        <w:t>Part III</w:t>
      </w:r>
      <w:r w:rsidR="007D3C86" w:rsidRPr="00157767">
        <w:rPr>
          <w:rFonts w:ascii="Cambria" w:hAnsi="Cambria"/>
          <w:sz w:val="24"/>
          <w:szCs w:val="24"/>
        </w:rPr>
        <w:t xml:space="preserve"> explores an apparent reversal of fortunes in societal conceptions of risk</w:t>
      </w:r>
      <w:r w:rsidR="0065573F" w:rsidRPr="00157767">
        <w:rPr>
          <w:rFonts w:ascii="Cambria" w:hAnsi="Cambria"/>
          <w:sz w:val="24"/>
          <w:szCs w:val="24"/>
        </w:rPr>
        <w:t xml:space="preserve"> from the latter part of the twentieth century onwards</w:t>
      </w:r>
      <w:r w:rsidR="007D3C86" w:rsidRPr="00157767">
        <w:rPr>
          <w:rFonts w:ascii="Cambria" w:hAnsi="Cambria"/>
          <w:sz w:val="24"/>
          <w:szCs w:val="24"/>
        </w:rPr>
        <w:t xml:space="preserve">, and the apparent </w:t>
      </w:r>
      <w:r w:rsidR="00557BD0" w:rsidRPr="00157767">
        <w:rPr>
          <w:rFonts w:ascii="Cambria" w:hAnsi="Cambria"/>
          <w:sz w:val="24"/>
          <w:szCs w:val="24"/>
        </w:rPr>
        <w:t>revival</w:t>
      </w:r>
      <w:r w:rsidR="007D3C86" w:rsidRPr="00157767">
        <w:rPr>
          <w:rFonts w:ascii="Cambria" w:hAnsi="Cambria"/>
          <w:sz w:val="24"/>
          <w:szCs w:val="24"/>
        </w:rPr>
        <w:t xml:space="preserve"> of </w:t>
      </w:r>
      <w:r w:rsidR="00E367ED" w:rsidRPr="00157767">
        <w:rPr>
          <w:rFonts w:ascii="Cambria" w:hAnsi="Cambria"/>
          <w:sz w:val="24"/>
          <w:szCs w:val="24"/>
        </w:rPr>
        <w:t xml:space="preserve">both </w:t>
      </w:r>
      <w:r w:rsidR="007D3C86" w:rsidRPr="00157767">
        <w:rPr>
          <w:rFonts w:ascii="Cambria" w:hAnsi="Cambria"/>
          <w:sz w:val="24"/>
          <w:szCs w:val="24"/>
        </w:rPr>
        <w:t>‘responsibility’</w:t>
      </w:r>
      <w:r w:rsidR="00E367ED" w:rsidRPr="00157767">
        <w:rPr>
          <w:rFonts w:ascii="Cambria" w:hAnsi="Cambria"/>
          <w:sz w:val="24"/>
          <w:szCs w:val="24"/>
        </w:rPr>
        <w:t xml:space="preserve"> and uncertainty</w:t>
      </w:r>
      <w:r w:rsidR="001E3C1D" w:rsidRPr="00157767">
        <w:rPr>
          <w:rFonts w:ascii="Cambria" w:hAnsi="Cambria"/>
          <w:sz w:val="24"/>
          <w:szCs w:val="24"/>
        </w:rPr>
        <w:t>,</w:t>
      </w:r>
      <w:r w:rsidR="00E367ED" w:rsidRPr="00157767">
        <w:rPr>
          <w:rFonts w:ascii="Cambria" w:hAnsi="Cambria"/>
          <w:sz w:val="24"/>
          <w:szCs w:val="24"/>
        </w:rPr>
        <w:t xml:space="preserve"> </w:t>
      </w:r>
      <w:r w:rsidR="0065573F" w:rsidRPr="00157767">
        <w:rPr>
          <w:rFonts w:ascii="Cambria" w:hAnsi="Cambria"/>
          <w:sz w:val="24"/>
          <w:szCs w:val="24"/>
        </w:rPr>
        <w:t>with</w:t>
      </w:r>
      <w:r w:rsidR="00E367ED" w:rsidRPr="00157767">
        <w:rPr>
          <w:rFonts w:ascii="Cambria" w:hAnsi="Cambria"/>
          <w:sz w:val="24"/>
          <w:szCs w:val="24"/>
        </w:rPr>
        <w:t xml:space="preserve"> attendant changes in regulation and governance</w:t>
      </w:r>
      <w:r w:rsidR="007D3C86" w:rsidRPr="00157767">
        <w:rPr>
          <w:rFonts w:ascii="Cambria" w:hAnsi="Cambria"/>
          <w:sz w:val="24"/>
          <w:szCs w:val="24"/>
        </w:rPr>
        <w:t>: whether this is correctly seen as a new revolution or not, what is the nature</w:t>
      </w:r>
      <w:r w:rsidR="007D3C86" w:rsidRPr="009C3204">
        <w:rPr>
          <w:rFonts w:ascii="Cambria" w:hAnsi="Cambria"/>
          <w:sz w:val="24"/>
          <w:szCs w:val="24"/>
        </w:rPr>
        <w:t xml:space="preserve"> of this change and of its likely effect on private law? </w:t>
      </w:r>
      <w:r w:rsidR="00CC1C99">
        <w:rPr>
          <w:rFonts w:ascii="Cambria" w:hAnsi="Cambria"/>
          <w:sz w:val="24"/>
          <w:szCs w:val="24"/>
        </w:rPr>
        <w:t>Part IV</w:t>
      </w:r>
      <w:r w:rsidRPr="009C3204">
        <w:rPr>
          <w:rFonts w:ascii="Cambria" w:hAnsi="Cambria"/>
          <w:sz w:val="24"/>
          <w:szCs w:val="24"/>
        </w:rPr>
        <w:t xml:space="preserve"> </w:t>
      </w:r>
      <w:r w:rsidR="007D3C86" w:rsidRPr="009C3204">
        <w:rPr>
          <w:rFonts w:ascii="Cambria" w:hAnsi="Cambria"/>
          <w:sz w:val="24"/>
          <w:szCs w:val="24"/>
        </w:rPr>
        <w:t>asks whether there is any evidence, in tort law in particular, of the influence of</w:t>
      </w:r>
      <w:r w:rsidR="007555DD" w:rsidRPr="009C3204">
        <w:rPr>
          <w:rFonts w:ascii="Cambria" w:hAnsi="Cambria"/>
          <w:sz w:val="24"/>
          <w:szCs w:val="24"/>
        </w:rPr>
        <w:t xml:space="preserve"> more recent ‘re</w:t>
      </w:r>
      <w:r w:rsidR="00403CDA" w:rsidRPr="009C3204">
        <w:rPr>
          <w:rFonts w:ascii="Cambria" w:hAnsi="Cambria"/>
          <w:sz w:val="24"/>
          <w:szCs w:val="24"/>
        </w:rPr>
        <w:t>volution’</w:t>
      </w:r>
      <w:r w:rsidR="007D3C86" w:rsidRPr="009C3204">
        <w:rPr>
          <w:rFonts w:ascii="Cambria" w:hAnsi="Cambria"/>
          <w:sz w:val="24"/>
          <w:szCs w:val="24"/>
        </w:rPr>
        <w:t xml:space="preserve">. </w:t>
      </w:r>
    </w:p>
    <w:p w14:paraId="4B983E28" w14:textId="30BE0CA5" w:rsidR="00B54C39" w:rsidRDefault="00B54C39" w:rsidP="00BE62EB">
      <w:pPr>
        <w:pStyle w:val="ListParagraph"/>
        <w:numPr>
          <w:ilvl w:val="0"/>
          <w:numId w:val="2"/>
        </w:numPr>
        <w:spacing w:line="240" w:lineRule="auto"/>
        <w:jc w:val="center"/>
        <w:rPr>
          <w:rFonts w:ascii="Cambria" w:hAnsi="Cambria"/>
          <w:b/>
          <w:sz w:val="24"/>
          <w:szCs w:val="24"/>
        </w:rPr>
      </w:pPr>
      <w:r w:rsidRPr="009C3204">
        <w:rPr>
          <w:rFonts w:ascii="Cambria" w:hAnsi="Cambria"/>
          <w:b/>
          <w:sz w:val="24"/>
          <w:szCs w:val="24"/>
        </w:rPr>
        <w:t>Risk Revolutions and Private Law</w:t>
      </w:r>
    </w:p>
    <w:p w14:paraId="7FE1975C" w14:textId="77777777" w:rsidR="00BE62EB" w:rsidRPr="009C3204" w:rsidRDefault="00BE62EB" w:rsidP="00BE62EB">
      <w:pPr>
        <w:pStyle w:val="ListParagraph"/>
        <w:spacing w:line="240" w:lineRule="auto"/>
        <w:ind w:left="1080"/>
        <w:rPr>
          <w:rFonts w:ascii="Cambria" w:hAnsi="Cambria"/>
          <w:b/>
          <w:sz w:val="24"/>
          <w:szCs w:val="24"/>
        </w:rPr>
      </w:pPr>
    </w:p>
    <w:p w14:paraId="4E4FE6FD" w14:textId="77777777" w:rsidR="00CC1C99" w:rsidRPr="00BE62EB" w:rsidRDefault="00CC1C99" w:rsidP="00BE62EB">
      <w:pPr>
        <w:pStyle w:val="ListParagraph"/>
        <w:numPr>
          <w:ilvl w:val="0"/>
          <w:numId w:val="4"/>
        </w:numPr>
        <w:spacing w:line="240" w:lineRule="auto"/>
        <w:jc w:val="both"/>
        <w:outlineLvl w:val="0"/>
        <w:rPr>
          <w:rFonts w:ascii="Cambria" w:hAnsi="Cambria"/>
          <w:sz w:val="24"/>
          <w:szCs w:val="24"/>
        </w:rPr>
      </w:pPr>
      <w:r w:rsidRPr="00BE62EB">
        <w:rPr>
          <w:rFonts w:ascii="Cambria" w:hAnsi="Cambria"/>
          <w:sz w:val="24"/>
          <w:szCs w:val="24"/>
        </w:rPr>
        <w:t>Security and Responsibility</w:t>
      </w:r>
    </w:p>
    <w:p w14:paraId="6582C28E" w14:textId="62A31FF2" w:rsidR="003068B0" w:rsidRDefault="00CC1C99" w:rsidP="00CC1C99">
      <w:pPr>
        <w:spacing w:line="240" w:lineRule="auto"/>
        <w:jc w:val="both"/>
        <w:rPr>
          <w:rFonts w:ascii="Cambria" w:hAnsi="Cambria"/>
          <w:sz w:val="24"/>
          <w:szCs w:val="24"/>
        </w:rPr>
      </w:pPr>
      <w:r w:rsidRPr="009C3204">
        <w:rPr>
          <w:rFonts w:ascii="Cambria" w:hAnsi="Cambria"/>
          <w:sz w:val="24"/>
          <w:szCs w:val="24"/>
        </w:rPr>
        <w:t xml:space="preserve">When interpreting ‘risk (r)evolutions’ and their impact on private law, this paper will use two additional labels, namely ‘security’, and ‘responsibility’. </w:t>
      </w:r>
      <w:r>
        <w:rPr>
          <w:rFonts w:ascii="Cambria" w:hAnsi="Cambria"/>
          <w:sz w:val="24"/>
          <w:szCs w:val="24"/>
        </w:rPr>
        <w:t xml:space="preserve">An </w:t>
      </w:r>
      <w:r w:rsidRPr="009C3204">
        <w:rPr>
          <w:rFonts w:ascii="Cambria" w:hAnsi="Cambria"/>
          <w:sz w:val="24"/>
          <w:szCs w:val="24"/>
        </w:rPr>
        <w:t xml:space="preserve">initial risk revolution is labelled here as a ‘security’ revolution; later </w:t>
      </w:r>
      <w:r w:rsidR="00FB605D">
        <w:rPr>
          <w:rFonts w:ascii="Cambria" w:hAnsi="Cambria"/>
          <w:sz w:val="24"/>
          <w:szCs w:val="24"/>
        </w:rPr>
        <w:t xml:space="preserve">(and earlier) </w:t>
      </w:r>
      <w:r w:rsidRPr="009C3204">
        <w:rPr>
          <w:rFonts w:ascii="Cambria" w:hAnsi="Cambria"/>
          <w:sz w:val="24"/>
          <w:szCs w:val="24"/>
        </w:rPr>
        <w:t xml:space="preserve">developments are described as more centrally engaging ‘responsibility’. </w:t>
      </w:r>
      <w:r w:rsidR="00FB605D">
        <w:rPr>
          <w:rFonts w:ascii="Cambria" w:hAnsi="Cambria"/>
          <w:sz w:val="24"/>
          <w:szCs w:val="24"/>
        </w:rPr>
        <w:t>‘Security’ in this context refers to the state of being protected from the consequences of adverse risks. This may be very general (producing a sense of or perhaps expectation of security); or it may be specific (security against particular risks may be</w:t>
      </w:r>
      <w:r w:rsidR="00DB2E83">
        <w:rPr>
          <w:rFonts w:ascii="Cambria" w:hAnsi="Cambria"/>
          <w:sz w:val="24"/>
          <w:szCs w:val="24"/>
        </w:rPr>
        <w:t xml:space="preserve"> </w:t>
      </w:r>
      <w:r w:rsidR="003068B0">
        <w:rPr>
          <w:rFonts w:ascii="Cambria" w:hAnsi="Cambria"/>
          <w:sz w:val="24"/>
          <w:szCs w:val="24"/>
        </w:rPr>
        <w:t xml:space="preserve">put </w:t>
      </w:r>
      <w:r w:rsidR="00DB2E83">
        <w:rPr>
          <w:rFonts w:ascii="Cambria" w:hAnsi="Cambria"/>
          <w:sz w:val="24"/>
          <w:szCs w:val="24"/>
        </w:rPr>
        <w:t>in place</w:t>
      </w:r>
      <w:r w:rsidR="00FB605D">
        <w:rPr>
          <w:rFonts w:ascii="Cambria" w:hAnsi="Cambria"/>
          <w:sz w:val="24"/>
          <w:szCs w:val="24"/>
        </w:rPr>
        <w:t xml:space="preserve">, </w:t>
      </w:r>
      <w:r w:rsidR="000E7435">
        <w:rPr>
          <w:rFonts w:ascii="Cambria" w:hAnsi="Cambria"/>
          <w:sz w:val="24"/>
          <w:szCs w:val="24"/>
        </w:rPr>
        <w:t>for example through contractual</w:t>
      </w:r>
      <w:r w:rsidR="00DB2E83">
        <w:rPr>
          <w:rFonts w:ascii="Cambria" w:hAnsi="Cambria"/>
          <w:sz w:val="24"/>
          <w:szCs w:val="24"/>
        </w:rPr>
        <w:t xml:space="preserve"> terms</w:t>
      </w:r>
      <w:r w:rsidR="000E7435">
        <w:rPr>
          <w:rFonts w:ascii="Cambria" w:hAnsi="Cambria"/>
          <w:sz w:val="24"/>
          <w:szCs w:val="24"/>
        </w:rPr>
        <w:t>, or insurance</w:t>
      </w:r>
      <w:r w:rsidR="00FB605D">
        <w:rPr>
          <w:rFonts w:ascii="Cambria" w:hAnsi="Cambria"/>
          <w:sz w:val="24"/>
          <w:szCs w:val="24"/>
        </w:rPr>
        <w:t xml:space="preserve">). ‘Responsibility’ in this context refers </w:t>
      </w:r>
      <w:r w:rsidR="009A3509">
        <w:rPr>
          <w:rFonts w:ascii="Cambria" w:hAnsi="Cambria"/>
          <w:sz w:val="24"/>
          <w:szCs w:val="24"/>
        </w:rPr>
        <w:t xml:space="preserve">principally </w:t>
      </w:r>
      <w:r w:rsidR="00FB605D">
        <w:rPr>
          <w:rFonts w:ascii="Cambria" w:hAnsi="Cambria"/>
          <w:sz w:val="24"/>
          <w:szCs w:val="24"/>
        </w:rPr>
        <w:t xml:space="preserve">to bearing the consequences of risks and particularly of risk decisions; </w:t>
      </w:r>
      <w:r w:rsidR="00DB2E83">
        <w:rPr>
          <w:rFonts w:ascii="Cambria" w:hAnsi="Cambria"/>
          <w:sz w:val="24"/>
          <w:szCs w:val="24"/>
        </w:rPr>
        <w:t>it</w:t>
      </w:r>
      <w:r w:rsidR="00FB605D">
        <w:rPr>
          <w:rFonts w:ascii="Cambria" w:hAnsi="Cambria"/>
          <w:sz w:val="24"/>
          <w:szCs w:val="24"/>
        </w:rPr>
        <w:t xml:space="preserve"> may also imply a duty to hold </w:t>
      </w:r>
      <w:r w:rsidR="00FB605D">
        <w:rPr>
          <w:rFonts w:ascii="Cambria" w:hAnsi="Cambria"/>
          <w:sz w:val="24"/>
          <w:szCs w:val="24"/>
        </w:rPr>
        <w:lastRenderedPageBreak/>
        <w:t>safe from risks (and therefore to provide security)</w:t>
      </w:r>
      <w:r w:rsidR="009A3509">
        <w:rPr>
          <w:rFonts w:ascii="Cambria" w:hAnsi="Cambria"/>
          <w:sz w:val="24"/>
          <w:szCs w:val="24"/>
        </w:rPr>
        <w:t>; or to act responsibly in relation to risks (</w:t>
      </w:r>
      <w:r w:rsidR="00A73279">
        <w:rPr>
          <w:rFonts w:ascii="Cambria" w:hAnsi="Cambria"/>
          <w:sz w:val="24"/>
          <w:szCs w:val="24"/>
        </w:rPr>
        <w:t xml:space="preserve">for example, </w:t>
      </w:r>
      <w:r w:rsidR="009A3509">
        <w:rPr>
          <w:rFonts w:ascii="Cambria" w:hAnsi="Cambria"/>
          <w:sz w:val="24"/>
          <w:szCs w:val="24"/>
        </w:rPr>
        <w:t>to minimise those risks)</w:t>
      </w:r>
      <w:r w:rsidR="00A73279">
        <w:rPr>
          <w:rFonts w:ascii="Cambria" w:hAnsi="Cambria"/>
          <w:sz w:val="24"/>
          <w:szCs w:val="24"/>
        </w:rPr>
        <w:t xml:space="preserve">. </w:t>
      </w:r>
    </w:p>
    <w:p w14:paraId="439D8A24" w14:textId="5BC277E1" w:rsidR="00CC1C99" w:rsidRDefault="003068B0" w:rsidP="008E4509">
      <w:pPr>
        <w:spacing w:line="240" w:lineRule="auto"/>
        <w:jc w:val="both"/>
        <w:rPr>
          <w:rFonts w:ascii="Cambria" w:hAnsi="Cambria"/>
          <w:sz w:val="24"/>
          <w:szCs w:val="24"/>
        </w:rPr>
      </w:pPr>
      <w:r>
        <w:rPr>
          <w:rFonts w:ascii="Cambria" w:hAnsi="Cambria"/>
          <w:sz w:val="24"/>
          <w:szCs w:val="24"/>
        </w:rPr>
        <w:t>T</w:t>
      </w:r>
      <w:r w:rsidR="00FB605D">
        <w:rPr>
          <w:rFonts w:ascii="Cambria" w:hAnsi="Cambria"/>
          <w:sz w:val="24"/>
          <w:szCs w:val="24"/>
        </w:rPr>
        <w:t xml:space="preserve">hese notions are </w:t>
      </w:r>
      <w:r w:rsidR="00A73279">
        <w:rPr>
          <w:rFonts w:ascii="Cambria" w:hAnsi="Cambria"/>
          <w:sz w:val="24"/>
          <w:szCs w:val="24"/>
        </w:rPr>
        <w:t>to some extent in tension; but</w:t>
      </w:r>
      <w:r w:rsidR="00FB605D">
        <w:rPr>
          <w:rFonts w:ascii="Cambria" w:hAnsi="Cambria"/>
          <w:sz w:val="24"/>
          <w:szCs w:val="24"/>
        </w:rPr>
        <w:t xml:space="preserve"> </w:t>
      </w:r>
      <w:r w:rsidR="00CC1C99" w:rsidRPr="009C3204">
        <w:rPr>
          <w:rFonts w:ascii="Cambria" w:hAnsi="Cambria"/>
          <w:sz w:val="24"/>
          <w:szCs w:val="24"/>
        </w:rPr>
        <w:t xml:space="preserve">it is important to be clear that </w:t>
      </w:r>
      <w:r w:rsidR="00DB2E83">
        <w:rPr>
          <w:rFonts w:ascii="Cambria" w:hAnsi="Cambria"/>
          <w:sz w:val="24"/>
          <w:szCs w:val="24"/>
        </w:rPr>
        <w:t>the two are not mutually exclusive social phenomena</w:t>
      </w:r>
      <w:r w:rsidR="00CC1C99" w:rsidRPr="009C3204">
        <w:rPr>
          <w:rFonts w:ascii="Cambria" w:hAnsi="Cambria"/>
          <w:sz w:val="24"/>
          <w:szCs w:val="24"/>
        </w:rPr>
        <w:t>. Rather, notions of security and responsibility are and have been mixed in different ways as notions of risk evolve</w:t>
      </w:r>
      <w:r w:rsidR="00DB2E83">
        <w:rPr>
          <w:rFonts w:ascii="Cambria" w:hAnsi="Cambria"/>
          <w:sz w:val="24"/>
          <w:szCs w:val="24"/>
        </w:rPr>
        <w:t>:</w:t>
      </w:r>
      <w:r w:rsidR="00084102">
        <w:rPr>
          <w:rFonts w:ascii="Cambria" w:hAnsi="Cambria"/>
          <w:sz w:val="24"/>
          <w:szCs w:val="24"/>
        </w:rPr>
        <w:t xml:space="preserve"> notions of responsibility are affected by the growth in security techniques, </w:t>
      </w:r>
      <w:r w:rsidR="00DB2E83">
        <w:rPr>
          <w:rFonts w:ascii="Cambria" w:hAnsi="Cambria"/>
          <w:sz w:val="24"/>
          <w:szCs w:val="24"/>
        </w:rPr>
        <w:t>while</w:t>
      </w:r>
      <w:r w:rsidR="00084102">
        <w:rPr>
          <w:rFonts w:ascii="Cambria" w:hAnsi="Cambria"/>
          <w:sz w:val="24"/>
          <w:szCs w:val="24"/>
        </w:rPr>
        <w:t xml:space="preserve"> the delivery of security is affected by changing notions of responsibility</w:t>
      </w:r>
      <w:r w:rsidR="00CC1C99" w:rsidRPr="009C3204">
        <w:rPr>
          <w:rFonts w:ascii="Cambria" w:hAnsi="Cambria"/>
          <w:sz w:val="24"/>
          <w:szCs w:val="24"/>
        </w:rPr>
        <w:t>.</w:t>
      </w:r>
      <w:r w:rsidR="00084102">
        <w:rPr>
          <w:rFonts w:ascii="Cambria" w:hAnsi="Cambria"/>
          <w:sz w:val="24"/>
          <w:szCs w:val="24"/>
        </w:rPr>
        <w:t xml:space="preserve"> </w:t>
      </w:r>
      <w:r>
        <w:rPr>
          <w:rFonts w:ascii="Cambria" w:hAnsi="Cambria"/>
          <w:sz w:val="24"/>
          <w:szCs w:val="24"/>
        </w:rPr>
        <w:t>T</w:t>
      </w:r>
      <w:r w:rsidR="00084102">
        <w:rPr>
          <w:rFonts w:ascii="Cambria" w:hAnsi="Cambria"/>
          <w:sz w:val="24"/>
          <w:szCs w:val="24"/>
        </w:rPr>
        <w:t xml:space="preserve">he notions are nevertheless </w:t>
      </w:r>
      <w:r>
        <w:rPr>
          <w:rFonts w:ascii="Cambria" w:hAnsi="Cambria"/>
          <w:sz w:val="24"/>
          <w:szCs w:val="24"/>
        </w:rPr>
        <w:t xml:space="preserve">commonly </w:t>
      </w:r>
      <w:r w:rsidR="00084102">
        <w:rPr>
          <w:rFonts w:ascii="Cambria" w:hAnsi="Cambria"/>
          <w:sz w:val="24"/>
          <w:szCs w:val="24"/>
        </w:rPr>
        <w:t>used to typify very different responses to risk.</w:t>
      </w:r>
      <w:r w:rsidR="00CC1C99" w:rsidRPr="009C3204">
        <w:rPr>
          <w:rFonts w:ascii="Cambria" w:hAnsi="Cambria"/>
          <w:sz w:val="24"/>
          <w:szCs w:val="24"/>
        </w:rPr>
        <w:t xml:space="preserve"> Thus, changes in the function of risk may be interpreted as turns towards or away from security; and turns away from security are often justified or explained in terms of responsibility. Developing responses to risk may </w:t>
      </w:r>
      <w:r w:rsidR="00A73279">
        <w:rPr>
          <w:rFonts w:ascii="Cambria" w:hAnsi="Cambria"/>
          <w:sz w:val="24"/>
          <w:szCs w:val="24"/>
        </w:rPr>
        <w:t xml:space="preserve">thus </w:t>
      </w:r>
      <w:r w:rsidR="00CC1C99" w:rsidRPr="009C3204">
        <w:rPr>
          <w:rFonts w:ascii="Cambria" w:hAnsi="Cambria"/>
          <w:sz w:val="24"/>
          <w:szCs w:val="24"/>
        </w:rPr>
        <w:t xml:space="preserve">be typified in terms of their balance between security, and responsibility; equally importantly, they may be explored in terms of the </w:t>
      </w:r>
      <w:r w:rsidR="00CC1C99" w:rsidRPr="009C3204">
        <w:rPr>
          <w:rFonts w:ascii="Cambria" w:hAnsi="Cambria"/>
          <w:i/>
          <w:sz w:val="24"/>
          <w:szCs w:val="24"/>
        </w:rPr>
        <w:t>types</w:t>
      </w:r>
      <w:r w:rsidR="00CC1C99" w:rsidRPr="009C3204">
        <w:rPr>
          <w:rFonts w:ascii="Cambria" w:hAnsi="Cambria"/>
          <w:sz w:val="24"/>
          <w:szCs w:val="24"/>
        </w:rPr>
        <w:t xml:space="preserve"> of security and responsibility that they engage.</w:t>
      </w:r>
      <w:bookmarkStart w:id="5" w:name="_Ref480741277"/>
      <w:r w:rsidR="00CC1C99" w:rsidRPr="009C3204">
        <w:rPr>
          <w:rStyle w:val="FootnoteReference"/>
          <w:rFonts w:ascii="Cambria" w:hAnsi="Cambria"/>
          <w:sz w:val="24"/>
          <w:szCs w:val="24"/>
        </w:rPr>
        <w:footnoteReference w:id="12"/>
      </w:r>
      <w:bookmarkEnd w:id="5"/>
      <w:r w:rsidR="00103353">
        <w:rPr>
          <w:rFonts w:ascii="Cambria" w:hAnsi="Cambria"/>
          <w:sz w:val="24"/>
          <w:szCs w:val="24"/>
        </w:rPr>
        <w:t xml:space="preserve"> In Part IV, it is suggested that the cost of security is increasingly an issue of concern in private law</w:t>
      </w:r>
      <w:r>
        <w:rPr>
          <w:rFonts w:ascii="Cambria" w:hAnsi="Cambria"/>
          <w:sz w:val="24"/>
          <w:szCs w:val="24"/>
        </w:rPr>
        <w:t>; and that t</w:t>
      </w:r>
      <w:r w:rsidR="00103353">
        <w:rPr>
          <w:rFonts w:ascii="Cambria" w:hAnsi="Cambria"/>
          <w:sz w:val="24"/>
          <w:szCs w:val="24"/>
        </w:rPr>
        <w:t>his can be observed in the courts, as well as in legislation.</w:t>
      </w:r>
    </w:p>
    <w:p w14:paraId="4E7DEC0C" w14:textId="77777777" w:rsidR="00B30722" w:rsidRDefault="00B30722" w:rsidP="008E4509">
      <w:pPr>
        <w:spacing w:line="240" w:lineRule="auto"/>
        <w:jc w:val="both"/>
        <w:rPr>
          <w:rFonts w:ascii="Cambria" w:hAnsi="Cambria"/>
          <w:sz w:val="24"/>
          <w:szCs w:val="24"/>
        </w:rPr>
      </w:pPr>
    </w:p>
    <w:p w14:paraId="0DC94D70" w14:textId="7B03438B" w:rsidR="00CC1C99" w:rsidRPr="00BE62EB" w:rsidRDefault="00CC1C99" w:rsidP="00BE62EB">
      <w:pPr>
        <w:pStyle w:val="ListParagraph"/>
        <w:numPr>
          <w:ilvl w:val="0"/>
          <w:numId w:val="4"/>
        </w:numPr>
        <w:spacing w:line="240" w:lineRule="auto"/>
        <w:jc w:val="both"/>
        <w:outlineLvl w:val="0"/>
        <w:rPr>
          <w:rFonts w:ascii="Cambria" w:hAnsi="Cambria"/>
          <w:sz w:val="24"/>
          <w:szCs w:val="24"/>
        </w:rPr>
      </w:pPr>
      <w:r w:rsidRPr="00BE62EB">
        <w:rPr>
          <w:rFonts w:ascii="Cambria" w:hAnsi="Cambria"/>
          <w:sz w:val="24"/>
          <w:szCs w:val="24"/>
        </w:rPr>
        <w:t>Risk Revolutions: a brief overview</w:t>
      </w:r>
    </w:p>
    <w:p w14:paraId="1F3BE0A1" w14:textId="7D292AB7" w:rsidR="00A95E13" w:rsidRPr="009C3204" w:rsidRDefault="00B767EA" w:rsidP="008E4509">
      <w:pPr>
        <w:spacing w:line="240" w:lineRule="auto"/>
        <w:jc w:val="both"/>
        <w:rPr>
          <w:rFonts w:ascii="Cambria" w:hAnsi="Cambria"/>
          <w:sz w:val="24"/>
          <w:szCs w:val="24"/>
        </w:rPr>
      </w:pPr>
      <w:r w:rsidRPr="009C3204">
        <w:rPr>
          <w:rFonts w:ascii="Cambria" w:hAnsi="Cambria"/>
          <w:sz w:val="24"/>
          <w:szCs w:val="24"/>
        </w:rPr>
        <w:t>C</w:t>
      </w:r>
      <w:r w:rsidR="00BC5C07" w:rsidRPr="009C3204">
        <w:rPr>
          <w:rFonts w:ascii="Cambria" w:hAnsi="Cambria"/>
          <w:sz w:val="24"/>
          <w:szCs w:val="24"/>
        </w:rPr>
        <w:t xml:space="preserve">hanging social </w:t>
      </w:r>
      <w:r w:rsidR="00B54C39" w:rsidRPr="009C3204">
        <w:rPr>
          <w:rFonts w:ascii="Cambria" w:hAnsi="Cambria"/>
          <w:sz w:val="24"/>
          <w:szCs w:val="24"/>
        </w:rPr>
        <w:t xml:space="preserve">responses </w:t>
      </w:r>
      <w:r w:rsidR="00BC5C07" w:rsidRPr="009C3204">
        <w:rPr>
          <w:rFonts w:ascii="Cambria" w:hAnsi="Cambria"/>
          <w:sz w:val="24"/>
          <w:szCs w:val="24"/>
        </w:rPr>
        <w:t>to</w:t>
      </w:r>
      <w:r w:rsidRPr="009C3204">
        <w:rPr>
          <w:rFonts w:ascii="Cambria" w:hAnsi="Cambria"/>
          <w:sz w:val="24"/>
          <w:szCs w:val="24"/>
        </w:rPr>
        <w:t xml:space="preserve"> and uses of</w:t>
      </w:r>
      <w:r w:rsidR="00BC5C07" w:rsidRPr="009C3204">
        <w:rPr>
          <w:rFonts w:ascii="Cambria" w:hAnsi="Cambria"/>
          <w:sz w:val="24"/>
          <w:szCs w:val="24"/>
        </w:rPr>
        <w:t xml:space="preserve"> risk</w:t>
      </w:r>
      <w:r w:rsidR="1B3EAF6B" w:rsidRPr="009C3204">
        <w:rPr>
          <w:rFonts w:ascii="Cambria" w:hAnsi="Cambria"/>
          <w:sz w:val="24"/>
          <w:szCs w:val="24"/>
        </w:rPr>
        <w:t xml:space="preserve"> have</w:t>
      </w:r>
      <w:r w:rsidR="00D24E2D" w:rsidRPr="009C3204">
        <w:rPr>
          <w:rFonts w:ascii="Cambria" w:hAnsi="Cambria"/>
          <w:sz w:val="24"/>
          <w:szCs w:val="24"/>
        </w:rPr>
        <w:t xml:space="preserve"> </w:t>
      </w:r>
      <w:r w:rsidR="1B3EAF6B" w:rsidRPr="009C3204">
        <w:rPr>
          <w:rFonts w:ascii="Cambria" w:hAnsi="Cambria"/>
          <w:sz w:val="24"/>
          <w:szCs w:val="24"/>
        </w:rPr>
        <w:t xml:space="preserve">a strong claim to </w:t>
      </w:r>
      <w:r w:rsidR="009E106D" w:rsidRPr="009C3204">
        <w:rPr>
          <w:rFonts w:ascii="Cambria" w:hAnsi="Cambria"/>
          <w:sz w:val="24"/>
          <w:szCs w:val="24"/>
        </w:rPr>
        <w:t>be called ‘</w:t>
      </w:r>
      <w:r w:rsidR="1B3EAF6B" w:rsidRPr="009C3204">
        <w:rPr>
          <w:rFonts w:ascii="Cambria" w:hAnsi="Cambria"/>
          <w:sz w:val="24"/>
          <w:szCs w:val="24"/>
        </w:rPr>
        <w:t>revolutionary</w:t>
      </w:r>
      <w:r w:rsidR="009E106D" w:rsidRPr="009C3204">
        <w:rPr>
          <w:rFonts w:ascii="Cambria" w:hAnsi="Cambria"/>
          <w:sz w:val="24"/>
          <w:szCs w:val="24"/>
        </w:rPr>
        <w:t>’</w:t>
      </w:r>
      <w:r w:rsidR="00CB1B79" w:rsidRPr="009C3204">
        <w:rPr>
          <w:rFonts w:ascii="Cambria" w:hAnsi="Cambria"/>
          <w:sz w:val="24"/>
          <w:szCs w:val="24"/>
        </w:rPr>
        <w:t xml:space="preserve">. </w:t>
      </w:r>
      <w:r w:rsidR="008C3C84" w:rsidRPr="009C3204">
        <w:rPr>
          <w:rFonts w:ascii="Cambria" w:hAnsi="Cambria"/>
          <w:sz w:val="24"/>
          <w:szCs w:val="24"/>
        </w:rPr>
        <w:t xml:space="preserve">So far as </w:t>
      </w:r>
      <w:r w:rsidR="00CC1C99">
        <w:rPr>
          <w:rFonts w:ascii="Cambria" w:hAnsi="Cambria"/>
          <w:sz w:val="24"/>
          <w:szCs w:val="24"/>
        </w:rPr>
        <w:t>a first and widely recognised</w:t>
      </w:r>
      <w:r w:rsidR="00A73279">
        <w:rPr>
          <w:rFonts w:ascii="Cambria" w:hAnsi="Cambria"/>
          <w:sz w:val="24"/>
          <w:szCs w:val="24"/>
        </w:rPr>
        <w:t xml:space="preserve"> </w:t>
      </w:r>
      <w:r w:rsidR="008C3C84" w:rsidRPr="009C3204">
        <w:rPr>
          <w:rFonts w:ascii="Cambria" w:hAnsi="Cambria"/>
          <w:sz w:val="24"/>
          <w:szCs w:val="24"/>
        </w:rPr>
        <w:t>‘risk revolution’ is concerned</w:t>
      </w:r>
      <w:r w:rsidR="005C0BE6" w:rsidRPr="009C3204">
        <w:rPr>
          <w:rFonts w:ascii="Cambria" w:hAnsi="Cambria"/>
          <w:sz w:val="24"/>
          <w:szCs w:val="24"/>
        </w:rPr>
        <w:t xml:space="preserve"> (</w:t>
      </w:r>
      <w:r w:rsidR="007E164B" w:rsidRPr="009C3204">
        <w:rPr>
          <w:rFonts w:ascii="Cambria" w:hAnsi="Cambria"/>
          <w:sz w:val="24"/>
          <w:szCs w:val="24"/>
        </w:rPr>
        <w:t xml:space="preserve">explored </w:t>
      </w:r>
      <w:r w:rsidR="007E164B" w:rsidRPr="007E3C89">
        <w:rPr>
          <w:rFonts w:ascii="Cambria" w:hAnsi="Cambria"/>
          <w:sz w:val="24"/>
          <w:szCs w:val="24"/>
        </w:rPr>
        <w:t xml:space="preserve">in </w:t>
      </w:r>
      <w:r w:rsidR="00CC1C99" w:rsidRPr="007E3C89">
        <w:rPr>
          <w:rFonts w:ascii="Cambria" w:hAnsi="Cambria"/>
          <w:sz w:val="24"/>
          <w:szCs w:val="24"/>
        </w:rPr>
        <w:t>P</w:t>
      </w:r>
      <w:r w:rsidR="00B976B4" w:rsidRPr="007E3C89">
        <w:rPr>
          <w:rFonts w:ascii="Cambria" w:hAnsi="Cambria"/>
          <w:sz w:val="24"/>
          <w:szCs w:val="24"/>
        </w:rPr>
        <w:t>art II</w:t>
      </w:r>
      <w:r w:rsidR="005C0BE6" w:rsidRPr="007E3C89">
        <w:rPr>
          <w:rFonts w:ascii="Cambria" w:hAnsi="Cambria"/>
          <w:sz w:val="24"/>
          <w:szCs w:val="24"/>
        </w:rPr>
        <w:t>)</w:t>
      </w:r>
      <w:r w:rsidR="008C3C84" w:rsidRPr="007E3C89">
        <w:rPr>
          <w:rFonts w:ascii="Cambria" w:hAnsi="Cambria"/>
          <w:sz w:val="24"/>
          <w:szCs w:val="24"/>
        </w:rPr>
        <w:t xml:space="preserve">, </w:t>
      </w:r>
      <w:r w:rsidRPr="007E3C89">
        <w:rPr>
          <w:rFonts w:ascii="Cambria" w:hAnsi="Cambria"/>
          <w:sz w:val="24"/>
          <w:szCs w:val="24"/>
        </w:rPr>
        <w:t>it</w:t>
      </w:r>
      <w:r w:rsidRPr="009C3204">
        <w:rPr>
          <w:rFonts w:ascii="Cambria" w:hAnsi="Cambria"/>
          <w:sz w:val="24"/>
          <w:szCs w:val="24"/>
        </w:rPr>
        <w:t xml:space="preserve"> </w:t>
      </w:r>
      <w:r w:rsidR="00BC5C07" w:rsidRPr="009C3204">
        <w:rPr>
          <w:rFonts w:ascii="Cambria" w:hAnsi="Cambria"/>
          <w:sz w:val="24"/>
          <w:szCs w:val="24"/>
        </w:rPr>
        <w:t xml:space="preserve">is </w:t>
      </w:r>
      <w:r w:rsidR="00AF0A42" w:rsidRPr="009C3204">
        <w:rPr>
          <w:rFonts w:ascii="Cambria" w:hAnsi="Cambria"/>
          <w:sz w:val="24"/>
          <w:szCs w:val="24"/>
        </w:rPr>
        <w:t xml:space="preserve">particularly common </w:t>
      </w:r>
      <w:r w:rsidR="00BC5C07" w:rsidRPr="009C3204">
        <w:rPr>
          <w:rFonts w:ascii="Cambria" w:hAnsi="Cambria"/>
          <w:sz w:val="24"/>
          <w:szCs w:val="24"/>
        </w:rPr>
        <w:t xml:space="preserve">to </w:t>
      </w:r>
      <w:r w:rsidR="007E164B" w:rsidRPr="009C3204">
        <w:rPr>
          <w:rFonts w:ascii="Cambria" w:hAnsi="Cambria"/>
          <w:sz w:val="24"/>
          <w:szCs w:val="24"/>
        </w:rPr>
        <w:t>use the language of paradigm shifts</w:t>
      </w:r>
      <w:r w:rsidR="1B3EAF6B" w:rsidRPr="009C3204">
        <w:rPr>
          <w:rFonts w:ascii="Cambria" w:hAnsi="Cambria"/>
          <w:sz w:val="24"/>
          <w:szCs w:val="24"/>
        </w:rPr>
        <w:t>.</w:t>
      </w:r>
      <w:r w:rsidR="00CC1C99">
        <w:rPr>
          <w:rFonts w:ascii="Cambria" w:hAnsi="Cambria"/>
          <w:sz w:val="24"/>
          <w:szCs w:val="24"/>
        </w:rPr>
        <w:t xml:space="preserve"> This is the shift identified with the growth of insurance, and (linked with this) the birth of social security and the welfare state</w:t>
      </w:r>
      <w:r w:rsidR="00084102">
        <w:rPr>
          <w:rFonts w:ascii="Cambria" w:hAnsi="Cambria"/>
          <w:sz w:val="24"/>
          <w:szCs w:val="24"/>
        </w:rPr>
        <w:t>, from the turn of the twentieth century</w:t>
      </w:r>
      <w:r w:rsidR="00A73279">
        <w:rPr>
          <w:rFonts w:ascii="Cambria" w:hAnsi="Cambria"/>
          <w:sz w:val="24"/>
          <w:szCs w:val="24"/>
        </w:rPr>
        <w:t xml:space="preserve"> onwards</w:t>
      </w:r>
      <w:r w:rsidR="00CC1C99">
        <w:rPr>
          <w:rFonts w:ascii="Cambria" w:hAnsi="Cambria"/>
          <w:sz w:val="24"/>
          <w:szCs w:val="24"/>
        </w:rPr>
        <w:t>.</w:t>
      </w:r>
      <w:r w:rsidR="1B3EAF6B" w:rsidRPr="009C3204">
        <w:rPr>
          <w:rFonts w:ascii="Cambria" w:hAnsi="Cambria"/>
          <w:sz w:val="24"/>
          <w:szCs w:val="24"/>
        </w:rPr>
        <w:t xml:space="preserve"> </w:t>
      </w:r>
      <w:r w:rsidR="008C3C84" w:rsidRPr="009C3204">
        <w:rPr>
          <w:rFonts w:ascii="Cambria" w:hAnsi="Cambria"/>
          <w:sz w:val="24"/>
          <w:szCs w:val="24"/>
        </w:rPr>
        <w:t xml:space="preserve">Writing from a Foucauldian perspective, Francois Ewald </w:t>
      </w:r>
      <w:r w:rsidR="007E164B" w:rsidRPr="009C3204">
        <w:rPr>
          <w:rFonts w:ascii="Cambria" w:hAnsi="Cambria"/>
          <w:sz w:val="24"/>
          <w:szCs w:val="24"/>
        </w:rPr>
        <w:t xml:space="preserve">has </w:t>
      </w:r>
      <w:r w:rsidR="008C3C84" w:rsidRPr="009C3204">
        <w:rPr>
          <w:rFonts w:ascii="Cambria" w:hAnsi="Cambria"/>
          <w:sz w:val="24"/>
          <w:szCs w:val="24"/>
        </w:rPr>
        <w:t xml:space="preserve">described the </w:t>
      </w:r>
      <w:r w:rsidR="00380A15" w:rsidRPr="009C3204">
        <w:rPr>
          <w:rFonts w:ascii="Cambria" w:hAnsi="Cambria"/>
          <w:sz w:val="24"/>
          <w:szCs w:val="24"/>
        </w:rPr>
        <w:t>twentieth century as displaying a dominant paradigm of ‘solidarity’</w:t>
      </w:r>
      <w:r w:rsidR="007E164B" w:rsidRPr="009C3204">
        <w:rPr>
          <w:rFonts w:ascii="Cambria" w:hAnsi="Cambria"/>
          <w:sz w:val="24"/>
          <w:szCs w:val="24"/>
        </w:rPr>
        <w:t>. This, he has argued</w:t>
      </w:r>
      <w:r w:rsidR="00380A15" w:rsidRPr="009C3204">
        <w:rPr>
          <w:rFonts w:ascii="Cambria" w:hAnsi="Cambria"/>
          <w:sz w:val="24"/>
          <w:szCs w:val="24"/>
        </w:rPr>
        <w:t xml:space="preserve">, </w:t>
      </w:r>
      <w:r w:rsidR="008C3C84" w:rsidRPr="009C3204">
        <w:rPr>
          <w:rFonts w:ascii="Cambria" w:hAnsi="Cambria"/>
          <w:sz w:val="24"/>
          <w:szCs w:val="24"/>
        </w:rPr>
        <w:t>achieved</w:t>
      </w:r>
      <w:r w:rsidR="00896555" w:rsidRPr="009C3204">
        <w:rPr>
          <w:rFonts w:ascii="Cambria" w:hAnsi="Cambria"/>
          <w:sz w:val="24"/>
          <w:szCs w:val="24"/>
        </w:rPr>
        <w:t xml:space="preserve"> </w:t>
      </w:r>
      <w:r w:rsidR="00380A15" w:rsidRPr="009C3204">
        <w:rPr>
          <w:rFonts w:ascii="Cambria" w:hAnsi="Cambria"/>
          <w:sz w:val="24"/>
          <w:szCs w:val="24"/>
        </w:rPr>
        <w:t xml:space="preserve">a radical transformation from </w:t>
      </w:r>
      <w:r w:rsidR="00E56BBA" w:rsidRPr="009C3204">
        <w:rPr>
          <w:rFonts w:ascii="Cambria" w:hAnsi="Cambria"/>
          <w:sz w:val="24"/>
          <w:szCs w:val="24"/>
        </w:rPr>
        <w:t xml:space="preserve">a (proposed) </w:t>
      </w:r>
      <w:r w:rsidR="00380A15" w:rsidRPr="009C3204">
        <w:rPr>
          <w:rFonts w:ascii="Cambria" w:hAnsi="Cambria"/>
          <w:sz w:val="24"/>
          <w:szCs w:val="24"/>
        </w:rPr>
        <w:t>nineteenth century paradigm of ‘responsibility’</w:t>
      </w:r>
      <w:r w:rsidR="00D41CC0" w:rsidRPr="009C3204">
        <w:rPr>
          <w:rFonts w:ascii="Cambria" w:hAnsi="Cambria"/>
          <w:sz w:val="24"/>
          <w:szCs w:val="24"/>
        </w:rPr>
        <w:t>.</w:t>
      </w:r>
      <w:bookmarkStart w:id="6" w:name="_Ref480741388"/>
      <w:r w:rsidR="007E164B" w:rsidRPr="009C3204">
        <w:rPr>
          <w:rStyle w:val="FootnoteReference"/>
          <w:rFonts w:ascii="Cambria" w:hAnsi="Cambria"/>
          <w:sz w:val="24"/>
          <w:szCs w:val="24"/>
        </w:rPr>
        <w:footnoteReference w:id="13"/>
      </w:r>
      <w:bookmarkEnd w:id="6"/>
      <w:r w:rsidR="00D41CC0" w:rsidRPr="009C3204">
        <w:rPr>
          <w:rFonts w:ascii="Cambria" w:hAnsi="Cambria"/>
          <w:sz w:val="24"/>
          <w:szCs w:val="24"/>
        </w:rPr>
        <w:t xml:space="preserve"> </w:t>
      </w:r>
      <w:r w:rsidR="00E367ED" w:rsidRPr="009C3204">
        <w:rPr>
          <w:rFonts w:ascii="Cambria" w:hAnsi="Cambria"/>
          <w:sz w:val="24"/>
          <w:szCs w:val="24"/>
        </w:rPr>
        <w:t>S</w:t>
      </w:r>
      <w:r w:rsidR="00A95E13" w:rsidRPr="009C3204">
        <w:rPr>
          <w:rFonts w:ascii="Cambria" w:hAnsi="Cambria"/>
          <w:sz w:val="24"/>
          <w:szCs w:val="24"/>
        </w:rPr>
        <w:t xml:space="preserve">ociologists of risk have described a ‘first modernity’ </w:t>
      </w:r>
      <w:r w:rsidR="00084102">
        <w:rPr>
          <w:rFonts w:ascii="Cambria" w:hAnsi="Cambria"/>
          <w:sz w:val="24"/>
          <w:szCs w:val="24"/>
        </w:rPr>
        <w:t xml:space="preserve">during the same period, </w:t>
      </w:r>
      <w:r w:rsidR="00A95E13" w:rsidRPr="009C3204">
        <w:rPr>
          <w:rFonts w:ascii="Cambria" w:hAnsi="Cambria"/>
          <w:sz w:val="24"/>
          <w:szCs w:val="24"/>
        </w:rPr>
        <w:t>where security was to be based on a ‘</w:t>
      </w:r>
      <w:r w:rsidR="00896555" w:rsidRPr="009C3204">
        <w:rPr>
          <w:rFonts w:ascii="Cambria" w:hAnsi="Cambria"/>
          <w:sz w:val="24"/>
          <w:szCs w:val="24"/>
        </w:rPr>
        <w:t>sc</w:t>
      </w:r>
      <w:r w:rsidR="00A95E13" w:rsidRPr="009C3204">
        <w:rPr>
          <w:rFonts w:ascii="Cambria" w:hAnsi="Cambria"/>
          <w:sz w:val="24"/>
          <w:szCs w:val="24"/>
        </w:rPr>
        <w:t>i</w:t>
      </w:r>
      <w:r w:rsidR="00896555" w:rsidRPr="009C3204">
        <w:rPr>
          <w:rFonts w:ascii="Cambria" w:hAnsi="Cambria"/>
          <w:sz w:val="24"/>
          <w:szCs w:val="24"/>
        </w:rPr>
        <w:t>e</w:t>
      </w:r>
      <w:r w:rsidR="00A95E13" w:rsidRPr="009C3204">
        <w:rPr>
          <w:rFonts w:ascii="Cambria" w:hAnsi="Cambria"/>
          <w:sz w:val="24"/>
          <w:szCs w:val="24"/>
        </w:rPr>
        <w:t xml:space="preserve">ntific utopia’, </w:t>
      </w:r>
      <w:r w:rsidRPr="009C3204">
        <w:rPr>
          <w:rFonts w:ascii="Cambria" w:hAnsi="Cambria"/>
          <w:sz w:val="24"/>
          <w:szCs w:val="24"/>
        </w:rPr>
        <w:t xml:space="preserve">making </w:t>
      </w:r>
      <w:r w:rsidR="00A95E13" w:rsidRPr="009C3204">
        <w:rPr>
          <w:rFonts w:ascii="Cambria" w:hAnsi="Cambria"/>
          <w:sz w:val="24"/>
          <w:szCs w:val="24"/>
        </w:rPr>
        <w:t>the unsafe consequences and dangers of decisions ever more controllable.</w:t>
      </w:r>
      <w:r w:rsidR="00084102">
        <w:rPr>
          <w:rStyle w:val="FootnoteReference"/>
          <w:rFonts w:ascii="Cambria" w:hAnsi="Cambria"/>
          <w:sz w:val="24"/>
          <w:szCs w:val="24"/>
        </w:rPr>
        <w:footnoteReference w:id="14"/>
      </w:r>
      <w:r w:rsidR="00A95E13" w:rsidRPr="009C3204">
        <w:rPr>
          <w:rFonts w:ascii="Cambria" w:hAnsi="Cambria"/>
          <w:sz w:val="24"/>
          <w:szCs w:val="24"/>
        </w:rPr>
        <w:t xml:space="preserve"> If </w:t>
      </w:r>
      <w:r w:rsidR="00E56BBA" w:rsidRPr="009C3204">
        <w:rPr>
          <w:rFonts w:ascii="Cambria" w:hAnsi="Cambria"/>
          <w:sz w:val="24"/>
          <w:szCs w:val="24"/>
        </w:rPr>
        <w:t>such consequences</w:t>
      </w:r>
      <w:r w:rsidR="00A95E13" w:rsidRPr="009C3204">
        <w:rPr>
          <w:rFonts w:ascii="Cambria" w:hAnsi="Cambria"/>
          <w:sz w:val="24"/>
          <w:szCs w:val="24"/>
        </w:rPr>
        <w:t xml:space="preserve"> could not be avoided, they could be compensated</w:t>
      </w:r>
      <w:r w:rsidR="00E56BBA" w:rsidRPr="009C3204">
        <w:rPr>
          <w:rFonts w:ascii="Cambria" w:hAnsi="Cambria"/>
          <w:sz w:val="24"/>
          <w:szCs w:val="24"/>
        </w:rPr>
        <w:t>: risks could be spread</w:t>
      </w:r>
      <w:r w:rsidR="00A95E13" w:rsidRPr="009C3204">
        <w:rPr>
          <w:rFonts w:ascii="Cambria" w:hAnsi="Cambria"/>
          <w:sz w:val="24"/>
          <w:szCs w:val="24"/>
        </w:rPr>
        <w:t>.</w:t>
      </w:r>
      <w:r w:rsidR="00A95E13" w:rsidRPr="009C3204">
        <w:rPr>
          <w:rStyle w:val="FootnoteReference"/>
          <w:rFonts w:ascii="Cambria" w:hAnsi="Cambria"/>
          <w:sz w:val="24"/>
          <w:szCs w:val="24"/>
        </w:rPr>
        <w:footnoteReference w:id="15"/>
      </w:r>
      <w:r w:rsidRPr="009C3204">
        <w:rPr>
          <w:rFonts w:ascii="Cambria" w:hAnsi="Cambria"/>
          <w:sz w:val="24"/>
          <w:szCs w:val="24"/>
        </w:rPr>
        <w:t xml:space="preserve"> </w:t>
      </w:r>
      <w:r w:rsidR="00E367ED" w:rsidRPr="009C3204">
        <w:rPr>
          <w:rFonts w:ascii="Cambria" w:hAnsi="Cambria"/>
          <w:sz w:val="24"/>
          <w:szCs w:val="24"/>
        </w:rPr>
        <w:t>‘L</w:t>
      </w:r>
      <w:r w:rsidR="003A2608" w:rsidRPr="009C3204">
        <w:rPr>
          <w:rFonts w:ascii="Cambria" w:hAnsi="Cambria"/>
          <w:sz w:val="24"/>
          <w:szCs w:val="24"/>
        </w:rPr>
        <w:t xml:space="preserve">ate modernity’ </w:t>
      </w:r>
      <w:r w:rsidR="00E367ED" w:rsidRPr="009C3204">
        <w:rPr>
          <w:rFonts w:ascii="Cambria" w:hAnsi="Cambria"/>
          <w:sz w:val="24"/>
          <w:szCs w:val="24"/>
        </w:rPr>
        <w:t xml:space="preserve">on the other hand </w:t>
      </w:r>
      <w:r w:rsidR="00083658" w:rsidRPr="009C3204">
        <w:rPr>
          <w:rFonts w:ascii="Cambria" w:hAnsi="Cambria"/>
          <w:sz w:val="24"/>
          <w:szCs w:val="24"/>
        </w:rPr>
        <w:t xml:space="preserve">is associated with </w:t>
      </w:r>
      <w:r w:rsidR="00217FD8" w:rsidRPr="009C3204">
        <w:rPr>
          <w:rFonts w:ascii="Cambria" w:hAnsi="Cambria"/>
          <w:sz w:val="24"/>
          <w:szCs w:val="24"/>
        </w:rPr>
        <w:t xml:space="preserve">some </w:t>
      </w:r>
      <w:r w:rsidR="00083658" w:rsidRPr="009C3204">
        <w:rPr>
          <w:rFonts w:ascii="Cambria" w:hAnsi="Cambria"/>
          <w:sz w:val="24"/>
          <w:szCs w:val="24"/>
        </w:rPr>
        <w:t>features of the further risk revolutions discussed</w:t>
      </w:r>
      <w:r w:rsidR="00D32F8A">
        <w:rPr>
          <w:rFonts w:ascii="Cambria" w:hAnsi="Cambria"/>
          <w:sz w:val="24"/>
          <w:szCs w:val="24"/>
        </w:rPr>
        <w:t xml:space="preserve"> </w:t>
      </w:r>
      <w:r w:rsidR="00084102">
        <w:rPr>
          <w:rFonts w:ascii="Cambria" w:hAnsi="Cambria"/>
          <w:sz w:val="24"/>
          <w:szCs w:val="24"/>
        </w:rPr>
        <w:t>in Part III</w:t>
      </w:r>
      <w:r w:rsidR="00083658" w:rsidRPr="009C3204">
        <w:rPr>
          <w:rFonts w:ascii="Cambria" w:hAnsi="Cambria"/>
          <w:sz w:val="24"/>
          <w:szCs w:val="24"/>
        </w:rPr>
        <w:t>.</w:t>
      </w:r>
      <w:r w:rsidR="005C0BE6" w:rsidRPr="009C3204">
        <w:rPr>
          <w:rStyle w:val="FootnoteReference"/>
          <w:rFonts w:ascii="Cambria" w:hAnsi="Cambria"/>
          <w:sz w:val="24"/>
          <w:szCs w:val="24"/>
        </w:rPr>
        <w:footnoteReference w:id="16"/>
      </w:r>
      <w:r w:rsidR="00083658" w:rsidRPr="009C3204">
        <w:rPr>
          <w:rFonts w:ascii="Cambria" w:hAnsi="Cambria"/>
          <w:sz w:val="24"/>
          <w:szCs w:val="24"/>
        </w:rPr>
        <w:t xml:space="preserve"> </w:t>
      </w:r>
      <w:r w:rsidR="008C3C84" w:rsidRPr="009C3204">
        <w:rPr>
          <w:rFonts w:ascii="Cambria" w:hAnsi="Cambria"/>
          <w:sz w:val="24"/>
          <w:szCs w:val="24"/>
        </w:rPr>
        <w:t xml:space="preserve">Similarly, but focusing much more narrowly on employer liability, the end of the nineteenth century </w:t>
      </w:r>
      <w:r w:rsidR="00084102">
        <w:rPr>
          <w:rFonts w:ascii="Cambria" w:hAnsi="Cambria"/>
          <w:sz w:val="24"/>
          <w:szCs w:val="24"/>
        </w:rPr>
        <w:t>has been</w:t>
      </w:r>
      <w:r w:rsidR="008C3C84" w:rsidRPr="009C3204">
        <w:rPr>
          <w:rFonts w:ascii="Cambria" w:hAnsi="Cambria"/>
          <w:sz w:val="24"/>
          <w:szCs w:val="24"/>
        </w:rPr>
        <w:t xml:space="preserve"> said to have seen a </w:t>
      </w:r>
      <w:r w:rsidR="008462A7" w:rsidRPr="009C3204">
        <w:rPr>
          <w:rFonts w:ascii="Cambria" w:hAnsi="Cambria"/>
          <w:sz w:val="24"/>
          <w:szCs w:val="24"/>
        </w:rPr>
        <w:t>shift</w:t>
      </w:r>
      <w:r w:rsidR="008C3C84" w:rsidRPr="009C3204">
        <w:rPr>
          <w:rFonts w:ascii="Cambria" w:hAnsi="Cambria"/>
          <w:sz w:val="24"/>
          <w:szCs w:val="24"/>
        </w:rPr>
        <w:t xml:space="preserve">, from ‘free </w:t>
      </w:r>
      <w:proofErr w:type="spellStart"/>
      <w:r w:rsidR="008C3C84" w:rsidRPr="009C3204">
        <w:rPr>
          <w:rFonts w:ascii="Cambria" w:hAnsi="Cambria"/>
          <w:sz w:val="24"/>
          <w:szCs w:val="24"/>
        </w:rPr>
        <w:t>labor</w:t>
      </w:r>
      <w:proofErr w:type="spellEnd"/>
      <w:r w:rsidR="008462A7" w:rsidRPr="009C3204">
        <w:rPr>
          <w:rFonts w:ascii="Cambria" w:hAnsi="Cambria"/>
          <w:sz w:val="24"/>
          <w:szCs w:val="24"/>
        </w:rPr>
        <w:t>’</w:t>
      </w:r>
      <w:r w:rsidR="008C3C84" w:rsidRPr="009C3204">
        <w:rPr>
          <w:rFonts w:ascii="Cambria" w:hAnsi="Cambria"/>
          <w:sz w:val="24"/>
          <w:szCs w:val="24"/>
        </w:rPr>
        <w:t xml:space="preserve">, to </w:t>
      </w:r>
      <w:r w:rsidR="008462A7" w:rsidRPr="009C3204">
        <w:rPr>
          <w:rFonts w:ascii="Cambria" w:hAnsi="Cambria"/>
          <w:sz w:val="24"/>
          <w:szCs w:val="24"/>
        </w:rPr>
        <w:t xml:space="preserve">a ‘new paradigm of </w:t>
      </w:r>
      <w:r w:rsidR="008C3C84" w:rsidRPr="009C3204">
        <w:rPr>
          <w:rFonts w:ascii="Cambria" w:hAnsi="Cambria"/>
          <w:sz w:val="24"/>
          <w:szCs w:val="24"/>
        </w:rPr>
        <w:t>risk and insurance’.</w:t>
      </w:r>
      <w:r w:rsidR="008C3C84" w:rsidRPr="009C3204">
        <w:rPr>
          <w:rFonts w:ascii="Cambria" w:hAnsi="Cambria"/>
          <w:sz w:val="24"/>
          <w:szCs w:val="24"/>
          <w:vertAlign w:val="superscript"/>
        </w:rPr>
        <w:footnoteReference w:id="17"/>
      </w:r>
      <w:r w:rsidR="006361C1">
        <w:rPr>
          <w:rFonts w:ascii="Cambria" w:hAnsi="Cambria"/>
          <w:sz w:val="24"/>
          <w:szCs w:val="24"/>
        </w:rPr>
        <w:t xml:space="preserve"> </w:t>
      </w:r>
      <w:r w:rsidR="009E7EF5" w:rsidRPr="009C3204">
        <w:rPr>
          <w:rFonts w:ascii="Cambria" w:hAnsi="Cambria"/>
          <w:sz w:val="24"/>
          <w:szCs w:val="24"/>
        </w:rPr>
        <w:t>Between them, t</w:t>
      </w:r>
      <w:r w:rsidRPr="009C3204">
        <w:rPr>
          <w:rFonts w:ascii="Cambria" w:hAnsi="Cambria"/>
          <w:sz w:val="24"/>
          <w:szCs w:val="24"/>
        </w:rPr>
        <w:t xml:space="preserve">hese are </w:t>
      </w:r>
      <w:r w:rsidR="00083658" w:rsidRPr="009C3204">
        <w:rPr>
          <w:rFonts w:ascii="Cambria" w:hAnsi="Cambria"/>
          <w:sz w:val="24"/>
          <w:szCs w:val="24"/>
        </w:rPr>
        <w:lastRenderedPageBreak/>
        <w:t xml:space="preserve">broad </w:t>
      </w:r>
      <w:r w:rsidRPr="009C3204">
        <w:rPr>
          <w:rFonts w:ascii="Cambria" w:hAnsi="Cambria"/>
          <w:sz w:val="24"/>
          <w:szCs w:val="24"/>
        </w:rPr>
        <w:t>observations</w:t>
      </w:r>
      <w:r w:rsidR="009E7EF5" w:rsidRPr="009C3204">
        <w:rPr>
          <w:rFonts w:ascii="Cambria" w:hAnsi="Cambria"/>
          <w:sz w:val="24"/>
          <w:szCs w:val="24"/>
        </w:rPr>
        <w:t>. It</w:t>
      </w:r>
      <w:r w:rsidRPr="009C3204">
        <w:rPr>
          <w:rFonts w:ascii="Cambria" w:hAnsi="Cambria"/>
          <w:sz w:val="24"/>
          <w:szCs w:val="24"/>
        </w:rPr>
        <w:t xml:space="preserve"> might be noted that they also </w:t>
      </w:r>
      <w:r w:rsidRPr="00587A45">
        <w:rPr>
          <w:rFonts w:ascii="Cambria" w:hAnsi="Cambria"/>
          <w:sz w:val="24"/>
          <w:szCs w:val="24"/>
        </w:rPr>
        <w:t>directly</w:t>
      </w:r>
      <w:r w:rsidRPr="009C3204">
        <w:rPr>
          <w:rFonts w:ascii="Cambria" w:hAnsi="Cambria"/>
          <w:sz w:val="24"/>
          <w:szCs w:val="24"/>
        </w:rPr>
        <w:t xml:space="preserve"> implicate the law of liability.</w:t>
      </w:r>
      <w:r w:rsidR="00E56BBA" w:rsidRPr="009C3204">
        <w:rPr>
          <w:rFonts w:ascii="Cambria" w:hAnsi="Cambria"/>
          <w:sz w:val="24"/>
          <w:szCs w:val="24"/>
        </w:rPr>
        <w:t xml:space="preserve"> </w:t>
      </w:r>
      <w:r w:rsidR="00B32D87" w:rsidRPr="009C3204">
        <w:rPr>
          <w:rFonts w:ascii="Cambria" w:hAnsi="Cambria"/>
          <w:sz w:val="24"/>
          <w:szCs w:val="24"/>
        </w:rPr>
        <w:t xml:space="preserve">Ewald’s </w:t>
      </w:r>
      <w:r w:rsidR="00E56BBA" w:rsidRPr="009C3204">
        <w:rPr>
          <w:rFonts w:ascii="Cambria" w:hAnsi="Cambria"/>
          <w:sz w:val="24"/>
          <w:szCs w:val="24"/>
        </w:rPr>
        <w:t xml:space="preserve">nineteenth century paradigm of responsibility is not only exemplified but partly </w:t>
      </w:r>
      <w:r w:rsidR="00E56BBA" w:rsidRPr="00587A45">
        <w:rPr>
          <w:rFonts w:ascii="Cambria" w:hAnsi="Cambria"/>
          <w:sz w:val="24"/>
          <w:szCs w:val="24"/>
        </w:rPr>
        <w:t>constituted by</w:t>
      </w:r>
      <w:r w:rsidR="00E56BBA" w:rsidRPr="009C3204">
        <w:rPr>
          <w:rFonts w:ascii="Cambria" w:hAnsi="Cambria"/>
          <w:i/>
          <w:sz w:val="24"/>
          <w:szCs w:val="24"/>
        </w:rPr>
        <w:t xml:space="preserve"> </w:t>
      </w:r>
      <w:r w:rsidR="00E56BBA" w:rsidRPr="009C3204">
        <w:rPr>
          <w:rFonts w:ascii="Cambria" w:hAnsi="Cambria"/>
          <w:sz w:val="24"/>
          <w:szCs w:val="24"/>
        </w:rPr>
        <w:t>approaches to contractual risk allocation</w:t>
      </w:r>
      <w:r w:rsidR="009E7EF5" w:rsidRPr="009C3204">
        <w:rPr>
          <w:rFonts w:ascii="Cambria" w:hAnsi="Cambria"/>
          <w:sz w:val="24"/>
          <w:szCs w:val="24"/>
        </w:rPr>
        <w:t>, and this is what is super</w:t>
      </w:r>
      <w:r w:rsidR="006B5DE7" w:rsidRPr="009C3204">
        <w:rPr>
          <w:rFonts w:ascii="Cambria" w:hAnsi="Cambria"/>
          <w:sz w:val="24"/>
          <w:szCs w:val="24"/>
        </w:rPr>
        <w:t>s</w:t>
      </w:r>
      <w:r w:rsidR="009E7EF5" w:rsidRPr="009C3204">
        <w:rPr>
          <w:rFonts w:ascii="Cambria" w:hAnsi="Cambria"/>
          <w:sz w:val="24"/>
          <w:szCs w:val="24"/>
        </w:rPr>
        <w:t>eded in the new paradigm of solidarity</w:t>
      </w:r>
      <w:r w:rsidR="00E56BBA" w:rsidRPr="009C3204">
        <w:rPr>
          <w:rFonts w:ascii="Cambria" w:hAnsi="Cambria"/>
          <w:sz w:val="24"/>
          <w:szCs w:val="24"/>
        </w:rPr>
        <w:t xml:space="preserve">; </w:t>
      </w:r>
      <w:r w:rsidR="00FB2379" w:rsidRPr="009C3204">
        <w:rPr>
          <w:rFonts w:ascii="Cambria" w:hAnsi="Cambria"/>
          <w:sz w:val="24"/>
          <w:szCs w:val="24"/>
        </w:rPr>
        <w:t xml:space="preserve">Witt’s </w:t>
      </w:r>
      <w:r w:rsidR="00E56BBA" w:rsidRPr="009C3204">
        <w:rPr>
          <w:rFonts w:ascii="Cambria" w:hAnsi="Cambria"/>
          <w:sz w:val="24"/>
          <w:szCs w:val="24"/>
        </w:rPr>
        <w:t>shift from free labo</w:t>
      </w:r>
      <w:r w:rsidR="008C205F" w:rsidRPr="009C3204">
        <w:rPr>
          <w:rFonts w:ascii="Cambria" w:hAnsi="Cambria"/>
          <w:sz w:val="24"/>
          <w:szCs w:val="24"/>
        </w:rPr>
        <w:t>u</w:t>
      </w:r>
      <w:r w:rsidR="00E56BBA" w:rsidRPr="009C3204">
        <w:rPr>
          <w:rFonts w:ascii="Cambria" w:hAnsi="Cambria"/>
          <w:sz w:val="24"/>
          <w:szCs w:val="24"/>
        </w:rPr>
        <w:t xml:space="preserve">r to risk and insurance describes the birth of workers’ liability; and the ‘scientific utopia’ </w:t>
      </w:r>
      <w:r w:rsidR="00217FD8" w:rsidRPr="009C3204">
        <w:rPr>
          <w:rFonts w:ascii="Cambria" w:hAnsi="Cambria"/>
          <w:sz w:val="24"/>
          <w:szCs w:val="24"/>
        </w:rPr>
        <w:t xml:space="preserve">identified </w:t>
      </w:r>
      <w:r w:rsidR="00E56BBA" w:rsidRPr="009C3204">
        <w:rPr>
          <w:rFonts w:ascii="Cambria" w:hAnsi="Cambria"/>
          <w:sz w:val="24"/>
          <w:szCs w:val="24"/>
        </w:rPr>
        <w:t>by Ulrich Beck is one in whi</w:t>
      </w:r>
      <w:r w:rsidR="009E7EF5" w:rsidRPr="009C3204">
        <w:rPr>
          <w:rFonts w:ascii="Cambria" w:hAnsi="Cambria"/>
          <w:sz w:val="24"/>
          <w:szCs w:val="24"/>
        </w:rPr>
        <w:t xml:space="preserve">ch foreseen and planned </w:t>
      </w:r>
      <w:r w:rsidR="009E7EF5" w:rsidRPr="00587A45">
        <w:rPr>
          <w:rFonts w:ascii="Cambria" w:hAnsi="Cambria"/>
          <w:sz w:val="24"/>
          <w:szCs w:val="24"/>
        </w:rPr>
        <w:t>liabilities</w:t>
      </w:r>
      <w:r w:rsidR="009E7EF5" w:rsidRPr="009C3204">
        <w:rPr>
          <w:rFonts w:ascii="Cambria" w:hAnsi="Cambria"/>
          <w:sz w:val="24"/>
          <w:szCs w:val="24"/>
        </w:rPr>
        <w:t xml:space="preserve"> </w:t>
      </w:r>
      <w:r w:rsidR="00E20141" w:rsidRPr="009C3204">
        <w:rPr>
          <w:rFonts w:ascii="Cambria" w:hAnsi="Cambria"/>
          <w:sz w:val="24"/>
          <w:szCs w:val="24"/>
        </w:rPr>
        <w:t xml:space="preserve">can </w:t>
      </w:r>
      <w:r w:rsidR="00E56BBA" w:rsidRPr="009C3204">
        <w:rPr>
          <w:rFonts w:ascii="Cambria" w:hAnsi="Cambria"/>
          <w:sz w:val="24"/>
          <w:szCs w:val="24"/>
        </w:rPr>
        <w:t>transform risk exposure into risk calculation</w:t>
      </w:r>
      <w:r w:rsidR="005C0BE6" w:rsidRPr="009C3204">
        <w:rPr>
          <w:rFonts w:ascii="Cambria" w:hAnsi="Cambria"/>
          <w:sz w:val="24"/>
          <w:szCs w:val="24"/>
        </w:rPr>
        <w:t xml:space="preserve"> </w:t>
      </w:r>
      <w:r w:rsidR="00E20141" w:rsidRPr="009C3204">
        <w:rPr>
          <w:rFonts w:ascii="Cambria" w:hAnsi="Cambria"/>
          <w:sz w:val="24"/>
          <w:szCs w:val="24"/>
        </w:rPr>
        <w:t>because</w:t>
      </w:r>
      <w:r w:rsidR="005C0BE6" w:rsidRPr="009C3204">
        <w:rPr>
          <w:rFonts w:ascii="Cambria" w:hAnsi="Cambria"/>
          <w:sz w:val="24"/>
          <w:szCs w:val="24"/>
        </w:rPr>
        <w:t xml:space="preserve"> prevention </w:t>
      </w:r>
      <w:r w:rsidR="00E20141" w:rsidRPr="009C3204">
        <w:rPr>
          <w:rFonts w:ascii="Cambria" w:hAnsi="Cambria"/>
          <w:sz w:val="24"/>
          <w:szCs w:val="24"/>
        </w:rPr>
        <w:t xml:space="preserve">can be supplemented </w:t>
      </w:r>
      <w:r w:rsidR="005C0BE6" w:rsidRPr="009C3204">
        <w:rPr>
          <w:rFonts w:ascii="Cambria" w:hAnsi="Cambria"/>
          <w:sz w:val="24"/>
          <w:szCs w:val="24"/>
        </w:rPr>
        <w:t>with compensation</w:t>
      </w:r>
      <w:r w:rsidR="00E56BBA" w:rsidRPr="009C3204">
        <w:rPr>
          <w:rFonts w:ascii="Cambria" w:hAnsi="Cambria"/>
          <w:sz w:val="24"/>
          <w:szCs w:val="24"/>
        </w:rPr>
        <w:t>.</w:t>
      </w:r>
      <w:r w:rsidR="00D310B4" w:rsidRPr="009C3204">
        <w:rPr>
          <w:rFonts w:ascii="Cambria" w:hAnsi="Cambria"/>
          <w:sz w:val="24"/>
          <w:szCs w:val="24"/>
        </w:rPr>
        <w:t xml:space="preserve"> </w:t>
      </w:r>
    </w:p>
    <w:p w14:paraId="5B2228F3" w14:textId="19A2E7EF" w:rsidR="002604C0" w:rsidRPr="00F91309" w:rsidRDefault="00083658" w:rsidP="008E4509">
      <w:pPr>
        <w:spacing w:line="240" w:lineRule="auto"/>
        <w:jc w:val="both"/>
        <w:rPr>
          <w:rFonts w:ascii="Cambria" w:hAnsi="Cambria"/>
          <w:sz w:val="24"/>
          <w:szCs w:val="24"/>
        </w:rPr>
      </w:pPr>
      <w:r w:rsidRPr="009C3204">
        <w:rPr>
          <w:rFonts w:ascii="Cambria" w:hAnsi="Cambria"/>
          <w:sz w:val="24"/>
          <w:szCs w:val="24"/>
        </w:rPr>
        <w:t xml:space="preserve">In sum, it is </w:t>
      </w:r>
      <w:r w:rsidR="00D41CC0" w:rsidRPr="009C3204">
        <w:rPr>
          <w:rFonts w:ascii="Cambria" w:hAnsi="Cambria"/>
          <w:sz w:val="24"/>
          <w:szCs w:val="24"/>
        </w:rPr>
        <w:t xml:space="preserve">widely accepted that there has been at least one </w:t>
      </w:r>
      <w:r w:rsidR="00A95E13" w:rsidRPr="009C3204">
        <w:rPr>
          <w:rFonts w:ascii="Cambria" w:hAnsi="Cambria"/>
          <w:sz w:val="24"/>
          <w:szCs w:val="24"/>
        </w:rPr>
        <w:t xml:space="preserve">revolution or </w:t>
      </w:r>
      <w:r w:rsidR="00D41CC0" w:rsidRPr="009C3204">
        <w:rPr>
          <w:rFonts w:ascii="Cambria" w:hAnsi="Cambria"/>
          <w:sz w:val="24"/>
          <w:szCs w:val="24"/>
        </w:rPr>
        <w:t>paradigm shift in societal responses to, or uses of, risk</w:t>
      </w:r>
      <w:r w:rsidR="0006040B">
        <w:rPr>
          <w:rFonts w:ascii="Cambria" w:hAnsi="Cambria"/>
          <w:sz w:val="24"/>
          <w:szCs w:val="24"/>
        </w:rPr>
        <w:t>, emerging at the turn of the twentieth century and strengthening over the following decades</w:t>
      </w:r>
      <w:r w:rsidR="00D41CC0" w:rsidRPr="009C3204">
        <w:rPr>
          <w:rFonts w:ascii="Cambria" w:hAnsi="Cambria"/>
          <w:sz w:val="24"/>
          <w:szCs w:val="24"/>
        </w:rPr>
        <w:t xml:space="preserve">. </w:t>
      </w:r>
      <w:r w:rsidR="00F6648E" w:rsidRPr="009C3204">
        <w:rPr>
          <w:rFonts w:ascii="Cambria" w:hAnsi="Cambria"/>
          <w:sz w:val="24"/>
          <w:szCs w:val="24"/>
        </w:rPr>
        <w:t>And t</w:t>
      </w:r>
      <w:r w:rsidRPr="009C3204">
        <w:rPr>
          <w:rFonts w:ascii="Cambria" w:hAnsi="Cambria"/>
          <w:sz w:val="24"/>
          <w:szCs w:val="24"/>
        </w:rPr>
        <w:t>he initial paradigm shift of so-called ‘first modernity’</w:t>
      </w:r>
      <w:r w:rsidR="00B767EA" w:rsidRPr="009C3204">
        <w:rPr>
          <w:rFonts w:ascii="Cambria" w:hAnsi="Cambria"/>
          <w:sz w:val="24"/>
          <w:szCs w:val="24"/>
        </w:rPr>
        <w:t>, it is argued, plainly engages private law</w:t>
      </w:r>
      <w:r w:rsidR="00F6648E" w:rsidRPr="009C3204">
        <w:rPr>
          <w:rFonts w:ascii="Cambria" w:hAnsi="Cambria"/>
          <w:sz w:val="24"/>
          <w:szCs w:val="24"/>
        </w:rPr>
        <w:t>. Indeed, it</w:t>
      </w:r>
      <w:r w:rsidR="000512E2" w:rsidRPr="009C3204">
        <w:rPr>
          <w:rFonts w:ascii="Cambria" w:hAnsi="Cambria"/>
          <w:sz w:val="24"/>
          <w:szCs w:val="24"/>
        </w:rPr>
        <w:t xml:space="preserve"> </w:t>
      </w:r>
      <w:r w:rsidR="00C0386C" w:rsidRPr="009C3204">
        <w:rPr>
          <w:rFonts w:ascii="Cambria" w:hAnsi="Cambria"/>
          <w:sz w:val="24"/>
          <w:szCs w:val="24"/>
        </w:rPr>
        <w:t xml:space="preserve">is </w:t>
      </w:r>
      <w:r w:rsidR="000512E2" w:rsidRPr="009C3204">
        <w:rPr>
          <w:rFonts w:ascii="Cambria" w:hAnsi="Cambria"/>
          <w:sz w:val="24"/>
          <w:szCs w:val="24"/>
        </w:rPr>
        <w:t>p</w:t>
      </w:r>
      <w:r w:rsidR="00F6648E" w:rsidRPr="009C3204">
        <w:rPr>
          <w:rFonts w:ascii="Cambria" w:hAnsi="Cambria"/>
          <w:sz w:val="24"/>
          <w:szCs w:val="24"/>
        </w:rPr>
        <w:t xml:space="preserve">artly </w:t>
      </w:r>
      <w:r w:rsidR="00F6648E" w:rsidRPr="00F91309">
        <w:rPr>
          <w:rFonts w:ascii="Cambria" w:hAnsi="Cambria"/>
          <w:sz w:val="24"/>
          <w:szCs w:val="24"/>
        </w:rPr>
        <w:t xml:space="preserve">defined by changes in </w:t>
      </w:r>
      <w:r w:rsidR="00C0386C" w:rsidRPr="00F91309">
        <w:rPr>
          <w:rFonts w:ascii="Cambria" w:hAnsi="Cambria"/>
          <w:sz w:val="24"/>
          <w:szCs w:val="24"/>
        </w:rPr>
        <w:t>private law</w:t>
      </w:r>
      <w:r w:rsidR="00F6648E" w:rsidRPr="00F91309">
        <w:rPr>
          <w:rFonts w:ascii="Cambria" w:hAnsi="Cambria"/>
          <w:sz w:val="24"/>
          <w:szCs w:val="24"/>
        </w:rPr>
        <w:t>,</w:t>
      </w:r>
      <w:r w:rsidR="000512E2" w:rsidRPr="00F91309">
        <w:rPr>
          <w:rFonts w:ascii="Cambria" w:hAnsi="Cambria"/>
          <w:sz w:val="24"/>
          <w:szCs w:val="24"/>
        </w:rPr>
        <w:t xml:space="preserve"> and by public uses of liability</w:t>
      </w:r>
      <w:r w:rsidR="00B767EA" w:rsidRPr="00F91309">
        <w:rPr>
          <w:rFonts w:ascii="Cambria" w:hAnsi="Cambria"/>
          <w:sz w:val="24"/>
          <w:szCs w:val="24"/>
        </w:rPr>
        <w:t xml:space="preserve">. </w:t>
      </w:r>
    </w:p>
    <w:p w14:paraId="52D027BB" w14:textId="13991A92" w:rsidR="00083658" w:rsidRPr="009C3204" w:rsidRDefault="00380A15" w:rsidP="008E4509">
      <w:pPr>
        <w:spacing w:line="240" w:lineRule="auto"/>
        <w:jc w:val="both"/>
        <w:rPr>
          <w:rFonts w:ascii="Cambria" w:hAnsi="Cambria"/>
          <w:sz w:val="24"/>
          <w:szCs w:val="24"/>
        </w:rPr>
      </w:pPr>
      <w:r w:rsidRPr="00F91309">
        <w:rPr>
          <w:rFonts w:ascii="Cambria" w:hAnsi="Cambria"/>
          <w:sz w:val="24"/>
          <w:szCs w:val="24"/>
        </w:rPr>
        <w:t>But</w:t>
      </w:r>
      <w:r w:rsidR="0006040B" w:rsidRPr="00F91309">
        <w:rPr>
          <w:rFonts w:ascii="Cambria" w:hAnsi="Cambria"/>
          <w:sz w:val="24"/>
          <w:szCs w:val="24"/>
        </w:rPr>
        <w:t xml:space="preserve"> this chapter</w:t>
      </w:r>
      <w:r w:rsidR="00D310B4" w:rsidRPr="00F91309">
        <w:rPr>
          <w:rFonts w:ascii="Cambria" w:hAnsi="Cambria"/>
          <w:sz w:val="24"/>
          <w:szCs w:val="24"/>
        </w:rPr>
        <w:t xml:space="preserve">’s </w:t>
      </w:r>
      <w:r w:rsidRPr="00F91309">
        <w:rPr>
          <w:rFonts w:ascii="Cambria" w:hAnsi="Cambria"/>
          <w:sz w:val="24"/>
          <w:szCs w:val="24"/>
        </w:rPr>
        <w:t>title adopts th</w:t>
      </w:r>
      <w:r w:rsidR="000512E2" w:rsidRPr="00F91309">
        <w:rPr>
          <w:rFonts w:ascii="Cambria" w:hAnsi="Cambria"/>
          <w:sz w:val="24"/>
          <w:szCs w:val="24"/>
        </w:rPr>
        <w:t>e plural form of ‘</w:t>
      </w:r>
      <w:proofErr w:type="gramStart"/>
      <w:r w:rsidR="000512E2" w:rsidRPr="00F91309">
        <w:rPr>
          <w:rFonts w:ascii="Cambria" w:hAnsi="Cambria"/>
          <w:sz w:val="24"/>
          <w:szCs w:val="24"/>
        </w:rPr>
        <w:t>revolutions’,</w:t>
      </w:r>
      <w:proofErr w:type="gramEnd"/>
      <w:r w:rsidR="000512E2" w:rsidRPr="00F91309">
        <w:rPr>
          <w:rFonts w:ascii="Cambria" w:hAnsi="Cambria"/>
          <w:sz w:val="24"/>
          <w:szCs w:val="24"/>
        </w:rPr>
        <w:t xml:space="preserve"> and i</w:t>
      </w:r>
      <w:r w:rsidR="003A2608" w:rsidRPr="00F91309">
        <w:rPr>
          <w:rFonts w:ascii="Cambria" w:hAnsi="Cambria"/>
          <w:sz w:val="24"/>
          <w:szCs w:val="24"/>
        </w:rPr>
        <w:t xml:space="preserve">t is widely accepted that the first paradigm shift is not the end of transformation in the social significance of risk. </w:t>
      </w:r>
      <w:r w:rsidR="00083658" w:rsidRPr="00F91309">
        <w:rPr>
          <w:rFonts w:ascii="Cambria" w:hAnsi="Cambria"/>
          <w:sz w:val="24"/>
          <w:szCs w:val="24"/>
        </w:rPr>
        <w:t>S</w:t>
      </w:r>
      <w:r w:rsidRPr="00F91309">
        <w:rPr>
          <w:rFonts w:ascii="Cambria" w:hAnsi="Cambria"/>
          <w:sz w:val="24"/>
          <w:szCs w:val="24"/>
        </w:rPr>
        <w:t>chol</w:t>
      </w:r>
      <w:r w:rsidR="00025899" w:rsidRPr="00F91309">
        <w:rPr>
          <w:rFonts w:ascii="Cambria" w:hAnsi="Cambria"/>
          <w:sz w:val="24"/>
          <w:szCs w:val="24"/>
        </w:rPr>
        <w:t>ars</w:t>
      </w:r>
      <w:r w:rsidR="00025899" w:rsidRPr="009C3204">
        <w:rPr>
          <w:rFonts w:ascii="Cambria" w:hAnsi="Cambria"/>
          <w:sz w:val="24"/>
          <w:szCs w:val="24"/>
        </w:rPr>
        <w:t xml:space="preserve"> have identified</w:t>
      </w:r>
      <w:r w:rsidRPr="009C3204">
        <w:rPr>
          <w:rFonts w:ascii="Cambria" w:hAnsi="Cambria"/>
          <w:sz w:val="24"/>
          <w:szCs w:val="24"/>
        </w:rPr>
        <w:t xml:space="preserve"> </w:t>
      </w:r>
      <w:r w:rsidR="00025899" w:rsidRPr="009C3204">
        <w:rPr>
          <w:rFonts w:ascii="Cambria" w:hAnsi="Cambria"/>
          <w:sz w:val="24"/>
          <w:szCs w:val="24"/>
        </w:rPr>
        <w:t xml:space="preserve">further </w:t>
      </w:r>
      <w:r w:rsidR="001743D1" w:rsidRPr="009C3204">
        <w:rPr>
          <w:rFonts w:ascii="Cambria" w:hAnsi="Cambria"/>
          <w:sz w:val="24"/>
          <w:szCs w:val="24"/>
        </w:rPr>
        <w:t>paradigmatic challenges</w:t>
      </w:r>
      <w:r w:rsidR="00083658" w:rsidRPr="009C3204">
        <w:rPr>
          <w:rFonts w:ascii="Cambria" w:hAnsi="Cambria"/>
          <w:sz w:val="24"/>
          <w:szCs w:val="24"/>
        </w:rPr>
        <w:t xml:space="preserve"> engaging </w:t>
      </w:r>
      <w:r w:rsidR="00025899" w:rsidRPr="009C3204">
        <w:rPr>
          <w:rFonts w:ascii="Cambria" w:hAnsi="Cambria"/>
          <w:sz w:val="24"/>
          <w:szCs w:val="24"/>
        </w:rPr>
        <w:t>the social role of risk</w:t>
      </w:r>
      <w:r w:rsidR="002F4DA7" w:rsidRPr="009C3204">
        <w:rPr>
          <w:rFonts w:ascii="Cambria" w:hAnsi="Cambria"/>
          <w:sz w:val="24"/>
          <w:szCs w:val="24"/>
        </w:rPr>
        <w:t xml:space="preserve">. </w:t>
      </w:r>
      <w:r w:rsidR="00E56BBA" w:rsidRPr="009C3204">
        <w:rPr>
          <w:rFonts w:ascii="Cambria" w:hAnsi="Cambria"/>
          <w:sz w:val="24"/>
          <w:szCs w:val="24"/>
        </w:rPr>
        <w:t xml:space="preserve">It is tempting to see </w:t>
      </w:r>
      <w:r w:rsidR="00083658" w:rsidRPr="009C3204">
        <w:rPr>
          <w:rFonts w:ascii="Cambria" w:hAnsi="Cambria"/>
          <w:sz w:val="24"/>
          <w:szCs w:val="24"/>
        </w:rPr>
        <w:t>some of the new paradigmatic challenges</w:t>
      </w:r>
      <w:r w:rsidR="002F7F0B" w:rsidRPr="009C3204">
        <w:rPr>
          <w:rFonts w:ascii="Cambria" w:hAnsi="Cambria"/>
          <w:sz w:val="24"/>
          <w:szCs w:val="24"/>
        </w:rPr>
        <w:t xml:space="preserve"> </w:t>
      </w:r>
      <w:r w:rsidR="00E56BBA" w:rsidRPr="009C3204">
        <w:rPr>
          <w:rFonts w:ascii="Cambria" w:hAnsi="Cambria"/>
          <w:sz w:val="24"/>
          <w:szCs w:val="24"/>
        </w:rPr>
        <w:t>as returns t</w:t>
      </w:r>
      <w:r w:rsidR="00083658" w:rsidRPr="009C3204">
        <w:rPr>
          <w:rFonts w:ascii="Cambria" w:hAnsi="Cambria"/>
          <w:sz w:val="24"/>
          <w:szCs w:val="24"/>
        </w:rPr>
        <w:t xml:space="preserve">o the nineteenth century and </w:t>
      </w:r>
      <w:r w:rsidR="000512E2" w:rsidRPr="009C3204">
        <w:rPr>
          <w:rFonts w:ascii="Cambria" w:hAnsi="Cambria"/>
          <w:sz w:val="24"/>
          <w:szCs w:val="24"/>
        </w:rPr>
        <w:t xml:space="preserve">a </w:t>
      </w:r>
      <w:r w:rsidR="00E56BBA" w:rsidRPr="009C3204">
        <w:rPr>
          <w:rFonts w:ascii="Cambria" w:hAnsi="Cambria"/>
          <w:sz w:val="24"/>
          <w:szCs w:val="24"/>
        </w:rPr>
        <w:t>dominant ‘responsi</w:t>
      </w:r>
      <w:r w:rsidR="001743D1" w:rsidRPr="009C3204">
        <w:rPr>
          <w:rFonts w:ascii="Cambria" w:hAnsi="Cambria"/>
          <w:sz w:val="24"/>
          <w:szCs w:val="24"/>
        </w:rPr>
        <w:t>bility’ mode</w:t>
      </w:r>
      <w:r w:rsidR="003A2608" w:rsidRPr="009C3204">
        <w:rPr>
          <w:rFonts w:ascii="Cambria" w:hAnsi="Cambria"/>
          <w:sz w:val="24"/>
          <w:szCs w:val="24"/>
        </w:rPr>
        <w:t>,</w:t>
      </w:r>
      <w:r w:rsidR="00854F79" w:rsidRPr="009C3204">
        <w:rPr>
          <w:rStyle w:val="FootnoteReference"/>
          <w:rFonts w:ascii="Cambria" w:hAnsi="Cambria"/>
          <w:sz w:val="24"/>
          <w:szCs w:val="24"/>
        </w:rPr>
        <w:footnoteReference w:id="18"/>
      </w:r>
      <w:r w:rsidR="003A2608" w:rsidRPr="009C3204">
        <w:rPr>
          <w:rFonts w:ascii="Cambria" w:hAnsi="Cambria"/>
          <w:sz w:val="24"/>
          <w:szCs w:val="24"/>
        </w:rPr>
        <w:t xml:space="preserve"> inviting a</w:t>
      </w:r>
      <w:r w:rsidR="002F7F0B" w:rsidRPr="009C3204">
        <w:rPr>
          <w:rFonts w:ascii="Cambria" w:hAnsi="Cambria"/>
          <w:sz w:val="24"/>
          <w:szCs w:val="24"/>
        </w:rPr>
        <w:t xml:space="preserve"> more cyclical than binary </w:t>
      </w:r>
      <w:r w:rsidR="003A2608" w:rsidRPr="009C3204">
        <w:rPr>
          <w:rFonts w:ascii="Cambria" w:hAnsi="Cambria"/>
          <w:sz w:val="24"/>
          <w:szCs w:val="24"/>
        </w:rPr>
        <w:t>notion of ‘revolution’, in which the turning wheel returns to its initial position</w:t>
      </w:r>
      <w:r w:rsidR="002F7F0B" w:rsidRPr="009C3204">
        <w:rPr>
          <w:rFonts w:ascii="Cambria" w:hAnsi="Cambria"/>
          <w:sz w:val="24"/>
          <w:szCs w:val="24"/>
        </w:rPr>
        <w:t xml:space="preserve">. </w:t>
      </w:r>
      <w:r w:rsidR="00CB3FD3" w:rsidRPr="009C3204">
        <w:rPr>
          <w:rFonts w:ascii="Cambria" w:hAnsi="Cambria"/>
          <w:sz w:val="24"/>
          <w:szCs w:val="24"/>
        </w:rPr>
        <w:t>For lawyers, attached to the notion of stable concepts, this may be particularly tempting.</w:t>
      </w:r>
      <w:r w:rsidR="000A32F6" w:rsidRPr="009C3204">
        <w:rPr>
          <w:rStyle w:val="FootnoteReference"/>
          <w:rFonts w:ascii="Cambria" w:hAnsi="Cambria"/>
          <w:sz w:val="24"/>
          <w:szCs w:val="24"/>
        </w:rPr>
        <w:footnoteReference w:id="19"/>
      </w:r>
      <w:r w:rsidR="00CB3FD3" w:rsidRPr="009C3204">
        <w:rPr>
          <w:rFonts w:ascii="Cambria" w:hAnsi="Cambria"/>
          <w:sz w:val="24"/>
          <w:szCs w:val="24"/>
        </w:rPr>
        <w:t xml:space="preserve"> </w:t>
      </w:r>
      <w:r w:rsidR="002F7F0B" w:rsidRPr="009C3204">
        <w:rPr>
          <w:rFonts w:ascii="Cambria" w:hAnsi="Cambria"/>
          <w:sz w:val="24"/>
          <w:szCs w:val="24"/>
        </w:rPr>
        <w:t>B</w:t>
      </w:r>
      <w:r w:rsidR="00E56BBA" w:rsidRPr="009C3204">
        <w:rPr>
          <w:rFonts w:ascii="Cambria" w:hAnsi="Cambria"/>
          <w:sz w:val="24"/>
          <w:szCs w:val="24"/>
        </w:rPr>
        <w:t xml:space="preserve">ut </w:t>
      </w:r>
      <w:r w:rsidR="00D310B4" w:rsidRPr="009C3204">
        <w:rPr>
          <w:rFonts w:ascii="Cambria" w:hAnsi="Cambria"/>
          <w:sz w:val="24"/>
          <w:szCs w:val="24"/>
        </w:rPr>
        <w:t xml:space="preserve">we should not assume too much </w:t>
      </w:r>
      <w:r w:rsidR="001743D1" w:rsidRPr="009C3204">
        <w:rPr>
          <w:rFonts w:ascii="Cambria" w:hAnsi="Cambria"/>
          <w:sz w:val="24"/>
          <w:szCs w:val="24"/>
        </w:rPr>
        <w:t>from similarities in concepts and</w:t>
      </w:r>
      <w:r w:rsidR="002F7F0B" w:rsidRPr="009C3204">
        <w:rPr>
          <w:rFonts w:ascii="Cambria" w:hAnsi="Cambria"/>
          <w:sz w:val="24"/>
          <w:szCs w:val="24"/>
        </w:rPr>
        <w:t xml:space="preserve"> rhetoric</w:t>
      </w:r>
      <w:r w:rsidR="001743D1" w:rsidRPr="009C3204">
        <w:rPr>
          <w:rFonts w:ascii="Cambria" w:hAnsi="Cambria"/>
          <w:sz w:val="24"/>
          <w:szCs w:val="24"/>
        </w:rPr>
        <w:t xml:space="preserve">, such as </w:t>
      </w:r>
      <w:r w:rsidR="00F7793F" w:rsidRPr="009C3204">
        <w:rPr>
          <w:rFonts w:ascii="Cambria" w:hAnsi="Cambria"/>
          <w:sz w:val="24"/>
          <w:szCs w:val="24"/>
        </w:rPr>
        <w:t xml:space="preserve">the </w:t>
      </w:r>
      <w:r w:rsidR="001743D1" w:rsidRPr="009C3204">
        <w:rPr>
          <w:rFonts w:ascii="Cambria" w:hAnsi="Cambria"/>
          <w:sz w:val="24"/>
          <w:szCs w:val="24"/>
        </w:rPr>
        <w:t>resurfacing interest in ‘individual responsibility’</w:t>
      </w:r>
      <w:r w:rsidR="002F7F0B" w:rsidRPr="009C3204">
        <w:rPr>
          <w:rFonts w:ascii="Cambria" w:hAnsi="Cambria"/>
          <w:sz w:val="24"/>
          <w:szCs w:val="24"/>
        </w:rPr>
        <w:t>. Most particularly, it is unlikely that what has been learned</w:t>
      </w:r>
      <w:r w:rsidR="00083658" w:rsidRPr="009C3204">
        <w:rPr>
          <w:rFonts w:ascii="Cambria" w:hAnsi="Cambria"/>
          <w:sz w:val="24"/>
          <w:szCs w:val="24"/>
        </w:rPr>
        <w:t xml:space="preserve">, </w:t>
      </w:r>
      <w:r w:rsidR="002F7F0B" w:rsidRPr="009C3204">
        <w:rPr>
          <w:rFonts w:ascii="Cambria" w:hAnsi="Cambria"/>
          <w:sz w:val="24"/>
          <w:szCs w:val="24"/>
        </w:rPr>
        <w:t>achieved</w:t>
      </w:r>
      <w:r w:rsidR="00083658" w:rsidRPr="009C3204">
        <w:rPr>
          <w:rFonts w:ascii="Cambria" w:hAnsi="Cambria"/>
          <w:sz w:val="24"/>
          <w:szCs w:val="24"/>
        </w:rPr>
        <w:t>, or simply expected</w:t>
      </w:r>
      <w:r w:rsidR="002F7F0B" w:rsidRPr="009C3204">
        <w:rPr>
          <w:rFonts w:ascii="Cambria" w:hAnsi="Cambria"/>
          <w:sz w:val="24"/>
          <w:szCs w:val="24"/>
        </w:rPr>
        <w:t xml:space="preserve"> </w:t>
      </w:r>
      <w:r w:rsidR="00F203E1" w:rsidRPr="009C3204">
        <w:rPr>
          <w:rFonts w:ascii="Cambria" w:hAnsi="Cambria"/>
          <w:sz w:val="24"/>
          <w:szCs w:val="24"/>
        </w:rPr>
        <w:t>through the</w:t>
      </w:r>
      <w:r w:rsidR="002F7F0B" w:rsidRPr="009C3204">
        <w:rPr>
          <w:rFonts w:ascii="Cambria" w:hAnsi="Cambria"/>
          <w:sz w:val="24"/>
          <w:szCs w:val="24"/>
        </w:rPr>
        <w:t xml:space="preserve"> </w:t>
      </w:r>
      <w:r w:rsidR="001743D1" w:rsidRPr="009C3204">
        <w:rPr>
          <w:rFonts w:ascii="Cambria" w:hAnsi="Cambria"/>
          <w:sz w:val="24"/>
          <w:szCs w:val="24"/>
        </w:rPr>
        <w:t xml:space="preserve">initial risk </w:t>
      </w:r>
      <w:r w:rsidR="00F203E1" w:rsidRPr="009C3204">
        <w:rPr>
          <w:rFonts w:ascii="Cambria" w:hAnsi="Cambria"/>
          <w:sz w:val="24"/>
          <w:szCs w:val="24"/>
        </w:rPr>
        <w:t>revolution</w:t>
      </w:r>
      <w:r w:rsidR="002F7F0B" w:rsidRPr="009C3204">
        <w:rPr>
          <w:rFonts w:ascii="Cambria" w:hAnsi="Cambria"/>
          <w:sz w:val="24"/>
          <w:szCs w:val="24"/>
        </w:rPr>
        <w:t xml:space="preserve"> could </w:t>
      </w:r>
      <w:r w:rsidR="00F203E1" w:rsidRPr="009C3204">
        <w:rPr>
          <w:rFonts w:ascii="Cambria" w:hAnsi="Cambria"/>
          <w:sz w:val="24"/>
          <w:szCs w:val="24"/>
        </w:rPr>
        <w:t>fail to influence</w:t>
      </w:r>
      <w:r w:rsidR="002F7F0B" w:rsidRPr="009C3204">
        <w:rPr>
          <w:rFonts w:ascii="Cambria" w:hAnsi="Cambria"/>
          <w:sz w:val="24"/>
          <w:szCs w:val="24"/>
        </w:rPr>
        <w:t xml:space="preserve"> the present shape of the law</w:t>
      </w:r>
      <w:r w:rsidR="00D310B4" w:rsidRPr="009C3204">
        <w:rPr>
          <w:rFonts w:ascii="Cambria" w:hAnsi="Cambria"/>
          <w:sz w:val="24"/>
          <w:szCs w:val="24"/>
        </w:rPr>
        <w:t>.</w:t>
      </w:r>
      <w:r w:rsidR="00C0386C" w:rsidRPr="009C3204">
        <w:rPr>
          <w:rFonts w:ascii="Cambria" w:hAnsi="Cambria"/>
          <w:sz w:val="24"/>
          <w:szCs w:val="24"/>
        </w:rPr>
        <w:t xml:space="preserve"> I argue in </w:t>
      </w:r>
      <w:r w:rsidR="0006040B">
        <w:rPr>
          <w:rFonts w:ascii="Cambria" w:hAnsi="Cambria"/>
          <w:sz w:val="24"/>
          <w:szCs w:val="24"/>
        </w:rPr>
        <w:t>P</w:t>
      </w:r>
      <w:r w:rsidR="00C0386C" w:rsidRPr="009C3204">
        <w:rPr>
          <w:rFonts w:ascii="Cambria" w:hAnsi="Cambria"/>
          <w:sz w:val="24"/>
          <w:szCs w:val="24"/>
        </w:rPr>
        <w:t>art III</w:t>
      </w:r>
      <w:r w:rsidR="005C0BE6" w:rsidRPr="009C3204">
        <w:rPr>
          <w:rFonts w:ascii="Cambria" w:hAnsi="Cambria"/>
          <w:sz w:val="24"/>
          <w:szCs w:val="24"/>
        </w:rPr>
        <w:t xml:space="preserve"> that it does not fail to do so: the influence of the security revolution continues</w:t>
      </w:r>
      <w:r w:rsidR="00F6648E" w:rsidRPr="009C3204">
        <w:rPr>
          <w:rFonts w:ascii="Cambria" w:hAnsi="Cambria"/>
          <w:sz w:val="24"/>
          <w:szCs w:val="24"/>
        </w:rPr>
        <w:t xml:space="preserve"> to be </w:t>
      </w:r>
      <w:r w:rsidR="00CB3FD3" w:rsidRPr="009C3204">
        <w:rPr>
          <w:rFonts w:ascii="Cambria" w:hAnsi="Cambria"/>
          <w:sz w:val="24"/>
          <w:szCs w:val="24"/>
        </w:rPr>
        <w:t xml:space="preserve">a </w:t>
      </w:r>
      <w:r w:rsidR="00F6648E" w:rsidRPr="009C3204">
        <w:rPr>
          <w:rFonts w:ascii="Cambria" w:hAnsi="Cambria"/>
          <w:sz w:val="24"/>
          <w:szCs w:val="24"/>
        </w:rPr>
        <w:t>definitive</w:t>
      </w:r>
      <w:r w:rsidR="00CB3FD3" w:rsidRPr="009C3204">
        <w:rPr>
          <w:rFonts w:ascii="Cambria" w:hAnsi="Cambria"/>
          <w:sz w:val="24"/>
          <w:szCs w:val="24"/>
        </w:rPr>
        <w:t xml:space="preserve"> frame for current questions</w:t>
      </w:r>
      <w:r w:rsidR="005C0BE6" w:rsidRPr="009C3204">
        <w:rPr>
          <w:rFonts w:ascii="Cambria" w:hAnsi="Cambria"/>
          <w:sz w:val="24"/>
          <w:szCs w:val="24"/>
        </w:rPr>
        <w:t>.</w:t>
      </w:r>
      <w:r w:rsidR="00D310B4" w:rsidRPr="009C3204">
        <w:rPr>
          <w:rFonts w:ascii="Cambria" w:hAnsi="Cambria"/>
          <w:sz w:val="24"/>
          <w:szCs w:val="24"/>
        </w:rPr>
        <w:t xml:space="preserve"> </w:t>
      </w:r>
    </w:p>
    <w:p w14:paraId="0D594DB6" w14:textId="7EC03EB1" w:rsidR="002F4DA7" w:rsidRPr="009C3204" w:rsidRDefault="005C0BE6" w:rsidP="008E4509">
      <w:pPr>
        <w:spacing w:line="240" w:lineRule="auto"/>
        <w:jc w:val="both"/>
        <w:rPr>
          <w:rFonts w:ascii="Cambria" w:hAnsi="Cambria"/>
          <w:sz w:val="24"/>
          <w:szCs w:val="24"/>
        </w:rPr>
      </w:pPr>
      <w:r w:rsidRPr="009C3204">
        <w:rPr>
          <w:rFonts w:ascii="Cambria" w:hAnsi="Cambria"/>
          <w:sz w:val="24"/>
          <w:szCs w:val="24"/>
        </w:rPr>
        <w:t xml:space="preserve">What of </w:t>
      </w:r>
      <w:r w:rsidR="00182552" w:rsidRPr="009C3204">
        <w:rPr>
          <w:rFonts w:ascii="Cambria" w:hAnsi="Cambria"/>
          <w:sz w:val="24"/>
          <w:szCs w:val="24"/>
        </w:rPr>
        <w:t xml:space="preserve">the role of risk in </w:t>
      </w:r>
      <w:r w:rsidRPr="009C3204">
        <w:rPr>
          <w:rFonts w:ascii="Cambria" w:hAnsi="Cambria"/>
          <w:sz w:val="24"/>
          <w:szCs w:val="24"/>
        </w:rPr>
        <w:t xml:space="preserve">our own times? </w:t>
      </w:r>
      <w:r w:rsidR="00083658" w:rsidRPr="009C3204">
        <w:rPr>
          <w:rFonts w:ascii="Cambria" w:hAnsi="Cambria"/>
          <w:sz w:val="24"/>
          <w:szCs w:val="24"/>
        </w:rPr>
        <w:t xml:space="preserve">Notions of ‘risk’ retain their vitality and continue to </w:t>
      </w:r>
      <w:r w:rsidR="00655F65" w:rsidRPr="009C3204">
        <w:rPr>
          <w:rFonts w:ascii="Cambria" w:hAnsi="Cambria"/>
          <w:sz w:val="24"/>
          <w:szCs w:val="24"/>
        </w:rPr>
        <w:t xml:space="preserve">play a key role in theories both of evolving ‘modernity’, and of regulatory or governance styles. </w:t>
      </w:r>
      <w:r w:rsidR="00B767EA" w:rsidRPr="009C3204">
        <w:rPr>
          <w:rFonts w:ascii="Cambria" w:hAnsi="Cambria"/>
          <w:sz w:val="24"/>
          <w:szCs w:val="24"/>
        </w:rPr>
        <w:t>D</w:t>
      </w:r>
      <w:r w:rsidR="00025899" w:rsidRPr="009C3204">
        <w:rPr>
          <w:rFonts w:ascii="Cambria" w:hAnsi="Cambria"/>
          <w:sz w:val="24"/>
          <w:szCs w:val="24"/>
        </w:rPr>
        <w:t>oubtless</w:t>
      </w:r>
      <w:r w:rsidR="00781C22" w:rsidRPr="009C3204">
        <w:rPr>
          <w:rFonts w:ascii="Cambria" w:hAnsi="Cambria"/>
          <w:sz w:val="24"/>
          <w:szCs w:val="24"/>
        </w:rPr>
        <w:t>,</w:t>
      </w:r>
      <w:r w:rsidR="00025899" w:rsidRPr="009C3204">
        <w:rPr>
          <w:rFonts w:ascii="Cambria" w:hAnsi="Cambria"/>
          <w:sz w:val="24"/>
          <w:szCs w:val="24"/>
        </w:rPr>
        <w:t xml:space="preserve"> present changes are harder to discern </w:t>
      </w:r>
      <w:r w:rsidR="00896555" w:rsidRPr="009C3204">
        <w:rPr>
          <w:rFonts w:ascii="Cambria" w:hAnsi="Cambria"/>
          <w:sz w:val="24"/>
          <w:szCs w:val="24"/>
        </w:rPr>
        <w:t>t</w:t>
      </w:r>
      <w:r w:rsidR="00025899" w:rsidRPr="009C3204">
        <w:rPr>
          <w:rFonts w:ascii="Cambria" w:hAnsi="Cambria"/>
          <w:sz w:val="24"/>
          <w:szCs w:val="24"/>
        </w:rPr>
        <w:t>han those of the past</w:t>
      </w:r>
      <w:r w:rsidR="002F7F0B" w:rsidRPr="009C3204">
        <w:rPr>
          <w:rFonts w:ascii="Cambria" w:hAnsi="Cambria"/>
          <w:sz w:val="24"/>
          <w:szCs w:val="24"/>
        </w:rPr>
        <w:t>: we are faced with</w:t>
      </w:r>
      <w:r w:rsidR="00896555" w:rsidRPr="009C3204">
        <w:rPr>
          <w:rFonts w:ascii="Cambria" w:hAnsi="Cambria"/>
          <w:sz w:val="24"/>
          <w:szCs w:val="24"/>
        </w:rPr>
        <w:t xml:space="preserve"> </w:t>
      </w:r>
      <w:r w:rsidR="001743D1" w:rsidRPr="009C3204">
        <w:rPr>
          <w:rFonts w:ascii="Cambria" w:hAnsi="Cambria"/>
          <w:sz w:val="24"/>
          <w:szCs w:val="24"/>
        </w:rPr>
        <w:t xml:space="preserve">richer sources of </w:t>
      </w:r>
      <w:r w:rsidR="00896555" w:rsidRPr="009C3204">
        <w:rPr>
          <w:rFonts w:ascii="Cambria" w:hAnsi="Cambria"/>
          <w:sz w:val="24"/>
          <w:szCs w:val="24"/>
        </w:rPr>
        <w:t>information</w:t>
      </w:r>
      <w:r w:rsidR="001743D1" w:rsidRPr="009C3204">
        <w:rPr>
          <w:rFonts w:ascii="Cambria" w:hAnsi="Cambria"/>
          <w:sz w:val="24"/>
          <w:szCs w:val="24"/>
        </w:rPr>
        <w:t xml:space="preserve"> and observation</w:t>
      </w:r>
      <w:r w:rsidR="002F7F0B" w:rsidRPr="009C3204">
        <w:rPr>
          <w:rFonts w:ascii="Cambria" w:hAnsi="Cambria"/>
          <w:sz w:val="24"/>
          <w:szCs w:val="24"/>
        </w:rPr>
        <w:t xml:space="preserve"> perhaps</w:t>
      </w:r>
      <w:r w:rsidR="00896555" w:rsidRPr="009C3204">
        <w:rPr>
          <w:rFonts w:ascii="Cambria" w:hAnsi="Cambria"/>
          <w:sz w:val="24"/>
          <w:szCs w:val="24"/>
        </w:rPr>
        <w:t xml:space="preserve">, but </w:t>
      </w:r>
      <w:r w:rsidR="001743D1" w:rsidRPr="009C3204">
        <w:rPr>
          <w:rFonts w:ascii="Cambria" w:hAnsi="Cambria"/>
          <w:sz w:val="24"/>
          <w:szCs w:val="24"/>
        </w:rPr>
        <w:t xml:space="preserve">much </w:t>
      </w:r>
      <w:r w:rsidR="00896555" w:rsidRPr="009C3204">
        <w:rPr>
          <w:rFonts w:ascii="Cambria" w:hAnsi="Cambria"/>
          <w:sz w:val="24"/>
          <w:szCs w:val="24"/>
        </w:rPr>
        <w:t xml:space="preserve">less </w:t>
      </w:r>
      <w:r w:rsidR="002F7F0B" w:rsidRPr="009C3204">
        <w:rPr>
          <w:rFonts w:ascii="Cambria" w:hAnsi="Cambria"/>
          <w:sz w:val="24"/>
          <w:szCs w:val="24"/>
        </w:rPr>
        <w:t xml:space="preserve">sense of the </w:t>
      </w:r>
      <w:r w:rsidR="00896555" w:rsidRPr="009C3204">
        <w:rPr>
          <w:rFonts w:ascii="Cambria" w:hAnsi="Cambria"/>
          <w:sz w:val="24"/>
          <w:szCs w:val="24"/>
        </w:rPr>
        <w:t>pattern</w:t>
      </w:r>
      <w:r w:rsidR="002F7F0B" w:rsidRPr="009C3204">
        <w:rPr>
          <w:rFonts w:ascii="Cambria" w:hAnsi="Cambria"/>
          <w:sz w:val="24"/>
          <w:szCs w:val="24"/>
        </w:rPr>
        <w:t xml:space="preserve"> of developments</w:t>
      </w:r>
      <w:r w:rsidR="00025899" w:rsidRPr="009C3204">
        <w:rPr>
          <w:rFonts w:ascii="Cambria" w:hAnsi="Cambria"/>
          <w:sz w:val="24"/>
          <w:szCs w:val="24"/>
        </w:rPr>
        <w:t xml:space="preserve">. </w:t>
      </w:r>
      <w:r w:rsidR="002F7F0B" w:rsidRPr="009C3204">
        <w:rPr>
          <w:rFonts w:ascii="Cambria" w:hAnsi="Cambria"/>
          <w:sz w:val="24"/>
          <w:szCs w:val="24"/>
        </w:rPr>
        <w:t>More recent</w:t>
      </w:r>
      <w:r w:rsidR="00025899" w:rsidRPr="009C3204">
        <w:rPr>
          <w:rFonts w:ascii="Cambria" w:hAnsi="Cambria"/>
          <w:sz w:val="24"/>
          <w:szCs w:val="24"/>
        </w:rPr>
        <w:t xml:space="preserve"> changes </w:t>
      </w:r>
      <w:r w:rsidR="009A2AA9" w:rsidRPr="009C3204">
        <w:rPr>
          <w:rFonts w:ascii="Cambria" w:hAnsi="Cambria"/>
          <w:sz w:val="24"/>
          <w:szCs w:val="24"/>
        </w:rPr>
        <w:t xml:space="preserve">have been </w:t>
      </w:r>
      <w:r w:rsidR="00025899" w:rsidRPr="009C3204">
        <w:rPr>
          <w:rFonts w:ascii="Cambria" w:hAnsi="Cambria"/>
          <w:sz w:val="24"/>
          <w:szCs w:val="24"/>
        </w:rPr>
        <w:t>seen in terms of the return of uncertainty</w:t>
      </w:r>
      <w:r w:rsidR="00592AFD" w:rsidRPr="009C3204">
        <w:rPr>
          <w:rFonts w:ascii="Cambria" w:hAnsi="Cambria"/>
          <w:sz w:val="24"/>
          <w:szCs w:val="24"/>
        </w:rPr>
        <w:t xml:space="preserve"> (or new appreciation of its inevitability</w:t>
      </w:r>
      <w:r w:rsidR="008E7715" w:rsidRPr="009C3204">
        <w:rPr>
          <w:rFonts w:ascii="Cambria" w:hAnsi="Cambria"/>
          <w:sz w:val="24"/>
          <w:szCs w:val="24"/>
        </w:rPr>
        <w:t xml:space="preserve"> and significance</w:t>
      </w:r>
      <w:r w:rsidR="00592AFD" w:rsidRPr="009C3204">
        <w:rPr>
          <w:rFonts w:ascii="Cambria" w:hAnsi="Cambria"/>
          <w:sz w:val="24"/>
          <w:szCs w:val="24"/>
        </w:rPr>
        <w:t>);</w:t>
      </w:r>
      <w:r w:rsidR="00025899" w:rsidRPr="009C3204">
        <w:rPr>
          <w:rStyle w:val="FootnoteReference"/>
          <w:rFonts w:ascii="Cambria" w:hAnsi="Cambria"/>
          <w:sz w:val="24"/>
          <w:szCs w:val="24"/>
        </w:rPr>
        <w:footnoteReference w:id="20"/>
      </w:r>
      <w:r w:rsidR="00025899" w:rsidRPr="009C3204">
        <w:rPr>
          <w:rFonts w:ascii="Cambria" w:hAnsi="Cambria"/>
          <w:sz w:val="24"/>
          <w:szCs w:val="24"/>
        </w:rPr>
        <w:t xml:space="preserve"> in terms of a resurgence of individual exposure to </w:t>
      </w:r>
      <w:r w:rsidR="001743D1" w:rsidRPr="009C3204">
        <w:rPr>
          <w:rFonts w:ascii="Cambria" w:hAnsi="Cambria"/>
          <w:sz w:val="24"/>
          <w:szCs w:val="24"/>
        </w:rPr>
        <w:t xml:space="preserve">and responsibility for </w:t>
      </w:r>
      <w:r w:rsidR="00025899" w:rsidRPr="009C3204">
        <w:rPr>
          <w:rFonts w:ascii="Cambria" w:hAnsi="Cambria"/>
          <w:sz w:val="24"/>
          <w:szCs w:val="24"/>
        </w:rPr>
        <w:t>risk</w:t>
      </w:r>
      <w:r w:rsidR="00592AFD" w:rsidRPr="009C3204">
        <w:rPr>
          <w:rFonts w:ascii="Cambria" w:hAnsi="Cambria"/>
          <w:sz w:val="24"/>
          <w:szCs w:val="24"/>
        </w:rPr>
        <w:t xml:space="preserve"> (the limits of socialisation of risk)</w:t>
      </w:r>
      <w:r w:rsidR="00025899" w:rsidRPr="009C3204">
        <w:rPr>
          <w:rFonts w:ascii="Cambria" w:hAnsi="Cambria"/>
          <w:sz w:val="24"/>
          <w:szCs w:val="24"/>
        </w:rPr>
        <w:t>;</w:t>
      </w:r>
      <w:r w:rsidR="008E7715" w:rsidRPr="009C3204">
        <w:rPr>
          <w:rStyle w:val="FootnoteReference"/>
          <w:rFonts w:ascii="Cambria" w:hAnsi="Cambria"/>
          <w:sz w:val="24"/>
          <w:szCs w:val="24"/>
        </w:rPr>
        <w:footnoteReference w:id="21"/>
      </w:r>
      <w:r w:rsidR="00025899" w:rsidRPr="009C3204">
        <w:rPr>
          <w:rFonts w:ascii="Cambria" w:hAnsi="Cambria"/>
          <w:sz w:val="24"/>
          <w:szCs w:val="24"/>
        </w:rPr>
        <w:t xml:space="preserve"> or</w:t>
      </w:r>
      <w:r w:rsidR="002F7F0B" w:rsidRPr="009C3204">
        <w:rPr>
          <w:rFonts w:ascii="Cambria" w:hAnsi="Cambria"/>
          <w:sz w:val="24"/>
          <w:szCs w:val="24"/>
        </w:rPr>
        <w:t xml:space="preserve"> in terms of</w:t>
      </w:r>
      <w:r w:rsidR="00025899" w:rsidRPr="009C3204">
        <w:rPr>
          <w:rFonts w:ascii="Cambria" w:hAnsi="Cambria"/>
          <w:sz w:val="24"/>
          <w:szCs w:val="24"/>
        </w:rPr>
        <w:t xml:space="preserve"> a new willingness to ‘embr</w:t>
      </w:r>
      <w:r w:rsidR="009A2AA9" w:rsidRPr="009C3204">
        <w:rPr>
          <w:rFonts w:ascii="Cambria" w:hAnsi="Cambria"/>
          <w:sz w:val="24"/>
          <w:szCs w:val="24"/>
        </w:rPr>
        <w:t>ace’ risk and its possibilities.</w:t>
      </w:r>
      <w:r w:rsidR="00896555" w:rsidRPr="009C3204">
        <w:rPr>
          <w:rStyle w:val="FootnoteReference"/>
          <w:rFonts w:ascii="Cambria" w:hAnsi="Cambria"/>
          <w:sz w:val="24"/>
          <w:szCs w:val="24"/>
        </w:rPr>
        <w:footnoteReference w:id="22"/>
      </w:r>
      <w:r w:rsidRPr="009C3204">
        <w:rPr>
          <w:rFonts w:ascii="Cambria" w:hAnsi="Cambria"/>
          <w:sz w:val="24"/>
          <w:szCs w:val="24"/>
        </w:rPr>
        <w:t xml:space="preserve"> Moreover, further</w:t>
      </w:r>
      <w:r w:rsidR="00532BFC" w:rsidRPr="009C3204">
        <w:rPr>
          <w:rFonts w:ascii="Cambria" w:hAnsi="Cambria"/>
          <w:sz w:val="24"/>
          <w:szCs w:val="24"/>
        </w:rPr>
        <w:t xml:space="preserve"> </w:t>
      </w:r>
      <w:r w:rsidR="002F7F0B" w:rsidRPr="009C3204">
        <w:rPr>
          <w:rFonts w:ascii="Cambria" w:hAnsi="Cambria"/>
          <w:sz w:val="24"/>
          <w:szCs w:val="24"/>
        </w:rPr>
        <w:t xml:space="preserve">new </w:t>
      </w:r>
      <w:r w:rsidR="00BB5384" w:rsidRPr="009C3204">
        <w:rPr>
          <w:rFonts w:ascii="Cambria" w:hAnsi="Cambria"/>
          <w:sz w:val="24"/>
          <w:szCs w:val="24"/>
        </w:rPr>
        <w:t>uses of risk techniques give rise</w:t>
      </w:r>
      <w:r w:rsidR="005736A7">
        <w:rPr>
          <w:rFonts w:ascii="Cambria" w:hAnsi="Cambria"/>
          <w:sz w:val="24"/>
          <w:szCs w:val="24"/>
        </w:rPr>
        <w:t>,</w:t>
      </w:r>
      <w:r w:rsidR="00BB5384" w:rsidRPr="009C3204">
        <w:rPr>
          <w:rFonts w:ascii="Cambria" w:hAnsi="Cambria"/>
          <w:sz w:val="24"/>
          <w:szCs w:val="24"/>
        </w:rPr>
        <w:t xml:space="preserve"> in turn</w:t>
      </w:r>
      <w:r w:rsidR="005736A7">
        <w:rPr>
          <w:rFonts w:ascii="Cambria" w:hAnsi="Cambria"/>
          <w:sz w:val="24"/>
          <w:szCs w:val="24"/>
        </w:rPr>
        <w:t>,</w:t>
      </w:r>
      <w:r w:rsidR="00BB5384" w:rsidRPr="009C3204">
        <w:rPr>
          <w:rFonts w:ascii="Cambria" w:hAnsi="Cambria"/>
          <w:sz w:val="24"/>
          <w:szCs w:val="24"/>
        </w:rPr>
        <w:t xml:space="preserve"> to new </w:t>
      </w:r>
      <w:r w:rsidR="002F7F0B" w:rsidRPr="009C3204">
        <w:rPr>
          <w:rFonts w:ascii="Cambria" w:hAnsi="Cambria"/>
          <w:sz w:val="24"/>
          <w:szCs w:val="24"/>
        </w:rPr>
        <w:t>risk challenge</w:t>
      </w:r>
      <w:r w:rsidR="00532BFC" w:rsidRPr="009C3204">
        <w:rPr>
          <w:rFonts w:ascii="Cambria" w:hAnsi="Cambria"/>
          <w:sz w:val="24"/>
          <w:szCs w:val="24"/>
        </w:rPr>
        <w:t xml:space="preserve">s. Among these </w:t>
      </w:r>
      <w:r w:rsidR="001743D1" w:rsidRPr="009C3204">
        <w:rPr>
          <w:rFonts w:ascii="Cambria" w:hAnsi="Cambria"/>
          <w:sz w:val="24"/>
          <w:szCs w:val="24"/>
        </w:rPr>
        <w:t xml:space="preserve">might be counted the </w:t>
      </w:r>
      <w:r w:rsidR="00592AFD" w:rsidRPr="009C3204">
        <w:rPr>
          <w:rFonts w:ascii="Cambria" w:hAnsi="Cambria"/>
          <w:sz w:val="24"/>
          <w:szCs w:val="24"/>
        </w:rPr>
        <w:t xml:space="preserve">extension of </w:t>
      </w:r>
      <w:r w:rsidR="001743D1" w:rsidRPr="009C3204">
        <w:rPr>
          <w:rFonts w:ascii="Cambria" w:hAnsi="Cambria"/>
          <w:sz w:val="24"/>
          <w:szCs w:val="24"/>
        </w:rPr>
        <w:t>financial risk management to provide social goods</w:t>
      </w:r>
      <w:r w:rsidR="009A2AA9" w:rsidRPr="009C3204">
        <w:rPr>
          <w:rFonts w:ascii="Cambria" w:hAnsi="Cambria"/>
          <w:sz w:val="24"/>
          <w:szCs w:val="24"/>
        </w:rPr>
        <w:t xml:space="preserve"> (mortgages, pensions and the costs of care)</w:t>
      </w:r>
      <w:r w:rsidR="001743D1" w:rsidRPr="009C3204">
        <w:rPr>
          <w:rFonts w:ascii="Cambria" w:hAnsi="Cambria"/>
          <w:sz w:val="24"/>
          <w:szCs w:val="24"/>
        </w:rPr>
        <w:t xml:space="preserve">, </w:t>
      </w:r>
      <w:r w:rsidR="00FB06F6" w:rsidRPr="009C3204">
        <w:rPr>
          <w:rFonts w:ascii="Cambria" w:hAnsi="Cambria"/>
          <w:sz w:val="24"/>
          <w:szCs w:val="24"/>
        </w:rPr>
        <w:t>which would previously have been the concern of the state</w:t>
      </w:r>
      <w:r w:rsidR="00107410" w:rsidRPr="009C3204">
        <w:rPr>
          <w:rFonts w:ascii="Cambria" w:hAnsi="Cambria"/>
          <w:sz w:val="24"/>
          <w:szCs w:val="24"/>
        </w:rPr>
        <w:t xml:space="preserve">. The </w:t>
      </w:r>
      <w:r w:rsidR="001743D1" w:rsidRPr="009C3204">
        <w:rPr>
          <w:rFonts w:ascii="Cambria" w:hAnsi="Cambria"/>
          <w:sz w:val="24"/>
          <w:szCs w:val="24"/>
        </w:rPr>
        <w:t xml:space="preserve">hazards of </w:t>
      </w:r>
      <w:r w:rsidR="00107410" w:rsidRPr="009C3204">
        <w:rPr>
          <w:rFonts w:ascii="Cambria" w:hAnsi="Cambria"/>
          <w:sz w:val="24"/>
          <w:szCs w:val="24"/>
        </w:rPr>
        <w:t>this</w:t>
      </w:r>
      <w:r w:rsidR="001743D1" w:rsidRPr="009C3204">
        <w:rPr>
          <w:rFonts w:ascii="Cambria" w:hAnsi="Cambria"/>
          <w:sz w:val="24"/>
          <w:szCs w:val="24"/>
        </w:rPr>
        <w:t xml:space="preserve"> </w:t>
      </w:r>
      <w:r w:rsidR="00461BAD" w:rsidRPr="009C3204">
        <w:rPr>
          <w:rFonts w:ascii="Cambria" w:hAnsi="Cambria"/>
          <w:sz w:val="24"/>
          <w:szCs w:val="24"/>
        </w:rPr>
        <w:t xml:space="preserve">pattern of privatisation </w:t>
      </w:r>
      <w:r w:rsidR="001743D1" w:rsidRPr="009C3204">
        <w:rPr>
          <w:rFonts w:ascii="Cambria" w:hAnsi="Cambria"/>
          <w:sz w:val="24"/>
          <w:szCs w:val="24"/>
        </w:rPr>
        <w:t>were dramatically exposed by the crash of 2008</w:t>
      </w:r>
      <w:r w:rsidR="000F13A9" w:rsidRPr="009C3204">
        <w:rPr>
          <w:rFonts w:ascii="Cambria" w:hAnsi="Cambria"/>
          <w:sz w:val="24"/>
          <w:szCs w:val="24"/>
        </w:rPr>
        <w:t>, but the trend continues</w:t>
      </w:r>
      <w:r w:rsidR="00260C23" w:rsidRPr="009C3204">
        <w:rPr>
          <w:rFonts w:ascii="Cambria" w:hAnsi="Cambria"/>
          <w:sz w:val="24"/>
          <w:szCs w:val="24"/>
        </w:rPr>
        <w:t xml:space="preserve">. </w:t>
      </w:r>
      <w:r w:rsidR="00107410" w:rsidRPr="009C3204">
        <w:rPr>
          <w:rFonts w:ascii="Cambria" w:hAnsi="Cambria"/>
          <w:sz w:val="24"/>
          <w:szCs w:val="24"/>
        </w:rPr>
        <w:t>Societal dependence on risk management by an ‘expert’</w:t>
      </w:r>
      <w:r w:rsidR="00894329" w:rsidRPr="009C3204">
        <w:rPr>
          <w:rFonts w:ascii="Cambria" w:hAnsi="Cambria"/>
          <w:sz w:val="24"/>
          <w:szCs w:val="24"/>
        </w:rPr>
        <w:t xml:space="preserve"> private</w:t>
      </w:r>
      <w:r w:rsidR="00107410" w:rsidRPr="009C3204">
        <w:rPr>
          <w:rFonts w:ascii="Cambria" w:hAnsi="Cambria"/>
          <w:sz w:val="24"/>
          <w:szCs w:val="24"/>
        </w:rPr>
        <w:t xml:space="preserve"> financial </w:t>
      </w:r>
      <w:r w:rsidR="00107410" w:rsidRPr="009C3204">
        <w:rPr>
          <w:rFonts w:ascii="Cambria" w:hAnsi="Cambria"/>
          <w:sz w:val="24"/>
          <w:szCs w:val="24"/>
        </w:rPr>
        <w:lastRenderedPageBreak/>
        <w:t xml:space="preserve">sector could itself be regarded as revolutionary. </w:t>
      </w:r>
      <w:r w:rsidR="00D27B23" w:rsidRPr="009C3204">
        <w:rPr>
          <w:rFonts w:ascii="Cambria" w:hAnsi="Cambria"/>
          <w:sz w:val="24"/>
          <w:szCs w:val="24"/>
        </w:rPr>
        <w:t>M</w:t>
      </w:r>
      <w:r w:rsidR="001743D1" w:rsidRPr="009C3204">
        <w:rPr>
          <w:rFonts w:ascii="Cambria" w:hAnsi="Cambria"/>
          <w:sz w:val="24"/>
          <w:szCs w:val="24"/>
        </w:rPr>
        <w:t xml:space="preserve">ore recently still, </w:t>
      </w:r>
      <w:r w:rsidR="00532BFC" w:rsidRPr="009C3204">
        <w:rPr>
          <w:rFonts w:ascii="Cambria" w:hAnsi="Cambria"/>
          <w:sz w:val="24"/>
          <w:szCs w:val="24"/>
        </w:rPr>
        <w:t xml:space="preserve">there has been identified </w:t>
      </w:r>
      <w:r w:rsidR="001743D1" w:rsidRPr="009C3204">
        <w:rPr>
          <w:rFonts w:ascii="Cambria" w:hAnsi="Cambria"/>
          <w:sz w:val="24"/>
          <w:szCs w:val="24"/>
        </w:rPr>
        <w:t>a further risk revolution</w:t>
      </w:r>
      <w:r w:rsidR="002F7F0B" w:rsidRPr="009C3204">
        <w:rPr>
          <w:rFonts w:ascii="Cambria" w:hAnsi="Cambria"/>
          <w:sz w:val="24"/>
          <w:szCs w:val="24"/>
        </w:rPr>
        <w:t xml:space="preserve"> whose watchword is not uncertainty </w:t>
      </w:r>
      <w:r w:rsidR="00BB5384" w:rsidRPr="009C3204">
        <w:rPr>
          <w:rFonts w:ascii="Cambria" w:hAnsi="Cambria"/>
          <w:sz w:val="24"/>
          <w:szCs w:val="24"/>
        </w:rPr>
        <w:t xml:space="preserve">nor </w:t>
      </w:r>
      <w:r w:rsidR="002F7F0B" w:rsidRPr="009C3204">
        <w:rPr>
          <w:rFonts w:ascii="Cambria" w:hAnsi="Cambria"/>
          <w:sz w:val="24"/>
          <w:szCs w:val="24"/>
        </w:rPr>
        <w:t>the departure from ‘laws of large numbers’, but the availability and exploitation of even larger numbers</w:t>
      </w:r>
      <w:r w:rsidRPr="009C3204">
        <w:rPr>
          <w:rFonts w:ascii="Cambria" w:hAnsi="Cambria"/>
          <w:sz w:val="24"/>
          <w:szCs w:val="24"/>
        </w:rPr>
        <w:t xml:space="preserve"> to predictive effect</w:t>
      </w:r>
      <w:r w:rsidR="002F7F0B" w:rsidRPr="009C3204">
        <w:rPr>
          <w:rFonts w:ascii="Cambria" w:hAnsi="Cambria"/>
          <w:sz w:val="24"/>
          <w:szCs w:val="24"/>
        </w:rPr>
        <w:t xml:space="preserve">: </w:t>
      </w:r>
      <w:r w:rsidR="00532BFC" w:rsidRPr="009C3204">
        <w:rPr>
          <w:rFonts w:ascii="Cambria" w:hAnsi="Cambria"/>
          <w:sz w:val="24"/>
          <w:szCs w:val="24"/>
        </w:rPr>
        <w:t xml:space="preserve">this is the revolution signified by </w:t>
      </w:r>
      <w:r w:rsidR="002F7F0B" w:rsidRPr="009C3204">
        <w:rPr>
          <w:rFonts w:ascii="Cambria" w:hAnsi="Cambria"/>
          <w:sz w:val="24"/>
          <w:szCs w:val="24"/>
        </w:rPr>
        <w:t>the algorithmic mining of ‘big data’.</w:t>
      </w:r>
      <w:r w:rsidR="002E7A65" w:rsidRPr="009C3204">
        <w:rPr>
          <w:rStyle w:val="FootnoteReference"/>
          <w:rFonts w:ascii="Cambria" w:hAnsi="Cambria"/>
          <w:sz w:val="24"/>
          <w:szCs w:val="24"/>
        </w:rPr>
        <w:footnoteReference w:id="23"/>
      </w:r>
      <w:r w:rsidR="00532BFC" w:rsidRPr="009C3204">
        <w:rPr>
          <w:rFonts w:ascii="Cambria" w:hAnsi="Cambria"/>
          <w:sz w:val="24"/>
          <w:szCs w:val="24"/>
        </w:rPr>
        <w:t xml:space="preserve"> That is a development whose challenges </w:t>
      </w:r>
      <w:r w:rsidR="003422DC" w:rsidRPr="009C3204">
        <w:rPr>
          <w:rFonts w:ascii="Cambria" w:hAnsi="Cambria"/>
          <w:sz w:val="24"/>
          <w:szCs w:val="24"/>
        </w:rPr>
        <w:t xml:space="preserve">for private law </w:t>
      </w:r>
      <w:r w:rsidR="00532BFC" w:rsidRPr="009C3204">
        <w:rPr>
          <w:rFonts w:ascii="Cambria" w:hAnsi="Cambria"/>
          <w:sz w:val="24"/>
          <w:szCs w:val="24"/>
        </w:rPr>
        <w:t xml:space="preserve">this </w:t>
      </w:r>
      <w:r w:rsidR="00592AFD" w:rsidRPr="009C3204">
        <w:rPr>
          <w:rFonts w:ascii="Cambria" w:hAnsi="Cambria"/>
          <w:sz w:val="24"/>
          <w:szCs w:val="24"/>
        </w:rPr>
        <w:t xml:space="preserve">chapter </w:t>
      </w:r>
      <w:r w:rsidR="003422DC" w:rsidRPr="009C3204">
        <w:rPr>
          <w:rFonts w:ascii="Cambria" w:hAnsi="Cambria"/>
          <w:sz w:val="24"/>
          <w:szCs w:val="24"/>
        </w:rPr>
        <w:t xml:space="preserve">cannot </w:t>
      </w:r>
      <w:r w:rsidR="002E7A65" w:rsidRPr="009C3204">
        <w:rPr>
          <w:rFonts w:ascii="Cambria" w:hAnsi="Cambria"/>
          <w:sz w:val="24"/>
          <w:szCs w:val="24"/>
        </w:rPr>
        <w:t xml:space="preserve">begin to </w:t>
      </w:r>
      <w:r w:rsidR="00532BFC" w:rsidRPr="009C3204">
        <w:rPr>
          <w:rFonts w:ascii="Cambria" w:hAnsi="Cambria"/>
          <w:sz w:val="24"/>
          <w:szCs w:val="24"/>
        </w:rPr>
        <w:t>attempt to meet</w:t>
      </w:r>
      <w:r w:rsidR="000F13A9" w:rsidRPr="009C3204">
        <w:rPr>
          <w:rFonts w:ascii="Cambria" w:hAnsi="Cambria"/>
          <w:sz w:val="24"/>
          <w:szCs w:val="24"/>
        </w:rPr>
        <w:t>. However,</w:t>
      </w:r>
      <w:r w:rsidR="00532BFC" w:rsidRPr="009C3204">
        <w:rPr>
          <w:rFonts w:ascii="Cambria" w:hAnsi="Cambria"/>
          <w:sz w:val="24"/>
          <w:szCs w:val="24"/>
        </w:rPr>
        <w:t xml:space="preserve"> it </w:t>
      </w:r>
      <w:r w:rsidR="001743D1" w:rsidRPr="009C3204">
        <w:rPr>
          <w:rFonts w:ascii="Cambria" w:hAnsi="Cambria"/>
          <w:sz w:val="24"/>
          <w:szCs w:val="24"/>
        </w:rPr>
        <w:t>underlines</w:t>
      </w:r>
      <w:r w:rsidR="00532BFC" w:rsidRPr="009C3204">
        <w:rPr>
          <w:rFonts w:ascii="Cambria" w:hAnsi="Cambria"/>
          <w:sz w:val="24"/>
          <w:szCs w:val="24"/>
        </w:rPr>
        <w:t xml:space="preserve"> </w:t>
      </w:r>
      <w:r w:rsidR="002730CF" w:rsidRPr="009C3204">
        <w:rPr>
          <w:rFonts w:ascii="Cambria" w:hAnsi="Cambria"/>
          <w:sz w:val="24"/>
          <w:szCs w:val="24"/>
        </w:rPr>
        <w:t xml:space="preserve">not only </w:t>
      </w:r>
      <w:r w:rsidR="00B61715" w:rsidRPr="009C3204">
        <w:rPr>
          <w:rFonts w:ascii="Cambria" w:hAnsi="Cambria"/>
          <w:sz w:val="24"/>
          <w:szCs w:val="24"/>
        </w:rPr>
        <w:t xml:space="preserve">the centrality of risk to society, </w:t>
      </w:r>
      <w:r w:rsidR="002730CF" w:rsidRPr="009C3204">
        <w:rPr>
          <w:rFonts w:ascii="Cambria" w:hAnsi="Cambria"/>
          <w:sz w:val="24"/>
          <w:szCs w:val="24"/>
        </w:rPr>
        <w:t>but also</w:t>
      </w:r>
      <w:r w:rsidR="00B61715" w:rsidRPr="009C3204">
        <w:rPr>
          <w:rFonts w:ascii="Cambria" w:hAnsi="Cambria"/>
          <w:sz w:val="24"/>
          <w:szCs w:val="24"/>
        </w:rPr>
        <w:t xml:space="preserve"> the way </w:t>
      </w:r>
      <w:r w:rsidR="00532BFC" w:rsidRPr="009C3204">
        <w:rPr>
          <w:rFonts w:ascii="Cambria" w:hAnsi="Cambria"/>
          <w:sz w:val="24"/>
          <w:szCs w:val="24"/>
        </w:rPr>
        <w:t xml:space="preserve">that large challenges associated with risk </w:t>
      </w:r>
      <w:r w:rsidR="00B61715" w:rsidRPr="009C3204">
        <w:rPr>
          <w:rFonts w:ascii="Cambria" w:hAnsi="Cambria"/>
          <w:sz w:val="24"/>
          <w:szCs w:val="24"/>
        </w:rPr>
        <w:t>‘</w:t>
      </w:r>
      <w:r w:rsidR="00532BFC" w:rsidRPr="009C3204">
        <w:rPr>
          <w:rFonts w:ascii="Cambria" w:hAnsi="Cambria"/>
          <w:sz w:val="24"/>
          <w:szCs w:val="24"/>
        </w:rPr>
        <w:t>revolution</w:t>
      </w:r>
      <w:r w:rsidR="00B61715" w:rsidRPr="009C3204">
        <w:rPr>
          <w:rFonts w:ascii="Cambria" w:hAnsi="Cambria"/>
          <w:sz w:val="24"/>
          <w:szCs w:val="24"/>
        </w:rPr>
        <w:t>s’</w:t>
      </w:r>
      <w:r w:rsidR="00532BFC" w:rsidRPr="009C3204">
        <w:rPr>
          <w:rFonts w:ascii="Cambria" w:hAnsi="Cambria"/>
          <w:sz w:val="24"/>
          <w:szCs w:val="24"/>
        </w:rPr>
        <w:t xml:space="preserve"> continue to occur</w:t>
      </w:r>
      <w:r w:rsidR="00B61715" w:rsidRPr="009C3204">
        <w:rPr>
          <w:rFonts w:ascii="Cambria" w:hAnsi="Cambria"/>
          <w:sz w:val="24"/>
          <w:szCs w:val="24"/>
        </w:rPr>
        <w:t>, both for the law and for society more broadly</w:t>
      </w:r>
      <w:r w:rsidR="00532BFC" w:rsidRPr="009C3204">
        <w:rPr>
          <w:rFonts w:ascii="Cambria" w:hAnsi="Cambria"/>
          <w:sz w:val="24"/>
          <w:szCs w:val="24"/>
        </w:rPr>
        <w:t>.</w:t>
      </w:r>
    </w:p>
    <w:p w14:paraId="4587F3F7" w14:textId="0BA71510" w:rsidR="00C0386C" w:rsidRPr="008D7D23" w:rsidRDefault="00C0386C" w:rsidP="008D7D23">
      <w:pPr>
        <w:pStyle w:val="ListParagraph"/>
        <w:numPr>
          <w:ilvl w:val="0"/>
          <w:numId w:val="4"/>
        </w:numPr>
        <w:spacing w:line="240" w:lineRule="auto"/>
        <w:jc w:val="both"/>
        <w:outlineLvl w:val="0"/>
        <w:rPr>
          <w:rFonts w:ascii="Cambria" w:hAnsi="Cambria"/>
          <w:sz w:val="24"/>
          <w:szCs w:val="24"/>
        </w:rPr>
      </w:pPr>
      <w:r w:rsidRPr="008D7D23">
        <w:rPr>
          <w:rFonts w:ascii="Cambria" w:hAnsi="Cambria"/>
          <w:sz w:val="24"/>
          <w:szCs w:val="24"/>
        </w:rPr>
        <w:t>Risk in private law</w:t>
      </w:r>
    </w:p>
    <w:p w14:paraId="5889E11C" w14:textId="28C1B52A" w:rsidR="00852555" w:rsidRPr="009C3204" w:rsidRDefault="003422DC" w:rsidP="008E4509">
      <w:pPr>
        <w:spacing w:line="240" w:lineRule="auto"/>
        <w:jc w:val="both"/>
        <w:rPr>
          <w:rFonts w:ascii="Cambria" w:hAnsi="Cambria"/>
          <w:sz w:val="24"/>
          <w:szCs w:val="24"/>
        </w:rPr>
      </w:pPr>
      <w:r w:rsidRPr="009C3204">
        <w:rPr>
          <w:rFonts w:ascii="Cambria" w:hAnsi="Cambria"/>
          <w:sz w:val="24"/>
          <w:szCs w:val="24"/>
        </w:rPr>
        <w:t xml:space="preserve">Risk, then, has been identified as </w:t>
      </w:r>
      <w:r w:rsidR="00A10425" w:rsidRPr="009C3204">
        <w:rPr>
          <w:rFonts w:ascii="Cambria" w:hAnsi="Cambria"/>
          <w:sz w:val="24"/>
          <w:szCs w:val="24"/>
        </w:rPr>
        <w:t xml:space="preserve">being </w:t>
      </w:r>
      <w:r w:rsidRPr="009C3204">
        <w:rPr>
          <w:rFonts w:ascii="Cambria" w:hAnsi="Cambria"/>
          <w:sz w:val="24"/>
          <w:szCs w:val="24"/>
        </w:rPr>
        <w:t xml:space="preserve">at the core of social </w:t>
      </w:r>
      <w:r w:rsidR="0090238B" w:rsidRPr="009C3204">
        <w:rPr>
          <w:rFonts w:ascii="Cambria" w:hAnsi="Cambria"/>
          <w:sz w:val="24"/>
          <w:szCs w:val="24"/>
        </w:rPr>
        <w:t>paradigm shifts</w:t>
      </w:r>
      <w:r w:rsidR="003068B0">
        <w:rPr>
          <w:rFonts w:ascii="Cambria" w:hAnsi="Cambria"/>
          <w:sz w:val="24"/>
          <w:szCs w:val="24"/>
        </w:rPr>
        <w:t xml:space="preserve"> </w:t>
      </w:r>
      <w:r w:rsidRPr="009C3204">
        <w:rPr>
          <w:rFonts w:ascii="Cambria" w:hAnsi="Cambria"/>
          <w:sz w:val="24"/>
          <w:szCs w:val="24"/>
        </w:rPr>
        <w:t xml:space="preserve">over the last century. </w:t>
      </w:r>
      <w:r w:rsidR="00031679">
        <w:rPr>
          <w:rFonts w:ascii="Cambria" w:hAnsi="Cambria"/>
          <w:sz w:val="24"/>
          <w:szCs w:val="24"/>
        </w:rPr>
        <w:t>What of private law? P</w:t>
      </w:r>
      <w:r w:rsidR="1B3EAF6B" w:rsidRPr="009C3204">
        <w:rPr>
          <w:rFonts w:ascii="Cambria" w:hAnsi="Cambria"/>
          <w:sz w:val="24"/>
          <w:szCs w:val="24"/>
        </w:rPr>
        <w:t xml:space="preserve">rivate law discourse without reference to risk is almost unthinkable. </w:t>
      </w:r>
      <w:r w:rsidR="00852555" w:rsidRPr="009C3204">
        <w:rPr>
          <w:rFonts w:ascii="Cambria" w:hAnsi="Cambria"/>
          <w:sz w:val="24"/>
          <w:szCs w:val="24"/>
        </w:rPr>
        <w:t xml:space="preserve">Of course, it is by no means obvious that the term ‘risk’ is used in private law, either generally or in specific areas, </w:t>
      </w:r>
      <w:r w:rsidR="003F482B" w:rsidRPr="009C3204">
        <w:rPr>
          <w:rFonts w:ascii="Cambria" w:hAnsi="Cambria"/>
          <w:sz w:val="24"/>
          <w:szCs w:val="24"/>
        </w:rPr>
        <w:t xml:space="preserve">in the same way that it is used </w:t>
      </w:r>
      <w:r w:rsidR="00852555" w:rsidRPr="009C3204">
        <w:rPr>
          <w:rFonts w:ascii="Cambria" w:hAnsi="Cambria"/>
          <w:sz w:val="24"/>
          <w:szCs w:val="24"/>
        </w:rPr>
        <w:t>in risk society or regulatory theory, an</w:t>
      </w:r>
      <w:r w:rsidR="00E02A2D">
        <w:rPr>
          <w:rFonts w:ascii="Cambria" w:hAnsi="Cambria"/>
          <w:sz w:val="24"/>
          <w:szCs w:val="24"/>
        </w:rPr>
        <w:t>d plainly this complicates the i</w:t>
      </w:r>
      <w:r w:rsidR="00852555" w:rsidRPr="009C3204">
        <w:rPr>
          <w:rFonts w:ascii="Cambria" w:hAnsi="Cambria"/>
          <w:sz w:val="24"/>
          <w:szCs w:val="24"/>
        </w:rPr>
        <w:t xml:space="preserve">nquiry in this chapter. </w:t>
      </w:r>
      <w:r w:rsidR="000F13A9" w:rsidRPr="009C3204">
        <w:rPr>
          <w:rFonts w:ascii="Cambria" w:hAnsi="Cambria"/>
          <w:sz w:val="24"/>
          <w:szCs w:val="24"/>
        </w:rPr>
        <w:t xml:space="preserve">Indeed, </w:t>
      </w:r>
      <w:r w:rsidR="00852555" w:rsidRPr="009C3204">
        <w:rPr>
          <w:rFonts w:ascii="Cambria" w:hAnsi="Cambria"/>
          <w:sz w:val="24"/>
          <w:szCs w:val="24"/>
        </w:rPr>
        <w:t>Pat O’Malley has argued that the law of contract is suffused not with ideas of calculable risk, but with notions of uncertainty.</w:t>
      </w:r>
      <w:r w:rsidR="00852555" w:rsidRPr="009C3204">
        <w:rPr>
          <w:rStyle w:val="FootnoteReference"/>
          <w:rFonts w:ascii="Cambria" w:hAnsi="Cambria"/>
          <w:sz w:val="24"/>
          <w:szCs w:val="24"/>
        </w:rPr>
        <w:footnoteReference w:id="24"/>
      </w:r>
      <w:r w:rsidR="00852555" w:rsidRPr="009C3204">
        <w:rPr>
          <w:rFonts w:ascii="Cambria" w:hAnsi="Cambria"/>
          <w:sz w:val="24"/>
          <w:szCs w:val="24"/>
        </w:rPr>
        <w:t xml:space="preserve"> On this basis, </w:t>
      </w:r>
      <w:r w:rsidR="000F13A9" w:rsidRPr="009C3204">
        <w:rPr>
          <w:rFonts w:ascii="Cambria" w:hAnsi="Cambria"/>
          <w:sz w:val="24"/>
          <w:szCs w:val="24"/>
        </w:rPr>
        <w:t xml:space="preserve">O’Malley suggests that </w:t>
      </w:r>
      <w:r w:rsidR="00852555" w:rsidRPr="009C3204">
        <w:rPr>
          <w:rFonts w:ascii="Cambria" w:hAnsi="Cambria"/>
          <w:sz w:val="24"/>
          <w:szCs w:val="24"/>
        </w:rPr>
        <w:t>private law</w:t>
      </w:r>
      <w:r w:rsidR="00583C86" w:rsidRPr="009C3204">
        <w:rPr>
          <w:rFonts w:ascii="Cambria" w:hAnsi="Cambria"/>
          <w:sz w:val="24"/>
          <w:szCs w:val="24"/>
        </w:rPr>
        <w:t xml:space="preserve"> actors</w:t>
      </w:r>
      <w:r w:rsidR="00852555" w:rsidRPr="009C3204">
        <w:rPr>
          <w:rFonts w:ascii="Cambria" w:hAnsi="Cambria"/>
          <w:sz w:val="24"/>
          <w:szCs w:val="24"/>
        </w:rPr>
        <w:t xml:space="preserve"> </w:t>
      </w:r>
      <w:r w:rsidR="00CB6B43" w:rsidRPr="009C3204">
        <w:rPr>
          <w:rFonts w:ascii="Cambria" w:hAnsi="Cambria"/>
          <w:sz w:val="24"/>
          <w:szCs w:val="24"/>
        </w:rPr>
        <w:t>—</w:t>
      </w:r>
      <w:r w:rsidR="000F13A9" w:rsidRPr="009C3204">
        <w:rPr>
          <w:rFonts w:ascii="Cambria" w:hAnsi="Cambria"/>
          <w:sz w:val="24"/>
          <w:szCs w:val="24"/>
        </w:rPr>
        <w:t xml:space="preserve"> whether individual or corporate </w:t>
      </w:r>
      <w:r w:rsidR="00583C86" w:rsidRPr="009C3204">
        <w:rPr>
          <w:rFonts w:ascii="Cambria" w:hAnsi="Cambria"/>
          <w:sz w:val="24"/>
          <w:szCs w:val="24"/>
        </w:rPr>
        <w:t>—</w:t>
      </w:r>
      <w:r w:rsidR="000F13A9" w:rsidRPr="009C3204">
        <w:rPr>
          <w:rFonts w:ascii="Cambria" w:hAnsi="Cambria"/>
          <w:sz w:val="24"/>
          <w:szCs w:val="24"/>
        </w:rPr>
        <w:t xml:space="preserve"> </w:t>
      </w:r>
      <w:r w:rsidR="00852555" w:rsidRPr="009C3204">
        <w:rPr>
          <w:rFonts w:ascii="Cambria" w:hAnsi="Cambria"/>
          <w:sz w:val="24"/>
          <w:szCs w:val="24"/>
        </w:rPr>
        <w:t xml:space="preserve">might be seen as </w:t>
      </w:r>
      <w:r w:rsidR="000F13A9" w:rsidRPr="009C3204">
        <w:rPr>
          <w:rFonts w:ascii="Cambria" w:hAnsi="Cambria"/>
          <w:sz w:val="24"/>
          <w:szCs w:val="24"/>
        </w:rPr>
        <w:t>‘</w:t>
      </w:r>
      <w:r w:rsidR="00852555" w:rsidRPr="009C3204">
        <w:rPr>
          <w:rFonts w:ascii="Cambria" w:hAnsi="Cambria"/>
          <w:sz w:val="24"/>
          <w:szCs w:val="24"/>
        </w:rPr>
        <w:t>entrepreneurs of an uncertain future</w:t>
      </w:r>
      <w:r w:rsidR="000F13A9" w:rsidRPr="009C3204">
        <w:rPr>
          <w:rFonts w:ascii="Cambria" w:hAnsi="Cambria"/>
          <w:sz w:val="24"/>
          <w:szCs w:val="24"/>
        </w:rPr>
        <w:t>’</w:t>
      </w:r>
      <w:r w:rsidR="00852555" w:rsidRPr="009C3204">
        <w:rPr>
          <w:rFonts w:ascii="Cambria" w:hAnsi="Cambria"/>
          <w:sz w:val="24"/>
          <w:szCs w:val="24"/>
        </w:rPr>
        <w:t>, not as self-regulating consumers of expert-driven risk analysis</w:t>
      </w:r>
      <w:r w:rsidR="003F482B" w:rsidRPr="009C3204">
        <w:rPr>
          <w:rFonts w:ascii="Cambria" w:hAnsi="Cambria"/>
          <w:sz w:val="24"/>
          <w:szCs w:val="24"/>
        </w:rPr>
        <w:t xml:space="preserve">. </w:t>
      </w:r>
      <w:r w:rsidR="000F13A9" w:rsidRPr="009C3204">
        <w:rPr>
          <w:rFonts w:ascii="Cambria" w:hAnsi="Cambria"/>
          <w:sz w:val="24"/>
          <w:szCs w:val="24"/>
        </w:rPr>
        <w:t>For O’Malley, o</w:t>
      </w:r>
      <w:r w:rsidR="003F482B" w:rsidRPr="009C3204">
        <w:rPr>
          <w:rFonts w:ascii="Cambria" w:hAnsi="Cambria"/>
          <w:sz w:val="24"/>
          <w:szCs w:val="24"/>
        </w:rPr>
        <w:t>ne effect of this would be that the presence of incalculable risks may not induce the paralysis of decision-making that ‘risk society’ theory predicts</w:t>
      </w:r>
      <w:r w:rsidR="00CB6B43" w:rsidRPr="009C3204">
        <w:rPr>
          <w:rFonts w:ascii="Cambria" w:hAnsi="Cambria"/>
          <w:sz w:val="24"/>
          <w:szCs w:val="24"/>
        </w:rPr>
        <w:t xml:space="preserve"> —</w:t>
      </w:r>
      <w:r w:rsidR="000F13A9" w:rsidRPr="009C3204">
        <w:rPr>
          <w:rFonts w:ascii="Cambria" w:hAnsi="Cambria"/>
          <w:sz w:val="24"/>
          <w:szCs w:val="24"/>
        </w:rPr>
        <w:t xml:space="preserve"> an important </w:t>
      </w:r>
      <w:r w:rsidR="00D61D27" w:rsidRPr="009C3204">
        <w:rPr>
          <w:rFonts w:ascii="Cambria" w:hAnsi="Cambria"/>
          <w:sz w:val="24"/>
          <w:szCs w:val="24"/>
        </w:rPr>
        <w:t xml:space="preserve">indicator </w:t>
      </w:r>
      <w:r w:rsidR="000F13A9" w:rsidRPr="009C3204">
        <w:rPr>
          <w:rFonts w:ascii="Cambria" w:hAnsi="Cambria"/>
          <w:sz w:val="24"/>
          <w:szCs w:val="24"/>
        </w:rPr>
        <w:t xml:space="preserve">that </w:t>
      </w:r>
      <w:r w:rsidR="00BB2CE2">
        <w:rPr>
          <w:rFonts w:ascii="Cambria" w:hAnsi="Cambria"/>
          <w:sz w:val="24"/>
          <w:szCs w:val="24"/>
        </w:rPr>
        <w:t xml:space="preserve">the logic of private actors </w:t>
      </w:r>
      <w:r w:rsidR="00D61D27" w:rsidRPr="009C3204">
        <w:rPr>
          <w:rFonts w:ascii="Cambria" w:hAnsi="Cambria"/>
          <w:sz w:val="24"/>
          <w:szCs w:val="24"/>
        </w:rPr>
        <w:t>tolerates</w:t>
      </w:r>
      <w:r w:rsidR="000F13A9" w:rsidRPr="009C3204">
        <w:rPr>
          <w:rFonts w:ascii="Cambria" w:hAnsi="Cambria"/>
          <w:sz w:val="24"/>
          <w:szCs w:val="24"/>
        </w:rPr>
        <w:t xml:space="preserve"> solutions beyond the bounds of what is calculable</w:t>
      </w:r>
      <w:r w:rsidR="003F482B" w:rsidRPr="009C3204">
        <w:rPr>
          <w:rFonts w:ascii="Cambria" w:hAnsi="Cambria"/>
          <w:sz w:val="24"/>
          <w:szCs w:val="24"/>
        </w:rPr>
        <w:t>.</w:t>
      </w:r>
      <w:r w:rsidR="00BB2CE2">
        <w:rPr>
          <w:rFonts w:ascii="Cambria" w:hAnsi="Cambria"/>
          <w:sz w:val="24"/>
          <w:szCs w:val="24"/>
        </w:rPr>
        <w:t xml:space="preserve"> Wh</w:t>
      </w:r>
      <w:r w:rsidR="00E02A2D">
        <w:rPr>
          <w:rFonts w:ascii="Cambria" w:hAnsi="Cambria"/>
          <w:sz w:val="24"/>
          <w:szCs w:val="24"/>
        </w:rPr>
        <w:t>ile the language of O’Malley’s i</w:t>
      </w:r>
      <w:r w:rsidR="00BB2CE2">
        <w:rPr>
          <w:rFonts w:ascii="Cambria" w:hAnsi="Cambria"/>
          <w:sz w:val="24"/>
          <w:szCs w:val="24"/>
        </w:rPr>
        <w:t>nquiry may be unfamiliar to most private lawyers</w:t>
      </w:r>
      <w:r w:rsidR="000F13A9" w:rsidRPr="009C3204">
        <w:rPr>
          <w:rFonts w:ascii="Cambria" w:hAnsi="Cambria"/>
          <w:sz w:val="24"/>
          <w:szCs w:val="24"/>
        </w:rPr>
        <w:t xml:space="preserve">, it is worth holding the thought that notions of ‘risk’ in private law </w:t>
      </w:r>
      <w:r w:rsidR="00D61D27" w:rsidRPr="009C3204">
        <w:rPr>
          <w:rFonts w:ascii="Cambria" w:hAnsi="Cambria"/>
          <w:sz w:val="24"/>
          <w:szCs w:val="24"/>
        </w:rPr>
        <w:t xml:space="preserve">are </w:t>
      </w:r>
      <w:r w:rsidR="000F13A9" w:rsidRPr="009C3204">
        <w:rPr>
          <w:rFonts w:ascii="Cambria" w:hAnsi="Cambria"/>
          <w:sz w:val="24"/>
          <w:szCs w:val="24"/>
        </w:rPr>
        <w:t>not equivalent to fully calculable risks; and that they are ‘local’ to private law, not merely transposed from public policy. At the same time, they may remain effective means of governance.</w:t>
      </w:r>
      <w:r w:rsidR="003F482B" w:rsidRPr="009C3204">
        <w:rPr>
          <w:rFonts w:ascii="Cambria" w:hAnsi="Cambria"/>
          <w:sz w:val="24"/>
          <w:szCs w:val="24"/>
        </w:rPr>
        <w:t xml:space="preserve"> </w:t>
      </w:r>
    </w:p>
    <w:p w14:paraId="04B2E385" w14:textId="748BA397" w:rsidR="003C5DD0" w:rsidRPr="009C3204" w:rsidRDefault="00852555" w:rsidP="008E4509">
      <w:pPr>
        <w:spacing w:line="240" w:lineRule="auto"/>
        <w:jc w:val="both"/>
        <w:rPr>
          <w:rFonts w:ascii="Cambria" w:hAnsi="Cambria"/>
          <w:sz w:val="24"/>
          <w:szCs w:val="24"/>
        </w:rPr>
      </w:pPr>
      <w:r w:rsidRPr="009C3204">
        <w:rPr>
          <w:rFonts w:ascii="Cambria" w:hAnsi="Cambria"/>
          <w:sz w:val="24"/>
          <w:szCs w:val="24"/>
        </w:rPr>
        <w:t xml:space="preserve">Plainly this potential mismatch in language makes the job of identifying the role of risk in private law, and </w:t>
      </w:r>
      <w:r w:rsidR="00111178" w:rsidRPr="009C3204">
        <w:rPr>
          <w:rFonts w:ascii="Cambria" w:hAnsi="Cambria"/>
          <w:sz w:val="24"/>
          <w:szCs w:val="24"/>
        </w:rPr>
        <w:t xml:space="preserve">thus the </w:t>
      </w:r>
      <w:r w:rsidRPr="009C3204">
        <w:rPr>
          <w:rFonts w:ascii="Cambria" w:hAnsi="Cambria"/>
          <w:sz w:val="24"/>
          <w:szCs w:val="24"/>
        </w:rPr>
        <w:t xml:space="preserve">possible influence of risk revolutions, much more complex. </w:t>
      </w:r>
      <w:r w:rsidR="00111178" w:rsidRPr="009C3204">
        <w:rPr>
          <w:rFonts w:ascii="Cambria" w:hAnsi="Cambria"/>
          <w:sz w:val="24"/>
          <w:szCs w:val="24"/>
        </w:rPr>
        <w:t xml:space="preserve">With this caveat, </w:t>
      </w:r>
      <w:r w:rsidR="00263248" w:rsidRPr="009C3204">
        <w:rPr>
          <w:rFonts w:ascii="Cambria" w:hAnsi="Cambria"/>
          <w:sz w:val="24"/>
          <w:szCs w:val="24"/>
        </w:rPr>
        <w:t xml:space="preserve">we can </w:t>
      </w:r>
      <w:r w:rsidR="00D61D27" w:rsidRPr="009C3204">
        <w:rPr>
          <w:rFonts w:ascii="Cambria" w:hAnsi="Cambria"/>
          <w:sz w:val="24"/>
          <w:szCs w:val="24"/>
        </w:rPr>
        <w:t xml:space="preserve">however </w:t>
      </w:r>
      <w:r w:rsidR="00111178" w:rsidRPr="009C3204">
        <w:rPr>
          <w:rFonts w:ascii="Cambria" w:hAnsi="Cambria"/>
          <w:sz w:val="24"/>
          <w:szCs w:val="24"/>
        </w:rPr>
        <w:t xml:space="preserve">note the pervasive presence of </w:t>
      </w:r>
      <w:r w:rsidR="00263248" w:rsidRPr="009C3204">
        <w:rPr>
          <w:rFonts w:ascii="Cambria" w:hAnsi="Cambria"/>
          <w:sz w:val="24"/>
          <w:szCs w:val="24"/>
        </w:rPr>
        <w:t xml:space="preserve">the language of </w:t>
      </w:r>
      <w:r w:rsidR="00111178" w:rsidRPr="009C3204">
        <w:rPr>
          <w:rFonts w:ascii="Cambria" w:hAnsi="Cambria"/>
          <w:sz w:val="24"/>
          <w:szCs w:val="24"/>
        </w:rPr>
        <w:t xml:space="preserve">risk in private law. </w:t>
      </w:r>
      <w:r w:rsidRPr="009C3204">
        <w:rPr>
          <w:rFonts w:ascii="Cambria" w:hAnsi="Cambria"/>
          <w:sz w:val="24"/>
          <w:szCs w:val="24"/>
        </w:rPr>
        <w:t>For example, c</w:t>
      </w:r>
      <w:r w:rsidR="00C25974" w:rsidRPr="009C3204">
        <w:rPr>
          <w:rFonts w:ascii="Cambria" w:hAnsi="Cambria"/>
          <w:sz w:val="24"/>
          <w:szCs w:val="24"/>
        </w:rPr>
        <w:t xml:space="preserve">ontracts are routinely analysed in terms of their allocation of risk to one party or another; remoteness of damage in tort has been analysed in terms </w:t>
      </w:r>
      <w:r w:rsidR="00717602" w:rsidRPr="009C3204">
        <w:rPr>
          <w:rFonts w:ascii="Cambria" w:hAnsi="Cambria"/>
          <w:sz w:val="24"/>
          <w:szCs w:val="24"/>
        </w:rPr>
        <w:t>of a so-called ‘risk principle’;</w:t>
      </w:r>
      <w:r w:rsidR="00E87739" w:rsidRPr="009C3204">
        <w:rPr>
          <w:rStyle w:val="FootnoteReference"/>
          <w:rFonts w:ascii="Cambria" w:hAnsi="Cambria"/>
          <w:sz w:val="24"/>
          <w:szCs w:val="24"/>
        </w:rPr>
        <w:footnoteReference w:id="25"/>
      </w:r>
      <w:r w:rsidR="00C25974" w:rsidRPr="009C3204">
        <w:rPr>
          <w:rFonts w:ascii="Cambria" w:hAnsi="Cambria"/>
          <w:sz w:val="24"/>
          <w:szCs w:val="24"/>
        </w:rPr>
        <w:t xml:space="preserve"> and ‘voluntary assumption </w:t>
      </w:r>
      <w:r w:rsidR="006C4C2C" w:rsidRPr="009C3204">
        <w:rPr>
          <w:rFonts w:ascii="Cambria" w:hAnsi="Cambria"/>
          <w:sz w:val="24"/>
          <w:szCs w:val="24"/>
        </w:rPr>
        <w:t>of risk’ is</w:t>
      </w:r>
      <w:r w:rsidR="00C25974" w:rsidRPr="009C3204">
        <w:rPr>
          <w:rFonts w:ascii="Cambria" w:hAnsi="Cambria"/>
          <w:sz w:val="24"/>
          <w:szCs w:val="24"/>
        </w:rPr>
        <w:t xml:space="preserve"> </w:t>
      </w:r>
      <w:r w:rsidR="009150A0" w:rsidRPr="009C3204">
        <w:rPr>
          <w:rFonts w:ascii="Cambria" w:hAnsi="Cambria"/>
          <w:sz w:val="24"/>
          <w:szCs w:val="24"/>
        </w:rPr>
        <w:t xml:space="preserve">both </w:t>
      </w:r>
      <w:r w:rsidR="00C25974" w:rsidRPr="009C3204">
        <w:rPr>
          <w:rFonts w:ascii="Cambria" w:hAnsi="Cambria"/>
          <w:sz w:val="24"/>
          <w:szCs w:val="24"/>
        </w:rPr>
        <w:t>a recognised def</w:t>
      </w:r>
      <w:r w:rsidR="00F32F2C" w:rsidRPr="009C3204">
        <w:rPr>
          <w:rFonts w:ascii="Cambria" w:hAnsi="Cambria"/>
          <w:sz w:val="24"/>
          <w:szCs w:val="24"/>
        </w:rPr>
        <w:t xml:space="preserve">ence in the law of tort, and a </w:t>
      </w:r>
      <w:r w:rsidR="006C4C2C" w:rsidRPr="009C3204">
        <w:rPr>
          <w:rFonts w:ascii="Cambria" w:hAnsi="Cambria"/>
          <w:sz w:val="24"/>
          <w:szCs w:val="24"/>
        </w:rPr>
        <w:t>c</w:t>
      </w:r>
      <w:r w:rsidR="00F32F2C" w:rsidRPr="009C3204">
        <w:rPr>
          <w:rFonts w:ascii="Cambria" w:hAnsi="Cambria"/>
          <w:sz w:val="24"/>
          <w:szCs w:val="24"/>
        </w:rPr>
        <w:t>ontroversial</w:t>
      </w:r>
      <w:r w:rsidR="00C25974" w:rsidRPr="009C3204">
        <w:rPr>
          <w:rFonts w:ascii="Cambria" w:hAnsi="Cambria"/>
          <w:sz w:val="24"/>
          <w:szCs w:val="24"/>
        </w:rPr>
        <w:t xml:space="preserve"> means of assessing the </w:t>
      </w:r>
      <w:r w:rsidR="00E87739" w:rsidRPr="009C3204">
        <w:rPr>
          <w:rFonts w:ascii="Cambria" w:hAnsi="Cambria"/>
          <w:sz w:val="24"/>
          <w:szCs w:val="24"/>
        </w:rPr>
        <w:t xml:space="preserve">extent and </w:t>
      </w:r>
      <w:r w:rsidR="00C25974" w:rsidRPr="009C3204">
        <w:rPr>
          <w:rFonts w:ascii="Cambria" w:hAnsi="Cambria"/>
          <w:sz w:val="24"/>
          <w:szCs w:val="24"/>
        </w:rPr>
        <w:t xml:space="preserve">limits of tort duties. In occupiers’ liability, </w:t>
      </w:r>
      <w:r w:rsidR="00E87739" w:rsidRPr="009C3204">
        <w:rPr>
          <w:rFonts w:ascii="Cambria" w:hAnsi="Cambria"/>
          <w:sz w:val="24"/>
          <w:szCs w:val="24"/>
        </w:rPr>
        <w:t xml:space="preserve">it has been clarified that </w:t>
      </w:r>
      <w:r w:rsidR="00C25974" w:rsidRPr="009C3204">
        <w:rPr>
          <w:rFonts w:ascii="Cambria" w:hAnsi="Cambria"/>
          <w:sz w:val="24"/>
          <w:szCs w:val="24"/>
        </w:rPr>
        <w:t>there is no protection for trespassers against obvious risks;</w:t>
      </w:r>
      <w:r w:rsidR="00717602" w:rsidRPr="009C3204">
        <w:rPr>
          <w:rStyle w:val="FootnoteReference"/>
          <w:rFonts w:ascii="Cambria" w:hAnsi="Cambria"/>
          <w:sz w:val="24"/>
          <w:szCs w:val="24"/>
        </w:rPr>
        <w:footnoteReference w:id="26"/>
      </w:r>
      <w:r w:rsidR="00C25974" w:rsidRPr="009C3204">
        <w:rPr>
          <w:rFonts w:ascii="Cambria" w:hAnsi="Cambria"/>
          <w:sz w:val="24"/>
          <w:szCs w:val="24"/>
        </w:rPr>
        <w:t xml:space="preserve"> the field of employers’ liability is suffused with duties of risk assessment both through regulation and </w:t>
      </w:r>
      <w:r w:rsidR="00E87739" w:rsidRPr="009C3204">
        <w:rPr>
          <w:rFonts w:ascii="Cambria" w:hAnsi="Cambria"/>
          <w:sz w:val="24"/>
          <w:szCs w:val="24"/>
        </w:rPr>
        <w:t xml:space="preserve">now </w:t>
      </w:r>
      <w:r w:rsidR="00C25974" w:rsidRPr="009C3204">
        <w:rPr>
          <w:rFonts w:ascii="Cambria" w:hAnsi="Cambria"/>
          <w:sz w:val="24"/>
          <w:szCs w:val="24"/>
        </w:rPr>
        <w:t>at common law;</w:t>
      </w:r>
      <w:r w:rsidR="003C596D" w:rsidRPr="009C3204">
        <w:rPr>
          <w:rStyle w:val="FootnoteReference"/>
          <w:rFonts w:ascii="Cambria" w:hAnsi="Cambria"/>
          <w:sz w:val="24"/>
          <w:szCs w:val="24"/>
        </w:rPr>
        <w:footnoteReference w:id="27"/>
      </w:r>
      <w:r w:rsidR="00C25974" w:rsidRPr="009C3204">
        <w:rPr>
          <w:rFonts w:ascii="Cambria" w:hAnsi="Cambria"/>
          <w:sz w:val="24"/>
          <w:szCs w:val="24"/>
        </w:rPr>
        <w:t xml:space="preserve"> and the ‘development risks defence’ is the most debated feature of the European products liability regime</w:t>
      </w:r>
      <w:r w:rsidR="00F32F2C" w:rsidRPr="009C3204">
        <w:rPr>
          <w:rFonts w:ascii="Cambria" w:hAnsi="Cambria"/>
          <w:sz w:val="24"/>
          <w:szCs w:val="24"/>
        </w:rPr>
        <w:t>,</w:t>
      </w:r>
      <w:r w:rsidR="00F222D5" w:rsidRPr="009C3204">
        <w:rPr>
          <w:rStyle w:val="FootnoteReference"/>
          <w:rFonts w:ascii="Cambria" w:hAnsi="Cambria"/>
          <w:sz w:val="24"/>
          <w:szCs w:val="24"/>
        </w:rPr>
        <w:footnoteReference w:id="28"/>
      </w:r>
      <w:r w:rsidR="00F32F2C" w:rsidRPr="009C3204">
        <w:rPr>
          <w:rFonts w:ascii="Cambria" w:hAnsi="Cambria"/>
          <w:sz w:val="24"/>
          <w:szCs w:val="24"/>
        </w:rPr>
        <w:t xml:space="preserve"> </w:t>
      </w:r>
      <w:r w:rsidR="004A53CD" w:rsidRPr="009C3204">
        <w:rPr>
          <w:rFonts w:ascii="Cambria" w:hAnsi="Cambria"/>
          <w:sz w:val="24"/>
          <w:szCs w:val="24"/>
        </w:rPr>
        <w:t xml:space="preserve">effecting </w:t>
      </w:r>
      <w:r w:rsidR="00F32F2C" w:rsidRPr="009C3204">
        <w:rPr>
          <w:rFonts w:ascii="Cambria" w:hAnsi="Cambria"/>
          <w:sz w:val="24"/>
          <w:szCs w:val="24"/>
        </w:rPr>
        <w:t xml:space="preserve">an overt allocation of costs between consumer and producer (rather than an allocation which is the result of applying some other more general </w:t>
      </w:r>
      <w:r w:rsidR="00F32F2C" w:rsidRPr="009C3204">
        <w:rPr>
          <w:rFonts w:ascii="Cambria" w:hAnsi="Cambria"/>
          <w:sz w:val="24"/>
          <w:szCs w:val="24"/>
        </w:rPr>
        <w:lastRenderedPageBreak/>
        <w:t>concept)</w:t>
      </w:r>
      <w:r w:rsidR="00C25974" w:rsidRPr="009C3204">
        <w:rPr>
          <w:rFonts w:ascii="Cambria" w:hAnsi="Cambria"/>
          <w:sz w:val="24"/>
          <w:szCs w:val="24"/>
        </w:rPr>
        <w:t>.</w:t>
      </w:r>
      <w:bookmarkStart w:id="7" w:name="_Ref480835433"/>
      <w:r w:rsidR="00E87739" w:rsidRPr="009C3204">
        <w:rPr>
          <w:rStyle w:val="FootnoteReference"/>
          <w:rFonts w:ascii="Cambria" w:hAnsi="Cambria"/>
          <w:sz w:val="24"/>
          <w:szCs w:val="24"/>
        </w:rPr>
        <w:footnoteReference w:id="29"/>
      </w:r>
      <w:bookmarkEnd w:id="7"/>
      <w:r w:rsidR="00D90E45" w:rsidRPr="009C3204">
        <w:rPr>
          <w:rFonts w:ascii="Cambria" w:hAnsi="Cambria"/>
          <w:sz w:val="24"/>
          <w:szCs w:val="24"/>
        </w:rPr>
        <w:t xml:space="preserve"> Though </w:t>
      </w:r>
      <w:r w:rsidR="00111178" w:rsidRPr="009C3204">
        <w:rPr>
          <w:rFonts w:ascii="Cambria" w:hAnsi="Cambria"/>
          <w:sz w:val="24"/>
          <w:szCs w:val="24"/>
        </w:rPr>
        <w:t>these notions of risk have very different origins</w:t>
      </w:r>
      <w:r w:rsidR="00D6241D" w:rsidRPr="009C3204">
        <w:rPr>
          <w:rFonts w:ascii="Cambria" w:hAnsi="Cambria"/>
          <w:sz w:val="24"/>
          <w:szCs w:val="24"/>
        </w:rPr>
        <w:t xml:space="preserve">, it might be argued that </w:t>
      </w:r>
      <w:r w:rsidR="00F954EE" w:rsidRPr="009C3204">
        <w:rPr>
          <w:rFonts w:ascii="Cambria" w:hAnsi="Cambria"/>
          <w:sz w:val="24"/>
          <w:szCs w:val="24"/>
        </w:rPr>
        <w:t xml:space="preserve">use of </w:t>
      </w:r>
      <w:r w:rsidR="00652E46" w:rsidRPr="009C3204">
        <w:rPr>
          <w:rFonts w:ascii="Cambria" w:hAnsi="Cambria"/>
          <w:sz w:val="24"/>
          <w:szCs w:val="24"/>
        </w:rPr>
        <w:t>‘</w:t>
      </w:r>
      <w:r w:rsidR="00F954EE" w:rsidRPr="009C3204">
        <w:rPr>
          <w:rFonts w:ascii="Cambria" w:hAnsi="Cambria"/>
          <w:sz w:val="24"/>
          <w:szCs w:val="24"/>
        </w:rPr>
        <w:t xml:space="preserve">risk’ </w:t>
      </w:r>
      <w:r w:rsidR="00652E46" w:rsidRPr="009C3204">
        <w:rPr>
          <w:rFonts w:ascii="Cambria" w:hAnsi="Cambria"/>
          <w:sz w:val="24"/>
          <w:szCs w:val="24"/>
        </w:rPr>
        <w:t xml:space="preserve">terminology </w:t>
      </w:r>
      <w:r w:rsidR="00BB2CE2">
        <w:rPr>
          <w:rFonts w:ascii="Cambria" w:hAnsi="Cambria"/>
          <w:sz w:val="24"/>
          <w:szCs w:val="24"/>
        </w:rPr>
        <w:t>has more recently been</w:t>
      </w:r>
      <w:r w:rsidR="00F954EE" w:rsidRPr="009C3204">
        <w:rPr>
          <w:rFonts w:ascii="Cambria" w:hAnsi="Cambria"/>
          <w:sz w:val="24"/>
          <w:szCs w:val="24"/>
        </w:rPr>
        <w:t xml:space="preserve"> on the rise in private law doctrine</w:t>
      </w:r>
      <w:r w:rsidR="00D6241D" w:rsidRPr="009C3204">
        <w:rPr>
          <w:rFonts w:ascii="Cambria" w:hAnsi="Cambria"/>
          <w:sz w:val="24"/>
          <w:szCs w:val="24"/>
        </w:rPr>
        <w:t xml:space="preserve">, </w:t>
      </w:r>
      <w:r w:rsidR="00D90E45" w:rsidRPr="009C3204">
        <w:rPr>
          <w:rFonts w:ascii="Cambria" w:hAnsi="Cambria"/>
          <w:sz w:val="24"/>
          <w:szCs w:val="24"/>
        </w:rPr>
        <w:t>but</w:t>
      </w:r>
      <w:r w:rsidR="00D6241D" w:rsidRPr="009C3204">
        <w:rPr>
          <w:rFonts w:ascii="Cambria" w:hAnsi="Cambria"/>
          <w:sz w:val="24"/>
          <w:szCs w:val="24"/>
        </w:rPr>
        <w:t xml:space="preserve"> mo</w:t>
      </w:r>
      <w:r w:rsidR="00D13F3D" w:rsidRPr="009C3204">
        <w:rPr>
          <w:rFonts w:ascii="Cambria" w:hAnsi="Cambria"/>
          <w:sz w:val="24"/>
          <w:szCs w:val="24"/>
        </w:rPr>
        <w:t>st particularly the law of tort</w:t>
      </w:r>
      <w:r w:rsidR="00BB2CE2">
        <w:rPr>
          <w:rFonts w:ascii="Cambria" w:hAnsi="Cambria"/>
          <w:sz w:val="24"/>
          <w:szCs w:val="24"/>
        </w:rPr>
        <w:t>, and this is sketched in Part IV</w:t>
      </w:r>
      <w:r w:rsidR="00D90E45" w:rsidRPr="009C3204">
        <w:rPr>
          <w:rFonts w:ascii="Cambria" w:hAnsi="Cambria"/>
          <w:sz w:val="24"/>
          <w:szCs w:val="24"/>
        </w:rPr>
        <w:t xml:space="preserve">. </w:t>
      </w:r>
      <w:r w:rsidR="00BB2CE2">
        <w:rPr>
          <w:rFonts w:ascii="Cambria" w:hAnsi="Cambria"/>
          <w:sz w:val="24"/>
          <w:szCs w:val="24"/>
        </w:rPr>
        <w:t>There</w:t>
      </w:r>
      <w:r w:rsidR="00BB2CE2" w:rsidRPr="007E3C89">
        <w:rPr>
          <w:rFonts w:ascii="Cambria" w:hAnsi="Cambria"/>
          <w:sz w:val="24"/>
          <w:szCs w:val="24"/>
        </w:rPr>
        <w:t>, I will suggest that more recent uses of ‘risk’ in private law are</w:t>
      </w:r>
      <w:r w:rsidR="00D90E45" w:rsidRPr="007E3C89">
        <w:rPr>
          <w:rFonts w:ascii="Cambria" w:hAnsi="Cambria"/>
          <w:sz w:val="24"/>
          <w:szCs w:val="24"/>
        </w:rPr>
        <w:t xml:space="preserve"> </w:t>
      </w:r>
      <w:r w:rsidR="00D6241D" w:rsidRPr="007E3C89">
        <w:rPr>
          <w:rFonts w:ascii="Cambria" w:hAnsi="Cambria"/>
          <w:sz w:val="24"/>
          <w:szCs w:val="24"/>
        </w:rPr>
        <w:t xml:space="preserve">associated with some distinctive ideas. The </w:t>
      </w:r>
      <w:r w:rsidR="00BB2CE2" w:rsidRPr="007E3C89">
        <w:rPr>
          <w:rFonts w:ascii="Cambria" w:hAnsi="Cambria"/>
          <w:sz w:val="24"/>
          <w:szCs w:val="24"/>
        </w:rPr>
        <w:t xml:space="preserve">overall </w:t>
      </w:r>
      <w:r w:rsidR="00D6241D" w:rsidRPr="007E3C89">
        <w:rPr>
          <w:rFonts w:ascii="Cambria" w:hAnsi="Cambria"/>
          <w:sz w:val="24"/>
          <w:szCs w:val="24"/>
        </w:rPr>
        <w:t xml:space="preserve">question </w:t>
      </w:r>
      <w:r w:rsidR="00EB38BD" w:rsidRPr="007E3C89">
        <w:rPr>
          <w:rFonts w:ascii="Cambria" w:hAnsi="Cambria"/>
          <w:sz w:val="24"/>
          <w:szCs w:val="24"/>
        </w:rPr>
        <w:t>is whether there is any link between these two</w:t>
      </w:r>
      <w:r w:rsidR="00FE149A" w:rsidRPr="007E3C89">
        <w:rPr>
          <w:rFonts w:ascii="Cambria" w:hAnsi="Cambria"/>
          <w:sz w:val="24"/>
          <w:szCs w:val="24"/>
        </w:rPr>
        <w:t xml:space="preserve"> things: </w:t>
      </w:r>
      <w:r w:rsidR="00D90E45" w:rsidRPr="007E3C89">
        <w:rPr>
          <w:rFonts w:ascii="Cambria" w:hAnsi="Cambria"/>
          <w:sz w:val="24"/>
          <w:szCs w:val="24"/>
        </w:rPr>
        <w:t xml:space="preserve">the </w:t>
      </w:r>
      <w:r w:rsidR="00FE149A" w:rsidRPr="007E3C89">
        <w:rPr>
          <w:rFonts w:ascii="Cambria" w:hAnsi="Cambria"/>
          <w:sz w:val="24"/>
          <w:szCs w:val="24"/>
        </w:rPr>
        <w:t>broader social developments in ‘risk’</w:t>
      </w:r>
      <w:r w:rsidR="00D90E45" w:rsidRPr="007E3C89">
        <w:rPr>
          <w:rFonts w:ascii="Cambria" w:hAnsi="Cambria"/>
          <w:sz w:val="24"/>
          <w:szCs w:val="24"/>
        </w:rPr>
        <w:t xml:space="preserve"> </w:t>
      </w:r>
      <w:r w:rsidR="00F32F2C" w:rsidRPr="007E3C89">
        <w:rPr>
          <w:rFonts w:ascii="Cambria" w:hAnsi="Cambria"/>
          <w:sz w:val="24"/>
          <w:szCs w:val="24"/>
        </w:rPr>
        <w:t xml:space="preserve">and regulation </w:t>
      </w:r>
      <w:r w:rsidR="00BB2CE2" w:rsidRPr="007E3C89">
        <w:rPr>
          <w:rFonts w:ascii="Cambria" w:hAnsi="Cambria"/>
          <w:sz w:val="24"/>
          <w:szCs w:val="24"/>
        </w:rPr>
        <w:t xml:space="preserve">roughly </w:t>
      </w:r>
      <w:r w:rsidR="00D90E45" w:rsidRPr="007E3C89">
        <w:rPr>
          <w:rFonts w:ascii="Cambria" w:hAnsi="Cambria"/>
          <w:sz w:val="24"/>
          <w:szCs w:val="24"/>
        </w:rPr>
        <w:t>sketched</w:t>
      </w:r>
      <w:r w:rsidR="00FE149A" w:rsidRPr="007E3C89">
        <w:rPr>
          <w:rFonts w:ascii="Cambria" w:hAnsi="Cambria"/>
          <w:sz w:val="24"/>
          <w:szCs w:val="24"/>
        </w:rPr>
        <w:t xml:space="preserve"> </w:t>
      </w:r>
      <w:r w:rsidR="00BB2CE2" w:rsidRPr="007E3C89">
        <w:rPr>
          <w:rFonts w:ascii="Cambria" w:hAnsi="Cambria"/>
          <w:sz w:val="24"/>
          <w:szCs w:val="24"/>
        </w:rPr>
        <w:t>in this Part</w:t>
      </w:r>
      <w:r w:rsidR="00FE149A" w:rsidRPr="007E3C89">
        <w:rPr>
          <w:rFonts w:ascii="Cambria" w:hAnsi="Cambria"/>
          <w:sz w:val="24"/>
          <w:szCs w:val="24"/>
        </w:rPr>
        <w:t xml:space="preserve">; and </w:t>
      </w:r>
      <w:r w:rsidR="00BB2CE2" w:rsidRPr="007E3C89">
        <w:rPr>
          <w:rFonts w:ascii="Cambria" w:hAnsi="Cambria"/>
          <w:sz w:val="24"/>
          <w:szCs w:val="24"/>
        </w:rPr>
        <w:t xml:space="preserve">evolution in the </w:t>
      </w:r>
      <w:r w:rsidR="00FE149A" w:rsidRPr="007E3C89">
        <w:rPr>
          <w:rFonts w:ascii="Cambria" w:hAnsi="Cambria"/>
          <w:sz w:val="24"/>
          <w:szCs w:val="24"/>
        </w:rPr>
        <w:t>internal discourse</w:t>
      </w:r>
      <w:r w:rsidR="009E106D" w:rsidRPr="007E3C89">
        <w:rPr>
          <w:rFonts w:ascii="Cambria" w:hAnsi="Cambria"/>
          <w:sz w:val="24"/>
          <w:szCs w:val="24"/>
        </w:rPr>
        <w:t xml:space="preserve"> within private law</w:t>
      </w:r>
      <w:r w:rsidR="00FE149A" w:rsidRPr="007E3C89">
        <w:rPr>
          <w:rFonts w:ascii="Cambria" w:hAnsi="Cambria"/>
          <w:sz w:val="24"/>
          <w:szCs w:val="24"/>
        </w:rPr>
        <w:t xml:space="preserve"> </w:t>
      </w:r>
      <w:r w:rsidR="002F4DA7" w:rsidRPr="007E3C89">
        <w:rPr>
          <w:rFonts w:ascii="Cambria" w:hAnsi="Cambria"/>
          <w:sz w:val="24"/>
          <w:szCs w:val="24"/>
        </w:rPr>
        <w:t xml:space="preserve">using the language of </w:t>
      </w:r>
      <w:r w:rsidR="00FE149A" w:rsidRPr="007E3C89">
        <w:rPr>
          <w:rFonts w:ascii="Cambria" w:hAnsi="Cambria"/>
          <w:sz w:val="24"/>
          <w:szCs w:val="24"/>
        </w:rPr>
        <w:t>risk on the other</w:t>
      </w:r>
      <w:r w:rsidR="00EB38BD" w:rsidRPr="007E3C89">
        <w:rPr>
          <w:rFonts w:ascii="Cambria" w:hAnsi="Cambria"/>
          <w:sz w:val="24"/>
          <w:szCs w:val="24"/>
        </w:rPr>
        <w:t>.</w:t>
      </w:r>
      <w:r w:rsidR="00F32F2C" w:rsidRPr="007E3C89">
        <w:rPr>
          <w:rFonts w:ascii="Cambria" w:hAnsi="Cambria"/>
          <w:sz w:val="24"/>
          <w:szCs w:val="24"/>
        </w:rPr>
        <w:t xml:space="preserve"> </w:t>
      </w:r>
      <w:r w:rsidR="00BB2CE2" w:rsidRPr="007E3C89">
        <w:rPr>
          <w:rFonts w:ascii="Cambria" w:hAnsi="Cambria"/>
          <w:sz w:val="24"/>
          <w:szCs w:val="24"/>
        </w:rPr>
        <w:t xml:space="preserve">Do these </w:t>
      </w:r>
      <w:r w:rsidR="00103353" w:rsidRPr="007E3C89">
        <w:rPr>
          <w:rFonts w:ascii="Cambria" w:hAnsi="Cambria"/>
          <w:sz w:val="24"/>
          <w:szCs w:val="24"/>
        </w:rPr>
        <w:t xml:space="preserve">phenomena </w:t>
      </w:r>
      <w:r w:rsidR="00BB2CE2" w:rsidRPr="007E3C89">
        <w:rPr>
          <w:rFonts w:ascii="Cambria" w:hAnsi="Cambria"/>
          <w:sz w:val="24"/>
          <w:szCs w:val="24"/>
        </w:rPr>
        <w:t>appear to track one another in different time periods?</w:t>
      </w:r>
    </w:p>
    <w:p w14:paraId="0B981B54" w14:textId="77777777" w:rsidR="007E7275" w:rsidRPr="008D7D23" w:rsidRDefault="007E7275" w:rsidP="008D7D23">
      <w:pPr>
        <w:pStyle w:val="ListParagraph"/>
        <w:numPr>
          <w:ilvl w:val="0"/>
          <w:numId w:val="4"/>
        </w:numPr>
        <w:spacing w:line="240" w:lineRule="auto"/>
        <w:jc w:val="both"/>
        <w:outlineLvl w:val="0"/>
        <w:rPr>
          <w:rFonts w:ascii="Cambria" w:hAnsi="Cambria"/>
          <w:sz w:val="24"/>
          <w:szCs w:val="24"/>
        </w:rPr>
      </w:pPr>
      <w:r w:rsidRPr="008D7D23">
        <w:rPr>
          <w:rFonts w:ascii="Cambria" w:hAnsi="Cambria"/>
          <w:sz w:val="24"/>
          <w:szCs w:val="24"/>
        </w:rPr>
        <w:t>Risk and regulatory change</w:t>
      </w:r>
    </w:p>
    <w:p w14:paraId="657E3A4C" w14:textId="4A7F5013" w:rsidR="0013170A" w:rsidRDefault="005A100F" w:rsidP="007E7275">
      <w:pPr>
        <w:spacing w:line="240" w:lineRule="auto"/>
        <w:jc w:val="both"/>
        <w:rPr>
          <w:rFonts w:ascii="Cambria" w:hAnsi="Cambria"/>
          <w:sz w:val="24"/>
          <w:szCs w:val="24"/>
        </w:rPr>
      </w:pPr>
      <w:r>
        <w:rPr>
          <w:rFonts w:ascii="Cambria" w:hAnsi="Cambria"/>
          <w:sz w:val="24"/>
          <w:szCs w:val="24"/>
        </w:rPr>
        <w:t>I</w:t>
      </w:r>
      <w:r w:rsidR="007E7275" w:rsidRPr="007E7275">
        <w:rPr>
          <w:rFonts w:ascii="Cambria" w:hAnsi="Cambria"/>
          <w:sz w:val="24"/>
          <w:szCs w:val="24"/>
        </w:rPr>
        <w:t>t is also important to note a deep link between regulatory change, and ‘risk revolutions’. This is a significant element in the influence of such revolutions over private law not least because of the changing division between and function of what would previously have been perceived as the public and private spheres.</w:t>
      </w:r>
      <w:r w:rsidR="0013170A">
        <w:rPr>
          <w:rFonts w:ascii="Cambria" w:hAnsi="Cambria"/>
          <w:sz w:val="24"/>
          <w:szCs w:val="24"/>
        </w:rPr>
        <w:t xml:space="preserve"> This may in turn signal a changed role for private law. This section </w:t>
      </w:r>
      <w:r>
        <w:rPr>
          <w:rFonts w:ascii="Cambria" w:hAnsi="Cambria"/>
          <w:sz w:val="24"/>
          <w:szCs w:val="24"/>
        </w:rPr>
        <w:t xml:space="preserve">briefly </w:t>
      </w:r>
      <w:r w:rsidR="0013170A">
        <w:rPr>
          <w:rFonts w:ascii="Cambria" w:hAnsi="Cambria"/>
          <w:sz w:val="24"/>
          <w:szCs w:val="24"/>
        </w:rPr>
        <w:t>introduces those regulatory changes</w:t>
      </w:r>
      <w:r>
        <w:rPr>
          <w:rFonts w:ascii="Cambria" w:hAnsi="Cambria"/>
          <w:sz w:val="24"/>
          <w:szCs w:val="24"/>
        </w:rPr>
        <w:t xml:space="preserve"> and the role that scholars have identified for risk</w:t>
      </w:r>
      <w:r w:rsidR="0013170A">
        <w:rPr>
          <w:rFonts w:ascii="Cambria" w:hAnsi="Cambria"/>
          <w:sz w:val="24"/>
          <w:szCs w:val="24"/>
        </w:rPr>
        <w:t>; later Parts will consider the place of private law in relation to these.</w:t>
      </w:r>
    </w:p>
    <w:p w14:paraId="655D0E0D" w14:textId="42E44DA7" w:rsidR="007E7275" w:rsidRDefault="005A100F" w:rsidP="007E7275">
      <w:pPr>
        <w:spacing w:line="240" w:lineRule="auto"/>
        <w:jc w:val="both"/>
        <w:rPr>
          <w:rFonts w:ascii="Cambria" w:hAnsi="Cambria"/>
          <w:sz w:val="24"/>
          <w:szCs w:val="24"/>
        </w:rPr>
      </w:pPr>
      <w:r>
        <w:rPr>
          <w:rFonts w:ascii="Cambria" w:hAnsi="Cambria"/>
          <w:sz w:val="24"/>
          <w:szCs w:val="24"/>
        </w:rPr>
        <w:t>While</w:t>
      </w:r>
      <w:r w:rsidR="007E7275" w:rsidRPr="007E7275">
        <w:rPr>
          <w:rFonts w:ascii="Cambria" w:hAnsi="Cambria"/>
          <w:sz w:val="24"/>
          <w:szCs w:val="24"/>
        </w:rPr>
        <w:t xml:space="preserve"> risk and security were central to the emergence of the welfare state, risk has </w:t>
      </w:r>
      <w:r>
        <w:rPr>
          <w:rFonts w:ascii="Cambria" w:hAnsi="Cambria"/>
          <w:sz w:val="24"/>
          <w:szCs w:val="24"/>
        </w:rPr>
        <w:t xml:space="preserve">more recently </w:t>
      </w:r>
      <w:r w:rsidR="007E7275" w:rsidRPr="007E7275">
        <w:rPr>
          <w:rFonts w:ascii="Cambria" w:hAnsi="Cambria"/>
          <w:sz w:val="24"/>
          <w:szCs w:val="24"/>
        </w:rPr>
        <w:t xml:space="preserve">been identified as </w:t>
      </w:r>
      <w:r>
        <w:rPr>
          <w:rFonts w:ascii="Cambria" w:hAnsi="Cambria"/>
          <w:sz w:val="24"/>
          <w:szCs w:val="24"/>
        </w:rPr>
        <w:t xml:space="preserve">also being </w:t>
      </w:r>
      <w:r w:rsidR="007E7275" w:rsidRPr="007E7275">
        <w:rPr>
          <w:rFonts w:ascii="Cambria" w:hAnsi="Cambria"/>
          <w:sz w:val="24"/>
          <w:szCs w:val="24"/>
        </w:rPr>
        <w:t>a key element in the rise of the ‘regulatory state’ or ‘new regulatory state’.</w:t>
      </w:r>
      <w:r w:rsidR="007E7275" w:rsidRPr="007E7275">
        <w:rPr>
          <w:rFonts w:ascii="Cambria" w:hAnsi="Cambria"/>
          <w:sz w:val="24"/>
          <w:szCs w:val="24"/>
          <w:vertAlign w:val="superscript"/>
        </w:rPr>
        <w:footnoteReference w:id="30"/>
      </w:r>
      <w:r w:rsidR="007E7275" w:rsidRPr="007E7275">
        <w:rPr>
          <w:rFonts w:ascii="Cambria" w:hAnsi="Cambria"/>
          <w:sz w:val="24"/>
          <w:szCs w:val="24"/>
        </w:rPr>
        <w:t xml:space="preserve"> The regulatory state is said to have been marked by a ‘</w:t>
      </w:r>
      <w:proofErr w:type="spellStart"/>
      <w:r w:rsidR="007E7275" w:rsidRPr="007E7275">
        <w:rPr>
          <w:rFonts w:ascii="Cambria" w:hAnsi="Cambria"/>
          <w:sz w:val="24"/>
          <w:szCs w:val="24"/>
        </w:rPr>
        <w:t>decentering</w:t>
      </w:r>
      <w:proofErr w:type="spellEnd"/>
      <w:r w:rsidR="007E7275" w:rsidRPr="007E7275">
        <w:rPr>
          <w:rFonts w:ascii="Cambria" w:hAnsi="Cambria"/>
          <w:sz w:val="24"/>
          <w:szCs w:val="24"/>
        </w:rPr>
        <w:t>’ of the state, increased privatisation, and a recommendation that governments should increasingly ‘steer but not row’, devolving practical implementation of policy while retaining policy control.</w:t>
      </w:r>
      <w:r w:rsidR="007E7275" w:rsidRPr="007E7275">
        <w:rPr>
          <w:rFonts w:ascii="Cambria" w:hAnsi="Cambria"/>
          <w:sz w:val="24"/>
          <w:szCs w:val="24"/>
          <w:vertAlign w:val="superscript"/>
        </w:rPr>
        <w:footnoteReference w:id="31"/>
      </w:r>
      <w:r w:rsidR="007E7275" w:rsidRPr="007E7275">
        <w:rPr>
          <w:rFonts w:ascii="Cambria" w:hAnsi="Cambria"/>
          <w:sz w:val="24"/>
          <w:szCs w:val="24"/>
        </w:rPr>
        <w:t xml:space="preserve"> This ‘has seen the state reduce its role as a direct provider but increase its role as a regulator’, with the creation of a panoply of regulatory frameworks.</w:t>
      </w:r>
      <w:bookmarkStart w:id="8" w:name="_Ref480742324"/>
      <w:r w:rsidR="007E7275" w:rsidRPr="007E7275">
        <w:rPr>
          <w:rFonts w:ascii="Cambria" w:hAnsi="Cambria"/>
          <w:sz w:val="24"/>
          <w:szCs w:val="24"/>
          <w:vertAlign w:val="superscript"/>
        </w:rPr>
        <w:footnoteReference w:id="32"/>
      </w:r>
      <w:bookmarkEnd w:id="8"/>
      <w:r w:rsidR="007E7275" w:rsidRPr="007E7275">
        <w:rPr>
          <w:rFonts w:ascii="Cambria" w:hAnsi="Cambria"/>
          <w:sz w:val="24"/>
          <w:szCs w:val="24"/>
        </w:rPr>
        <w:t xml:space="preserve"> The rise of regulation </w:t>
      </w:r>
      <w:r>
        <w:rPr>
          <w:rFonts w:ascii="Cambria" w:hAnsi="Cambria"/>
          <w:sz w:val="24"/>
          <w:szCs w:val="24"/>
        </w:rPr>
        <w:t xml:space="preserve">in these forms </w:t>
      </w:r>
      <w:r w:rsidR="007E7275" w:rsidRPr="007E7275">
        <w:rPr>
          <w:rFonts w:ascii="Cambria" w:hAnsi="Cambria"/>
          <w:sz w:val="24"/>
          <w:szCs w:val="24"/>
        </w:rPr>
        <w:t>has inherently led to an emphasis on risk</w:t>
      </w:r>
      <w:r>
        <w:rPr>
          <w:rFonts w:ascii="Cambria" w:hAnsi="Cambria"/>
          <w:sz w:val="24"/>
          <w:szCs w:val="24"/>
        </w:rPr>
        <w:t>, but inevitably, it plays a very different role from the one it played in the emergence of a centralised welfare or security state</w:t>
      </w:r>
      <w:r w:rsidR="007E7275" w:rsidRPr="007E7275">
        <w:rPr>
          <w:rFonts w:ascii="Cambria" w:hAnsi="Cambria"/>
          <w:sz w:val="24"/>
          <w:szCs w:val="24"/>
        </w:rPr>
        <w:t>. While there is an emphasis on the division between public and private, inherent in the very notions of privatization and deregulation, in practice this division is blurred, since the deregulatory elements of the shift can be overstated: the emphasis is on managed self-regulation and on mechanisms of ‘steering at a distance’; though this may also mean perusal of internal management processes which would otherwise be perceived as private.</w:t>
      </w:r>
      <w:r w:rsidR="007E7275" w:rsidRPr="007E7275">
        <w:rPr>
          <w:rFonts w:ascii="Cambria" w:hAnsi="Cambria"/>
          <w:sz w:val="24"/>
          <w:szCs w:val="24"/>
          <w:vertAlign w:val="superscript"/>
        </w:rPr>
        <w:footnoteReference w:id="33"/>
      </w:r>
      <w:r w:rsidR="007E7275" w:rsidRPr="007E7275">
        <w:rPr>
          <w:rFonts w:ascii="Cambria" w:hAnsi="Cambria"/>
          <w:sz w:val="24"/>
          <w:szCs w:val="24"/>
        </w:rPr>
        <w:t xml:space="preserve"> At the theoretical level, risk management is intimately linked to these developments as a pervasive ‘technology of governance’</w:t>
      </w:r>
      <w:r w:rsidR="007E7275" w:rsidRPr="007E7275">
        <w:rPr>
          <w:rFonts w:ascii="Cambria" w:hAnsi="Cambria"/>
          <w:sz w:val="24"/>
          <w:szCs w:val="24"/>
          <w:vertAlign w:val="superscript"/>
        </w:rPr>
        <w:footnoteReference w:id="34"/>
      </w:r>
      <w:r w:rsidR="007E7275" w:rsidRPr="007E7275">
        <w:rPr>
          <w:rFonts w:ascii="Cambria" w:hAnsi="Cambria"/>
          <w:sz w:val="24"/>
          <w:szCs w:val="24"/>
        </w:rPr>
        <w:t xml:space="preserve"> which facilitates self-regulation; for example, risk is an integral aspect of ‘management based’ regulation, by </w:t>
      </w:r>
      <w:r w:rsidR="007E7275" w:rsidRPr="007E7275">
        <w:rPr>
          <w:rFonts w:ascii="Cambria" w:hAnsi="Cambria"/>
          <w:sz w:val="24"/>
          <w:szCs w:val="24"/>
        </w:rPr>
        <w:lastRenderedPageBreak/>
        <w:t>which regulators seek to assess the risk management processes of firms, rather than assessing compliance on an individual level.</w:t>
      </w:r>
      <w:r w:rsidR="007E7275" w:rsidRPr="007E7275">
        <w:rPr>
          <w:rFonts w:ascii="Cambria" w:hAnsi="Cambria"/>
          <w:sz w:val="24"/>
          <w:szCs w:val="24"/>
          <w:vertAlign w:val="superscript"/>
        </w:rPr>
        <w:footnoteReference w:id="35"/>
      </w:r>
    </w:p>
    <w:p w14:paraId="657D9A6E" w14:textId="27F7C9A4" w:rsidR="0013170A" w:rsidRPr="007E7275" w:rsidRDefault="0013170A" w:rsidP="007E7275">
      <w:pPr>
        <w:spacing w:line="240" w:lineRule="auto"/>
        <w:jc w:val="both"/>
        <w:rPr>
          <w:rFonts w:ascii="Cambria" w:hAnsi="Cambria"/>
          <w:sz w:val="24"/>
          <w:szCs w:val="24"/>
        </w:rPr>
      </w:pPr>
      <w:r>
        <w:rPr>
          <w:rFonts w:ascii="Cambria" w:hAnsi="Cambria"/>
          <w:sz w:val="24"/>
          <w:szCs w:val="24"/>
        </w:rPr>
        <w:t xml:space="preserve">This Part has offered a brief introduction to key aspects of the argument in this Chapter. First, it has introduced the ideas of ‘security’ and ‘responsibility’ as they are used in the Chapter; second, it has offered an overview of the ‘risk revolutions’ which will be explained in more detail in Parts 3 and 4; third, it has observed the extensive use of notions of ‘risk’ in private law, and flagged that these notions though well-established may </w:t>
      </w:r>
      <w:r w:rsidR="00523F96">
        <w:rPr>
          <w:rFonts w:ascii="Cambria" w:hAnsi="Cambria"/>
          <w:sz w:val="24"/>
          <w:szCs w:val="24"/>
        </w:rPr>
        <w:t xml:space="preserve">themselves </w:t>
      </w:r>
      <w:r>
        <w:rPr>
          <w:rFonts w:ascii="Cambria" w:hAnsi="Cambria"/>
          <w:sz w:val="24"/>
          <w:szCs w:val="24"/>
        </w:rPr>
        <w:t>be subject to</w:t>
      </w:r>
      <w:r w:rsidR="00523F96">
        <w:rPr>
          <w:rFonts w:ascii="Cambria" w:hAnsi="Cambria"/>
          <w:sz w:val="24"/>
          <w:szCs w:val="24"/>
        </w:rPr>
        <w:t xml:space="preserve"> evolution</w:t>
      </w:r>
      <w:r>
        <w:rPr>
          <w:rFonts w:ascii="Cambria" w:hAnsi="Cambria"/>
          <w:sz w:val="24"/>
          <w:szCs w:val="24"/>
        </w:rPr>
        <w:t>; and finally, it has outlined the close link between risk, and changing styles of regulation.</w:t>
      </w:r>
      <w:r w:rsidR="00F33EDD">
        <w:rPr>
          <w:rFonts w:ascii="Cambria" w:hAnsi="Cambria"/>
          <w:sz w:val="24"/>
          <w:szCs w:val="24"/>
        </w:rPr>
        <w:t xml:space="preserve"> The following two Parts explore successive risk revolutions and their implications for private law in more detail.</w:t>
      </w:r>
    </w:p>
    <w:p w14:paraId="0D69EA69" w14:textId="6608A56D" w:rsidR="003A41A3" w:rsidRPr="009C3204" w:rsidRDefault="001E4E99" w:rsidP="008D7D23">
      <w:pPr>
        <w:spacing w:line="240" w:lineRule="auto"/>
        <w:jc w:val="center"/>
        <w:rPr>
          <w:rFonts w:ascii="Cambria" w:hAnsi="Cambria"/>
          <w:b/>
          <w:sz w:val="24"/>
          <w:szCs w:val="24"/>
        </w:rPr>
      </w:pPr>
      <w:r w:rsidRPr="009C3204">
        <w:rPr>
          <w:rFonts w:ascii="Cambria" w:hAnsi="Cambria"/>
          <w:b/>
          <w:bCs/>
          <w:sz w:val="24"/>
          <w:szCs w:val="24"/>
        </w:rPr>
        <w:t>II.</w:t>
      </w:r>
      <w:r w:rsidR="00896E31" w:rsidRPr="009C3204">
        <w:rPr>
          <w:rFonts w:ascii="Cambria" w:hAnsi="Cambria"/>
          <w:b/>
          <w:bCs/>
          <w:sz w:val="24"/>
          <w:szCs w:val="24"/>
        </w:rPr>
        <w:t xml:space="preserve"> </w:t>
      </w:r>
      <w:r w:rsidR="1B3EAF6B" w:rsidRPr="009C3204">
        <w:rPr>
          <w:rFonts w:ascii="Cambria" w:hAnsi="Cambria"/>
          <w:b/>
          <w:bCs/>
          <w:sz w:val="24"/>
          <w:szCs w:val="24"/>
        </w:rPr>
        <w:t xml:space="preserve">A </w:t>
      </w:r>
      <w:r w:rsidRPr="009C3204">
        <w:rPr>
          <w:rFonts w:ascii="Cambria" w:hAnsi="Cambria"/>
          <w:b/>
          <w:bCs/>
          <w:sz w:val="24"/>
          <w:szCs w:val="24"/>
        </w:rPr>
        <w:t>R</w:t>
      </w:r>
      <w:r w:rsidR="00391444" w:rsidRPr="009C3204">
        <w:rPr>
          <w:rFonts w:ascii="Cambria" w:hAnsi="Cambria"/>
          <w:b/>
          <w:bCs/>
          <w:sz w:val="24"/>
          <w:szCs w:val="24"/>
        </w:rPr>
        <w:t>ecognised ‘</w:t>
      </w:r>
      <w:r w:rsidRPr="009C3204">
        <w:rPr>
          <w:rFonts w:ascii="Cambria" w:hAnsi="Cambria"/>
          <w:b/>
          <w:bCs/>
          <w:sz w:val="24"/>
          <w:szCs w:val="24"/>
        </w:rPr>
        <w:t>S</w:t>
      </w:r>
      <w:r w:rsidR="00D233B8" w:rsidRPr="009C3204">
        <w:rPr>
          <w:rFonts w:ascii="Cambria" w:hAnsi="Cambria"/>
          <w:b/>
          <w:bCs/>
          <w:sz w:val="24"/>
          <w:szCs w:val="24"/>
        </w:rPr>
        <w:t>ecurity</w:t>
      </w:r>
      <w:r w:rsidR="00391444" w:rsidRPr="009C3204">
        <w:rPr>
          <w:rFonts w:ascii="Cambria" w:hAnsi="Cambria"/>
          <w:b/>
          <w:bCs/>
          <w:sz w:val="24"/>
          <w:szCs w:val="24"/>
        </w:rPr>
        <w:t>’</w:t>
      </w:r>
      <w:r w:rsidRPr="009C3204">
        <w:rPr>
          <w:rFonts w:ascii="Cambria" w:hAnsi="Cambria"/>
          <w:b/>
          <w:bCs/>
          <w:sz w:val="24"/>
          <w:szCs w:val="24"/>
        </w:rPr>
        <w:t xml:space="preserve"> R</w:t>
      </w:r>
      <w:r w:rsidR="00F03965" w:rsidRPr="009C3204">
        <w:rPr>
          <w:rFonts w:ascii="Cambria" w:hAnsi="Cambria"/>
          <w:b/>
          <w:bCs/>
          <w:sz w:val="24"/>
          <w:szCs w:val="24"/>
        </w:rPr>
        <w:t>evolution</w:t>
      </w:r>
    </w:p>
    <w:p w14:paraId="3797A47D" w14:textId="4DB22B60" w:rsidR="0088628A" w:rsidRPr="009C3204" w:rsidRDefault="003A41A3" w:rsidP="008E4509">
      <w:pPr>
        <w:spacing w:line="240" w:lineRule="auto"/>
        <w:jc w:val="both"/>
        <w:rPr>
          <w:rFonts w:ascii="Cambria" w:hAnsi="Cambria"/>
          <w:sz w:val="24"/>
          <w:szCs w:val="24"/>
        </w:rPr>
      </w:pPr>
      <w:r w:rsidRPr="009C3204">
        <w:rPr>
          <w:rFonts w:ascii="Cambria" w:hAnsi="Cambria"/>
          <w:sz w:val="24"/>
          <w:szCs w:val="24"/>
        </w:rPr>
        <w:t xml:space="preserve">It is widely </w:t>
      </w:r>
      <w:r w:rsidR="006F4525" w:rsidRPr="009C3204">
        <w:rPr>
          <w:rFonts w:ascii="Cambria" w:hAnsi="Cambria"/>
          <w:sz w:val="24"/>
          <w:szCs w:val="24"/>
        </w:rPr>
        <w:t xml:space="preserve">understood </w:t>
      </w:r>
      <w:r w:rsidRPr="009C3204">
        <w:rPr>
          <w:rFonts w:ascii="Cambria" w:hAnsi="Cambria"/>
          <w:sz w:val="24"/>
          <w:szCs w:val="24"/>
        </w:rPr>
        <w:t xml:space="preserve">that </w:t>
      </w:r>
      <w:r w:rsidR="002651BA" w:rsidRPr="009C3204">
        <w:rPr>
          <w:rFonts w:ascii="Cambria" w:hAnsi="Cambria"/>
          <w:sz w:val="24"/>
          <w:szCs w:val="24"/>
        </w:rPr>
        <w:t>during the late nineteenth and early twentieth centuries, ther</w:t>
      </w:r>
      <w:r w:rsidR="00D76531" w:rsidRPr="009C3204">
        <w:rPr>
          <w:rFonts w:ascii="Cambria" w:hAnsi="Cambria"/>
          <w:sz w:val="24"/>
          <w:szCs w:val="24"/>
        </w:rPr>
        <w:t>e were broad social changes enabled and inspired by</w:t>
      </w:r>
      <w:r w:rsidR="002651BA" w:rsidRPr="009C3204">
        <w:rPr>
          <w:rFonts w:ascii="Cambria" w:hAnsi="Cambria"/>
          <w:sz w:val="24"/>
          <w:szCs w:val="24"/>
        </w:rPr>
        <w:t xml:space="preserve"> </w:t>
      </w:r>
      <w:r w:rsidR="00827758" w:rsidRPr="009C3204">
        <w:rPr>
          <w:rFonts w:ascii="Cambria" w:hAnsi="Cambria"/>
          <w:sz w:val="24"/>
          <w:szCs w:val="24"/>
        </w:rPr>
        <w:t xml:space="preserve">techniques of </w:t>
      </w:r>
      <w:r w:rsidR="00D76531" w:rsidRPr="009C3204">
        <w:rPr>
          <w:rFonts w:ascii="Cambria" w:hAnsi="Cambria"/>
          <w:sz w:val="24"/>
          <w:szCs w:val="24"/>
        </w:rPr>
        <w:t>‘</w:t>
      </w:r>
      <w:r w:rsidR="002651BA" w:rsidRPr="009C3204">
        <w:rPr>
          <w:rFonts w:ascii="Cambria" w:hAnsi="Cambria"/>
          <w:sz w:val="24"/>
          <w:szCs w:val="24"/>
        </w:rPr>
        <w:t>risk</w:t>
      </w:r>
      <w:r w:rsidR="00D76531" w:rsidRPr="009C3204">
        <w:rPr>
          <w:rFonts w:ascii="Cambria" w:hAnsi="Cambria"/>
          <w:sz w:val="24"/>
          <w:szCs w:val="24"/>
        </w:rPr>
        <w:t>’</w:t>
      </w:r>
      <w:r w:rsidR="002651BA" w:rsidRPr="009C3204">
        <w:rPr>
          <w:rFonts w:ascii="Cambria" w:hAnsi="Cambria"/>
          <w:sz w:val="24"/>
          <w:szCs w:val="24"/>
        </w:rPr>
        <w:t xml:space="preserve">. </w:t>
      </w:r>
      <w:r w:rsidR="002E5C04" w:rsidRPr="009C3204">
        <w:rPr>
          <w:rFonts w:ascii="Cambria" w:hAnsi="Cambria"/>
          <w:sz w:val="24"/>
          <w:szCs w:val="24"/>
        </w:rPr>
        <w:t>As we have seen, t</w:t>
      </w:r>
      <w:r w:rsidRPr="009C3204">
        <w:rPr>
          <w:rFonts w:ascii="Cambria" w:hAnsi="Cambria"/>
          <w:sz w:val="24"/>
          <w:szCs w:val="24"/>
        </w:rPr>
        <w:t xml:space="preserve">hese developments </w:t>
      </w:r>
      <w:r w:rsidR="0088628A" w:rsidRPr="009C3204">
        <w:rPr>
          <w:rFonts w:ascii="Cambria" w:hAnsi="Cambria"/>
          <w:sz w:val="24"/>
          <w:szCs w:val="24"/>
        </w:rPr>
        <w:t xml:space="preserve">have been recognised as achieving </w:t>
      </w:r>
      <w:r w:rsidRPr="009C3204">
        <w:rPr>
          <w:rFonts w:ascii="Cambria" w:hAnsi="Cambria"/>
          <w:sz w:val="24"/>
          <w:szCs w:val="24"/>
        </w:rPr>
        <w:t xml:space="preserve">paradigm shifts and even </w:t>
      </w:r>
      <w:r w:rsidR="0088628A" w:rsidRPr="009C3204">
        <w:rPr>
          <w:rFonts w:ascii="Cambria" w:hAnsi="Cambria"/>
          <w:sz w:val="24"/>
          <w:szCs w:val="24"/>
        </w:rPr>
        <w:t xml:space="preserve">as giving rise to </w:t>
      </w:r>
      <w:r w:rsidRPr="009C3204">
        <w:rPr>
          <w:rFonts w:ascii="Cambria" w:hAnsi="Cambria"/>
          <w:sz w:val="24"/>
          <w:szCs w:val="24"/>
        </w:rPr>
        <w:t>the birth of a ‘first modernity’.</w:t>
      </w:r>
      <w:r w:rsidR="0088628A" w:rsidRPr="009C3204">
        <w:rPr>
          <w:rFonts w:ascii="Cambria" w:hAnsi="Cambria"/>
          <w:sz w:val="24"/>
          <w:szCs w:val="24"/>
        </w:rPr>
        <w:t xml:space="preserve"> </w:t>
      </w:r>
      <w:r w:rsidR="006C6642" w:rsidRPr="009C3204">
        <w:rPr>
          <w:rFonts w:ascii="Cambria" w:hAnsi="Cambria"/>
          <w:sz w:val="24"/>
          <w:szCs w:val="24"/>
        </w:rPr>
        <w:t xml:space="preserve">Though it is doubtless tempting to be able to give an account of radical transformation, </w:t>
      </w:r>
      <w:r w:rsidR="0065102E" w:rsidRPr="009C3204">
        <w:rPr>
          <w:rFonts w:ascii="Cambria" w:hAnsi="Cambria"/>
          <w:sz w:val="24"/>
          <w:szCs w:val="24"/>
        </w:rPr>
        <w:t>seismic</w:t>
      </w:r>
      <w:r w:rsidR="0088628A" w:rsidRPr="009C3204">
        <w:rPr>
          <w:rFonts w:ascii="Cambria" w:hAnsi="Cambria"/>
          <w:sz w:val="24"/>
          <w:szCs w:val="24"/>
        </w:rPr>
        <w:t xml:space="preserve"> changes </w:t>
      </w:r>
      <w:r w:rsidR="006C6642" w:rsidRPr="009C3204">
        <w:rPr>
          <w:rFonts w:ascii="Cambria" w:hAnsi="Cambria"/>
          <w:sz w:val="24"/>
          <w:szCs w:val="24"/>
        </w:rPr>
        <w:t xml:space="preserve">plainly </w:t>
      </w:r>
      <w:r w:rsidR="0088628A" w:rsidRPr="009C3204">
        <w:rPr>
          <w:rFonts w:ascii="Cambria" w:hAnsi="Cambria"/>
          <w:sz w:val="24"/>
          <w:szCs w:val="24"/>
        </w:rPr>
        <w:t xml:space="preserve">occurred: the birth of social security and emergence of the welfare state </w:t>
      </w:r>
      <w:r w:rsidR="004115A3">
        <w:rPr>
          <w:rFonts w:ascii="Cambria" w:hAnsi="Cambria"/>
          <w:sz w:val="24"/>
          <w:szCs w:val="24"/>
        </w:rPr>
        <w:t xml:space="preserve">were </w:t>
      </w:r>
      <w:r w:rsidR="0088628A" w:rsidRPr="009C3204">
        <w:rPr>
          <w:rFonts w:ascii="Cambria" w:hAnsi="Cambria"/>
          <w:sz w:val="24"/>
          <w:szCs w:val="24"/>
        </w:rPr>
        <w:t>among the most significant.</w:t>
      </w:r>
      <w:r w:rsidR="0065102E" w:rsidRPr="009C3204">
        <w:rPr>
          <w:rFonts w:ascii="Cambria" w:hAnsi="Cambria"/>
          <w:sz w:val="24"/>
          <w:szCs w:val="24"/>
        </w:rPr>
        <w:t xml:space="preserve"> The ‘Keynesian’</w:t>
      </w:r>
      <w:r w:rsidR="00896E31" w:rsidRPr="009C3204">
        <w:rPr>
          <w:rFonts w:ascii="Cambria" w:hAnsi="Cambria"/>
          <w:sz w:val="24"/>
          <w:szCs w:val="24"/>
        </w:rPr>
        <w:t xml:space="preserve"> or welfare state </w:t>
      </w:r>
      <w:r w:rsidR="002E5C04" w:rsidRPr="009C3204">
        <w:rPr>
          <w:rFonts w:ascii="Cambria" w:hAnsi="Cambria"/>
          <w:sz w:val="24"/>
          <w:szCs w:val="24"/>
        </w:rPr>
        <w:t xml:space="preserve">has been </w:t>
      </w:r>
      <w:r w:rsidR="00896E31" w:rsidRPr="009C3204">
        <w:rPr>
          <w:rFonts w:ascii="Cambria" w:hAnsi="Cambria"/>
          <w:sz w:val="24"/>
          <w:szCs w:val="24"/>
        </w:rPr>
        <w:t>identified as</w:t>
      </w:r>
      <w:r w:rsidR="0065102E" w:rsidRPr="009C3204">
        <w:rPr>
          <w:rFonts w:ascii="Cambria" w:hAnsi="Cambria"/>
          <w:sz w:val="24"/>
          <w:szCs w:val="24"/>
        </w:rPr>
        <w:t xml:space="preserve"> central in provision of security goods</w:t>
      </w:r>
      <w:r w:rsidR="00896E31" w:rsidRPr="009C3204">
        <w:rPr>
          <w:rFonts w:ascii="Cambria" w:hAnsi="Cambria"/>
          <w:sz w:val="24"/>
          <w:szCs w:val="24"/>
        </w:rPr>
        <w:t xml:space="preserve"> to citizens</w:t>
      </w:r>
      <w:r w:rsidR="002E5C04" w:rsidRPr="009C3204">
        <w:rPr>
          <w:rFonts w:ascii="Cambria" w:hAnsi="Cambria"/>
          <w:sz w:val="24"/>
          <w:szCs w:val="24"/>
        </w:rPr>
        <w:t>, and in defining the relationship between the citizen and the state</w:t>
      </w:r>
      <w:r w:rsidR="006C6642" w:rsidRPr="009C3204">
        <w:rPr>
          <w:rFonts w:ascii="Cambria" w:hAnsi="Cambria"/>
          <w:sz w:val="24"/>
          <w:szCs w:val="24"/>
        </w:rPr>
        <w:t>; but also in the expansion of direct state provision and regulation</w:t>
      </w:r>
      <w:r w:rsidR="0065102E" w:rsidRPr="009C3204">
        <w:rPr>
          <w:rFonts w:ascii="Cambria" w:hAnsi="Cambria"/>
          <w:sz w:val="24"/>
          <w:szCs w:val="24"/>
        </w:rPr>
        <w:t>.</w:t>
      </w:r>
      <w:r w:rsidRPr="009C3204">
        <w:rPr>
          <w:rFonts w:ascii="Cambria" w:hAnsi="Cambria"/>
          <w:sz w:val="24"/>
          <w:szCs w:val="24"/>
        </w:rPr>
        <w:t xml:space="preserve"> </w:t>
      </w:r>
    </w:p>
    <w:p w14:paraId="01CCE54B" w14:textId="57B4B893" w:rsidR="0088628A" w:rsidRPr="009C3204" w:rsidRDefault="00827758" w:rsidP="008E4509">
      <w:pPr>
        <w:spacing w:line="240" w:lineRule="auto"/>
        <w:jc w:val="both"/>
        <w:rPr>
          <w:rFonts w:ascii="Cambria" w:hAnsi="Cambria"/>
          <w:sz w:val="24"/>
          <w:szCs w:val="24"/>
        </w:rPr>
      </w:pPr>
      <w:r w:rsidRPr="009C3204">
        <w:rPr>
          <w:rFonts w:ascii="Cambria" w:hAnsi="Cambria"/>
          <w:sz w:val="24"/>
          <w:szCs w:val="24"/>
        </w:rPr>
        <w:t>T</w:t>
      </w:r>
      <w:r w:rsidR="003A41A3" w:rsidRPr="009C3204">
        <w:rPr>
          <w:rFonts w:ascii="Cambria" w:hAnsi="Cambria"/>
          <w:sz w:val="24"/>
          <w:szCs w:val="24"/>
        </w:rPr>
        <w:t>he</w:t>
      </w:r>
      <w:r w:rsidR="0088628A" w:rsidRPr="009C3204">
        <w:rPr>
          <w:rFonts w:ascii="Cambria" w:hAnsi="Cambria"/>
          <w:sz w:val="24"/>
          <w:szCs w:val="24"/>
        </w:rPr>
        <w:t>se changes, it has been argued,</w:t>
      </w:r>
      <w:r w:rsidR="002651BA" w:rsidRPr="009C3204">
        <w:rPr>
          <w:rFonts w:ascii="Cambria" w:hAnsi="Cambria"/>
          <w:sz w:val="24"/>
          <w:szCs w:val="24"/>
        </w:rPr>
        <w:t xml:space="preserve"> were facilitated by </w:t>
      </w:r>
      <w:r w:rsidR="00D25233" w:rsidRPr="009C3204">
        <w:rPr>
          <w:rFonts w:ascii="Cambria" w:hAnsi="Cambria"/>
          <w:sz w:val="24"/>
          <w:szCs w:val="24"/>
        </w:rPr>
        <w:t xml:space="preserve">advances in </w:t>
      </w:r>
      <w:r w:rsidR="002651BA" w:rsidRPr="009C3204">
        <w:rPr>
          <w:rFonts w:ascii="Cambria" w:hAnsi="Cambria"/>
          <w:sz w:val="24"/>
          <w:szCs w:val="24"/>
        </w:rPr>
        <w:t>technical</w:t>
      </w:r>
      <w:r w:rsidR="00D76531" w:rsidRPr="009C3204">
        <w:rPr>
          <w:rFonts w:ascii="Cambria" w:hAnsi="Cambria"/>
          <w:sz w:val="24"/>
          <w:szCs w:val="24"/>
        </w:rPr>
        <w:t xml:space="preserve"> understanding</w:t>
      </w:r>
      <w:r w:rsidR="00121F8F" w:rsidRPr="009C3204">
        <w:rPr>
          <w:rFonts w:ascii="Cambria" w:hAnsi="Cambria"/>
          <w:sz w:val="24"/>
          <w:szCs w:val="24"/>
        </w:rPr>
        <w:t xml:space="preserve"> </w:t>
      </w:r>
      <w:r w:rsidR="006329B4" w:rsidRPr="009C3204">
        <w:rPr>
          <w:rFonts w:ascii="Cambria" w:hAnsi="Cambria"/>
          <w:sz w:val="24"/>
          <w:szCs w:val="24"/>
        </w:rPr>
        <w:t xml:space="preserve">of </w:t>
      </w:r>
      <w:r w:rsidR="00121F8F" w:rsidRPr="009C3204">
        <w:rPr>
          <w:rFonts w:ascii="Cambria" w:hAnsi="Cambria"/>
          <w:sz w:val="24"/>
          <w:szCs w:val="24"/>
        </w:rPr>
        <w:t>risk and regularity</w:t>
      </w:r>
      <w:r w:rsidR="003A41A3" w:rsidRPr="009C3204">
        <w:rPr>
          <w:rFonts w:ascii="Cambria" w:hAnsi="Cambria"/>
          <w:sz w:val="24"/>
          <w:szCs w:val="24"/>
        </w:rPr>
        <w:t xml:space="preserve"> and their application to a variety of </w:t>
      </w:r>
      <w:r w:rsidR="00A80D62" w:rsidRPr="009C3204">
        <w:rPr>
          <w:rFonts w:ascii="Cambria" w:hAnsi="Cambria"/>
          <w:sz w:val="24"/>
          <w:szCs w:val="24"/>
        </w:rPr>
        <w:t>social problems</w:t>
      </w:r>
      <w:r w:rsidR="00121F8F" w:rsidRPr="009C3204">
        <w:rPr>
          <w:rFonts w:ascii="Cambria" w:hAnsi="Cambria"/>
          <w:sz w:val="24"/>
          <w:szCs w:val="24"/>
        </w:rPr>
        <w:t>.</w:t>
      </w:r>
      <w:r w:rsidR="00E87B87" w:rsidRPr="009C3204">
        <w:rPr>
          <w:rStyle w:val="FootnoteReference"/>
          <w:rFonts w:ascii="Cambria" w:hAnsi="Cambria"/>
          <w:sz w:val="24"/>
          <w:szCs w:val="24"/>
        </w:rPr>
        <w:footnoteReference w:id="36"/>
      </w:r>
      <w:r w:rsidR="00121F8F" w:rsidRPr="009C3204">
        <w:rPr>
          <w:rFonts w:ascii="Cambria" w:hAnsi="Cambria"/>
          <w:sz w:val="24"/>
          <w:szCs w:val="24"/>
        </w:rPr>
        <w:t xml:space="preserve"> </w:t>
      </w:r>
      <w:r w:rsidR="00847A5A" w:rsidRPr="009C3204">
        <w:rPr>
          <w:rFonts w:ascii="Cambria" w:hAnsi="Cambria"/>
          <w:sz w:val="24"/>
          <w:szCs w:val="24"/>
        </w:rPr>
        <w:t xml:space="preserve">To a degree, this </w:t>
      </w:r>
      <w:r w:rsidR="0088628A" w:rsidRPr="009C3204">
        <w:rPr>
          <w:rFonts w:ascii="Cambria" w:hAnsi="Cambria"/>
          <w:sz w:val="24"/>
          <w:szCs w:val="24"/>
        </w:rPr>
        <w:t xml:space="preserve">was a </w:t>
      </w:r>
      <w:r w:rsidR="002E5C04" w:rsidRPr="009C3204">
        <w:rPr>
          <w:rFonts w:ascii="Cambria" w:hAnsi="Cambria"/>
          <w:sz w:val="24"/>
          <w:szCs w:val="24"/>
        </w:rPr>
        <w:t>‘</w:t>
      </w:r>
      <w:r w:rsidR="0088628A" w:rsidRPr="009C3204">
        <w:rPr>
          <w:rFonts w:ascii="Cambria" w:hAnsi="Cambria"/>
          <w:sz w:val="24"/>
          <w:szCs w:val="24"/>
        </w:rPr>
        <w:t>scientific</w:t>
      </w:r>
      <w:r w:rsidR="002E5C04" w:rsidRPr="009C3204">
        <w:rPr>
          <w:rFonts w:ascii="Cambria" w:hAnsi="Cambria"/>
          <w:sz w:val="24"/>
          <w:szCs w:val="24"/>
        </w:rPr>
        <w:t>’</w:t>
      </w:r>
      <w:r w:rsidR="0088628A" w:rsidRPr="009C3204">
        <w:rPr>
          <w:rFonts w:ascii="Cambria" w:hAnsi="Cambria"/>
          <w:sz w:val="24"/>
          <w:szCs w:val="24"/>
        </w:rPr>
        <w:t xml:space="preserve"> revolution</w:t>
      </w:r>
      <w:r w:rsidR="00847A5A" w:rsidRPr="009C3204">
        <w:rPr>
          <w:rFonts w:ascii="Cambria" w:hAnsi="Cambria"/>
          <w:sz w:val="24"/>
          <w:szCs w:val="24"/>
        </w:rPr>
        <w:t xml:space="preserve"> led by new expertise</w:t>
      </w:r>
      <w:r w:rsidR="0088628A" w:rsidRPr="009C3204">
        <w:rPr>
          <w:rFonts w:ascii="Cambria" w:hAnsi="Cambria"/>
          <w:sz w:val="24"/>
          <w:szCs w:val="24"/>
        </w:rPr>
        <w:t>.</w:t>
      </w:r>
      <w:r w:rsidR="002E5C04" w:rsidRPr="009C3204">
        <w:rPr>
          <w:rFonts w:ascii="Cambria" w:hAnsi="Cambria"/>
          <w:sz w:val="24"/>
          <w:szCs w:val="24"/>
        </w:rPr>
        <w:t xml:space="preserve"> This form of technical understanding could, unlike more recent developments such as the algorithmic expertise of the financial sector, be readily comprehended and applied by government and policy makers.</w:t>
      </w:r>
      <w:r w:rsidR="0088628A" w:rsidRPr="009C3204">
        <w:rPr>
          <w:rFonts w:ascii="Cambria" w:hAnsi="Cambria"/>
          <w:sz w:val="24"/>
          <w:szCs w:val="24"/>
        </w:rPr>
        <w:t xml:space="preserve"> </w:t>
      </w:r>
      <w:r w:rsidR="00121F8F" w:rsidRPr="009C3204">
        <w:rPr>
          <w:rFonts w:ascii="Cambria" w:hAnsi="Cambria"/>
          <w:sz w:val="24"/>
          <w:szCs w:val="24"/>
        </w:rPr>
        <w:t>In essence, a collective and aggregating approach was developed which would allow risks to be shared through a range of means including social insurance</w:t>
      </w:r>
      <w:r w:rsidR="00CB6B43" w:rsidRPr="009C3204">
        <w:rPr>
          <w:rFonts w:ascii="Cambria" w:hAnsi="Cambria"/>
          <w:sz w:val="24"/>
          <w:szCs w:val="24"/>
        </w:rPr>
        <w:t>, but also — at the same time —</w:t>
      </w:r>
      <w:r w:rsidR="0088628A" w:rsidRPr="009C3204">
        <w:rPr>
          <w:rFonts w:ascii="Cambria" w:hAnsi="Cambria"/>
          <w:sz w:val="24"/>
          <w:szCs w:val="24"/>
        </w:rPr>
        <w:t xml:space="preserve"> new liabilities</w:t>
      </w:r>
      <w:r w:rsidR="00121F8F" w:rsidRPr="009C3204">
        <w:rPr>
          <w:rFonts w:ascii="Cambria" w:hAnsi="Cambria"/>
          <w:sz w:val="24"/>
          <w:szCs w:val="24"/>
        </w:rPr>
        <w:t xml:space="preserve">. </w:t>
      </w:r>
      <w:r w:rsidR="006329B4" w:rsidRPr="009C3204">
        <w:rPr>
          <w:rFonts w:ascii="Cambria" w:hAnsi="Cambria"/>
          <w:sz w:val="24"/>
          <w:szCs w:val="24"/>
        </w:rPr>
        <w:t xml:space="preserve">‘Risk’ </w:t>
      </w:r>
      <w:r w:rsidR="0088628A" w:rsidRPr="009C3204">
        <w:rPr>
          <w:rFonts w:ascii="Cambria" w:hAnsi="Cambria"/>
          <w:sz w:val="24"/>
          <w:szCs w:val="24"/>
        </w:rPr>
        <w:t xml:space="preserve">in this context </w:t>
      </w:r>
      <w:r w:rsidR="006329B4" w:rsidRPr="009C3204">
        <w:rPr>
          <w:rFonts w:ascii="Cambria" w:hAnsi="Cambria"/>
          <w:sz w:val="24"/>
          <w:szCs w:val="24"/>
        </w:rPr>
        <w:t>refers as much to a set of techniques, as it does to exposure to uncertain adverse outcomes.</w:t>
      </w:r>
      <w:r w:rsidR="00A80D62" w:rsidRPr="009C3204">
        <w:rPr>
          <w:rFonts w:ascii="Cambria" w:hAnsi="Cambria"/>
          <w:sz w:val="24"/>
          <w:szCs w:val="24"/>
        </w:rPr>
        <w:t xml:space="preserve"> </w:t>
      </w:r>
      <w:r w:rsidR="0088628A" w:rsidRPr="009C3204">
        <w:rPr>
          <w:rFonts w:ascii="Cambria" w:hAnsi="Cambria"/>
          <w:sz w:val="24"/>
          <w:szCs w:val="24"/>
        </w:rPr>
        <w:t xml:space="preserve">In the hands of </w:t>
      </w:r>
      <w:r w:rsidR="00A80D62" w:rsidRPr="009C3204">
        <w:rPr>
          <w:rFonts w:ascii="Cambria" w:hAnsi="Cambria"/>
          <w:sz w:val="24"/>
          <w:szCs w:val="24"/>
        </w:rPr>
        <w:t>Foucauldian theorists</w:t>
      </w:r>
      <w:r w:rsidR="0088628A" w:rsidRPr="009C3204">
        <w:rPr>
          <w:rFonts w:ascii="Cambria" w:hAnsi="Cambria"/>
          <w:sz w:val="24"/>
          <w:szCs w:val="24"/>
        </w:rPr>
        <w:t xml:space="preserve">, </w:t>
      </w:r>
      <w:r w:rsidR="006F4525" w:rsidRPr="009C3204">
        <w:rPr>
          <w:rFonts w:ascii="Cambria" w:hAnsi="Cambria"/>
          <w:sz w:val="24"/>
          <w:szCs w:val="24"/>
        </w:rPr>
        <w:t>risk was and continues to be</w:t>
      </w:r>
      <w:r w:rsidR="00A80D62" w:rsidRPr="009C3204">
        <w:rPr>
          <w:rFonts w:ascii="Cambria" w:hAnsi="Cambria"/>
          <w:sz w:val="24"/>
          <w:szCs w:val="24"/>
        </w:rPr>
        <w:t xml:space="preserve"> a technology of governing.</w:t>
      </w:r>
      <w:r w:rsidR="00EF29DC" w:rsidRPr="009C3204">
        <w:rPr>
          <w:rStyle w:val="FootnoteReference"/>
          <w:rFonts w:ascii="Cambria" w:hAnsi="Cambria"/>
          <w:sz w:val="24"/>
          <w:szCs w:val="24"/>
        </w:rPr>
        <w:footnoteReference w:id="37"/>
      </w:r>
      <w:r w:rsidR="00A80D62" w:rsidRPr="009C3204">
        <w:rPr>
          <w:rFonts w:ascii="Cambria" w:hAnsi="Cambria"/>
          <w:sz w:val="24"/>
          <w:szCs w:val="24"/>
        </w:rPr>
        <w:t xml:space="preserve"> </w:t>
      </w:r>
    </w:p>
    <w:p w14:paraId="508B4671" w14:textId="22DF0E52" w:rsidR="006F2C3B" w:rsidRPr="009C3204" w:rsidRDefault="00A80D62" w:rsidP="008E4509">
      <w:pPr>
        <w:spacing w:line="240" w:lineRule="auto"/>
        <w:jc w:val="both"/>
        <w:rPr>
          <w:rFonts w:ascii="Cambria" w:hAnsi="Cambria"/>
          <w:sz w:val="24"/>
          <w:szCs w:val="24"/>
        </w:rPr>
      </w:pPr>
      <w:r w:rsidRPr="009C3204">
        <w:rPr>
          <w:rFonts w:ascii="Cambria" w:hAnsi="Cambria"/>
          <w:sz w:val="24"/>
          <w:szCs w:val="24"/>
        </w:rPr>
        <w:t xml:space="preserve">In this guise, </w:t>
      </w:r>
      <w:r w:rsidR="0088628A" w:rsidRPr="009C3204">
        <w:rPr>
          <w:rFonts w:ascii="Cambria" w:hAnsi="Cambria"/>
          <w:sz w:val="24"/>
          <w:szCs w:val="24"/>
        </w:rPr>
        <w:t>‘risk’ (as security)</w:t>
      </w:r>
      <w:r w:rsidRPr="009C3204">
        <w:rPr>
          <w:rFonts w:ascii="Cambria" w:hAnsi="Cambria"/>
          <w:sz w:val="24"/>
          <w:szCs w:val="24"/>
        </w:rPr>
        <w:t xml:space="preserve"> may appear to be at odds with other technologie</w:t>
      </w:r>
      <w:r w:rsidR="0047720B" w:rsidRPr="009C3204">
        <w:rPr>
          <w:rFonts w:ascii="Cambria" w:hAnsi="Cambria"/>
          <w:sz w:val="24"/>
          <w:szCs w:val="24"/>
        </w:rPr>
        <w:t>s of governing, traditionally associated with private law.</w:t>
      </w:r>
      <w:r w:rsidR="00FB06F6" w:rsidRPr="009C3204">
        <w:rPr>
          <w:rFonts w:ascii="Cambria" w:hAnsi="Cambria"/>
          <w:sz w:val="24"/>
          <w:szCs w:val="24"/>
        </w:rPr>
        <w:t xml:space="preserve"> </w:t>
      </w:r>
      <w:r w:rsidR="003A2740" w:rsidRPr="009C3204">
        <w:rPr>
          <w:rFonts w:ascii="Cambria" w:hAnsi="Cambria"/>
          <w:sz w:val="24"/>
          <w:szCs w:val="24"/>
        </w:rPr>
        <w:t>S</w:t>
      </w:r>
      <w:r w:rsidR="00FB06F6" w:rsidRPr="009C3204">
        <w:rPr>
          <w:rFonts w:ascii="Cambria" w:hAnsi="Cambria"/>
          <w:sz w:val="24"/>
          <w:szCs w:val="24"/>
        </w:rPr>
        <w:t>tate provision of security goods may be associated with the growth of public rather than private law</w:t>
      </w:r>
      <w:r w:rsidR="008D038E" w:rsidRPr="009C3204">
        <w:rPr>
          <w:rFonts w:ascii="Cambria" w:hAnsi="Cambria"/>
          <w:sz w:val="24"/>
          <w:szCs w:val="24"/>
        </w:rPr>
        <w:t xml:space="preserve">, and with increasing </w:t>
      </w:r>
      <w:r w:rsidR="006F4525" w:rsidRPr="009C3204">
        <w:rPr>
          <w:rFonts w:ascii="Cambria" w:hAnsi="Cambria"/>
          <w:sz w:val="24"/>
          <w:szCs w:val="24"/>
        </w:rPr>
        <w:t>‘</w:t>
      </w:r>
      <w:proofErr w:type="spellStart"/>
      <w:r w:rsidR="006F4525" w:rsidRPr="009C3204">
        <w:rPr>
          <w:rFonts w:ascii="Cambria" w:hAnsi="Cambria"/>
          <w:sz w:val="24"/>
          <w:szCs w:val="24"/>
        </w:rPr>
        <w:t>juridification</w:t>
      </w:r>
      <w:proofErr w:type="spellEnd"/>
      <w:r w:rsidR="006F4525" w:rsidRPr="009C3204">
        <w:rPr>
          <w:rFonts w:ascii="Cambria" w:hAnsi="Cambria"/>
          <w:sz w:val="24"/>
          <w:szCs w:val="24"/>
        </w:rPr>
        <w:t xml:space="preserve">’ or </w:t>
      </w:r>
      <w:r w:rsidR="003A2740" w:rsidRPr="009C3204">
        <w:rPr>
          <w:rFonts w:ascii="Cambria" w:hAnsi="Cambria"/>
          <w:sz w:val="24"/>
          <w:szCs w:val="24"/>
        </w:rPr>
        <w:t>intervention</w:t>
      </w:r>
      <w:r w:rsidR="00FB06F6" w:rsidRPr="009C3204">
        <w:rPr>
          <w:rFonts w:ascii="Cambria" w:hAnsi="Cambria"/>
          <w:sz w:val="24"/>
          <w:szCs w:val="24"/>
        </w:rPr>
        <w:t>.</w:t>
      </w:r>
      <w:r w:rsidR="006F4525" w:rsidRPr="009C3204">
        <w:rPr>
          <w:rStyle w:val="FootnoteReference"/>
          <w:rFonts w:ascii="Cambria" w:hAnsi="Cambria"/>
          <w:sz w:val="24"/>
          <w:szCs w:val="24"/>
        </w:rPr>
        <w:footnoteReference w:id="38"/>
      </w:r>
      <w:r w:rsidR="00FB06F6" w:rsidRPr="009C3204">
        <w:rPr>
          <w:rFonts w:ascii="Cambria" w:hAnsi="Cambria"/>
          <w:sz w:val="24"/>
          <w:szCs w:val="24"/>
        </w:rPr>
        <w:t xml:space="preserve"> </w:t>
      </w:r>
      <w:r w:rsidR="00B837E7" w:rsidRPr="009C3204">
        <w:rPr>
          <w:rFonts w:ascii="Cambria" w:hAnsi="Cambria"/>
          <w:sz w:val="24"/>
          <w:szCs w:val="24"/>
        </w:rPr>
        <w:t>O</w:t>
      </w:r>
      <w:r w:rsidR="00FB06F6" w:rsidRPr="009C3204">
        <w:rPr>
          <w:rFonts w:ascii="Cambria" w:hAnsi="Cambria"/>
          <w:sz w:val="24"/>
          <w:szCs w:val="24"/>
        </w:rPr>
        <w:t>n</w:t>
      </w:r>
      <w:r w:rsidR="00C04066" w:rsidRPr="009C3204">
        <w:rPr>
          <w:rFonts w:ascii="Cambria" w:hAnsi="Cambria"/>
          <w:sz w:val="24"/>
          <w:szCs w:val="24"/>
        </w:rPr>
        <w:t xml:space="preserve">e crucial aspect </w:t>
      </w:r>
      <w:r w:rsidR="00B837E7" w:rsidRPr="009C3204">
        <w:rPr>
          <w:rFonts w:ascii="Cambria" w:hAnsi="Cambria"/>
          <w:sz w:val="24"/>
          <w:szCs w:val="24"/>
        </w:rPr>
        <w:t xml:space="preserve">of security technology </w:t>
      </w:r>
      <w:r w:rsidR="00C04066" w:rsidRPr="009C3204">
        <w:rPr>
          <w:rFonts w:ascii="Cambria" w:hAnsi="Cambria"/>
          <w:sz w:val="24"/>
          <w:szCs w:val="24"/>
        </w:rPr>
        <w:lastRenderedPageBreak/>
        <w:t xml:space="preserve">which may be seen as </w:t>
      </w:r>
      <w:r w:rsidR="00B837E7" w:rsidRPr="009C3204">
        <w:rPr>
          <w:rFonts w:ascii="Cambria" w:hAnsi="Cambria"/>
          <w:sz w:val="24"/>
          <w:szCs w:val="24"/>
        </w:rPr>
        <w:t>encouraging and underlining</w:t>
      </w:r>
      <w:r w:rsidR="00C04066" w:rsidRPr="009C3204">
        <w:rPr>
          <w:rFonts w:ascii="Cambria" w:hAnsi="Cambria"/>
          <w:sz w:val="24"/>
          <w:szCs w:val="24"/>
        </w:rPr>
        <w:t xml:space="preserve"> this change is the selection of regularity </w:t>
      </w:r>
      <w:r w:rsidR="00F321D6" w:rsidRPr="009C3204">
        <w:rPr>
          <w:rFonts w:ascii="Cambria" w:hAnsi="Cambria"/>
          <w:sz w:val="24"/>
          <w:szCs w:val="24"/>
        </w:rPr>
        <w:t>an</w:t>
      </w:r>
      <w:r w:rsidR="00847A5A" w:rsidRPr="009C3204">
        <w:rPr>
          <w:rFonts w:ascii="Cambria" w:hAnsi="Cambria"/>
          <w:sz w:val="24"/>
          <w:szCs w:val="24"/>
        </w:rPr>
        <w:t xml:space="preserve">d predictability </w:t>
      </w:r>
      <w:r w:rsidR="00FB06F6" w:rsidRPr="009C3204">
        <w:rPr>
          <w:rFonts w:ascii="Cambria" w:hAnsi="Cambria"/>
          <w:sz w:val="24"/>
          <w:szCs w:val="24"/>
        </w:rPr>
        <w:t>across</w:t>
      </w:r>
      <w:r w:rsidR="00847A5A" w:rsidRPr="009C3204">
        <w:rPr>
          <w:rFonts w:ascii="Cambria" w:hAnsi="Cambria"/>
          <w:sz w:val="24"/>
          <w:szCs w:val="24"/>
        </w:rPr>
        <w:t xml:space="preserve"> large numbers; in contrast to </w:t>
      </w:r>
      <w:r w:rsidR="00F321D6" w:rsidRPr="009C3204">
        <w:rPr>
          <w:rFonts w:ascii="Cambria" w:hAnsi="Cambria"/>
          <w:sz w:val="24"/>
          <w:szCs w:val="24"/>
        </w:rPr>
        <w:t xml:space="preserve">a focus on </w:t>
      </w:r>
      <w:r w:rsidR="00C04066" w:rsidRPr="009C3204">
        <w:rPr>
          <w:rFonts w:ascii="Cambria" w:hAnsi="Cambria"/>
          <w:sz w:val="24"/>
          <w:szCs w:val="24"/>
        </w:rPr>
        <w:t xml:space="preserve">the </w:t>
      </w:r>
      <w:r w:rsidR="008A30D6" w:rsidRPr="009C3204">
        <w:rPr>
          <w:rFonts w:ascii="Cambria" w:hAnsi="Cambria"/>
          <w:sz w:val="24"/>
          <w:szCs w:val="24"/>
        </w:rPr>
        <w:t xml:space="preserve">individual case </w:t>
      </w:r>
      <w:r w:rsidR="00F321D6" w:rsidRPr="009C3204">
        <w:rPr>
          <w:rFonts w:ascii="Cambria" w:hAnsi="Cambria"/>
          <w:sz w:val="24"/>
          <w:szCs w:val="24"/>
        </w:rPr>
        <w:t>and its ‘rights’ and wrongs</w:t>
      </w:r>
      <w:r w:rsidR="008A30D6" w:rsidRPr="009C3204">
        <w:rPr>
          <w:rFonts w:ascii="Cambria" w:hAnsi="Cambria"/>
          <w:sz w:val="24"/>
          <w:szCs w:val="24"/>
        </w:rPr>
        <w:t>.</w:t>
      </w:r>
      <w:r w:rsidR="00F321D6" w:rsidRPr="009C3204">
        <w:rPr>
          <w:rFonts w:ascii="Cambria" w:hAnsi="Cambria"/>
          <w:sz w:val="24"/>
          <w:szCs w:val="24"/>
        </w:rPr>
        <w:t xml:space="preserve"> </w:t>
      </w:r>
      <w:r w:rsidR="004115A3">
        <w:rPr>
          <w:rFonts w:ascii="Cambria" w:hAnsi="Cambria"/>
          <w:sz w:val="24"/>
          <w:szCs w:val="24"/>
        </w:rPr>
        <w:t xml:space="preserve">This is a technique shared by both insurers, and policy-makers (for example in the extension of social insurance to a range of life risks). </w:t>
      </w:r>
      <w:r w:rsidR="006F2C3B" w:rsidRPr="009C3204">
        <w:rPr>
          <w:rFonts w:ascii="Cambria" w:hAnsi="Cambria"/>
          <w:sz w:val="24"/>
          <w:szCs w:val="24"/>
        </w:rPr>
        <w:t xml:space="preserve">The effective approach is to manage populations and aggregates. </w:t>
      </w:r>
      <w:r w:rsidR="00F321D6" w:rsidRPr="009C3204">
        <w:rPr>
          <w:rFonts w:ascii="Cambria" w:hAnsi="Cambria"/>
          <w:sz w:val="24"/>
          <w:szCs w:val="24"/>
        </w:rPr>
        <w:t xml:space="preserve">This might be thought a paradigmatic shift </w:t>
      </w:r>
      <w:r w:rsidR="00263248" w:rsidRPr="009C3204">
        <w:rPr>
          <w:rFonts w:ascii="Cambria" w:hAnsi="Cambria"/>
          <w:sz w:val="24"/>
          <w:szCs w:val="24"/>
        </w:rPr>
        <w:t>likely to weaken</w:t>
      </w:r>
      <w:r w:rsidR="00FB06F6" w:rsidRPr="009C3204">
        <w:rPr>
          <w:rFonts w:ascii="Cambria" w:hAnsi="Cambria"/>
          <w:sz w:val="24"/>
          <w:szCs w:val="24"/>
        </w:rPr>
        <w:t xml:space="preserve"> the impact of</w:t>
      </w:r>
      <w:r w:rsidR="00F321D6" w:rsidRPr="009C3204">
        <w:rPr>
          <w:rFonts w:ascii="Cambria" w:hAnsi="Cambria"/>
          <w:sz w:val="24"/>
          <w:szCs w:val="24"/>
        </w:rPr>
        <w:t xml:space="preserve"> private law</w:t>
      </w:r>
      <w:r w:rsidR="00263248" w:rsidRPr="009C3204">
        <w:rPr>
          <w:rFonts w:ascii="Cambria" w:hAnsi="Cambria"/>
          <w:sz w:val="24"/>
          <w:szCs w:val="24"/>
        </w:rPr>
        <w:t xml:space="preserve"> or to compromise its character</w:t>
      </w:r>
      <w:r w:rsidR="00F321D6" w:rsidRPr="009C3204">
        <w:rPr>
          <w:rFonts w:ascii="Cambria" w:hAnsi="Cambria"/>
          <w:sz w:val="24"/>
          <w:szCs w:val="24"/>
        </w:rPr>
        <w:t>. What then was the impact of the security revolution o</w:t>
      </w:r>
      <w:r w:rsidR="00DD64EA">
        <w:rPr>
          <w:rFonts w:ascii="Cambria" w:hAnsi="Cambria"/>
          <w:sz w:val="24"/>
          <w:szCs w:val="24"/>
        </w:rPr>
        <w:t>n private law? Did it simply by</w:t>
      </w:r>
      <w:r w:rsidR="00F321D6" w:rsidRPr="009C3204">
        <w:rPr>
          <w:rFonts w:ascii="Cambria" w:hAnsi="Cambria"/>
          <w:sz w:val="24"/>
          <w:szCs w:val="24"/>
        </w:rPr>
        <w:t>pass private law and replace it with more ‘public’ and collective solutions?</w:t>
      </w:r>
      <w:r w:rsidR="00BA3FCE" w:rsidRPr="009C3204">
        <w:rPr>
          <w:rFonts w:ascii="Cambria" w:hAnsi="Cambria"/>
          <w:sz w:val="24"/>
          <w:szCs w:val="24"/>
        </w:rPr>
        <w:t xml:space="preserve"> </w:t>
      </w:r>
    </w:p>
    <w:p w14:paraId="220C36E3" w14:textId="49341AA5" w:rsidR="009D20E6" w:rsidRPr="009C3204" w:rsidRDefault="008A30D6" w:rsidP="008E4509">
      <w:pPr>
        <w:spacing w:line="240" w:lineRule="auto"/>
        <w:jc w:val="both"/>
        <w:rPr>
          <w:rFonts w:ascii="Cambria" w:hAnsi="Cambria"/>
          <w:b/>
          <w:sz w:val="24"/>
          <w:szCs w:val="24"/>
        </w:rPr>
      </w:pPr>
      <w:r w:rsidRPr="009C3204">
        <w:rPr>
          <w:rFonts w:ascii="Cambria" w:hAnsi="Cambria"/>
          <w:sz w:val="24"/>
          <w:szCs w:val="24"/>
        </w:rPr>
        <w:t xml:space="preserve">Private law </w:t>
      </w:r>
      <w:r w:rsidR="009E3AA5" w:rsidRPr="009C3204">
        <w:rPr>
          <w:rFonts w:ascii="Cambria" w:hAnsi="Cambria"/>
          <w:sz w:val="24"/>
          <w:szCs w:val="24"/>
        </w:rPr>
        <w:t>has not been</w:t>
      </w:r>
      <w:r w:rsidR="006F2C3B" w:rsidRPr="009C3204">
        <w:rPr>
          <w:rFonts w:ascii="Cambria" w:hAnsi="Cambria"/>
          <w:sz w:val="24"/>
          <w:szCs w:val="24"/>
        </w:rPr>
        <w:t xml:space="preserve"> </w:t>
      </w:r>
      <w:r w:rsidR="009F49D4" w:rsidRPr="009C3204">
        <w:rPr>
          <w:rFonts w:ascii="Cambria" w:hAnsi="Cambria"/>
          <w:sz w:val="24"/>
          <w:szCs w:val="24"/>
        </w:rPr>
        <w:t>super</w:t>
      </w:r>
      <w:r w:rsidR="0026703C" w:rsidRPr="009C3204">
        <w:rPr>
          <w:rFonts w:ascii="Cambria" w:hAnsi="Cambria"/>
          <w:sz w:val="24"/>
          <w:szCs w:val="24"/>
        </w:rPr>
        <w:t>s</w:t>
      </w:r>
      <w:r w:rsidR="009F49D4" w:rsidRPr="009C3204">
        <w:rPr>
          <w:rFonts w:ascii="Cambria" w:hAnsi="Cambria"/>
          <w:sz w:val="24"/>
          <w:szCs w:val="24"/>
        </w:rPr>
        <w:t xml:space="preserve">eded in a wholesale way, </w:t>
      </w:r>
      <w:r w:rsidR="00BA3FCE" w:rsidRPr="009C3204">
        <w:rPr>
          <w:rFonts w:ascii="Cambria" w:hAnsi="Cambria"/>
          <w:sz w:val="24"/>
          <w:szCs w:val="24"/>
        </w:rPr>
        <w:t xml:space="preserve">though it has </w:t>
      </w:r>
      <w:r w:rsidR="009F49D4" w:rsidRPr="009C3204">
        <w:rPr>
          <w:rFonts w:ascii="Cambria" w:hAnsi="Cambria"/>
          <w:sz w:val="24"/>
          <w:szCs w:val="24"/>
        </w:rPr>
        <w:t xml:space="preserve">been </w:t>
      </w:r>
      <w:r w:rsidR="00BA3FCE" w:rsidRPr="009C3204">
        <w:rPr>
          <w:rFonts w:ascii="Cambria" w:hAnsi="Cambria"/>
          <w:sz w:val="24"/>
          <w:szCs w:val="24"/>
        </w:rPr>
        <w:t>arg</w:t>
      </w:r>
      <w:r w:rsidR="009F49D4" w:rsidRPr="009C3204">
        <w:rPr>
          <w:rFonts w:ascii="Cambria" w:hAnsi="Cambria"/>
          <w:sz w:val="24"/>
          <w:szCs w:val="24"/>
        </w:rPr>
        <w:t>ued that</w:t>
      </w:r>
      <w:r w:rsidR="000E3A20" w:rsidRPr="009C3204">
        <w:rPr>
          <w:rFonts w:ascii="Cambria" w:hAnsi="Cambria"/>
          <w:sz w:val="24"/>
          <w:szCs w:val="24"/>
        </w:rPr>
        <w:t xml:space="preserve"> in some spheres</w:t>
      </w:r>
      <w:r w:rsidR="009F49D4" w:rsidRPr="009C3204">
        <w:rPr>
          <w:rFonts w:ascii="Cambria" w:hAnsi="Cambria"/>
          <w:sz w:val="24"/>
          <w:szCs w:val="24"/>
        </w:rPr>
        <w:t xml:space="preserve"> it ought to have been</w:t>
      </w:r>
      <w:r w:rsidR="000E3A20" w:rsidRPr="009C3204">
        <w:rPr>
          <w:rFonts w:ascii="Cambria" w:hAnsi="Cambria"/>
          <w:sz w:val="24"/>
          <w:szCs w:val="24"/>
        </w:rPr>
        <w:t xml:space="preserve">, as security </w:t>
      </w:r>
      <w:r w:rsidR="009E3AA5" w:rsidRPr="009C3204">
        <w:rPr>
          <w:rFonts w:ascii="Cambria" w:hAnsi="Cambria"/>
          <w:sz w:val="24"/>
          <w:szCs w:val="24"/>
        </w:rPr>
        <w:t xml:space="preserve">could be </w:t>
      </w:r>
      <w:r w:rsidR="000E3A20" w:rsidRPr="009C3204">
        <w:rPr>
          <w:rFonts w:ascii="Cambria" w:hAnsi="Cambria"/>
          <w:sz w:val="24"/>
          <w:szCs w:val="24"/>
        </w:rPr>
        <w:t>more effectively and efficiently provided in other ways</w:t>
      </w:r>
      <w:r w:rsidR="00263248" w:rsidRPr="009C3204">
        <w:rPr>
          <w:rFonts w:ascii="Cambria" w:hAnsi="Cambria"/>
          <w:sz w:val="24"/>
          <w:szCs w:val="24"/>
        </w:rPr>
        <w:t>.</w:t>
      </w:r>
      <w:r w:rsidR="009F49D4" w:rsidRPr="009C3204">
        <w:rPr>
          <w:rStyle w:val="FootnoteReference"/>
          <w:rFonts w:ascii="Cambria" w:hAnsi="Cambria"/>
          <w:sz w:val="24"/>
          <w:szCs w:val="24"/>
        </w:rPr>
        <w:footnoteReference w:id="39"/>
      </w:r>
      <w:r w:rsidR="009F49D4" w:rsidRPr="009C3204">
        <w:rPr>
          <w:rFonts w:ascii="Cambria" w:hAnsi="Cambria"/>
          <w:sz w:val="24"/>
          <w:szCs w:val="24"/>
        </w:rPr>
        <w:t xml:space="preserve"> </w:t>
      </w:r>
      <w:r w:rsidR="00263248" w:rsidRPr="009C3204">
        <w:rPr>
          <w:rFonts w:ascii="Cambria" w:hAnsi="Cambria"/>
          <w:sz w:val="24"/>
          <w:szCs w:val="24"/>
        </w:rPr>
        <w:t xml:space="preserve">To some extent this argument depended on </w:t>
      </w:r>
      <w:r w:rsidR="006F2C3B" w:rsidRPr="009C3204">
        <w:rPr>
          <w:rFonts w:ascii="Cambria" w:hAnsi="Cambria"/>
          <w:sz w:val="24"/>
          <w:szCs w:val="24"/>
        </w:rPr>
        <w:t>challenging</w:t>
      </w:r>
      <w:r w:rsidR="00263248" w:rsidRPr="009C3204">
        <w:rPr>
          <w:rFonts w:ascii="Cambria" w:hAnsi="Cambria"/>
          <w:sz w:val="24"/>
          <w:szCs w:val="24"/>
        </w:rPr>
        <w:t xml:space="preserve"> the </w:t>
      </w:r>
      <w:proofErr w:type="spellStart"/>
      <w:r w:rsidR="00263248" w:rsidRPr="009C3204">
        <w:rPr>
          <w:rFonts w:ascii="Cambria" w:hAnsi="Cambria"/>
          <w:sz w:val="24"/>
          <w:szCs w:val="24"/>
        </w:rPr>
        <w:t>privateness</w:t>
      </w:r>
      <w:proofErr w:type="spellEnd"/>
      <w:r w:rsidR="00263248" w:rsidRPr="009C3204">
        <w:rPr>
          <w:rFonts w:ascii="Cambria" w:hAnsi="Cambria"/>
          <w:sz w:val="24"/>
          <w:szCs w:val="24"/>
        </w:rPr>
        <w:t xml:space="preserve"> of private law; and this was achieved by pointing to its costs and their distribution, typically through the burden of insurance. At the same time,</w:t>
      </w:r>
      <w:r w:rsidR="009F49D4" w:rsidRPr="009C3204">
        <w:rPr>
          <w:rFonts w:ascii="Cambria" w:hAnsi="Cambria"/>
          <w:sz w:val="24"/>
          <w:szCs w:val="24"/>
        </w:rPr>
        <w:t xml:space="preserve"> socialised theories of private law tended to focus on the supposed absorption of contract to tort, as though tort was </w:t>
      </w:r>
      <w:r w:rsidR="006F2C3B" w:rsidRPr="009C3204">
        <w:rPr>
          <w:rFonts w:ascii="Cambria" w:hAnsi="Cambria"/>
          <w:sz w:val="24"/>
          <w:szCs w:val="24"/>
        </w:rPr>
        <w:t xml:space="preserve">the more </w:t>
      </w:r>
      <w:r w:rsidR="009F49D4" w:rsidRPr="009C3204">
        <w:rPr>
          <w:rFonts w:ascii="Cambria" w:hAnsi="Cambria"/>
          <w:sz w:val="24"/>
          <w:szCs w:val="24"/>
        </w:rPr>
        <w:t>‘collective’</w:t>
      </w:r>
      <w:r w:rsidR="006F4525" w:rsidRPr="009C3204">
        <w:rPr>
          <w:rFonts w:ascii="Cambria" w:hAnsi="Cambria"/>
          <w:sz w:val="24"/>
          <w:szCs w:val="24"/>
        </w:rPr>
        <w:t xml:space="preserve"> and welfare-oriented</w:t>
      </w:r>
      <w:r w:rsidR="009F49D4" w:rsidRPr="009C3204">
        <w:rPr>
          <w:rFonts w:ascii="Cambria" w:hAnsi="Cambria"/>
          <w:sz w:val="24"/>
          <w:szCs w:val="24"/>
        </w:rPr>
        <w:t>.</w:t>
      </w:r>
      <w:bookmarkStart w:id="9" w:name="_Ref480743532"/>
      <w:r w:rsidR="00347FBD" w:rsidRPr="009C3204">
        <w:rPr>
          <w:rStyle w:val="FootnoteReference"/>
          <w:rFonts w:ascii="Cambria" w:hAnsi="Cambria"/>
          <w:sz w:val="24"/>
          <w:szCs w:val="24"/>
        </w:rPr>
        <w:footnoteReference w:id="40"/>
      </w:r>
      <w:bookmarkEnd w:id="9"/>
      <w:r w:rsidR="006F4525" w:rsidRPr="009C3204">
        <w:rPr>
          <w:rFonts w:ascii="Cambria" w:hAnsi="Cambria"/>
          <w:sz w:val="24"/>
          <w:szCs w:val="24"/>
        </w:rPr>
        <w:t xml:space="preserve"> One explanation of this move i</w:t>
      </w:r>
      <w:r w:rsidR="009F49D4" w:rsidRPr="009C3204">
        <w:rPr>
          <w:rFonts w:ascii="Cambria" w:hAnsi="Cambria"/>
          <w:sz w:val="24"/>
          <w:szCs w:val="24"/>
        </w:rPr>
        <w:t xml:space="preserve">s that </w:t>
      </w:r>
      <w:r w:rsidR="00263248" w:rsidRPr="009C3204">
        <w:rPr>
          <w:rFonts w:ascii="Cambria" w:hAnsi="Cambria"/>
          <w:sz w:val="24"/>
          <w:szCs w:val="24"/>
        </w:rPr>
        <w:t xml:space="preserve">as </w:t>
      </w:r>
      <w:r w:rsidR="00347FBD" w:rsidRPr="009C3204">
        <w:rPr>
          <w:rFonts w:ascii="Cambria" w:hAnsi="Cambria"/>
          <w:sz w:val="24"/>
          <w:szCs w:val="24"/>
        </w:rPr>
        <w:t xml:space="preserve">the </w:t>
      </w:r>
      <w:r w:rsidR="009F49D4" w:rsidRPr="009C3204">
        <w:rPr>
          <w:rFonts w:ascii="Cambria" w:hAnsi="Cambria"/>
          <w:i/>
          <w:sz w:val="24"/>
          <w:szCs w:val="24"/>
        </w:rPr>
        <w:t>context</w:t>
      </w:r>
      <w:r w:rsidR="006F4525" w:rsidRPr="009C3204">
        <w:rPr>
          <w:rFonts w:ascii="Cambria" w:hAnsi="Cambria"/>
          <w:sz w:val="24"/>
          <w:szCs w:val="24"/>
        </w:rPr>
        <w:t xml:space="preserve"> of tort’s</w:t>
      </w:r>
      <w:r w:rsidR="009F49D4" w:rsidRPr="009C3204">
        <w:rPr>
          <w:rFonts w:ascii="Cambria" w:hAnsi="Cambria"/>
          <w:sz w:val="24"/>
          <w:szCs w:val="24"/>
        </w:rPr>
        <w:t xml:space="preserve"> operation became one of risk technique</w:t>
      </w:r>
      <w:r w:rsidR="008105AB" w:rsidRPr="009C3204">
        <w:rPr>
          <w:rFonts w:ascii="Cambria" w:hAnsi="Cambria"/>
          <w:sz w:val="24"/>
          <w:szCs w:val="24"/>
        </w:rPr>
        <w:t xml:space="preserve"> —</w:t>
      </w:r>
      <w:r w:rsidR="009F49D4" w:rsidRPr="009C3204">
        <w:rPr>
          <w:rFonts w:ascii="Cambria" w:hAnsi="Cambria"/>
          <w:sz w:val="24"/>
          <w:szCs w:val="24"/>
        </w:rPr>
        <w:t xml:space="preserve"> security style</w:t>
      </w:r>
      <w:r w:rsidR="008105AB" w:rsidRPr="009C3204">
        <w:rPr>
          <w:rFonts w:ascii="Cambria" w:hAnsi="Cambria"/>
          <w:sz w:val="24"/>
          <w:szCs w:val="24"/>
        </w:rPr>
        <w:t xml:space="preserve"> —</w:t>
      </w:r>
      <w:r w:rsidR="006F4525" w:rsidRPr="009C3204">
        <w:rPr>
          <w:rFonts w:ascii="Cambria" w:hAnsi="Cambria"/>
          <w:sz w:val="24"/>
          <w:szCs w:val="24"/>
        </w:rPr>
        <w:t xml:space="preserve"> tort adjusted to this context by absorbing some of its thinking</w:t>
      </w:r>
      <w:r w:rsidRPr="009C3204">
        <w:rPr>
          <w:rFonts w:ascii="Cambria" w:hAnsi="Cambria"/>
          <w:sz w:val="24"/>
          <w:szCs w:val="24"/>
        </w:rPr>
        <w:t xml:space="preserve">. </w:t>
      </w:r>
      <w:r w:rsidR="00263248" w:rsidRPr="009C3204">
        <w:rPr>
          <w:rFonts w:ascii="Cambria" w:hAnsi="Cambria"/>
          <w:sz w:val="24"/>
          <w:szCs w:val="24"/>
        </w:rPr>
        <w:t>The other is through the link between tort and insurance which distributes the burden of its costs.</w:t>
      </w:r>
      <w:r w:rsidR="004115A3">
        <w:rPr>
          <w:rStyle w:val="FootnoteReference"/>
          <w:rFonts w:ascii="Cambria" w:hAnsi="Cambria"/>
          <w:sz w:val="24"/>
          <w:szCs w:val="24"/>
        </w:rPr>
        <w:footnoteReference w:id="41"/>
      </w:r>
    </w:p>
    <w:p w14:paraId="500E704A" w14:textId="7C59FDC4" w:rsidR="00263248" w:rsidRPr="009C3204" w:rsidRDefault="006A5333" w:rsidP="008E4509">
      <w:pPr>
        <w:spacing w:line="240" w:lineRule="auto"/>
        <w:jc w:val="both"/>
        <w:rPr>
          <w:rFonts w:ascii="Cambria" w:hAnsi="Cambria"/>
          <w:sz w:val="24"/>
          <w:szCs w:val="24"/>
        </w:rPr>
      </w:pPr>
      <w:r w:rsidRPr="009C3204">
        <w:rPr>
          <w:rFonts w:ascii="Cambria" w:hAnsi="Cambria"/>
          <w:sz w:val="24"/>
          <w:szCs w:val="24"/>
        </w:rPr>
        <w:t xml:space="preserve">The </w:t>
      </w:r>
      <w:r w:rsidR="000A7275" w:rsidRPr="009C3204">
        <w:rPr>
          <w:rFonts w:ascii="Cambria" w:hAnsi="Cambria"/>
          <w:sz w:val="24"/>
          <w:szCs w:val="24"/>
        </w:rPr>
        <w:t xml:space="preserve">‘security’ </w:t>
      </w:r>
      <w:r w:rsidRPr="009C3204">
        <w:rPr>
          <w:rFonts w:ascii="Cambria" w:hAnsi="Cambria"/>
          <w:sz w:val="24"/>
          <w:szCs w:val="24"/>
        </w:rPr>
        <w:t xml:space="preserve">revolution was largely occupied with distribution, collectivisation, and </w:t>
      </w:r>
      <w:r w:rsidR="00CB6B43" w:rsidRPr="009C3204">
        <w:rPr>
          <w:rFonts w:ascii="Cambria" w:hAnsi="Cambria"/>
          <w:sz w:val="24"/>
          <w:szCs w:val="24"/>
        </w:rPr>
        <w:t>— in the broadest sense —</w:t>
      </w:r>
      <w:r w:rsidR="004070AE" w:rsidRPr="009C3204">
        <w:rPr>
          <w:rFonts w:ascii="Cambria" w:hAnsi="Cambria"/>
          <w:sz w:val="24"/>
          <w:szCs w:val="24"/>
        </w:rPr>
        <w:t xml:space="preserve"> ‘insurance’. This notably included </w:t>
      </w:r>
      <w:r w:rsidR="00F27375" w:rsidRPr="009C3204">
        <w:rPr>
          <w:rFonts w:ascii="Cambria" w:hAnsi="Cambria"/>
          <w:sz w:val="24"/>
          <w:szCs w:val="24"/>
        </w:rPr>
        <w:t xml:space="preserve">the rise of </w:t>
      </w:r>
      <w:r w:rsidR="004070AE" w:rsidRPr="009C3204">
        <w:rPr>
          <w:rFonts w:ascii="Cambria" w:hAnsi="Cambria"/>
          <w:sz w:val="24"/>
          <w:szCs w:val="24"/>
        </w:rPr>
        <w:t>social insurance</w:t>
      </w:r>
      <w:r w:rsidR="00347FBD" w:rsidRPr="009C3204">
        <w:rPr>
          <w:rFonts w:ascii="Cambria" w:hAnsi="Cambria"/>
          <w:sz w:val="24"/>
          <w:szCs w:val="24"/>
        </w:rPr>
        <w:t xml:space="preserve"> and</w:t>
      </w:r>
      <w:r w:rsidR="004070AE" w:rsidRPr="009C3204">
        <w:rPr>
          <w:rFonts w:ascii="Cambria" w:hAnsi="Cambria"/>
          <w:sz w:val="24"/>
          <w:szCs w:val="24"/>
        </w:rPr>
        <w:t xml:space="preserve"> work</w:t>
      </w:r>
      <w:r w:rsidR="00BF7009">
        <w:rPr>
          <w:rFonts w:ascii="Cambria" w:hAnsi="Cambria"/>
          <w:sz w:val="24"/>
          <w:szCs w:val="24"/>
        </w:rPr>
        <w:t>ers</w:t>
      </w:r>
      <w:r w:rsidR="000A7275" w:rsidRPr="009C3204">
        <w:rPr>
          <w:rFonts w:ascii="Cambria" w:hAnsi="Cambria"/>
          <w:sz w:val="24"/>
          <w:szCs w:val="24"/>
        </w:rPr>
        <w:t>’</w:t>
      </w:r>
      <w:r w:rsidR="004070AE" w:rsidRPr="009C3204">
        <w:rPr>
          <w:rFonts w:ascii="Cambria" w:hAnsi="Cambria"/>
          <w:sz w:val="24"/>
          <w:szCs w:val="24"/>
        </w:rPr>
        <w:t xml:space="preserve"> compensation,</w:t>
      </w:r>
      <w:r w:rsidR="000A7275" w:rsidRPr="009C3204">
        <w:rPr>
          <w:rStyle w:val="FootnoteReference"/>
          <w:rFonts w:ascii="Cambria" w:hAnsi="Cambria"/>
          <w:sz w:val="24"/>
          <w:szCs w:val="24"/>
        </w:rPr>
        <w:footnoteReference w:id="42"/>
      </w:r>
      <w:r w:rsidR="004070AE" w:rsidRPr="009C3204">
        <w:rPr>
          <w:rFonts w:ascii="Cambria" w:hAnsi="Cambria"/>
          <w:sz w:val="24"/>
          <w:szCs w:val="24"/>
        </w:rPr>
        <w:t xml:space="preserve"> for example.</w:t>
      </w:r>
      <w:r w:rsidR="000E3A20" w:rsidRPr="009C3204">
        <w:rPr>
          <w:rFonts w:ascii="Cambria" w:hAnsi="Cambria"/>
          <w:sz w:val="24"/>
          <w:szCs w:val="24"/>
        </w:rPr>
        <w:t xml:space="preserve"> The latter illustrates that</w:t>
      </w:r>
      <w:r w:rsidR="00415294" w:rsidRPr="009C3204">
        <w:rPr>
          <w:rFonts w:ascii="Cambria" w:hAnsi="Cambria"/>
          <w:sz w:val="24"/>
          <w:szCs w:val="24"/>
        </w:rPr>
        <w:t xml:space="preserve"> there was space for new liabilities in the transformed landscape</w:t>
      </w:r>
      <w:r w:rsidR="000E3A20" w:rsidRPr="009C3204">
        <w:rPr>
          <w:rFonts w:ascii="Cambria" w:hAnsi="Cambria"/>
          <w:sz w:val="24"/>
          <w:szCs w:val="24"/>
        </w:rPr>
        <w:t>: l</w:t>
      </w:r>
      <w:r w:rsidRPr="009C3204">
        <w:rPr>
          <w:rFonts w:ascii="Cambria" w:hAnsi="Cambria"/>
          <w:sz w:val="24"/>
          <w:szCs w:val="24"/>
        </w:rPr>
        <w:t>i</w:t>
      </w:r>
      <w:r w:rsidR="00827758" w:rsidRPr="009C3204">
        <w:rPr>
          <w:rFonts w:ascii="Cambria" w:hAnsi="Cambria"/>
          <w:sz w:val="24"/>
          <w:szCs w:val="24"/>
        </w:rPr>
        <w:t xml:space="preserve">ability was one of the </w:t>
      </w:r>
      <w:r w:rsidR="00F77316" w:rsidRPr="009C3204">
        <w:rPr>
          <w:rFonts w:ascii="Cambria" w:hAnsi="Cambria"/>
          <w:sz w:val="24"/>
          <w:szCs w:val="24"/>
        </w:rPr>
        <w:t>techniques or responses applied</w:t>
      </w:r>
      <w:r w:rsidR="000E3A20" w:rsidRPr="009C3204">
        <w:rPr>
          <w:rFonts w:ascii="Cambria" w:hAnsi="Cambria"/>
          <w:sz w:val="24"/>
          <w:szCs w:val="24"/>
        </w:rPr>
        <w:t xml:space="preserve">, though </w:t>
      </w:r>
      <w:r w:rsidR="00827758" w:rsidRPr="009C3204">
        <w:rPr>
          <w:rFonts w:ascii="Cambria" w:hAnsi="Cambria"/>
          <w:sz w:val="24"/>
          <w:szCs w:val="24"/>
        </w:rPr>
        <w:t xml:space="preserve">it was </w:t>
      </w:r>
      <w:r w:rsidR="00F77316" w:rsidRPr="009C3204">
        <w:rPr>
          <w:rFonts w:ascii="Cambria" w:hAnsi="Cambria"/>
          <w:sz w:val="24"/>
          <w:szCs w:val="24"/>
        </w:rPr>
        <w:t xml:space="preserve">plainly </w:t>
      </w:r>
      <w:r w:rsidR="00827758" w:rsidRPr="009C3204">
        <w:rPr>
          <w:rFonts w:ascii="Cambria" w:hAnsi="Cambria"/>
          <w:sz w:val="24"/>
          <w:szCs w:val="24"/>
        </w:rPr>
        <w:t>only one among others</w:t>
      </w:r>
      <w:r w:rsidR="00CB04A6" w:rsidRPr="009C3204">
        <w:rPr>
          <w:rFonts w:ascii="Cambria" w:hAnsi="Cambria"/>
          <w:sz w:val="24"/>
          <w:szCs w:val="24"/>
        </w:rPr>
        <w:t>.</w:t>
      </w:r>
      <w:r w:rsidR="00263248" w:rsidRPr="009C3204">
        <w:rPr>
          <w:rFonts w:ascii="Cambria" w:hAnsi="Cambria"/>
          <w:sz w:val="24"/>
          <w:szCs w:val="24"/>
        </w:rPr>
        <w:t xml:space="preserve"> M</w:t>
      </w:r>
      <w:r w:rsidR="003A01C2" w:rsidRPr="009C3204">
        <w:rPr>
          <w:rFonts w:ascii="Cambria" w:hAnsi="Cambria"/>
          <w:sz w:val="24"/>
          <w:szCs w:val="24"/>
        </w:rPr>
        <w:t xml:space="preserve">arket </w:t>
      </w:r>
      <w:r w:rsidR="00D25233" w:rsidRPr="009C3204">
        <w:rPr>
          <w:rFonts w:ascii="Cambria" w:hAnsi="Cambria"/>
          <w:sz w:val="24"/>
          <w:szCs w:val="24"/>
        </w:rPr>
        <w:t xml:space="preserve">insurance </w:t>
      </w:r>
      <w:r w:rsidR="006F2C3B" w:rsidRPr="009C3204">
        <w:rPr>
          <w:rFonts w:ascii="Cambria" w:hAnsi="Cambria"/>
          <w:sz w:val="24"/>
          <w:szCs w:val="24"/>
        </w:rPr>
        <w:t xml:space="preserve">of these liabilities </w:t>
      </w:r>
      <w:r w:rsidR="00D25233" w:rsidRPr="009C3204">
        <w:rPr>
          <w:rFonts w:ascii="Cambria" w:hAnsi="Cambria"/>
          <w:sz w:val="24"/>
          <w:szCs w:val="24"/>
        </w:rPr>
        <w:t>became the norm</w:t>
      </w:r>
      <w:r w:rsidR="003A01C2" w:rsidRPr="009C3204">
        <w:rPr>
          <w:rFonts w:ascii="Cambria" w:hAnsi="Cambria"/>
          <w:sz w:val="24"/>
          <w:szCs w:val="24"/>
        </w:rPr>
        <w:t xml:space="preserve">, so that </w:t>
      </w:r>
      <w:r w:rsidR="00D25233" w:rsidRPr="009C3204">
        <w:rPr>
          <w:rFonts w:ascii="Cambria" w:hAnsi="Cambria"/>
          <w:sz w:val="24"/>
          <w:szCs w:val="24"/>
        </w:rPr>
        <w:t xml:space="preserve">distribution within an enterprise </w:t>
      </w:r>
      <w:r w:rsidR="003A01C2" w:rsidRPr="009C3204">
        <w:rPr>
          <w:rFonts w:ascii="Cambria" w:hAnsi="Cambria"/>
          <w:sz w:val="24"/>
          <w:szCs w:val="24"/>
        </w:rPr>
        <w:t xml:space="preserve">(the model of workmen’s compensation) </w:t>
      </w:r>
      <w:r w:rsidR="00D25233" w:rsidRPr="009C3204">
        <w:rPr>
          <w:rFonts w:ascii="Cambria" w:hAnsi="Cambria"/>
          <w:sz w:val="24"/>
          <w:szCs w:val="24"/>
        </w:rPr>
        <w:t>was met by distribution beyond it.</w:t>
      </w:r>
      <w:r w:rsidR="00263248" w:rsidRPr="009C3204">
        <w:rPr>
          <w:rFonts w:ascii="Cambria" w:hAnsi="Cambria"/>
          <w:sz w:val="24"/>
          <w:szCs w:val="24"/>
        </w:rPr>
        <w:t xml:space="preserve"> </w:t>
      </w:r>
    </w:p>
    <w:p w14:paraId="71014504" w14:textId="06171A86" w:rsidR="00705701" w:rsidRPr="00A93A1E" w:rsidRDefault="00471573" w:rsidP="008E4509">
      <w:pPr>
        <w:spacing w:line="240" w:lineRule="auto"/>
        <w:jc w:val="both"/>
        <w:rPr>
          <w:rFonts w:ascii="Cambria" w:hAnsi="Cambria"/>
          <w:sz w:val="24"/>
          <w:szCs w:val="24"/>
        </w:rPr>
      </w:pPr>
      <w:r w:rsidRPr="009C3204">
        <w:rPr>
          <w:rFonts w:ascii="Cambria" w:hAnsi="Cambria"/>
          <w:sz w:val="24"/>
          <w:szCs w:val="24"/>
        </w:rPr>
        <w:t>In t</w:t>
      </w:r>
      <w:r w:rsidR="00BF7009">
        <w:rPr>
          <w:rFonts w:ascii="Cambria" w:hAnsi="Cambria"/>
          <w:sz w:val="24"/>
          <w:szCs w:val="24"/>
        </w:rPr>
        <w:t xml:space="preserve">he UK, the transition to </w:t>
      </w:r>
      <w:proofErr w:type="spellStart"/>
      <w:r w:rsidR="00BF7009">
        <w:rPr>
          <w:rFonts w:ascii="Cambria" w:hAnsi="Cambria"/>
          <w:sz w:val="24"/>
          <w:szCs w:val="24"/>
        </w:rPr>
        <w:t>workmens</w:t>
      </w:r>
      <w:proofErr w:type="spellEnd"/>
      <w:r w:rsidRPr="009C3204">
        <w:rPr>
          <w:rFonts w:ascii="Cambria" w:hAnsi="Cambria"/>
          <w:sz w:val="24"/>
          <w:szCs w:val="24"/>
        </w:rPr>
        <w:t>’ compensation and social security could have marked the decline of tort; but it did not.</w:t>
      </w:r>
      <w:bookmarkStart w:id="10" w:name="_Ref480743484"/>
      <w:r w:rsidRPr="009C3204">
        <w:rPr>
          <w:rStyle w:val="FootnoteReference"/>
          <w:rFonts w:ascii="Cambria" w:hAnsi="Cambria"/>
          <w:sz w:val="24"/>
          <w:szCs w:val="24"/>
        </w:rPr>
        <w:footnoteReference w:id="43"/>
      </w:r>
      <w:bookmarkEnd w:id="10"/>
      <w:r w:rsidRPr="009C3204">
        <w:rPr>
          <w:rFonts w:ascii="Cambria" w:hAnsi="Cambria"/>
          <w:sz w:val="24"/>
          <w:szCs w:val="24"/>
        </w:rPr>
        <w:t xml:space="preserve"> </w:t>
      </w:r>
      <w:r w:rsidR="006F2C3B" w:rsidRPr="009C3204">
        <w:rPr>
          <w:rFonts w:ascii="Cambria" w:hAnsi="Cambria"/>
          <w:sz w:val="24"/>
          <w:szCs w:val="24"/>
        </w:rPr>
        <w:t>Rather, i</w:t>
      </w:r>
      <w:r w:rsidR="00BE6EDC" w:rsidRPr="009C3204">
        <w:rPr>
          <w:rFonts w:ascii="Cambria" w:hAnsi="Cambria"/>
          <w:sz w:val="24"/>
          <w:szCs w:val="24"/>
        </w:rPr>
        <w:t>t could be said that the transition from</w:t>
      </w:r>
      <w:r w:rsidR="00BE6EDC" w:rsidRPr="009C3204">
        <w:rPr>
          <w:rFonts w:ascii="Cambria" w:hAnsi="Cambria"/>
          <w:i/>
          <w:sz w:val="24"/>
          <w:szCs w:val="24"/>
        </w:rPr>
        <w:t xml:space="preserve"> </w:t>
      </w:r>
      <w:r w:rsidR="000A7275" w:rsidRPr="009C3204">
        <w:rPr>
          <w:rFonts w:ascii="Cambria" w:hAnsi="Cambria"/>
          <w:sz w:val="24"/>
          <w:szCs w:val="24"/>
        </w:rPr>
        <w:t xml:space="preserve">individualised </w:t>
      </w:r>
      <w:r w:rsidR="00BE6EDC" w:rsidRPr="009C3204">
        <w:rPr>
          <w:rFonts w:ascii="Cambria" w:hAnsi="Cambria"/>
          <w:sz w:val="24"/>
          <w:szCs w:val="24"/>
        </w:rPr>
        <w:t>risk, to</w:t>
      </w:r>
      <w:r w:rsidR="00BE6EDC" w:rsidRPr="009C3204">
        <w:rPr>
          <w:rFonts w:ascii="Cambria" w:hAnsi="Cambria"/>
          <w:i/>
          <w:sz w:val="24"/>
          <w:szCs w:val="24"/>
        </w:rPr>
        <w:t xml:space="preserve"> </w:t>
      </w:r>
      <w:r w:rsidR="000A7275" w:rsidRPr="009C3204">
        <w:rPr>
          <w:rFonts w:ascii="Cambria" w:hAnsi="Cambria"/>
          <w:sz w:val="24"/>
          <w:szCs w:val="24"/>
        </w:rPr>
        <w:t xml:space="preserve">collective risk or </w:t>
      </w:r>
      <w:r w:rsidR="00BE6EDC" w:rsidRPr="009C3204">
        <w:rPr>
          <w:rFonts w:ascii="Cambria" w:hAnsi="Cambria"/>
          <w:sz w:val="24"/>
          <w:szCs w:val="24"/>
        </w:rPr>
        <w:t>insurance</w:t>
      </w:r>
      <w:r w:rsidR="00627A7B" w:rsidRPr="009C3204">
        <w:rPr>
          <w:rFonts w:ascii="Cambria" w:hAnsi="Cambria"/>
          <w:sz w:val="24"/>
          <w:szCs w:val="24"/>
        </w:rPr>
        <w:t>, was effective both within, and outside the law of tort</w:t>
      </w:r>
      <w:r w:rsidR="00BE6EDC" w:rsidRPr="009C3204">
        <w:rPr>
          <w:rFonts w:ascii="Cambria" w:hAnsi="Cambria"/>
          <w:sz w:val="24"/>
          <w:szCs w:val="24"/>
        </w:rPr>
        <w:t xml:space="preserve">. </w:t>
      </w:r>
      <w:r w:rsidR="000A7275" w:rsidRPr="009C3204">
        <w:rPr>
          <w:rFonts w:ascii="Cambria" w:hAnsi="Cambria"/>
          <w:sz w:val="24"/>
          <w:szCs w:val="24"/>
        </w:rPr>
        <w:t>The pre-existing bar to employers’ liability under the ‘fellow servant’ or ‘common employment’ rule was itself based on an assertion about assumptions or allocations of risk</w:t>
      </w:r>
      <w:r w:rsidR="00263248" w:rsidRPr="009C3204">
        <w:rPr>
          <w:rFonts w:ascii="Cambria" w:hAnsi="Cambria"/>
          <w:sz w:val="24"/>
          <w:szCs w:val="24"/>
        </w:rPr>
        <w:t>, so that its removal could be perceived as part of a less individualised approach to risk</w:t>
      </w:r>
      <w:r w:rsidR="000A7275" w:rsidRPr="009C3204">
        <w:rPr>
          <w:rFonts w:ascii="Cambria" w:hAnsi="Cambria"/>
          <w:sz w:val="24"/>
          <w:szCs w:val="24"/>
        </w:rPr>
        <w:t xml:space="preserve">. </w:t>
      </w:r>
      <w:r w:rsidR="00263248" w:rsidRPr="009C3204">
        <w:rPr>
          <w:rFonts w:ascii="Cambria" w:hAnsi="Cambria"/>
          <w:sz w:val="24"/>
          <w:szCs w:val="24"/>
        </w:rPr>
        <w:t>Similarly, p</w:t>
      </w:r>
      <w:r w:rsidR="00EA6983" w:rsidRPr="009C3204">
        <w:rPr>
          <w:rFonts w:ascii="Cambria" w:hAnsi="Cambria"/>
          <w:sz w:val="24"/>
          <w:szCs w:val="24"/>
        </w:rPr>
        <w:t>rior to the Workmen’s Compensation Acts,</w:t>
      </w:r>
      <w:r w:rsidR="00787AB6" w:rsidRPr="009C3204">
        <w:rPr>
          <w:rStyle w:val="FootnoteReference"/>
          <w:rFonts w:ascii="Cambria" w:hAnsi="Cambria"/>
          <w:sz w:val="24"/>
          <w:szCs w:val="24"/>
        </w:rPr>
        <w:footnoteReference w:id="44"/>
      </w:r>
      <w:r w:rsidR="00EA6983" w:rsidRPr="009C3204">
        <w:rPr>
          <w:rFonts w:ascii="Cambria" w:hAnsi="Cambria"/>
          <w:sz w:val="24"/>
          <w:szCs w:val="24"/>
        </w:rPr>
        <w:t xml:space="preserve"> </w:t>
      </w:r>
      <w:r w:rsidR="00F77316" w:rsidRPr="009C3204">
        <w:rPr>
          <w:rFonts w:ascii="Cambria" w:hAnsi="Cambria"/>
          <w:sz w:val="24"/>
          <w:szCs w:val="24"/>
        </w:rPr>
        <w:t>employers’ liability had been</w:t>
      </w:r>
      <w:r w:rsidR="00B42485" w:rsidRPr="009C3204">
        <w:rPr>
          <w:rFonts w:ascii="Cambria" w:hAnsi="Cambria"/>
          <w:sz w:val="24"/>
          <w:szCs w:val="24"/>
        </w:rPr>
        <w:t xml:space="preserve"> carved </w:t>
      </w:r>
      <w:r w:rsidR="00BA3FCE" w:rsidRPr="009C3204">
        <w:rPr>
          <w:rFonts w:ascii="Cambria" w:hAnsi="Cambria"/>
          <w:sz w:val="24"/>
          <w:szCs w:val="24"/>
        </w:rPr>
        <w:t xml:space="preserve">out </w:t>
      </w:r>
      <w:r w:rsidR="00B42485" w:rsidRPr="009C3204">
        <w:rPr>
          <w:rFonts w:ascii="Cambria" w:hAnsi="Cambria"/>
          <w:sz w:val="24"/>
          <w:szCs w:val="24"/>
        </w:rPr>
        <w:t>to a limited extent</w:t>
      </w:r>
      <w:r w:rsidR="000A7275" w:rsidRPr="009C3204">
        <w:rPr>
          <w:rFonts w:ascii="Cambria" w:hAnsi="Cambria"/>
          <w:sz w:val="24"/>
          <w:szCs w:val="24"/>
        </w:rPr>
        <w:t>,</w:t>
      </w:r>
      <w:r w:rsidR="00534511" w:rsidRPr="009C3204">
        <w:rPr>
          <w:rStyle w:val="FootnoteReference"/>
          <w:rFonts w:ascii="Cambria" w:hAnsi="Cambria"/>
          <w:sz w:val="24"/>
          <w:szCs w:val="24"/>
        </w:rPr>
        <w:footnoteReference w:id="45"/>
      </w:r>
      <w:r w:rsidR="000A7275" w:rsidRPr="009C3204">
        <w:rPr>
          <w:rFonts w:ascii="Cambria" w:hAnsi="Cambria"/>
          <w:sz w:val="24"/>
          <w:szCs w:val="24"/>
        </w:rPr>
        <w:t xml:space="preserve"> but that </w:t>
      </w:r>
      <w:r w:rsidR="00EA6983" w:rsidRPr="009C3204">
        <w:rPr>
          <w:rFonts w:ascii="Cambria" w:hAnsi="Cambria"/>
          <w:sz w:val="24"/>
          <w:szCs w:val="24"/>
        </w:rPr>
        <w:t xml:space="preserve">statute was interpreted as subject to party risk allocation in employment contracts, at least </w:t>
      </w:r>
      <w:r w:rsidR="00EA6983" w:rsidRPr="009C3204">
        <w:rPr>
          <w:rFonts w:ascii="Cambria" w:hAnsi="Cambria"/>
          <w:sz w:val="24"/>
          <w:szCs w:val="24"/>
        </w:rPr>
        <w:lastRenderedPageBreak/>
        <w:t xml:space="preserve">where an employer’s compensation scheme was provided. </w:t>
      </w:r>
      <w:r w:rsidR="00936879" w:rsidRPr="009C3204">
        <w:rPr>
          <w:rFonts w:ascii="Cambria" w:hAnsi="Cambria"/>
          <w:sz w:val="24"/>
          <w:szCs w:val="24"/>
        </w:rPr>
        <w:t>I</w:t>
      </w:r>
      <w:r w:rsidR="00B42485" w:rsidRPr="009C3204">
        <w:rPr>
          <w:rFonts w:ascii="Cambria" w:hAnsi="Cambria"/>
          <w:sz w:val="24"/>
          <w:szCs w:val="24"/>
        </w:rPr>
        <w:t xml:space="preserve">nsurance of such liabilities was </w:t>
      </w:r>
      <w:r w:rsidR="00D25233" w:rsidRPr="009C3204">
        <w:rPr>
          <w:rFonts w:ascii="Cambria" w:hAnsi="Cambria"/>
          <w:sz w:val="24"/>
          <w:szCs w:val="24"/>
        </w:rPr>
        <w:t xml:space="preserve">also </w:t>
      </w:r>
      <w:r w:rsidR="00B42485" w:rsidRPr="009C3204">
        <w:rPr>
          <w:rFonts w:ascii="Cambria" w:hAnsi="Cambria"/>
          <w:sz w:val="24"/>
          <w:szCs w:val="24"/>
        </w:rPr>
        <w:t xml:space="preserve">created by the market, not by policy design, </w:t>
      </w:r>
      <w:r w:rsidR="00534511" w:rsidRPr="009C3204">
        <w:rPr>
          <w:rFonts w:ascii="Cambria" w:hAnsi="Cambria"/>
          <w:sz w:val="24"/>
          <w:szCs w:val="24"/>
        </w:rPr>
        <w:t xml:space="preserve">and it was created </w:t>
      </w:r>
      <w:r w:rsidR="00B42485" w:rsidRPr="009C3204">
        <w:rPr>
          <w:rFonts w:ascii="Cambria" w:hAnsi="Cambria"/>
          <w:sz w:val="24"/>
          <w:szCs w:val="24"/>
        </w:rPr>
        <w:t>immediately.</w:t>
      </w:r>
      <w:bookmarkStart w:id="11" w:name="_Ref480742479"/>
      <w:r w:rsidR="00534511" w:rsidRPr="009C3204">
        <w:rPr>
          <w:rStyle w:val="FootnoteReference"/>
          <w:rFonts w:ascii="Cambria" w:hAnsi="Cambria"/>
          <w:sz w:val="24"/>
          <w:szCs w:val="24"/>
        </w:rPr>
        <w:footnoteReference w:id="46"/>
      </w:r>
      <w:bookmarkEnd w:id="11"/>
      <w:r w:rsidR="00B42485" w:rsidRPr="009C3204">
        <w:rPr>
          <w:rFonts w:ascii="Cambria" w:hAnsi="Cambria"/>
          <w:sz w:val="24"/>
          <w:szCs w:val="24"/>
        </w:rPr>
        <w:t xml:space="preserve"> </w:t>
      </w:r>
      <w:r w:rsidR="00534511" w:rsidRPr="00A93A1E">
        <w:rPr>
          <w:rFonts w:ascii="Cambria" w:hAnsi="Cambria"/>
          <w:sz w:val="24"/>
          <w:szCs w:val="24"/>
        </w:rPr>
        <w:t>B</w:t>
      </w:r>
      <w:r w:rsidR="00F77316" w:rsidRPr="00A93A1E">
        <w:rPr>
          <w:rFonts w:ascii="Cambria" w:hAnsi="Cambria"/>
          <w:sz w:val="24"/>
          <w:szCs w:val="24"/>
        </w:rPr>
        <w:t>oth the loosening of prohibitions on employers</w:t>
      </w:r>
      <w:r w:rsidR="000A7275" w:rsidRPr="00A93A1E">
        <w:rPr>
          <w:rFonts w:ascii="Cambria" w:hAnsi="Cambria"/>
          <w:sz w:val="24"/>
          <w:szCs w:val="24"/>
        </w:rPr>
        <w:t>’</w:t>
      </w:r>
      <w:r w:rsidR="00F77316" w:rsidRPr="00A93A1E">
        <w:rPr>
          <w:rFonts w:ascii="Cambria" w:hAnsi="Cambria"/>
          <w:sz w:val="24"/>
          <w:szCs w:val="24"/>
        </w:rPr>
        <w:t xml:space="preserve"> liability, and the creation of work</w:t>
      </w:r>
      <w:r w:rsidR="00A93A1E" w:rsidRPr="00A93A1E">
        <w:rPr>
          <w:rFonts w:ascii="Cambria" w:hAnsi="Cambria"/>
          <w:sz w:val="24"/>
          <w:szCs w:val="24"/>
        </w:rPr>
        <w:t>men’s</w:t>
      </w:r>
      <w:r w:rsidR="00F77316" w:rsidRPr="00A93A1E">
        <w:rPr>
          <w:rFonts w:ascii="Cambria" w:hAnsi="Cambria"/>
          <w:sz w:val="24"/>
          <w:szCs w:val="24"/>
        </w:rPr>
        <w:t xml:space="preserve"> compensation</w:t>
      </w:r>
      <w:r w:rsidR="006F2C3B" w:rsidRPr="00A93A1E">
        <w:rPr>
          <w:rFonts w:ascii="Cambria" w:hAnsi="Cambria"/>
          <w:sz w:val="24"/>
          <w:szCs w:val="24"/>
        </w:rPr>
        <w:t>,</w:t>
      </w:r>
      <w:r w:rsidR="00F77316" w:rsidRPr="00A93A1E">
        <w:rPr>
          <w:rFonts w:ascii="Cambria" w:hAnsi="Cambria"/>
          <w:sz w:val="24"/>
          <w:szCs w:val="24"/>
        </w:rPr>
        <w:t xml:space="preserve"> </w:t>
      </w:r>
      <w:r w:rsidR="00534511" w:rsidRPr="00A93A1E">
        <w:rPr>
          <w:rFonts w:ascii="Cambria" w:hAnsi="Cambria"/>
          <w:sz w:val="24"/>
          <w:szCs w:val="24"/>
        </w:rPr>
        <w:t>marked</w:t>
      </w:r>
      <w:r w:rsidR="00F77316" w:rsidRPr="00A93A1E">
        <w:rPr>
          <w:rFonts w:ascii="Cambria" w:hAnsi="Cambria"/>
          <w:sz w:val="24"/>
          <w:szCs w:val="24"/>
        </w:rPr>
        <w:t xml:space="preserve"> </w:t>
      </w:r>
      <w:r w:rsidR="00A63485" w:rsidRPr="00A93A1E">
        <w:rPr>
          <w:rFonts w:ascii="Cambria" w:hAnsi="Cambria"/>
          <w:sz w:val="24"/>
          <w:szCs w:val="24"/>
        </w:rPr>
        <w:t xml:space="preserve">a </w:t>
      </w:r>
      <w:r w:rsidR="00265249" w:rsidRPr="00A93A1E">
        <w:rPr>
          <w:rFonts w:ascii="Cambria" w:hAnsi="Cambria"/>
          <w:sz w:val="24"/>
          <w:szCs w:val="24"/>
        </w:rPr>
        <w:t xml:space="preserve">change in the perception of risk and its relation to liability. </w:t>
      </w:r>
      <w:r w:rsidR="000A7275" w:rsidRPr="00A93A1E">
        <w:rPr>
          <w:rFonts w:ascii="Cambria" w:hAnsi="Cambria"/>
          <w:sz w:val="24"/>
          <w:szCs w:val="24"/>
        </w:rPr>
        <w:t xml:space="preserve">One was a change permitting liability at common law, though with limited compensation; the other was a new liability premised on risk not fault. </w:t>
      </w:r>
      <w:r w:rsidR="00265249" w:rsidRPr="00A93A1E">
        <w:rPr>
          <w:rFonts w:ascii="Cambria" w:hAnsi="Cambria"/>
          <w:sz w:val="24"/>
          <w:szCs w:val="24"/>
        </w:rPr>
        <w:t>Was the nature of the change different, or similar?</w:t>
      </w:r>
      <w:r w:rsidR="00705701" w:rsidRPr="00A93A1E">
        <w:rPr>
          <w:rFonts w:ascii="Cambria" w:hAnsi="Cambria"/>
          <w:sz w:val="24"/>
          <w:szCs w:val="24"/>
        </w:rPr>
        <w:t xml:space="preserve"> </w:t>
      </w:r>
      <w:r w:rsidR="000A7275" w:rsidRPr="00A93A1E">
        <w:rPr>
          <w:rFonts w:ascii="Cambria" w:hAnsi="Cambria"/>
          <w:sz w:val="24"/>
          <w:szCs w:val="24"/>
        </w:rPr>
        <w:t>In theoretical terms, the two are very different</w:t>
      </w:r>
      <w:r w:rsidR="00534511" w:rsidRPr="00A93A1E">
        <w:rPr>
          <w:rFonts w:ascii="Cambria" w:hAnsi="Cambria"/>
          <w:sz w:val="24"/>
          <w:szCs w:val="24"/>
        </w:rPr>
        <w:t xml:space="preserve">, and in terms of the identity and fortunes of tort law as private law, these would appear to be opposite developments. </w:t>
      </w:r>
      <w:r w:rsidR="000A7275" w:rsidRPr="00A93A1E">
        <w:rPr>
          <w:rFonts w:ascii="Cambria" w:hAnsi="Cambria"/>
          <w:sz w:val="24"/>
          <w:szCs w:val="24"/>
        </w:rPr>
        <w:t xml:space="preserve">But to </w:t>
      </w:r>
      <w:r w:rsidR="0039497C" w:rsidRPr="00A93A1E">
        <w:rPr>
          <w:rFonts w:ascii="Cambria" w:hAnsi="Cambria"/>
          <w:sz w:val="24"/>
          <w:szCs w:val="24"/>
        </w:rPr>
        <w:t xml:space="preserve">those </w:t>
      </w:r>
      <w:r w:rsidR="000A7275" w:rsidRPr="00A93A1E">
        <w:rPr>
          <w:rFonts w:ascii="Cambria" w:hAnsi="Cambria"/>
          <w:sz w:val="24"/>
          <w:szCs w:val="24"/>
        </w:rPr>
        <w:t>engaged in securing liability to wo</w:t>
      </w:r>
      <w:r w:rsidR="0039497C" w:rsidRPr="00A93A1E">
        <w:rPr>
          <w:rFonts w:ascii="Cambria" w:hAnsi="Cambria"/>
          <w:sz w:val="24"/>
          <w:szCs w:val="24"/>
        </w:rPr>
        <w:t>rkers;</w:t>
      </w:r>
      <w:r w:rsidR="000A7275" w:rsidRPr="00A93A1E">
        <w:rPr>
          <w:rFonts w:ascii="Cambria" w:hAnsi="Cambria"/>
          <w:sz w:val="24"/>
          <w:szCs w:val="24"/>
        </w:rPr>
        <w:t xml:space="preserve"> and to those providi</w:t>
      </w:r>
      <w:r w:rsidR="0039497C" w:rsidRPr="00A93A1E">
        <w:rPr>
          <w:rFonts w:ascii="Cambria" w:hAnsi="Cambria"/>
          <w:sz w:val="24"/>
          <w:szCs w:val="24"/>
        </w:rPr>
        <w:t>ng insurance through the market;</w:t>
      </w:r>
      <w:r w:rsidR="000A7275" w:rsidRPr="00A93A1E">
        <w:rPr>
          <w:rFonts w:ascii="Cambria" w:hAnsi="Cambria"/>
          <w:sz w:val="24"/>
          <w:szCs w:val="24"/>
        </w:rPr>
        <w:t xml:space="preserve"> the two developments will have been seen as similar.</w:t>
      </w:r>
      <w:r w:rsidR="0039497C" w:rsidRPr="00A93A1E">
        <w:rPr>
          <w:rFonts w:ascii="Cambria" w:hAnsi="Cambria"/>
          <w:sz w:val="24"/>
          <w:szCs w:val="24"/>
        </w:rPr>
        <w:t xml:space="preserve"> From some important vantage points</w:t>
      </w:r>
      <w:r w:rsidR="006F2C3B" w:rsidRPr="00A93A1E">
        <w:rPr>
          <w:rFonts w:ascii="Cambria" w:hAnsi="Cambria"/>
          <w:sz w:val="24"/>
          <w:szCs w:val="24"/>
        </w:rPr>
        <w:t xml:space="preserve"> therefore</w:t>
      </w:r>
      <w:r w:rsidR="0039497C" w:rsidRPr="00A93A1E">
        <w:rPr>
          <w:rFonts w:ascii="Cambria" w:hAnsi="Cambria"/>
          <w:sz w:val="24"/>
          <w:szCs w:val="24"/>
        </w:rPr>
        <w:t>, tort and non-tort s</w:t>
      </w:r>
      <w:r w:rsidR="006F2C3B" w:rsidRPr="00A93A1E">
        <w:rPr>
          <w:rFonts w:ascii="Cambria" w:hAnsi="Cambria"/>
          <w:sz w:val="24"/>
          <w:szCs w:val="24"/>
        </w:rPr>
        <w:t>olutions had common effects, and</w:t>
      </w:r>
      <w:r w:rsidR="0039497C" w:rsidRPr="00A93A1E">
        <w:rPr>
          <w:rFonts w:ascii="Cambria" w:hAnsi="Cambria"/>
          <w:sz w:val="24"/>
          <w:szCs w:val="24"/>
        </w:rPr>
        <w:t xml:space="preserve"> also shared the common ‘technology’ of compensation and insurance.</w:t>
      </w:r>
    </w:p>
    <w:p w14:paraId="1F402BDB" w14:textId="439D0386" w:rsidR="009D20E6" w:rsidRPr="009C3204" w:rsidRDefault="00B42485" w:rsidP="008E4509">
      <w:pPr>
        <w:spacing w:line="240" w:lineRule="auto"/>
        <w:jc w:val="both"/>
        <w:rPr>
          <w:rFonts w:ascii="Cambria" w:hAnsi="Cambria"/>
          <w:sz w:val="24"/>
          <w:szCs w:val="24"/>
        </w:rPr>
      </w:pPr>
      <w:r w:rsidRPr="00A93A1E">
        <w:rPr>
          <w:rFonts w:ascii="Cambria" w:hAnsi="Cambria"/>
          <w:sz w:val="24"/>
          <w:szCs w:val="24"/>
        </w:rPr>
        <w:t xml:space="preserve">In the UK, </w:t>
      </w:r>
      <w:r w:rsidR="00E6578E" w:rsidRPr="00A93A1E">
        <w:rPr>
          <w:rFonts w:ascii="Cambria" w:hAnsi="Cambria"/>
          <w:sz w:val="24"/>
          <w:szCs w:val="24"/>
        </w:rPr>
        <w:t xml:space="preserve">at the height of the risk revolution, </w:t>
      </w:r>
      <w:r w:rsidR="00263248" w:rsidRPr="00A93A1E">
        <w:rPr>
          <w:rFonts w:ascii="Cambria" w:hAnsi="Cambria"/>
          <w:sz w:val="24"/>
          <w:szCs w:val="24"/>
        </w:rPr>
        <w:t>there were</w:t>
      </w:r>
      <w:r w:rsidR="001F3429" w:rsidRPr="00A93A1E">
        <w:rPr>
          <w:rFonts w:ascii="Cambria" w:hAnsi="Cambria"/>
          <w:sz w:val="24"/>
          <w:szCs w:val="24"/>
        </w:rPr>
        <w:t xml:space="preserve"> </w:t>
      </w:r>
      <w:r w:rsidRPr="00A93A1E">
        <w:rPr>
          <w:rFonts w:ascii="Cambria" w:hAnsi="Cambria"/>
          <w:sz w:val="24"/>
          <w:szCs w:val="24"/>
        </w:rPr>
        <w:t xml:space="preserve">parallel systems for distributing </w:t>
      </w:r>
      <w:r w:rsidR="0039497C" w:rsidRPr="00A93A1E">
        <w:rPr>
          <w:rFonts w:ascii="Cambria" w:hAnsi="Cambria"/>
          <w:sz w:val="24"/>
          <w:szCs w:val="24"/>
        </w:rPr>
        <w:t xml:space="preserve">and allocating </w:t>
      </w:r>
      <w:r w:rsidRPr="00A93A1E">
        <w:rPr>
          <w:rFonts w:ascii="Cambria" w:hAnsi="Cambria"/>
          <w:sz w:val="24"/>
          <w:szCs w:val="24"/>
        </w:rPr>
        <w:t xml:space="preserve">risk. </w:t>
      </w:r>
      <w:r w:rsidR="00D67F5F" w:rsidRPr="00A93A1E">
        <w:rPr>
          <w:rFonts w:ascii="Cambria" w:hAnsi="Cambria"/>
          <w:sz w:val="24"/>
          <w:szCs w:val="24"/>
        </w:rPr>
        <w:t>These included s</w:t>
      </w:r>
      <w:r w:rsidRPr="00A93A1E">
        <w:rPr>
          <w:rFonts w:ascii="Cambria" w:hAnsi="Cambria"/>
          <w:sz w:val="24"/>
          <w:szCs w:val="24"/>
        </w:rPr>
        <w:t>ocial insurance; workmen’s compensation</w:t>
      </w:r>
      <w:r w:rsidR="0039497C" w:rsidRPr="00A93A1E">
        <w:rPr>
          <w:rFonts w:ascii="Cambria" w:hAnsi="Cambria"/>
          <w:sz w:val="24"/>
          <w:szCs w:val="24"/>
        </w:rPr>
        <w:t xml:space="preserve"> until its abolition</w:t>
      </w:r>
      <w:r w:rsidRPr="00A93A1E">
        <w:rPr>
          <w:rFonts w:ascii="Cambria" w:hAnsi="Cambria"/>
          <w:sz w:val="24"/>
          <w:szCs w:val="24"/>
        </w:rPr>
        <w:t>; private first party insurance; liability insurance</w:t>
      </w:r>
      <w:r w:rsidR="001F3429" w:rsidRPr="00A93A1E">
        <w:rPr>
          <w:rFonts w:ascii="Cambria" w:hAnsi="Cambria"/>
          <w:sz w:val="24"/>
          <w:szCs w:val="24"/>
        </w:rPr>
        <w:t xml:space="preserve">; </w:t>
      </w:r>
      <w:r w:rsidR="009D20E6" w:rsidRPr="00A93A1E">
        <w:rPr>
          <w:rFonts w:ascii="Cambria" w:hAnsi="Cambria"/>
          <w:sz w:val="24"/>
          <w:szCs w:val="24"/>
        </w:rPr>
        <w:t>contractual allocation</w:t>
      </w:r>
      <w:r w:rsidR="002E7FB1" w:rsidRPr="00A93A1E">
        <w:rPr>
          <w:rFonts w:ascii="Cambria" w:hAnsi="Cambria"/>
          <w:sz w:val="24"/>
          <w:szCs w:val="24"/>
        </w:rPr>
        <w:t>;</w:t>
      </w:r>
      <w:r w:rsidR="00D67F5F" w:rsidRPr="00A93A1E">
        <w:rPr>
          <w:rFonts w:ascii="Cambria" w:hAnsi="Cambria"/>
          <w:sz w:val="24"/>
          <w:szCs w:val="24"/>
        </w:rPr>
        <w:t xml:space="preserve"> and</w:t>
      </w:r>
      <w:r w:rsidR="009D20E6" w:rsidRPr="00A93A1E">
        <w:rPr>
          <w:rFonts w:ascii="Cambria" w:hAnsi="Cambria"/>
          <w:sz w:val="24"/>
          <w:szCs w:val="24"/>
        </w:rPr>
        <w:t xml:space="preserve"> tort liability</w:t>
      </w:r>
      <w:r w:rsidRPr="00A93A1E">
        <w:rPr>
          <w:rFonts w:ascii="Cambria" w:hAnsi="Cambria"/>
          <w:sz w:val="24"/>
          <w:szCs w:val="24"/>
        </w:rPr>
        <w:t>.</w:t>
      </w:r>
      <w:r w:rsidR="0039497C" w:rsidRPr="00A93A1E">
        <w:rPr>
          <w:rFonts w:ascii="Cambria" w:hAnsi="Cambria"/>
          <w:sz w:val="24"/>
          <w:szCs w:val="24"/>
        </w:rPr>
        <w:t xml:space="preserve"> Tort liability began to expand in the same period.</w:t>
      </w:r>
      <w:bookmarkStart w:id="12" w:name="_Ref480741988"/>
      <w:r w:rsidR="00936879" w:rsidRPr="00A93A1E">
        <w:rPr>
          <w:rStyle w:val="FootnoteReference"/>
          <w:rFonts w:ascii="Cambria" w:hAnsi="Cambria"/>
          <w:sz w:val="24"/>
          <w:szCs w:val="24"/>
        </w:rPr>
        <w:footnoteReference w:id="47"/>
      </w:r>
      <w:bookmarkEnd w:id="12"/>
      <w:r w:rsidR="0039497C" w:rsidRPr="00A93A1E">
        <w:rPr>
          <w:rFonts w:ascii="Cambria" w:hAnsi="Cambria"/>
          <w:sz w:val="24"/>
          <w:szCs w:val="24"/>
        </w:rPr>
        <w:t xml:space="preserve"> And a</w:t>
      </w:r>
      <w:r w:rsidR="002B192A" w:rsidRPr="00A93A1E">
        <w:rPr>
          <w:rFonts w:ascii="Cambria" w:hAnsi="Cambria"/>
          <w:sz w:val="24"/>
          <w:szCs w:val="24"/>
        </w:rPr>
        <w:t>s it started to expand, t</w:t>
      </w:r>
      <w:r w:rsidR="009D20E6" w:rsidRPr="00A93A1E">
        <w:rPr>
          <w:rFonts w:ascii="Cambria" w:hAnsi="Cambria"/>
          <w:sz w:val="24"/>
          <w:szCs w:val="24"/>
        </w:rPr>
        <w:t xml:space="preserve">ort liability </w:t>
      </w:r>
      <w:r w:rsidR="005B6E5C" w:rsidRPr="00A93A1E">
        <w:rPr>
          <w:rFonts w:ascii="Cambria" w:hAnsi="Cambria"/>
          <w:sz w:val="24"/>
          <w:szCs w:val="24"/>
        </w:rPr>
        <w:t>also</w:t>
      </w:r>
      <w:r w:rsidR="009D20E6" w:rsidRPr="00A93A1E">
        <w:rPr>
          <w:rFonts w:ascii="Cambria" w:hAnsi="Cambria"/>
          <w:sz w:val="24"/>
          <w:szCs w:val="24"/>
        </w:rPr>
        <w:t xml:space="preserve"> attracted liability insurance beginning with employers’ liability. Thus private law liability took a distributive turn</w:t>
      </w:r>
      <w:r w:rsidR="001F3429" w:rsidRPr="00A93A1E">
        <w:rPr>
          <w:rFonts w:ascii="Cambria" w:hAnsi="Cambria"/>
          <w:sz w:val="24"/>
          <w:szCs w:val="24"/>
        </w:rPr>
        <w:t xml:space="preserve"> in its </w:t>
      </w:r>
      <w:r w:rsidR="001F3429" w:rsidRPr="00A93A1E">
        <w:rPr>
          <w:rFonts w:ascii="Cambria" w:hAnsi="Cambria"/>
          <w:i/>
          <w:sz w:val="24"/>
          <w:szCs w:val="24"/>
        </w:rPr>
        <w:t>impact</w:t>
      </w:r>
      <w:r w:rsidR="001F3429" w:rsidRPr="00A93A1E">
        <w:rPr>
          <w:rFonts w:ascii="Cambria" w:hAnsi="Cambria"/>
          <w:sz w:val="24"/>
          <w:szCs w:val="24"/>
        </w:rPr>
        <w:t xml:space="preserve">, regardless of what was happening </w:t>
      </w:r>
      <w:r w:rsidR="001F3429" w:rsidRPr="00A93A1E">
        <w:rPr>
          <w:rFonts w:ascii="Cambria" w:hAnsi="Cambria"/>
          <w:i/>
          <w:sz w:val="24"/>
          <w:szCs w:val="24"/>
        </w:rPr>
        <w:t>in theory</w:t>
      </w:r>
      <w:r w:rsidR="009D20E6" w:rsidRPr="00A93A1E">
        <w:rPr>
          <w:rFonts w:ascii="Cambria" w:hAnsi="Cambria"/>
          <w:sz w:val="24"/>
          <w:szCs w:val="24"/>
        </w:rPr>
        <w:t>.</w:t>
      </w:r>
      <w:r w:rsidR="00E6578E" w:rsidRPr="00A93A1E">
        <w:rPr>
          <w:rFonts w:ascii="Cambria" w:hAnsi="Cambria"/>
          <w:sz w:val="24"/>
          <w:szCs w:val="24"/>
        </w:rPr>
        <w:t xml:space="preserve"> Where different forms of liability operated alongside one another, the differences in theory may have appeared less significant than the commonalities of effect. </w:t>
      </w:r>
      <w:r w:rsidR="0039497C" w:rsidRPr="00A93A1E">
        <w:rPr>
          <w:rFonts w:ascii="Cambria" w:hAnsi="Cambria"/>
          <w:sz w:val="24"/>
          <w:szCs w:val="24"/>
        </w:rPr>
        <w:t>Similarly, the eventual abolition of wo</w:t>
      </w:r>
      <w:r w:rsidR="009D20E6" w:rsidRPr="00A93A1E">
        <w:rPr>
          <w:rFonts w:ascii="Cambria" w:hAnsi="Cambria"/>
          <w:sz w:val="24"/>
          <w:szCs w:val="24"/>
        </w:rPr>
        <w:t>rkmen’s compe</w:t>
      </w:r>
      <w:r w:rsidR="0039497C" w:rsidRPr="00A93A1E">
        <w:rPr>
          <w:rFonts w:ascii="Cambria" w:hAnsi="Cambria"/>
          <w:sz w:val="24"/>
          <w:szCs w:val="24"/>
        </w:rPr>
        <w:t>nsation in the UK in no sense marked</w:t>
      </w:r>
      <w:r w:rsidR="009D20E6" w:rsidRPr="00A93A1E">
        <w:rPr>
          <w:rFonts w:ascii="Cambria" w:hAnsi="Cambria"/>
          <w:sz w:val="24"/>
          <w:szCs w:val="24"/>
        </w:rPr>
        <w:t xml:space="preserve"> a reversal of the d</w:t>
      </w:r>
      <w:r w:rsidR="0039497C" w:rsidRPr="00A93A1E">
        <w:rPr>
          <w:rFonts w:ascii="Cambria" w:hAnsi="Cambria"/>
          <w:sz w:val="24"/>
          <w:szCs w:val="24"/>
        </w:rPr>
        <w:t>istributive turn. Instead, it was</w:t>
      </w:r>
      <w:r w:rsidR="0039497C" w:rsidRPr="009C3204">
        <w:rPr>
          <w:rFonts w:ascii="Cambria" w:hAnsi="Cambria"/>
          <w:sz w:val="24"/>
          <w:szCs w:val="24"/>
        </w:rPr>
        <w:t xml:space="preserve"> part of a </w:t>
      </w:r>
      <w:r w:rsidR="009D20E6" w:rsidRPr="009C3204">
        <w:rPr>
          <w:rFonts w:ascii="Cambria" w:hAnsi="Cambria"/>
          <w:sz w:val="24"/>
          <w:szCs w:val="24"/>
        </w:rPr>
        <w:t>broadening in social welfare provision</w:t>
      </w:r>
      <w:r w:rsidR="0039497C" w:rsidRPr="009C3204">
        <w:rPr>
          <w:rFonts w:ascii="Cambria" w:hAnsi="Cambria"/>
          <w:sz w:val="24"/>
          <w:szCs w:val="24"/>
        </w:rPr>
        <w:t>, and industrial injuries became the subject of state, rather than industry, provision</w:t>
      </w:r>
      <w:r w:rsidR="009D20E6" w:rsidRPr="009C3204">
        <w:rPr>
          <w:rFonts w:ascii="Cambria" w:hAnsi="Cambria"/>
          <w:sz w:val="24"/>
          <w:szCs w:val="24"/>
        </w:rPr>
        <w:t>.</w:t>
      </w:r>
      <w:r w:rsidR="006F2C3B" w:rsidRPr="009C3204">
        <w:rPr>
          <w:rStyle w:val="FootnoteReference"/>
          <w:rFonts w:ascii="Cambria" w:hAnsi="Cambria"/>
          <w:sz w:val="24"/>
          <w:szCs w:val="24"/>
        </w:rPr>
        <w:footnoteReference w:id="48"/>
      </w:r>
      <w:r w:rsidR="009D20E6" w:rsidRPr="009C3204">
        <w:rPr>
          <w:rFonts w:ascii="Cambria" w:hAnsi="Cambria"/>
          <w:sz w:val="24"/>
          <w:szCs w:val="24"/>
        </w:rPr>
        <w:t xml:space="preserve"> </w:t>
      </w:r>
    </w:p>
    <w:p w14:paraId="7CCF64C3" w14:textId="2199ECF5" w:rsidR="009B1E5C" w:rsidRPr="009C3204" w:rsidRDefault="00263248" w:rsidP="008E4509">
      <w:pPr>
        <w:spacing w:line="240" w:lineRule="auto"/>
        <w:jc w:val="both"/>
        <w:rPr>
          <w:rFonts w:ascii="Cambria" w:hAnsi="Cambria"/>
          <w:sz w:val="24"/>
          <w:szCs w:val="24"/>
        </w:rPr>
      </w:pPr>
      <w:r w:rsidRPr="009C3204">
        <w:rPr>
          <w:rFonts w:ascii="Cambria" w:hAnsi="Cambria"/>
          <w:sz w:val="24"/>
          <w:szCs w:val="24"/>
        </w:rPr>
        <w:t>This</w:t>
      </w:r>
      <w:r w:rsidR="009D20E6" w:rsidRPr="009C3204">
        <w:rPr>
          <w:rFonts w:ascii="Cambria" w:hAnsi="Cambria"/>
          <w:sz w:val="24"/>
          <w:szCs w:val="24"/>
        </w:rPr>
        <w:t xml:space="preserve"> risk revolution </w:t>
      </w:r>
      <w:r w:rsidR="00CE590F" w:rsidRPr="009C3204">
        <w:rPr>
          <w:rFonts w:ascii="Cambria" w:hAnsi="Cambria"/>
          <w:sz w:val="24"/>
          <w:szCs w:val="24"/>
        </w:rPr>
        <w:t xml:space="preserve">is described </w:t>
      </w:r>
      <w:r w:rsidRPr="009C3204">
        <w:rPr>
          <w:rFonts w:ascii="Cambria" w:hAnsi="Cambria"/>
          <w:sz w:val="24"/>
          <w:szCs w:val="24"/>
        </w:rPr>
        <w:t xml:space="preserve">here </w:t>
      </w:r>
      <w:r w:rsidR="009D20E6" w:rsidRPr="009C3204">
        <w:rPr>
          <w:rFonts w:ascii="Cambria" w:hAnsi="Cambria"/>
          <w:sz w:val="24"/>
          <w:szCs w:val="24"/>
        </w:rPr>
        <w:t xml:space="preserve">as a ‘security revolution’. </w:t>
      </w:r>
      <w:r w:rsidR="00FC4056" w:rsidRPr="009C3204">
        <w:rPr>
          <w:rFonts w:ascii="Cambria" w:hAnsi="Cambria"/>
          <w:sz w:val="24"/>
          <w:szCs w:val="24"/>
        </w:rPr>
        <w:t>This</w:t>
      </w:r>
      <w:r w:rsidR="00CE590F" w:rsidRPr="009C3204">
        <w:rPr>
          <w:rFonts w:ascii="Cambria" w:hAnsi="Cambria"/>
          <w:sz w:val="24"/>
          <w:szCs w:val="24"/>
        </w:rPr>
        <w:t xml:space="preserve"> may need</w:t>
      </w:r>
      <w:r w:rsidR="00FC4056" w:rsidRPr="009C3204">
        <w:rPr>
          <w:rFonts w:ascii="Cambria" w:hAnsi="Cambria"/>
          <w:sz w:val="24"/>
          <w:szCs w:val="24"/>
        </w:rPr>
        <w:t xml:space="preserve"> justifying in a number of ways. First, </w:t>
      </w:r>
      <w:proofErr w:type="gramStart"/>
      <w:r w:rsidR="00FC4056" w:rsidRPr="009C3204">
        <w:rPr>
          <w:rFonts w:ascii="Cambria" w:hAnsi="Cambria"/>
          <w:sz w:val="24"/>
          <w:szCs w:val="24"/>
        </w:rPr>
        <w:t>a</w:t>
      </w:r>
      <w:r w:rsidR="009D20E6" w:rsidRPr="009C3204">
        <w:rPr>
          <w:rFonts w:ascii="Cambria" w:hAnsi="Cambria"/>
          <w:sz w:val="24"/>
          <w:szCs w:val="24"/>
        </w:rPr>
        <w:t>re security</w:t>
      </w:r>
      <w:proofErr w:type="gramEnd"/>
      <w:r w:rsidR="009D20E6" w:rsidRPr="009C3204">
        <w:rPr>
          <w:rFonts w:ascii="Cambria" w:hAnsi="Cambria"/>
          <w:sz w:val="24"/>
          <w:szCs w:val="24"/>
        </w:rPr>
        <w:t xml:space="preserve"> and risk contradicto</w:t>
      </w:r>
      <w:r w:rsidR="000E3A20" w:rsidRPr="009C3204">
        <w:rPr>
          <w:rFonts w:ascii="Cambria" w:hAnsi="Cambria"/>
          <w:sz w:val="24"/>
          <w:szCs w:val="24"/>
        </w:rPr>
        <w:t xml:space="preserve">ry terms? </w:t>
      </w:r>
      <w:r w:rsidR="00CE590F" w:rsidRPr="009C3204">
        <w:rPr>
          <w:rFonts w:ascii="Cambria" w:hAnsi="Cambria"/>
          <w:sz w:val="24"/>
          <w:szCs w:val="24"/>
        </w:rPr>
        <w:t>The answer given here is n</w:t>
      </w:r>
      <w:r w:rsidR="000E3A20" w:rsidRPr="009C3204">
        <w:rPr>
          <w:rFonts w:ascii="Cambria" w:hAnsi="Cambria"/>
          <w:sz w:val="24"/>
          <w:szCs w:val="24"/>
        </w:rPr>
        <w:t xml:space="preserve">o, </w:t>
      </w:r>
      <w:r w:rsidR="00CE590F" w:rsidRPr="009C3204">
        <w:rPr>
          <w:rFonts w:ascii="Cambria" w:hAnsi="Cambria"/>
          <w:sz w:val="24"/>
          <w:szCs w:val="24"/>
        </w:rPr>
        <w:t>on the basis that</w:t>
      </w:r>
      <w:r w:rsidR="000E3A20" w:rsidRPr="009C3204">
        <w:rPr>
          <w:rFonts w:ascii="Cambria" w:hAnsi="Cambria"/>
          <w:sz w:val="24"/>
          <w:szCs w:val="24"/>
        </w:rPr>
        <w:t xml:space="preserve"> ‘risk’ techniques provided the</w:t>
      </w:r>
      <w:r w:rsidR="009D20E6" w:rsidRPr="009C3204">
        <w:rPr>
          <w:rFonts w:ascii="Cambria" w:hAnsi="Cambria"/>
          <w:sz w:val="24"/>
          <w:szCs w:val="24"/>
        </w:rPr>
        <w:t xml:space="preserve"> means to achieving solutions based on pooling or distribution</w:t>
      </w:r>
      <w:r w:rsidRPr="009C3204">
        <w:rPr>
          <w:rFonts w:ascii="Cambria" w:hAnsi="Cambria"/>
          <w:sz w:val="24"/>
          <w:szCs w:val="24"/>
        </w:rPr>
        <w:t xml:space="preserve">; crucially, also, </w:t>
      </w:r>
      <w:r w:rsidR="006F2C3B" w:rsidRPr="009C3204">
        <w:rPr>
          <w:rFonts w:ascii="Cambria" w:hAnsi="Cambria"/>
          <w:sz w:val="24"/>
          <w:szCs w:val="24"/>
        </w:rPr>
        <w:t xml:space="preserve">they </w:t>
      </w:r>
      <w:r w:rsidRPr="009C3204">
        <w:rPr>
          <w:rFonts w:ascii="Cambria" w:hAnsi="Cambria"/>
          <w:sz w:val="24"/>
          <w:szCs w:val="24"/>
        </w:rPr>
        <w:t>provided the means to protection from uncertainty and its effects</w:t>
      </w:r>
      <w:r w:rsidR="009D20E6" w:rsidRPr="009C3204">
        <w:rPr>
          <w:rFonts w:ascii="Cambria" w:hAnsi="Cambria"/>
          <w:sz w:val="24"/>
          <w:szCs w:val="24"/>
        </w:rPr>
        <w:t>.</w:t>
      </w:r>
      <w:r w:rsidR="00CA1CA9" w:rsidRPr="009C3204">
        <w:rPr>
          <w:rFonts w:ascii="Cambria" w:hAnsi="Cambria"/>
          <w:sz w:val="24"/>
          <w:szCs w:val="24"/>
        </w:rPr>
        <w:t xml:space="preserve"> </w:t>
      </w:r>
      <w:r w:rsidR="00F1338C" w:rsidRPr="009C3204">
        <w:rPr>
          <w:rFonts w:ascii="Cambria" w:hAnsi="Cambria"/>
          <w:sz w:val="24"/>
          <w:szCs w:val="24"/>
        </w:rPr>
        <w:t>Second, why is</w:t>
      </w:r>
      <w:r w:rsidR="00B9522A" w:rsidRPr="009C3204">
        <w:rPr>
          <w:rFonts w:ascii="Cambria" w:hAnsi="Cambria"/>
          <w:sz w:val="24"/>
          <w:szCs w:val="24"/>
        </w:rPr>
        <w:t xml:space="preserve"> it appropriate to </w:t>
      </w:r>
      <w:r w:rsidR="005453F4" w:rsidRPr="009C3204">
        <w:rPr>
          <w:rFonts w:ascii="Cambria" w:hAnsi="Cambria"/>
          <w:sz w:val="24"/>
          <w:szCs w:val="24"/>
        </w:rPr>
        <w:t xml:space="preserve">define </w:t>
      </w:r>
      <w:r w:rsidR="008807A1" w:rsidRPr="009C3204">
        <w:rPr>
          <w:rFonts w:ascii="Cambria" w:hAnsi="Cambria"/>
          <w:sz w:val="24"/>
          <w:szCs w:val="24"/>
        </w:rPr>
        <w:t xml:space="preserve">this revolution as particularly concerned with </w:t>
      </w:r>
      <w:r w:rsidR="00F1338C" w:rsidRPr="009C3204">
        <w:rPr>
          <w:rFonts w:ascii="Cambria" w:hAnsi="Cambria"/>
          <w:sz w:val="24"/>
          <w:szCs w:val="24"/>
        </w:rPr>
        <w:t xml:space="preserve">‘security’? </w:t>
      </w:r>
      <w:r w:rsidR="006F2C3B" w:rsidRPr="009C3204">
        <w:rPr>
          <w:rFonts w:ascii="Cambria" w:hAnsi="Cambria"/>
          <w:sz w:val="24"/>
          <w:szCs w:val="24"/>
        </w:rPr>
        <w:t>P</w:t>
      </w:r>
      <w:r w:rsidRPr="009C3204">
        <w:rPr>
          <w:rFonts w:ascii="Cambria" w:hAnsi="Cambria"/>
          <w:sz w:val="24"/>
          <w:szCs w:val="24"/>
        </w:rPr>
        <w:t xml:space="preserve">rotection from specific life risks lay at the heart of the initial revolution, even if later, this began to be generalised. </w:t>
      </w:r>
      <w:r w:rsidR="00CA1CA9" w:rsidRPr="009C3204">
        <w:rPr>
          <w:rFonts w:ascii="Cambria" w:hAnsi="Cambria"/>
          <w:sz w:val="24"/>
          <w:szCs w:val="24"/>
        </w:rPr>
        <w:t xml:space="preserve">The application of techniques of risk to social problems appeared to enable the state to protect individuals from the uncertainties of significant life risks. </w:t>
      </w:r>
      <w:r w:rsidR="005453F4" w:rsidRPr="009C3204">
        <w:rPr>
          <w:rFonts w:ascii="Cambria" w:hAnsi="Cambria"/>
          <w:sz w:val="24"/>
          <w:szCs w:val="24"/>
        </w:rPr>
        <w:t xml:space="preserve">On some occasions, it was openly the case that the new forms of security were alternatives to the market </w:t>
      </w:r>
      <w:r w:rsidR="00E21635" w:rsidRPr="009C3204">
        <w:rPr>
          <w:rFonts w:ascii="Cambria" w:hAnsi="Cambria"/>
          <w:sz w:val="24"/>
          <w:szCs w:val="24"/>
        </w:rPr>
        <w:t xml:space="preserve">— that is, </w:t>
      </w:r>
      <w:r w:rsidR="005453F4" w:rsidRPr="009C3204">
        <w:rPr>
          <w:rFonts w:ascii="Cambria" w:hAnsi="Cambria"/>
          <w:sz w:val="24"/>
          <w:szCs w:val="24"/>
        </w:rPr>
        <w:t>contract</w:t>
      </w:r>
      <w:r w:rsidR="00E21635" w:rsidRPr="009C3204">
        <w:rPr>
          <w:rFonts w:ascii="Cambria" w:hAnsi="Cambria"/>
          <w:sz w:val="24"/>
          <w:szCs w:val="24"/>
        </w:rPr>
        <w:t xml:space="preserve"> —</w:t>
      </w:r>
      <w:r w:rsidR="005453F4" w:rsidRPr="009C3204">
        <w:rPr>
          <w:rFonts w:ascii="Cambria" w:hAnsi="Cambria"/>
          <w:sz w:val="24"/>
          <w:szCs w:val="24"/>
        </w:rPr>
        <w:t xml:space="preserve"> providing security for those who </w:t>
      </w:r>
      <w:r w:rsidR="005453F4" w:rsidRPr="009C3204">
        <w:rPr>
          <w:rFonts w:ascii="Cambria" w:hAnsi="Cambria"/>
          <w:i/>
          <w:sz w:val="24"/>
          <w:szCs w:val="24"/>
        </w:rPr>
        <w:t xml:space="preserve">could not be expected </w:t>
      </w:r>
      <w:r w:rsidR="00F1338C" w:rsidRPr="009C3204">
        <w:rPr>
          <w:rFonts w:ascii="Cambria" w:hAnsi="Cambria"/>
          <w:sz w:val="24"/>
          <w:szCs w:val="24"/>
        </w:rPr>
        <w:t xml:space="preserve">to </w:t>
      </w:r>
      <w:r w:rsidR="005453F4" w:rsidRPr="009C3204">
        <w:rPr>
          <w:rFonts w:ascii="Cambria" w:hAnsi="Cambria"/>
          <w:sz w:val="24"/>
          <w:szCs w:val="24"/>
        </w:rPr>
        <w:t>provide it for themselves.</w:t>
      </w:r>
      <w:r w:rsidRPr="009C3204">
        <w:rPr>
          <w:rFonts w:ascii="Cambria" w:hAnsi="Cambria"/>
          <w:sz w:val="24"/>
          <w:szCs w:val="24"/>
        </w:rPr>
        <w:t xml:space="preserve"> Entitlement to i</w:t>
      </w:r>
      <w:r w:rsidR="00CE590F" w:rsidRPr="009C3204">
        <w:rPr>
          <w:rFonts w:ascii="Cambria" w:hAnsi="Cambria"/>
          <w:sz w:val="24"/>
          <w:szCs w:val="24"/>
        </w:rPr>
        <w:t xml:space="preserve">ncome replacement </w:t>
      </w:r>
      <w:r w:rsidR="008807A1" w:rsidRPr="009C3204">
        <w:rPr>
          <w:rFonts w:ascii="Cambria" w:hAnsi="Cambria"/>
          <w:sz w:val="24"/>
          <w:szCs w:val="24"/>
        </w:rPr>
        <w:t xml:space="preserve">was provided </w:t>
      </w:r>
      <w:r w:rsidR="00CE590F" w:rsidRPr="009C3204">
        <w:rPr>
          <w:rFonts w:ascii="Cambria" w:hAnsi="Cambria"/>
          <w:sz w:val="24"/>
          <w:szCs w:val="24"/>
        </w:rPr>
        <w:t>to one degree or another</w:t>
      </w:r>
      <w:r w:rsidR="00B9522A" w:rsidRPr="009C3204">
        <w:rPr>
          <w:rFonts w:ascii="Cambria" w:hAnsi="Cambria"/>
          <w:sz w:val="24"/>
          <w:szCs w:val="24"/>
        </w:rPr>
        <w:t>,</w:t>
      </w:r>
      <w:r w:rsidR="002D3514" w:rsidRPr="009C3204">
        <w:rPr>
          <w:rFonts w:ascii="Cambria" w:hAnsi="Cambria"/>
          <w:sz w:val="24"/>
          <w:szCs w:val="24"/>
        </w:rPr>
        <w:t xml:space="preserve"> rather than mechanisms of charitable relief or other support</w:t>
      </w:r>
      <w:r w:rsidR="00F1338C" w:rsidRPr="009C3204">
        <w:rPr>
          <w:rFonts w:ascii="Cambria" w:hAnsi="Cambria"/>
          <w:sz w:val="24"/>
          <w:szCs w:val="24"/>
        </w:rPr>
        <w:t xml:space="preserve">; </w:t>
      </w:r>
      <w:r w:rsidR="002D3514" w:rsidRPr="009C3204">
        <w:rPr>
          <w:rFonts w:ascii="Cambria" w:hAnsi="Cambria"/>
          <w:sz w:val="24"/>
          <w:szCs w:val="24"/>
        </w:rPr>
        <w:t xml:space="preserve">even so, </w:t>
      </w:r>
      <w:r w:rsidR="00BA3FCE" w:rsidRPr="009C3204">
        <w:rPr>
          <w:rFonts w:ascii="Cambria" w:hAnsi="Cambria"/>
          <w:sz w:val="24"/>
          <w:szCs w:val="24"/>
        </w:rPr>
        <w:t xml:space="preserve">the tort measure of </w:t>
      </w:r>
      <w:r w:rsidR="00B9522A" w:rsidRPr="009C3204">
        <w:rPr>
          <w:rFonts w:ascii="Cambria" w:hAnsi="Cambria"/>
          <w:sz w:val="24"/>
          <w:szCs w:val="24"/>
        </w:rPr>
        <w:t>full replacement of what is lost</w:t>
      </w:r>
      <w:r w:rsidR="002D3514" w:rsidRPr="009C3204">
        <w:rPr>
          <w:rFonts w:ascii="Cambria" w:hAnsi="Cambria"/>
          <w:sz w:val="24"/>
          <w:szCs w:val="24"/>
        </w:rPr>
        <w:t xml:space="preserve"> stands out as exceptional.</w:t>
      </w:r>
      <w:r w:rsidR="008807A1" w:rsidRPr="009C3204">
        <w:rPr>
          <w:rStyle w:val="FootnoteReference"/>
          <w:rFonts w:ascii="Cambria" w:hAnsi="Cambria"/>
          <w:sz w:val="24"/>
          <w:szCs w:val="24"/>
        </w:rPr>
        <w:footnoteReference w:id="49"/>
      </w:r>
      <w:r w:rsidR="009B1E5C" w:rsidRPr="009C3204">
        <w:rPr>
          <w:rFonts w:ascii="Cambria" w:hAnsi="Cambria"/>
          <w:sz w:val="24"/>
          <w:szCs w:val="24"/>
        </w:rPr>
        <w:t xml:space="preserve"> </w:t>
      </w:r>
      <w:r w:rsidR="00B9522A" w:rsidRPr="009C3204">
        <w:rPr>
          <w:rFonts w:ascii="Cambria" w:hAnsi="Cambria"/>
          <w:sz w:val="24"/>
          <w:szCs w:val="24"/>
        </w:rPr>
        <w:t>Using tort</w:t>
      </w:r>
      <w:r w:rsidR="009B1E5C" w:rsidRPr="009C3204">
        <w:rPr>
          <w:rFonts w:ascii="Cambria" w:hAnsi="Cambria"/>
          <w:sz w:val="24"/>
          <w:szCs w:val="24"/>
        </w:rPr>
        <w:t xml:space="preserve"> remedies</w:t>
      </w:r>
      <w:r w:rsidR="00B9522A" w:rsidRPr="009C3204">
        <w:rPr>
          <w:rFonts w:ascii="Cambria" w:hAnsi="Cambria"/>
          <w:sz w:val="24"/>
          <w:szCs w:val="24"/>
        </w:rPr>
        <w:t xml:space="preserve"> to </w:t>
      </w:r>
      <w:r w:rsidR="002D3514" w:rsidRPr="009C3204">
        <w:rPr>
          <w:rFonts w:ascii="Cambria" w:hAnsi="Cambria"/>
          <w:sz w:val="24"/>
          <w:szCs w:val="24"/>
        </w:rPr>
        <w:t xml:space="preserve">achieve security </w:t>
      </w:r>
      <w:r w:rsidR="00E21635" w:rsidRPr="009C3204">
        <w:rPr>
          <w:rFonts w:ascii="Cambria" w:hAnsi="Cambria"/>
          <w:sz w:val="24"/>
          <w:szCs w:val="24"/>
        </w:rPr>
        <w:t xml:space="preserve">would </w:t>
      </w:r>
      <w:r w:rsidR="002D3514" w:rsidRPr="009C3204">
        <w:rPr>
          <w:rFonts w:ascii="Cambria" w:hAnsi="Cambria"/>
          <w:sz w:val="24"/>
          <w:szCs w:val="24"/>
        </w:rPr>
        <w:t>ther</w:t>
      </w:r>
      <w:r w:rsidR="009B1E5C" w:rsidRPr="009C3204">
        <w:rPr>
          <w:rFonts w:ascii="Cambria" w:hAnsi="Cambria"/>
          <w:sz w:val="24"/>
          <w:szCs w:val="24"/>
        </w:rPr>
        <w:t xml:space="preserve">efore </w:t>
      </w:r>
      <w:r w:rsidR="00E21635" w:rsidRPr="009C3204">
        <w:rPr>
          <w:rFonts w:ascii="Cambria" w:hAnsi="Cambria"/>
          <w:sz w:val="24"/>
          <w:szCs w:val="24"/>
        </w:rPr>
        <w:t xml:space="preserve">be </w:t>
      </w:r>
      <w:r w:rsidR="00B9522A" w:rsidRPr="009C3204">
        <w:rPr>
          <w:rFonts w:ascii="Cambria" w:hAnsi="Cambria"/>
          <w:sz w:val="24"/>
          <w:szCs w:val="24"/>
        </w:rPr>
        <w:t xml:space="preserve">something </w:t>
      </w:r>
      <w:r w:rsidR="002D3514" w:rsidRPr="009C3204">
        <w:rPr>
          <w:rFonts w:ascii="Cambria" w:hAnsi="Cambria"/>
          <w:sz w:val="24"/>
          <w:szCs w:val="24"/>
        </w:rPr>
        <w:t xml:space="preserve">of </w:t>
      </w:r>
      <w:r w:rsidR="008807A1" w:rsidRPr="009C3204">
        <w:rPr>
          <w:rFonts w:ascii="Cambria" w:hAnsi="Cambria"/>
          <w:sz w:val="24"/>
          <w:szCs w:val="24"/>
        </w:rPr>
        <w:t>an awkward fit</w:t>
      </w:r>
      <w:r w:rsidR="002D3514" w:rsidRPr="009C3204">
        <w:rPr>
          <w:rFonts w:ascii="Cambria" w:hAnsi="Cambria"/>
          <w:sz w:val="24"/>
          <w:szCs w:val="24"/>
        </w:rPr>
        <w:t xml:space="preserve">, and this is one reason </w:t>
      </w:r>
      <w:r w:rsidR="002D3514" w:rsidRPr="009C3204">
        <w:rPr>
          <w:rFonts w:ascii="Cambria" w:hAnsi="Cambria"/>
          <w:sz w:val="24"/>
          <w:szCs w:val="24"/>
        </w:rPr>
        <w:lastRenderedPageBreak/>
        <w:t>why tort was criticised as a component of the security state. Whatever the theoretical position however</w:t>
      </w:r>
      <w:r w:rsidR="008807A1" w:rsidRPr="009C3204">
        <w:rPr>
          <w:rFonts w:ascii="Cambria" w:hAnsi="Cambria"/>
          <w:sz w:val="24"/>
          <w:szCs w:val="24"/>
        </w:rPr>
        <w:t>, tor</w:t>
      </w:r>
      <w:r w:rsidR="002D3514" w:rsidRPr="009C3204">
        <w:rPr>
          <w:rFonts w:ascii="Cambria" w:hAnsi="Cambria"/>
          <w:sz w:val="24"/>
          <w:szCs w:val="24"/>
        </w:rPr>
        <w:t>t became part of the</w:t>
      </w:r>
      <w:r w:rsidR="008807A1" w:rsidRPr="009C3204">
        <w:rPr>
          <w:rFonts w:ascii="Cambria" w:hAnsi="Cambria"/>
          <w:sz w:val="24"/>
          <w:szCs w:val="24"/>
        </w:rPr>
        <w:t xml:space="preserve"> broader set of </w:t>
      </w:r>
      <w:r w:rsidR="004115A3">
        <w:rPr>
          <w:rFonts w:ascii="Cambria" w:hAnsi="Cambria"/>
          <w:sz w:val="24"/>
          <w:szCs w:val="24"/>
        </w:rPr>
        <w:t xml:space="preserve">security </w:t>
      </w:r>
      <w:r w:rsidR="008807A1" w:rsidRPr="009C3204">
        <w:rPr>
          <w:rFonts w:ascii="Cambria" w:hAnsi="Cambria"/>
          <w:sz w:val="24"/>
          <w:szCs w:val="24"/>
        </w:rPr>
        <w:t>provision.</w:t>
      </w:r>
      <w:r w:rsidR="000E3A20" w:rsidRPr="009C3204">
        <w:rPr>
          <w:rFonts w:ascii="Cambria" w:hAnsi="Cambria"/>
          <w:sz w:val="24"/>
          <w:szCs w:val="24"/>
        </w:rPr>
        <w:t xml:space="preserve"> </w:t>
      </w:r>
    </w:p>
    <w:p w14:paraId="04E4FC9A" w14:textId="31CBD5BF" w:rsidR="00096D36" w:rsidRPr="009C3204" w:rsidRDefault="006F2C3B" w:rsidP="008E4509">
      <w:pPr>
        <w:spacing w:line="240" w:lineRule="auto"/>
        <w:jc w:val="both"/>
        <w:rPr>
          <w:rFonts w:ascii="Cambria" w:hAnsi="Cambria"/>
          <w:sz w:val="24"/>
          <w:szCs w:val="24"/>
        </w:rPr>
      </w:pPr>
      <w:r w:rsidRPr="009C3204">
        <w:rPr>
          <w:rFonts w:ascii="Cambria" w:hAnsi="Cambria"/>
          <w:sz w:val="24"/>
          <w:szCs w:val="24"/>
        </w:rPr>
        <w:t xml:space="preserve">The emphasis on security is also illustrated by </w:t>
      </w:r>
      <w:r w:rsidR="008807A1" w:rsidRPr="009C3204">
        <w:rPr>
          <w:rFonts w:ascii="Cambria" w:hAnsi="Cambria"/>
          <w:sz w:val="24"/>
          <w:szCs w:val="24"/>
        </w:rPr>
        <w:t>road traffic</w:t>
      </w:r>
      <w:r w:rsidRPr="009C3204">
        <w:rPr>
          <w:rFonts w:ascii="Cambria" w:hAnsi="Cambria"/>
          <w:sz w:val="24"/>
          <w:szCs w:val="24"/>
        </w:rPr>
        <w:t xml:space="preserve"> liability</w:t>
      </w:r>
      <w:r w:rsidR="008807A1" w:rsidRPr="009C3204">
        <w:rPr>
          <w:rFonts w:ascii="Cambria" w:hAnsi="Cambria"/>
          <w:sz w:val="24"/>
          <w:szCs w:val="24"/>
        </w:rPr>
        <w:t>. During this</w:t>
      </w:r>
      <w:r w:rsidR="00827F54" w:rsidRPr="009C3204">
        <w:rPr>
          <w:rFonts w:ascii="Cambria" w:hAnsi="Cambria"/>
          <w:sz w:val="24"/>
          <w:szCs w:val="24"/>
        </w:rPr>
        <w:t xml:space="preserve"> same</w:t>
      </w:r>
      <w:r w:rsidR="000E3A20" w:rsidRPr="009C3204">
        <w:rPr>
          <w:rFonts w:ascii="Cambria" w:hAnsi="Cambria"/>
          <w:sz w:val="24"/>
          <w:szCs w:val="24"/>
        </w:rPr>
        <w:t xml:space="preserve"> period, road traffic also became a key concern, and the most regular form of tortious liability was developing. In the UK, through the Road Traffic Act 1930, liability insurance for road traffic accidents became compulsory. </w:t>
      </w:r>
      <w:r w:rsidR="00F1338C" w:rsidRPr="009C3204">
        <w:rPr>
          <w:rFonts w:ascii="Cambria" w:hAnsi="Cambria"/>
          <w:sz w:val="24"/>
          <w:szCs w:val="24"/>
        </w:rPr>
        <w:t>What</w:t>
      </w:r>
      <w:r w:rsidR="00742EC2" w:rsidRPr="009C3204">
        <w:rPr>
          <w:rFonts w:ascii="Cambria" w:hAnsi="Cambria"/>
          <w:sz w:val="24"/>
          <w:szCs w:val="24"/>
        </w:rPr>
        <w:t xml:space="preserve"> then </w:t>
      </w:r>
      <w:r w:rsidR="00F1338C" w:rsidRPr="009C3204">
        <w:rPr>
          <w:rFonts w:ascii="Cambria" w:hAnsi="Cambria"/>
          <w:sz w:val="24"/>
          <w:szCs w:val="24"/>
        </w:rPr>
        <w:t xml:space="preserve">explains the introduction of compulsory liability insurance? </w:t>
      </w:r>
      <w:r w:rsidR="00742EC2" w:rsidRPr="009C3204">
        <w:rPr>
          <w:rFonts w:ascii="Cambria" w:hAnsi="Cambria"/>
          <w:sz w:val="24"/>
          <w:szCs w:val="24"/>
        </w:rPr>
        <w:t>It is suggested that it was the need to avoid</w:t>
      </w:r>
      <w:r w:rsidR="00B25EA5" w:rsidRPr="009C3204">
        <w:rPr>
          <w:rFonts w:ascii="Cambria" w:hAnsi="Cambria"/>
          <w:sz w:val="24"/>
          <w:szCs w:val="24"/>
        </w:rPr>
        <w:t xml:space="preserve"> insecurity</w:t>
      </w:r>
      <w:r w:rsidR="00827F54" w:rsidRPr="009C3204">
        <w:rPr>
          <w:rFonts w:ascii="Cambria" w:hAnsi="Cambria"/>
          <w:sz w:val="24"/>
          <w:szCs w:val="24"/>
        </w:rPr>
        <w:t xml:space="preserve"> (uncompensated injury)</w:t>
      </w:r>
      <w:r w:rsidR="00742EC2" w:rsidRPr="009C3204">
        <w:rPr>
          <w:rFonts w:ascii="Cambria" w:hAnsi="Cambria"/>
          <w:sz w:val="24"/>
          <w:szCs w:val="24"/>
        </w:rPr>
        <w:t xml:space="preserve">, that was the most significant motivator: </w:t>
      </w:r>
      <w:r w:rsidR="00827F54" w:rsidRPr="009C3204">
        <w:rPr>
          <w:rFonts w:ascii="Cambria" w:hAnsi="Cambria"/>
          <w:sz w:val="24"/>
          <w:szCs w:val="24"/>
        </w:rPr>
        <w:t xml:space="preserve">the trigger was, again, </w:t>
      </w:r>
      <w:r w:rsidR="00B25EA5" w:rsidRPr="009C3204">
        <w:rPr>
          <w:rFonts w:ascii="Cambria" w:hAnsi="Cambria"/>
          <w:sz w:val="24"/>
          <w:szCs w:val="24"/>
        </w:rPr>
        <w:t xml:space="preserve">vulnerability to injury from a known and understood </w:t>
      </w:r>
      <w:proofErr w:type="gramStart"/>
      <w:r w:rsidR="00B25EA5" w:rsidRPr="009C3204">
        <w:rPr>
          <w:rFonts w:ascii="Cambria" w:hAnsi="Cambria"/>
          <w:sz w:val="24"/>
          <w:szCs w:val="24"/>
        </w:rPr>
        <w:t>risk, that</w:t>
      </w:r>
      <w:proofErr w:type="gramEnd"/>
      <w:r w:rsidR="00B25EA5" w:rsidRPr="009C3204">
        <w:rPr>
          <w:rFonts w:ascii="Cambria" w:hAnsi="Cambria"/>
          <w:sz w:val="24"/>
          <w:szCs w:val="24"/>
        </w:rPr>
        <w:t xml:space="preserve"> would strike with regularity, but unpredictably. </w:t>
      </w:r>
      <w:r w:rsidR="009D552F" w:rsidRPr="009C3204">
        <w:rPr>
          <w:rFonts w:ascii="Cambria" w:hAnsi="Cambria"/>
          <w:sz w:val="24"/>
          <w:szCs w:val="24"/>
        </w:rPr>
        <w:t xml:space="preserve">This </w:t>
      </w:r>
      <w:r w:rsidR="002D3514" w:rsidRPr="009C3204">
        <w:rPr>
          <w:rFonts w:ascii="Cambria" w:hAnsi="Cambria"/>
          <w:sz w:val="24"/>
          <w:szCs w:val="24"/>
        </w:rPr>
        <w:t xml:space="preserve">development therefore </w:t>
      </w:r>
      <w:r w:rsidR="009D552F" w:rsidRPr="009C3204">
        <w:rPr>
          <w:rFonts w:ascii="Cambria" w:hAnsi="Cambria"/>
          <w:sz w:val="24"/>
          <w:szCs w:val="24"/>
        </w:rPr>
        <w:t xml:space="preserve">embodies both the need to </w:t>
      </w:r>
      <w:r w:rsidR="009D552F" w:rsidRPr="009C3204">
        <w:rPr>
          <w:rFonts w:ascii="Cambria" w:hAnsi="Cambria"/>
          <w:i/>
          <w:sz w:val="24"/>
          <w:szCs w:val="24"/>
        </w:rPr>
        <w:t>secure</w:t>
      </w:r>
      <w:r w:rsidR="001655EC" w:rsidRPr="009C3204">
        <w:rPr>
          <w:rFonts w:ascii="Cambria" w:hAnsi="Cambria"/>
          <w:sz w:val="24"/>
          <w:szCs w:val="24"/>
        </w:rPr>
        <w:t>,</w:t>
      </w:r>
      <w:r w:rsidR="009D552F" w:rsidRPr="009C3204">
        <w:rPr>
          <w:rFonts w:ascii="Cambria" w:hAnsi="Cambria"/>
          <w:i/>
          <w:sz w:val="24"/>
          <w:szCs w:val="24"/>
        </w:rPr>
        <w:t xml:space="preserve"> </w:t>
      </w:r>
      <w:r w:rsidR="009D552F" w:rsidRPr="009C3204">
        <w:rPr>
          <w:rFonts w:ascii="Cambria" w:hAnsi="Cambria"/>
          <w:sz w:val="24"/>
          <w:szCs w:val="24"/>
        </w:rPr>
        <w:t xml:space="preserve">or provide security; and </w:t>
      </w:r>
      <w:r w:rsidR="008807A1" w:rsidRPr="009C3204">
        <w:rPr>
          <w:rFonts w:ascii="Cambria" w:hAnsi="Cambria"/>
          <w:sz w:val="24"/>
          <w:szCs w:val="24"/>
        </w:rPr>
        <w:t xml:space="preserve">the </w:t>
      </w:r>
      <w:r w:rsidR="009D552F" w:rsidRPr="009C3204">
        <w:rPr>
          <w:rFonts w:ascii="Cambria" w:hAnsi="Cambria"/>
          <w:sz w:val="24"/>
          <w:szCs w:val="24"/>
        </w:rPr>
        <w:t xml:space="preserve">use of distributive capability through both liability, and insurance. If insurance was at this stage compulsory for roads </w:t>
      </w:r>
      <w:r w:rsidR="009D552F" w:rsidRPr="009C3204">
        <w:rPr>
          <w:rFonts w:ascii="Cambria" w:hAnsi="Cambria"/>
          <w:i/>
          <w:sz w:val="24"/>
          <w:szCs w:val="24"/>
        </w:rPr>
        <w:t xml:space="preserve">but not </w:t>
      </w:r>
      <w:r w:rsidR="009D552F" w:rsidRPr="009C3204">
        <w:rPr>
          <w:rFonts w:ascii="Cambria" w:hAnsi="Cambria"/>
          <w:sz w:val="24"/>
          <w:szCs w:val="24"/>
        </w:rPr>
        <w:t xml:space="preserve">for </w:t>
      </w:r>
      <w:proofErr w:type="gramStart"/>
      <w:r w:rsidR="009D552F" w:rsidRPr="009C3204">
        <w:rPr>
          <w:rFonts w:ascii="Cambria" w:hAnsi="Cambria"/>
          <w:sz w:val="24"/>
          <w:szCs w:val="24"/>
        </w:rPr>
        <w:t>employers, that</w:t>
      </w:r>
      <w:proofErr w:type="gramEnd"/>
      <w:r w:rsidR="009D552F" w:rsidRPr="009C3204">
        <w:rPr>
          <w:rFonts w:ascii="Cambria" w:hAnsi="Cambria"/>
          <w:sz w:val="24"/>
          <w:szCs w:val="24"/>
        </w:rPr>
        <w:t xml:space="preserve"> reflects the fact that drivers were acknowledged to be individuals who could not </w:t>
      </w:r>
      <w:r w:rsidR="00EF00F3" w:rsidRPr="009C3204">
        <w:rPr>
          <w:rFonts w:ascii="Cambria" w:hAnsi="Cambria"/>
          <w:sz w:val="24"/>
          <w:szCs w:val="24"/>
        </w:rPr>
        <w:t xml:space="preserve">necessarily </w:t>
      </w:r>
      <w:r w:rsidR="009D552F" w:rsidRPr="009C3204">
        <w:rPr>
          <w:rFonts w:ascii="Cambria" w:hAnsi="Cambria"/>
          <w:sz w:val="24"/>
          <w:szCs w:val="24"/>
        </w:rPr>
        <w:t xml:space="preserve">provide the required compensation: the liabilities </w:t>
      </w:r>
      <w:r w:rsidR="009D552F" w:rsidRPr="009C3204">
        <w:rPr>
          <w:rFonts w:ascii="Cambria" w:hAnsi="Cambria"/>
          <w:i/>
          <w:sz w:val="24"/>
          <w:szCs w:val="24"/>
        </w:rPr>
        <w:t>required to be secured</w:t>
      </w:r>
      <w:r w:rsidR="009D552F" w:rsidRPr="009C3204">
        <w:rPr>
          <w:rFonts w:ascii="Cambria" w:hAnsi="Cambria"/>
          <w:sz w:val="24"/>
          <w:szCs w:val="24"/>
        </w:rPr>
        <w:t>.</w:t>
      </w:r>
      <w:r w:rsidR="009D552F" w:rsidRPr="009C3204">
        <w:rPr>
          <w:rFonts w:ascii="Cambria" w:hAnsi="Cambria"/>
          <w:i/>
          <w:sz w:val="24"/>
          <w:szCs w:val="24"/>
        </w:rPr>
        <w:t xml:space="preserve"> </w:t>
      </w:r>
      <w:r w:rsidR="00B25EA5" w:rsidRPr="009C3204">
        <w:rPr>
          <w:rFonts w:ascii="Cambria" w:hAnsi="Cambria"/>
          <w:sz w:val="24"/>
          <w:szCs w:val="24"/>
        </w:rPr>
        <w:t xml:space="preserve">But now, we are beyond the scope of covering </w:t>
      </w:r>
      <w:r w:rsidR="002D3514" w:rsidRPr="009C3204">
        <w:rPr>
          <w:rFonts w:ascii="Cambria" w:hAnsi="Cambria"/>
          <w:sz w:val="24"/>
          <w:szCs w:val="24"/>
        </w:rPr>
        <w:t xml:space="preserve">distinct groups </w:t>
      </w:r>
      <w:r w:rsidR="00B25EA5" w:rsidRPr="009C3204">
        <w:rPr>
          <w:rFonts w:ascii="Cambria" w:hAnsi="Cambria"/>
          <w:sz w:val="24"/>
          <w:szCs w:val="24"/>
        </w:rPr>
        <w:t>who cannot be expected to cover themselves;</w:t>
      </w:r>
      <w:bookmarkStart w:id="13" w:name="_Ref480741913"/>
      <w:r w:rsidR="008807A1" w:rsidRPr="009C3204">
        <w:rPr>
          <w:rStyle w:val="FootnoteReference"/>
          <w:rFonts w:ascii="Cambria" w:hAnsi="Cambria"/>
          <w:sz w:val="24"/>
          <w:szCs w:val="24"/>
        </w:rPr>
        <w:footnoteReference w:id="50"/>
      </w:r>
      <w:bookmarkEnd w:id="13"/>
      <w:r w:rsidR="00B25EA5" w:rsidRPr="009C3204">
        <w:rPr>
          <w:rFonts w:ascii="Cambria" w:hAnsi="Cambria"/>
          <w:sz w:val="24"/>
          <w:szCs w:val="24"/>
        </w:rPr>
        <w:t xml:space="preserve"> instead, we are looking to cover all those who are exposed to the risk</w:t>
      </w:r>
      <w:r w:rsidR="009D552F" w:rsidRPr="009C3204">
        <w:rPr>
          <w:rFonts w:ascii="Cambria" w:hAnsi="Cambria"/>
          <w:sz w:val="24"/>
          <w:szCs w:val="24"/>
        </w:rPr>
        <w:t xml:space="preserve"> of tortious harm arising from road vehicles</w:t>
      </w:r>
      <w:r w:rsidR="00B25EA5" w:rsidRPr="009C3204">
        <w:rPr>
          <w:rFonts w:ascii="Cambria" w:hAnsi="Cambria"/>
          <w:sz w:val="24"/>
          <w:szCs w:val="24"/>
        </w:rPr>
        <w:t xml:space="preserve">. </w:t>
      </w:r>
      <w:r w:rsidR="00096D36" w:rsidRPr="009C3204">
        <w:rPr>
          <w:rFonts w:ascii="Cambria" w:hAnsi="Cambria"/>
          <w:sz w:val="24"/>
          <w:szCs w:val="24"/>
        </w:rPr>
        <w:t>It is suggested that a</w:t>
      </w:r>
      <w:r w:rsidR="007405DE" w:rsidRPr="009C3204">
        <w:rPr>
          <w:rFonts w:ascii="Cambria" w:hAnsi="Cambria"/>
          <w:sz w:val="24"/>
          <w:szCs w:val="24"/>
        </w:rPr>
        <w:t xml:space="preserve"> </w:t>
      </w:r>
      <w:proofErr w:type="gramStart"/>
      <w:r w:rsidR="007405DE" w:rsidRPr="009C3204">
        <w:rPr>
          <w:rFonts w:ascii="Cambria" w:hAnsi="Cambria"/>
          <w:sz w:val="24"/>
          <w:szCs w:val="24"/>
        </w:rPr>
        <w:t>different</w:t>
      </w:r>
      <w:r w:rsidR="00096D36" w:rsidRPr="009C3204">
        <w:rPr>
          <w:rFonts w:ascii="Cambria" w:hAnsi="Cambria"/>
          <w:sz w:val="24"/>
          <w:szCs w:val="24"/>
        </w:rPr>
        <w:t>,</w:t>
      </w:r>
      <w:proofErr w:type="gramEnd"/>
      <w:r w:rsidR="00096D36" w:rsidRPr="009C3204">
        <w:rPr>
          <w:rFonts w:ascii="Cambria" w:hAnsi="Cambria"/>
          <w:sz w:val="24"/>
          <w:szCs w:val="24"/>
        </w:rPr>
        <w:t xml:space="preserve"> and significant</w:t>
      </w:r>
      <w:r w:rsidR="007405DE" w:rsidRPr="009C3204">
        <w:rPr>
          <w:rFonts w:ascii="Cambria" w:hAnsi="Cambria"/>
          <w:sz w:val="24"/>
          <w:szCs w:val="24"/>
        </w:rPr>
        <w:t xml:space="preserve"> judgment is </w:t>
      </w:r>
      <w:r w:rsidR="00096D36" w:rsidRPr="009C3204">
        <w:rPr>
          <w:rFonts w:ascii="Cambria" w:hAnsi="Cambria"/>
          <w:sz w:val="24"/>
          <w:szCs w:val="24"/>
        </w:rPr>
        <w:t>thus</w:t>
      </w:r>
      <w:r w:rsidR="007405DE" w:rsidRPr="009C3204">
        <w:rPr>
          <w:rFonts w:ascii="Cambria" w:hAnsi="Cambria"/>
          <w:sz w:val="24"/>
          <w:szCs w:val="24"/>
        </w:rPr>
        <w:t xml:space="preserve"> introduced: the </w:t>
      </w:r>
      <w:r w:rsidR="007405DE" w:rsidRPr="009C3204">
        <w:rPr>
          <w:rFonts w:ascii="Cambria" w:hAnsi="Cambria"/>
          <w:i/>
          <w:sz w:val="24"/>
          <w:szCs w:val="24"/>
        </w:rPr>
        <w:t>cost of security</w:t>
      </w:r>
      <w:r w:rsidR="007405DE" w:rsidRPr="009C3204">
        <w:rPr>
          <w:rFonts w:ascii="Cambria" w:hAnsi="Cambria"/>
          <w:sz w:val="24"/>
          <w:szCs w:val="24"/>
        </w:rPr>
        <w:t xml:space="preserve"> should be placed with motorists</w:t>
      </w:r>
      <w:r w:rsidR="00BA3FCE" w:rsidRPr="009C3204">
        <w:rPr>
          <w:rFonts w:ascii="Cambria" w:hAnsi="Cambria"/>
          <w:sz w:val="24"/>
          <w:szCs w:val="24"/>
        </w:rPr>
        <w:t xml:space="preserve"> not victims</w:t>
      </w:r>
      <w:r w:rsidR="00096D36" w:rsidRPr="009C3204">
        <w:rPr>
          <w:rFonts w:ascii="Cambria" w:hAnsi="Cambria"/>
          <w:sz w:val="24"/>
          <w:szCs w:val="24"/>
        </w:rPr>
        <w:t>.</w:t>
      </w:r>
    </w:p>
    <w:p w14:paraId="2FEB9CA0" w14:textId="3E8E0CA9" w:rsidR="00FC504E" w:rsidRPr="009C3204" w:rsidRDefault="007405DE" w:rsidP="008E4509">
      <w:pPr>
        <w:spacing w:line="240" w:lineRule="auto"/>
        <w:jc w:val="both"/>
        <w:rPr>
          <w:rFonts w:ascii="Cambria" w:hAnsi="Cambria"/>
          <w:sz w:val="24"/>
          <w:szCs w:val="24"/>
        </w:rPr>
      </w:pPr>
      <w:r w:rsidRPr="009C3204">
        <w:rPr>
          <w:rFonts w:ascii="Cambria" w:hAnsi="Cambria"/>
          <w:sz w:val="24"/>
          <w:szCs w:val="24"/>
        </w:rPr>
        <w:t>I</w:t>
      </w:r>
      <w:r w:rsidR="00096D36" w:rsidRPr="009C3204">
        <w:rPr>
          <w:rFonts w:ascii="Cambria" w:hAnsi="Cambria"/>
          <w:sz w:val="24"/>
          <w:szCs w:val="24"/>
        </w:rPr>
        <w:t>t seems unlikely that</w:t>
      </w:r>
      <w:r w:rsidRPr="009C3204">
        <w:rPr>
          <w:rFonts w:ascii="Cambria" w:hAnsi="Cambria"/>
          <w:sz w:val="24"/>
          <w:szCs w:val="24"/>
        </w:rPr>
        <w:t xml:space="preserve"> this </w:t>
      </w:r>
      <w:r w:rsidR="00EF00F3" w:rsidRPr="009C3204">
        <w:rPr>
          <w:rFonts w:ascii="Cambria" w:hAnsi="Cambria"/>
          <w:sz w:val="24"/>
          <w:szCs w:val="24"/>
        </w:rPr>
        <w:t>wa</w:t>
      </w:r>
      <w:r w:rsidRPr="009C3204">
        <w:rPr>
          <w:rFonts w:ascii="Cambria" w:hAnsi="Cambria"/>
          <w:sz w:val="24"/>
          <w:szCs w:val="24"/>
        </w:rPr>
        <w:t xml:space="preserve">s </w:t>
      </w:r>
      <w:r w:rsidR="00096D36" w:rsidRPr="009C3204">
        <w:rPr>
          <w:rFonts w:ascii="Cambria" w:hAnsi="Cambria"/>
          <w:sz w:val="24"/>
          <w:szCs w:val="24"/>
        </w:rPr>
        <w:t xml:space="preserve">based on </w:t>
      </w:r>
      <w:r w:rsidRPr="009C3204">
        <w:rPr>
          <w:rFonts w:ascii="Cambria" w:hAnsi="Cambria"/>
          <w:sz w:val="24"/>
          <w:szCs w:val="24"/>
        </w:rPr>
        <w:t>a judgment about moral ownership of the risks.</w:t>
      </w:r>
      <w:r w:rsidR="00EF00F3" w:rsidRPr="009C3204">
        <w:rPr>
          <w:rStyle w:val="FootnoteReference"/>
          <w:rFonts w:ascii="Cambria" w:hAnsi="Cambria"/>
          <w:sz w:val="24"/>
          <w:szCs w:val="24"/>
        </w:rPr>
        <w:footnoteReference w:id="51"/>
      </w:r>
      <w:r w:rsidRPr="009C3204">
        <w:rPr>
          <w:rFonts w:ascii="Cambria" w:hAnsi="Cambria"/>
          <w:sz w:val="24"/>
          <w:szCs w:val="24"/>
        </w:rPr>
        <w:t xml:space="preserve"> More likely, it is a judgment about how, practically, security from the risks of road traffic could be achieved. </w:t>
      </w:r>
      <w:r w:rsidR="002F7888" w:rsidRPr="009C3204">
        <w:rPr>
          <w:rFonts w:ascii="Cambria" w:hAnsi="Cambria"/>
          <w:sz w:val="24"/>
          <w:szCs w:val="24"/>
        </w:rPr>
        <w:t xml:space="preserve">Road traffic liability places the </w:t>
      </w:r>
      <w:r w:rsidR="002F7888" w:rsidRPr="009C3204">
        <w:rPr>
          <w:rFonts w:ascii="Cambria" w:hAnsi="Cambria"/>
          <w:i/>
          <w:sz w:val="24"/>
          <w:szCs w:val="24"/>
        </w:rPr>
        <w:t>risk</w:t>
      </w:r>
      <w:r w:rsidR="002F7888" w:rsidRPr="009C3204">
        <w:rPr>
          <w:rFonts w:ascii="Cambria" w:hAnsi="Cambria"/>
          <w:sz w:val="24"/>
          <w:szCs w:val="24"/>
        </w:rPr>
        <w:t xml:space="preserve"> of injury, th</w:t>
      </w:r>
      <w:r w:rsidR="009D552F" w:rsidRPr="009C3204">
        <w:rPr>
          <w:rFonts w:ascii="Cambria" w:hAnsi="Cambria"/>
          <w:sz w:val="24"/>
          <w:szCs w:val="24"/>
        </w:rPr>
        <w:t>rough liability, with negligent</w:t>
      </w:r>
      <w:r w:rsidR="002F7888" w:rsidRPr="009C3204">
        <w:rPr>
          <w:rFonts w:ascii="Cambria" w:hAnsi="Cambria"/>
          <w:sz w:val="24"/>
          <w:szCs w:val="24"/>
        </w:rPr>
        <w:t xml:space="preserve"> parties, </w:t>
      </w:r>
      <w:r w:rsidR="009D552F" w:rsidRPr="009C3204">
        <w:rPr>
          <w:rFonts w:ascii="Cambria" w:hAnsi="Cambria"/>
          <w:sz w:val="24"/>
          <w:szCs w:val="24"/>
        </w:rPr>
        <w:t xml:space="preserve">and with their insurers; and it makes that insurance compulsory; it thus </w:t>
      </w:r>
      <w:r w:rsidR="00FA37D7" w:rsidRPr="009C3204">
        <w:rPr>
          <w:rFonts w:ascii="Cambria" w:hAnsi="Cambria"/>
          <w:sz w:val="24"/>
          <w:szCs w:val="24"/>
        </w:rPr>
        <w:t xml:space="preserve">seeks to </w:t>
      </w:r>
      <w:r w:rsidR="009D552F" w:rsidRPr="009C3204">
        <w:rPr>
          <w:rFonts w:ascii="Cambria" w:hAnsi="Cambria"/>
          <w:sz w:val="24"/>
          <w:szCs w:val="24"/>
        </w:rPr>
        <w:t xml:space="preserve">provide </w:t>
      </w:r>
      <w:r w:rsidR="009D552F" w:rsidRPr="009C3204">
        <w:rPr>
          <w:rFonts w:ascii="Cambria" w:hAnsi="Cambria"/>
          <w:i/>
          <w:sz w:val="24"/>
          <w:szCs w:val="24"/>
        </w:rPr>
        <w:t xml:space="preserve">security </w:t>
      </w:r>
      <w:r w:rsidR="009D552F" w:rsidRPr="009C3204">
        <w:rPr>
          <w:rFonts w:ascii="Cambria" w:hAnsi="Cambria"/>
          <w:sz w:val="24"/>
          <w:szCs w:val="24"/>
        </w:rPr>
        <w:t xml:space="preserve">to all those exposed to risk, </w:t>
      </w:r>
      <w:r w:rsidR="006F2C3B" w:rsidRPr="009C3204">
        <w:rPr>
          <w:rFonts w:ascii="Cambria" w:hAnsi="Cambria"/>
          <w:sz w:val="24"/>
          <w:szCs w:val="24"/>
        </w:rPr>
        <w:t xml:space="preserve">while protecting </w:t>
      </w:r>
      <w:r w:rsidR="009D552F" w:rsidRPr="009C3204">
        <w:rPr>
          <w:rFonts w:ascii="Cambria" w:hAnsi="Cambria"/>
          <w:sz w:val="24"/>
          <w:szCs w:val="24"/>
        </w:rPr>
        <w:t>those who may be liable</w:t>
      </w:r>
      <w:r w:rsidR="00FA37D7" w:rsidRPr="009C3204">
        <w:rPr>
          <w:rFonts w:ascii="Cambria" w:hAnsi="Cambria"/>
          <w:sz w:val="24"/>
          <w:szCs w:val="24"/>
        </w:rPr>
        <w:t>, at the ‘tort measure’ (full compensation)</w:t>
      </w:r>
      <w:r w:rsidR="00D233B8" w:rsidRPr="009C3204">
        <w:rPr>
          <w:rFonts w:ascii="Cambria" w:hAnsi="Cambria"/>
          <w:sz w:val="24"/>
          <w:szCs w:val="24"/>
        </w:rPr>
        <w:t>; and it evidently uses techniques associated with risk and insurance to achieve this.</w:t>
      </w:r>
      <w:r w:rsidR="009D552F" w:rsidRPr="009C3204">
        <w:rPr>
          <w:rFonts w:ascii="Cambria" w:hAnsi="Cambria"/>
          <w:sz w:val="24"/>
          <w:szCs w:val="24"/>
        </w:rPr>
        <w:t xml:space="preserve"> </w:t>
      </w:r>
      <w:r w:rsidR="006F2C3B" w:rsidRPr="009C3204">
        <w:rPr>
          <w:rFonts w:ascii="Cambria" w:hAnsi="Cambria"/>
          <w:sz w:val="24"/>
          <w:szCs w:val="24"/>
        </w:rPr>
        <w:t>Behind this is</w:t>
      </w:r>
      <w:r w:rsidR="009D552F" w:rsidRPr="009C3204">
        <w:rPr>
          <w:rFonts w:ascii="Cambria" w:hAnsi="Cambria"/>
          <w:sz w:val="24"/>
          <w:szCs w:val="24"/>
        </w:rPr>
        <w:t xml:space="preserve"> a clear public policy</w:t>
      </w:r>
      <w:r w:rsidR="00D233B8" w:rsidRPr="009C3204">
        <w:rPr>
          <w:rFonts w:ascii="Cambria" w:hAnsi="Cambria"/>
          <w:sz w:val="24"/>
          <w:szCs w:val="24"/>
        </w:rPr>
        <w:t xml:space="preserve"> mandate</w:t>
      </w:r>
      <w:r w:rsidR="009D552F" w:rsidRPr="009C3204">
        <w:rPr>
          <w:rFonts w:ascii="Cambria" w:hAnsi="Cambria"/>
          <w:sz w:val="24"/>
          <w:szCs w:val="24"/>
        </w:rPr>
        <w:t xml:space="preserve">, to the extent that insurers by agreement with government will also cover liabilities of uninsured and untraced drivers. </w:t>
      </w:r>
    </w:p>
    <w:p w14:paraId="155E4A6B" w14:textId="55037972" w:rsidR="00BA3FCE" w:rsidRPr="008D7D23" w:rsidRDefault="005C0BE6" w:rsidP="008D7D23">
      <w:pPr>
        <w:pStyle w:val="ListParagraph"/>
        <w:numPr>
          <w:ilvl w:val="0"/>
          <w:numId w:val="10"/>
        </w:numPr>
        <w:spacing w:line="240" w:lineRule="auto"/>
        <w:jc w:val="both"/>
        <w:rPr>
          <w:rFonts w:ascii="Cambria" w:hAnsi="Cambria"/>
          <w:sz w:val="24"/>
          <w:szCs w:val="24"/>
        </w:rPr>
      </w:pPr>
      <w:r w:rsidRPr="008D7D23">
        <w:rPr>
          <w:rFonts w:ascii="Cambria" w:hAnsi="Cambria"/>
          <w:sz w:val="24"/>
          <w:szCs w:val="24"/>
        </w:rPr>
        <w:t xml:space="preserve">Security </w:t>
      </w:r>
      <w:r w:rsidR="003C4890" w:rsidRPr="008D7D23">
        <w:rPr>
          <w:rFonts w:ascii="Cambria" w:hAnsi="Cambria"/>
          <w:sz w:val="24"/>
          <w:szCs w:val="24"/>
        </w:rPr>
        <w:t>revolution and the context of private law</w:t>
      </w:r>
    </w:p>
    <w:p w14:paraId="17DAA676" w14:textId="7C82B137" w:rsidR="009B1E5C" w:rsidRPr="009C3204" w:rsidRDefault="002D3514" w:rsidP="008E4509">
      <w:pPr>
        <w:spacing w:line="240" w:lineRule="auto"/>
        <w:jc w:val="both"/>
        <w:rPr>
          <w:rFonts w:ascii="Cambria" w:hAnsi="Cambria"/>
          <w:sz w:val="24"/>
          <w:szCs w:val="24"/>
        </w:rPr>
      </w:pPr>
      <w:r w:rsidRPr="009C3204">
        <w:rPr>
          <w:rFonts w:ascii="Cambria" w:hAnsi="Cambria"/>
          <w:sz w:val="24"/>
          <w:szCs w:val="24"/>
        </w:rPr>
        <w:t>We have seen that t</w:t>
      </w:r>
      <w:r w:rsidR="009B1E5C" w:rsidRPr="009C3204">
        <w:rPr>
          <w:rFonts w:ascii="Cambria" w:hAnsi="Cambria"/>
          <w:sz w:val="24"/>
          <w:szCs w:val="24"/>
        </w:rPr>
        <w:t>he security revolution implicate</w:t>
      </w:r>
      <w:r w:rsidR="003C4890" w:rsidRPr="009C3204">
        <w:rPr>
          <w:rFonts w:ascii="Cambria" w:hAnsi="Cambria"/>
          <w:sz w:val="24"/>
          <w:szCs w:val="24"/>
        </w:rPr>
        <w:t>d</w:t>
      </w:r>
      <w:r w:rsidR="009B1E5C" w:rsidRPr="009C3204">
        <w:rPr>
          <w:rFonts w:ascii="Cambria" w:hAnsi="Cambria"/>
          <w:sz w:val="24"/>
          <w:szCs w:val="24"/>
        </w:rPr>
        <w:t xml:space="preserve"> liability to some extent from the start. It led to</w:t>
      </w:r>
      <w:r w:rsidR="003C4890" w:rsidRPr="009C3204">
        <w:rPr>
          <w:rFonts w:ascii="Cambria" w:hAnsi="Cambria"/>
          <w:sz w:val="24"/>
          <w:szCs w:val="24"/>
        </w:rPr>
        <w:t xml:space="preserve"> new liabilities that super</w:t>
      </w:r>
      <w:r w:rsidR="00C610AA" w:rsidRPr="009C3204">
        <w:rPr>
          <w:rFonts w:ascii="Cambria" w:hAnsi="Cambria"/>
          <w:sz w:val="24"/>
          <w:szCs w:val="24"/>
        </w:rPr>
        <w:t>s</w:t>
      </w:r>
      <w:r w:rsidR="003C4890" w:rsidRPr="009C3204">
        <w:rPr>
          <w:rFonts w:ascii="Cambria" w:hAnsi="Cambria"/>
          <w:sz w:val="24"/>
          <w:szCs w:val="24"/>
        </w:rPr>
        <w:t>eded contractual analysis that had barred tort liability; and led to</w:t>
      </w:r>
      <w:r w:rsidR="009B1E5C" w:rsidRPr="009C3204">
        <w:rPr>
          <w:rFonts w:ascii="Cambria" w:hAnsi="Cambria"/>
          <w:sz w:val="24"/>
          <w:szCs w:val="24"/>
        </w:rPr>
        <w:t xml:space="preserve"> creation of rival types of liability</w:t>
      </w:r>
      <w:r w:rsidR="003C4890" w:rsidRPr="009C3204">
        <w:rPr>
          <w:rFonts w:ascii="Cambria" w:hAnsi="Cambria"/>
          <w:sz w:val="24"/>
          <w:szCs w:val="24"/>
        </w:rPr>
        <w:t xml:space="preserve"> in contrast to tort</w:t>
      </w:r>
      <w:r w:rsidR="009B1E5C" w:rsidRPr="009C3204">
        <w:rPr>
          <w:rFonts w:ascii="Cambria" w:hAnsi="Cambria"/>
          <w:sz w:val="24"/>
          <w:szCs w:val="24"/>
        </w:rPr>
        <w:t>; it also led to insurance of liabilities</w:t>
      </w:r>
      <w:r w:rsidR="003C4890" w:rsidRPr="009C3204">
        <w:rPr>
          <w:rFonts w:ascii="Cambria" w:hAnsi="Cambria"/>
          <w:sz w:val="24"/>
          <w:szCs w:val="24"/>
        </w:rPr>
        <w:t xml:space="preserve"> either in practice, or through legislative mandate</w:t>
      </w:r>
      <w:r w:rsidR="009B1E5C" w:rsidRPr="009C3204">
        <w:rPr>
          <w:rFonts w:ascii="Cambria" w:hAnsi="Cambria"/>
          <w:sz w:val="24"/>
          <w:szCs w:val="24"/>
        </w:rPr>
        <w:t>.</w:t>
      </w:r>
      <w:r w:rsidR="00192162" w:rsidRPr="009C3204">
        <w:rPr>
          <w:rFonts w:ascii="Cambria" w:hAnsi="Cambria"/>
          <w:sz w:val="24"/>
          <w:szCs w:val="24"/>
        </w:rPr>
        <w:t xml:space="preserve"> At the same time</w:t>
      </w:r>
      <w:r w:rsidR="00055EC1" w:rsidRPr="009C3204">
        <w:rPr>
          <w:rFonts w:ascii="Cambria" w:hAnsi="Cambria"/>
          <w:sz w:val="24"/>
          <w:szCs w:val="24"/>
        </w:rPr>
        <w:t>, tort did not shrink, but grew</w:t>
      </w:r>
      <w:r w:rsidR="003C4890" w:rsidRPr="009C3204">
        <w:rPr>
          <w:rFonts w:ascii="Cambria" w:hAnsi="Cambria"/>
          <w:sz w:val="24"/>
          <w:szCs w:val="24"/>
        </w:rPr>
        <w:t>; over a few decades, as it grew, it seems to have acquired a reputation for being</w:t>
      </w:r>
      <w:r w:rsidR="00192162" w:rsidRPr="009C3204">
        <w:rPr>
          <w:rFonts w:ascii="Cambria" w:hAnsi="Cambria"/>
          <w:sz w:val="24"/>
          <w:szCs w:val="24"/>
        </w:rPr>
        <w:t xml:space="preserve"> the</w:t>
      </w:r>
      <w:r w:rsidR="003C4890" w:rsidRPr="009C3204">
        <w:rPr>
          <w:rFonts w:ascii="Cambria" w:hAnsi="Cambria"/>
          <w:sz w:val="24"/>
          <w:szCs w:val="24"/>
        </w:rPr>
        <w:t xml:space="preserve"> </w:t>
      </w:r>
      <w:r w:rsidR="00192162" w:rsidRPr="009C3204">
        <w:rPr>
          <w:rFonts w:ascii="Cambria" w:hAnsi="Cambria"/>
          <w:sz w:val="24"/>
          <w:szCs w:val="24"/>
        </w:rPr>
        <w:t>‘</w:t>
      </w:r>
      <w:r w:rsidR="003C4890" w:rsidRPr="009C3204">
        <w:rPr>
          <w:rFonts w:ascii="Cambria" w:hAnsi="Cambria"/>
          <w:sz w:val="24"/>
          <w:szCs w:val="24"/>
        </w:rPr>
        <w:t>collectivist</w:t>
      </w:r>
      <w:r w:rsidR="00192162" w:rsidRPr="009C3204">
        <w:rPr>
          <w:rFonts w:ascii="Cambria" w:hAnsi="Cambria"/>
          <w:sz w:val="24"/>
          <w:szCs w:val="24"/>
        </w:rPr>
        <w:t>’ branch of private law</w:t>
      </w:r>
      <w:r w:rsidR="00FE55EC" w:rsidRPr="009C3204">
        <w:rPr>
          <w:rFonts w:ascii="Cambria" w:hAnsi="Cambria"/>
          <w:sz w:val="24"/>
          <w:szCs w:val="24"/>
        </w:rPr>
        <w:t xml:space="preserve">. Its </w:t>
      </w:r>
      <w:r w:rsidR="003C4890" w:rsidRPr="009C3204">
        <w:rPr>
          <w:rFonts w:ascii="Cambria" w:hAnsi="Cambria"/>
          <w:sz w:val="24"/>
          <w:szCs w:val="24"/>
        </w:rPr>
        <w:t>norms were essentially social norms</w:t>
      </w:r>
      <w:r w:rsidR="00FE55EC" w:rsidRPr="009C3204">
        <w:rPr>
          <w:rFonts w:ascii="Cambria" w:hAnsi="Cambria"/>
          <w:sz w:val="24"/>
          <w:szCs w:val="24"/>
        </w:rPr>
        <w:t>; and its effect, too, was increasingly distributive</w:t>
      </w:r>
      <w:r w:rsidR="00055EC1" w:rsidRPr="009C3204">
        <w:rPr>
          <w:rFonts w:ascii="Cambria" w:hAnsi="Cambria"/>
          <w:sz w:val="24"/>
          <w:szCs w:val="24"/>
        </w:rPr>
        <w:t>.</w:t>
      </w:r>
      <w:r w:rsidR="003C4890" w:rsidRPr="009C3204">
        <w:rPr>
          <w:rFonts w:ascii="Cambria" w:hAnsi="Cambria"/>
          <w:sz w:val="24"/>
          <w:szCs w:val="24"/>
        </w:rPr>
        <w:t xml:space="preserve"> </w:t>
      </w:r>
      <w:r w:rsidR="00055EC1" w:rsidRPr="009C3204">
        <w:rPr>
          <w:rFonts w:ascii="Cambria" w:hAnsi="Cambria"/>
          <w:sz w:val="24"/>
          <w:szCs w:val="24"/>
        </w:rPr>
        <w:t>I</w:t>
      </w:r>
      <w:r w:rsidR="00BA3FCE" w:rsidRPr="009C3204">
        <w:rPr>
          <w:rFonts w:ascii="Cambria" w:hAnsi="Cambria"/>
          <w:sz w:val="24"/>
          <w:szCs w:val="24"/>
        </w:rPr>
        <w:t xml:space="preserve">n growing, its </w:t>
      </w:r>
      <w:r w:rsidR="008F1693" w:rsidRPr="009C3204">
        <w:rPr>
          <w:rFonts w:ascii="Cambria" w:hAnsi="Cambria"/>
          <w:i/>
          <w:sz w:val="24"/>
          <w:szCs w:val="24"/>
        </w:rPr>
        <w:t xml:space="preserve">immediate </w:t>
      </w:r>
      <w:r w:rsidR="008F1693" w:rsidRPr="009C3204">
        <w:rPr>
          <w:rFonts w:ascii="Cambria" w:hAnsi="Cambria"/>
          <w:sz w:val="24"/>
          <w:szCs w:val="24"/>
        </w:rPr>
        <w:t>context</w:t>
      </w:r>
      <w:r w:rsidR="00D233B8" w:rsidRPr="009C3204">
        <w:rPr>
          <w:rFonts w:ascii="Cambria" w:hAnsi="Cambria"/>
          <w:sz w:val="24"/>
          <w:szCs w:val="24"/>
        </w:rPr>
        <w:t>, through social security provision</w:t>
      </w:r>
      <w:r w:rsidR="00192162" w:rsidRPr="009C3204">
        <w:rPr>
          <w:rFonts w:ascii="Cambria" w:hAnsi="Cambria"/>
          <w:sz w:val="24"/>
          <w:szCs w:val="24"/>
        </w:rPr>
        <w:t>,</w:t>
      </w:r>
      <w:r w:rsidR="00D233B8" w:rsidRPr="009C3204">
        <w:rPr>
          <w:rFonts w:ascii="Cambria" w:hAnsi="Cambria"/>
          <w:sz w:val="24"/>
          <w:szCs w:val="24"/>
        </w:rPr>
        <w:t xml:space="preserve"> work</w:t>
      </w:r>
      <w:r w:rsidR="006A09DF">
        <w:rPr>
          <w:rFonts w:ascii="Cambria" w:hAnsi="Cambria"/>
          <w:sz w:val="24"/>
          <w:szCs w:val="24"/>
        </w:rPr>
        <w:t>men’</w:t>
      </w:r>
      <w:r w:rsidR="00D233B8" w:rsidRPr="009C3204">
        <w:rPr>
          <w:rFonts w:ascii="Cambria" w:hAnsi="Cambria"/>
          <w:sz w:val="24"/>
          <w:szCs w:val="24"/>
        </w:rPr>
        <w:t>s compensation,</w:t>
      </w:r>
      <w:r w:rsidR="008F1693" w:rsidRPr="009C3204">
        <w:rPr>
          <w:rFonts w:ascii="Cambria" w:hAnsi="Cambria"/>
          <w:sz w:val="24"/>
          <w:szCs w:val="24"/>
        </w:rPr>
        <w:t xml:space="preserve"> </w:t>
      </w:r>
      <w:r w:rsidR="00192162" w:rsidRPr="009C3204">
        <w:rPr>
          <w:rFonts w:ascii="Cambria" w:hAnsi="Cambria"/>
          <w:sz w:val="24"/>
          <w:szCs w:val="24"/>
        </w:rPr>
        <w:t xml:space="preserve">and insurance, </w:t>
      </w:r>
      <w:r w:rsidR="008F1693" w:rsidRPr="009C3204">
        <w:rPr>
          <w:rFonts w:ascii="Cambria" w:hAnsi="Cambria"/>
          <w:sz w:val="24"/>
          <w:szCs w:val="24"/>
        </w:rPr>
        <w:t>was now one of distribution and of approaches which were in some sense collective, recognising common risks and broadly insurance-like solutions.</w:t>
      </w:r>
      <w:r w:rsidR="00110116" w:rsidRPr="009C3204">
        <w:rPr>
          <w:rFonts w:ascii="Cambria" w:hAnsi="Cambria"/>
          <w:sz w:val="24"/>
          <w:szCs w:val="24"/>
        </w:rPr>
        <w:t xml:space="preserve"> Only in a </w:t>
      </w:r>
      <w:r w:rsidR="003C544E" w:rsidRPr="009C3204">
        <w:rPr>
          <w:rFonts w:ascii="Cambria" w:hAnsi="Cambria"/>
          <w:sz w:val="24"/>
          <w:szCs w:val="24"/>
        </w:rPr>
        <w:t xml:space="preserve">very </w:t>
      </w:r>
      <w:r w:rsidR="00110116" w:rsidRPr="009C3204">
        <w:rPr>
          <w:rFonts w:ascii="Cambria" w:hAnsi="Cambria"/>
          <w:sz w:val="24"/>
          <w:szCs w:val="24"/>
        </w:rPr>
        <w:t xml:space="preserve">limited sense </w:t>
      </w:r>
      <w:r w:rsidR="003C544E" w:rsidRPr="009C3204">
        <w:rPr>
          <w:rFonts w:ascii="Cambria" w:hAnsi="Cambria"/>
          <w:sz w:val="24"/>
          <w:szCs w:val="24"/>
        </w:rPr>
        <w:t>can</w:t>
      </w:r>
      <w:r w:rsidR="00110116" w:rsidRPr="009C3204">
        <w:rPr>
          <w:rFonts w:ascii="Cambria" w:hAnsi="Cambria"/>
          <w:sz w:val="24"/>
          <w:szCs w:val="24"/>
        </w:rPr>
        <w:t xml:space="preserve"> this</w:t>
      </w:r>
      <w:r w:rsidR="003C544E" w:rsidRPr="009C3204">
        <w:rPr>
          <w:rFonts w:ascii="Cambria" w:hAnsi="Cambria"/>
          <w:sz w:val="24"/>
          <w:szCs w:val="24"/>
        </w:rPr>
        <w:t xml:space="preserve"> be described as</w:t>
      </w:r>
      <w:r w:rsidR="00110116" w:rsidRPr="009C3204">
        <w:rPr>
          <w:rFonts w:ascii="Cambria" w:hAnsi="Cambria"/>
          <w:sz w:val="24"/>
          <w:szCs w:val="24"/>
        </w:rPr>
        <w:t xml:space="preserve"> an ‘external’ revolution. Certainly it is much broader than private law; but it operates in the </w:t>
      </w:r>
      <w:r w:rsidR="00110116" w:rsidRPr="009C3204">
        <w:rPr>
          <w:rFonts w:ascii="Cambria" w:hAnsi="Cambria"/>
          <w:i/>
          <w:sz w:val="24"/>
          <w:szCs w:val="24"/>
        </w:rPr>
        <w:t>immediate</w:t>
      </w:r>
      <w:r w:rsidR="00110116" w:rsidRPr="009C3204">
        <w:rPr>
          <w:rFonts w:ascii="Cambria" w:hAnsi="Cambria"/>
          <w:sz w:val="24"/>
          <w:szCs w:val="24"/>
        </w:rPr>
        <w:t xml:space="preserve"> context of private law</w:t>
      </w:r>
      <w:r w:rsidR="00FE55EC" w:rsidRPr="009C3204">
        <w:rPr>
          <w:rFonts w:ascii="Cambria" w:hAnsi="Cambria"/>
          <w:sz w:val="24"/>
          <w:szCs w:val="24"/>
        </w:rPr>
        <w:t>; and affected the social role of private law directly</w:t>
      </w:r>
      <w:r w:rsidR="00110116" w:rsidRPr="009C3204">
        <w:rPr>
          <w:rFonts w:ascii="Cambria" w:hAnsi="Cambria"/>
          <w:sz w:val="24"/>
          <w:szCs w:val="24"/>
        </w:rPr>
        <w:t>.</w:t>
      </w:r>
      <w:r w:rsidR="007B6D69" w:rsidRPr="009C3204">
        <w:rPr>
          <w:rFonts w:ascii="Cambria" w:hAnsi="Cambria"/>
          <w:sz w:val="24"/>
          <w:szCs w:val="24"/>
        </w:rPr>
        <w:t xml:space="preserve"> </w:t>
      </w:r>
    </w:p>
    <w:p w14:paraId="274016A6" w14:textId="60B1A57C" w:rsidR="005C0BE6" w:rsidRPr="008D7D23" w:rsidRDefault="005C0BE6" w:rsidP="008D7D23">
      <w:pPr>
        <w:pStyle w:val="ListParagraph"/>
        <w:numPr>
          <w:ilvl w:val="0"/>
          <w:numId w:val="10"/>
        </w:numPr>
        <w:spacing w:line="240" w:lineRule="auto"/>
        <w:jc w:val="both"/>
        <w:rPr>
          <w:rFonts w:ascii="Cambria" w:hAnsi="Cambria"/>
          <w:sz w:val="24"/>
          <w:szCs w:val="24"/>
        </w:rPr>
      </w:pPr>
      <w:r w:rsidRPr="008D7D23">
        <w:rPr>
          <w:rFonts w:ascii="Cambria" w:hAnsi="Cambria"/>
          <w:sz w:val="24"/>
          <w:szCs w:val="24"/>
        </w:rPr>
        <w:lastRenderedPageBreak/>
        <w:t>After-effects</w:t>
      </w:r>
    </w:p>
    <w:p w14:paraId="240B1CFE" w14:textId="5570046F" w:rsidR="00CA07A9" w:rsidRPr="009C3204" w:rsidRDefault="007B6D69" w:rsidP="008E4509">
      <w:pPr>
        <w:spacing w:line="240" w:lineRule="auto"/>
        <w:jc w:val="both"/>
        <w:rPr>
          <w:rFonts w:ascii="Cambria" w:hAnsi="Cambria"/>
          <w:sz w:val="24"/>
          <w:szCs w:val="24"/>
        </w:rPr>
      </w:pPr>
      <w:r w:rsidRPr="009C3204">
        <w:rPr>
          <w:rFonts w:ascii="Cambria" w:hAnsi="Cambria"/>
          <w:sz w:val="24"/>
          <w:szCs w:val="24"/>
        </w:rPr>
        <w:t>How broad was the security revolution in private law; and how long did it</w:t>
      </w:r>
      <w:r w:rsidR="00192162" w:rsidRPr="009C3204">
        <w:rPr>
          <w:rFonts w:ascii="Cambria" w:hAnsi="Cambria"/>
          <w:sz w:val="24"/>
          <w:szCs w:val="24"/>
        </w:rPr>
        <w:t>s effects</w:t>
      </w:r>
      <w:r w:rsidRPr="009C3204">
        <w:rPr>
          <w:rFonts w:ascii="Cambria" w:hAnsi="Cambria"/>
          <w:sz w:val="24"/>
          <w:szCs w:val="24"/>
        </w:rPr>
        <w:t xml:space="preserve"> last? </w:t>
      </w:r>
      <w:r w:rsidR="00FE55EC" w:rsidRPr="009C3204">
        <w:rPr>
          <w:rFonts w:ascii="Cambria" w:hAnsi="Cambria"/>
          <w:sz w:val="24"/>
          <w:szCs w:val="24"/>
        </w:rPr>
        <w:t>It was as</w:t>
      </w:r>
      <w:r w:rsidR="00192162" w:rsidRPr="009C3204">
        <w:rPr>
          <w:rFonts w:ascii="Cambria" w:hAnsi="Cambria"/>
          <w:sz w:val="24"/>
          <w:szCs w:val="24"/>
        </w:rPr>
        <w:t xml:space="preserve"> late as t</w:t>
      </w:r>
      <w:r w:rsidR="008C756B" w:rsidRPr="009C3204">
        <w:rPr>
          <w:rFonts w:ascii="Cambria" w:hAnsi="Cambria"/>
          <w:sz w:val="24"/>
          <w:szCs w:val="24"/>
        </w:rPr>
        <w:t xml:space="preserve">he 1970s (the period where the security revolution was about to be </w:t>
      </w:r>
      <w:r w:rsidR="00192162" w:rsidRPr="009C3204">
        <w:rPr>
          <w:rFonts w:ascii="Cambria" w:hAnsi="Cambria"/>
          <w:sz w:val="24"/>
          <w:szCs w:val="24"/>
        </w:rPr>
        <w:t xml:space="preserve">clearly </w:t>
      </w:r>
      <w:r w:rsidR="00D32F8A" w:rsidRPr="009C3204">
        <w:rPr>
          <w:rFonts w:ascii="Cambria" w:hAnsi="Cambria"/>
          <w:sz w:val="24"/>
          <w:szCs w:val="24"/>
        </w:rPr>
        <w:t>superseded</w:t>
      </w:r>
      <w:r w:rsidR="008C756B" w:rsidRPr="009C3204">
        <w:rPr>
          <w:rFonts w:ascii="Cambria" w:hAnsi="Cambria"/>
          <w:sz w:val="24"/>
          <w:szCs w:val="24"/>
        </w:rPr>
        <w:t>),</w:t>
      </w:r>
      <w:r w:rsidR="00FE55EC" w:rsidRPr="009C3204">
        <w:rPr>
          <w:rFonts w:ascii="Cambria" w:hAnsi="Cambria"/>
          <w:sz w:val="24"/>
          <w:szCs w:val="24"/>
        </w:rPr>
        <w:t xml:space="preserve"> that</w:t>
      </w:r>
      <w:r w:rsidR="008C756B" w:rsidRPr="009C3204">
        <w:rPr>
          <w:rFonts w:ascii="Cambria" w:hAnsi="Cambria"/>
          <w:sz w:val="24"/>
          <w:szCs w:val="24"/>
        </w:rPr>
        <w:t xml:space="preserve"> it </w:t>
      </w:r>
      <w:r w:rsidR="00FE55EC" w:rsidRPr="009C3204">
        <w:rPr>
          <w:rFonts w:ascii="Cambria" w:hAnsi="Cambria"/>
          <w:sz w:val="24"/>
          <w:szCs w:val="24"/>
        </w:rPr>
        <w:t xml:space="preserve">most clearly </w:t>
      </w:r>
      <w:r w:rsidR="008C756B" w:rsidRPr="009C3204">
        <w:rPr>
          <w:rFonts w:ascii="Cambria" w:hAnsi="Cambria"/>
          <w:sz w:val="24"/>
          <w:szCs w:val="24"/>
        </w:rPr>
        <w:t>started to be suggested that private law was increasingly purposive, collectivised and protective, and that tort would or perhaps had begun to swallow contract.</w:t>
      </w:r>
      <w:r w:rsidR="002D3514" w:rsidRPr="009C3204">
        <w:rPr>
          <w:rStyle w:val="FootnoteReference"/>
          <w:rFonts w:ascii="Cambria" w:hAnsi="Cambria"/>
          <w:sz w:val="24"/>
          <w:szCs w:val="24"/>
        </w:rPr>
        <w:footnoteReference w:id="52"/>
      </w:r>
      <w:r w:rsidR="008C756B" w:rsidRPr="009C3204">
        <w:rPr>
          <w:rFonts w:ascii="Cambria" w:hAnsi="Cambria"/>
          <w:sz w:val="24"/>
          <w:szCs w:val="24"/>
        </w:rPr>
        <w:t xml:space="preserve"> </w:t>
      </w:r>
      <w:r w:rsidR="00055EC1" w:rsidRPr="009C3204">
        <w:rPr>
          <w:rFonts w:ascii="Cambria" w:hAnsi="Cambria"/>
          <w:sz w:val="24"/>
          <w:szCs w:val="24"/>
        </w:rPr>
        <w:t xml:space="preserve">Could it </w:t>
      </w:r>
      <w:r w:rsidR="007F3C1C" w:rsidRPr="009C3204">
        <w:rPr>
          <w:rFonts w:ascii="Cambria" w:hAnsi="Cambria"/>
          <w:sz w:val="24"/>
          <w:szCs w:val="24"/>
        </w:rPr>
        <w:t xml:space="preserve">be argued that </w:t>
      </w:r>
      <w:r w:rsidR="00B22A47" w:rsidRPr="009C3204">
        <w:rPr>
          <w:rFonts w:ascii="Cambria" w:hAnsi="Cambria"/>
          <w:sz w:val="24"/>
          <w:szCs w:val="24"/>
        </w:rPr>
        <w:t xml:space="preserve">it was still </w:t>
      </w:r>
      <w:r w:rsidR="007F3C1C" w:rsidRPr="009C3204">
        <w:rPr>
          <w:rFonts w:ascii="Cambria" w:hAnsi="Cambria"/>
          <w:sz w:val="24"/>
          <w:szCs w:val="24"/>
        </w:rPr>
        <w:t xml:space="preserve">the security revolution </w:t>
      </w:r>
      <w:r w:rsidR="00B22A47" w:rsidRPr="009C3204">
        <w:rPr>
          <w:rFonts w:ascii="Cambria" w:hAnsi="Cambria"/>
          <w:sz w:val="24"/>
          <w:szCs w:val="24"/>
        </w:rPr>
        <w:t xml:space="preserve">which </w:t>
      </w:r>
      <w:r w:rsidR="007F3C1C" w:rsidRPr="009C3204">
        <w:rPr>
          <w:rFonts w:ascii="Cambria" w:hAnsi="Cambria"/>
          <w:sz w:val="24"/>
          <w:szCs w:val="24"/>
        </w:rPr>
        <w:t xml:space="preserve">continued to </w:t>
      </w:r>
      <w:r w:rsidR="007F3C1C" w:rsidRPr="009C3204">
        <w:rPr>
          <w:rFonts w:ascii="Cambria" w:hAnsi="Cambria"/>
          <w:i/>
          <w:sz w:val="24"/>
          <w:szCs w:val="24"/>
        </w:rPr>
        <w:t>inspire</w:t>
      </w:r>
      <w:r w:rsidR="007F3C1C" w:rsidRPr="009C3204">
        <w:rPr>
          <w:rFonts w:ascii="Cambria" w:hAnsi="Cambria"/>
          <w:sz w:val="24"/>
          <w:szCs w:val="24"/>
        </w:rPr>
        <w:t xml:space="preserve"> expansion in tort liability, and perhaps the growth </w:t>
      </w:r>
      <w:r w:rsidR="00192162" w:rsidRPr="009C3204">
        <w:rPr>
          <w:rFonts w:ascii="Cambria" w:hAnsi="Cambria"/>
          <w:sz w:val="24"/>
          <w:szCs w:val="24"/>
        </w:rPr>
        <w:t xml:space="preserve">in status </w:t>
      </w:r>
      <w:r w:rsidR="007F3C1C" w:rsidRPr="009C3204">
        <w:rPr>
          <w:rFonts w:ascii="Cambria" w:hAnsi="Cambria"/>
          <w:sz w:val="24"/>
          <w:szCs w:val="24"/>
        </w:rPr>
        <w:t>of tort</w:t>
      </w:r>
      <w:r w:rsidR="008C756B" w:rsidRPr="009C3204">
        <w:rPr>
          <w:rFonts w:ascii="Cambria" w:hAnsi="Cambria"/>
          <w:sz w:val="24"/>
          <w:szCs w:val="24"/>
        </w:rPr>
        <w:t xml:space="preserve"> </w:t>
      </w:r>
      <w:r w:rsidR="007F3C1C" w:rsidRPr="009C3204">
        <w:rPr>
          <w:rFonts w:ascii="Cambria" w:hAnsi="Cambria"/>
          <w:sz w:val="24"/>
          <w:szCs w:val="24"/>
        </w:rPr>
        <w:t>at the expense of contract for several decades?</w:t>
      </w:r>
      <w:r w:rsidR="00F54019" w:rsidRPr="009C3204">
        <w:rPr>
          <w:rFonts w:ascii="Cambria" w:hAnsi="Cambria"/>
          <w:sz w:val="24"/>
          <w:szCs w:val="24"/>
        </w:rPr>
        <w:t xml:space="preserve"> </w:t>
      </w:r>
      <w:r w:rsidR="00192162" w:rsidRPr="009C3204">
        <w:rPr>
          <w:rFonts w:ascii="Cambria" w:hAnsi="Cambria"/>
          <w:sz w:val="24"/>
          <w:szCs w:val="24"/>
        </w:rPr>
        <w:t>Some have argued</w:t>
      </w:r>
      <w:r w:rsidR="00E47216" w:rsidRPr="009C3204">
        <w:rPr>
          <w:rFonts w:ascii="Cambria" w:hAnsi="Cambria"/>
          <w:sz w:val="24"/>
          <w:szCs w:val="24"/>
        </w:rPr>
        <w:t>, in effect, that it was</w:t>
      </w:r>
      <w:r w:rsidR="00192162" w:rsidRPr="009C3204">
        <w:rPr>
          <w:rFonts w:ascii="Cambria" w:hAnsi="Cambria"/>
          <w:sz w:val="24"/>
          <w:szCs w:val="24"/>
        </w:rPr>
        <w:t xml:space="preserve">. </w:t>
      </w:r>
      <w:r w:rsidR="0065270F" w:rsidRPr="009C3204">
        <w:rPr>
          <w:rFonts w:ascii="Cambria" w:hAnsi="Cambria"/>
          <w:sz w:val="24"/>
          <w:szCs w:val="24"/>
        </w:rPr>
        <w:t xml:space="preserve">In </w:t>
      </w:r>
      <w:r w:rsidR="0065270F" w:rsidRPr="009C3204">
        <w:rPr>
          <w:rFonts w:ascii="Cambria" w:hAnsi="Cambria"/>
          <w:i/>
          <w:sz w:val="24"/>
          <w:szCs w:val="24"/>
        </w:rPr>
        <w:t>Total Justice</w:t>
      </w:r>
      <w:r w:rsidR="0065270F" w:rsidRPr="009C3204">
        <w:rPr>
          <w:rFonts w:ascii="Cambria" w:hAnsi="Cambria"/>
          <w:sz w:val="24"/>
          <w:szCs w:val="24"/>
        </w:rPr>
        <w:t>,</w:t>
      </w:r>
      <w:bookmarkStart w:id="14" w:name="_Ref471149354"/>
      <w:r w:rsidR="0065270F" w:rsidRPr="009C3204">
        <w:rPr>
          <w:rStyle w:val="FootnoteReference"/>
          <w:rFonts w:ascii="Cambria" w:hAnsi="Cambria"/>
          <w:sz w:val="24"/>
          <w:szCs w:val="24"/>
        </w:rPr>
        <w:footnoteReference w:id="53"/>
      </w:r>
      <w:bookmarkEnd w:id="14"/>
      <w:r w:rsidR="0065270F" w:rsidRPr="009C3204">
        <w:rPr>
          <w:rFonts w:ascii="Cambria" w:hAnsi="Cambria"/>
          <w:sz w:val="24"/>
          <w:szCs w:val="24"/>
        </w:rPr>
        <w:t xml:space="preserve"> Lawrence </w:t>
      </w:r>
      <w:r w:rsidR="001819C9" w:rsidRPr="009C3204">
        <w:rPr>
          <w:rFonts w:ascii="Cambria" w:hAnsi="Cambria"/>
          <w:sz w:val="24"/>
          <w:szCs w:val="24"/>
        </w:rPr>
        <w:t>Friedman</w:t>
      </w:r>
      <w:r w:rsidR="0065270F" w:rsidRPr="009C3204">
        <w:rPr>
          <w:rFonts w:ascii="Cambria" w:hAnsi="Cambria"/>
          <w:sz w:val="24"/>
          <w:szCs w:val="24"/>
        </w:rPr>
        <w:t xml:space="preserve"> </w:t>
      </w:r>
      <w:r w:rsidR="00B22A47" w:rsidRPr="009C3204">
        <w:rPr>
          <w:rFonts w:ascii="Cambria" w:hAnsi="Cambria"/>
          <w:sz w:val="24"/>
          <w:szCs w:val="24"/>
        </w:rPr>
        <w:t xml:space="preserve">proposed that in the United States, but also in all Western democracies to one degree or another, an ‘expectation of total justice’ had evolved, which was a chip off ‘a larger, more significant block’, namely </w:t>
      </w:r>
      <w:r w:rsidR="00CA07A9" w:rsidRPr="009C3204">
        <w:rPr>
          <w:rFonts w:ascii="Cambria" w:hAnsi="Cambria"/>
          <w:sz w:val="24"/>
          <w:szCs w:val="24"/>
        </w:rPr>
        <w:t>the welfare state itself.</w:t>
      </w:r>
      <w:bookmarkStart w:id="15" w:name="_Ref480742064"/>
      <w:r w:rsidR="00A12DC8" w:rsidRPr="009C3204">
        <w:rPr>
          <w:rStyle w:val="FootnoteReference"/>
          <w:rFonts w:ascii="Cambria" w:hAnsi="Cambria"/>
          <w:sz w:val="24"/>
          <w:szCs w:val="24"/>
        </w:rPr>
        <w:footnoteReference w:id="54"/>
      </w:r>
      <w:bookmarkEnd w:id="15"/>
      <w:r w:rsidR="00CA07A9" w:rsidRPr="009C3204">
        <w:rPr>
          <w:rFonts w:ascii="Cambria" w:hAnsi="Cambria"/>
          <w:sz w:val="24"/>
          <w:szCs w:val="24"/>
        </w:rPr>
        <w:t xml:space="preserve"> </w:t>
      </w:r>
      <w:proofErr w:type="gramStart"/>
      <w:r w:rsidR="00CA07A9" w:rsidRPr="009C3204">
        <w:rPr>
          <w:rFonts w:ascii="Cambria" w:hAnsi="Cambria"/>
          <w:sz w:val="24"/>
          <w:szCs w:val="24"/>
        </w:rPr>
        <w:t xml:space="preserve">In this process, developments </w:t>
      </w:r>
      <w:r w:rsidR="00E47216" w:rsidRPr="009C3204">
        <w:rPr>
          <w:rFonts w:ascii="Cambria" w:hAnsi="Cambria"/>
          <w:sz w:val="24"/>
          <w:szCs w:val="24"/>
        </w:rPr>
        <w:t xml:space="preserve">that are </w:t>
      </w:r>
      <w:r w:rsidR="00CA07A9" w:rsidRPr="009C3204">
        <w:rPr>
          <w:rFonts w:ascii="Cambria" w:hAnsi="Cambria"/>
          <w:sz w:val="24"/>
          <w:szCs w:val="24"/>
        </w:rPr>
        <w:t>public or private</w:t>
      </w:r>
      <w:r w:rsidR="00E47216" w:rsidRPr="009C3204">
        <w:rPr>
          <w:rFonts w:ascii="Cambria" w:hAnsi="Cambria"/>
          <w:sz w:val="24"/>
          <w:szCs w:val="24"/>
        </w:rPr>
        <w:t xml:space="preserve"> still</w:t>
      </w:r>
      <w:r w:rsidR="00CA07A9" w:rsidRPr="009C3204">
        <w:rPr>
          <w:rFonts w:ascii="Cambria" w:hAnsi="Cambria"/>
          <w:sz w:val="24"/>
          <w:szCs w:val="24"/>
        </w:rPr>
        <w:t xml:space="preserve"> point </w:t>
      </w:r>
      <w:r w:rsidR="001819C9" w:rsidRPr="009C3204">
        <w:rPr>
          <w:rFonts w:ascii="Cambria" w:hAnsi="Cambria"/>
          <w:sz w:val="24"/>
          <w:szCs w:val="24"/>
        </w:rPr>
        <w:t>in the same direction.</w:t>
      </w:r>
      <w:proofErr w:type="gramEnd"/>
      <w:r w:rsidR="001819C9" w:rsidRPr="009C3204">
        <w:rPr>
          <w:rFonts w:ascii="Cambria" w:hAnsi="Cambria"/>
          <w:sz w:val="24"/>
          <w:szCs w:val="24"/>
        </w:rPr>
        <w:t xml:space="preserve"> Friedman</w:t>
      </w:r>
      <w:r w:rsidR="00CA07A9" w:rsidRPr="009C3204">
        <w:rPr>
          <w:rFonts w:ascii="Cambria" w:hAnsi="Cambria"/>
          <w:sz w:val="24"/>
          <w:szCs w:val="24"/>
        </w:rPr>
        <w:t xml:space="preserve">’s proposal was that the reduction of uncertainty and </w:t>
      </w:r>
      <w:r w:rsidR="00B913FC" w:rsidRPr="009C3204">
        <w:rPr>
          <w:rFonts w:ascii="Cambria" w:hAnsi="Cambria"/>
          <w:sz w:val="24"/>
          <w:szCs w:val="24"/>
        </w:rPr>
        <w:t xml:space="preserve">the </w:t>
      </w:r>
      <w:r w:rsidR="00CA07A9" w:rsidRPr="009C3204">
        <w:rPr>
          <w:rFonts w:ascii="Cambria" w:hAnsi="Cambria"/>
          <w:sz w:val="24"/>
          <w:szCs w:val="24"/>
        </w:rPr>
        <w:t xml:space="preserve">increase in security in some fields leads more or less inexorably to demand for the same sort of development in other fields. This proposes that the expansion of security through not only public, but also private law is led both by </w:t>
      </w:r>
      <w:proofErr w:type="gramStart"/>
      <w:r w:rsidR="00CA07A9" w:rsidRPr="009C3204">
        <w:rPr>
          <w:rFonts w:ascii="Cambria" w:hAnsi="Cambria"/>
          <w:sz w:val="24"/>
          <w:szCs w:val="24"/>
        </w:rPr>
        <w:t>demand,</w:t>
      </w:r>
      <w:proofErr w:type="gramEnd"/>
      <w:r w:rsidR="00CA07A9" w:rsidRPr="009C3204">
        <w:rPr>
          <w:rFonts w:ascii="Cambria" w:hAnsi="Cambria"/>
          <w:sz w:val="24"/>
          <w:szCs w:val="24"/>
        </w:rPr>
        <w:t xml:space="preserve"> and by availability of tech</w:t>
      </w:r>
      <w:r w:rsidR="00CB6B43" w:rsidRPr="009C3204">
        <w:rPr>
          <w:rFonts w:ascii="Cambria" w:hAnsi="Cambria"/>
          <w:sz w:val="24"/>
          <w:szCs w:val="24"/>
        </w:rPr>
        <w:t>niques for reducing insecurity —</w:t>
      </w:r>
      <w:r w:rsidR="00CA07A9" w:rsidRPr="009C3204">
        <w:rPr>
          <w:rFonts w:ascii="Cambria" w:hAnsi="Cambria"/>
          <w:sz w:val="24"/>
          <w:szCs w:val="24"/>
        </w:rPr>
        <w:t xml:space="preserve"> primarily, in the tort field, insurance</w:t>
      </w:r>
      <w:r w:rsidR="00E47216" w:rsidRPr="009C3204">
        <w:rPr>
          <w:rFonts w:ascii="Cambria" w:hAnsi="Cambria"/>
          <w:sz w:val="24"/>
          <w:szCs w:val="24"/>
        </w:rPr>
        <w:t>; but the very notion of duty to av</w:t>
      </w:r>
      <w:r w:rsidR="00B913FC" w:rsidRPr="009C3204">
        <w:rPr>
          <w:rFonts w:ascii="Cambria" w:hAnsi="Cambria"/>
          <w:sz w:val="24"/>
          <w:szCs w:val="24"/>
        </w:rPr>
        <w:t>o</w:t>
      </w:r>
      <w:r w:rsidR="00E47216" w:rsidRPr="009C3204">
        <w:rPr>
          <w:rFonts w:ascii="Cambria" w:hAnsi="Cambria"/>
          <w:sz w:val="24"/>
          <w:szCs w:val="24"/>
        </w:rPr>
        <w:t>id harm should not be discounted</w:t>
      </w:r>
      <w:r w:rsidR="00CA07A9" w:rsidRPr="009C3204">
        <w:rPr>
          <w:rFonts w:ascii="Cambria" w:hAnsi="Cambria"/>
          <w:sz w:val="24"/>
          <w:szCs w:val="24"/>
        </w:rPr>
        <w:t>.</w:t>
      </w:r>
      <w:r w:rsidR="006361C1">
        <w:rPr>
          <w:rFonts w:ascii="Cambria" w:hAnsi="Cambria"/>
          <w:sz w:val="24"/>
          <w:szCs w:val="24"/>
        </w:rPr>
        <w:t xml:space="preserve"> </w:t>
      </w:r>
      <w:r w:rsidR="00CA07A9" w:rsidRPr="009C3204">
        <w:rPr>
          <w:rFonts w:ascii="Cambria" w:hAnsi="Cambria"/>
          <w:sz w:val="24"/>
          <w:szCs w:val="24"/>
        </w:rPr>
        <w:t>Allied with the techniques of uncertainty reduction is, according to Friedman, a growing ‘rights consciousness</w:t>
      </w:r>
      <w:r w:rsidR="00CB7D17" w:rsidRPr="009C3204">
        <w:rPr>
          <w:rFonts w:ascii="Cambria" w:hAnsi="Cambria"/>
          <w:sz w:val="24"/>
          <w:szCs w:val="24"/>
        </w:rPr>
        <w:t xml:space="preserve">’. </w:t>
      </w:r>
      <w:r w:rsidR="003A7ECC" w:rsidRPr="009C3204">
        <w:rPr>
          <w:rFonts w:ascii="Cambria" w:hAnsi="Cambria"/>
          <w:sz w:val="24"/>
          <w:szCs w:val="24"/>
        </w:rPr>
        <w:t>For Friedman, there is no great surprise that private law moves in step with broader developments: a shared consciousness permeates them both, and this is in effect the conscio</w:t>
      </w:r>
      <w:r w:rsidR="00A12DC8" w:rsidRPr="009C3204">
        <w:rPr>
          <w:rFonts w:ascii="Cambria" w:hAnsi="Cambria"/>
          <w:sz w:val="24"/>
          <w:szCs w:val="24"/>
        </w:rPr>
        <w:t>usness of the times, as social expectation will be expressed both by claims, and by the adjudication of those claims.</w:t>
      </w:r>
    </w:p>
    <w:p w14:paraId="3A228F81" w14:textId="215E44C5" w:rsidR="002D3514" w:rsidRPr="009C3204" w:rsidRDefault="002D3514" w:rsidP="008E4509">
      <w:pPr>
        <w:spacing w:line="240" w:lineRule="auto"/>
        <w:jc w:val="both"/>
        <w:rPr>
          <w:rFonts w:ascii="Cambria" w:hAnsi="Cambria"/>
          <w:sz w:val="24"/>
          <w:szCs w:val="24"/>
        </w:rPr>
      </w:pPr>
      <w:r w:rsidRPr="009C3204">
        <w:rPr>
          <w:rFonts w:ascii="Cambria" w:hAnsi="Cambria"/>
          <w:sz w:val="24"/>
          <w:szCs w:val="24"/>
        </w:rPr>
        <w:t>Of course, Friedman</w:t>
      </w:r>
      <w:r w:rsidR="003E01C2" w:rsidRPr="009C3204">
        <w:rPr>
          <w:rFonts w:ascii="Cambria" w:hAnsi="Cambria"/>
          <w:sz w:val="24"/>
          <w:szCs w:val="24"/>
        </w:rPr>
        <w:t>’s analysis</w:t>
      </w:r>
      <w:r w:rsidRPr="009C3204">
        <w:rPr>
          <w:rFonts w:ascii="Cambria" w:hAnsi="Cambria"/>
          <w:sz w:val="24"/>
          <w:szCs w:val="24"/>
        </w:rPr>
        <w:t xml:space="preserve"> may be incorrect, or at least, his claims may be exaggerated. What counts for present purposes </w:t>
      </w:r>
      <w:proofErr w:type="gramStart"/>
      <w:r w:rsidRPr="009C3204">
        <w:rPr>
          <w:rFonts w:ascii="Cambria" w:hAnsi="Cambria"/>
          <w:sz w:val="24"/>
          <w:szCs w:val="24"/>
        </w:rPr>
        <w:t>is</w:t>
      </w:r>
      <w:proofErr w:type="gramEnd"/>
      <w:r w:rsidRPr="009C3204">
        <w:rPr>
          <w:rFonts w:ascii="Cambria" w:hAnsi="Cambria"/>
          <w:sz w:val="24"/>
          <w:szCs w:val="24"/>
        </w:rPr>
        <w:t xml:space="preserve"> the existence of such a perception; and the proposal of a general shared consciousness that includes, but is much wider than, private law. More recent developments might put private law’s approach to risk and uncertainty into a more distinct or specialised realm.</w:t>
      </w:r>
    </w:p>
    <w:p w14:paraId="5A0D2417" w14:textId="1B0C766E" w:rsidR="007F3C1C" w:rsidRPr="009C3204" w:rsidRDefault="003E01C2" w:rsidP="008E4509">
      <w:pPr>
        <w:spacing w:line="240" w:lineRule="auto"/>
        <w:jc w:val="both"/>
        <w:rPr>
          <w:rFonts w:ascii="Cambria" w:hAnsi="Cambria"/>
          <w:sz w:val="24"/>
          <w:szCs w:val="24"/>
        </w:rPr>
      </w:pPr>
      <w:r w:rsidRPr="009C3204">
        <w:rPr>
          <w:rFonts w:ascii="Cambria" w:hAnsi="Cambria"/>
          <w:sz w:val="24"/>
          <w:szCs w:val="24"/>
        </w:rPr>
        <w:t>Friedman’s proposals are consistent with</w:t>
      </w:r>
      <w:r w:rsidR="00192162" w:rsidRPr="009C3204">
        <w:rPr>
          <w:rFonts w:ascii="Cambria" w:hAnsi="Cambria"/>
          <w:sz w:val="24"/>
          <w:szCs w:val="24"/>
        </w:rPr>
        <w:t xml:space="preserve"> </w:t>
      </w:r>
      <w:r w:rsidR="003A7ECC" w:rsidRPr="009C3204">
        <w:rPr>
          <w:rFonts w:ascii="Cambria" w:hAnsi="Cambria"/>
          <w:sz w:val="24"/>
          <w:szCs w:val="24"/>
        </w:rPr>
        <w:t xml:space="preserve">a further significant feature of the law of tort during this period: its attachment to generalisation, </w:t>
      </w:r>
      <w:r w:rsidRPr="009C3204">
        <w:rPr>
          <w:rFonts w:ascii="Cambria" w:hAnsi="Cambria"/>
          <w:sz w:val="24"/>
          <w:szCs w:val="24"/>
        </w:rPr>
        <w:t>not only to broadening liability, but also</w:t>
      </w:r>
      <w:r w:rsidR="003A7ECC" w:rsidRPr="009C3204">
        <w:rPr>
          <w:rFonts w:ascii="Cambria" w:hAnsi="Cambria"/>
          <w:sz w:val="24"/>
          <w:szCs w:val="24"/>
        </w:rPr>
        <w:t xml:space="preserve"> </w:t>
      </w:r>
      <w:r w:rsidR="002D3514" w:rsidRPr="009C3204">
        <w:rPr>
          <w:rFonts w:ascii="Cambria" w:hAnsi="Cambria"/>
          <w:sz w:val="24"/>
          <w:szCs w:val="24"/>
        </w:rPr>
        <w:t xml:space="preserve">to </w:t>
      </w:r>
      <w:r w:rsidR="003A7ECC" w:rsidRPr="009C3204">
        <w:rPr>
          <w:rFonts w:ascii="Cambria" w:hAnsi="Cambria"/>
          <w:sz w:val="24"/>
          <w:szCs w:val="24"/>
        </w:rPr>
        <w:t xml:space="preserve">generalising principles or concepts. </w:t>
      </w:r>
      <w:r w:rsidR="00192162" w:rsidRPr="009C3204">
        <w:rPr>
          <w:rFonts w:ascii="Cambria" w:hAnsi="Cambria"/>
          <w:sz w:val="24"/>
          <w:szCs w:val="24"/>
        </w:rPr>
        <w:t xml:space="preserve">Is this part of the same phenomenon, or not? </w:t>
      </w:r>
      <w:r w:rsidR="00055EC1" w:rsidRPr="009C3204">
        <w:rPr>
          <w:rFonts w:ascii="Cambria" w:hAnsi="Cambria"/>
          <w:sz w:val="24"/>
          <w:szCs w:val="24"/>
        </w:rPr>
        <w:t>T</w:t>
      </w:r>
      <w:r w:rsidR="00D233B8" w:rsidRPr="009C3204">
        <w:rPr>
          <w:rFonts w:ascii="Cambria" w:hAnsi="Cambria"/>
          <w:sz w:val="24"/>
          <w:szCs w:val="24"/>
        </w:rPr>
        <w:t xml:space="preserve">ort duties </w:t>
      </w:r>
      <w:r w:rsidR="00055EC1" w:rsidRPr="009C3204">
        <w:rPr>
          <w:rFonts w:ascii="Cambria" w:hAnsi="Cambria"/>
          <w:sz w:val="24"/>
          <w:szCs w:val="24"/>
        </w:rPr>
        <w:t xml:space="preserve">might </w:t>
      </w:r>
      <w:r w:rsidR="00705780" w:rsidRPr="009C3204">
        <w:rPr>
          <w:rFonts w:ascii="Cambria" w:hAnsi="Cambria"/>
          <w:sz w:val="24"/>
          <w:szCs w:val="24"/>
        </w:rPr>
        <w:t xml:space="preserve">naturally </w:t>
      </w:r>
      <w:r w:rsidR="00055EC1" w:rsidRPr="009C3204">
        <w:rPr>
          <w:rFonts w:ascii="Cambria" w:hAnsi="Cambria"/>
          <w:sz w:val="24"/>
          <w:szCs w:val="24"/>
        </w:rPr>
        <w:t xml:space="preserve">be seen </w:t>
      </w:r>
      <w:r w:rsidR="00D233B8" w:rsidRPr="009C3204">
        <w:rPr>
          <w:rFonts w:ascii="Cambria" w:hAnsi="Cambria"/>
          <w:sz w:val="24"/>
          <w:szCs w:val="24"/>
        </w:rPr>
        <w:t xml:space="preserve">as carving out areas of security. If tort is seen as protective, then the trend to generalise tort duties could be seen as </w:t>
      </w:r>
      <w:r w:rsidR="002D3514" w:rsidRPr="009C3204">
        <w:rPr>
          <w:rFonts w:ascii="Cambria" w:hAnsi="Cambria"/>
          <w:sz w:val="24"/>
          <w:szCs w:val="24"/>
        </w:rPr>
        <w:t xml:space="preserve">part of </w:t>
      </w:r>
      <w:r w:rsidR="00D233B8" w:rsidRPr="009C3204">
        <w:rPr>
          <w:rFonts w:ascii="Cambria" w:hAnsi="Cambria"/>
          <w:sz w:val="24"/>
          <w:szCs w:val="24"/>
        </w:rPr>
        <w:t>a generalisation in protectiveness and security.</w:t>
      </w:r>
      <w:r w:rsidR="00705780" w:rsidRPr="009C3204">
        <w:rPr>
          <w:rFonts w:ascii="Cambria" w:hAnsi="Cambria"/>
          <w:sz w:val="24"/>
          <w:szCs w:val="24"/>
        </w:rPr>
        <w:t xml:space="preserve"> The development of increasingly broad and general tort concepts, like the </w:t>
      </w:r>
      <w:r w:rsidR="00981B3B" w:rsidRPr="009C3204">
        <w:rPr>
          <w:rFonts w:ascii="Cambria" w:hAnsi="Cambria"/>
          <w:sz w:val="24"/>
          <w:szCs w:val="24"/>
        </w:rPr>
        <w:t>‘</w:t>
      </w:r>
      <w:r w:rsidR="00705780" w:rsidRPr="009C3204">
        <w:rPr>
          <w:rFonts w:ascii="Cambria" w:hAnsi="Cambria"/>
          <w:sz w:val="24"/>
          <w:szCs w:val="24"/>
        </w:rPr>
        <w:t>neighbour principle</w:t>
      </w:r>
      <w:r w:rsidR="00981B3B" w:rsidRPr="009C3204">
        <w:rPr>
          <w:rFonts w:ascii="Cambria" w:hAnsi="Cambria"/>
          <w:sz w:val="24"/>
          <w:szCs w:val="24"/>
        </w:rPr>
        <w:t>’ and other uses of ‘reasonable foreseeability’</w:t>
      </w:r>
      <w:r w:rsidR="00705780" w:rsidRPr="009C3204">
        <w:rPr>
          <w:rFonts w:ascii="Cambria" w:hAnsi="Cambria"/>
          <w:sz w:val="24"/>
          <w:szCs w:val="24"/>
        </w:rPr>
        <w:t>,</w:t>
      </w:r>
      <w:r w:rsidR="00981B3B" w:rsidRPr="009C3204">
        <w:rPr>
          <w:rStyle w:val="FootnoteReference"/>
          <w:rFonts w:ascii="Cambria" w:hAnsi="Cambria"/>
          <w:sz w:val="24"/>
          <w:szCs w:val="24"/>
        </w:rPr>
        <w:footnoteReference w:id="55"/>
      </w:r>
      <w:r w:rsidR="00705780" w:rsidRPr="009C3204">
        <w:rPr>
          <w:rFonts w:ascii="Cambria" w:hAnsi="Cambria"/>
          <w:sz w:val="24"/>
          <w:szCs w:val="24"/>
        </w:rPr>
        <w:t xml:space="preserve"> assist with this expansion: the </w:t>
      </w:r>
      <w:r w:rsidR="00981B3B" w:rsidRPr="009C3204">
        <w:rPr>
          <w:rFonts w:ascii="Cambria" w:hAnsi="Cambria"/>
          <w:sz w:val="24"/>
          <w:szCs w:val="24"/>
        </w:rPr>
        <w:t xml:space="preserve">whole (extended) </w:t>
      </w:r>
      <w:r w:rsidR="00705780" w:rsidRPr="009C3204">
        <w:rPr>
          <w:rFonts w:ascii="Cambria" w:hAnsi="Cambria"/>
          <w:sz w:val="24"/>
          <w:szCs w:val="24"/>
        </w:rPr>
        <w:t>era</w:t>
      </w:r>
      <w:r w:rsidR="00981B3B" w:rsidRPr="009C3204">
        <w:rPr>
          <w:rFonts w:ascii="Cambria" w:hAnsi="Cambria"/>
          <w:sz w:val="24"/>
          <w:szCs w:val="24"/>
        </w:rPr>
        <w:t xml:space="preserve"> of security revolution</w:t>
      </w:r>
      <w:r w:rsidR="00705780" w:rsidRPr="009C3204">
        <w:rPr>
          <w:rFonts w:ascii="Cambria" w:hAnsi="Cambria"/>
          <w:sz w:val="24"/>
          <w:szCs w:val="24"/>
        </w:rPr>
        <w:t xml:space="preserve"> </w:t>
      </w:r>
      <w:r w:rsidR="00981B3B" w:rsidRPr="009C3204">
        <w:rPr>
          <w:rFonts w:ascii="Cambria" w:hAnsi="Cambria"/>
          <w:sz w:val="24"/>
          <w:szCs w:val="24"/>
        </w:rPr>
        <w:t>appears</w:t>
      </w:r>
      <w:r w:rsidR="00705780" w:rsidRPr="009C3204">
        <w:rPr>
          <w:rFonts w:ascii="Cambria" w:hAnsi="Cambria"/>
          <w:sz w:val="24"/>
          <w:szCs w:val="24"/>
        </w:rPr>
        <w:t>, overall,</w:t>
      </w:r>
      <w:r w:rsidR="00981B3B" w:rsidRPr="009C3204">
        <w:rPr>
          <w:rFonts w:ascii="Cambria" w:hAnsi="Cambria"/>
          <w:sz w:val="24"/>
          <w:szCs w:val="24"/>
        </w:rPr>
        <w:t xml:space="preserve"> to be</w:t>
      </w:r>
      <w:r w:rsidR="00705780" w:rsidRPr="009C3204">
        <w:rPr>
          <w:rFonts w:ascii="Cambria" w:hAnsi="Cambria"/>
          <w:sz w:val="24"/>
          <w:szCs w:val="24"/>
        </w:rPr>
        <w:t xml:space="preserve"> one of optimism in the capacity of the law and its concepts to provide not only security, but rational development</w:t>
      </w:r>
      <w:r w:rsidR="002F5BF1" w:rsidRPr="009C3204">
        <w:rPr>
          <w:rFonts w:ascii="Cambria" w:hAnsi="Cambria"/>
          <w:sz w:val="24"/>
          <w:szCs w:val="24"/>
        </w:rPr>
        <w:t xml:space="preserve"> through appropriate legal concepts or principles</w:t>
      </w:r>
      <w:r w:rsidR="002D3514" w:rsidRPr="009C3204">
        <w:rPr>
          <w:rFonts w:ascii="Cambria" w:hAnsi="Cambria"/>
          <w:sz w:val="24"/>
          <w:szCs w:val="24"/>
        </w:rPr>
        <w:t>, probably mirroring optimism in the potential for improved security in general</w:t>
      </w:r>
      <w:r w:rsidR="00705780" w:rsidRPr="009C3204">
        <w:rPr>
          <w:rFonts w:ascii="Cambria" w:hAnsi="Cambria"/>
          <w:sz w:val="24"/>
          <w:szCs w:val="24"/>
        </w:rPr>
        <w:t>.</w:t>
      </w:r>
      <w:r w:rsidR="002F5BF1" w:rsidRPr="009C3204">
        <w:rPr>
          <w:rFonts w:ascii="Cambria" w:hAnsi="Cambria"/>
          <w:sz w:val="24"/>
          <w:szCs w:val="24"/>
        </w:rPr>
        <w:t xml:space="preserve"> At the same time, rising tort damages were </w:t>
      </w:r>
      <w:r w:rsidR="00981B3B" w:rsidRPr="009C3204">
        <w:rPr>
          <w:rFonts w:ascii="Cambria" w:hAnsi="Cambria"/>
          <w:sz w:val="24"/>
          <w:szCs w:val="24"/>
        </w:rPr>
        <w:t xml:space="preserve">not perceived to be </w:t>
      </w:r>
      <w:r w:rsidR="002F5BF1" w:rsidRPr="009C3204">
        <w:rPr>
          <w:rFonts w:ascii="Cambria" w:hAnsi="Cambria"/>
          <w:sz w:val="24"/>
          <w:szCs w:val="24"/>
        </w:rPr>
        <w:t>an insurmountable burden</w:t>
      </w:r>
      <w:r w:rsidR="00981B3B" w:rsidRPr="009C3204">
        <w:rPr>
          <w:rFonts w:ascii="Cambria" w:hAnsi="Cambria"/>
          <w:sz w:val="24"/>
          <w:szCs w:val="24"/>
        </w:rPr>
        <w:t xml:space="preserve"> for defendants</w:t>
      </w:r>
      <w:r w:rsidR="002F5BF1" w:rsidRPr="009C3204">
        <w:rPr>
          <w:rFonts w:ascii="Cambria" w:hAnsi="Cambria"/>
          <w:sz w:val="24"/>
          <w:szCs w:val="24"/>
        </w:rPr>
        <w:t>, because of the prevalence of insurance.</w:t>
      </w:r>
      <w:r w:rsidR="00981B3B" w:rsidRPr="009C3204">
        <w:rPr>
          <w:rFonts w:ascii="Cambria" w:hAnsi="Cambria"/>
          <w:sz w:val="24"/>
          <w:szCs w:val="24"/>
        </w:rPr>
        <w:t xml:space="preserve"> </w:t>
      </w:r>
      <w:r w:rsidR="00705780" w:rsidRPr="009C3204">
        <w:rPr>
          <w:rFonts w:ascii="Cambria" w:hAnsi="Cambria"/>
          <w:sz w:val="24"/>
          <w:szCs w:val="24"/>
        </w:rPr>
        <w:t xml:space="preserve">Hence </w:t>
      </w:r>
      <w:r w:rsidR="00705780" w:rsidRPr="009C3204">
        <w:rPr>
          <w:rFonts w:ascii="Cambria" w:hAnsi="Cambria"/>
          <w:sz w:val="24"/>
          <w:szCs w:val="24"/>
        </w:rPr>
        <w:lastRenderedPageBreak/>
        <w:t xml:space="preserve">the common law development in </w:t>
      </w:r>
      <w:r w:rsidR="00705780" w:rsidRPr="009C3204">
        <w:rPr>
          <w:rFonts w:ascii="Cambria" w:hAnsi="Cambria"/>
          <w:i/>
          <w:sz w:val="24"/>
          <w:szCs w:val="24"/>
        </w:rPr>
        <w:t>Donoghue v Stevenson</w:t>
      </w:r>
      <w:r w:rsidR="00705780" w:rsidRPr="009C3204">
        <w:rPr>
          <w:rFonts w:ascii="Cambria" w:hAnsi="Cambria"/>
          <w:sz w:val="24"/>
          <w:szCs w:val="24"/>
        </w:rPr>
        <w:t>,</w:t>
      </w:r>
      <w:r w:rsidRPr="009C3204">
        <w:rPr>
          <w:rStyle w:val="FootnoteReference"/>
          <w:rFonts w:ascii="Cambria" w:hAnsi="Cambria"/>
          <w:sz w:val="24"/>
          <w:szCs w:val="24"/>
        </w:rPr>
        <w:footnoteReference w:id="56"/>
      </w:r>
      <w:r w:rsidR="00705780" w:rsidRPr="009C3204">
        <w:rPr>
          <w:rFonts w:ascii="Cambria" w:hAnsi="Cambria"/>
          <w:sz w:val="24"/>
          <w:szCs w:val="24"/>
        </w:rPr>
        <w:t xml:space="preserve"> in which it was thought logically compelling that there ‘must be’ a general principle to make sense of individual instances, is </w:t>
      </w:r>
      <w:r w:rsidR="002F5BF1" w:rsidRPr="009C3204">
        <w:rPr>
          <w:rFonts w:ascii="Cambria" w:hAnsi="Cambria"/>
          <w:sz w:val="24"/>
          <w:szCs w:val="24"/>
        </w:rPr>
        <w:t xml:space="preserve">in harmony </w:t>
      </w:r>
      <w:r w:rsidR="00705780" w:rsidRPr="009C3204">
        <w:rPr>
          <w:rFonts w:ascii="Cambria" w:hAnsi="Cambria"/>
          <w:sz w:val="24"/>
          <w:szCs w:val="24"/>
        </w:rPr>
        <w:t xml:space="preserve">with the </w:t>
      </w:r>
      <w:r w:rsidR="002F5BF1" w:rsidRPr="009C3204">
        <w:rPr>
          <w:rFonts w:ascii="Cambria" w:hAnsi="Cambria"/>
          <w:sz w:val="24"/>
          <w:szCs w:val="24"/>
        </w:rPr>
        <w:t xml:space="preserve">contemporaneous </w:t>
      </w:r>
      <w:r w:rsidR="00705780" w:rsidRPr="009C3204">
        <w:rPr>
          <w:rFonts w:ascii="Cambria" w:hAnsi="Cambria"/>
          <w:sz w:val="24"/>
          <w:szCs w:val="24"/>
        </w:rPr>
        <w:t>Road Traffic Act insistence on liability insurance</w:t>
      </w:r>
      <w:r w:rsidR="002F5BF1" w:rsidRPr="009C3204">
        <w:rPr>
          <w:rFonts w:ascii="Cambria" w:hAnsi="Cambria"/>
          <w:sz w:val="24"/>
          <w:szCs w:val="24"/>
        </w:rPr>
        <w:t xml:space="preserve">. Indeed, between these two developments, </w:t>
      </w:r>
      <w:r w:rsidR="00705780" w:rsidRPr="009C3204">
        <w:rPr>
          <w:rFonts w:ascii="Cambria" w:hAnsi="Cambria"/>
          <w:sz w:val="24"/>
          <w:szCs w:val="24"/>
        </w:rPr>
        <w:t>the seeds were sown for considerable expansion in UK tort law.</w:t>
      </w:r>
      <w:r w:rsidR="002F5BF1" w:rsidRPr="009C3204">
        <w:rPr>
          <w:rStyle w:val="FootnoteReference"/>
          <w:rFonts w:ascii="Cambria" w:hAnsi="Cambria"/>
          <w:sz w:val="24"/>
          <w:szCs w:val="24"/>
        </w:rPr>
        <w:footnoteReference w:id="57"/>
      </w:r>
      <w:r w:rsidR="00D233B8" w:rsidRPr="009C3204">
        <w:rPr>
          <w:rFonts w:ascii="Cambria" w:hAnsi="Cambria"/>
          <w:sz w:val="24"/>
          <w:szCs w:val="24"/>
        </w:rPr>
        <w:t xml:space="preserve"> </w:t>
      </w:r>
      <w:r w:rsidR="00705780" w:rsidRPr="009C3204">
        <w:rPr>
          <w:rFonts w:ascii="Cambria" w:hAnsi="Cambria"/>
          <w:sz w:val="24"/>
          <w:szCs w:val="24"/>
        </w:rPr>
        <w:t xml:space="preserve">None of this is of course </w:t>
      </w:r>
      <w:r w:rsidR="00E26422" w:rsidRPr="009C3204">
        <w:rPr>
          <w:rFonts w:ascii="Cambria" w:hAnsi="Cambria"/>
          <w:sz w:val="24"/>
          <w:szCs w:val="24"/>
        </w:rPr>
        <w:t xml:space="preserve">entirely logical: tort could have been seen as </w:t>
      </w:r>
      <w:r w:rsidR="00705780" w:rsidRPr="009C3204">
        <w:rPr>
          <w:rFonts w:ascii="Cambria" w:hAnsi="Cambria"/>
          <w:sz w:val="24"/>
          <w:szCs w:val="24"/>
        </w:rPr>
        <w:t xml:space="preserve">increasingly </w:t>
      </w:r>
      <w:r w:rsidR="00E26422" w:rsidRPr="009C3204">
        <w:rPr>
          <w:rFonts w:ascii="Cambria" w:hAnsi="Cambria"/>
          <w:sz w:val="24"/>
          <w:szCs w:val="24"/>
        </w:rPr>
        <w:t>irrelevant</w:t>
      </w:r>
      <w:r w:rsidR="00705780" w:rsidRPr="009C3204">
        <w:rPr>
          <w:rFonts w:ascii="Cambria" w:hAnsi="Cambria"/>
          <w:sz w:val="24"/>
          <w:szCs w:val="24"/>
        </w:rPr>
        <w:t xml:space="preserve"> with the growth of the welfare state.</w:t>
      </w:r>
      <w:r w:rsidR="006361C1">
        <w:rPr>
          <w:rFonts w:ascii="Cambria" w:hAnsi="Cambria"/>
          <w:sz w:val="24"/>
          <w:szCs w:val="24"/>
        </w:rPr>
        <w:t xml:space="preserve"> </w:t>
      </w:r>
      <w:r w:rsidR="00705780" w:rsidRPr="009C3204">
        <w:rPr>
          <w:rFonts w:ascii="Cambria" w:hAnsi="Cambria"/>
          <w:sz w:val="24"/>
          <w:szCs w:val="24"/>
        </w:rPr>
        <w:t>B</w:t>
      </w:r>
      <w:r w:rsidR="00E26422" w:rsidRPr="009C3204">
        <w:rPr>
          <w:rFonts w:ascii="Cambria" w:hAnsi="Cambria"/>
          <w:sz w:val="24"/>
          <w:szCs w:val="24"/>
        </w:rPr>
        <w:t>ut instead</w:t>
      </w:r>
      <w:r w:rsidR="00705780" w:rsidRPr="009C3204">
        <w:rPr>
          <w:rFonts w:ascii="Cambria" w:hAnsi="Cambria"/>
          <w:sz w:val="24"/>
          <w:szCs w:val="24"/>
        </w:rPr>
        <w:t>, it</w:t>
      </w:r>
      <w:r w:rsidR="00E26422" w:rsidRPr="009C3204">
        <w:rPr>
          <w:rFonts w:ascii="Cambria" w:hAnsi="Cambria"/>
          <w:sz w:val="24"/>
          <w:szCs w:val="24"/>
        </w:rPr>
        <w:t xml:space="preserve"> </w:t>
      </w:r>
      <w:r w:rsidRPr="009C3204">
        <w:rPr>
          <w:rFonts w:ascii="Cambria" w:hAnsi="Cambria"/>
          <w:sz w:val="24"/>
          <w:szCs w:val="24"/>
        </w:rPr>
        <w:t xml:space="preserve">took </w:t>
      </w:r>
      <w:r w:rsidR="00E26422" w:rsidRPr="009C3204">
        <w:rPr>
          <w:rFonts w:ascii="Cambria" w:hAnsi="Cambria"/>
          <w:sz w:val="24"/>
          <w:szCs w:val="24"/>
        </w:rPr>
        <w:t xml:space="preserve">on a security function. </w:t>
      </w:r>
      <w:r w:rsidRPr="009C3204">
        <w:rPr>
          <w:rFonts w:ascii="Cambria" w:hAnsi="Cambria"/>
          <w:sz w:val="24"/>
          <w:szCs w:val="24"/>
        </w:rPr>
        <w:t xml:space="preserve">The cost of this security only gradually became a </w:t>
      </w:r>
      <w:r w:rsidR="00A41428" w:rsidRPr="009C3204">
        <w:rPr>
          <w:rFonts w:ascii="Cambria" w:hAnsi="Cambria"/>
          <w:sz w:val="24"/>
          <w:szCs w:val="24"/>
        </w:rPr>
        <w:t xml:space="preserve">reason for </w:t>
      </w:r>
      <w:r w:rsidR="00A41428" w:rsidRPr="009C3204">
        <w:rPr>
          <w:rFonts w:ascii="Cambria" w:hAnsi="Cambria"/>
          <w:i/>
          <w:sz w:val="24"/>
          <w:szCs w:val="24"/>
        </w:rPr>
        <w:t>restricting</w:t>
      </w:r>
      <w:r w:rsidR="00A41428" w:rsidRPr="009C3204">
        <w:rPr>
          <w:rFonts w:ascii="Cambria" w:hAnsi="Cambria"/>
          <w:sz w:val="24"/>
          <w:szCs w:val="24"/>
        </w:rPr>
        <w:t xml:space="preserve"> the growth of tort.</w:t>
      </w:r>
    </w:p>
    <w:p w14:paraId="4961C699" w14:textId="72F4CC7C" w:rsidR="00FC504E" w:rsidRPr="009C3204" w:rsidRDefault="00F35146" w:rsidP="008E4509">
      <w:pPr>
        <w:pStyle w:val="ListParagraph"/>
        <w:numPr>
          <w:ilvl w:val="0"/>
          <w:numId w:val="3"/>
        </w:numPr>
        <w:spacing w:line="240" w:lineRule="auto"/>
        <w:jc w:val="both"/>
        <w:rPr>
          <w:rFonts w:ascii="Cambria" w:hAnsi="Cambria"/>
          <w:b/>
          <w:sz w:val="24"/>
          <w:szCs w:val="24"/>
        </w:rPr>
      </w:pPr>
      <w:r w:rsidRPr="009C3204">
        <w:rPr>
          <w:rFonts w:ascii="Cambria" w:hAnsi="Cambria"/>
          <w:b/>
          <w:sz w:val="24"/>
          <w:szCs w:val="24"/>
        </w:rPr>
        <w:t>Backwards or forwards with a new risk revolution</w:t>
      </w:r>
    </w:p>
    <w:p w14:paraId="53CBD509" w14:textId="4A61E0CF" w:rsidR="00A9016D" w:rsidRPr="009C3204" w:rsidRDefault="00E334F6" w:rsidP="008E4509">
      <w:pPr>
        <w:spacing w:line="240" w:lineRule="auto"/>
        <w:jc w:val="both"/>
        <w:rPr>
          <w:rFonts w:ascii="Cambria" w:hAnsi="Cambria"/>
          <w:sz w:val="24"/>
          <w:szCs w:val="24"/>
        </w:rPr>
      </w:pPr>
      <w:r w:rsidRPr="009C3204">
        <w:rPr>
          <w:rFonts w:ascii="Cambria" w:hAnsi="Cambria"/>
          <w:sz w:val="24"/>
          <w:szCs w:val="24"/>
        </w:rPr>
        <w:t xml:space="preserve">As we have seen, </w:t>
      </w:r>
      <w:r w:rsidR="00A41428" w:rsidRPr="009C3204">
        <w:rPr>
          <w:rFonts w:ascii="Cambria" w:hAnsi="Cambria"/>
          <w:sz w:val="24"/>
          <w:szCs w:val="24"/>
        </w:rPr>
        <w:t>there has been wide consensus that a revolution in thinking placed risk techniques at the service of social welfar</w:t>
      </w:r>
      <w:r w:rsidRPr="009C3204">
        <w:rPr>
          <w:rFonts w:ascii="Cambria" w:hAnsi="Cambria"/>
          <w:sz w:val="24"/>
          <w:szCs w:val="24"/>
        </w:rPr>
        <w:t xml:space="preserve">e in the period explored above; and that this was associated with growth of the welfare state. Certainly this altered the context in which private law operated, and I have suggested that rather than shrinking, </w:t>
      </w:r>
      <w:r w:rsidR="009E2477" w:rsidRPr="009C3204">
        <w:rPr>
          <w:rFonts w:ascii="Cambria" w:hAnsi="Cambria"/>
          <w:sz w:val="24"/>
          <w:szCs w:val="24"/>
        </w:rPr>
        <w:t xml:space="preserve">as might have appeared logical for a branch of private law, </w:t>
      </w:r>
      <w:r w:rsidRPr="009C3204">
        <w:rPr>
          <w:rFonts w:ascii="Cambria" w:hAnsi="Cambria"/>
          <w:sz w:val="24"/>
          <w:szCs w:val="24"/>
        </w:rPr>
        <w:t xml:space="preserve">tort </w:t>
      </w:r>
      <w:r w:rsidR="009E2477" w:rsidRPr="009C3204">
        <w:rPr>
          <w:rFonts w:ascii="Cambria" w:hAnsi="Cambria"/>
          <w:sz w:val="24"/>
          <w:szCs w:val="24"/>
        </w:rPr>
        <w:t xml:space="preserve">instead </w:t>
      </w:r>
      <w:r w:rsidRPr="009C3204">
        <w:rPr>
          <w:rFonts w:ascii="Cambria" w:hAnsi="Cambria"/>
          <w:sz w:val="24"/>
          <w:szCs w:val="24"/>
        </w:rPr>
        <w:t>grew during the same period</w:t>
      </w:r>
      <w:r w:rsidR="00EB2D64" w:rsidRPr="009C3204">
        <w:rPr>
          <w:rFonts w:ascii="Cambria" w:hAnsi="Cambria"/>
          <w:sz w:val="24"/>
          <w:szCs w:val="24"/>
        </w:rPr>
        <w:t>.</w:t>
      </w:r>
      <w:r w:rsidRPr="009C3204">
        <w:rPr>
          <w:rFonts w:ascii="Cambria" w:hAnsi="Cambria"/>
          <w:sz w:val="24"/>
          <w:szCs w:val="24"/>
        </w:rPr>
        <w:t xml:space="preserve"> </w:t>
      </w:r>
      <w:r w:rsidR="00EB2D64" w:rsidRPr="009C3204">
        <w:rPr>
          <w:rFonts w:ascii="Cambria" w:hAnsi="Cambria"/>
          <w:sz w:val="24"/>
          <w:szCs w:val="24"/>
        </w:rPr>
        <w:t>I</w:t>
      </w:r>
      <w:r w:rsidRPr="009C3204">
        <w:rPr>
          <w:rFonts w:ascii="Cambria" w:hAnsi="Cambria"/>
          <w:sz w:val="24"/>
          <w:szCs w:val="24"/>
        </w:rPr>
        <w:t>ts internal principles</w:t>
      </w:r>
      <w:r w:rsidR="00EB2D64" w:rsidRPr="009C3204">
        <w:rPr>
          <w:rFonts w:ascii="Cambria" w:hAnsi="Cambria"/>
          <w:sz w:val="24"/>
          <w:szCs w:val="24"/>
        </w:rPr>
        <w:t>,</w:t>
      </w:r>
      <w:r w:rsidRPr="009C3204">
        <w:rPr>
          <w:rFonts w:ascii="Cambria" w:hAnsi="Cambria"/>
          <w:sz w:val="24"/>
          <w:szCs w:val="24"/>
        </w:rPr>
        <w:t xml:space="preserve"> though apparently independent of governmental influence</w:t>
      </w:r>
      <w:r w:rsidR="00EB2D64" w:rsidRPr="009C3204">
        <w:rPr>
          <w:rFonts w:ascii="Cambria" w:hAnsi="Cambria"/>
          <w:sz w:val="24"/>
          <w:szCs w:val="24"/>
        </w:rPr>
        <w:t>,</w:t>
      </w:r>
      <w:r w:rsidRPr="009C3204">
        <w:rPr>
          <w:rFonts w:ascii="Cambria" w:hAnsi="Cambria"/>
          <w:sz w:val="24"/>
          <w:szCs w:val="24"/>
        </w:rPr>
        <w:t xml:space="preserve"> nevertheless </w:t>
      </w:r>
      <w:r w:rsidR="00EB2D64" w:rsidRPr="009C3204">
        <w:rPr>
          <w:rFonts w:ascii="Cambria" w:hAnsi="Cambria"/>
          <w:sz w:val="24"/>
          <w:szCs w:val="24"/>
        </w:rPr>
        <w:t xml:space="preserve">remained </w:t>
      </w:r>
      <w:r w:rsidRPr="009C3204">
        <w:rPr>
          <w:rFonts w:ascii="Cambria" w:hAnsi="Cambria"/>
          <w:sz w:val="24"/>
          <w:szCs w:val="24"/>
        </w:rPr>
        <w:t xml:space="preserve">in tune with the </w:t>
      </w:r>
      <w:r w:rsidR="009E2477" w:rsidRPr="009C3204">
        <w:rPr>
          <w:rFonts w:ascii="Cambria" w:hAnsi="Cambria"/>
          <w:sz w:val="24"/>
          <w:szCs w:val="24"/>
        </w:rPr>
        <w:t xml:space="preserve">expectations of the </w:t>
      </w:r>
      <w:r w:rsidRPr="009C3204">
        <w:rPr>
          <w:rFonts w:ascii="Cambria" w:hAnsi="Cambria"/>
          <w:sz w:val="24"/>
          <w:szCs w:val="24"/>
        </w:rPr>
        <w:t>security state.</w:t>
      </w:r>
      <w:r w:rsidRPr="009C3204">
        <w:rPr>
          <w:rStyle w:val="FootnoteReference"/>
          <w:rFonts w:ascii="Cambria" w:hAnsi="Cambria"/>
          <w:sz w:val="24"/>
          <w:szCs w:val="24"/>
        </w:rPr>
        <w:footnoteReference w:id="58"/>
      </w:r>
      <w:r w:rsidRPr="009C3204">
        <w:rPr>
          <w:rFonts w:ascii="Cambria" w:hAnsi="Cambria"/>
          <w:sz w:val="24"/>
          <w:szCs w:val="24"/>
        </w:rPr>
        <w:t xml:space="preserve"> </w:t>
      </w:r>
      <w:r w:rsidR="002D3514" w:rsidRPr="009C3204">
        <w:rPr>
          <w:rFonts w:ascii="Cambria" w:hAnsi="Cambria"/>
          <w:sz w:val="24"/>
          <w:szCs w:val="24"/>
        </w:rPr>
        <w:t xml:space="preserve">The links between tort and insurance were multiple and again encouraged the sense that tort and the security state were in harmony. </w:t>
      </w:r>
      <w:r w:rsidR="00A9016D" w:rsidRPr="009C3204">
        <w:rPr>
          <w:rFonts w:ascii="Cambria" w:hAnsi="Cambria"/>
          <w:sz w:val="24"/>
          <w:szCs w:val="24"/>
        </w:rPr>
        <w:t xml:space="preserve">More contentiously, it appears that this process of growth and the influence of security expectations continued for some considerable time. </w:t>
      </w:r>
      <w:r w:rsidR="003E01C2" w:rsidRPr="009C3204">
        <w:rPr>
          <w:rFonts w:ascii="Cambria" w:hAnsi="Cambria"/>
          <w:sz w:val="24"/>
          <w:szCs w:val="24"/>
        </w:rPr>
        <w:t>Only towards the end of this period, perhaps, were the links with social transformation fully appreciated.</w:t>
      </w:r>
    </w:p>
    <w:p w14:paraId="1329E22A" w14:textId="77777777" w:rsidR="003E01C2" w:rsidRPr="009C3204" w:rsidRDefault="009E2477" w:rsidP="008E4509">
      <w:pPr>
        <w:spacing w:line="240" w:lineRule="auto"/>
        <w:jc w:val="both"/>
        <w:rPr>
          <w:rFonts w:ascii="Cambria" w:hAnsi="Cambria"/>
          <w:sz w:val="24"/>
          <w:szCs w:val="24"/>
        </w:rPr>
      </w:pPr>
      <w:r w:rsidRPr="009C3204">
        <w:rPr>
          <w:rFonts w:ascii="Cambria" w:hAnsi="Cambria"/>
          <w:sz w:val="24"/>
          <w:szCs w:val="24"/>
        </w:rPr>
        <w:t xml:space="preserve">More recently, </w:t>
      </w:r>
      <w:r w:rsidR="006231E4" w:rsidRPr="009C3204">
        <w:rPr>
          <w:rFonts w:ascii="Cambria" w:hAnsi="Cambria"/>
          <w:sz w:val="24"/>
          <w:szCs w:val="24"/>
        </w:rPr>
        <w:t>there has been a more</w:t>
      </w:r>
      <w:r w:rsidR="003E01C2" w:rsidRPr="009C3204">
        <w:rPr>
          <w:rFonts w:ascii="Cambria" w:hAnsi="Cambria"/>
          <w:sz w:val="24"/>
          <w:szCs w:val="24"/>
        </w:rPr>
        <w:t xml:space="preserve"> diffuse</w:t>
      </w:r>
      <w:r w:rsidR="006231E4" w:rsidRPr="009C3204">
        <w:rPr>
          <w:rFonts w:ascii="Cambria" w:hAnsi="Cambria"/>
          <w:sz w:val="24"/>
          <w:szCs w:val="24"/>
        </w:rPr>
        <w:t xml:space="preserve">, but still broad recognition that we have entered </w:t>
      </w:r>
      <w:r w:rsidR="00055EC1" w:rsidRPr="009C3204">
        <w:rPr>
          <w:rFonts w:ascii="Cambria" w:hAnsi="Cambria"/>
          <w:sz w:val="24"/>
          <w:szCs w:val="24"/>
        </w:rPr>
        <w:t xml:space="preserve">at least one </w:t>
      </w:r>
      <w:r w:rsidR="006231E4" w:rsidRPr="009C3204">
        <w:rPr>
          <w:rFonts w:ascii="Cambria" w:hAnsi="Cambria"/>
          <w:sz w:val="24"/>
          <w:szCs w:val="24"/>
        </w:rPr>
        <w:t xml:space="preserve">new era </w:t>
      </w:r>
      <w:r w:rsidR="00EF4CBB" w:rsidRPr="009C3204">
        <w:rPr>
          <w:rFonts w:ascii="Cambria" w:hAnsi="Cambria"/>
          <w:sz w:val="24"/>
          <w:szCs w:val="24"/>
        </w:rPr>
        <w:t xml:space="preserve">where </w:t>
      </w:r>
      <w:r w:rsidR="006231E4" w:rsidRPr="009C3204">
        <w:rPr>
          <w:rFonts w:ascii="Cambria" w:hAnsi="Cambria"/>
          <w:sz w:val="24"/>
          <w:szCs w:val="24"/>
        </w:rPr>
        <w:t>the social function of risk</w:t>
      </w:r>
      <w:r w:rsidR="00F91CAE" w:rsidRPr="009C3204">
        <w:rPr>
          <w:rFonts w:ascii="Cambria" w:hAnsi="Cambria"/>
          <w:sz w:val="24"/>
          <w:szCs w:val="24"/>
        </w:rPr>
        <w:t xml:space="preserve"> has altered in potentially revolutionary style. Further, just as the ‘security revolution’ was associated with change and expansion in </w:t>
      </w:r>
      <w:r w:rsidR="002D3514" w:rsidRPr="009C3204">
        <w:rPr>
          <w:rFonts w:ascii="Cambria" w:hAnsi="Cambria"/>
          <w:sz w:val="24"/>
          <w:szCs w:val="24"/>
        </w:rPr>
        <w:t>legislation</w:t>
      </w:r>
      <w:r w:rsidR="00F91CAE" w:rsidRPr="009C3204">
        <w:rPr>
          <w:rFonts w:ascii="Cambria" w:hAnsi="Cambria"/>
          <w:sz w:val="24"/>
          <w:szCs w:val="24"/>
        </w:rPr>
        <w:t xml:space="preserve"> with possibly unpredictable reactions from </w:t>
      </w:r>
      <w:r w:rsidR="00BC1BFC" w:rsidRPr="009C3204">
        <w:rPr>
          <w:rFonts w:ascii="Cambria" w:hAnsi="Cambria"/>
          <w:sz w:val="24"/>
          <w:szCs w:val="24"/>
        </w:rPr>
        <w:t xml:space="preserve">or influences upon </w:t>
      </w:r>
      <w:r w:rsidR="00F91CAE" w:rsidRPr="009C3204">
        <w:rPr>
          <w:rFonts w:ascii="Cambria" w:hAnsi="Cambria"/>
          <w:sz w:val="24"/>
          <w:szCs w:val="24"/>
        </w:rPr>
        <w:t xml:space="preserve">private law, so also changing societal approaches to risk have been closely linked with changing regulatory styles. </w:t>
      </w:r>
      <w:r w:rsidR="003E01C2" w:rsidRPr="009C3204">
        <w:rPr>
          <w:rFonts w:ascii="Cambria" w:hAnsi="Cambria"/>
          <w:sz w:val="24"/>
          <w:szCs w:val="24"/>
        </w:rPr>
        <w:t>R</w:t>
      </w:r>
      <w:r w:rsidR="00F91CAE" w:rsidRPr="009C3204">
        <w:rPr>
          <w:rFonts w:ascii="Cambria" w:hAnsi="Cambria"/>
          <w:sz w:val="24"/>
          <w:szCs w:val="24"/>
        </w:rPr>
        <w:t xml:space="preserve">isk is a central concern of </w:t>
      </w:r>
      <w:r w:rsidR="003E01C2" w:rsidRPr="009C3204">
        <w:rPr>
          <w:rFonts w:ascii="Cambria" w:hAnsi="Cambria"/>
          <w:sz w:val="24"/>
          <w:szCs w:val="24"/>
        </w:rPr>
        <w:t xml:space="preserve">new forms of </w:t>
      </w:r>
      <w:r w:rsidR="00F91CAE" w:rsidRPr="009C3204">
        <w:rPr>
          <w:rFonts w:ascii="Cambria" w:hAnsi="Cambria"/>
          <w:sz w:val="24"/>
          <w:szCs w:val="24"/>
        </w:rPr>
        <w:t>regulation and a core concern of regulatory theory. Again, this engages a change in the relationship between private and public domains, with potential to influence the response of private law.</w:t>
      </w:r>
      <w:r w:rsidR="003E01C2" w:rsidRPr="009C3204">
        <w:rPr>
          <w:rFonts w:ascii="Cambria" w:hAnsi="Cambria"/>
          <w:sz w:val="24"/>
          <w:szCs w:val="24"/>
        </w:rPr>
        <w:t xml:space="preserve"> In relation to </w:t>
      </w:r>
      <w:r w:rsidR="00F91CAE" w:rsidRPr="009C3204">
        <w:rPr>
          <w:rFonts w:ascii="Cambria" w:hAnsi="Cambria"/>
          <w:sz w:val="24"/>
          <w:szCs w:val="24"/>
        </w:rPr>
        <w:t xml:space="preserve">tort </w:t>
      </w:r>
      <w:r w:rsidR="003E01C2" w:rsidRPr="009C3204">
        <w:rPr>
          <w:rFonts w:ascii="Cambria" w:hAnsi="Cambria"/>
          <w:sz w:val="24"/>
          <w:szCs w:val="24"/>
        </w:rPr>
        <w:t xml:space="preserve">law </w:t>
      </w:r>
      <w:r w:rsidR="00F91CAE" w:rsidRPr="009C3204">
        <w:rPr>
          <w:rFonts w:ascii="Cambria" w:hAnsi="Cambria"/>
          <w:sz w:val="24"/>
          <w:szCs w:val="24"/>
        </w:rPr>
        <w:t>in particular, ‘risk’ has become a more visible preoccupation and a</w:t>
      </w:r>
      <w:r w:rsidR="00D746DB" w:rsidRPr="009C3204">
        <w:rPr>
          <w:rFonts w:ascii="Cambria" w:hAnsi="Cambria"/>
          <w:sz w:val="24"/>
          <w:szCs w:val="24"/>
        </w:rPr>
        <w:t>n increasingly</w:t>
      </w:r>
      <w:r w:rsidR="00F91CAE" w:rsidRPr="009C3204">
        <w:rPr>
          <w:rFonts w:ascii="Cambria" w:hAnsi="Cambria"/>
          <w:sz w:val="24"/>
          <w:szCs w:val="24"/>
        </w:rPr>
        <w:t xml:space="preserve"> significant part of the language of decision making</w:t>
      </w:r>
      <w:r w:rsidR="00D746DB" w:rsidRPr="009C3204">
        <w:rPr>
          <w:rFonts w:ascii="Cambria" w:hAnsi="Cambria"/>
          <w:sz w:val="24"/>
          <w:szCs w:val="24"/>
        </w:rPr>
        <w:t xml:space="preserve">. It will be suggested in Part IV that some of this is </w:t>
      </w:r>
      <w:r w:rsidR="00F91CAE" w:rsidRPr="009C3204">
        <w:rPr>
          <w:rFonts w:ascii="Cambria" w:hAnsi="Cambria"/>
          <w:sz w:val="24"/>
          <w:szCs w:val="24"/>
        </w:rPr>
        <w:t xml:space="preserve">at the expense of more general concepts. </w:t>
      </w:r>
    </w:p>
    <w:p w14:paraId="3DCF4FF7" w14:textId="4F3D0332" w:rsidR="009E2477" w:rsidRPr="009C3204" w:rsidRDefault="00F91CAE" w:rsidP="008E4509">
      <w:pPr>
        <w:spacing w:line="240" w:lineRule="auto"/>
        <w:jc w:val="both"/>
        <w:rPr>
          <w:rFonts w:ascii="Cambria" w:hAnsi="Cambria"/>
          <w:sz w:val="24"/>
          <w:szCs w:val="24"/>
        </w:rPr>
      </w:pPr>
      <w:r w:rsidRPr="009C3204">
        <w:rPr>
          <w:rFonts w:ascii="Cambria" w:hAnsi="Cambria"/>
          <w:sz w:val="24"/>
          <w:szCs w:val="24"/>
        </w:rPr>
        <w:t>Putting a date on these changes is of course</w:t>
      </w:r>
      <w:r w:rsidR="005C0BE6" w:rsidRPr="009C3204">
        <w:rPr>
          <w:rFonts w:ascii="Cambria" w:hAnsi="Cambria"/>
          <w:sz w:val="24"/>
          <w:szCs w:val="24"/>
        </w:rPr>
        <w:t xml:space="preserve"> difficult</w:t>
      </w:r>
      <w:r w:rsidR="003E01C2" w:rsidRPr="009C3204">
        <w:rPr>
          <w:rFonts w:ascii="Cambria" w:hAnsi="Cambria"/>
          <w:sz w:val="24"/>
          <w:szCs w:val="24"/>
        </w:rPr>
        <w:t>. Friedman</w:t>
      </w:r>
      <w:r w:rsidR="001B51DF" w:rsidRPr="009C3204">
        <w:rPr>
          <w:rFonts w:ascii="Cambria" w:hAnsi="Cambria"/>
          <w:sz w:val="24"/>
          <w:szCs w:val="24"/>
        </w:rPr>
        <w:t>,</w:t>
      </w:r>
      <w:r w:rsidRPr="009C3204">
        <w:rPr>
          <w:rFonts w:ascii="Cambria" w:hAnsi="Cambria"/>
          <w:sz w:val="24"/>
          <w:szCs w:val="24"/>
        </w:rPr>
        <w:t xml:space="preserve"> as we have seen</w:t>
      </w:r>
      <w:r w:rsidR="001B51DF" w:rsidRPr="009C3204">
        <w:rPr>
          <w:rFonts w:ascii="Cambria" w:hAnsi="Cambria"/>
          <w:sz w:val="24"/>
          <w:szCs w:val="24"/>
        </w:rPr>
        <w:t>,</w:t>
      </w:r>
      <w:r w:rsidRPr="009C3204">
        <w:rPr>
          <w:rFonts w:ascii="Cambria" w:hAnsi="Cambria"/>
          <w:sz w:val="24"/>
          <w:szCs w:val="24"/>
        </w:rPr>
        <w:t xml:space="preserve"> thought </w:t>
      </w:r>
      <w:r w:rsidR="005C0BE6" w:rsidRPr="009C3204">
        <w:rPr>
          <w:rFonts w:ascii="Cambria" w:hAnsi="Cambria"/>
          <w:sz w:val="24"/>
          <w:szCs w:val="24"/>
        </w:rPr>
        <w:t>private law worked in order to satisfy expectations of security</w:t>
      </w:r>
      <w:r w:rsidRPr="009C3204">
        <w:rPr>
          <w:rFonts w:ascii="Cambria" w:hAnsi="Cambria"/>
          <w:sz w:val="24"/>
          <w:szCs w:val="24"/>
        </w:rPr>
        <w:t xml:space="preserve"> in the 1980s; and </w:t>
      </w:r>
      <w:r w:rsidR="00BC1BFC" w:rsidRPr="009C3204">
        <w:rPr>
          <w:rFonts w:ascii="Cambria" w:hAnsi="Cambria"/>
          <w:sz w:val="24"/>
          <w:szCs w:val="24"/>
        </w:rPr>
        <w:t xml:space="preserve">it seems he </w:t>
      </w:r>
      <w:r w:rsidRPr="009C3204">
        <w:rPr>
          <w:rFonts w:ascii="Cambria" w:hAnsi="Cambria"/>
          <w:sz w:val="24"/>
          <w:szCs w:val="24"/>
        </w:rPr>
        <w:t>had not altered his view in 1994.</w:t>
      </w:r>
      <w:r w:rsidRPr="009C3204">
        <w:rPr>
          <w:rStyle w:val="FootnoteReference"/>
          <w:rFonts w:ascii="Cambria" w:hAnsi="Cambria"/>
          <w:sz w:val="24"/>
          <w:szCs w:val="24"/>
        </w:rPr>
        <w:footnoteReference w:id="59"/>
      </w:r>
      <w:r w:rsidRPr="009C3204">
        <w:rPr>
          <w:rFonts w:ascii="Cambria" w:hAnsi="Cambria"/>
          <w:sz w:val="24"/>
          <w:szCs w:val="24"/>
        </w:rPr>
        <w:t xml:space="preserve"> In the UK</w:t>
      </w:r>
      <w:r w:rsidR="00497FAD">
        <w:rPr>
          <w:rFonts w:ascii="Cambria" w:hAnsi="Cambria"/>
          <w:sz w:val="24"/>
          <w:szCs w:val="24"/>
        </w:rPr>
        <w:t>,</w:t>
      </w:r>
      <w:r w:rsidRPr="009C3204">
        <w:rPr>
          <w:rFonts w:ascii="Cambria" w:hAnsi="Cambria"/>
          <w:sz w:val="24"/>
          <w:szCs w:val="24"/>
        </w:rPr>
        <w:t xml:space="preserve"> however, both private lawyers and scholars</w:t>
      </w:r>
      <w:r w:rsidR="00BC1BFC" w:rsidRPr="009C3204">
        <w:rPr>
          <w:rFonts w:ascii="Cambria" w:hAnsi="Cambria"/>
          <w:sz w:val="24"/>
          <w:szCs w:val="24"/>
        </w:rPr>
        <w:t xml:space="preserve"> of regulation</w:t>
      </w:r>
      <w:r w:rsidRPr="009C3204">
        <w:rPr>
          <w:rFonts w:ascii="Cambria" w:hAnsi="Cambria"/>
          <w:sz w:val="24"/>
          <w:szCs w:val="24"/>
        </w:rPr>
        <w:t xml:space="preserve"> have identified </w:t>
      </w:r>
      <w:r w:rsidR="00BC1BFC" w:rsidRPr="009C3204">
        <w:rPr>
          <w:rFonts w:ascii="Cambria" w:hAnsi="Cambria"/>
          <w:sz w:val="24"/>
          <w:szCs w:val="24"/>
        </w:rPr>
        <w:t>significant</w:t>
      </w:r>
      <w:r w:rsidRPr="009C3204">
        <w:rPr>
          <w:rFonts w:ascii="Cambria" w:hAnsi="Cambria"/>
          <w:sz w:val="24"/>
          <w:szCs w:val="24"/>
        </w:rPr>
        <w:t xml:space="preserve"> change</w:t>
      </w:r>
      <w:r w:rsidR="00BC1BFC" w:rsidRPr="009C3204">
        <w:rPr>
          <w:rFonts w:ascii="Cambria" w:hAnsi="Cambria"/>
          <w:sz w:val="24"/>
          <w:szCs w:val="24"/>
        </w:rPr>
        <w:t>s</w:t>
      </w:r>
      <w:r w:rsidRPr="009C3204">
        <w:rPr>
          <w:rFonts w:ascii="Cambria" w:hAnsi="Cambria"/>
          <w:sz w:val="24"/>
          <w:szCs w:val="24"/>
        </w:rPr>
        <w:t xml:space="preserve"> </w:t>
      </w:r>
      <w:r w:rsidR="00D746DB" w:rsidRPr="009C3204">
        <w:rPr>
          <w:rFonts w:ascii="Cambria" w:hAnsi="Cambria"/>
          <w:sz w:val="24"/>
          <w:szCs w:val="24"/>
        </w:rPr>
        <w:t xml:space="preserve">at the end of </w:t>
      </w:r>
      <w:r w:rsidRPr="009C3204">
        <w:rPr>
          <w:rFonts w:ascii="Cambria" w:hAnsi="Cambria"/>
          <w:sz w:val="24"/>
          <w:szCs w:val="24"/>
        </w:rPr>
        <w:t xml:space="preserve">the 1970s, </w:t>
      </w:r>
      <w:r w:rsidR="00D746DB" w:rsidRPr="009C3204">
        <w:rPr>
          <w:rFonts w:ascii="Cambria" w:hAnsi="Cambria"/>
          <w:sz w:val="24"/>
          <w:szCs w:val="24"/>
        </w:rPr>
        <w:t>in</w:t>
      </w:r>
      <w:r w:rsidRPr="009C3204">
        <w:rPr>
          <w:rFonts w:ascii="Cambria" w:hAnsi="Cambria"/>
          <w:sz w:val="24"/>
          <w:szCs w:val="24"/>
        </w:rPr>
        <w:t xml:space="preserve">to the 1980s. </w:t>
      </w:r>
      <w:proofErr w:type="spellStart"/>
      <w:r w:rsidRPr="009C3204">
        <w:rPr>
          <w:rFonts w:ascii="Cambria" w:hAnsi="Cambria"/>
          <w:sz w:val="24"/>
          <w:szCs w:val="24"/>
        </w:rPr>
        <w:t>Atiyah</w:t>
      </w:r>
      <w:proofErr w:type="spellEnd"/>
      <w:r w:rsidRPr="009C3204">
        <w:rPr>
          <w:rFonts w:ascii="Cambria" w:hAnsi="Cambria"/>
          <w:sz w:val="24"/>
          <w:szCs w:val="24"/>
        </w:rPr>
        <w:t xml:space="preserve"> wryly acknowledged that his work on the decline of freedom of contract had been less than presc</w:t>
      </w:r>
      <w:r w:rsidR="00F129BB" w:rsidRPr="009C3204">
        <w:rPr>
          <w:rFonts w:ascii="Cambria" w:hAnsi="Cambria"/>
          <w:sz w:val="24"/>
          <w:szCs w:val="24"/>
        </w:rPr>
        <w:t xml:space="preserve">ient given its publication a few weeks after </w:t>
      </w:r>
      <w:r w:rsidRPr="009C3204">
        <w:rPr>
          <w:rFonts w:ascii="Cambria" w:hAnsi="Cambria"/>
          <w:sz w:val="24"/>
          <w:szCs w:val="24"/>
        </w:rPr>
        <w:t>the election of Margaret Thatcher to the office of Prime Minister</w:t>
      </w:r>
      <w:r w:rsidR="005C0BE6" w:rsidRPr="009C3204">
        <w:rPr>
          <w:rFonts w:ascii="Cambria" w:hAnsi="Cambria"/>
          <w:sz w:val="24"/>
          <w:szCs w:val="24"/>
        </w:rPr>
        <w:t>, and resultant ascendancy of privatisation and contractual paradigms</w:t>
      </w:r>
      <w:r w:rsidRPr="009C3204">
        <w:rPr>
          <w:rFonts w:ascii="Cambria" w:hAnsi="Cambria"/>
          <w:sz w:val="24"/>
          <w:szCs w:val="24"/>
        </w:rPr>
        <w:t>.</w:t>
      </w:r>
      <w:bookmarkStart w:id="16" w:name="_Ref480742128"/>
      <w:r w:rsidR="00BD5AE0" w:rsidRPr="009C3204">
        <w:rPr>
          <w:rStyle w:val="FootnoteReference"/>
          <w:rFonts w:ascii="Cambria" w:hAnsi="Cambria"/>
          <w:sz w:val="24"/>
          <w:szCs w:val="24"/>
        </w:rPr>
        <w:footnoteReference w:id="60"/>
      </w:r>
      <w:bookmarkEnd w:id="16"/>
      <w:r w:rsidRPr="009C3204">
        <w:rPr>
          <w:rFonts w:ascii="Cambria" w:hAnsi="Cambria"/>
          <w:sz w:val="24"/>
          <w:szCs w:val="24"/>
        </w:rPr>
        <w:t xml:space="preserve"> John Braithwaite dates the </w:t>
      </w:r>
      <w:r w:rsidRPr="009C3204">
        <w:rPr>
          <w:rFonts w:ascii="Cambria" w:hAnsi="Cambria"/>
          <w:sz w:val="24"/>
          <w:szCs w:val="24"/>
        </w:rPr>
        <w:lastRenderedPageBreak/>
        <w:t>ris</w:t>
      </w:r>
      <w:r w:rsidR="00BC1BFC" w:rsidRPr="009C3204">
        <w:rPr>
          <w:rFonts w:ascii="Cambria" w:hAnsi="Cambria"/>
          <w:sz w:val="24"/>
          <w:szCs w:val="24"/>
        </w:rPr>
        <w:t>e of the ‘New Regulatory State’</w:t>
      </w:r>
      <w:r w:rsidR="00595837" w:rsidRPr="009C3204">
        <w:rPr>
          <w:rStyle w:val="FootnoteReference"/>
          <w:rFonts w:ascii="Cambria" w:hAnsi="Cambria"/>
          <w:sz w:val="24"/>
          <w:szCs w:val="24"/>
        </w:rPr>
        <w:footnoteReference w:id="61"/>
      </w:r>
      <w:r w:rsidRPr="009C3204">
        <w:rPr>
          <w:rFonts w:ascii="Cambria" w:hAnsi="Cambria"/>
          <w:sz w:val="24"/>
          <w:szCs w:val="24"/>
        </w:rPr>
        <w:t xml:space="preserve"> to the 1980s also. Both in private and public law,</w:t>
      </w:r>
      <w:r w:rsidR="00595837" w:rsidRPr="009C3204">
        <w:rPr>
          <w:rStyle w:val="FootnoteReference"/>
          <w:rFonts w:ascii="Cambria" w:hAnsi="Cambria"/>
          <w:sz w:val="24"/>
          <w:szCs w:val="24"/>
        </w:rPr>
        <w:footnoteReference w:id="62"/>
      </w:r>
      <w:r w:rsidRPr="009C3204">
        <w:rPr>
          <w:rFonts w:ascii="Cambria" w:hAnsi="Cambria"/>
          <w:sz w:val="24"/>
          <w:szCs w:val="24"/>
        </w:rPr>
        <w:t xml:space="preserve"> and in the UK and Australia, there is a commonality here in the supposed date of </w:t>
      </w:r>
      <w:r w:rsidR="00595837" w:rsidRPr="009C3204">
        <w:rPr>
          <w:rFonts w:ascii="Cambria" w:hAnsi="Cambria"/>
          <w:sz w:val="24"/>
          <w:szCs w:val="24"/>
        </w:rPr>
        <w:t>revolution</w:t>
      </w:r>
      <w:r w:rsidR="00BC1BFC" w:rsidRPr="009C3204">
        <w:rPr>
          <w:rFonts w:ascii="Cambria" w:hAnsi="Cambria"/>
          <w:sz w:val="24"/>
          <w:szCs w:val="24"/>
        </w:rPr>
        <w:t xml:space="preserve"> or paradigm shift</w:t>
      </w:r>
      <w:r w:rsidR="00595837" w:rsidRPr="009C3204">
        <w:rPr>
          <w:rFonts w:ascii="Cambria" w:hAnsi="Cambria"/>
          <w:sz w:val="24"/>
          <w:szCs w:val="24"/>
        </w:rPr>
        <w:t xml:space="preserve">. </w:t>
      </w:r>
      <w:r w:rsidR="003C5341" w:rsidRPr="009C3204">
        <w:rPr>
          <w:rFonts w:ascii="Cambria" w:hAnsi="Cambria"/>
          <w:sz w:val="24"/>
          <w:szCs w:val="24"/>
        </w:rPr>
        <w:t xml:space="preserve">Given what was said above about the role of general principles in the extension of security through </w:t>
      </w:r>
      <w:r w:rsidR="005C0BE6" w:rsidRPr="009C3204">
        <w:rPr>
          <w:rFonts w:ascii="Cambria" w:hAnsi="Cambria"/>
          <w:sz w:val="24"/>
          <w:szCs w:val="24"/>
        </w:rPr>
        <w:t xml:space="preserve">tort </w:t>
      </w:r>
      <w:r w:rsidR="003C5341" w:rsidRPr="009C3204">
        <w:rPr>
          <w:rFonts w:ascii="Cambria" w:hAnsi="Cambria"/>
          <w:sz w:val="24"/>
          <w:szCs w:val="24"/>
        </w:rPr>
        <w:t xml:space="preserve">law, </w:t>
      </w:r>
      <w:proofErr w:type="spellStart"/>
      <w:proofErr w:type="gramStart"/>
      <w:r w:rsidR="003C5341" w:rsidRPr="009C3204">
        <w:rPr>
          <w:rFonts w:ascii="Cambria" w:hAnsi="Cambria"/>
          <w:i/>
          <w:sz w:val="24"/>
          <w:szCs w:val="24"/>
        </w:rPr>
        <w:t>Anns</w:t>
      </w:r>
      <w:proofErr w:type="spellEnd"/>
      <w:proofErr w:type="gramEnd"/>
      <w:r w:rsidR="00BC1BFC" w:rsidRPr="009C3204">
        <w:rPr>
          <w:rFonts w:ascii="Cambria" w:hAnsi="Cambria"/>
          <w:i/>
          <w:sz w:val="24"/>
          <w:szCs w:val="24"/>
        </w:rPr>
        <w:t xml:space="preserve"> v Merton</w:t>
      </w:r>
      <w:r w:rsidR="00F876C5" w:rsidRPr="009C3204">
        <w:rPr>
          <w:rFonts w:ascii="Cambria" w:hAnsi="Cambria"/>
          <w:i/>
          <w:sz w:val="24"/>
          <w:szCs w:val="24"/>
        </w:rPr>
        <w:t xml:space="preserve"> </w:t>
      </w:r>
      <w:r w:rsidR="00BC1BFC" w:rsidRPr="009C3204">
        <w:rPr>
          <w:rFonts w:ascii="Cambria" w:hAnsi="Cambria"/>
          <w:sz w:val="24"/>
          <w:szCs w:val="24"/>
        </w:rPr>
        <w:t xml:space="preserve">was the pinnacle of attempts at stating general negligence principles </w:t>
      </w:r>
      <w:r w:rsidR="00F876C5" w:rsidRPr="009C3204">
        <w:rPr>
          <w:rFonts w:ascii="Cambria" w:hAnsi="Cambria"/>
          <w:sz w:val="24"/>
          <w:szCs w:val="24"/>
        </w:rPr>
        <w:t>in the UK</w:t>
      </w:r>
      <w:r w:rsidR="003C5341" w:rsidRPr="009C3204">
        <w:rPr>
          <w:rFonts w:ascii="Cambria" w:hAnsi="Cambria"/>
          <w:sz w:val="24"/>
          <w:szCs w:val="24"/>
        </w:rPr>
        <w:t>,</w:t>
      </w:r>
      <w:r w:rsidR="00BC1BFC" w:rsidRPr="009C3204">
        <w:rPr>
          <w:rStyle w:val="FootnoteReference"/>
          <w:rFonts w:ascii="Cambria" w:hAnsi="Cambria"/>
          <w:sz w:val="24"/>
          <w:szCs w:val="24"/>
        </w:rPr>
        <w:footnoteReference w:id="63"/>
      </w:r>
      <w:r w:rsidR="00C16528" w:rsidRPr="009C3204">
        <w:rPr>
          <w:rFonts w:ascii="Cambria" w:hAnsi="Cambria"/>
          <w:sz w:val="24"/>
          <w:szCs w:val="24"/>
        </w:rPr>
        <w:t xml:space="preserve"> giving a prima facie entitlement to security and </w:t>
      </w:r>
      <w:r w:rsidR="003907F4" w:rsidRPr="009C3204">
        <w:rPr>
          <w:rFonts w:ascii="Cambria" w:hAnsi="Cambria"/>
          <w:sz w:val="24"/>
          <w:szCs w:val="24"/>
        </w:rPr>
        <w:t xml:space="preserve">a </w:t>
      </w:r>
      <w:r w:rsidR="00C16528" w:rsidRPr="009C3204">
        <w:rPr>
          <w:rFonts w:ascii="Cambria" w:hAnsi="Cambria"/>
          <w:sz w:val="24"/>
          <w:szCs w:val="24"/>
        </w:rPr>
        <w:t>potential role to policy factors in restraining that entitlement. T</w:t>
      </w:r>
      <w:r w:rsidR="00BC1BFC" w:rsidRPr="009C3204">
        <w:rPr>
          <w:rFonts w:ascii="Cambria" w:hAnsi="Cambria"/>
          <w:sz w:val="24"/>
          <w:szCs w:val="24"/>
        </w:rPr>
        <w:t xml:space="preserve">he fall of </w:t>
      </w:r>
      <w:proofErr w:type="spellStart"/>
      <w:r w:rsidR="00BC1BFC" w:rsidRPr="009C3204">
        <w:rPr>
          <w:rFonts w:ascii="Cambria" w:hAnsi="Cambria"/>
          <w:i/>
          <w:sz w:val="24"/>
          <w:szCs w:val="24"/>
        </w:rPr>
        <w:t>Anns</w:t>
      </w:r>
      <w:proofErr w:type="spellEnd"/>
      <w:r w:rsidR="00BC1BFC" w:rsidRPr="009C3204">
        <w:rPr>
          <w:rFonts w:ascii="Cambria" w:hAnsi="Cambria"/>
          <w:i/>
          <w:sz w:val="24"/>
          <w:szCs w:val="24"/>
        </w:rPr>
        <w:t xml:space="preserve"> </w:t>
      </w:r>
      <w:r w:rsidR="00BC1BFC" w:rsidRPr="009C3204">
        <w:rPr>
          <w:rFonts w:ascii="Cambria" w:hAnsi="Cambria"/>
          <w:sz w:val="24"/>
          <w:szCs w:val="24"/>
        </w:rPr>
        <w:t xml:space="preserve">and </w:t>
      </w:r>
      <w:r w:rsidR="003C5341" w:rsidRPr="009C3204">
        <w:rPr>
          <w:rFonts w:ascii="Cambria" w:hAnsi="Cambria"/>
          <w:sz w:val="24"/>
          <w:szCs w:val="24"/>
        </w:rPr>
        <w:t xml:space="preserve">restriction of negligence duties in tort in </w:t>
      </w:r>
      <w:r w:rsidR="003C5341" w:rsidRPr="009C3204">
        <w:rPr>
          <w:rFonts w:ascii="Cambria" w:hAnsi="Cambria"/>
          <w:i/>
          <w:sz w:val="24"/>
          <w:szCs w:val="24"/>
        </w:rPr>
        <w:t xml:space="preserve">Murphy v Brentwood </w:t>
      </w:r>
      <w:r w:rsidR="00F876C5" w:rsidRPr="009C3204">
        <w:rPr>
          <w:rFonts w:ascii="Cambria" w:hAnsi="Cambria"/>
          <w:sz w:val="24"/>
          <w:szCs w:val="24"/>
        </w:rPr>
        <w:t xml:space="preserve">by the end of the </w:t>
      </w:r>
      <w:r w:rsidR="00BC1BFC" w:rsidRPr="009C3204">
        <w:rPr>
          <w:rFonts w:ascii="Cambria" w:hAnsi="Cambria"/>
          <w:sz w:val="24"/>
          <w:szCs w:val="24"/>
        </w:rPr>
        <w:t xml:space="preserve">same </w:t>
      </w:r>
      <w:r w:rsidR="00F876C5" w:rsidRPr="009C3204">
        <w:rPr>
          <w:rFonts w:ascii="Cambria" w:hAnsi="Cambria"/>
          <w:sz w:val="24"/>
          <w:szCs w:val="24"/>
        </w:rPr>
        <w:t>decade, i</w:t>
      </w:r>
      <w:r w:rsidR="003C5341" w:rsidRPr="009C3204">
        <w:rPr>
          <w:rFonts w:ascii="Cambria" w:hAnsi="Cambria"/>
          <w:sz w:val="24"/>
          <w:szCs w:val="24"/>
        </w:rPr>
        <w:t xml:space="preserve">s consistent </w:t>
      </w:r>
      <w:r w:rsidR="00BC1BFC" w:rsidRPr="009C3204">
        <w:rPr>
          <w:rFonts w:ascii="Cambria" w:hAnsi="Cambria"/>
          <w:sz w:val="24"/>
          <w:szCs w:val="24"/>
        </w:rPr>
        <w:t xml:space="preserve">both </w:t>
      </w:r>
      <w:r w:rsidR="003C5341" w:rsidRPr="009C3204">
        <w:rPr>
          <w:rFonts w:ascii="Cambria" w:hAnsi="Cambria"/>
          <w:sz w:val="24"/>
          <w:szCs w:val="24"/>
        </w:rPr>
        <w:t>with this identification of the period of revolution, and with a possible response from private law.</w:t>
      </w:r>
    </w:p>
    <w:p w14:paraId="0C4F0ACC" w14:textId="77777777" w:rsidR="00C16528" w:rsidRPr="009C3204" w:rsidRDefault="006231E4" w:rsidP="008E4509">
      <w:pPr>
        <w:spacing w:line="240" w:lineRule="auto"/>
        <w:jc w:val="both"/>
        <w:rPr>
          <w:rFonts w:ascii="Cambria" w:hAnsi="Cambria"/>
          <w:sz w:val="24"/>
          <w:szCs w:val="24"/>
        </w:rPr>
      </w:pPr>
      <w:r w:rsidRPr="009C3204">
        <w:rPr>
          <w:rFonts w:ascii="Cambria" w:hAnsi="Cambria"/>
          <w:sz w:val="24"/>
          <w:szCs w:val="24"/>
        </w:rPr>
        <w:t xml:space="preserve">Unlike the security revolution, this </w:t>
      </w:r>
      <w:r w:rsidR="005C4156" w:rsidRPr="009C3204">
        <w:rPr>
          <w:rFonts w:ascii="Cambria" w:hAnsi="Cambria"/>
          <w:sz w:val="24"/>
          <w:szCs w:val="24"/>
        </w:rPr>
        <w:t xml:space="preserve">further era of change </w:t>
      </w:r>
      <w:r w:rsidRPr="009C3204">
        <w:rPr>
          <w:rFonts w:ascii="Cambria" w:hAnsi="Cambria"/>
          <w:sz w:val="24"/>
          <w:szCs w:val="24"/>
        </w:rPr>
        <w:t xml:space="preserve">is not </w:t>
      </w:r>
      <w:r w:rsidR="005C0BE6" w:rsidRPr="009C3204">
        <w:rPr>
          <w:rFonts w:ascii="Cambria" w:hAnsi="Cambria"/>
          <w:sz w:val="24"/>
          <w:szCs w:val="24"/>
        </w:rPr>
        <w:t xml:space="preserve">necessarily </w:t>
      </w:r>
      <w:r w:rsidRPr="009C3204">
        <w:rPr>
          <w:rFonts w:ascii="Cambria" w:hAnsi="Cambria"/>
          <w:sz w:val="24"/>
          <w:szCs w:val="24"/>
        </w:rPr>
        <w:t>premised on new discoveries about risk</w:t>
      </w:r>
      <w:r w:rsidR="00055EC1" w:rsidRPr="009C3204">
        <w:rPr>
          <w:rFonts w:ascii="Cambria" w:hAnsi="Cambria"/>
          <w:sz w:val="24"/>
          <w:szCs w:val="24"/>
        </w:rPr>
        <w:t>, at least not at the state or governmental level</w:t>
      </w:r>
      <w:r w:rsidR="00D746DB" w:rsidRPr="009C3204">
        <w:rPr>
          <w:rFonts w:ascii="Cambria" w:hAnsi="Cambria"/>
          <w:sz w:val="24"/>
          <w:szCs w:val="24"/>
        </w:rPr>
        <w:t xml:space="preserve">. But it </w:t>
      </w:r>
      <w:r w:rsidR="005C4156" w:rsidRPr="009C3204">
        <w:rPr>
          <w:rFonts w:ascii="Cambria" w:hAnsi="Cambria"/>
          <w:sz w:val="24"/>
          <w:szCs w:val="24"/>
        </w:rPr>
        <w:t xml:space="preserve">may well reflect a belief that smarter approaches to risk can be developed through the expertise of the </w:t>
      </w:r>
      <w:proofErr w:type="gramStart"/>
      <w:r w:rsidR="005C4156" w:rsidRPr="009C3204">
        <w:rPr>
          <w:rFonts w:ascii="Cambria" w:hAnsi="Cambria"/>
          <w:sz w:val="24"/>
          <w:szCs w:val="24"/>
        </w:rPr>
        <w:t>private,</w:t>
      </w:r>
      <w:proofErr w:type="gramEnd"/>
      <w:r w:rsidR="005C4156" w:rsidRPr="009C3204">
        <w:rPr>
          <w:rFonts w:ascii="Cambria" w:hAnsi="Cambria"/>
          <w:sz w:val="24"/>
          <w:szCs w:val="24"/>
        </w:rPr>
        <w:t xml:space="preserve"> and particularly financial sector</w:t>
      </w:r>
      <w:r w:rsidRPr="009C3204">
        <w:rPr>
          <w:rFonts w:ascii="Cambria" w:hAnsi="Cambria"/>
          <w:sz w:val="24"/>
          <w:szCs w:val="24"/>
        </w:rPr>
        <w:t>.</w:t>
      </w:r>
      <w:r w:rsidR="005C4156" w:rsidRPr="009C3204">
        <w:rPr>
          <w:rStyle w:val="FootnoteReference"/>
          <w:rFonts w:ascii="Cambria" w:hAnsi="Cambria"/>
          <w:sz w:val="24"/>
          <w:szCs w:val="24"/>
        </w:rPr>
        <w:footnoteReference w:id="64"/>
      </w:r>
      <w:r w:rsidR="00B01D39" w:rsidRPr="009C3204">
        <w:rPr>
          <w:rFonts w:ascii="Cambria" w:hAnsi="Cambria"/>
          <w:sz w:val="24"/>
          <w:szCs w:val="24"/>
        </w:rPr>
        <w:t xml:space="preserve"> </w:t>
      </w:r>
      <w:r w:rsidR="00BC1BFC" w:rsidRPr="009C3204">
        <w:rPr>
          <w:rFonts w:ascii="Cambria" w:hAnsi="Cambria"/>
          <w:sz w:val="24"/>
          <w:szCs w:val="24"/>
        </w:rPr>
        <w:t>Expertise, therefore, is devolved (and with it, it has been suggested, authority too).</w:t>
      </w:r>
      <w:r w:rsidR="00BC1BFC" w:rsidRPr="009C3204">
        <w:rPr>
          <w:rStyle w:val="FootnoteReference"/>
          <w:rFonts w:ascii="Cambria" w:hAnsi="Cambria"/>
          <w:sz w:val="24"/>
          <w:szCs w:val="24"/>
        </w:rPr>
        <w:footnoteReference w:id="65"/>
      </w:r>
      <w:r w:rsidR="00BC1BFC" w:rsidRPr="009C3204">
        <w:rPr>
          <w:rFonts w:ascii="Cambria" w:hAnsi="Cambria"/>
          <w:sz w:val="24"/>
          <w:szCs w:val="24"/>
        </w:rPr>
        <w:t xml:space="preserve"> In part</w:t>
      </w:r>
      <w:r w:rsidRPr="009C3204">
        <w:rPr>
          <w:rFonts w:ascii="Cambria" w:hAnsi="Cambria"/>
          <w:sz w:val="24"/>
          <w:szCs w:val="24"/>
        </w:rPr>
        <w:t xml:space="preserve">, </w:t>
      </w:r>
      <w:r w:rsidR="00B01D39" w:rsidRPr="009C3204">
        <w:rPr>
          <w:rFonts w:ascii="Cambria" w:hAnsi="Cambria"/>
          <w:sz w:val="24"/>
          <w:szCs w:val="24"/>
        </w:rPr>
        <w:t>the new direction</w:t>
      </w:r>
      <w:r w:rsidR="006209FD" w:rsidRPr="009C3204">
        <w:rPr>
          <w:rFonts w:ascii="Cambria" w:hAnsi="Cambria"/>
          <w:sz w:val="24"/>
          <w:szCs w:val="24"/>
        </w:rPr>
        <w:t xml:space="preserve"> may be said to be</w:t>
      </w:r>
      <w:r w:rsidRPr="009C3204">
        <w:rPr>
          <w:rFonts w:ascii="Cambria" w:hAnsi="Cambria"/>
          <w:sz w:val="24"/>
          <w:szCs w:val="24"/>
        </w:rPr>
        <w:t xml:space="preserve"> about the perceived limits of </w:t>
      </w:r>
      <w:r w:rsidR="00EF4CBB" w:rsidRPr="009C3204">
        <w:rPr>
          <w:rFonts w:ascii="Cambria" w:hAnsi="Cambria"/>
          <w:sz w:val="24"/>
          <w:szCs w:val="24"/>
        </w:rPr>
        <w:t xml:space="preserve">the use of risk, and of attainable </w:t>
      </w:r>
      <w:r w:rsidRPr="009C3204">
        <w:rPr>
          <w:rFonts w:ascii="Cambria" w:hAnsi="Cambria"/>
          <w:sz w:val="24"/>
          <w:szCs w:val="24"/>
        </w:rPr>
        <w:t>security</w:t>
      </w:r>
      <w:r w:rsidR="00EF4CBB" w:rsidRPr="009C3204">
        <w:rPr>
          <w:rFonts w:ascii="Cambria" w:hAnsi="Cambria"/>
          <w:sz w:val="24"/>
          <w:szCs w:val="24"/>
        </w:rPr>
        <w:t>,</w:t>
      </w:r>
      <w:r w:rsidRPr="009C3204">
        <w:rPr>
          <w:rFonts w:ascii="Cambria" w:hAnsi="Cambria"/>
          <w:sz w:val="24"/>
          <w:szCs w:val="24"/>
        </w:rPr>
        <w:t xml:space="preserve"> either in </w:t>
      </w:r>
      <w:proofErr w:type="gramStart"/>
      <w:r w:rsidRPr="009C3204">
        <w:rPr>
          <w:rFonts w:ascii="Cambria" w:hAnsi="Cambria"/>
          <w:sz w:val="24"/>
          <w:szCs w:val="24"/>
        </w:rPr>
        <w:t>practical,</w:t>
      </w:r>
      <w:proofErr w:type="gramEnd"/>
      <w:r w:rsidRPr="009C3204">
        <w:rPr>
          <w:rFonts w:ascii="Cambria" w:hAnsi="Cambria"/>
          <w:sz w:val="24"/>
          <w:szCs w:val="24"/>
        </w:rPr>
        <w:t xml:space="preserve"> or political terms. </w:t>
      </w:r>
      <w:r w:rsidR="00055EC1" w:rsidRPr="009C3204">
        <w:rPr>
          <w:rFonts w:ascii="Cambria" w:hAnsi="Cambria"/>
          <w:sz w:val="24"/>
          <w:szCs w:val="24"/>
        </w:rPr>
        <w:t xml:space="preserve">At the same time, there is a recognition of the limits of state action </w:t>
      </w:r>
      <w:r w:rsidR="00A85AA0" w:rsidRPr="009C3204">
        <w:rPr>
          <w:rFonts w:ascii="Cambria" w:hAnsi="Cambria"/>
          <w:sz w:val="24"/>
          <w:szCs w:val="24"/>
        </w:rPr>
        <w:t xml:space="preserve">and expertise </w:t>
      </w:r>
      <w:r w:rsidR="00055EC1" w:rsidRPr="009C3204">
        <w:rPr>
          <w:rFonts w:ascii="Cambria" w:hAnsi="Cambria"/>
          <w:sz w:val="24"/>
          <w:szCs w:val="24"/>
        </w:rPr>
        <w:t xml:space="preserve">in many areas, and this has been associated with </w:t>
      </w:r>
      <w:r w:rsidR="00F876C5" w:rsidRPr="009C3204">
        <w:rPr>
          <w:rFonts w:ascii="Cambria" w:hAnsi="Cambria"/>
          <w:sz w:val="24"/>
          <w:szCs w:val="24"/>
        </w:rPr>
        <w:t xml:space="preserve">decentralisation of governance to private actors </w:t>
      </w:r>
      <w:r w:rsidR="00A85AA0" w:rsidRPr="009C3204">
        <w:rPr>
          <w:rFonts w:ascii="Cambria" w:hAnsi="Cambria"/>
          <w:sz w:val="24"/>
          <w:szCs w:val="24"/>
        </w:rPr>
        <w:t>or, more subtly, the blending of private and public roles</w:t>
      </w:r>
      <w:r w:rsidR="00277678" w:rsidRPr="009C3204">
        <w:rPr>
          <w:rFonts w:ascii="Cambria" w:hAnsi="Cambria"/>
          <w:sz w:val="24"/>
          <w:szCs w:val="24"/>
        </w:rPr>
        <w:t>: private actors may be charged with state functions, and at the same time state entities are required to adhere to market rationality</w:t>
      </w:r>
      <w:r w:rsidR="00A85AA0" w:rsidRPr="009C3204">
        <w:rPr>
          <w:rFonts w:ascii="Cambria" w:hAnsi="Cambria"/>
          <w:sz w:val="24"/>
          <w:szCs w:val="24"/>
        </w:rPr>
        <w:t>. The state itself is seen, increasingly, as vulnerable and in need of protection.</w:t>
      </w:r>
      <w:r w:rsidR="00277678" w:rsidRPr="009C3204">
        <w:rPr>
          <w:rFonts w:ascii="Cambria" w:hAnsi="Cambria"/>
          <w:sz w:val="24"/>
          <w:szCs w:val="24"/>
        </w:rPr>
        <w:t xml:space="preserve"> In this process, in which ‘governance’ happens </w:t>
      </w:r>
      <w:r w:rsidR="005E4B48" w:rsidRPr="009C3204">
        <w:rPr>
          <w:rFonts w:ascii="Cambria" w:hAnsi="Cambria"/>
          <w:sz w:val="24"/>
          <w:szCs w:val="24"/>
        </w:rPr>
        <w:t xml:space="preserve">much more </w:t>
      </w:r>
      <w:r w:rsidR="00277678" w:rsidRPr="009C3204">
        <w:rPr>
          <w:rFonts w:ascii="Cambria" w:hAnsi="Cambria"/>
          <w:sz w:val="24"/>
          <w:szCs w:val="24"/>
        </w:rPr>
        <w:t xml:space="preserve">diffusely and </w:t>
      </w:r>
      <w:r w:rsidR="005E4B48" w:rsidRPr="009C3204">
        <w:rPr>
          <w:rFonts w:ascii="Cambria" w:hAnsi="Cambria"/>
          <w:sz w:val="24"/>
          <w:szCs w:val="24"/>
        </w:rPr>
        <w:t>there is a blurring of public and private entities, it</w:t>
      </w:r>
      <w:r w:rsidR="00277678" w:rsidRPr="009C3204">
        <w:rPr>
          <w:rFonts w:ascii="Cambria" w:hAnsi="Cambria"/>
          <w:sz w:val="24"/>
          <w:szCs w:val="24"/>
        </w:rPr>
        <w:t xml:space="preserve"> is widely </w:t>
      </w:r>
      <w:r w:rsidR="00200611" w:rsidRPr="009C3204">
        <w:rPr>
          <w:rFonts w:ascii="Cambria" w:hAnsi="Cambria"/>
          <w:sz w:val="24"/>
          <w:szCs w:val="24"/>
        </w:rPr>
        <w:t xml:space="preserve">suggested </w:t>
      </w:r>
      <w:r w:rsidR="00277678" w:rsidRPr="009C3204">
        <w:rPr>
          <w:rFonts w:ascii="Cambria" w:hAnsi="Cambria"/>
          <w:sz w:val="24"/>
          <w:szCs w:val="24"/>
        </w:rPr>
        <w:t>that a ‘risk management paradigm’ has become ‘an important framing construct’; and</w:t>
      </w:r>
      <w:r w:rsidR="005E4B48" w:rsidRPr="009C3204">
        <w:rPr>
          <w:rFonts w:ascii="Cambria" w:hAnsi="Cambria"/>
          <w:sz w:val="24"/>
          <w:szCs w:val="24"/>
        </w:rPr>
        <w:t xml:space="preserve"> that</w:t>
      </w:r>
      <w:r w:rsidR="00277678" w:rsidRPr="009C3204">
        <w:rPr>
          <w:rFonts w:ascii="Cambria" w:hAnsi="Cambria"/>
          <w:sz w:val="24"/>
          <w:szCs w:val="24"/>
        </w:rPr>
        <w:t xml:space="preserve"> ‘risk assessment and management have become central organising principles for many organisations and institutions’.</w:t>
      </w:r>
      <w:r w:rsidR="00277678" w:rsidRPr="009C3204">
        <w:rPr>
          <w:rStyle w:val="FootnoteReference"/>
          <w:rFonts w:ascii="Cambria" w:hAnsi="Cambria"/>
          <w:sz w:val="24"/>
          <w:szCs w:val="24"/>
        </w:rPr>
        <w:footnoteReference w:id="66"/>
      </w:r>
      <w:r w:rsidR="00277678" w:rsidRPr="009C3204">
        <w:rPr>
          <w:rFonts w:ascii="Cambria" w:hAnsi="Cambria"/>
          <w:sz w:val="24"/>
          <w:szCs w:val="24"/>
        </w:rPr>
        <w:t xml:space="preserve"> </w:t>
      </w:r>
      <w:r w:rsidR="00C16528" w:rsidRPr="009C3204">
        <w:rPr>
          <w:rFonts w:ascii="Cambria" w:hAnsi="Cambria"/>
          <w:sz w:val="24"/>
          <w:szCs w:val="24"/>
        </w:rPr>
        <w:t xml:space="preserve">Thus, risk management can be seen as part of the decentralisation of risk decisions, rather than part of the centralisation that marked the first security revolution. </w:t>
      </w:r>
    </w:p>
    <w:p w14:paraId="64C5ED38" w14:textId="79CD32A7" w:rsidR="002B4387" w:rsidRPr="009C3204" w:rsidRDefault="00C16528" w:rsidP="008E4509">
      <w:pPr>
        <w:spacing w:line="240" w:lineRule="auto"/>
        <w:jc w:val="both"/>
        <w:rPr>
          <w:rFonts w:ascii="Cambria" w:hAnsi="Cambria"/>
          <w:sz w:val="24"/>
          <w:szCs w:val="24"/>
        </w:rPr>
      </w:pPr>
      <w:r w:rsidRPr="009C3204">
        <w:rPr>
          <w:rFonts w:ascii="Cambria" w:hAnsi="Cambria"/>
          <w:sz w:val="24"/>
          <w:szCs w:val="24"/>
        </w:rPr>
        <w:t>At the same time</w:t>
      </w:r>
      <w:r w:rsidR="005E4B48" w:rsidRPr="009C3204">
        <w:rPr>
          <w:rFonts w:ascii="Cambria" w:hAnsi="Cambria"/>
          <w:sz w:val="24"/>
          <w:szCs w:val="24"/>
        </w:rPr>
        <w:t xml:space="preserve">, </w:t>
      </w:r>
      <w:r w:rsidR="000964C9" w:rsidRPr="009C3204">
        <w:rPr>
          <w:rFonts w:ascii="Cambria" w:hAnsi="Cambria"/>
          <w:sz w:val="24"/>
          <w:szCs w:val="24"/>
        </w:rPr>
        <w:t>it is recognised that there are limits to the degree of confidence with which certain risks can be predicted</w:t>
      </w:r>
      <w:r w:rsidR="005E4B48" w:rsidRPr="009C3204">
        <w:rPr>
          <w:rFonts w:ascii="Cambria" w:hAnsi="Cambria"/>
          <w:sz w:val="24"/>
          <w:szCs w:val="24"/>
        </w:rPr>
        <w:t xml:space="preserve">: </w:t>
      </w:r>
      <w:r w:rsidR="000964C9" w:rsidRPr="009C3204">
        <w:rPr>
          <w:rFonts w:ascii="Cambria" w:hAnsi="Cambria"/>
          <w:sz w:val="24"/>
          <w:szCs w:val="24"/>
        </w:rPr>
        <w:t>‘uncertainty’</w:t>
      </w:r>
      <w:r w:rsidR="005E4B48" w:rsidRPr="009C3204">
        <w:rPr>
          <w:rFonts w:ascii="Cambria" w:hAnsi="Cambria"/>
          <w:sz w:val="24"/>
          <w:szCs w:val="24"/>
        </w:rPr>
        <w:t xml:space="preserve">, which </w:t>
      </w:r>
      <w:r w:rsidR="00BC1BFC" w:rsidRPr="009C3204">
        <w:rPr>
          <w:rFonts w:ascii="Cambria" w:hAnsi="Cambria"/>
          <w:sz w:val="24"/>
          <w:szCs w:val="24"/>
        </w:rPr>
        <w:t xml:space="preserve">is said to have </w:t>
      </w:r>
      <w:r w:rsidR="005E4B48" w:rsidRPr="009C3204">
        <w:rPr>
          <w:rFonts w:ascii="Cambria" w:hAnsi="Cambria"/>
          <w:sz w:val="24"/>
          <w:szCs w:val="24"/>
        </w:rPr>
        <w:t>played a diminishing role in the growing expectations of the security revolution, returns with a vengeance. It is recognised for example that r</w:t>
      </w:r>
      <w:r w:rsidR="000964C9" w:rsidRPr="009C3204">
        <w:rPr>
          <w:rFonts w:ascii="Cambria" w:hAnsi="Cambria"/>
          <w:sz w:val="24"/>
          <w:szCs w:val="24"/>
        </w:rPr>
        <w:t>isks are distributed partly over time, not only over cohorts</w:t>
      </w:r>
      <w:r w:rsidR="005E4B48" w:rsidRPr="009C3204">
        <w:rPr>
          <w:rFonts w:ascii="Cambria" w:hAnsi="Cambria"/>
          <w:sz w:val="24"/>
          <w:szCs w:val="24"/>
        </w:rPr>
        <w:t xml:space="preserve">; if greater risks are taken, this </w:t>
      </w:r>
      <w:r w:rsidR="00D11A52" w:rsidRPr="009C3204">
        <w:rPr>
          <w:rFonts w:ascii="Cambria" w:hAnsi="Cambria"/>
          <w:sz w:val="24"/>
          <w:szCs w:val="24"/>
        </w:rPr>
        <w:t xml:space="preserve">may be </w:t>
      </w:r>
      <w:r w:rsidR="005E4B48" w:rsidRPr="009C3204">
        <w:rPr>
          <w:rFonts w:ascii="Cambria" w:hAnsi="Cambria"/>
          <w:sz w:val="24"/>
          <w:szCs w:val="24"/>
        </w:rPr>
        <w:t>masked by the specialised natu</w:t>
      </w:r>
      <w:r w:rsidR="00BC1BFC" w:rsidRPr="009C3204">
        <w:rPr>
          <w:rFonts w:ascii="Cambria" w:hAnsi="Cambria"/>
          <w:sz w:val="24"/>
          <w:szCs w:val="24"/>
        </w:rPr>
        <w:t>re of the expertise which sometimes devises and creates those risks</w:t>
      </w:r>
      <w:r w:rsidR="00D4338E" w:rsidRPr="009C3204">
        <w:rPr>
          <w:rFonts w:ascii="Cambria" w:hAnsi="Cambria"/>
          <w:sz w:val="24"/>
          <w:szCs w:val="24"/>
        </w:rPr>
        <w:t>, and does not always successfully control them</w:t>
      </w:r>
      <w:r w:rsidR="000964C9" w:rsidRPr="009C3204">
        <w:rPr>
          <w:rFonts w:ascii="Cambria" w:hAnsi="Cambria"/>
          <w:sz w:val="24"/>
          <w:szCs w:val="24"/>
        </w:rPr>
        <w:t xml:space="preserve">. Equally, </w:t>
      </w:r>
      <w:r w:rsidR="005E4B48" w:rsidRPr="009C3204">
        <w:rPr>
          <w:rFonts w:ascii="Cambria" w:hAnsi="Cambria"/>
          <w:sz w:val="24"/>
          <w:szCs w:val="24"/>
        </w:rPr>
        <w:t xml:space="preserve">and importantly for the present theme, </w:t>
      </w:r>
      <w:r w:rsidR="000964C9" w:rsidRPr="009C3204">
        <w:rPr>
          <w:rFonts w:ascii="Cambria" w:hAnsi="Cambria"/>
          <w:sz w:val="24"/>
          <w:szCs w:val="24"/>
        </w:rPr>
        <w:t xml:space="preserve">the </w:t>
      </w:r>
      <w:r w:rsidR="000964C9" w:rsidRPr="009C3204">
        <w:rPr>
          <w:rFonts w:ascii="Cambria" w:hAnsi="Cambria"/>
          <w:i/>
          <w:sz w:val="24"/>
          <w:szCs w:val="24"/>
        </w:rPr>
        <w:t>cost</w:t>
      </w:r>
      <w:r w:rsidR="000964C9" w:rsidRPr="009C3204">
        <w:rPr>
          <w:rFonts w:ascii="Cambria" w:hAnsi="Cambria"/>
          <w:sz w:val="24"/>
          <w:szCs w:val="24"/>
        </w:rPr>
        <w:t xml:space="preserve"> of security in any general sense is recognised. Pol</w:t>
      </w:r>
      <w:r w:rsidR="00354137" w:rsidRPr="009C3204">
        <w:rPr>
          <w:rFonts w:ascii="Cambria" w:hAnsi="Cambria"/>
          <w:sz w:val="24"/>
          <w:szCs w:val="24"/>
        </w:rPr>
        <w:t>itically, this cost is attacked</w:t>
      </w:r>
      <w:r w:rsidR="000C7E13" w:rsidRPr="009C3204">
        <w:rPr>
          <w:rFonts w:ascii="Cambria" w:hAnsi="Cambria"/>
          <w:sz w:val="24"/>
          <w:szCs w:val="24"/>
        </w:rPr>
        <w:t>,</w:t>
      </w:r>
      <w:r w:rsidR="00354137" w:rsidRPr="009C3204">
        <w:rPr>
          <w:rFonts w:ascii="Cambria" w:hAnsi="Cambria"/>
          <w:sz w:val="24"/>
          <w:szCs w:val="24"/>
        </w:rPr>
        <w:t xml:space="preserve"> generalisation </w:t>
      </w:r>
      <w:r w:rsidR="005E4B48" w:rsidRPr="009C3204">
        <w:rPr>
          <w:rFonts w:ascii="Cambria" w:hAnsi="Cambria"/>
          <w:sz w:val="24"/>
          <w:szCs w:val="24"/>
        </w:rPr>
        <w:t xml:space="preserve">of security </w:t>
      </w:r>
      <w:r w:rsidR="00354137" w:rsidRPr="009C3204">
        <w:rPr>
          <w:rFonts w:ascii="Cambria" w:hAnsi="Cambria"/>
          <w:sz w:val="24"/>
          <w:szCs w:val="24"/>
        </w:rPr>
        <w:t>questioned</w:t>
      </w:r>
      <w:r w:rsidR="002B6958" w:rsidRPr="009C3204">
        <w:rPr>
          <w:rFonts w:ascii="Cambria" w:hAnsi="Cambria"/>
          <w:sz w:val="24"/>
          <w:szCs w:val="24"/>
        </w:rPr>
        <w:t xml:space="preserve"> on social</w:t>
      </w:r>
      <w:r w:rsidR="00D4338E" w:rsidRPr="009C3204">
        <w:rPr>
          <w:rFonts w:ascii="Cambria" w:hAnsi="Cambria"/>
          <w:sz w:val="24"/>
          <w:szCs w:val="24"/>
        </w:rPr>
        <w:t xml:space="preserve"> and ethical,</w:t>
      </w:r>
      <w:r w:rsidR="00D4338E" w:rsidRPr="009C3204">
        <w:rPr>
          <w:rStyle w:val="FootnoteReference"/>
          <w:rFonts w:ascii="Cambria" w:hAnsi="Cambria"/>
          <w:sz w:val="24"/>
          <w:szCs w:val="24"/>
        </w:rPr>
        <w:footnoteReference w:id="67"/>
      </w:r>
      <w:r w:rsidR="002B6958" w:rsidRPr="009C3204">
        <w:rPr>
          <w:rFonts w:ascii="Cambria" w:hAnsi="Cambria"/>
          <w:sz w:val="24"/>
          <w:szCs w:val="24"/>
        </w:rPr>
        <w:t xml:space="preserve"> as well as economic grounds </w:t>
      </w:r>
      <w:r w:rsidR="00DF6813" w:rsidRPr="009C3204">
        <w:rPr>
          <w:rFonts w:ascii="Cambria" w:hAnsi="Cambria"/>
          <w:sz w:val="24"/>
          <w:szCs w:val="24"/>
        </w:rPr>
        <w:t xml:space="preserve">— </w:t>
      </w:r>
      <w:r w:rsidR="002B6958" w:rsidRPr="009C3204">
        <w:rPr>
          <w:rFonts w:ascii="Cambria" w:hAnsi="Cambria"/>
          <w:sz w:val="24"/>
          <w:szCs w:val="24"/>
        </w:rPr>
        <w:t>though it is suspected that the latter reason is really at the core</w:t>
      </w:r>
      <w:r w:rsidR="00D4338E" w:rsidRPr="009C3204">
        <w:rPr>
          <w:rFonts w:ascii="Cambria" w:hAnsi="Cambria"/>
          <w:sz w:val="24"/>
          <w:szCs w:val="24"/>
        </w:rPr>
        <w:t>. A</w:t>
      </w:r>
      <w:r w:rsidR="00354137" w:rsidRPr="009C3204">
        <w:rPr>
          <w:rFonts w:ascii="Cambria" w:hAnsi="Cambria"/>
          <w:sz w:val="24"/>
          <w:szCs w:val="24"/>
        </w:rPr>
        <w:t xml:space="preserve">t the same </w:t>
      </w:r>
      <w:r w:rsidR="00354137" w:rsidRPr="009C3204">
        <w:rPr>
          <w:rFonts w:ascii="Cambria" w:hAnsi="Cambria"/>
          <w:sz w:val="24"/>
          <w:szCs w:val="24"/>
        </w:rPr>
        <w:lastRenderedPageBreak/>
        <w:t>time</w:t>
      </w:r>
      <w:r w:rsidR="002B6958" w:rsidRPr="009C3204">
        <w:rPr>
          <w:rFonts w:ascii="Cambria" w:hAnsi="Cambria"/>
          <w:sz w:val="24"/>
          <w:szCs w:val="24"/>
        </w:rPr>
        <w:t>,</w:t>
      </w:r>
      <w:r w:rsidR="000964C9" w:rsidRPr="009C3204">
        <w:rPr>
          <w:rFonts w:ascii="Cambria" w:hAnsi="Cambria"/>
          <w:sz w:val="24"/>
          <w:szCs w:val="24"/>
        </w:rPr>
        <w:t xml:space="preserve"> </w:t>
      </w:r>
      <w:r w:rsidR="00354137" w:rsidRPr="009C3204">
        <w:rPr>
          <w:rFonts w:ascii="Cambria" w:hAnsi="Cambria"/>
          <w:sz w:val="24"/>
          <w:szCs w:val="24"/>
        </w:rPr>
        <w:t xml:space="preserve">protective </w:t>
      </w:r>
      <w:r w:rsidR="000964C9" w:rsidRPr="009C3204">
        <w:rPr>
          <w:rFonts w:ascii="Cambria" w:hAnsi="Cambria"/>
          <w:sz w:val="24"/>
          <w:szCs w:val="24"/>
        </w:rPr>
        <w:t>treatment given to some classes of claimant is</w:t>
      </w:r>
      <w:r w:rsidR="000C7E13" w:rsidRPr="009C3204">
        <w:rPr>
          <w:rFonts w:ascii="Cambria" w:hAnsi="Cambria"/>
          <w:sz w:val="24"/>
          <w:szCs w:val="24"/>
        </w:rPr>
        <w:t xml:space="preserve"> criticised</w:t>
      </w:r>
      <w:r w:rsidR="000964C9" w:rsidRPr="009C3204">
        <w:rPr>
          <w:rFonts w:ascii="Cambria" w:hAnsi="Cambria"/>
          <w:sz w:val="24"/>
          <w:szCs w:val="24"/>
        </w:rPr>
        <w:t>.</w:t>
      </w:r>
      <w:r w:rsidR="000964C9" w:rsidRPr="009C3204">
        <w:rPr>
          <w:rStyle w:val="FootnoteReference"/>
          <w:rFonts w:ascii="Cambria" w:hAnsi="Cambria"/>
          <w:sz w:val="24"/>
          <w:szCs w:val="24"/>
        </w:rPr>
        <w:footnoteReference w:id="68"/>
      </w:r>
      <w:r w:rsidR="000964C9" w:rsidRPr="009C3204">
        <w:rPr>
          <w:rFonts w:ascii="Cambria" w:hAnsi="Cambria"/>
          <w:sz w:val="24"/>
          <w:szCs w:val="24"/>
        </w:rPr>
        <w:t xml:space="preserve"> </w:t>
      </w:r>
      <w:r w:rsidR="006231E4" w:rsidRPr="009C3204">
        <w:rPr>
          <w:rFonts w:ascii="Cambria" w:hAnsi="Cambria"/>
          <w:sz w:val="24"/>
          <w:szCs w:val="24"/>
        </w:rPr>
        <w:t xml:space="preserve">There is a </w:t>
      </w:r>
      <w:r w:rsidR="000964C9" w:rsidRPr="009C3204">
        <w:rPr>
          <w:rFonts w:ascii="Cambria" w:hAnsi="Cambria"/>
          <w:sz w:val="24"/>
          <w:szCs w:val="24"/>
        </w:rPr>
        <w:t xml:space="preserve">growing </w:t>
      </w:r>
      <w:r w:rsidR="006209FD" w:rsidRPr="009C3204">
        <w:rPr>
          <w:rFonts w:ascii="Cambria" w:hAnsi="Cambria"/>
          <w:sz w:val="24"/>
          <w:szCs w:val="24"/>
        </w:rPr>
        <w:t xml:space="preserve">rhetorical </w:t>
      </w:r>
      <w:r w:rsidR="006231E4" w:rsidRPr="009C3204">
        <w:rPr>
          <w:rFonts w:ascii="Cambria" w:hAnsi="Cambria"/>
          <w:sz w:val="24"/>
          <w:szCs w:val="24"/>
        </w:rPr>
        <w:t>focu</w:t>
      </w:r>
      <w:r w:rsidR="005E4B48" w:rsidRPr="009C3204">
        <w:rPr>
          <w:rFonts w:ascii="Cambria" w:hAnsi="Cambria"/>
          <w:sz w:val="24"/>
          <w:szCs w:val="24"/>
        </w:rPr>
        <w:t>s on responsibility, particularly</w:t>
      </w:r>
      <w:r w:rsidR="006231E4" w:rsidRPr="009C3204">
        <w:rPr>
          <w:rFonts w:ascii="Cambria" w:hAnsi="Cambria"/>
          <w:sz w:val="24"/>
          <w:szCs w:val="24"/>
        </w:rPr>
        <w:t xml:space="preserve"> the responsibility of individuals to take care of their own risks or </w:t>
      </w:r>
      <w:r w:rsidR="00D11A52" w:rsidRPr="009C3204">
        <w:rPr>
          <w:rFonts w:ascii="Cambria" w:hAnsi="Cambria"/>
          <w:sz w:val="24"/>
          <w:szCs w:val="24"/>
        </w:rPr>
        <w:t xml:space="preserve">to </w:t>
      </w:r>
      <w:r w:rsidR="006231E4" w:rsidRPr="009C3204">
        <w:rPr>
          <w:rFonts w:ascii="Cambria" w:hAnsi="Cambria"/>
          <w:sz w:val="24"/>
          <w:szCs w:val="24"/>
        </w:rPr>
        <w:t>bear the costs of their own activities or choices.</w:t>
      </w:r>
      <w:r w:rsidR="006209FD" w:rsidRPr="009C3204">
        <w:rPr>
          <w:rFonts w:ascii="Cambria" w:hAnsi="Cambria"/>
          <w:sz w:val="24"/>
          <w:szCs w:val="24"/>
        </w:rPr>
        <w:t xml:space="preserve"> </w:t>
      </w:r>
    </w:p>
    <w:p w14:paraId="42D6AB43" w14:textId="6D4043D1" w:rsidR="00BC6DF6" w:rsidRPr="009C3204" w:rsidRDefault="006209FD" w:rsidP="008E4509">
      <w:pPr>
        <w:spacing w:line="240" w:lineRule="auto"/>
        <w:jc w:val="both"/>
        <w:rPr>
          <w:rFonts w:ascii="Cambria" w:hAnsi="Cambria"/>
          <w:sz w:val="24"/>
          <w:szCs w:val="24"/>
        </w:rPr>
      </w:pPr>
      <w:r w:rsidRPr="009C3204">
        <w:rPr>
          <w:rFonts w:ascii="Cambria" w:hAnsi="Cambria"/>
          <w:sz w:val="24"/>
          <w:szCs w:val="24"/>
        </w:rPr>
        <w:t>Why</w:t>
      </w:r>
      <w:r w:rsidR="002B4387" w:rsidRPr="009C3204">
        <w:rPr>
          <w:rFonts w:ascii="Cambria" w:hAnsi="Cambria"/>
          <w:sz w:val="24"/>
          <w:szCs w:val="24"/>
        </w:rPr>
        <w:t xml:space="preserve"> is it suggested that this focus is</w:t>
      </w:r>
      <w:r w:rsidRPr="009C3204">
        <w:rPr>
          <w:rFonts w:ascii="Cambria" w:hAnsi="Cambria"/>
          <w:sz w:val="24"/>
          <w:szCs w:val="24"/>
        </w:rPr>
        <w:t xml:space="preserve"> ‘rhetorical’? </w:t>
      </w:r>
      <w:r w:rsidR="00200611" w:rsidRPr="009C3204">
        <w:rPr>
          <w:rFonts w:ascii="Cambria" w:hAnsi="Cambria"/>
          <w:sz w:val="24"/>
          <w:szCs w:val="24"/>
        </w:rPr>
        <w:t xml:space="preserve">‘Responsibility’ may in part be a justification for declining support </w:t>
      </w:r>
      <w:r w:rsidR="0039502C" w:rsidRPr="009C3204">
        <w:rPr>
          <w:rFonts w:ascii="Cambria" w:hAnsi="Cambria"/>
          <w:sz w:val="24"/>
          <w:szCs w:val="24"/>
        </w:rPr>
        <w:t xml:space="preserve">which is, in fact, </w:t>
      </w:r>
      <w:r w:rsidR="00200611" w:rsidRPr="009C3204">
        <w:rPr>
          <w:rFonts w:ascii="Cambria" w:hAnsi="Cambria"/>
          <w:sz w:val="24"/>
          <w:szCs w:val="24"/>
        </w:rPr>
        <w:t xml:space="preserve">the product of </w:t>
      </w:r>
      <w:r w:rsidR="0039502C" w:rsidRPr="009C3204">
        <w:rPr>
          <w:rFonts w:ascii="Cambria" w:hAnsi="Cambria"/>
          <w:sz w:val="24"/>
          <w:szCs w:val="24"/>
        </w:rPr>
        <w:t xml:space="preserve">the recognised costs of </w:t>
      </w:r>
      <w:r w:rsidR="00200611" w:rsidRPr="009C3204">
        <w:rPr>
          <w:rFonts w:ascii="Cambria" w:hAnsi="Cambria"/>
          <w:sz w:val="24"/>
          <w:szCs w:val="24"/>
        </w:rPr>
        <w:t>security. Beyond that, i</w:t>
      </w:r>
      <w:r w:rsidR="00893FC3" w:rsidRPr="009C3204">
        <w:rPr>
          <w:rFonts w:ascii="Cambria" w:hAnsi="Cambria"/>
          <w:sz w:val="24"/>
          <w:szCs w:val="24"/>
        </w:rPr>
        <w:t xml:space="preserve">t is not </w:t>
      </w:r>
      <w:r w:rsidR="002B4387" w:rsidRPr="009C3204">
        <w:rPr>
          <w:rFonts w:ascii="Cambria" w:hAnsi="Cambria"/>
          <w:sz w:val="24"/>
          <w:szCs w:val="24"/>
        </w:rPr>
        <w:t xml:space="preserve">altogether </w:t>
      </w:r>
      <w:r w:rsidR="00893FC3" w:rsidRPr="009C3204">
        <w:rPr>
          <w:rFonts w:ascii="Cambria" w:hAnsi="Cambria"/>
          <w:sz w:val="24"/>
          <w:szCs w:val="24"/>
        </w:rPr>
        <w:t>clear that renewed emphasis on responsibility</w:t>
      </w:r>
      <w:r w:rsidR="006A0DB0" w:rsidRPr="009C3204">
        <w:rPr>
          <w:rFonts w:ascii="Cambria" w:hAnsi="Cambria"/>
          <w:sz w:val="24"/>
          <w:szCs w:val="24"/>
        </w:rPr>
        <w:t xml:space="preserve"> is intended to lead to indi</w:t>
      </w:r>
      <w:r w:rsidR="00200611" w:rsidRPr="009C3204">
        <w:rPr>
          <w:rFonts w:ascii="Cambria" w:hAnsi="Cambria"/>
          <w:sz w:val="24"/>
          <w:szCs w:val="24"/>
        </w:rPr>
        <w:t>vidual exposure to</w:t>
      </w:r>
      <w:r w:rsidR="006A0DB0" w:rsidRPr="009C3204">
        <w:rPr>
          <w:rFonts w:ascii="Cambria" w:hAnsi="Cambria"/>
          <w:sz w:val="24"/>
          <w:szCs w:val="24"/>
        </w:rPr>
        <w:t xml:space="preserve"> harm</w:t>
      </w:r>
      <w:r w:rsidR="00CB6B43" w:rsidRPr="009C3204">
        <w:rPr>
          <w:rFonts w:ascii="Cambria" w:hAnsi="Cambria"/>
          <w:sz w:val="24"/>
          <w:szCs w:val="24"/>
        </w:rPr>
        <w:t xml:space="preserve"> —</w:t>
      </w:r>
      <w:r w:rsidR="002B4387" w:rsidRPr="009C3204">
        <w:rPr>
          <w:rFonts w:ascii="Cambria" w:hAnsi="Cambria"/>
          <w:sz w:val="24"/>
          <w:szCs w:val="24"/>
        </w:rPr>
        <w:t xml:space="preserve"> though there certainly are signs of</w:t>
      </w:r>
      <w:r w:rsidR="00997FF4" w:rsidRPr="009C3204">
        <w:rPr>
          <w:rFonts w:ascii="Cambria" w:hAnsi="Cambria"/>
          <w:sz w:val="24"/>
          <w:szCs w:val="24"/>
        </w:rPr>
        <w:t xml:space="preserve"> a growing willingness to allow such exposure, and a political attraction to doing this so as to influence behaviour</w:t>
      </w:r>
      <w:r w:rsidR="00200611" w:rsidRPr="009C3204">
        <w:rPr>
          <w:rFonts w:ascii="Cambria" w:hAnsi="Cambria"/>
          <w:sz w:val="24"/>
          <w:szCs w:val="24"/>
        </w:rPr>
        <w:t>. This</w:t>
      </w:r>
      <w:r w:rsidR="00997FF4" w:rsidRPr="009C3204">
        <w:rPr>
          <w:rFonts w:ascii="Cambria" w:hAnsi="Cambria"/>
          <w:sz w:val="24"/>
          <w:szCs w:val="24"/>
        </w:rPr>
        <w:t xml:space="preserve"> is captured in the idea of the ‘active welfare state’, attempting to incentivise productive behaviour through </w:t>
      </w:r>
      <w:r w:rsidR="00893FC3" w:rsidRPr="009C3204">
        <w:rPr>
          <w:rFonts w:ascii="Cambria" w:hAnsi="Cambria"/>
          <w:sz w:val="24"/>
          <w:szCs w:val="24"/>
        </w:rPr>
        <w:t xml:space="preserve">highly </w:t>
      </w:r>
      <w:r w:rsidR="00997FF4" w:rsidRPr="009C3204">
        <w:rPr>
          <w:rFonts w:ascii="Cambria" w:hAnsi="Cambria"/>
          <w:sz w:val="24"/>
          <w:szCs w:val="24"/>
        </w:rPr>
        <w:t>stringent responses to failure</w:t>
      </w:r>
      <w:r w:rsidR="006A0DB0" w:rsidRPr="009C3204">
        <w:rPr>
          <w:rFonts w:ascii="Cambria" w:hAnsi="Cambria"/>
          <w:sz w:val="24"/>
          <w:szCs w:val="24"/>
        </w:rPr>
        <w:t>.</w:t>
      </w:r>
      <w:r w:rsidR="00997FF4" w:rsidRPr="009C3204">
        <w:rPr>
          <w:rStyle w:val="FootnoteReference"/>
          <w:rFonts w:ascii="Cambria" w:hAnsi="Cambria"/>
          <w:sz w:val="24"/>
          <w:szCs w:val="24"/>
        </w:rPr>
        <w:footnoteReference w:id="69"/>
      </w:r>
      <w:r w:rsidR="006A0DB0" w:rsidRPr="009C3204">
        <w:rPr>
          <w:rFonts w:ascii="Cambria" w:hAnsi="Cambria"/>
          <w:sz w:val="24"/>
          <w:szCs w:val="24"/>
        </w:rPr>
        <w:t xml:space="preserve"> </w:t>
      </w:r>
      <w:r w:rsidR="00A85486" w:rsidRPr="009C3204">
        <w:rPr>
          <w:rFonts w:ascii="Cambria" w:hAnsi="Cambria"/>
          <w:sz w:val="24"/>
          <w:szCs w:val="24"/>
        </w:rPr>
        <w:t xml:space="preserve">A </w:t>
      </w:r>
      <w:r w:rsidR="002B4387" w:rsidRPr="009C3204">
        <w:rPr>
          <w:rFonts w:ascii="Cambria" w:hAnsi="Cambria"/>
          <w:sz w:val="24"/>
          <w:szCs w:val="24"/>
        </w:rPr>
        <w:t>will</w:t>
      </w:r>
      <w:r w:rsidR="00CB6B43" w:rsidRPr="009C3204">
        <w:rPr>
          <w:rFonts w:ascii="Cambria" w:hAnsi="Cambria"/>
          <w:sz w:val="24"/>
          <w:szCs w:val="24"/>
        </w:rPr>
        <w:t>ingness — even intention —</w:t>
      </w:r>
      <w:r w:rsidR="002B4387" w:rsidRPr="009C3204">
        <w:rPr>
          <w:rFonts w:ascii="Cambria" w:hAnsi="Cambria"/>
          <w:sz w:val="24"/>
          <w:szCs w:val="24"/>
        </w:rPr>
        <w:t xml:space="preserve"> to create groups </w:t>
      </w:r>
      <w:r w:rsidR="000551FC" w:rsidRPr="009C3204">
        <w:rPr>
          <w:rFonts w:ascii="Cambria" w:hAnsi="Cambria"/>
          <w:sz w:val="24"/>
          <w:szCs w:val="24"/>
        </w:rPr>
        <w:t xml:space="preserve">excluded from the provision of security </w:t>
      </w:r>
      <w:r w:rsidR="002B4387" w:rsidRPr="009C3204">
        <w:rPr>
          <w:rFonts w:ascii="Cambria" w:hAnsi="Cambria"/>
          <w:sz w:val="24"/>
          <w:szCs w:val="24"/>
        </w:rPr>
        <w:t>is also clear.</w:t>
      </w:r>
      <w:r w:rsidR="000551FC" w:rsidRPr="009C3204">
        <w:rPr>
          <w:rStyle w:val="FootnoteReference"/>
          <w:rFonts w:ascii="Cambria" w:hAnsi="Cambria"/>
          <w:sz w:val="24"/>
          <w:szCs w:val="24"/>
        </w:rPr>
        <w:footnoteReference w:id="70"/>
      </w:r>
      <w:r w:rsidR="00BC6DF6" w:rsidRPr="009C3204">
        <w:rPr>
          <w:rFonts w:ascii="Cambria" w:hAnsi="Cambria"/>
          <w:sz w:val="24"/>
          <w:szCs w:val="24"/>
        </w:rPr>
        <w:t xml:space="preserve"> But in the domain of private law in particular, </w:t>
      </w:r>
      <w:r w:rsidR="006210F0" w:rsidRPr="009C3204">
        <w:rPr>
          <w:rFonts w:ascii="Cambria" w:hAnsi="Cambria"/>
          <w:sz w:val="24"/>
          <w:szCs w:val="24"/>
        </w:rPr>
        <w:t xml:space="preserve">it is suggested that </w:t>
      </w:r>
      <w:r w:rsidR="00D11A52" w:rsidRPr="009C3204">
        <w:rPr>
          <w:rFonts w:ascii="Cambria" w:hAnsi="Cambria"/>
          <w:sz w:val="24"/>
          <w:szCs w:val="24"/>
        </w:rPr>
        <w:t xml:space="preserve">the debate </w:t>
      </w:r>
      <w:r w:rsidR="00A85486" w:rsidRPr="009C3204">
        <w:rPr>
          <w:rFonts w:ascii="Cambria" w:hAnsi="Cambria"/>
          <w:sz w:val="24"/>
          <w:szCs w:val="24"/>
        </w:rPr>
        <w:t xml:space="preserve">is more typically one </w:t>
      </w:r>
      <w:r w:rsidR="00BC6DF6" w:rsidRPr="009C3204">
        <w:rPr>
          <w:rFonts w:ascii="Cambria" w:hAnsi="Cambria"/>
          <w:sz w:val="24"/>
          <w:szCs w:val="24"/>
        </w:rPr>
        <w:t xml:space="preserve">about </w:t>
      </w:r>
      <w:r w:rsidR="00D11A52" w:rsidRPr="009C3204">
        <w:rPr>
          <w:rFonts w:ascii="Cambria" w:hAnsi="Cambria"/>
          <w:i/>
          <w:sz w:val="24"/>
          <w:szCs w:val="24"/>
        </w:rPr>
        <w:t xml:space="preserve">which </w:t>
      </w:r>
      <w:r w:rsidR="00D11A52" w:rsidRPr="009C3204">
        <w:rPr>
          <w:rFonts w:ascii="Cambria" w:hAnsi="Cambria"/>
          <w:sz w:val="24"/>
          <w:szCs w:val="24"/>
        </w:rPr>
        <w:t xml:space="preserve">source of security is most appropriate to a particular case, and to what extent; and </w:t>
      </w:r>
      <w:r w:rsidR="00D11A52" w:rsidRPr="009C3204">
        <w:rPr>
          <w:rFonts w:ascii="Cambria" w:hAnsi="Cambria"/>
          <w:i/>
          <w:sz w:val="24"/>
          <w:szCs w:val="24"/>
        </w:rPr>
        <w:t xml:space="preserve">who </w:t>
      </w:r>
      <w:r w:rsidR="00D11A52" w:rsidRPr="009C3204">
        <w:rPr>
          <w:rFonts w:ascii="Cambria" w:hAnsi="Cambria"/>
          <w:sz w:val="24"/>
          <w:szCs w:val="24"/>
        </w:rPr>
        <w:t>bears responsibility for securing the interests concerned. The core instance of this occurs where a case is brought between two insurers, in the name of insured parties, to determine which insurer bears the loss; but there are also other instances, since state support or first party insurance continue to offer av</w:t>
      </w:r>
      <w:r w:rsidR="00893FC3" w:rsidRPr="009C3204">
        <w:rPr>
          <w:rFonts w:ascii="Cambria" w:hAnsi="Cambria"/>
          <w:sz w:val="24"/>
          <w:szCs w:val="24"/>
        </w:rPr>
        <w:t>enues for security</w:t>
      </w:r>
      <w:r w:rsidR="00D11A52" w:rsidRPr="009C3204">
        <w:rPr>
          <w:rFonts w:ascii="Cambria" w:hAnsi="Cambria"/>
          <w:sz w:val="24"/>
          <w:szCs w:val="24"/>
        </w:rPr>
        <w:t>. In commercial disputes, the tussle may concern attempts by insurers to deflect liability not to other insurers, but to uninsured</w:t>
      </w:r>
      <w:r w:rsidR="00BC6DF6" w:rsidRPr="009C3204">
        <w:rPr>
          <w:rFonts w:ascii="Cambria" w:hAnsi="Cambria"/>
          <w:sz w:val="24"/>
          <w:szCs w:val="24"/>
        </w:rPr>
        <w:t xml:space="preserve"> parties</w:t>
      </w:r>
      <w:r w:rsidR="00D11A52" w:rsidRPr="009C3204">
        <w:rPr>
          <w:rFonts w:ascii="Cambria" w:hAnsi="Cambria"/>
          <w:sz w:val="24"/>
          <w:szCs w:val="24"/>
        </w:rPr>
        <w:t>.</w:t>
      </w:r>
      <w:r w:rsidR="002B6958" w:rsidRPr="009C3204">
        <w:rPr>
          <w:rStyle w:val="FootnoteReference"/>
          <w:rFonts w:ascii="Cambria" w:hAnsi="Cambria"/>
          <w:sz w:val="24"/>
          <w:szCs w:val="24"/>
        </w:rPr>
        <w:footnoteReference w:id="71"/>
      </w:r>
      <w:r w:rsidR="00D11A52" w:rsidRPr="009C3204">
        <w:rPr>
          <w:rFonts w:ascii="Cambria" w:hAnsi="Cambria"/>
          <w:sz w:val="24"/>
          <w:szCs w:val="24"/>
        </w:rPr>
        <w:t xml:space="preserve"> In these instances, ‘responsibility’ is particularly likely to be invoked.</w:t>
      </w:r>
      <w:r w:rsidR="002B6958" w:rsidRPr="009C3204">
        <w:rPr>
          <w:rFonts w:ascii="Cambria" w:hAnsi="Cambria"/>
          <w:sz w:val="24"/>
          <w:szCs w:val="24"/>
        </w:rPr>
        <w:t xml:space="preserve"> In all these respects, the difference between the position in the nineteenth century, and the position in the present e</w:t>
      </w:r>
      <w:r w:rsidR="00200611" w:rsidRPr="009C3204">
        <w:rPr>
          <w:rFonts w:ascii="Cambria" w:hAnsi="Cambria"/>
          <w:sz w:val="24"/>
          <w:szCs w:val="24"/>
        </w:rPr>
        <w:t>ra, could not be more marked, despite</w:t>
      </w:r>
      <w:r w:rsidR="006210F0" w:rsidRPr="009C3204">
        <w:rPr>
          <w:rFonts w:ascii="Cambria" w:hAnsi="Cambria"/>
          <w:sz w:val="24"/>
          <w:szCs w:val="24"/>
        </w:rPr>
        <w:t xml:space="preserve"> the appearance of</w:t>
      </w:r>
      <w:r w:rsidR="00200611" w:rsidRPr="009C3204">
        <w:rPr>
          <w:rFonts w:ascii="Cambria" w:hAnsi="Cambria"/>
          <w:sz w:val="24"/>
          <w:szCs w:val="24"/>
        </w:rPr>
        <w:t xml:space="preserve"> a common focus on responsibility:</w:t>
      </w:r>
      <w:r w:rsidR="002B6958" w:rsidRPr="009C3204">
        <w:rPr>
          <w:rFonts w:ascii="Cambria" w:hAnsi="Cambria"/>
          <w:sz w:val="24"/>
          <w:szCs w:val="24"/>
        </w:rPr>
        <w:t xml:space="preserve"> neither </w:t>
      </w:r>
      <w:r w:rsidR="00BC6DF6" w:rsidRPr="009C3204">
        <w:rPr>
          <w:rFonts w:ascii="Cambria" w:hAnsi="Cambria"/>
          <w:sz w:val="24"/>
          <w:szCs w:val="24"/>
        </w:rPr>
        <w:t xml:space="preserve">(non-marine) </w:t>
      </w:r>
      <w:r w:rsidR="002B6958" w:rsidRPr="009C3204">
        <w:rPr>
          <w:rFonts w:ascii="Cambria" w:hAnsi="Cambria"/>
          <w:sz w:val="24"/>
          <w:szCs w:val="24"/>
        </w:rPr>
        <w:t>liability insurance,</w:t>
      </w:r>
      <w:r w:rsidR="00B90B8D" w:rsidRPr="009C3204">
        <w:rPr>
          <w:rStyle w:val="FootnoteReference"/>
          <w:rFonts w:ascii="Cambria" w:hAnsi="Cambria"/>
          <w:sz w:val="24"/>
          <w:szCs w:val="24"/>
        </w:rPr>
        <w:footnoteReference w:id="72"/>
      </w:r>
      <w:r w:rsidR="002B6958" w:rsidRPr="009C3204">
        <w:rPr>
          <w:rFonts w:ascii="Cambria" w:hAnsi="Cambria"/>
          <w:sz w:val="24"/>
          <w:szCs w:val="24"/>
        </w:rPr>
        <w:t xml:space="preserve"> nor free health care, social security payments, or state occupational pensions, were available before the</w:t>
      </w:r>
      <w:r w:rsidR="00B90B8D" w:rsidRPr="009C3204">
        <w:rPr>
          <w:rFonts w:ascii="Cambria" w:hAnsi="Cambria"/>
          <w:sz w:val="24"/>
          <w:szCs w:val="24"/>
        </w:rPr>
        <w:t>ir development as constitutive parts of the</w:t>
      </w:r>
      <w:r w:rsidR="002B6958" w:rsidRPr="009C3204">
        <w:rPr>
          <w:rFonts w:ascii="Cambria" w:hAnsi="Cambria"/>
          <w:sz w:val="24"/>
          <w:szCs w:val="24"/>
        </w:rPr>
        <w:t xml:space="preserve"> ‘security revolution’. For this reason, more focus on ‘responsibility’ and an apparent re-emphasis on the </w:t>
      </w:r>
      <w:r w:rsidR="0027558C" w:rsidRPr="009C3204">
        <w:rPr>
          <w:rFonts w:ascii="Cambria" w:hAnsi="Cambria"/>
          <w:sz w:val="24"/>
          <w:szCs w:val="24"/>
        </w:rPr>
        <w:t xml:space="preserve">‘private’ should not mislead us into thinking that we are back to the </w:t>
      </w:r>
      <w:r w:rsidR="004115A3">
        <w:rPr>
          <w:rFonts w:ascii="Cambria" w:hAnsi="Cambria"/>
          <w:sz w:val="24"/>
          <w:szCs w:val="24"/>
        </w:rPr>
        <w:t xml:space="preserve">position in the </w:t>
      </w:r>
      <w:r w:rsidR="0027558C" w:rsidRPr="009C3204">
        <w:rPr>
          <w:rFonts w:ascii="Cambria" w:hAnsi="Cambria"/>
          <w:sz w:val="24"/>
          <w:szCs w:val="24"/>
        </w:rPr>
        <w:t xml:space="preserve">nineteenth century. The </w:t>
      </w:r>
      <w:r w:rsidR="0027558C" w:rsidRPr="009C3204">
        <w:rPr>
          <w:rFonts w:ascii="Cambria" w:hAnsi="Cambria"/>
          <w:i/>
          <w:sz w:val="24"/>
          <w:szCs w:val="24"/>
        </w:rPr>
        <w:t>context</w:t>
      </w:r>
      <w:r w:rsidR="0027558C" w:rsidRPr="009C3204">
        <w:rPr>
          <w:rFonts w:ascii="Cambria" w:hAnsi="Cambria"/>
          <w:sz w:val="24"/>
          <w:szCs w:val="24"/>
        </w:rPr>
        <w:t xml:space="preserve"> of private law is fundamentally altered</w:t>
      </w:r>
      <w:r w:rsidR="00A85486" w:rsidRPr="009C3204">
        <w:rPr>
          <w:rFonts w:ascii="Cambria" w:hAnsi="Cambria"/>
          <w:sz w:val="24"/>
          <w:szCs w:val="24"/>
        </w:rPr>
        <w:t>; and this should inform our understanding of the concepts and principles that are applied</w:t>
      </w:r>
      <w:r w:rsidR="0027558C" w:rsidRPr="009C3204">
        <w:rPr>
          <w:rFonts w:ascii="Cambria" w:hAnsi="Cambria"/>
          <w:sz w:val="24"/>
          <w:szCs w:val="24"/>
        </w:rPr>
        <w:t>.</w:t>
      </w:r>
      <w:r w:rsidR="002B6958" w:rsidRPr="009C3204">
        <w:rPr>
          <w:rFonts w:ascii="Cambria" w:hAnsi="Cambria"/>
          <w:sz w:val="24"/>
          <w:szCs w:val="24"/>
        </w:rPr>
        <w:t xml:space="preserve"> </w:t>
      </w:r>
    </w:p>
    <w:p w14:paraId="6F193B59" w14:textId="08476B10" w:rsidR="00B42485" w:rsidRPr="009C3204" w:rsidRDefault="00200611" w:rsidP="008E4509">
      <w:pPr>
        <w:spacing w:line="240" w:lineRule="auto"/>
        <w:jc w:val="both"/>
        <w:rPr>
          <w:rFonts w:ascii="Cambria" w:hAnsi="Cambria"/>
          <w:sz w:val="24"/>
          <w:szCs w:val="24"/>
        </w:rPr>
      </w:pPr>
      <w:r w:rsidRPr="009C3204">
        <w:rPr>
          <w:rFonts w:ascii="Cambria" w:hAnsi="Cambria"/>
          <w:sz w:val="24"/>
          <w:szCs w:val="24"/>
        </w:rPr>
        <w:t>Such</w:t>
      </w:r>
      <w:r w:rsidR="00BC6DF6" w:rsidRPr="009C3204">
        <w:rPr>
          <w:rFonts w:ascii="Cambria" w:hAnsi="Cambria"/>
          <w:sz w:val="24"/>
          <w:szCs w:val="24"/>
        </w:rPr>
        <w:t xml:space="preserve"> developments </w:t>
      </w:r>
      <w:r w:rsidRPr="009C3204">
        <w:rPr>
          <w:rFonts w:ascii="Cambria" w:hAnsi="Cambria"/>
          <w:sz w:val="24"/>
          <w:szCs w:val="24"/>
        </w:rPr>
        <w:t>do not only occur at the</w:t>
      </w:r>
      <w:r w:rsidR="00A85486" w:rsidRPr="009C3204">
        <w:rPr>
          <w:rFonts w:ascii="Cambria" w:hAnsi="Cambria"/>
          <w:sz w:val="24"/>
          <w:szCs w:val="24"/>
        </w:rPr>
        <w:t xml:space="preserve"> practical</w:t>
      </w:r>
      <w:r w:rsidRPr="009C3204">
        <w:rPr>
          <w:rFonts w:ascii="Cambria" w:hAnsi="Cambria"/>
          <w:sz w:val="24"/>
          <w:szCs w:val="24"/>
        </w:rPr>
        <w:t xml:space="preserve"> level</w:t>
      </w:r>
      <w:r w:rsidR="00F61B0D" w:rsidRPr="009C3204">
        <w:rPr>
          <w:rFonts w:ascii="Cambria" w:hAnsi="Cambria"/>
          <w:sz w:val="24"/>
          <w:szCs w:val="24"/>
        </w:rPr>
        <w:t xml:space="preserve">. It is suggested that the generalised concepts that advanced the security function of the law of tort through the preceding era are also under pressure. The more recent trend is for more modulated, though equally imprecise </w:t>
      </w:r>
      <w:r w:rsidR="008E740A" w:rsidRPr="009C3204">
        <w:rPr>
          <w:rFonts w:ascii="Cambria" w:hAnsi="Cambria"/>
          <w:sz w:val="24"/>
          <w:szCs w:val="24"/>
        </w:rPr>
        <w:t xml:space="preserve">or opaque </w:t>
      </w:r>
      <w:r w:rsidR="00F61B0D" w:rsidRPr="009C3204">
        <w:rPr>
          <w:rFonts w:ascii="Cambria" w:hAnsi="Cambria"/>
          <w:sz w:val="24"/>
          <w:szCs w:val="24"/>
        </w:rPr>
        <w:t>concepts to be deployed, permitting considerable differentiati</w:t>
      </w:r>
      <w:r w:rsidR="00314781" w:rsidRPr="009C3204">
        <w:rPr>
          <w:rFonts w:ascii="Cambria" w:hAnsi="Cambria"/>
          <w:sz w:val="24"/>
          <w:szCs w:val="24"/>
        </w:rPr>
        <w:t>on between cases.</w:t>
      </w:r>
      <w:r w:rsidR="00893FC3" w:rsidRPr="009C3204">
        <w:rPr>
          <w:rStyle w:val="FootnoteReference"/>
          <w:rFonts w:ascii="Cambria" w:hAnsi="Cambria"/>
          <w:sz w:val="24"/>
          <w:szCs w:val="24"/>
        </w:rPr>
        <w:footnoteReference w:id="73"/>
      </w:r>
      <w:r w:rsidR="00314781" w:rsidRPr="009C3204">
        <w:rPr>
          <w:rFonts w:ascii="Cambria" w:hAnsi="Cambria"/>
          <w:sz w:val="24"/>
          <w:szCs w:val="24"/>
        </w:rPr>
        <w:t xml:space="preserve"> At a mundane level, these concepts are better adapted to restriction of the growth of liability than their predecessors</w:t>
      </w:r>
      <w:r w:rsidR="00BC6DF6" w:rsidRPr="009C3204">
        <w:rPr>
          <w:rFonts w:ascii="Cambria" w:hAnsi="Cambria"/>
          <w:sz w:val="24"/>
          <w:szCs w:val="24"/>
        </w:rPr>
        <w:t xml:space="preserve"> without </w:t>
      </w:r>
      <w:r w:rsidR="00791CCE" w:rsidRPr="009C3204">
        <w:rPr>
          <w:rFonts w:ascii="Cambria" w:hAnsi="Cambria"/>
          <w:sz w:val="24"/>
          <w:szCs w:val="24"/>
        </w:rPr>
        <w:t xml:space="preserve">open-ended </w:t>
      </w:r>
      <w:r w:rsidR="00BC6DF6" w:rsidRPr="009C3204">
        <w:rPr>
          <w:rFonts w:ascii="Cambria" w:hAnsi="Cambria"/>
          <w:sz w:val="24"/>
          <w:szCs w:val="24"/>
        </w:rPr>
        <w:lastRenderedPageBreak/>
        <w:t xml:space="preserve">recourse to some apparently ‘external’ </w:t>
      </w:r>
      <w:r w:rsidR="00A85486" w:rsidRPr="009C3204">
        <w:rPr>
          <w:rFonts w:ascii="Cambria" w:hAnsi="Cambria"/>
          <w:sz w:val="24"/>
          <w:szCs w:val="24"/>
        </w:rPr>
        <w:t xml:space="preserve">notion </w:t>
      </w:r>
      <w:r w:rsidR="006210F0" w:rsidRPr="009C3204">
        <w:rPr>
          <w:rFonts w:ascii="Cambria" w:hAnsi="Cambria"/>
          <w:sz w:val="24"/>
          <w:szCs w:val="24"/>
        </w:rPr>
        <w:t xml:space="preserve">labelled </w:t>
      </w:r>
      <w:r w:rsidR="00A85486" w:rsidRPr="009C3204">
        <w:rPr>
          <w:rFonts w:ascii="Cambria" w:hAnsi="Cambria"/>
          <w:sz w:val="24"/>
          <w:szCs w:val="24"/>
        </w:rPr>
        <w:t>‘policy’</w:t>
      </w:r>
      <w:r w:rsidR="00314781" w:rsidRPr="009C3204">
        <w:rPr>
          <w:rFonts w:ascii="Cambria" w:hAnsi="Cambria"/>
          <w:sz w:val="24"/>
          <w:szCs w:val="24"/>
        </w:rPr>
        <w:t>.</w:t>
      </w:r>
      <w:r w:rsidR="00A85486" w:rsidRPr="009C3204">
        <w:rPr>
          <w:rStyle w:val="FootnoteReference"/>
          <w:rFonts w:ascii="Cambria" w:hAnsi="Cambria"/>
          <w:sz w:val="24"/>
          <w:szCs w:val="24"/>
        </w:rPr>
        <w:footnoteReference w:id="74"/>
      </w:r>
      <w:r w:rsidR="00314781" w:rsidRPr="009C3204">
        <w:rPr>
          <w:rFonts w:ascii="Cambria" w:hAnsi="Cambria"/>
          <w:sz w:val="24"/>
          <w:szCs w:val="24"/>
        </w:rPr>
        <w:t xml:space="preserve"> More contentio</w:t>
      </w:r>
      <w:r w:rsidR="006210F0" w:rsidRPr="009C3204">
        <w:rPr>
          <w:rFonts w:ascii="Cambria" w:hAnsi="Cambria"/>
          <w:sz w:val="24"/>
          <w:szCs w:val="24"/>
        </w:rPr>
        <w:t>usly, they may direct attention</w:t>
      </w:r>
      <w:r w:rsidR="00314781" w:rsidRPr="009C3204">
        <w:rPr>
          <w:rFonts w:ascii="Cambria" w:hAnsi="Cambria"/>
          <w:sz w:val="24"/>
          <w:szCs w:val="24"/>
        </w:rPr>
        <w:t xml:space="preserve"> to some of the issues of risk allocation in light of rival sources of security than those general principles could.</w:t>
      </w:r>
      <w:r w:rsidR="008E740A" w:rsidRPr="009C3204">
        <w:rPr>
          <w:rFonts w:ascii="Cambria" w:hAnsi="Cambria"/>
          <w:sz w:val="24"/>
          <w:szCs w:val="24"/>
        </w:rPr>
        <w:t xml:space="preserve"> In other words, they are better adapted to </w:t>
      </w:r>
      <w:r w:rsidR="00D143C1" w:rsidRPr="009C3204">
        <w:rPr>
          <w:rFonts w:ascii="Cambria" w:hAnsi="Cambria"/>
          <w:sz w:val="24"/>
          <w:szCs w:val="24"/>
        </w:rPr>
        <w:t xml:space="preserve">assisting the choice </w:t>
      </w:r>
      <w:r w:rsidR="008E740A" w:rsidRPr="009C3204">
        <w:rPr>
          <w:rFonts w:ascii="Cambria" w:hAnsi="Cambria"/>
          <w:sz w:val="24"/>
          <w:szCs w:val="24"/>
        </w:rPr>
        <w:t>between different sources of security than broad general principles couched in notions of fault and foreseeability</w:t>
      </w:r>
      <w:r w:rsidR="00BC6DF6" w:rsidRPr="009C3204">
        <w:rPr>
          <w:rFonts w:ascii="Cambria" w:hAnsi="Cambria"/>
          <w:sz w:val="24"/>
          <w:szCs w:val="24"/>
        </w:rPr>
        <w:t xml:space="preserve">: </w:t>
      </w:r>
      <w:r w:rsidR="008E740A" w:rsidRPr="009C3204">
        <w:rPr>
          <w:rFonts w:ascii="Cambria" w:hAnsi="Cambria"/>
          <w:sz w:val="24"/>
          <w:szCs w:val="24"/>
        </w:rPr>
        <w:t>they draw attention to risk, security, and the cost of security.</w:t>
      </w:r>
    </w:p>
    <w:p w14:paraId="7F98DF84" w14:textId="7537DE62" w:rsidR="001938F2" w:rsidRPr="009C3204" w:rsidRDefault="00830EAF" w:rsidP="008E4509">
      <w:pPr>
        <w:spacing w:line="240" w:lineRule="auto"/>
        <w:jc w:val="both"/>
        <w:rPr>
          <w:rFonts w:ascii="Cambria" w:hAnsi="Cambria"/>
          <w:sz w:val="24"/>
          <w:szCs w:val="24"/>
        </w:rPr>
      </w:pPr>
      <w:r w:rsidRPr="009C3204">
        <w:rPr>
          <w:rFonts w:ascii="Cambria" w:hAnsi="Cambria"/>
          <w:sz w:val="24"/>
          <w:szCs w:val="24"/>
        </w:rPr>
        <w:t xml:space="preserve">The </w:t>
      </w:r>
      <w:r w:rsidR="00983521" w:rsidRPr="009C3204">
        <w:rPr>
          <w:rFonts w:ascii="Cambria" w:hAnsi="Cambria"/>
          <w:sz w:val="24"/>
          <w:szCs w:val="24"/>
        </w:rPr>
        <w:t xml:space="preserve">continued </w:t>
      </w:r>
      <w:r w:rsidRPr="009C3204">
        <w:rPr>
          <w:rFonts w:ascii="Cambria" w:hAnsi="Cambria"/>
          <w:sz w:val="24"/>
          <w:szCs w:val="24"/>
        </w:rPr>
        <w:t>growth of a body of private law</w:t>
      </w:r>
      <w:r w:rsidR="00214738" w:rsidRPr="009C3204">
        <w:rPr>
          <w:rFonts w:ascii="Cambria" w:hAnsi="Cambria"/>
          <w:sz w:val="24"/>
          <w:szCs w:val="24"/>
        </w:rPr>
        <w:t>, employing general</w:t>
      </w:r>
      <w:r w:rsidR="00ED42FD" w:rsidRPr="009C3204">
        <w:rPr>
          <w:rFonts w:ascii="Cambria" w:hAnsi="Cambria"/>
          <w:sz w:val="24"/>
          <w:szCs w:val="24"/>
        </w:rPr>
        <w:t>ised</w:t>
      </w:r>
      <w:r w:rsidR="00214738" w:rsidRPr="009C3204">
        <w:rPr>
          <w:rFonts w:ascii="Cambria" w:hAnsi="Cambria"/>
          <w:sz w:val="24"/>
          <w:szCs w:val="24"/>
        </w:rPr>
        <w:t xml:space="preserve"> ‘security type’ </w:t>
      </w:r>
      <w:r w:rsidR="00BA175D" w:rsidRPr="009C3204">
        <w:rPr>
          <w:rFonts w:ascii="Cambria" w:hAnsi="Cambria"/>
          <w:sz w:val="24"/>
          <w:szCs w:val="24"/>
        </w:rPr>
        <w:t xml:space="preserve">protective </w:t>
      </w:r>
      <w:r w:rsidR="00214738" w:rsidRPr="009C3204">
        <w:rPr>
          <w:rFonts w:ascii="Cambria" w:hAnsi="Cambria"/>
          <w:sz w:val="24"/>
          <w:szCs w:val="24"/>
        </w:rPr>
        <w:t xml:space="preserve">concepts and </w:t>
      </w:r>
      <w:r w:rsidR="005D40B7" w:rsidRPr="009C3204">
        <w:rPr>
          <w:rFonts w:ascii="Cambria" w:hAnsi="Cambria"/>
          <w:sz w:val="24"/>
          <w:szCs w:val="24"/>
        </w:rPr>
        <w:t xml:space="preserve">serving the increasing demand for </w:t>
      </w:r>
      <w:r w:rsidRPr="009C3204">
        <w:rPr>
          <w:rFonts w:ascii="Cambria" w:hAnsi="Cambria"/>
          <w:sz w:val="24"/>
          <w:szCs w:val="24"/>
        </w:rPr>
        <w:t>security</w:t>
      </w:r>
      <w:r w:rsidR="00214738" w:rsidRPr="009C3204">
        <w:rPr>
          <w:rFonts w:ascii="Cambria" w:hAnsi="Cambria"/>
          <w:sz w:val="24"/>
          <w:szCs w:val="24"/>
        </w:rPr>
        <w:t>,</w:t>
      </w:r>
      <w:r w:rsidRPr="009C3204">
        <w:rPr>
          <w:rFonts w:ascii="Cambria" w:hAnsi="Cambria"/>
          <w:sz w:val="24"/>
          <w:szCs w:val="24"/>
        </w:rPr>
        <w:t xml:space="preserve"> sometimes at the expense of the </w:t>
      </w:r>
      <w:r w:rsidR="00214738" w:rsidRPr="009C3204">
        <w:rPr>
          <w:rFonts w:ascii="Cambria" w:hAnsi="Cambria"/>
          <w:sz w:val="24"/>
          <w:szCs w:val="24"/>
        </w:rPr>
        <w:t xml:space="preserve">newly vulnerable </w:t>
      </w:r>
      <w:r w:rsidRPr="009C3204">
        <w:rPr>
          <w:rFonts w:ascii="Cambria" w:hAnsi="Cambria"/>
          <w:sz w:val="24"/>
          <w:szCs w:val="24"/>
        </w:rPr>
        <w:t xml:space="preserve">state, </w:t>
      </w:r>
      <w:r w:rsidR="00817126" w:rsidRPr="009C3204">
        <w:rPr>
          <w:rFonts w:ascii="Cambria" w:hAnsi="Cambria"/>
          <w:sz w:val="24"/>
          <w:szCs w:val="24"/>
        </w:rPr>
        <w:t>would appear</w:t>
      </w:r>
      <w:r w:rsidR="00214738" w:rsidRPr="009C3204">
        <w:rPr>
          <w:rFonts w:ascii="Cambria" w:hAnsi="Cambria"/>
          <w:sz w:val="24"/>
          <w:szCs w:val="24"/>
        </w:rPr>
        <w:t xml:space="preserve"> in</w:t>
      </w:r>
      <w:r w:rsidRPr="009C3204">
        <w:rPr>
          <w:rFonts w:ascii="Cambria" w:hAnsi="Cambria"/>
          <w:sz w:val="24"/>
          <w:szCs w:val="24"/>
        </w:rPr>
        <w:t xml:space="preserve">consistent with </w:t>
      </w:r>
      <w:r w:rsidR="00983521" w:rsidRPr="009C3204">
        <w:rPr>
          <w:rFonts w:ascii="Cambria" w:hAnsi="Cambria"/>
          <w:sz w:val="24"/>
          <w:szCs w:val="24"/>
        </w:rPr>
        <w:t xml:space="preserve">a mode of decentralised governance or with the ideal of the responsible risk entrepreneur. </w:t>
      </w:r>
      <w:r w:rsidR="005D40B7" w:rsidRPr="009C3204">
        <w:rPr>
          <w:rFonts w:ascii="Cambria" w:hAnsi="Cambria"/>
          <w:sz w:val="24"/>
          <w:szCs w:val="24"/>
        </w:rPr>
        <w:t xml:space="preserve">Decision in accord with </w:t>
      </w:r>
      <w:proofErr w:type="gramStart"/>
      <w:r w:rsidR="00BA175D" w:rsidRPr="009C3204">
        <w:rPr>
          <w:rFonts w:ascii="Cambria" w:hAnsi="Cambria"/>
          <w:sz w:val="24"/>
          <w:szCs w:val="24"/>
        </w:rPr>
        <w:t>very</w:t>
      </w:r>
      <w:proofErr w:type="gramEnd"/>
      <w:r w:rsidR="00BA175D" w:rsidRPr="009C3204">
        <w:rPr>
          <w:rFonts w:ascii="Cambria" w:hAnsi="Cambria"/>
          <w:sz w:val="24"/>
          <w:szCs w:val="24"/>
        </w:rPr>
        <w:t xml:space="preserve"> </w:t>
      </w:r>
      <w:r w:rsidR="005D40B7" w:rsidRPr="009C3204">
        <w:rPr>
          <w:rFonts w:ascii="Cambria" w:hAnsi="Cambria"/>
          <w:sz w:val="24"/>
          <w:szCs w:val="24"/>
        </w:rPr>
        <w:t>generalised principle</w:t>
      </w:r>
      <w:r w:rsidR="00BA175D" w:rsidRPr="009C3204">
        <w:rPr>
          <w:rFonts w:ascii="Cambria" w:hAnsi="Cambria"/>
          <w:sz w:val="24"/>
          <w:szCs w:val="24"/>
        </w:rPr>
        <w:t>s, particularly if focused on the fault of the defendant,</w:t>
      </w:r>
      <w:r w:rsidR="005D40B7" w:rsidRPr="009C3204">
        <w:rPr>
          <w:rFonts w:ascii="Cambria" w:hAnsi="Cambria"/>
          <w:sz w:val="24"/>
          <w:szCs w:val="24"/>
        </w:rPr>
        <w:t xml:space="preserve"> may also be ill-suited to recognition of rival potential security sources. </w:t>
      </w:r>
      <w:r w:rsidR="00214738" w:rsidRPr="009C3204">
        <w:rPr>
          <w:rFonts w:ascii="Cambria" w:hAnsi="Cambria"/>
          <w:sz w:val="24"/>
          <w:szCs w:val="24"/>
        </w:rPr>
        <w:t>Underlining the political dimension of the set of changes described, i</w:t>
      </w:r>
      <w:r w:rsidRPr="009C3204">
        <w:rPr>
          <w:rFonts w:ascii="Cambria" w:hAnsi="Cambria"/>
          <w:sz w:val="24"/>
          <w:szCs w:val="24"/>
        </w:rPr>
        <w:t>n many jurisdictions, there has been move</w:t>
      </w:r>
      <w:r w:rsidR="00CB6B43" w:rsidRPr="009C3204">
        <w:rPr>
          <w:rFonts w:ascii="Cambria" w:hAnsi="Cambria"/>
          <w:sz w:val="24"/>
          <w:szCs w:val="24"/>
        </w:rPr>
        <w:t>ment to reform the law of tort —</w:t>
      </w:r>
      <w:r w:rsidR="006408FA" w:rsidRPr="009C3204">
        <w:rPr>
          <w:rFonts w:ascii="Cambria" w:hAnsi="Cambria"/>
          <w:sz w:val="24"/>
          <w:szCs w:val="24"/>
        </w:rPr>
        <w:t xml:space="preserve"> typically both </w:t>
      </w:r>
      <w:r w:rsidRPr="009C3204">
        <w:rPr>
          <w:rFonts w:ascii="Cambria" w:hAnsi="Cambria"/>
          <w:sz w:val="24"/>
          <w:szCs w:val="24"/>
        </w:rPr>
        <w:t>reinforcing p</w:t>
      </w:r>
      <w:r w:rsidR="00BA175D" w:rsidRPr="009C3204">
        <w:rPr>
          <w:rFonts w:ascii="Cambria" w:hAnsi="Cambria"/>
          <w:sz w:val="24"/>
          <w:szCs w:val="24"/>
        </w:rPr>
        <w:t>rotection for government and re-emphasising</w:t>
      </w:r>
      <w:r w:rsidRPr="009C3204">
        <w:rPr>
          <w:rFonts w:ascii="Cambria" w:hAnsi="Cambria"/>
          <w:sz w:val="24"/>
          <w:szCs w:val="24"/>
        </w:rPr>
        <w:t xml:space="preserve"> individual responsibilities.</w:t>
      </w:r>
      <w:r w:rsidR="00BA175D" w:rsidRPr="009C3204">
        <w:rPr>
          <w:rStyle w:val="FootnoteReference"/>
          <w:rFonts w:ascii="Cambria" w:hAnsi="Cambria"/>
          <w:sz w:val="24"/>
          <w:szCs w:val="24"/>
        </w:rPr>
        <w:footnoteReference w:id="75"/>
      </w:r>
      <w:r w:rsidR="00BF1BC5" w:rsidRPr="009C3204">
        <w:rPr>
          <w:rFonts w:ascii="Cambria" w:hAnsi="Cambria"/>
          <w:sz w:val="24"/>
          <w:szCs w:val="24"/>
        </w:rPr>
        <w:t xml:space="preserve"> </w:t>
      </w:r>
      <w:r w:rsidR="00214738" w:rsidRPr="009C3204">
        <w:rPr>
          <w:rFonts w:ascii="Cambria" w:hAnsi="Cambria"/>
          <w:sz w:val="24"/>
          <w:szCs w:val="24"/>
        </w:rPr>
        <w:t xml:space="preserve">It </w:t>
      </w:r>
      <w:r w:rsidR="00BF1BC5" w:rsidRPr="009C3204">
        <w:rPr>
          <w:rFonts w:ascii="Cambria" w:hAnsi="Cambria"/>
          <w:sz w:val="24"/>
          <w:szCs w:val="24"/>
        </w:rPr>
        <w:t>could be argued</w:t>
      </w:r>
      <w:r w:rsidR="00214738" w:rsidRPr="009C3204">
        <w:rPr>
          <w:rFonts w:ascii="Cambria" w:hAnsi="Cambria"/>
          <w:sz w:val="24"/>
          <w:szCs w:val="24"/>
        </w:rPr>
        <w:t xml:space="preserve"> though</w:t>
      </w:r>
      <w:r w:rsidR="00BF1BC5" w:rsidRPr="009C3204">
        <w:rPr>
          <w:rFonts w:ascii="Cambria" w:hAnsi="Cambria"/>
          <w:sz w:val="24"/>
          <w:szCs w:val="24"/>
        </w:rPr>
        <w:t xml:space="preserve"> that</w:t>
      </w:r>
      <w:r w:rsidR="00214738" w:rsidRPr="009C3204">
        <w:rPr>
          <w:rFonts w:ascii="Cambria" w:hAnsi="Cambria"/>
          <w:sz w:val="24"/>
          <w:szCs w:val="24"/>
        </w:rPr>
        <w:t xml:space="preserve"> given the preoccupations of the regulatory state and its associated reliance on action ‘at a distance’,</w:t>
      </w:r>
      <w:r w:rsidR="00BF1BC5" w:rsidRPr="009C3204">
        <w:rPr>
          <w:rFonts w:ascii="Cambria" w:hAnsi="Cambria"/>
          <w:sz w:val="24"/>
          <w:szCs w:val="24"/>
        </w:rPr>
        <w:t xml:space="preserve"> </w:t>
      </w:r>
      <w:r w:rsidR="00214738" w:rsidRPr="009C3204">
        <w:rPr>
          <w:rFonts w:ascii="Cambria" w:hAnsi="Cambria"/>
          <w:sz w:val="24"/>
          <w:szCs w:val="24"/>
        </w:rPr>
        <w:t xml:space="preserve">legislative </w:t>
      </w:r>
      <w:r w:rsidR="00BF1BC5" w:rsidRPr="009C3204">
        <w:rPr>
          <w:rFonts w:ascii="Cambria" w:hAnsi="Cambria"/>
          <w:sz w:val="24"/>
          <w:szCs w:val="24"/>
        </w:rPr>
        <w:t xml:space="preserve">reform of private law is not the </w:t>
      </w:r>
      <w:r w:rsidR="00214738" w:rsidRPr="009C3204">
        <w:rPr>
          <w:rFonts w:ascii="Cambria" w:hAnsi="Cambria"/>
          <w:sz w:val="24"/>
          <w:szCs w:val="24"/>
        </w:rPr>
        <w:t xml:space="preserve">expected </w:t>
      </w:r>
      <w:r w:rsidR="00BF1BC5" w:rsidRPr="009C3204">
        <w:rPr>
          <w:rFonts w:ascii="Cambria" w:hAnsi="Cambria"/>
          <w:sz w:val="24"/>
          <w:szCs w:val="24"/>
        </w:rPr>
        <w:t xml:space="preserve">paradigmatic response. </w:t>
      </w:r>
      <w:r w:rsidR="00214738" w:rsidRPr="009C3204">
        <w:rPr>
          <w:rFonts w:ascii="Cambria" w:hAnsi="Cambria"/>
          <w:sz w:val="24"/>
          <w:szCs w:val="24"/>
        </w:rPr>
        <w:t>T</w:t>
      </w:r>
      <w:r w:rsidR="00BF1BC5" w:rsidRPr="009C3204">
        <w:rPr>
          <w:rFonts w:ascii="Cambria" w:hAnsi="Cambria"/>
          <w:sz w:val="24"/>
          <w:szCs w:val="24"/>
        </w:rPr>
        <w:t xml:space="preserve">hese reforms </w:t>
      </w:r>
      <w:r w:rsidR="00214738" w:rsidRPr="009C3204">
        <w:rPr>
          <w:rFonts w:ascii="Cambria" w:hAnsi="Cambria"/>
          <w:sz w:val="24"/>
          <w:szCs w:val="24"/>
        </w:rPr>
        <w:t xml:space="preserve">forcibly alter </w:t>
      </w:r>
      <w:r w:rsidR="00BF1BC5" w:rsidRPr="009C3204">
        <w:rPr>
          <w:rFonts w:ascii="Cambria" w:hAnsi="Cambria"/>
          <w:sz w:val="24"/>
          <w:szCs w:val="24"/>
        </w:rPr>
        <w:t xml:space="preserve">those aspects of the law of tort which have become </w:t>
      </w:r>
      <w:r w:rsidR="00BA175D" w:rsidRPr="009C3204">
        <w:rPr>
          <w:rFonts w:ascii="Cambria" w:hAnsi="Cambria"/>
          <w:sz w:val="24"/>
          <w:szCs w:val="24"/>
        </w:rPr>
        <w:t xml:space="preserve">overly </w:t>
      </w:r>
      <w:r w:rsidR="00BF1BC5" w:rsidRPr="009C3204">
        <w:rPr>
          <w:rFonts w:ascii="Cambria" w:hAnsi="Cambria"/>
          <w:sz w:val="24"/>
          <w:szCs w:val="24"/>
        </w:rPr>
        <w:t>security-focused</w:t>
      </w:r>
      <w:r w:rsidR="00BA175D" w:rsidRPr="009C3204">
        <w:rPr>
          <w:rFonts w:ascii="Cambria" w:hAnsi="Cambria"/>
          <w:sz w:val="24"/>
          <w:szCs w:val="24"/>
        </w:rPr>
        <w:t xml:space="preserve"> </w:t>
      </w:r>
      <w:r w:rsidR="00843B81" w:rsidRPr="009C3204">
        <w:rPr>
          <w:rFonts w:ascii="Cambria" w:hAnsi="Cambria"/>
          <w:sz w:val="24"/>
          <w:szCs w:val="24"/>
        </w:rPr>
        <w:t>—</w:t>
      </w:r>
      <w:r w:rsidR="007D0698">
        <w:rPr>
          <w:rFonts w:ascii="Cambria" w:hAnsi="Cambria"/>
          <w:sz w:val="24"/>
          <w:szCs w:val="24"/>
        </w:rPr>
        <w:t xml:space="preserve"> </w:t>
      </w:r>
      <w:r w:rsidR="00BA175D" w:rsidRPr="009C3204">
        <w:rPr>
          <w:rFonts w:ascii="Cambria" w:hAnsi="Cambria"/>
          <w:sz w:val="24"/>
          <w:szCs w:val="24"/>
        </w:rPr>
        <w:t>or, from the reformers’ perspective, insufficiently responsibility-focused</w:t>
      </w:r>
      <w:r w:rsidR="00843B81" w:rsidRPr="009C3204">
        <w:rPr>
          <w:rFonts w:ascii="Cambria" w:hAnsi="Cambria"/>
          <w:sz w:val="24"/>
          <w:szCs w:val="24"/>
        </w:rPr>
        <w:t xml:space="preserve"> —</w:t>
      </w:r>
      <w:r w:rsidR="00BF1BC5" w:rsidRPr="009C3204">
        <w:rPr>
          <w:rFonts w:ascii="Cambria" w:hAnsi="Cambria"/>
          <w:sz w:val="24"/>
          <w:szCs w:val="24"/>
        </w:rPr>
        <w:t xml:space="preserve"> and at odds with the direction of more recent risk revolution.</w:t>
      </w:r>
      <w:r w:rsidR="00983521" w:rsidRPr="009C3204">
        <w:rPr>
          <w:rFonts w:ascii="Cambria" w:hAnsi="Cambria"/>
          <w:sz w:val="24"/>
          <w:szCs w:val="24"/>
        </w:rPr>
        <w:t xml:space="preserve"> But intervention in tort in this way is a centralised activity</w:t>
      </w:r>
      <w:r w:rsidR="00214738" w:rsidRPr="009C3204">
        <w:rPr>
          <w:rFonts w:ascii="Cambria" w:hAnsi="Cambria"/>
          <w:sz w:val="24"/>
          <w:szCs w:val="24"/>
        </w:rPr>
        <w:t xml:space="preserve"> resulting from collective decision</w:t>
      </w:r>
      <w:r w:rsidR="00BA175D" w:rsidRPr="009C3204">
        <w:rPr>
          <w:rFonts w:ascii="Cambria" w:hAnsi="Cambria"/>
          <w:sz w:val="24"/>
          <w:szCs w:val="24"/>
        </w:rPr>
        <w:t xml:space="preserve"> and, moreover,</w:t>
      </w:r>
      <w:r w:rsidR="00BB6EFA" w:rsidRPr="009C3204">
        <w:rPr>
          <w:rFonts w:ascii="Cambria" w:hAnsi="Cambria"/>
          <w:sz w:val="24"/>
          <w:szCs w:val="24"/>
        </w:rPr>
        <w:t xml:space="preserve"> there are signs that </w:t>
      </w:r>
      <w:r w:rsidR="004115A3">
        <w:rPr>
          <w:rFonts w:ascii="Cambria" w:hAnsi="Cambria"/>
          <w:sz w:val="24"/>
          <w:szCs w:val="24"/>
        </w:rPr>
        <w:t>such intervention</w:t>
      </w:r>
      <w:r w:rsidR="007D0698">
        <w:rPr>
          <w:rFonts w:ascii="Cambria" w:hAnsi="Cambria"/>
          <w:sz w:val="24"/>
          <w:szCs w:val="24"/>
        </w:rPr>
        <w:t xml:space="preserve"> </w:t>
      </w:r>
      <w:r w:rsidR="00BB6EFA" w:rsidRPr="009C3204">
        <w:rPr>
          <w:rFonts w:ascii="Cambria" w:hAnsi="Cambria"/>
          <w:sz w:val="24"/>
          <w:szCs w:val="24"/>
        </w:rPr>
        <w:t>is in</w:t>
      </w:r>
      <w:r w:rsidR="00BA175D" w:rsidRPr="009C3204">
        <w:rPr>
          <w:rFonts w:ascii="Cambria" w:hAnsi="Cambria"/>
          <w:sz w:val="24"/>
          <w:szCs w:val="24"/>
        </w:rPr>
        <w:t>sensitive to the internal preoccupations of the regulatory domain that is private law</w:t>
      </w:r>
      <w:r w:rsidR="00BB6EFA" w:rsidRPr="009C3204">
        <w:rPr>
          <w:rFonts w:ascii="Cambria" w:hAnsi="Cambria"/>
          <w:sz w:val="24"/>
          <w:szCs w:val="24"/>
        </w:rPr>
        <w:t xml:space="preserve">. Rather than ‘restoring’ an </w:t>
      </w:r>
      <w:r w:rsidR="00CB6B43" w:rsidRPr="009C3204">
        <w:rPr>
          <w:rFonts w:ascii="Cambria" w:hAnsi="Cambria"/>
          <w:sz w:val="24"/>
          <w:szCs w:val="24"/>
        </w:rPr>
        <w:t>earlier version of private law —</w:t>
      </w:r>
      <w:r w:rsidR="00BB6EFA" w:rsidRPr="009C3204">
        <w:rPr>
          <w:rFonts w:ascii="Cambria" w:hAnsi="Cambria"/>
          <w:sz w:val="24"/>
          <w:szCs w:val="24"/>
        </w:rPr>
        <w:t xml:space="preserve"> as though this could be done without sensitivity to a</w:t>
      </w:r>
      <w:r w:rsidR="00CB6B43" w:rsidRPr="009C3204">
        <w:rPr>
          <w:rFonts w:ascii="Cambria" w:hAnsi="Cambria"/>
          <w:sz w:val="24"/>
          <w:szCs w:val="24"/>
        </w:rPr>
        <w:t xml:space="preserve"> changed context —</w:t>
      </w:r>
      <w:r w:rsidR="00BB6EFA" w:rsidRPr="009C3204">
        <w:rPr>
          <w:rFonts w:ascii="Cambria" w:hAnsi="Cambria"/>
          <w:sz w:val="24"/>
          <w:szCs w:val="24"/>
        </w:rPr>
        <w:t xml:space="preserve"> it amounts to </w:t>
      </w:r>
      <w:r w:rsidR="00633278" w:rsidRPr="009C3204">
        <w:rPr>
          <w:rFonts w:ascii="Cambria" w:hAnsi="Cambria"/>
          <w:sz w:val="24"/>
          <w:szCs w:val="24"/>
        </w:rPr>
        <w:t>intervention</w:t>
      </w:r>
      <w:r w:rsidR="00BB6EFA" w:rsidRPr="009C3204">
        <w:rPr>
          <w:rFonts w:ascii="Cambria" w:hAnsi="Cambria"/>
          <w:sz w:val="24"/>
          <w:szCs w:val="24"/>
        </w:rPr>
        <w:t xml:space="preserve"> introducing other political notions</w:t>
      </w:r>
      <w:r w:rsidR="00633278" w:rsidRPr="009C3204">
        <w:rPr>
          <w:rFonts w:ascii="Cambria" w:hAnsi="Cambria"/>
          <w:sz w:val="24"/>
          <w:szCs w:val="24"/>
        </w:rPr>
        <w:t xml:space="preserve"> of responsibility</w:t>
      </w:r>
      <w:r w:rsidR="00983521" w:rsidRPr="009C3204">
        <w:rPr>
          <w:rFonts w:ascii="Cambria" w:hAnsi="Cambria"/>
          <w:sz w:val="24"/>
          <w:szCs w:val="24"/>
        </w:rPr>
        <w:t xml:space="preserve">. In the UK, this has not been typical of the development of tort law. </w:t>
      </w:r>
      <w:r w:rsidR="00BB6EFA" w:rsidRPr="009C3204">
        <w:rPr>
          <w:rFonts w:ascii="Cambria" w:hAnsi="Cambria"/>
          <w:sz w:val="24"/>
          <w:szCs w:val="24"/>
        </w:rPr>
        <w:t>Certainly, there has been no absence of political interest in the idea of responsibility and the possibility of ‘compensation culture’. But on the whole</w:t>
      </w:r>
      <w:r w:rsidR="00983521" w:rsidRPr="009C3204">
        <w:rPr>
          <w:rFonts w:ascii="Cambria" w:hAnsi="Cambria"/>
          <w:sz w:val="24"/>
          <w:szCs w:val="24"/>
        </w:rPr>
        <w:t xml:space="preserve">, tort law has </w:t>
      </w:r>
      <w:r w:rsidR="00214738" w:rsidRPr="009C3204">
        <w:rPr>
          <w:rFonts w:ascii="Cambria" w:hAnsi="Cambria"/>
          <w:sz w:val="24"/>
          <w:szCs w:val="24"/>
        </w:rPr>
        <w:t xml:space="preserve">itself </w:t>
      </w:r>
      <w:r w:rsidR="00983521" w:rsidRPr="009C3204">
        <w:rPr>
          <w:rFonts w:ascii="Cambria" w:hAnsi="Cambria"/>
          <w:i/>
          <w:sz w:val="24"/>
          <w:szCs w:val="24"/>
        </w:rPr>
        <w:t>evolved</w:t>
      </w:r>
      <w:r w:rsidR="00983521" w:rsidRPr="009C3204">
        <w:rPr>
          <w:rFonts w:ascii="Cambria" w:hAnsi="Cambria"/>
          <w:sz w:val="24"/>
          <w:szCs w:val="24"/>
        </w:rPr>
        <w:t xml:space="preserve"> to exemplify restraint.</w:t>
      </w:r>
      <w:r w:rsidR="00BB6EFA" w:rsidRPr="009C3204">
        <w:rPr>
          <w:rStyle w:val="FootnoteReference"/>
          <w:rFonts w:ascii="Cambria" w:hAnsi="Cambria"/>
          <w:sz w:val="24"/>
          <w:szCs w:val="24"/>
        </w:rPr>
        <w:footnoteReference w:id="76"/>
      </w:r>
      <w:r w:rsidR="00983521" w:rsidRPr="009C3204">
        <w:rPr>
          <w:rFonts w:ascii="Cambria" w:hAnsi="Cambria"/>
          <w:sz w:val="24"/>
          <w:szCs w:val="24"/>
        </w:rPr>
        <w:t xml:space="preserve"> Arguably</w:t>
      </w:r>
      <w:r w:rsidR="00214738" w:rsidRPr="009C3204">
        <w:rPr>
          <w:rFonts w:ascii="Cambria" w:hAnsi="Cambria"/>
          <w:sz w:val="24"/>
          <w:szCs w:val="24"/>
        </w:rPr>
        <w:t xml:space="preserve"> then</w:t>
      </w:r>
      <w:r w:rsidR="00983521" w:rsidRPr="009C3204">
        <w:rPr>
          <w:rFonts w:ascii="Cambria" w:hAnsi="Cambria"/>
          <w:sz w:val="24"/>
          <w:szCs w:val="24"/>
        </w:rPr>
        <w:t xml:space="preserve">, it has become more </w:t>
      </w:r>
      <w:r w:rsidR="00BB6EFA" w:rsidRPr="009C3204">
        <w:rPr>
          <w:rFonts w:ascii="Cambria" w:hAnsi="Cambria"/>
          <w:sz w:val="24"/>
          <w:szCs w:val="24"/>
        </w:rPr>
        <w:t>suited to play its role in tune</w:t>
      </w:r>
      <w:r w:rsidR="00983521" w:rsidRPr="009C3204">
        <w:rPr>
          <w:rFonts w:ascii="Cambria" w:hAnsi="Cambria"/>
          <w:sz w:val="24"/>
          <w:szCs w:val="24"/>
        </w:rPr>
        <w:t xml:space="preserve"> with the forms of governance sketched above, </w:t>
      </w:r>
      <w:r w:rsidR="005D1283" w:rsidRPr="009C3204">
        <w:rPr>
          <w:rFonts w:ascii="Cambria" w:hAnsi="Cambria"/>
          <w:sz w:val="24"/>
          <w:szCs w:val="24"/>
        </w:rPr>
        <w:t xml:space="preserve">with notable restraint </w:t>
      </w:r>
      <w:r w:rsidR="00983521" w:rsidRPr="009C3204">
        <w:rPr>
          <w:rFonts w:ascii="Cambria" w:hAnsi="Cambria"/>
          <w:sz w:val="24"/>
          <w:szCs w:val="24"/>
        </w:rPr>
        <w:t>from at least 1990.</w:t>
      </w:r>
      <w:r w:rsidR="00011D1B" w:rsidRPr="009C3204">
        <w:rPr>
          <w:rFonts w:ascii="Cambria" w:hAnsi="Cambria"/>
          <w:sz w:val="24"/>
          <w:szCs w:val="24"/>
        </w:rPr>
        <w:t xml:space="preserve"> Again, arguably, it is more closely in tune with these forms of governance than it ever </w:t>
      </w:r>
      <w:r w:rsidR="00D8337E" w:rsidRPr="009C3204">
        <w:rPr>
          <w:rFonts w:ascii="Cambria" w:hAnsi="Cambria"/>
          <w:sz w:val="24"/>
          <w:szCs w:val="24"/>
        </w:rPr>
        <w:t xml:space="preserve">was </w:t>
      </w:r>
      <w:r w:rsidR="00011D1B" w:rsidRPr="009C3204">
        <w:rPr>
          <w:rFonts w:ascii="Cambria" w:hAnsi="Cambria"/>
          <w:sz w:val="24"/>
          <w:szCs w:val="24"/>
        </w:rPr>
        <w:t xml:space="preserve">with the </w:t>
      </w:r>
      <w:r w:rsidR="00D8337E" w:rsidRPr="009C3204">
        <w:rPr>
          <w:rFonts w:ascii="Cambria" w:hAnsi="Cambria"/>
          <w:sz w:val="24"/>
          <w:szCs w:val="24"/>
        </w:rPr>
        <w:t>products of the security revolution</w:t>
      </w:r>
      <w:r w:rsidR="005D1283" w:rsidRPr="009C3204">
        <w:rPr>
          <w:rFonts w:ascii="Cambria" w:hAnsi="Cambria"/>
          <w:sz w:val="24"/>
          <w:szCs w:val="24"/>
        </w:rPr>
        <w:t>. T</w:t>
      </w:r>
      <w:r w:rsidR="00011D1B" w:rsidRPr="009C3204">
        <w:rPr>
          <w:rFonts w:ascii="Cambria" w:hAnsi="Cambria"/>
          <w:sz w:val="24"/>
          <w:szCs w:val="24"/>
        </w:rPr>
        <w:t xml:space="preserve">he </w:t>
      </w:r>
      <w:r w:rsidR="00011D1B" w:rsidRPr="009C3204">
        <w:rPr>
          <w:rFonts w:ascii="Cambria" w:hAnsi="Cambria"/>
          <w:sz w:val="24"/>
          <w:szCs w:val="24"/>
        </w:rPr>
        <w:lastRenderedPageBreak/>
        <w:t xml:space="preserve">participants in risk </w:t>
      </w:r>
      <w:proofErr w:type="gramStart"/>
      <w:r w:rsidR="00011D1B" w:rsidRPr="009C3204">
        <w:rPr>
          <w:rFonts w:ascii="Cambria" w:hAnsi="Cambria"/>
          <w:sz w:val="24"/>
          <w:szCs w:val="24"/>
        </w:rPr>
        <w:t xml:space="preserve">management who </w:t>
      </w:r>
      <w:r w:rsidR="00843B81" w:rsidRPr="009C3204">
        <w:rPr>
          <w:rFonts w:ascii="Cambria" w:hAnsi="Cambria"/>
          <w:sz w:val="24"/>
          <w:szCs w:val="24"/>
        </w:rPr>
        <w:t xml:space="preserve">act as </w:t>
      </w:r>
      <w:r w:rsidR="00011D1B" w:rsidRPr="009C3204">
        <w:rPr>
          <w:rFonts w:ascii="Cambria" w:hAnsi="Cambria"/>
          <w:sz w:val="24"/>
          <w:szCs w:val="24"/>
        </w:rPr>
        <w:t xml:space="preserve">the litigants </w:t>
      </w:r>
      <w:r w:rsidR="00843B81" w:rsidRPr="009C3204">
        <w:rPr>
          <w:rFonts w:ascii="Cambria" w:hAnsi="Cambria"/>
          <w:sz w:val="24"/>
          <w:szCs w:val="24"/>
        </w:rPr>
        <w:t>in</w:t>
      </w:r>
      <w:r w:rsidR="00011D1B" w:rsidRPr="009C3204">
        <w:rPr>
          <w:rFonts w:ascii="Cambria" w:hAnsi="Cambria"/>
          <w:sz w:val="24"/>
          <w:szCs w:val="24"/>
        </w:rPr>
        <w:t xml:space="preserve"> private law</w:t>
      </w:r>
      <w:r w:rsidR="00843B81" w:rsidRPr="009C3204">
        <w:rPr>
          <w:rFonts w:ascii="Cambria" w:hAnsi="Cambria"/>
          <w:sz w:val="24"/>
          <w:szCs w:val="24"/>
        </w:rPr>
        <w:t>;</w:t>
      </w:r>
      <w:r w:rsidR="00011D1B" w:rsidRPr="009C3204">
        <w:rPr>
          <w:rStyle w:val="FootnoteReference"/>
          <w:rFonts w:ascii="Cambria" w:hAnsi="Cambria"/>
          <w:sz w:val="24"/>
          <w:szCs w:val="24"/>
        </w:rPr>
        <w:footnoteReference w:id="77"/>
      </w:r>
      <w:proofErr w:type="gramEnd"/>
      <w:r w:rsidR="005D1283" w:rsidRPr="009C3204">
        <w:rPr>
          <w:rFonts w:ascii="Cambria" w:hAnsi="Cambria"/>
          <w:sz w:val="24"/>
          <w:szCs w:val="24"/>
        </w:rPr>
        <w:t xml:space="preserve"> and</w:t>
      </w:r>
      <w:r w:rsidR="00011D1B" w:rsidRPr="009C3204">
        <w:rPr>
          <w:rFonts w:ascii="Cambria" w:hAnsi="Cambria"/>
          <w:sz w:val="24"/>
          <w:szCs w:val="24"/>
        </w:rPr>
        <w:t xml:space="preserve"> the courts and lawyers themselves, may be seen as act</w:t>
      </w:r>
      <w:r w:rsidR="00C42041" w:rsidRPr="009C3204">
        <w:rPr>
          <w:rFonts w:ascii="Cambria" w:hAnsi="Cambria"/>
          <w:sz w:val="24"/>
          <w:szCs w:val="24"/>
        </w:rPr>
        <w:t>ors at a distance, steering risk</w:t>
      </w:r>
      <w:r w:rsidR="00011D1B" w:rsidRPr="009C3204">
        <w:rPr>
          <w:rFonts w:ascii="Cambria" w:hAnsi="Cambria"/>
          <w:sz w:val="24"/>
          <w:szCs w:val="24"/>
        </w:rPr>
        <w:t xml:space="preserve"> more directly than central state agencies are able to do.</w:t>
      </w:r>
    </w:p>
    <w:p w14:paraId="59C71EA3" w14:textId="7A7BCBA1" w:rsidR="007D5490" w:rsidRPr="009C3204" w:rsidRDefault="00D8337E" w:rsidP="008E4509">
      <w:pPr>
        <w:spacing w:line="240" w:lineRule="auto"/>
        <w:jc w:val="both"/>
        <w:rPr>
          <w:rFonts w:ascii="Cambria" w:hAnsi="Cambria"/>
          <w:sz w:val="24"/>
          <w:szCs w:val="24"/>
        </w:rPr>
      </w:pPr>
      <w:r w:rsidRPr="009C3204">
        <w:rPr>
          <w:rFonts w:ascii="Cambria" w:hAnsi="Cambria"/>
          <w:sz w:val="24"/>
          <w:szCs w:val="24"/>
        </w:rPr>
        <w:t xml:space="preserve">As we have already seen however, </w:t>
      </w:r>
      <w:r w:rsidR="001C3A6A" w:rsidRPr="009C3204">
        <w:rPr>
          <w:rFonts w:ascii="Cambria" w:hAnsi="Cambria"/>
          <w:sz w:val="24"/>
          <w:szCs w:val="24"/>
        </w:rPr>
        <w:t xml:space="preserve">these developments </w:t>
      </w:r>
      <w:r w:rsidR="00626F85" w:rsidRPr="009C3204">
        <w:rPr>
          <w:rFonts w:ascii="Cambria" w:hAnsi="Cambria"/>
          <w:sz w:val="24"/>
          <w:szCs w:val="24"/>
        </w:rPr>
        <w:t xml:space="preserve">do not </w:t>
      </w:r>
      <w:r w:rsidR="001C3A6A" w:rsidRPr="009C3204">
        <w:rPr>
          <w:rFonts w:ascii="Cambria" w:hAnsi="Cambria"/>
          <w:sz w:val="24"/>
          <w:szCs w:val="24"/>
        </w:rPr>
        <w:t>amount to a general abandonment of security.</w:t>
      </w:r>
      <w:r w:rsidR="00285FD8" w:rsidRPr="009C3204">
        <w:rPr>
          <w:rFonts w:ascii="Cambria" w:hAnsi="Cambria"/>
          <w:sz w:val="24"/>
          <w:szCs w:val="24"/>
        </w:rPr>
        <w:t xml:space="preserve"> Delivery of security through </w:t>
      </w:r>
      <w:r w:rsidR="0021175B" w:rsidRPr="009C3204">
        <w:rPr>
          <w:rFonts w:ascii="Cambria" w:hAnsi="Cambria"/>
          <w:sz w:val="24"/>
          <w:szCs w:val="24"/>
        </w:rPr>
        <w:t>a multiplicity of potential</w:t>
      </w:r>
      <w:r w:rsidR="00285FD8" w:rsidRPr="009C3204">
        <w:rPr>
          <w:rFonts w:ascii="Cambria" w:hAnsi="Cambria"/>
          <w:sz w:val="24"/>
          <w:szCs w:val="24"/>
        </w:rPr>
        <w:t xml:space="preserve"> means is combined with increasing emphasis on individual, as opposed to collective, responsibility</w:t>
      </w:r>
      <w:r w:rsidR="00BA39EE" w:rsidRPr="009C3204">
        <w:rPr>
          <w:rFonts w:ascii="Cambria" w:hAnsi="Cambria"/>
          <w:sz w:val="24"/>
          <w:szCs w:val="24"/>
        </w:rPr>
        <w:t>. It is suggested that this is, increasingly, responsibility</w:t>
      </w:r>
      <w:r w:rsidR="0021175B" w:rsidRPr="009C3204">
        <w:rPr>
          <w:rFonts w:ascii="Cambria" w:hAnsi="Cambria"/>
          <w:sz w:val="24"/>
          <w:szCs w:val="24"/>
        </w:rPr>
        <w:t xml:space="preserve"> </w:t>
      </w:r>
      <w:r w:rsidR="0021175B" w:rsidRPr="009C3204">
        <w:rPr>
          <w:rFonts w:ascii="Cambria" w:hAnsi="Cambria"/>
          <w:i/>
          <w:sz w:val="24"/>
          <w:szCs w:val="24"/>
        </w:rPr>
        <w:t>for managing risks and security</w:t>
      </w:r>
      <w:r w:rsidR="00285FD8" w:rsidRPr="009C3204">
        <w:rPr>
          <w:rFonts w:ascii="Cambria" w:hAnsi="Cambria"/>
          <w:sz w:val="24"/>
          <w:szCs w:val="24"/>
        </w:rPr>
        <w:t>.</w:t>
      </w:r>
      <w:r w:rsidR="006209FD" w:rsidRPr="009C3204">
        <w:rPr>
          <w:rFonts w:ascii="Cambria" w:hAnsi="Cambria"/>
          <w:sz w:val="24"/>
          <w:szCs w:val="24"/>
        </w:rPr>
        <w:t xml:space="preserve"> </w:t>
      </w:r>
      <w:r w:rsidR="005D1283" w:rsidRPr="009C3204">
        <w:rPr>
          <w:rFonts w:ascii="Cambria" w:hAnsi="Cambria"/>
          <w:sz w:val="24"/>
          <w:szCs w:val="24"/>
        </w:rPr>
        <w:t xml:space="preserve">This </w:t>
      </w:r>
      <w:r w:rsidR="00BA39EE" w:rsidRPr="009C3204">
        <w:rPr>
          <w:rFonts w:ascii="Cambria" w:hAnsi="Cambria"/>
          <w:sz w:val="24"/>
          <w:szCs w:val="24"/>
        </w:rPr>
        <w:t>include</w:t>
      </w:r>
      <w:r w:rsidR="005D1283" w:rsidRPr="009C3204">
        <w:rPr>
          <w:rFonts w:ascii="Cambria" w:hAnsi="Cambria"/>
          <w:sz w:val="24"/>
          <w:szCs w:val="24"/>
        </w:rPr>
        <w:t>s</w:t>
      </w:r>
      <w:r w:rsidR="00BA39EE" w:rsidRPr="009C3204">
        <w:rPr>
          <w:rFonts w:ascii="Cambria" w:hAnsi="Cambria"/>
          <w:sz w:val="24"/>
          <w:szCs w:val="24"/>
        </w:rPr>
        <w:t xml:space="preserve"> avoidance of some blatant risks; but it would also include management of potential sources of security where risks are worth taking, or unavoidable adjuncts of chosen activities. </w:t>
      </w:r>
    </w:p>
    <w:p w14:paraId="593513F4" w14:textId="7A3FE887" w:rsidR="00285FD8" w:rsidRPr="009C3204" w:rsidRDefault="00CE54DC" w:rsidP="008E4509">
      <w:pPr>
        <w:spacing w:line="240" w:lineRule="auto"/>
        <w:jc w:val="both"/>
        <w:rPr>
          <w:rFonts w:ascii="Cambria" w:hAnsi="Cambria"/>
          <w:sz w:val="24"/>
          <w:szCs w:val="24"/>
        </w:rPr>
      </w:pPr>
      <w:r w:rsidRPr="009C3204">
        <w:rPr>
          <w:rFonts w:ascii="Cambria" w:hAnsi="Cambria"/>
          <w:sz w:val="24"/>
          <w:szCs w:val="24"/>
        </w:rPr>
        <w:t>The</w:t>
      </w:r>
      <w:r w:rsidR="00285FD8" w:rsidRPr="009C3204">
        <w:rPr>
          <w:rFonts w:ascii="Cambria" w:hAnsi="Cambria"/>
          <w:sz w:val="24"/>
          <w:szCs w:val="24"/>
        </w:rPr>
        <w:t xml:space="preserve"> hypothesis </w:t>
      </w:r>
      <w:r w:rsidR="00830EAF" w:rsidRPr="009C3204">
        <w:rPr>
          <w:rFonts w:ascii="Cambria" w:hAnsi="Cambria"/>
          <w:sz w:val="24"/>
          <w:szCs w:val="24"/>
        </w:rPr>
        <w:t xml:space="preserve">is that consecutive </w:t>
      </w:r>
      <w:r w:rsidR="00285FD8" w:rsidRPr="009C3204">
        <w:rPr>
          <w:rFonts w:ascii="Cambria" w:hAnsi="Cambria"/>
          <w:sz w:val="24"/>
          <w:szCs w:val="24"/>
        </w:rPr>
        <w:t xml:space="preserve">risk revolutions have left a complex relationship between security/distribution, and responsibility. This is likely to have both affected private law, and invoked private law in arriving at the current balance. Private law is not merely a recipient of external factors, but </w:t>
      </w:r>
      <w:r w:rsidRPr="009C3204">
        <w:rPr>
          <w:rFonts w:ascii="Cambria" w:hAnsi="Cambria"/>
          <w:sz w:val="24"/>
          <w:szCs w:val="24"/>
        </w:rPr>
        <w:t xml:space="preserve">a component of their </w:t>
      </w:r>
      <w:proofErr w:type="gramStart"/>
      <w:r w:rsidRPr="009C3204">
        <w:rPr>
          <w:rFonts w:ascii="Cambria" w:hAnsi="Cambria"/>
          <w:sz w:val="24"/>
          <w:szCs w:val="24"/>
        </w:rPr>
        <w:t>governance,</w:t>
      </w:r>
      <w:proofErr w:type="gramEnd"/>
      <w:r w:rsidRPr="009C3204">
        <w:rPr>
          <w:rFonts w:ascii="Cambria" w:hAnsi="Cambria"/>
          <w:sz w:val="24"/>
          <w:szCs w:val="24"/>
        </w:rPr>
        <w:t xml:space="preserve"> and it </w:t>
      </w:r>
      <w:r w:rsidR="00285FD8" w:rsidRPr="009C3204">
        <w:rPr>
          <w:rFonts w:ascii="Cambria" w:hAnsi="Cambria"/>
          <w:sz w:val="24"/>
          <w:szCs w:val="24"/>
        </w:rPr>
        <w:t>helps to make or shape them.</w:t>
      </w:r>
    </w:p>
    <w:p w14:paraId="379F179D" w14:textId="00C88BCB" w:rsidR="00E14B5B" w:rsidRPr="009C3204" w:rsidRDefault="001938F2" w:rsidP="008E4509">
      <w:pPr>
        <w:spacing w:line="240" w:lineRule="auto"/>
        <w:jc w:val="both"/>
        <w:rPr>
          <w:rFonts w:ascii="Cambria" w:hAnsi="Cambria"/>
          <w:sz w:val="24"/>
          <w:szCs w:val="24"/>
        </w:rPr>
      </w:pPr>
      <w:r w:rsidRPr="009C3204">
        <w:rPr>
          <w:rFonts w:ascii="Cambria" w:hAnsi="Cambria"/>
          <w:sz w:val="24"/>
          <w:szCs w:val="24"/>
        </w:rPr>
        <w:t>It may be asked how these developments</w:t>
      </w:r>
      <w:r w:rsidR="00BA39EE" w:rsidRPr="009C3204">
        <w:rPr>
          <w:rFonts w:ascii="Cambria" w:hAnsi="Cambria"/>
          <w:sz w:val="24"/>
          <w:szCs w:val="24"/>
        </w:rPr>
        <w:t xml:space="preserve"> are thought to have come about. How </w:t>
      </w:r>
      <w:r w:rsidRPr="009C3204">
        <w:rPr>
          <w:rFonts w:ascii="Cambria" w:hAnsi="Cambria"/>
          <w:sz w:val="24"/>
          <w:szCs w:val="24"/>
        </w:rPr>
        <w:t xml:space="preserve">do changes in private law come to ‘map’ broader or external developments? Perhaps the answer is partly offered by what has gone before in outlining the security revolution </w:t>
      </w:r>
      <w:r w:rsidR="00CE1CD5" w:rsidRPr="009C3204">
        <w:rPr>
          <w:rFonts w:ascii="Cambria" w:hAnsi="Cambria"/>
          <w:sz w:val="24"/>
          <w:szCs w:val="24"/>
        </w:rPr>
        <w:t>and the transition to new forms of risk governance</w:t>
      </w:r>
      <w:r w:rsidR="00633278" w:rsidRPr="009C3204">
        <w:rPr>
          <w:rFonts w:ascii="Cambria" w:hAnsi="Cambria"/>
          <w:sz w:val="24"/>
          <w:szCs w:val="24"/>
        </w:rPr>
        <w:t xml:space="preserve">. Namely, these </w:t>
      </w:r>
      <w:r w:rsidRPr="009C3204">
        <w:rPr>
          <w:rFonts w:ascii="Cambria" w:hAnsi="Cambria"/>
          <w:sz w:val="24"/>
          <w:szCs w:val="24"/>
        </w:rPr>
        <w:t xml:space="preserve">are not </w:t>
      </w:r>
      <w:r w:rsidR="00633278" w:rsidRPr="009C3204">
        <w:rPr>
          <w:rFonts w:ascii="Cambria" w:hAnsi="Cambria"/>
          <w:sz w:val="24"/>
          <w:szCs w:val="24"/>
        </w:rPr>
        <w:t xml:space="preserve">starkly </w:t>
      </w:r>
      <w:r w:rsidRPr="009C3204">
        <w:rPr>
          <w:rFonts w:ascii="Cambria" w:hAnsi="Cambria"/>
          <w:sz w:val="24"/>
          <w:szCs w:val="24"/>
        </w:rPr>
        <w:t xml:space="preserve">‘external’ </w:t>
      </w:r>
      <w:r w:rsidR="00EB546E" w:rsidRPr="009C3204">
        <w:rPr>
          <w:rFonts w:ascii="Cambria" w:hAnsi="Cambria"/>
          <w:sz w:val="24"/>
          <w:szCs w:val="24"/>
        </w:rPr>
        <w:t>or</w:t>
      </w:r>
      <w:r w:rsidRPr="009C3204">
        <w:rPr>
          <w:rFonts w:ascii="Cambria" w:hAnsi="Cambria"/>
          <w:sz w:val="24"/>
          <w:szCs w:val="24"/>
        </w:rPr>
        <w:t xml:space="preserve"> ‘internal’ changes</w:t>
      </w:r>
      <w:r w:rsidR="00633278" w:rsidRPr="009C3204">
        <w:rPr>
          <w:rFonts w:ascii="Cambria" w:hAnsi="Cambria"/>
          <w:sz w:val="24"/>
          <w:szCs w:val="24"/>
        </w:rPr>
        <w:t>. What</w:t>
      </w:r>
      <w:r w:rsidRPr="009C3204">
        <w:rPr>
          <w:rFonts w:ascii="Cambria" w:hAnsi="Cambria"/>
          <w:sz w:val="24"/>
          <w:szCs w:val="24"/>
        </w:rPr>
        <w:t xml:space="preserve"> happens in private law is an inherent part of what </w:t>
      </w:r>
      <w:r w:rsidR="001F0CAD" w:rsidRPr="009C3204">
        <w:rPr>
          <w:rFonts w:ascii="Cambria" w:hAnsi="Cambria"/>
          <w:sz w:val="24"/>
          <w:szCs w:val="24"/>
        </w:rPr>
        <w:t>‘</w:t>
      </w:r>
      <w:r w:rsidRPr="009C3204">
        <w:rPr>
          <w:rFonts w:ascii="Cambria" w:hAnsi="Cambria"/>
          <w:sz w:val="24"/>
          <w:szCs w:val="24"/>
        </w:rPr>
        <w:t>society</w:t>
      </w:r>
      <w:r w:rsidR="001F0CAD" w:rsidRPr="009C3204">
        <w:rPr>
          <w:rFonts w:ascii="Cambria" w:hAnsi="Cambria"/>
          <w:sz w:val="24"/>
          <w:szCs w:val="24"/>
        </w:rPr>
        <w:t>’</w:t>
      </w:r>
      <w:r w:rsidRPr="009C3204">
        <w:rPr>
          <w:rFonts w:ascii="Cambria" w:hAnsi="Cambria"/>
          <w:sz w:val="24"/>
          <w:szCs w:val="24"/>
        </w:rPr>
        <w:t xml:space="preserve"> chooses to do about risk. </w:t>
      </w:r>
      <w:r w:rsidR="001F0CAD" w:rsidRPr="009C3204">
        <w:rPr>
          <w:rFonts w:ascii="Cambria" w:hAnsi="Cambria"/>
          <w:sz w:val="24"/>
          <w:szCs w:val="24"/>
        </w:rPr>
        <w:t>This</w:t>
      </w:r>
      <w:r w:rsidRPr="009C3204">
        <w:rPr>
          <w:rFonts w:ascii="Cambria" w:hAnsi="Cambria"/>
          <w:sz w:val="24"/>
          <w:szCs w:val="24"/>
        </w:rPr>
        <w:t xml:space="preserve"> is partly</w:t>
      </w:r>
      <w:r w:rsidR="001F0CAD" w:rsidRPr="009C3204">
        <w:rPr>
          <w:rFonts w:ascii="Cambria" w:hAnsi="Cambria"/>
          <w:sz w:val="24"/>
          <w:szCs w:val="24"/>
        </w:rPr>
        <w:t>, but only partly,</w:t>
      </w:r>
      <w:r w:rsidRPr="009C3204">
        <w:rPr>
          <w:rFonts w:ascii="Cambria" w:hAnsi="Cambria"/>
          <w:sz w:val="24"/>
          <w:szCs w:val="24"/>
        </w:rPr>
        <w:t xml:space="preserve"> because there are policy and legislative elements to what is happening. </w:t>
      </w:r>
      <w:r w:rsidR="00633278" w:rsidRPr="009C3204">
        <w:rPr>
          <w:rFonts w:ascii="Cambria" w:hAnsi="Cambria"/>
          <w:sz w:val="24"/>
          <w:szCs w:val="24"/>
        </w:rPr>
        <w:t>L</w:t>
      </w:r>
      <w:r w:rsidRPr="009C3204">
        <w:rPr>
          <w:rFonts w:ascii="Cambria" w:hAnsi="Cambria"/>
          <w:sz w:val="24"/>
          <w:szCs w:val="24"/>
        </w:rPr>
        <w:t>awyers are easily capable of being at th</w:t>
      </w:r>
      <w:r w:rsidR="00CB6B43" w:rsidRPr="009C3204">
        <w:rPr>
          <w:rFonts w:ascii="Cambria" w:hAnsi="Cambria"/>
          <w:sz w:val="24"/>
          <w:szCs w:val="24"/>
        </w:rPr>
        <w:t>e forefront of policy thinking —</w:t>
      </w:r>
      <w:r w:rsidRPr="009C3204">
        <w:rPr>
          <w:rFonts w:ascii="Cambria" w:hAnsi="Cambria"/>
          <w:sz w:val="24"/>
          <w:szCs w:val="24"/>
        </w:rPr>
        <w:t xml:space="preserve"> </w:t>
      </w:r>
      <w:r w:rsidR="00830EAF" w:rsidRPr="009C3204">
        <w:rPr>
          <w:rFonts w:ascii="Cambria" w:hAnsi="Cambria"/>
          <w:sz w:val="24"/>
          <w:szCs w:val="24"/>
        </w:rPr>
        <w:t>particularly in relation to law.</w:t>
      </w:r>
      <w:r w:rsidRPr="009C3204">
        <w:rPr>
          <w:rFonts w:ascii="Cambria" w:hAnsi="Cambria"/>
          <w:sz w:val="24"/>
          <w:szCs w:val="24"/>
        </w:rPr>
        <w:t xml:space="preserve"> Litigants may also </w:t>
      </w:r>
      <w:r w:rsidR="001F0CAD" w:rsidRPr="009C3204">
        <w:rPr>
          <w:rFonts w:ascii="Cambria" w:hAnsi="Cambria"/>
          <w:sz w:val="24"/>
          <w:szCs w:val="24"/>
        </w:rPr>
        <w:t xml:space="preserve">seek avenues for change </w:t>
      </w:r>
      <w:r w:rsidRPr="009C3204">
        <w:rPr>
          <w:rFonts w:ascii="Cambria" w:hAnsi="Cambria"/>
          <w:sz w:val="24"/>
          <w:szCs w:val="24"/>
        </w:rPr>
        <w:t xml:space="preserve">in </w:t>
      </w:r>
      <w:r w:rsidR="00CB6B43" w:rsidRPr="009C3204">
        <w:rPr>
          <w:rFonts w:ascii="Cambria" w:hAnsi="Cambria"/>
          <w:sz w:val="24"/>
          <w:szCs w:val="24"/>
        </w:rPr>
        <w:t>relation to risk —</w:t>
      </w:r>
      <w:r w:rsidRPr="009C3204">
        <w:rPr>
          <w:rFonts w:ascii="Cambria" w:hAnsi="Cambria"/>
          <w:sz w:val="24"/>
          <w:szCs w:val="24"/>
        </w:rPr>
        <w:t xml:space="preserve"> </w:t>
      </w:r>
      <w:r w:rsidR="001F0CAD" w:rsidRPr="009C3204">
        <w:rPr>
          <w:rFonts w:ascii="Cambria" w:hAnsi="Cambria"/>
          <w:sz w:val="24"/>
          <w:szCs w:val="24"/>
        </w:rPr>
        <w:t>or legal liabilities may be an important aspect of the risks they face</w:t>
      </w:r>
      <w:r w:rsidR="00633278" w:rsidRPr="009C3204">
        <w:rPr>
          <w:rFonts w:ascii="Cambria" w:hAnsi="Cambria"/>
          <w:sz w:val="24"/>
          <w:szCs w:val="24"/>
        </w:rPr>
        <w:t xml:space="preserve">. This is particularly, but not only, the case </w:t>
      </w:r>
      <w:r w:rsidRPr="009C3204">
        <w:rPr>
          <w:rFonts w:ascii="Cambria" w:hAnsi="Cambria"/>
          <w:sz w:val="24"/>
          <w:szCs w:val="24"/>
        </w:rPr>
        <w:t>where litigants are either insurers, or insured parties seeking to clarify their relationship to insurers.</w:t>
      </w:r>
      <w:r w:rsidR="009757AF" w:rsidRPr="009C3204">
        <w:rPr>
          <w:rFonts w:ascii="Cambria" w:hAnsi="Cambria"/>
          <w:sz w:val="24"/>
          <w:szCs w:val="24"/>
        </w:rPr>
        <w:t xml:space="preserve"> </w:t>
      </w:r>
      <w:r w:rsidR="00531778" w:rsidRPr="009C3204">
        <w:rPr>
          <w:rFonts w:ascii="Cambria" w:hAnsi="Cambria"/>
          <w:sz w:val="24"/>
          <w:szCs w:val="24"/>
        </w:rPr>
        <w:t>And the choice of using private law, either as litigant or legislator, is itself a choice with implications for the social role of risk.</w:t>
      </w:r>
      <w:r w:rsidR="005C36DE" w:rsidRPr="009C3204">
        <w:rPr>
          <w:rFonts w:ascii="Cambria" w:hAnsi="Cambria"/>
          <w:sz w:val="24"/>
          <w:szCs w:val="24"/>
        </w:rPr>
        <w:t xml:space="preserve"> Private law may either be </w:t>
      </w:r>
      <w:r w:rsidR="005C36DE" w:rsidRPr="009C3204">
        <w:rPr>
          <w:rFonts w:ascii="Cambria" w:hAnsi="Cambria"/>
          <w:i/>
          <w:sz w:val="24"/>
          <w:szCs w:val="24"/>
        </w:rPr>
        <w:t>responsive to</w:t>
      </w:r>
      <w:r w:rsidR="005C36DE" w:rsidRPr="009C3204">
        <w:rPr>
          <w:rFonts w:ascii="Cambria" w:hAnsi="Cambria"/>
          <w:sz w:val="24"/>
          <w:szCs w:val="24"/>
        </w:rPr>
        <w:t xml:space="preserve">, or </w:t>
      </w:r>
      <w:r w:rsidR="005C36DE" w:rsidRPr="009C3204">
        <w:rPr>
          <w:rFonts w:ascii="Cambria" w:hAnsi="Cambria"/>
          <w:i/>
          <w:sz w:val="24"/>
          <w:szCs w:val="24"/>
        </w:rPr>
        <w:t xml:space="preserve">partly constitutive of </w:t>
      </w:r>
      <w:r w:rsidR="005C36DE" w:rsidRPr="009C3204">
        <w:rPr>
          <w:rFonts w:ascii="Cambria" w:hAnsi="Cambria"/>
          <w:sz w:val="24"/>
          <w:szCs w:val="24"/>
        </w:rPr>
        <w:t>changes in societal responses to risk. Or, of course, it may display elements of</w:t>
      </w:r>
      <w:r w:rsidR="00AF1489" w:rsidRPr="009C3204">
        <w:rPr>
          <w:rFonts w:ascii="Cambria" w:hAnsi="Cambria"/>
          <w:sz w:val="24"/>
          <w:szCs w:val="24"/>
        </w:rPr>
        <w:t xml:space="preserve"> both</w:t>
      </w:r>
      <w:r w:rsidR="005C36DE" w:rsidRPr="009C3204">
        <w:rPr>
          <w:rFonts w:ascii="Cambria" w:hAnsi="Cambria"/>
          <w:sz w:val="24"/>
          <w:szCs w:val="24"/>
        </w:rPr>
        <w:t>.</w:t>
      </w:r>
    </w:p>
    <w:p w14:paraId="520F0ACE" w14:textId="28A78AE4" w:rsidR="005C36DE" w:rsidRPr="009C3204" w:rsidRDefault="001F0CAD" w:rsidP="008E4509">
      <w:pPr>
        <w:spacing w:line="240" w:lineRule="auto"/>
        <w:jc w:val="both"/>
        <w:rPr>
          <w:rFonts w:ascii="Cambria" w:hAnsi="Cambria"/>
          <w:sz w:val="24"/>
          <w:szCs w:val="24"/>
        </w:rPr>
      </w:pPr>
      <w:r w:rsidRPr="009C3204">
        <w:rPr>
          <w:rFonts w:ascii="Cambria" w:hAnsi="Cambria"/>
          <w:sz w:val="24"/>
          <w:szCs w:val="24"/>
        </w:rPr>
        <w:t xml:space="preserve">For all these reasons, it is worth asking </w:t>
      </w:r>
      <w:r w:rsidR="00AF1489" w:rsidRPr="009C3204">
        <w:rPr>
          <w:rFonts w:ascii="Cambria" w:hAnsi="Cambria"/>
          <w:sz w:val="24"/>
          <w:szCs w:val="24"/>
        </w:rPr>
        <w:t xml:space="preserve">to what extent we can </w:t>
      </w:r>
      <w:r w:rsidR="00CD4FFE" w:rsidRPr="009C3204">
        <w:rPr>
          <w:rFonts w:ascii="Cambria" w:hAnsi="Cambria"/>
          <w:sz w:val="24"/>
          <w:szCs w:val="24"/>
        </w:rPr>
        <w:t xml:space="preserve">observe </w:t>
      </w:r>
      <w:r w:rsidRPr="009C3204">
        <w:rPr>
          <w:rFonts w:ascii="Cambria" w:hAnsi="Cambria"/>
          <w:sz w:val="24"/>
          <w:szCs w:val="24"/>
        </w:rPr>
        <w:t xml:space="preserve">a </w:t>
      </w:r>
      <w:r w:rsidR="00CD4FFE" w:rsidRPr="009C3204">
        <w:rPr>
          <w:rFonts w:ascii="Cambria" w:hAnsi="Cambria"/>
          <w:sz w:val="24"/>
          <w:szCs w:val="24"/>
        </w:rPr>
        <w:t xml:space="preserve">changing emphasis </w:t>
      </w:r>
      <w:r w:rsidR="007D5490" w:rsidRPr="009C3204">
        <w:rPr>
          <w:rFonts w:ascii="Cambria" w:hAnsi="Cambria"/>
          <w:sz w:val="24"/>
          <w:szCs w:val="24"/>
        </w:rPr>
        <w:t xml:space="preserve">within private law </w:t>
      </w:r>
      <w:r w:rsidR="00CD4FFE" w:rsidRPr="009C3204">
        <w:rPr>
          <w:rFonts w:ascii="Cambria" w:hAnsi="Cambria"/>
          <w:sz w:val="24"/>
          <w:szCs w:val="24"/>
        </w:rPr>
        <w:t xml:space="preserve">upon </w:t>
      </w:r>
      <w:r w:rsidR="00CD4FFE" w:rsidRPr="009C3204">
        <w:rPr>
          <w:rFonts w:ascii="Cambria" w:hAnsi="Cambria"/>
          <w:i/>
          <w:sz w:val="24"/>
          <w:szCs w:val="24"/>
        </w:rPr>
        <w:t xml:space="preserve">responsibility </w:t>
      </w:r>
      <w:r w:rsidR="00CD4FFE" w:rsidRPr="009C3204">
        <w:rPr>
          <w:rFonts w:ascii="Cambria" w:hAnsi="Cambria"/>
          <w:sz w:val="24"/>
          <w:szCs w:val="24"/>
        </w:rPr>
        <w:t xml:space="preserve">for risks; </w:t>
      </w:r>
      <w:r w:rsidR="006209FD" w:rsidRPr="009C3204">
        <w:rPr>
          <w:rFonts w:ascii="Cambria" w:hAnsi="Cambria"/>
          <w:sz w:val="24"/>
          <w:szCs w:val="24"/>
        </w:rPr>
        <w:t xml:space="preserve">perhaps including </w:t>
      </w:r>
      <w:r w:rsidR="00CD4FFE" w:rsidRPr="009C3204">
        <w:rPr>
          <w:rFonts w:ascii="Cambria" w:hAnsi="Cambria"/>
          <w:sz w:val="24"/>
          <w:szCs w:val="24"/>
        </w:rPr>
        <w:t xml:space="preserve">responsibility for one’s </w:t>
      </w:r>
      <w:r w:rsidR="00CD4FFE" w:rsidRPr="009C3204">
        <w:rPr>
          <w:rFonts w:ascii="Cambria" w:hAnsi="Cambria"/>
          <w:i/>
          <w:sz w:val="24"/>
          <w:szCs w:val="24"/>
        </w:rPr>
        <w:t xml:space="preserve">own </w:t>
      </w:r>
      <w:r w:rsidR="00CD4FFE" w:rsidRPr="009C3204">
        <w:rPr>
          <w:rFonts w:ascii="Cambria" w:hAnsi="Cambria"/>
          <w:sz w:val="24"/>
          <w:szCs w:val="24"/>
        </w:rPr>
        <w:t xml:space="preserve">risk in particular? </w:t>
      </w:r>
      <w:r w:rsidR="00CE1CD5" w:rsidRPr="009C3204">
        <w:rPr>
          <w:rFonts w:ascii="Cambria" w:hAnsi="Cambria"/>
          <w:sz w:val="24"/>
          <w:szCs w:val="24"/>
        </w:rPr>
        <w:t xml:space="preserve">Does private law appear in any sense to be increasingly ‘steering’ or enforcing risk management by private actors? </w:t>
      </w:r>
      <w:r w:rsidR="00830EAF" w:rsidRPr="009C3204">
        <w:rPr>
          <w:rFonts w:ascii="Cambria" w:hAnsi="Cambria"/>
          <w:sz w:val="24"/>
          <w:szCs w:val="24"/>
        </w:rPr>
        <w:t>If so,</w:t>
      </w:r>
      <w:r w:rsidR="005D40B7" w:rsidRPr="009C3204">
        <w:rPr>
          <w:rFonts w:ascii="Cambria" w:hAnsi="Cambria"/>
          <w:sz w:val="24"/>
          <w:szCs w:val="24"/>
        </w:rPr>
        <w:t xml:space="preserve"> is there</w:t>
      </w:r>
      <w:r w:rsidRPr="009C3204">
        <w:rPr>
          <w:rFonts w:ascii="Cambria" w:hAnsi="Cambria"/>
          <w:sz w:val="24"/>
          <w:szCs w:val="24"/>
        </w:rPr>
        <w:t xml:space="preserve"> in any sense a move away from security</w:t>
      </w:r>
      <w:r w:rsidR="00AF1489" w:rsidRPr="009C3204">
        <w:rPr>
          <w:rFonts w:ascii="Cambria" w:hAnsi="Cambria"/>
          <w:sz w:val="24"/>
          <w:szCs w:val="24"/>
        </w:rPr>
        <w:t>, and/or from the generalising concepts which encouraged private law to become increasingly protective</w:t>
      </w:r>
      <w:r w:rsidR="005C36DE" w:rsidRPr="009C3204">
        <w:rPr>
          <w:rFonts w:ascii="Cambria" w:hAnsi="Cambria"/>
          <w:sz w:val="24"/>
          <w:szCs w:val="24"/>
        </w:rPr>
        <w:t>?</w:t>
      </w:r>
      <w:r w:rsidR="00BA39EE" w:rsidRPr="009C3204">
        <w:rPr>
          <w:rFonts w:ascii="Cambria" w:hAnsi="Cambria"/>
          <w:sz w:val="24"/>
          <w:szCs w:val="24"/>
        </w:rPr>
        <w:t xml:space="preserve"> In the final section, we explore these questions</w:t>
      </w:r>
      <w:r w:rsidR="00E32859" w:rsidRPr="009C3204">
        <w:rPr>
          <w:rFonts w:ascii="Cambria" w:hAnsi="Cambria"/>
          <w:sz w:val="24"/>
          <w:szCs w:val="24"/>
        </w:rPr>
        <w:t xml:space="preserve"> with a focus on the law of tort.</w:t>
      </w:r>
    </w:p>
    <w:p w14:paraId="2B09F168" w14:textId="105E1E34" w:rsidR="00E32859" w:rsidRPr="009C3204" w:rsidRDefault="00E32859" w:rsidP="008E4509">
      <w:pPr>
        <w:pStyle w:val="ListParagraph"/>
        <w:numPr>
          <w:ilvl w:val="0"/>
          <w:numId w:val="3"/>
        </w:numPr>
        <w:spacing w:line="240" w:lineRule="auto"/>
        <w:jc w:val="both"/>
        <w:rPr>
          <w:rFonts w:ascii="Cambria" w:hAnsi="Cambria"/>
          <w:b/>
          <w:sz w:val="24"/>
          <w:szCs w:val="24"/>
        </w:rPr>
      </w:pPr>
      <w:r w:rsidRPr="009C3204">
        <w:rPr>
          <w:rFonts w:ascii="Cambria" w:hAnsi="Cambria"/>
          <w:b/>
          <w:sz w:val="24"/>
          <w:szCs w:val="24"/>
        </w:rPr>
        <w:t>Tort, security, responsibility, and risk</w:t>
      </w:r>
    </w:p>
    <w:p w14:paraId="70E15DB2" w14:textId="1FB572E3" w:rsidR="00E32859" w:rsidRPr="009C3204" w:rsidRDefault="00E7696A" w:rsidP="008E4509">
      <w:pPr>
        <w:spacing w:line="240" w:lineRule="auto"/>
        <w:jc w:val="both"/>
        <w:rPr>
          <w:rFonts w:ascii="Cambria" w:hAnsi="Cambria"/>
          <w:sz w:val="24"/>
          <w:szCs w:val="24"/>
        </w:rPr>
      </w:pPr>
      <w:r w:rsidRPr="009C3204">
        <w:rPr>
          <w:rFonts w:ascii="Cambria" w:hAnsi="Cambria"/>
          <w:sz w:val="24"/>
          <w:szCs w:val="24"/>
        </w:rPr>
        <w:t>As we have seen, t</w:t>
      </w:r>
      <w:r w:rsidR="00E32859" w:rsidRPr="009C3204">
        <w:rPr>
          <w:rFonts w:ascii="Cambria" w:hAnsi="Cambria"/>
          <w:sz w:val="24"/>
          <w:szCs w:val="24"/>
        </w:rPr>
        <w:t xml:space="preserve">ort has, at some times in its recent history, been portrayed as </w:t>
      </w:r>
      <w:r w:rsidR="007120A3" w:rsidRPr="009C3204">
        <w:rPr>
          <w:rFonts w:ascii="Cambria" w:hAnsi="Cambria"/>
          <w:sz w:val="24"/>
          <w:szCs w:val="24"/>
        </w:rPr>
        <w:t xml:space="preserve">security or welfare focused, and thus as </w:t>
      </w:r>
      <w:r w:rsidR="00E32859" w:rsidRPr="009C3204">
        <w:rPr>
          <w:rFonts w:ascii="Cambria" w:hAnsi="Cambria"/>
          <w:sz w:val="24"/>
          <w:szCs w:val="24"/>
        </w:rPr>
        <w:t>more in tune with the distributive, collective approach of the security revolution</w:t>
      </w:r>
      <w:r w:rsidR="00830EAF" w:rsidRPr="009C3204">
        <w:rPr>
          <w:rFonts w:ascii="Cambria" w:hAnsi="Cambria"/>
          <w:sz w:val="24"/>
          <w:szCs w:val="24"/>
        </w:rPr>
        <w:t xml:space="preserve"> than other aspects of private law</w:t>
      </w:r>
      <w:r w:rsidR="00E32859" w:rsidRPr="009C3204">
        <w:rPr>
          <w:rFonts w:ascii="Cambria" w:hAnsi="Cambria"/>
          <w:sz w:val="24"/>
          <w:szCs w:val="24"/>
        </w:rPr>
        <w:t xml:space="preserve">. </w:t>
      </w:r>
      <w:r w:rsidRPr="009C3204">
        <w:rPr>
          <w:rFonts w:ascii="Cambria" w:hAnsi="Cambria"/>
          <w:sz w:val="24"/>
          <w:szCs w:val="24"/>
        </w:rPr>
        <w:t xml:space="preserve">It </w:t>
      </w:r>
      <w:r w:rsidR="00E32859" w:rsidRPr="009C3204">
        <w:rPr>
          <w:rFonts w:ascii="Cambria" w:hAnsi="Cambria"/>
          <w:sz w:val="24"/>
          <w:szCs w:val="24"/>
        </w:rPr>
        <w:t>was portrayed in</w:t>
      </w:r>
      <w:r w:rsidR="00CB6B43" w:rsidRPr="009C3204">
        <w:rPr>
          <w:rFonts w:ascii="Cambria" w:hAnsi="Cambria"/>
          <w:sz w:val="24"/>
          <w:szCs w:val="24"/>
        </w:rPr>
        <w:t xml:space="preserve"> this way </w:t>
      </w:r>
      <w:r w:rsidR="00CB6B43" w:rsidRPr="009C3204">
        <w:rPr>
          <w:rFonts w:ascii="Cambria" w:hAnsi="Cambria"/>
          <w:sz w:val="24"/>
          <w:szCs w:val="24"/>
        </w:rPr>
        <w:lastRenderedPageBreak/>
        <w:t>largely in the 1970s —</w:t>
      </w:r>
      <w:r w:rsidR="00E32859" w:rsidRPr="009C3204">
        <w:rPr>
          <w:rFonts w:ascii="Cambria" w:hAnsi="Cambria"/>
          <w:sz w:val="24"/>
          <w:szCs w:val="24"/>
        </w:rPr>
        <w:t xml:space="preserve"> </w:t>
      </w:r>
      <w:r w:rsidRPr="009C3204">
        <w:rPr>
          <w:rFonts w:ascii="Cambria" w:hAnsi="Cambria"/>
          <w:sz w:val="24"/>
          <w:szCs w:val="24"/>
        </w:rPr>
        <w:t xml:space="preserve">before the advent of a new revolution in </w:t>
      </w:r>
      <w:r w:rsidR="007120A3" w:rsidRPr="009C3204">
        <w:rPr>
          <w:rFonts w:ascii="Cambria" w:hAnsi="Cambria"/>
          <w:sz w:val="24"/>
          <w:szCs w:val="24"/>
        </w:rPr>
        <w:t xml:space="preserve">both </w:t>
      </w:r>
      <w:r w:rsidRPr="009C3204">
        <w:rPr>
          <w:rFonts w:ascii="Cambria" w:hAnsi="Cambria"/>
          <w:sz w:val="24"/>
          <w:szCs w:val="24"/>
        </w:rPr>
        <w:t>risk and governance</w:t>
      </w:r>
      <w:r w:rsidR="00E32859" w:rsidRPr="009C3204">
        <w:rPr>
          <w:rFonts w:ascii="Cambria" w:hAnsi="Cambria"/>
          <w:sz w:val="24"/>
          <w:szCs w:val="24"/>
        </w:rPr>
        <w:t xml:space="preserve">. </w:t>
      </w:r>
      <w:r w:rsidR="00842EBD" w:rsidRPr="009C3204">
        <w:rPr>
          <w:rFonts w:ascii="Cambria" w:hAnsi="Cambria"/>
          <w:sz w:val="24"/>
          <w:szCs w:val="24"/>
        </w:rPr>
        <w:t xml:space="preserve">Progress towards further security might have appeared inevitable; with the main </w:t>
      </w:r>
      <w:r w:rsidR="00A07B65" w:rsidRPr="009C3204">
        <w:rPr>
          <w:rFonts w:ascii="Cambria" w:hAnsi="Cambria"/>
          <w:sz w:val="24"/>
          <w:szCs w:val="24"/>
        </w:rPr>
        <w:t xml:space="preserve">battleground being replacement of tort as a means of protecting from the </w:t>
      </w:r>
      <w:r w:rsidR="00A07B65" w:rsidRPr="009C3204">
        <w:rPr>
          <w:rFonts w:ascii="Cambria" w:hAnsi="Cambria"/>
          <w:i/>
          <w:sz w:val="24"/>
          <w:szCs w:val="24"/>
        </w:rPr>
        <w:t>consequences</w:t>
      </w:r>
      <w:r w:rsidR="00A07B65" w:rsidRPr="009C3204">
        <w:rPr>
          <w:rFonts w:ascii="Cambria" w:hAnsi="Cambria"/>
          <w:sz w:val="24"/>
          <w:szCs w:val="24"/>
        </w:rPr>
        <w:t xml:space="preserve"> of harm (</w:t>
      </w:r>
      <w:proofErr w:type="spellStart"/>
      <w:r w:rsidR="00C61D5A" w:rsidRPr="009C3204">
        <w:rPr>
          <w:rFonts w:ascii="Cambria" w:hAnsi="Cambria"/>
          <w:sz w:val="24"/>
          <w:szCs w:val="24"/>
        </w:rPr>
        <w:t>ie</w:t>
      </w:r>
      <w:proofErr w:type="spellEnd"/>
      <w:r w:rsidR="00C61D5A" w:rsidRPr="009C3204">
        <w:rPr>
          <w:rFonts w:ascii="Cambria" w:hAnsi="Cambria"/>
          <w:sz w:val="24"/>
          <w:szCs w:val="24"/>
        </w:rPr>
        <w:t xml:space="preserve">, </w:t>
      </w:r>
      <w:r w:rsidR="00A07B65" w:rsidRPr="009C3204">
        <w:rPr>
          <w:rFonts w:ascii="Cambria" w:hAnsi="Cambria"/>
          <w:sz w:val="24"/>
          <w:szCs w:val="24"/>
        </w:rPr>
        <w:t>security).</w:t>
      </w:r>
      <w:r w:rsidRPr="009C3204">
        <w:rPr>
          <w:rFonts w:ascii="Cambria" w:hAnsi="Cambria"/>
          <w:sz w:val="24"/>
          <w:szCs w:val="24"/>
        </w:rPr>
        <w:t xml:space="preserve"> </w:t>
      </w:r>
    </w:p>
    <w:p w14:paraId="42352DBC" w14:textId="44F2152D" w:rsidR="008D4E0E" w:rsidRPr="009C3204" w:rsidRDefault="00C61D5A" w:rsidP="008E4509">
      <w:pPr>
        <w:spacing w:line="240" w:lineRule="auto"/>
        <w:jc w:val="both"/>
        <w:rPr>
          <w:rFonts w:ascii="Cambria" w:hAnsi="Cambria"/>
          <w:sz w:val="24"/>
          <w:szCs w:val="24"/>
        </w:rPr>
      </w:pPr>
      <w:r w:rsidRPr="009C3204">
        <w:rPr>
          <w:rFonts w:ascii="Cambria" w:hAnsi="Cambria"/>
          <w:sz w:val="24"/>
          <w:szCs w:val="24"/>
        </w:rPr>
        <w:t xml:space="preserve">Now, this is no longer the dominant picture of tort. Tort is perhaps unavoidably protective. But the </w:t>
      </w:r>
      <w:r w:rsidRPr="009C3204">
        <w:rPr>
          <w:rFonts w:ascii="Cambria" w:hAnsi="Cambria"/>
          <w:i/>
          <w:sz w:val="24"/>
          <w:szCs w:val="24"/>
        </w:rPr>
        <w:t xml:space="preserve">limits </w:t>
      </w:r>
      <w:r w:rsidR="00DA507D" w:rsidRPr="009C3204">
        <w:rPr>
          <w:rFonts w:ascii="Cambria" w:hAnsi="Cambria"/>
          <w:sz w:val="24"/>
          <w:szCs w:val="24"/>
        </w:rPr>
        <w:t xml:space="preserve">(and distribution) </w:t>
      </w:r>
      <w:r w:rsidRPr="009C3204">
        <w:rPr>
          <w:rFonts w:ascii="Cambria" w:hAnsi="Cambria"/>
          <w:sz w:val="24"/>
          <w:szCs w:val="24"/>
        </w:rPr>
        <w:t xml:space="preserve">of its protection are being more actively defined. </w:t>
      </w:r>
      <w:r w:rsidR="00CA160F" w:rsidRPr="009C3204">
        <w:rPr>
          <w:rFonts w:ascii="Cambria" w:hAnsi="Cambria"/>
          <w:sz w:val="24"/>
          <w:szCs w:val="24"/>
        </w:rPr>
        <w:t>As we have seen, i</w:t>
      </w:r>
      <w:r w:rsidR="004F1888" w:rsidRPr="009C3204">
        <w:rPr>
          <w:rFonts w:ascii="Cambria" w:hAnsi="Cambria"/>
          <w:sz w:val="24"/>
          <w:szCs w:val="24"/>
        </w:rPr>
        <w:t xml:space="preserve">n many jurisdictions, this has taken the form of political ‘tort reform’ movements, and </w:t>
      </w:r>
      <w:r w:rsidR="00635870" w:rsidRPr="009C3204">
        <w:rPr>
          <w:rFonts w:ascii="Cambria" w:hAnsi="Cambria"/>
          <w:sz w:val="24"/>
          <w:szCs w:val="24"/>
        </w:rPr>
        <w:t xml:space="preserve">reforming </w:t>
      </w:r>
      <w:r w:rsidR="004F1888" w:rsidRPr="009C3204">
        <w:rPr>
          <w:rFonts w:ascii="Cambria" w:hAnsi="Cambria"/>
          <w:sz w:val="24"/>
          <w:szCs w:val="24"/>
        </w:rPr>
        <w:t xml:space="preserve">legislation. </w:t>
      </w:r>
      <w:r w:rsidR="00635870" w:rsidRPr="009C3204">
        <w:rPr>
          <w:rFonts w:ascii="Cambria" w:hAnsi="Cambria"/>
          <w:sz w:val="24"/>
          <w:szCs w:val="24"/>
        </w:rPr>
        <w:t xml:space="preserve">In the UK, the revolution has been quieter and in </w:t>
      </w:r>
      <w:r w:rsidR="005D40B7" w:rsidRPr="009C3204">
        <w:rPr>
          <w:rFonts w:ascii="Cambria" w:hAnsi="Cambria"/>
          <w:sz w:val="24"/>
          <w:szCs w:val="24"/>
        </w:rPr>
        <w:t xml:space="preserve">some </w:t>
      </w:r>
      <w:r w:rsidR="00635870" w:rsidRPr="009C3204">
        <w:rPr>
          <w:rFonts w:ascii="Cambria" w:hAnsi="Cambria"/>
          <w:sz w:val="24"/>
          <w:szCs w:val="24"/>
        </w:rPr>
        <w:t xml:space="preserve">ways, is more interesting. Can private law change </w:t>
      </w:r>
      <w:r w:rsidR="0029082D" w:rsidRPr="009C3204">
        <w:rPr>
          <w:rFonts w:ascii="Cambria" w:hAnsi="Cambria"/>
          <w:i/>
          <w:sz w:val="24"/>
          <w:szCs w:val="24"/>
        </w:rPr>
        <w:t xml:space="preserve">from within </w:t>
      </w:r>
      <w:r w:rsidR="0029082D" w:rsidRPr="009C3204">
        <w:rPr>
          <w:rFonts w:ascii="Cambria" w:hAnsi="Cambria"/>
          <w:sz w:val="24"/>
          <w:szCs w:val="24"/>
        </w:rPr>
        <w:t>either in reflection of changing social approaches and priorities; or in orde</w:t>
      </w:r>
      <w:r w:rsidR="00DA507D" w:rsidRPr="009C3204">
        <w:rPr>
          <w:rFonts w:ascii="Cambria" w:hAnsi="Cambria"/>
          <w:sz w:val="24"/>
          <w:szCs w:val="24"/>
        </w:rPr>
        <w:t>r to influence those priorities?</w:t>
      </w:r>
      <w:r w:rsidR="0029082D" w:rsidRPr="009C3204">
        <w:rPr>
          <w:rFonts w:ascii="Cambria" w:hAnsi="Cambria"/>
          <w:sz w:val="24"/>
          <w:szCs w:val="24"/>
        </w:rPr>
        <w:t xml:space="preserve"> If private law is in some sense becoming more private, </w:t>
      </w:r>
      <w:r w:rsidR="00DA507D" w:rsidRPr="009C3204">
        <w:rPr>
          <w:rFonts w:ascii="Cambria" w:hAnsi="Cambria"/>
          <w:sz w:val="24"/>
          <w:szCs w:val="24"/>
        </w:rPr>
        <w:t xml:space="preserve">or, perhaps, more deferential about private interests and private ordering of security; </w:t>
      </w:r>
      <w:r w:rsidR="0029082D" w:rsidRPr="009C3204">
        <w:rPr>
          <w:rFonts w:ascii="Cambria" w:hAnsi="Cambria"/>
          <w:sz w:val="24"/>
          <w:szCs w:val="24"/>
        </w:rPr>
        <w:t xml:space="preserve">and the blurring boundary between public and private is </w:t>
      </w:r>
      <w:r w:rsidR="002528B1" w:rsidRPr="009C3204">
        <w:rPr>
          <w:rFonts w:ascii="Cambria" w:hAnsi="Cambria"/>
          <w:i/>
          <w:sz w:val="24"/>
          <w:szCs w:val="24"/>
        </w:rPr>
        <w:t xml:space="preserve">in some contexts </w:t>
      </w:r>
      <w:r w:rsidR="0029082D" w:rsidRPr="009C3204">
        <w:rPr>
          <w:rFonts w:ascii="Cambria" w:hAnsi="Cambria"/>
          <w:sz w:val="24"/>
          <w:szCs w:val="24"/>
        </w:rPr>
        <w:t>being re</w:t>
      </w:r>
      <w:r w:rsidR="00DB000E" w:rsidRPr="009C3204">
        <w:rPr>
          <w:rFonts w:ascii="Cambria" w:hAnsi="Cambria"/>
          <w:sz w:val="24"/>
          <w:szCs w:val="24"/>
        </w:rPr>
        <w:t>worked</w:t>
      </w:r>
      <w:r w:rsidR="007D5490" w:rsidRPr="009C3204">
        <w:rPr>
          <w:rFonts w:ascii="Cambria" w:hAnsi="Cambria"/>
          <w:sz w:val="24"/>
          <w:szCs w:val="24"/>
        </w:rPr>
        <w:t>;</w:t>
      </w:r>
      <w:r w:rsidR="002528B1" w:rsidRPr="009C3204">
        <w:rPr>
          <w:rStyle w:val="FootnoteReference"/>
          <w:rFonts w:ascii="Cambria" w:hAnsi="Cambria"/>
          <w:sz w:val="24"/>
          <w:szCs w:val="24"/>
        </w:rPr>
        <w:footnoteReference w:id="78"/>
      </w:r>
      <w:r w:rsidR="0029082D" w:rsidRPr="009C3204">
        <w:rPr>
          <w:rFonts w:ascii="Cambria" w:hAnsi="Cambria"/>
          <w:sz w:val="24"/>
          <w:szCs w:val="24"/>
        </w:rPr>
        <w:t xml:space="preserve"> this does not mean </w:t>
      </w:r>
      <w:r w:rsidR="008D4E0E" w:rsidRPr="009C3204">
        <w:rPr>
          <w:rFonts w:ascii="Cambria" w:hAnsi="Cambria"/>
          <w:sz w:val="24"/>
          <w:szCs w:val="24"/>
        </w:rPr>
        <w:t xml:space="preserve">that tort has ceased to operate as part of </w:t>
      </w:r>
      <w:r w:rsidR="00DB000E" w:rsidRPr="009C3204">
        <w:rPr>
          <w:rFonts w:ascii="Cambria" w:hAnsi="Cambria"/>
          <w:sz w:val="24"/>
          <w:szCs w:val="24"/>
        </w:rPr>
        <w:t>broader</w:t>
      </w:r>
      <w:r w:rsidR="008D4E0E" w:rsidRPr="009C3204">
        <w:rPr>
          <w:rFonts w:ascii="Cambria" w:hAnsi="Cambria"/>
          <w:sz w:val="24"/>
          <w:szCs w:val="24"/>
        </w:rPr>
        <w:t xml:space="preserve"> risk ‘evolution’.</w:t>
      </w:r>
      <w:r w:rsidR="00AB5DAA" w:rsidRPr="009C3204">
        <w:rPr>
          <w:rFonts w:ascii="Cambria" w:hAnsi="Cambria"/>
          <w:sz w:val="24"/>
          <w:szCs w:val="24"/>
        </w:rPr>
        <w:t xml:space="preserve"> Rather, these developments</w:t>
      </w:r>
      <w:r w:rsidR="00DB000E" w:rsidRPr="009C3204">
        <w:rPr>
          <w:rFonts w:ascii="Cambria" w:hAnsi="Cambria"/>
          <w:sz w:val="24"/>
          <w:szCs w:val="24"/>
        </w:rPr>
        <w:t xml:space="preserve"> </w:t>
      </w:r>
      <w:r w:rsidR="00631298" w:rsidRPr="009C3204">
        <w:rPr>
          <w:rFonts w:ascii="Cambria" w:hAnsi="Cambria"/>
          <w:sz w:val="24"/>
          <w:szCs w:val="24"/>
        </w:rPr>
        <w:t xml:space="preserve">in private law </w:t>
      </w:r>
      <w:r w:rsidR="00DB000E" w:rsidRPr="009C3204">
        <w:rPr>
          <w:rFonts w:ascii="Cambria" w:hAnsi="Cambria"/>
          <w:sz w:val="24"/>
          <w:szCs w:val="24"/>
        </w:rPr>
        <w:t xml:space="preserve">will be </w:t>
      </w:r>
      <w:r w:rsidR="00AB5DAA" w:rsidRPr="009C3204">
        <w:rPr>
          <w:rFonts w:ascii="Cambria" w:hAnsi="Cambria"/>
          <w:sz w:val="24"/>
          <w:szCs w:val="24"/>
        </w:rPr>
        <w:t xml:space="preserve">partly </w:t>
      </w:r>
      <w:r w:rsidR="00DB000E" w:rsidRPr="009C3204">
        <w:rPr>
          <w:rFonts w:ascii="Cambria" w:hAnsi="Cambria"/>
          <w:sz w:val="24"/>
          <w:szCs w:val="24"/>
        </w:rPr>
        <w:t>constitutive of how society responds to risk.</w:t>
      </w:r>
    </w:p>
    <w:p w14:paraId="3E98C008" w14:textId="1C8AAC38" w:rsidR="00631298" w:rsidRPr="009C3204" w:rsidRDefault="007D5490" w:rsidP="008E4509">
      <w:pPr>
        <w:spacing w:line="240" w:lineRule="auto"/>
        <w:jc w:val="both"/>
        <w:rPr>
          <w:rFonts w:ascii="Cambria" w:hAnsi="Cambria"/>
          <w:sz w:val="24"/>
          <w:szCs w:val="24"/>
        </w:rPr>
      </w:pPr>
      <w:r w:rsidRPr="009C3204">
        <w:rPr>
          <w:rFonts w:ascii="Cambria" w:hAnsi="Cambria"/>
          <w:sz w:val="24"/>
          <w:szCs w:val="24"/>
        </w:rPr>
        <w:t>I</w:t>
      </w:r>
      <w:r w:rsidR="00C61D5A" w:rsidRPr="009C3204">
        <w:rPr>
          <w:rFonts w:ascii="Cambria" w:hAnsi="Cambria"/>
          <w:sz w:val="24"/>
          <w:szCs w:val="24"/>
        </w:rPr>
        <w:t xml:space="preserve">f tort law is </w:t>
      </w:r>
      <w:r w:rsidR="00DB000E" w:rsidRPr="009C3204">
        <w:rPr>
          <w:rFonts w:ascii="Cambria" w:hAnsi="Cambria"/>
          <w:sz w:val="24"/>
          <w:szCs w:val="24"/>
        </w:rPr>
        <w:t xml:space="preserve">indeed </w:t>
      </w:r>
      <w:r w:rsidR="00C61D5A" w:rsidRPr="009C3204">
        <w:rPr>
          <w:rFonts w:ascii="Cambria" w:hAnsi="Cambria"/>
          <w:sz w:val="24"/>
          <w:szCs w:val="24"/>
        </w:rPr>
        <w:t xml:space="preserve">in some way either responsive to, or constitutive of, the further risk </w:t>
      </w:r>
      <w:r w:rsidR="00C82966">
        <w:rPr>
          <w:rFonts w:ascii="Cambria" w:hAnsi="Cambria"/>
          <w:sz w:val="24"/>
          <w:szCs w:val="24"/>
        </w:rPr>
        <w:t>r</w:t>
      </w:r>
      <w:r w:rsidR="00C61D5A" w:rsidRPr="009C3204">
        <w:rPr>
          <w:rFonts w:ascii="Cambria" w:hAnsi="Cambria"/>
          <w:sz w:val="24"/>
          <w:szCs w:val="24"/>
        </w:rPr>
        <w:t>evolution</w:t>
      </w:r>
      <w:r w:rsidR="007260BB" w:rsidRPr="009C3204">
        <w:rPr>
          <w:rFonts w:ascii="Cambria" w:hAnsi="Cambria"/>
          <w:sz w:val="24"/>
          <w:szCs w:val="24"/>
        </w:rPr>
        <w:t>s</w:t>
      </w:r>
      <w:r w:rsidR="00633278" w:rsidRPr="009C3204">
        <w:rPr>
          <w:rFonts w:ascii="Cambria" w:hAnsi="Cambria"/>
          <w:sz w:val="24"/>
          <w:szCs w:val="24"/>
        </w:rPr>
        <w:t xml:space="preserve"> defined in the previous section</w:t>
      </w:r>
      <w:r w:rsidR="00C61D5A" w:rsidRPr="009C3204">
        <w:rPr>
          <w:rFonts w:ascii="Cambria" w:hAnsi="Cambria"/>
          <w:sz w:val="24"/>
          <w:szCs w:val="24"/>
        </w:rPr>
        <w:t>, we might expect to see less universality</w:t>
      </w:r>
      <w:r w:rsidR="00DB000E" w:rsidRPr="009C3204">
        <w:rPr>
          <w:rFonts w:ascii="Cambria" w:hAnsi="Cambria"/>
          <w:sz w:val="24"/>
          <w:szCs w:val="24"/>
        </w:rPr>
        <w:t xml:space="preserve"> in its principles and concepts and how they apply</w:t>
      </w:r>
      <w:r w:rsidR="00C61D5A" w:rsidRPr="009C3204">
        <w:rPr>
          <w:rFonts w:ascii="Cambria" w:hAnsi="Cambria"/>
          <w:sz w:val="24"/>
          <w:szCs w:val="24"/>
        </w:rPr>
        <w:t xml:space="preserve">; more emphasis on </w:t>
      </w:r>
      <w:r w:rsidR="00515C05" w:rsidRPr="009C3204">
        <w:rPr>
          <w:rFonts w:ascii="Cambria" w:hAnsi="Cambria"/>
          <w:sz w:val="24"/>
          <w:szCs w:val="24"/>
        </w:rPr>
        <w:t xml:space="preserve">individual </w:t>
      </w:r>
      <w:r w:rsidR="00C61D5A" w:rsidRPr="009C3204">
        <w:rPr>
          <w:rFonts w:ascii="Cambria" w:hAnsi="Cambria"/>
          <w:sz w:val="24"/>
          <w:szCs w:val="24"/>
        </w:rPr>
        <w:t>responsibility to deal with</w:t>
      </w:r>
      <w:r w:rsidR="00631298" w:rsidRPr="009C3204">
        <w:rPr>
          <w:rFonts w:ascii="Cambria" w:hAnsi="Cambria"/>
          <w:sz w:val="24"/>
          <w:szCs w:val="24"/>
        </w:rPr>
        <w:t>, manage,</w:t>
      </w:r>
      <w:r w:rsidR="00C61D5A" w:rsidRPr="009C3204">
        <w:rPr>
          <w:rFonts w:ascii="Cambria" w:hAnsi="Cambria"/>
          <w:sz w:val="24"/>
          <w:szCs w:val="24"/>
        </w:rPr>
        <w:t xml:space="preserve"> or avoid exposure to risk</w:t>
      </w:r>
      <w:r w:rsidR="007260BB" w:rsidRPr="009C3204">
        <w:rPr>
          <w:rFonts w:ascii="Cambria" w:hAnsi="Cambria"/>
          <w:sz w:val="24"/>
          <w:szCs w:val="24"/>
        </w:rPr>
        <w:t>, with an awareness of alternative sources of security</w:t>
      </w:r>
      <w:r w:rsidR="00C61D5A" w:rsidRPr="009C3204">
        <w:rPr>
          <w:rFonts w:ascii="Cambria" w:hAnsi="Cambria"/>
          <w:sz w:val="24"/>
          <w:szCs w:val="24"/>
        </w:rPr>
        <w:t xml:space="preserve">; </w:t>
      </w:r>
      <w:r w:rsidR="00515C05" w:rsidRPr="009C3204">
        <w:rPr>
          <w:rFonts w:ascii="Cambria" w:hAnsi="Cambria"/>
          <w:sz w:val="24"/>
          <w:szCs w:val="24"/>
        </w:rPr>
        <w:t xml:space="preserve">more </w:t>
      </w:r>
      <w:r w:rsidR="00C61D5A" w:rsidRPr="009C3204">
        <w:rPr>
          <w:rFonts w:ascii="Cambria" w:hAnsi="Cambria"/>
          <w:sz w:val="24"/>
          <w:szCs w:val="24"/>
        </w:rPr>
        <w:t xml:space="preserve">deference to contractual risk allocation; and possible mirroring of contractual </w:t>
      </w:r>
      <w:r w:rsidR="007260BB" w:rsidRPr="009C3204">
        <w:rPr>
          <w:rFonts w:ascii="Cambria" w:hAnsi="Cambria"/>
          <w:sz w:val="24"/>
          <w:szCs w:val="24"/>
        </w:rPr>
        <w:t xml:space="preserve">styles of </w:t>
      </w:r>
      <w:r w:rsidR="00C61D5A" w:rsidRPr="009C3204">
        <w:rPr>
          <w:rFonts w:ascii="Cambria" w:hAnsi="Cambria"/>
          <w:sz w:val="24"/>
          <w:szCs w:val="24"/>
        </w:rPr>
        <w:t xml:space="preserve">thinking. It is suggested that all of these things have been on the rise in the law of tort over the last twenty years or so, and that the process is </w:t>
      </w:r>
      <w:r w:rsidR="005D40B7" w:rsidRPr="009C3204">
        <w:rPr>
          <w:rFonts w:ascii="Cambria" w:hAnsi="Cambria"/>
          <w:sz w:val="24"/>
          <w:szCs w:val="24"/>
        </w:rPr>
        <w:t xml:space="preserve">if anything </w:t>
      </w:r>
      <w:r w:rsidR="00C61D5A" w:rsidRPr="009C3204">
        <w:rPr>
          <w:rFonts w:ascii="Cambria" w:hAnsi="Cambria"/>
          <w:sz w:val="24"/>
          <w:szCs w:val="24"/>
        </w:rPr>
        <w:t>escalating</w:t>
      </w:r>
      <w:r w:rsidR="00631298" w:rsidRPr="009C3204">
        <w:rPr>
          <w:rFonts w:ascii="Cambria" w:hAnsi="Cambria"/>
          <w:sz w:val="24"/>
          <w:szCs w:val="24"/>
        </w:rPr>
        <w:t xml:space="preserve">, though the questions asked of or by the law of tort continue to lead to </w:t>
      </w:r>
      <w:r w:rsidRPr="009C3204">
        <w:rPr>
          <w:rFonts w:ascii="Cambria" w:hAnsi="Cambria"/>
          <w:sz w:val="24"/>
          <w:szCs w:val="24"/>
        </w:rPr>
        <w:t xml:space="preserve">significant, if </w:t>
      </w:r>
      <w:r w:rsidR="00631298" w:rsidRPr="009C3204">
        <w:rPr>
          <w:rFonts w:ascii="Cambria" w:hAnsi="Cambria"/>
          <w:sz w:val="24"/>
          <w:szCs w:val="24"/>
        </w:rPr>
        <w:t>subtle differences from contract</w:t>
      </w:r>
      <w:r w:rsidR="00C61D5A" w:rsidRPr="009C3204">
        <w:rPr>
          <w:rFonts w:ascii="Cambria" w:hAnsi="Cambria"/>
          <w:sz w:val="24"/>
          <w:szCs w:val="24"/>
        </w:rPr>
        <w:t>.</w:t>
      </w:r>
      <w:r w:rsidR="00631298" w:rsidRPr="009C3204">
        <w:rPr>
          <w:rFonts w:ascii="Cambria" w:hAnsi="Cambria"/>
          <w:sz w:val="24"/>
          <w:szCs w:val="24"/>
        </w:rPr>
        <w:t xml:space="preserve"> Indeed these features could be said to</w:t>
      </w:r>
      <w:r w:rsidR="009C0B26" w:rsidRPr="009C3204">
        <w:rPr>
          <w:rFonts w:ascii="Cambria" w:hAnsi="Cambria"/>
          <w:sz w:val="24"/>
          <w:szCs w:val="24"/>
        </w:rPr>
        <w:t xml:space="preserve"> provide </w:t>
      </w:r>
      <w:r w:rsidR="00515C05" w:rsidRPr="009C3204">
        <w:rPr>
          <w:rFonts w:ascii="Cambria" w:hAnsi="Cambria"/>
          <w:sz w:val="24"/>
          <w:szCs w:val="24"/>
        </w:rPr>
        <w:t>the key ‘</w:t>
      </w:r>
      <w:r w:rsidR="00631298" w:rsidRPr="009C3204">
        <w:rPr>
          <w:rFonts w:ascii="Cambria" w:hAnsi="Cambria"/>
          <w:sz w:val="24"/>
          <w:szCs w:val="24"/>
        </w:rPr>
        <w:t>story</w:t>
      </w:r>
      <w:r w:rsidR="005D40B7" w:rsidRPr="009C3204">
        <w:rPr>
          <w:rFonts w:ascii="Cambria" w:hAnsi="Cambria"/>
          <w:sz w:val="24"/>
          <w:szCs w:val="24"/>
        </w:rPr>
        <w:t>’ of the law of tort</w:t>
      </w:r>
      <w:r w:rsidR="007260BB" w:rsidRPr="009C3204">
        <w:rPr>
          <w:rFonts w:ascii="Cambria" w:hAnsi="Cambria"/>
          <w:sz w:val="24"/>
          <w:szCs w:val="24"/>
        </w:rPr>
        <w:t xml:space="preserve"> in this period</w:t>
      </w:r>
      <w:r w:rsidR="005D40B7" w:rsidRPr="009C3204">
        <w:rPr>
          <w:rFonts w:ascii="Cambria" w:hAnsi="Cambria"/>
          <w:sz w:val="24"/>
          <w:szCs w:val="24"/>
        </w:rPr>
        <w:t xml:space="preserve">. It </w:t>
      </w:r>
      <w:r w:rsidR="007260BB" w:rsidRPr="009C3204">
        <w:rPr>
          <w:rFonts w:ascii="Cambria" w:hAnsi="Cambria"/>
          <w:sz w:val="24"/>
          <w:szCs w:val="24"/>
        </w:rPr>
        <w:t>may</w:t>
      </w:r>
      <w:r w:rsidR="009C0B26" w:rsidRPr="009C3204">
        <w:rPr>
          <w:rFonts w:ascii="Cambria" w:hAnsi="Cambria"/>
          <w:sz w:val="24"/>
          <w:szCs w:val="24"/>
        </w:rPr>
        <w:t xml:space="preserve"> be objected that this is </w:t>
      </w:r>
      <w:r w:rsidR="00515C05" w:rsidRPr="009C3204">
        <w:rPr>
          <w:rFonts w:ascii="Cambria" w:hAnsi="Cambria"/>
          <w:sz w:val="24"/>
          <w:szCs w:val="24"/>
        </w:rPr>
        <w:t xml:space="preserve">principally </w:t>
      </w:r>
      <w:r w:rsidR="009C0B26" w:rsidRPr="009C3204">
        <w:rPr>
          <w:rFonts w:ascii="Cambria" w:hAnsi="Cambria"/>
          <w:sz w:val="24"/>
          <w:szCs w:val="24"/>
        </w:rPr>
        <w:t>true only of the tort of negligence</w:t>
      </w:r>
      <w:r w:rsidR="007260BB" w:rsidRPr="009C3204">
        <w:rPr>
          <w:rFonts w:ascii="Cambria" w:hAnsi="Cambria"/>
          <w:sz w:val="24"/>
          <w:szCs w:val="24"/>
        </w:rPr>
        <w:t xml:space="preserve">. Negligence, however, has a claim to be </w:t>
      </w:r>
      <w:r w:rsidR="009C0B26" w:rsidRPr="009C3204">
        <w:rPr>
          <w:rFonts w:ascii="Cambria" w:hAnsi="Cambria"/>
          <w:sz w:val="24"/>
          <w:szCs w:val="24"/>
        </w:rPr>
        <w:t>the key aspect of tort law where risk is concerned.</w:t>
      </w:r>
      <w:r w:rsidR="00E30FDC" w:rsidRPr="009C3204">
        <w:rPr>
          <w:rFonts w:ascii="Cambria" w:hAnsi="Cambria"/>
          <w:sz w:val="24"/>
          <w:szCs w:val="24"/>
        </w:rPr>
        <w:t xml:space="preserve"> Breach of duty in negligence has long been recognised as capable of being expressed in terms of reasonable risk,</w:t>
      </w:r>
      <w:r w:rsidR="009C69E6" w:rsidRPr="009C3204">
        <w:rPr>
          <w:rStyle w:val="FootnoteReference"/>
          <w:rFonts w:ascii="Cambria" w:hAnsi="Cambria"/>
          <w:sz w:val="24"/>
          <w:szCs w:val="24"/>
        </w:rPr>
        <w:footnoteReference w:id="79"/>
      </w:r>
      <w:r w:rsidR="00E30FDC" w:rsidRPr="009C3204">
        <w:rPr>
          <w:rFonts w:ascii="Cambria" w:hAnsi="Cambria"/>
          <w:sz w:val="24"/>
          <w:szCs w:val="24"/>
        </w:rPr>
        <w:t xml:space="preserve"> and foreseeability of harm is an ever-present aspect of the duty of care; </w:t>
      </w:r>
      <w:r w:rsidR="009C69E6" w:rsidRPr="009C3204">
        <w:rPr>
          <w:rFonts w:ascii="Cambria" w:hAnsi="Cambria"/>
          <w:sz w:val="24"/>
          <w:szCs w:val="24"/>
        </w:rPr>
        <w:t xml:space="preserve">and I will suggest below that aspects of </w:t>
      </w:r>
      <w:r w:rsidR="00E30FDC" w:rsidRPr="009C3204">
        <w:rPr>
          <w:rFonts w:ascii="Cambria" w:hAnsi="Cambria"/>
          <w:sz w:val="24"/>
          <w:szCs w:val="24"/>
        </w:rPr>
        <w:t>vicarious liability and remoteness have both been reconceptualised in terms of risk in recent years</w:t>
      </w:r>
      <w:r w:rsidR="00F94812" w:rsidRPr="009C3204">
        <w:rPr>
          <w:rFonts w:ascii="Cambria" w:hAnsi="Cambria"/>
          <w:sz w:val="24"/>
          <w:szCs w:val="24"/>
        </w:rPr>
        <w:t xml:space="preserve">. Thus much of the core of negligence liability can be </w:t>
      </w:r>
      <w:r w:rsidR="00CB6B43" w:rsidRPr="009C3204">
        <w:rPr>
          <w:rFonts w:ascii="Cambria" w:hAnsi="Cambria"/>
          <w:sz w:val="24"/>
          <w:szCs w:val="24"/>
        </w:rPr>
        <w:t>— and often is —</w:t>
      </w:r>
      <w:r w:rsidR="00631298" w:rsidRPr="009C3204">
        <w:rPr>
          <w:rFonts w:ascii="Cambria" w:hAnsi="Cambria"/>
          <w:sz w:val="24"/>
          <w:szCs w:val="24"/>
        </w:rPr>
        <w:t xml:space="preserve"> </w:t>
      </w:r>
      <w:r w:rsidR="00F94812" w:rsidRPr="009C3204">
        <w:rPr>
          <w:rFonts w:ascii="Cambria" w:hAnsi="Cambria"/>
          <w:sz w:val="24"/>
          <w:szCs w:val="24"/>
        </w:rPr>
        <w:t xml:space="preserve">expressed in terms of risk. The question is whether the direction of change </w:t>
      </w:r>
      <w:r w:rsidR="00F514DE" w:rsidRPr="009C3204">
        <w:rPr>
          <w:rFonts w:ascii="Cambria" w:hAnsi="Cambria"/>
          <w:sz w:val="24"/>
          <w:szCs w:val="24"/>
        </w:rPr>
        <w:t xml:space="preserve">supports a positive answer to </w:t>
      </w:r>
      <w:r w:rsidR="00F94812" w:rsidRPr="009C3204">
        <w:rPr>
          <w:rFonts w:ascii="Cambria" w:hAnsi="Cambria"/>
          <w:sz w:val="24"/>
          <w:szCs w:val="24"/>
        </w:rPr>
        <w:t>the question above.</w:t>
      </w:r>
      <w:r w:rsidR="00631298" w:rsidRPr="009C3204">
        <w:rPr>
          <w:rFonts w:ascii="Cambria" w:hAnsi="Cambria"/>
          <w:sz w:val="24"/>
          <w:szCs w:val="24"/>
        </w:rPr>
        <w:t xml:space="preserve"> </w:t>
      </w:r>
      <w:r w:rsidR="00601437" w:rsidRPr="009C3204">
        <w:rPr>
          <w:rFonts w:ascii="Cambria" w:hAnsi="Cambria"/>
          <w:sz w:val="24"/>
          <w:szCs w:val="24"/>
        </w:rPr>
        <w:t>T</w:t>
      </w:r>
      <w:r w:rsidR="00631298" w:rsidRPr="009C3204">
        <w:rPr>
          <w:rFonts w:ascii="Cambria" w:hAnsi="Cambria"/>
          <w:sz w:val="24"/>
          <w:szCs w:val="24"/>
        </w:rPr>
        <w:t>hree areas of development</w:t>
      </w:r>
      <w:r w:rsidR="00F514DE" w:rsidRPr="009C3204">
        <w:rPr>
          <w:rFonts w:ascii="Cambria" w:hAnsi="Cambria"/>
          <w:sz w:val="24"/>
          <w:szCs w:val="24"/>
        </w:rPr>
        <w:t xml:space="preserve"> </w:t>
      </w:r>
      <w:r w:rsidR="00601437" w:rsidRPr="009C3204">
        <w:rPr>
          <w:rFonts w:ascii="Cambria" w:hAnsi="Cambria"/>
          <w:sz w:val="24"/>
          <w:szCs w:val="24"/>
        </w:rPr>
        <w:t xml:space="preserve">are selected here </w:t>
      </w:r>
      <w:r w:rsidR="00F514DE" w:rsidRPr="009C3204">
        <w:rPr>
          <w:rFonts w:ascii="Cambria" w:hAnsi="Cambria"/>
          <w:sz w:val="24"/>
          <w:szCs w:val="24"/>
        </w:rPr>
        <w:t xml:space="preserve">for </w:t>
      </w:r>
      <w:r w:rsidR="00601437" w:rsidRPr="009C3204">
        <w:rPr>
          <w:rFonts w:ascii="Cambria" w:hAnsi="Cambria"/>
          <w:sz w:val="24"/>
          <w:szCs w:val="24"/>
        </w:rPr>
        <w:t>illustration</w:t>
      </w:r>
      <w:r w:rsidR="0072073C" w:rsidRPr="009C3204">
        <w:rPr>
          <w:rFonts w:ascii="Cambria" w:hAnsi="Cambria"/>
          <w:sz w:val="24"/>
          <w:szCs w:val="24"/>
        </w:rPr>
        <w:t xml:space="preserve">. </w:t>
      </w:r>
    </w:p>
    <w:p w14:paraId="60E31405" w14:textId="07D03058" w:rsidR="005F2B2C" w:rsidRPr="009C3204" w:rsidRDefault="00631298" w:rsidP="008E4509">
      <w:pPr>
        <w:spacing w:line="240" w:lineRule="auto"/>
        <w:jc w:val="both"/>
        <w:rPr>
          <w:rFonts w:ascii="Cambria" w:hAnsi="Cambria"/>
          <w:sz w:val="24"/>
          <w:szCs w:val="24"/>
        </w:rPr>
      </w:pPr>
      <w:r w:rsidRPr="009C3204">
        <w:rPr>
          <w:rFonts w:ascii="Cambria" w:hAnsi="Cambria"/>
          <w:sz w:val="24"/>
          <w:szCs w:val="24"/>
        </w:rPr>
        <w:t xml:space="preserve">The first of these is the rise of voluntary assumption of responsibility and </w:t>
      </w:r>
      <w:r w:rsidR="00F52484" w:rsidRPr="009C3204">
        <w:rPr>
          <w:rFonts w:ascii="Cambria" w:hAnsi="Cambria"/>
          <w:sz w:val="24"/>
          <w:szCs w:val="24"/>
        </w:rPr>
        <w:t>the</w:t>
      </w:r>
      <w:r w:rsidRPr="009C3204">
        <w:rPr>
          <w:rFonts w:ascii="Cambria" w:hAnsi="Cambria"/>
          <w:sz w:val="24"/>
          <w:szCs w:val="24"/>
        </w:rPr>
        <w:t xml:space="preserve"> associated </w:t>
      </w:r>
      <w:r w:rsidR="00F52484" w:rsidRPr="009C3204">
        <w:rPr>
          <w:rFonts w:ascii="Cambria" w:hAnsi="Cambria"/>
          <w:sz w:val="24"/>
          <w:szCs w:val="24"/>
        </w:rPr>
        <w:t>concept of the</w:t>
      </w:r>
      <w:r w:rsidRPr="009C3204">
        <w:rPr>
          <w:rFonts w:ascii="Cambria" w:hAnsi="Cambria"/>
          <w:sz w:val="24"/>
          <w:szCs w:val="24"/>
        </w:rPr>
        <w:t xml:space="preserve"> scope of duty. Like ‘reasonable foreseeability’ in the 1970s, these notions are </w:t>
      </w:r>
      <w:r w:rsidR="00A93110" w:rsidRPr="009C3204">
        <w:rPr>
          <w:rFonts w:ascii="Cambria" w:hAnsi="Cambria"/>
          <w:sz w:val="24"/>
          <w:szCs w:val="24"/>
        </w:rPr>
        <w:t xml:space="preserve">closely related and </w:t>
      </w:r>
      <w:r w:rsidRPr="009C3204">
        <w:rPr>
          <w:rFonts w:ascii="Cambria" w:hAnsi="Cambria"/>
          <w:sz w:val="24"/>
          <w:szCs w:val="24"/>
        </w:rPr>
        <w:t>intended to dovetail together. While the ambition behind ‘reasonable foreseeability’ was to</w:t>
      </w:r>
      <w:r w:rsidR="00A93110" w:rsidRPr="009C3204">
        <w:rPr>
          <w:rFonts w:ascii="Cambria" w:hAnsi="Cambria"/>
          <w:sz w:val="24"/>
          <w:szCs w:val="24"/>
        </w:rPr>
        <w:t xml:space="preserve"> provide an overarching concept which could guide answers to both duty and remoteness questions in all cases in a clear and transparent way, the role of these newer concepts is to provide detailed reasons for differentiation between cases, and for </w:t>
      </w:r>
      <w:r w:rsidR="00633278" w:rsidRPr="009C3204">
        <w:rPr>
          <w:rFonts w:ascii="Cambria" w:hAnsi="Cambria"/>
          <w:sz w:val="24"/>
          <w:szCs w:val="24"/>
        </w:rPr>
        <w:t xml:space="preserve">determining </w:t>
      </w:r>
      <w:r w:rsidR="00A93110" w:rsidRPr="009C3204">
        <w:rPr>
          <w:rFonts w:ascii="Cambria" w:hAnsi="Cambria"/>
          <w:sz w:val="24"/>
          <w:szCs w:val="24"/>
        </w:rPr>
        <w:t>the allocation of different risks between the parties.</w:t>
      </w:r>
    </w:p>
    <w:p w14:paraId="25240E39" w14:textId="339DB349" w:rsidR="00B86B5F" w:rsidRPr="009C3204" w:rsidRDefault="0072073C" w:rsidP="008E4509">
      <w:pPr>
        <w:spacing w:line="240" w:lineRule="auto"/>
        <w:jc w:val="both"/>
        <w:rPr>
          <w:rFonts w:ascii="Cambria" w:hAnsi="Cambria"/>
          <w:sz w:val="24"/>
          <w:szCs w:val="24"/>
        </w:rPr>
      </w:pPr>
      <w:r w:rsidRPr="009C3204">
        <w:rPr>
          <w:rFonts w:ascii="Cambria" w:hAnsi="Cambria"/>
          <w:sz w:val="24"/>
          <w:szCs w:val="24"/>
        </w:rPr>
        <w:lastRenderedPageBreak/>
        <w:t xml:space="preserve">Evidently, the shift from a broadly expressed ‘duty of care’ test in </w:t>
      </w:r>
      <w:proofErr w:type="spellStart"/>
      <w:r w:rsidRPr="009C3204">
        <w:rPr>
          <w:rFonts w:ascii="Cambria" w:hAnsi="Cambria"/>
          <w:i/>
          <w:sz w:val="24"/>
          <w:szCs w:val="24"/>
        </w:rPr>
        <w:t>Anns</w:t>
      </w:r>
      <w:proofErr w:type="spellEnd"/>
      <w:r w:rsidRPr="009C3204">
        <w:rPr>
          <w:rFonts w:ascii="Cambria" w:hAnsi="Cambria"/>
          <w:sz w:val="24"/>
          <w:szCs w:val="24"/>
        </w:rPr>
        <w:t xml:space="preserve">, to a more complex and modulated approach in </w:t>
      </w:r>
      <w:proofErr w:type="spellStart"/>
      <w:r w:rsidRPr="009C3204">
        <w:rPr>
          <w:rFonts w:ascii="Cambria" w:hAnsi="Cambria"/>
          <w:i/>
          <w:sz w:val="24"/>
          <w:szCs w:val="24"/>
        </w:rPr>
        <w:t>Caparo</w:t>
      </w:r>
      <w:proofErr w:type="spellEnd"/>
      <w:r w:rsidRPr="009C3204">
        <w:rPr>
          <w:rFonts w:ascii="Cambria" w:hAnsi="Cambria"/>
          <w:i/>
          <w:sz w:val="24"/>
          <w:szCs w:val="24"/>
        </w:rPr>
        <w:t xml:space="preserve"> v </w:t>
      </w:r>
      <w:proofErr w:type="spellStart"/>
      <w:r w:rsidRPr="009C3204">
        <w:rPr>
          <w:rFonts w:ascii="Cambria" w:hAnsi="Cambria"/>
          <w:i/>
          <w:sz w:val="24"/>
          <w:szCs w:val="24"/>
        </w:rPr>
        <w:t>Dickman</w:t>
      </w:r>
      <w:proofErr w:type="spellEnd"/>
      <w:r w:rsidR="007D5490" w:rsidRPr="009C3204">
        <w:rPr>
          <w:rFonts w:ascii="Cambria" w:hAnsi="Cambria"/>
          <w:sz w:val="24"/>
          <w:szCs w:val="24"/>
        </w:rPr>
        <w:t>,</w:t>
      </w:r>
      <w:r w:rsidR="00F514DE" w:rsidRPr="009C3204">
        <w:rPr>
          <w:rStyle w:val="FootnoteReference"/>
          <w:rFonts w:ascii="Cambria" w:hAnsi="Cambria"/>
          <w:sz w:val="24"/>
          <w:szCs w:val="24"/>
        </w:rPr>
        <w:footnoteReference w:id="80"/>
      </w:r>
      <w:r w:rsidRPr="009C3204">
        <w:rPr>
          <w:rFonts w:ascii="Cambria" w:hAnsi="Cambria"/>
          <w:i/>
          <w:sz w:val="24"/>
          <w:szCs w:val="24"/>
        </w:rPr>
        <w:t xml:space="preserve"> </w:t>
      </w:r>
      <w:r w:rsidRPr="009C3204">
        <w:rPr>
          <w:rFonts w:ascii="Cambria" w:hAnsi="Cambria"/>
          <w:sz w:val="24"/>
          <w:szCs w:val="24"/>
        </w:rPr>
        <w:t xml:space="preserve">is consistent with a felt need to control liabilities. Looking more closely at </w:t>
      </w:r>
      <w:r w:rsidR="00F514DE" w:rsidRPr="009C3204">
        <w:rPr>
          <w:rFonts w:ascii="Cambria" w:hAnsi="Cambria"/>
          <w:sz w:val="24"/>
          <w:szCs w:val="24"/>
        </w:rPr>
        <w:t xml:space="preserve">English courts’ </w:t>
      </w:r>
      <w:r w:rsidRPr="009C3204">
        <w:rPr>
          <w:rFonts w:ascii="Cambria" w:hAnsi="Cambria"/>
          <w:sz w:val="24"/>
          <w:szCs w:val="24"/>
        </w:rPr>
        <w:t xml:space="preserve">development of duty concepts, </w:t>
      </w:r>
      <w:r w:rsidR="007D5490" w:rsidRPr="009C3204">
        <w:rPr>
          <w:rFonts w:ascii="Cambria" w:hAnsi="Cambria"/>
          <w:sz w:val="24"/>
          <w:szCs w:val="24"/>
        </w:rPr>
        <w:t xml:space="preserve">‘voluntary assumption of responsibility’, or ‘voluntary assumption of risk’ may have a claim to be </w:t>
      </w:r>
      <w:r w:rsidR="00F514DE" w:rsidRPr="009C3204">
        <w:rPr>
          <w:rFonts w:ascii="Cambria" w:hAnsi="Cambria"/>
          <w:sz w:val="24"/>
          <w:szCs w:val="24"/>
        </w:rPr>
        <w:t>the</w:t>
      </w:r>
      <w:r w:rsidR="000157A5" w:rsidRPr="009C3204">
        <w:rPr>
          <w:rFonts w:ascii="Cambria" w:hAnsi="Cambria"/>
          <w:sz w:val="24"/>
          <w:szCs w:val="24"/>
        </w:rPr>
        <w:t xml:space="preserve"> concept that </w:t>
      </w:r>
      <w:r w:rsidR="007D5490" w:rsidRPr="009C3204">
        <w:rPr>
          <w:rFonts w:ascii="Cambria" w:hAnsi="Cambria"/>
          <w:sz w:val="24"/>
          <w:szCs w:val="24"/>
        </w:rPr>
        <w:t xml:space="preserve">has </w:t>
      </w:r>
      <w:r w:rsidR="000157A5" w:rsidRPr="009C3204">
        <w:rPr>
          <w:rFonts w:ascii="Cambria" w:hAnsi="Cambria"/>
          <w:sz w:val="24"/>
          <w:szCs w:val="24"/>
        </w:rPr>
        <w:t xml:space="preserve">proved most successful in </w:t>
      </w:r>
      <w:r w:rsidR="005D40B7" w:rsidRPr="009C3204">
        <w:rPr>
          <w:rFonts w:ascii="Cambria" w:hAnsi="Cambria"/>
          <w:sz w:val="24"/>
          <w:szCs w:val="24"/>
        </w:rPr>
        <w:t>the</w:t>
      </w:r>
      <w:r w:rsidR="000157A5" w:rsidRPr="009C3204">
        <w:rPr>
          <w:rFonts w:ascii="Cambria" w:hAnsi="Cambria"/>
          <w:sz w:val="24"/>
          <w:szCs w:val="24"/>
        </w:rPr>
        <w:t xml:space="preserve"> evolutionary race in recent years. </w:t>
      </w:r>
      <w:r w:rsidR="005E510F" w:rsidRPr="009C3204">
        <w:rPr>
          <w:rFonts w:ascii="Cambria" w:hAnsi="Cambria"/>
          <w:sz w:val="24"/>
          <w:szCs w:val="24"/>
        </w:rPr>
        <w:t>Its role transcends boundaries</w:t>
      </w:r>
      <w:r w:rsidR="009E3486" w:rsidRPr="009C3204">
        <w:rPr>
          <w:rFonts w:ascii="Cambria" w:hAnsi="Cambria"/>
          <w:sz w:val="24"/>
          <w:szCs w:val="24"/>
        </w:rPr>
        <w:t>, since it is regularly invoked in new contexts;</w:t>
      </w:r>
      <w:r w:rsidR="005E510F" w:rsidRPr="009C3204">
        <w:rPr>
          <w:rFonts w:ascii="Cambria" w:hAnsi="Cambria"/>
          <w:sz w:val="24"/>
          <w:szCs w:val="24"/>
        </w:rPr>
        <w:t xml:space="preserve"> and </w:t>
      </w:r>
      <w:r w:rsidR="009E3486" w:rsidRPr="009C3204">
        <w:rPr>
          <w:rFonts w:ascii="Cambria" w:hAnsi="Cambria"/>
          <w:sz w:val="24"/>
          <w:szCs w:val="24"/>
        </w:rPr>
        <w:t xml:space="preserve">it appears to be taken seriously enough </w:t>
      </w:r>
      <w:r w:rsidR="005E510F" w:rsidRPr="009C3204">
        <w:rPr>
          <w:rFonts w:ascii="Cambria" w:hAnsi="Cambria"/>
          <w:sz w:val="24"/>
          <w:szCs w:val="24"/>
        </w:rPr>
        <w:t xml:space="preserve">to transcend the need for </w:t>
      </w:r>
      <w:r w:rsidR="009E3486" w:rsidRPr="009C3204">
        <w:rPr>
          <w:rFonts w:ascii="Cambria" w:hAnsi="Cambria"/>
          <w:sz w:val="24"/>
          <w:szCs w:val="24"/>
        </w:rPr>
        <w:t xml:space="preserve">‘fairness, justice and reasonableness’ </w:t>
      </w:r>
      <w:r w:rsidR="005E510F" w:rsidRPr="009C3204">
        <w:rPr>
          <w:rFonts w:ascii="Cambria" w:hAnsi="Cambria"/>
          <w:sz w:val="24"/>
          <w:szCs w:val="24"/>
        </w:rPr>
        <w:t>to be considered</w:t>
      </w:r>
      <w:r w:rsidR="009E3486" w:rsidRPr="009C3204">
        <w:rPr>
          <w:rFonts w:ascii="Cambria" w:hAnsi="Cambria"/>
          <w:sz w:val="24"/>
          <w:szCs w:val="24"/>
        </w:rPr>
        <w:t xml:space="preserve"> when an ‘assump</w:t>
      </w:r>
      <w:r w:rsidR="00CB6B43" w:rsidRPr="009C3204">
        <w:rPr>
          <w:rFonts w:ascii="Cambria" w:hAnsi="Cambria"/>
          <w:sz w:val="24"/>
          <w:szCs w:val="24"/>
        </w:rPr>
        <w:t>tion’ is thought to be present —</w:t>
      </w:r>
      <w:r w:rsidR="009E3486" w:rsidRPr="009C3204">
        <w:rPr>
          <w:rFonts w:ascii="Cambria" w:hAnsi="Cambria"/>
          <w:sz w:val="24"/>
          <w:szCs w:val="24"/>
        </w:rPr>
        <w:t xml:space="preserve"> it is </w:t>
      </w:r>
      <w:r w:rsidR="007D5490" w:rsidRPr="009C3204">
        <w:rPr>
          <w:rFonts w:ascii="Cambria" w:hAnsi="Cambria"/>
          <w:sz w:val="24"/>
          <w:szCs w:val="24"/>
        </w:rPr>
        <w:t xml:space="preserve">thus, strikingly, </w:t>
      </w:r>
      <w:r w:rsidR="009E3486" w:rsidRPr="009C3204">
        <w:rPr>
          <w:rFonts w:ascii="Cambria" w:hAnsi="Cambria"/>
          <w:sz w:val="24"/>
          <w:szCs w:val="24"/>
        </w:rPr>
        <w:t>sufficient reason on its own to recognise a duty of care is owed</w:t>
      </w:r>
      <w:r w:rsidR="005E510F" w:rsidRPr="009C3204">
        <w:rPr>
          <w:rFonts w:ascii="Cambria" w:hAnsi="Cambria"/>
          <w:sz w:val="24"/>
          <w:szCs w:val="24"/>
        </w:rPr>
        <w:t>.</w:t>
      </w:r>
      <w:r w:rsidR="009E3486" w:rsidRPr="009C3204">
        <w:rPr>
          <w:rStyle w:val="FootnoteReference"/>
          <w:rFonts w:ascii="Cambria" w:hAnsi="Cambria"/>
          <w:sz w:val="24"/>
          <w:szCs w:val="24"/>
        </w:rPr>
        <w:footnoteReference w:id="81"/>
      </w:r>
      <w:r w:rsidR="005E510F" w:rsidRPr="009C3204">
        <w:rPr>
          <w:rFonts w:ascii="Cambria" w:hAnsi="Cambria"/>
          <w:sz w:val="24"/>
          <w:szCs w:val="24"/>
        </w:rPr>
        <w:t xml:space="preserve"> </w:t>
      </w:r>
      <w:r w:rsidR="009E3486" w:rsidRPr="009C3204">
        <w:rPr>
          <w:rFonts w:ascii="Cambria" w:hAnsi="Cambria"/>
          <w:sz w:val="24"/>
          <w:szCs w:val="24"/>
        </w:rPr>
        <w:t xml:space="preserve">Thus, on the face of it where responsibility is assumed, it is thought to be fair, just and reasonable for liability to follow. </w:t>
      </w:r>
      <w:r w:rsidR="000157A5" w:rsidRPr="009C3204">
        <w:rPr>
          <w:rFonts w:ascii="Cambria" w:hAnsi="Cambria"/>
          <w:sz w:val="24"/>
          <w:szCs w:val="24"/>
        </w:rPr>
        <w:t xml:space="preserve">For now, the interesting features of this idea are that it </w:t>
      </w:r>
      <w:r w:rsidR="006E29EC" w:rsidRPr="009C3204">
        <w:rPr>
          <w:rFonts w:ascii="Cambria" w:hAnsi="Cambria"/>
          <w:sz w:val="24"/>
          <w:szCs w:val="24"/>
        </w:rPr>
        <w:t xml:space="preserve">expresses itself directly in terms of who </w:t>
      </w:r>
      <w:r w:rsidR="00AD2C3C" w:rsidRPr="009C3204">
        <w:rPr>
          <w:rFonts w:ascii="Cambria" w:hAnsi="Cambria"/>
          <w:sz w:val="24"/>
          <w:szCs w:val="24"/>
        </w:rPr>
        <w:t xml:space="preserve">has responsibility for </w:t>
      </w:r>
      <w:r w:rsidR="006E29EC" w:rsidRPr="009C3204">
        <w:rPr>
          <w:rFonts w:ascii="Cambria" w:hAnsi="Cambria"/>
          <w:sz w:val="24"/>
          <w:szCs w:val="24"/>
        </w:rPr>
        <w:t>the risk</w:t>
      </w:r>
      <w:r w:rsidR="009E3486" w:rsidRPr="009C3204">
        <w:rPr>
          <w:rFonts w:ascii="Cambria" w:hAnsi="Cambria"/>
          <w:sz w:val="24"/>
          <w:szCs w:val="24"/>
        </w:rPr>
        <w:t xml:space="preserve">, and </w:t>
      </w:r>
      <w:r w:rsidR="009E3486" w:rsidRPr="009C3204">
        <w:rPr>
          <w:rFonts w:ascii="Cambria" w:hAnsi="Cambria"/>
          <w:i/>
          <w:sz w:val="24"/>
          <w:szCs w:val="24"/>
        </w:rPr>
        <w:t xml:space="preserve">which </w:t>
      </w:r>
      <w:r w:rsidR="009E3486" w:rsidRPr="009C3204">
        <w:rPr>
          <w:rFonts w:ascii="Cambria" w:hAnsi="Cambria"/>
          <w:sz w:val="24"/>
          <w:szCs w:val="24"/>
        </w:rPr>
        <w:t xml:space="preserve">risk is </w:t>
      </w:r>
      <w:r w:rsidR="00AD2C3C" w:rsidRPr="009C3204">
        <w:rPr>
          <w:rFonts w:ascii="Cambria" w:hAnsi="Cambria"/>
          <w:sz w:val="24"/>
          <w:szCs w:val="24"/>
        </w:rPr>
        <w:t>the responsibility of which party</w:t>
      </w:r>
      <w:r w:rsidR="007D5490" w:rsidRPr="009C3204">
        <w:rPr>
          <w:rFonts w:ascii="Cambria" w:hAnsi="Cambria"/>
          <w:sz w:val="24"/>
          <w:szCs w:val="24"/>
        </w:rPr>
        <w:t xml:space="preserve">, even though </w:t>
      </w:r>
      <w:r w:rsidR="006E29EC" w:rsidRPr="009C3204">
        <w:rPr>
          <w:rFonts w:ascii="Cambria" w:hAnsi="Cambria"/>
          <w:sz w:val="24"/>
          <w:szCs w:val="24"/>
        </w:rPr>
        <w:t xml:space="preserve">the </w:t>
      </w:r>
      <w:r w:rsidR="003A0759" w:rsidRPr="009C3204">
        <w:rPr>
          <w:rFonts w:ascii="Cambria" w:hAnsi="Cambria"/>
          <w:sz w:val="24"/>
          <w:szCs w:val="24"/>
        </w:rPr>
        <w:t>means of judging this is opaque. The second is that very opacity, and the variety of means that may be deployed in reaching the judgment as to assumption of responsibility.</w:t>
      </w:r>
    </w:p>
    <w:p w14:paraId="4FEA63C5" w14:textId="0BA1C672" w:rsidR="00CE640C" w:rsidRPr="009C3204" w:rsidRDefault="00CE640C" w:rsidP="008E4509">
      <w:pPr>
        <w:spacing w:line="240" w:lineRule="auto"/>
        <w:jc w:val="both"/>
        <w:rPr>
          <w:rFonts w:ascii="Cambria" w:hAnsi="Cambria"/>
          <w:sz w:val="24"/>
          <w:szCs w:val="24"/>
        </w:rPr>
      </w:pPr>
      <w:r w:rsidRPr="009C3204">
        <w:rPr>
          <w:rFonts w:ascii="Cambria" w:hAnsi="Cambria"/>
          <w:sz w:val="24"/>
          <w:szCs w:val="24"/>
        </w:rPr>
        <w:t>Scholars have pointed out that t</w:t>
      </w:r>
      <w:r w:rsidR="00B86B5F" w:rsidRPr="009C3204">
        <w:rPr>
          <w:rFonts w:ascii="Cambria" w:hAnsi="Cambria"/>
          <w:sz w:val="24"/>
          <w:szCs w:val="24"/>
        </w:rPr>
        <w:t xml:space="preserve">he </w:t>
      </w:r>
      <w:r w:rsidRPr="009C3204">
        <w:rPr>
          <w:rFonts w:ascii="Cambria" w:hAnsi="Cambria"/>
          <w:sz w:val="24"/>
          <w:szCs w:val="24"/>
        </w:rPr>
        <w:t>notion of an ‘assumption’ in this context is</w:t>
      </w:r>
      <w:r w:rsidR="00B86B5F" w:rsidRPr="009C3204">
        <w:rPr>
          <w:rFonts w:ascii="Cambria" w:hAnsi="Cambria"/>
          <w:sz w:val="24"/>
          <w:szCs w:val="24"/>
        </w:rPr>
        <w:t xml:space="preserve"> not closely aligned with the notion of the will of the parties, despite the usual meaning of the word, and despite the addition of the word ‘voluntary’.</w:t>
      </w:r>
      <w:r w:rsidR="00B86B5F" w:rsidRPr="009C3204">
        <w:rPr>
          <w:rStyle w:val="FootnoteReference"/>
          <w:rFonts w:ascii="Cambria" w:hAnsi="Cambria"/>
          <w:sz w:val="24"/>
          <w:szCs w:val="24"/>
        </w:rPr>
        <w:footnoteReference w:id="82"/>
      </w:r>
      <w:r w:rsidR="00B86B5F" w:rsidRPr="009C3204">
        <w:rPr>
          <w:rFonts w:ascii="Cambria" w:hAnsi="Cambria"/>
          <w:sz w:val="24"/>
          <w:szCs w:val="24"/>
        </w:rPr>
        <w:t xml:space="preserve"> </w:t>
      </w:r>
      <w:r w:rsidR="005D40B7" w:rsidRPr="009C3204">
        <w:rPr>
          <w:rFonts w:ascii="Cambria" w:hAnsi="Cambria"/>
          <w:sz w:val="24"/>
          <w:szCs w:val="24"/>
        </w:rPr>
        <w:t>Voluntary assumption of responsibility</w:t>
      </w:r>
      <w:r w:rsidR="00900515" w:rsidRPr="009C3204">
        <w:rPr>
          <w:rFonts w:ascii="Cambria" w:hAnsi="Cambria"/>
          <w:sz w:val="24"/>
          <w:szCs w:val="24"/>
        </w:rPr>
        <w:t xml:space="preserve"> lends itself to consideration of where, given the structure of the parties’ arrangements and the nature of their activities in relation to one another, it would be reasonable for responsibility to be intended to lie</w:t>
      </w:r>
      <w:r w:rsidR="00CB6B43" w:rsidRPr="009C3204">
        <w:rPr>
          <w:rFonts w:ascii="Cambria" w:hAnsi="Cambria"/>
          <w:sz w:val="24"/>
          <w:szCs w:val="24"/>
        </w:rPr>
        <w:t xml:space="preserve"> —</w:t>
      </w:r>
      <w:r w:rsidRPr="009C3204">
        <w:rPr>
          <w:rFonts w:ascii="Cambria" w:hAnsi="Cambria"/>
          <w:sz w:val="24"/>
          <w:szCs w:val="24"/>
        </w:rPr>
        <w:t xml:space="preserve"> or, perhaps, where reasonable parties might be expected to think it lay</w:t>
      </w:r>
      <w:r w:rsidR="00900515" w:rsidRPr="009C3204">
        <w:rPr>
          <w:rFonts w:ascii="Cambria" w:hAnsi="Cambria"/>
          <w:sz w:val="24"/>
          <w:szCs w:val="24"/>
        </w:rPr>
        <w:t>.</w:t>
      </w:r>
      <w:r w:rsidR="00877103">
        <w:rPr>
          <w:rFonts w:ascii="Cambria" w:hAnsi="Cambria"/>
          <w:sz w:val="24"/>
          <w:szCs w:val="24"/>
        </w:rPr>
        <w:t xml:space="preserve"> This way of putting it,</w:t>
      </w:r>
      <w:r w:rsidRPr="009C3204">
        <w:rPr>
          <w:rFonts w:ascii="Cambria" w:hAnsi="Cambria"/>
          <w:sz w:val="24"/>
          <w:szCs w:val="24"/>
        </w:rPr>
        <w:t xml:space="preserve"> </w:t>
      </w:r>
      <w:r w:rsidR="00633278" w:rsidRPr="009C3204">
        <w:rPr>
          <w:rFonts w:ascii="Cambria" w:hAnsi="Cambria"/>
          <w:sz w:val="24"/>
          <w:szCs w:val="24"/>
        </w:rPr>
        <w:t>however</w:t>
      </w:r>
      <w:r w:rsidR="00877103">
        <w:rPr>
          <w:rFonts w:ascii="Cambria" w:hAnsi="Cambria"/>
          <w:sz w:val="24"/>
          <w:szCs w:val="24"/>
        </w:rPr>
        <w:t>,</w:t>
      </w:r>
      <w:r w:rsidR="00633278" w:rsidRPr="009C3204">
        <w:rPr>
          <w:rFonts w:ascii="Cambria" w:hAnsi="Cambria"/>
          <w:sz w:val="24"/>
          <w:szCs w:val="24"/>
        </w:rPr>
        <w:t xml:space="preserve"> </w:t>
      </w:r>
      <w:r w:rsidRPr="009C3204">
        <w:rPr>
          <w:rFonts w:ascii="Cambria" w:hAnsi="Cambria"/>
          <w:sz w:val="24"/>
          <w:szCs w:val="24"/>
        </w:rPr>
        <w:t xml:space="preserve">almost certainly </w:t>
      </w:r>
      <w:r w:rsidR="00633278" w:rsidRPr="009C3204">
        <w:rPr>
          <w:rFonts w:ascii="Cambria" w:hAnsi="Cambria"/>
          <w:sz w:val="24"/>
          <w:szCs w:val="24"/>
        </w:rPr>
        <w:t>still</w:t>
      </w:r>
      <w:r w:rsidR="004115A3">
        <w:rPr>
          <w:rFonts w:ascii="Cambria" w:hAnsi="Cambria"/>
          <w:sz w:val="24"/>
          <w:szCs w:val="24"/>
        </w:rPr>
        <w:t xml:space="preserve"> uses too much contractual language</w:t>
      </w:r>
      <w:r w:rsidRPr="009C3204">
        <w:rPr>
          <w:rFonts w:ascii="Cambria" w:hAnsi="Cambria"/>
          <w:sz w:val="24"/>
          <w:szCs w:val="24"/>
        </w:rPr>
        <w:t>. Rather, t</w:t>
      </w:r>
      <w:r w:rsidR="00900515" w:rsidRPr="009C3204">
        <w:rPr>
          <w:rFonts w:ascii="Cambria" w:hAnsi="Cambria"/>
          <w:sz w:val="24"/>
          <w:szCs w:val="24"/>
        </w:rPr>
        <w:t xml:space="preserve">here is </w:t>
      </w:r>
      <w:r w:rsidRPr="009C3204">
        <w:rPr>
          <w:rFonts w:ascii="Cambria" w:hAnsi="Cambria"/>
          <w:sz w:val="24"/>
          <w:szCs w:val="24"/>
        </w:rPr>
        <w:t>e</w:t>
      </w:r>
      <w:r w:rsidR="00900515" w:rsidRPr="009C3204">
        <w:rPr>
          <w:rFonts w:ascii="Cambria" w:hAnsi="Cambria"/>
          <w:sz w:val="24"/>
          <w:szCs w:val="24"/>
        </w:rPr>
        <w:t xml:space="preserve">mphasis on the nature of the relationship between the parties and the nature of the activity undertaken by the defendant and whether it was undertaken </w:t>
      </w:r>
      <w:r w:rsidR="00900515" w:rsidRPr="009C3204">
        <w:rPr>
          <w:rFonts w:ascii="Cambria" w:hAnsi="Cambria"/>
          <w:i/>
          <w:sz w:val="24"/>
          <w:szCs w:val="24"/>
        </w:rPr>
        <w:t xml:space="preserve">for </w:t>
      </w:r>
      <w:r w:rsidR="00900515" w:rsidRPr="009C3204">
        <w:rPr>
          <w:rFonts w:ascii="Cambria" w:hAnsi="Cambria"/>
          <w:sz w:val="24"/>
          <w:szCs w:val="24"/>
        </w:rPr>
        <w:t xml:space="preserve">the claimant and with what attendant responsibilities. </w:t>
      </w:r>
      <w:r w:rsidR="00633278" w:rsidRPr="009C3204">
        <w:rPr>
          <w:rFonts w:ascii="Cambria" w:hAnsi="Cambria"/>
          <w:sz w:val="24"/>
          <w:szCs w:val="24"/>
        </w:rPr>
        <w:t>While t</w:t>
      </w:r>
      <w:r w:rsidRPr="009C3204">
        <w:rPr>
          <w:rFonts w:ascii="Cambria" w:hAnsi="Cambria"/>
          <w:sz w:val="24"/>
          <w:szCs w:val="24"/>
        </w:rPr>
        <w:t xml:space="preserve">his vagueness is disliked by academics, it has proved a very resilient notion: in fact, it has spread, and it seems unlikely that this could be because it is </w:t>
      </w:r>
      <w:r w:rsidRPr="009C3204">
        <w:rPr>
          <w:rFonts w:ascii="Cambria" w:hAnsi="Cambria"/>
          <w:i/>
          <w:sz w:val="24"/>
          <w:szCs w:val="24"/>
        </w:rPr>
        <w:t xml:space="preserve">merely </w:t>
      </w:r>
      <w:r w:rsidRPr="009C3204">
        <w:rPr>
          <w:rFonts w:ascii="Cambria" w:hAnsi="Cambria"/>
          <w:sz w:val="24"/>
          <w:szCs w:val="24"/>
        </w:rPr>
        <w:t xml:space="preserve">a veil for other, more ‘real’ reasons. </w:t>
      </w:r>
      <w:r w:rsidR="007D5490" w:rsidRPr="009C3204">
        <w:rPr>
          <w:rFonts w:ascii="Cambria" w:hAnsi="Cambria"/>
          <w:sz w:val="24"/>
          <w:szCs w:val="24"/>
        </w:rPr>
        <w:t xml:space="preserve">Rather, the </w:t>
      </w:r>
      <w:r w:rsidRPr="009C3204">
        <w:rPr>
          <w:rFonts w:ascii="Cambria" w:hAnsi="Cambria"/>
          <w:sz w:val="24"/>
          <w:szCs w:val="24"/>
        </w:rPr>
        <w:t>question can be alternatively express</w:t>
      </w:r>
      <w:r w:rsidR="007D5490" w:rsidRPr="009C3204">
        <w:rPr>
          <w:rFonts w:ascii="Cambria" w:hAnsi="Cambria"/>
          <w:sz w:val="24"/>
          <w:szCs w:val="24"/>
        </w:rPr>
        <w:t>ed as whether the defendant took on</w:t>
      </w:r>
      <w:r w:rsidRPr="009C3204">
        <w:rPr>
          <w:rFonts w:ascii="Cambria" w:hAnsi="Cambria"/>
          <w:sz w:val="24"/>
          <w:szCs w:val="24"/>
        </w:rPr>
        <w:t xml:space="preserve"> a</w:t>
      </w:r>
      <w:r w:rsidR="00CB6B43" w:rsidRPr="009C3204">
        <w:rPr>
          <w:rFonts w:ascii="Cambria" w:hAnsi="Cambria"/>
          <w:sz w:val="24"/>
          <w:szCs w:val="24"/>
        </w:rPr>
        <w:t xml:space="preserve"> security duty to the claimant —</w:t>
      </w:r>
      <w:r w:rsidRPr="009C3204">
        <w:rPr>
          <w:rFonts w:ascii="Cambria" w:hAnsi="Cambria"/>
          <w:sz w:val="24"/>
          <w:szCs w:val="24"/>
        </w:rPr>
        <w:t xml:space="preserve"> and if so, which security, and security from which risks. </w:t>
      </w:r>
    </w:p>
    <w:p w14:paraId="32F16B61" w14:textId="248A6F35" w:rsidR="00633278" w:rsidRPr="009C3204" w:rsidRDefault="00900515" w:rsidP="008E4509">
      <w:pPr>
        <w:spacing w:line="240" w:lineRule="auto"/>
        <w:jc w:val="both"/>
        <w:rPr>
          <w:rFonts w:ascii="Cambria" w:hAnsi="Cambria"/>
          <w:sz w:val="24"/>
          <w:szCs w:val="24"/>
        </w:rPr>
      </w:pPr>
      <w:r w:rsidRPr="009C3204">
        <w:rPr>
          <w:rFonts w:ascii="Cambria" w:hAnsi="Cambria"/>
          <w:sz w:val="24"/>
          <w:szCs w:val="24"/>
        </w:rPr>
        <w:t xml:space="preserve">A </w:t>
      </w:r>
      <w:r w:rsidR="00D833CC" w:rsidRPr="009C3204">
        <w:rPr>
          <w:rFonts w:ascii="Cambria" w:hAnsi="Cambria"/>
          <w:sz w:val="24"/>
          <w:szCs w:val="24"/>
        </w:rPr>
        <w:t xml:space="preserve">linked </w:t>
      </w:r>
      <w:r w:rsidRPr="009C3204">
        <w:rPr>
          <w:rFonts w:ascii="Cambria" w:hAnsi="Cambria"/>
          <w:sz w:val="24"/>
          <w:szCs w:val="24"/>
        </w:rPr>
        <w:t>idea underlies the relatively new approach to defining the extent of liability encapsulated in ‘scope of duty</w:t>
      </w:r>
      <w:r w:rsidR="00E26C40" w:rsidRPr="009C3204">
        <w:rPr>
          <w:rFonts w:ascii="Cambria" w:hAnsi="Cambria"/>
          <w:sz w:val="24"/>
          <w:szCs w:val="24"/>
        </w:rPr>
        <w:t>’</w:t>
      </w:r>
      <w:r w:rsidRPr="009C3204">
        <w:rPr>
          <w:rFonts w:ascii="Cambria" w:hAnsi="Cambria"/>
          <w:sz w:val="24"/>
          <w:szCs w:val="24"/>
        </w:rPr>
        <w:t xml:space="preserve"> analysis.</w:t>
      </w:r>
      <w:r w:rsidR="00CD2065" w:rsidRPr="009C3204">
        <w:rPr>
          <w:rStyle w:val="FootnoteReference"/>
          <w:rFonts w:ascii="Cambria" w:hAnsi="Cambria"/>
          <w:sz w:val="24"/>
          <w:szCs w:val="24"/>
        </w:rPr>
        <w:footnoteReference w:id="83"/>
      </w:r>
      <w:r w:rsidR="00CD2065" w:rsidRPr="009C3204">
        <w:rPr>
          <w:rFonts w:ascii="Cambria" w:hAnsi="Cambria"/>
          <w:sz w:val="24"/>
          <w:szCs w:val="24"/>
        </w:rPr>
        <w:t xml:space="preserve"> Like ‘voluntary assumption of responsibility’, the idea has been roundly criticised by academics;</w:t>
      </w:r>
      <w:r w:rsidR="00CE640C" w:rsidRPr="009C3204">
        <w:rPr>
          <w:rStyle w:val="FootnoteReference"/>
          <w:rFonts w:ascii="Cambria" w:hAnsi="Cambria"/>
          <w:sz w:val="24"/>
          <w:szCs w:val="24"/>
        </w:rPr>
        <w:footnoteReference w:id="84"/>
      </w:r>
      <w:r w:rsidR="00CD2065" w:rsidRPr="009C3204">
        <w:rPr>
          <w:rFonts w:ascii="Cambria" w:hAnsi="Cambria"/>
          <w:sz w:val="24"/>
          <w:szCs w:val="24"/>
        </w:rPr>
        <w:t xml:space="preserve"> but has proved </w:t>
      </w:r>
      <w:r w:rsidR="001C3598" w:rsidRPr="009C3204">
        <w:rPr>
          <w:rFonts w:ascii="Cambria" w:hAnsi="Cambria"/>
          <w:sz w:val="24"/>
          <w:szCs w:val="24"/>
        </w:rPr>
        <w:t xml:space="preserve">more than </w:t>
      </w:r>
      <w:r w:rsidR="00CD2065" w:rsidRPr="009C3204">
        <w:rPr>
          <w:rFonts w:ascii="Cambria" w:hAnsi="Cambria"/>
          <w:sz w:val="24"/>
          <w:szCs w:val="24"/>
        </w:rPr>
        <w:t xml:space="preserve">resilient. It </w:t>
      </w:r>
      <w:r w:rsidR="001C3598" w:rsidRPr="009C3204">
        <w:rPr>
          <w:rFonts w:ascii="Cambria" w:hAnsi="Cambria"/>
          <w:sz w:val="24"/>
          <w:szCs w:val="24"/>
        </w:rPr>
        <w:t>is not</w:t>
      </w:r>
      <w:r w:rsidR="00CD2065" w:rsidRPr="009C3204">
        <w:rPr>
          <w:rFonts w:ascii="Cambria" w:hAnsi="Cambria"/>
          <w:sz w:val="24"/>
          <w:szCs w:val="24"/>
        </w:rPr>
        <w:t xml:space="preserve"> consistently used</w:t>
      </w:r>
      <w:r w:rsidR="00826215" w:rsidRPr="009C3204">
        <w:rPr>
          <w:rFonts w:ascii="Cambria" w:hAnsi="Cambria"/>
          <w:sz w:val="24"/>
          <w:szCs w:val="24"/>
        </w:rPr>
        <w:t xml:space="preserve">, and this </w:t>
      </w:r>
      <w:r w:rsidR="00633278" w:rsidRPr="009C3204">
        <w:rPr>
          <w:rFonts w:ascii="Cambria" w:hAnsi="Cambria"/>
          <w:sz w:val="24"/>
          <w:szCs w:val="24"/>
        </w:rPr>
        <w:t xml:space="preserve">inconsistency </w:t>
      </w:r>
      <w:r w:rsidR="00826215" w:rsidRPr="009C3204">
        <w:rPr>
          <w:rFonts w:ascii="Cambria" w:hAnsi="Cambria"/>
          <w:sz w:val="24"/>
          <w:szCs w:val="24"/>
        </w:rPr>
        <w:t>is one source of criticism</w:t>
      </w:r>
      <w:r w:rsidR="00CD2065" w:rsidRPr="009C3204">
        <w:rPr>
          <w:rFonts w:ascii="Cambria" w:hAnsi="Cambria"/>
          <w:sz w:val="24"/>
          <w:szCs w:val="24"/>
        </w:rPr>
        <w:t>; but</w:t>
      </w:r>
      <w:r w:rsidR="001C3598" w:rsidRPr="009C3204">
        <w:rPr>
          <w:rFonts w:ascii="Cambria" w:hAnsi="Cambria"/>
          <w:sz w:val="24"/>
          <w:szCs w:val="24"/>
        </w:rPr>
        <w:t xml:space="preserve"> </w:t>
      </w:r>
      <w:r w:rsidR="00826215" w:rsidRPr="009C3204">
        <w:rPr>
          <w:rFonts w:ascii="Cambria" w:hAnsi="Cambria"/>
          <w:sz w:val="24"/>
          <w:szCs w:val="24"/>
        </w:rPr>
        <w:t xml:space="preserve">there is no doubt that it </w:t>
      </w:r>
      <w:r w:rsidR="001C3598" w:rsidRPr="009C3204">
        <w:rPr>
          <w:rFonts w:ascii="Cambria" w:hAnsi="Cambria"/>
          <w:sz w:val="24"/>
          <w:szCs w:val="24"/>
        </w:rPr>
        <w:t xml:space="preserve">has been added to the stock of concepts </w:t>
      </w:r>
      <w:r w:rsidR="00826215" w:rsidRPr="009C3204">
        <w:rPr>
          <w:rFonts w:ascii="Cambria" w:hAnsi="Cambria"/>
          <w:sz w:val="24"/>
          <w:szCs w:val="24"/>
        </w:rPr>
        <w:t xml:space="preserve">than can </w:t>
      </w:r>
      <w:r w:rsidR="001C3598" w:rsidRPr="009C3204">
        <w:rPr>
          <w:rFonts w:ascii="Cambria" w:hAnsi="Cambria"/>
          <w:sz w:val="24"/>
          <w:szCs w:val="24"/>
        </w:rPr>
        <w:t xml:space="preserve">be used </w:t>
      </w:r>
      <w:r w:rsidR="00826215" w:rsidRPr="009C3204">
        <w:rPr>
          <w:rFonts w:ascii="Cambria" w:hAnsi="Cambria"/>
          <w:sz w:val="24"/>
          <w:szCs w:val="24"/>
        </w:rPr>
        <w:t xml:space="preserve">to </w:t>
      </w:r>
      <w:r w:rsidR="001C3598" w:rsidRPr="009C3204">
        <w:rPr>
          <w:rFonts w:ascii="Cambria" w:hAnsi="Cambria"/>
          <w:sz w:val="24"/>
          <w:szCs w:val="24"/>
        </w:rPr>
        <w:t>different</w:t>
      </w:r>
      <w:r w:rsidR="00826215" w:rsidRPr="009C3204">
        <w:rPr>
          <w:rFonts w:ascii="Cambria" w:hAnsi="Cambria"/>
          <w:sz w:val="24"/>
          <w:szCs w:val="24"/>
        </w:rPr>
        <w:t>iate between liability for one risk or another</w:t>
      </w:r>
      <w:r w:rsidR="00AB10F7" w:rsidRPr="009C3204">
        <w:rPr>
          <w:rFonts w:ascii="Cambria" w:hAnsi="Cambria"/>
          <w:sz w:val="24"/>
          <w:szCs w:val="24"/>
        </w:rPr>
        <w:t xml:space="preserve">. Its function </w:t>
      </w:r>
      <w:r w:rsidR="00633278" w:rsidRPr="009C3204">
        <w:rPr>
          <w:rFonts w:ascii="Cambria" w:hAnsi="Cambria"/>
          <w:sz w:val="24"/>
          <w:szCs w:val="24"/>
        </w:rPr>
        <w:t>is to determine which risk and security duties</w:t>
      </w:r>
      <w:r w:rsidR="00AB10F7" w:rsidRPr="009C3204">
        <w:rPr>
          <w:rFonts w:ascii="Cambria" w:hAnsi="Cambria"/>
          <w:sz w:val="24"/>
          <w:szCs w:val="24"/>
        </w:rPr>
        <w:t xml:space="preserve"> attach to the activities of a given defendant, and in this guise although it can be used to limit the liability owed by one party to another, it is equally designed to determine </w:t>
      </w:r>
      <w:r w:rsidR="00AB10F7" w:rsidRPr="009C3204">
        <w:rPr>
          <w:rFonts w:ascii="Cambria" w:hAnsi="Cambria"/>
          <w:i/>
          <w:sz w:val="24"/>
          <w:szCs w:val="24"/>
        </w:rPr>
        <w:t xml:space="preserve">whose </w:t>
      </w:r>
      <w:r w:rsidR="00AB10F7" w:rsidRPr="009C3204">
        <w:rPr>
          <w:rFonts w:ascii="Cambria" w:hAnsi="Cambria"/>
          <w:sz w:val="24"/>
          <w:szCs w:val="24"/>
        </w:rPr>
        <w:t xml:space="preserve">responsibility it is </w:t>
      </w:r>
      <w:r w:rsidR="00CE640C" w:rsidRPr="009C3204">
        <w:rPr>
          <w:rFonts w:ascii="Cambria" w:hAnsi="Cambria"/>
          <w:sz w:val="24"/>
          <w:szCs w:val="24"/>
        </w:rPr>
        <w:t xml:space="preserve">(or at least is not) </w:t>
      </w:r>
      <w:r w:rsidR="00AB10F7" w:rsidRPr="009C3204">
        <w:rPr>
          <w:rFonts w:ascii="Cambria" w:hAnsi="Cambria"/>
          <w:sz w:val="24"/>
          <w:szCs w:val="24"/>
        </w:rPr>
        <w:t>to avoid a particular risk, where there are multiple potential parties.</w:t>
      </w:r>
    </w:p>
    <w:p w14:paraId="50359B4D" w14:textId="3749356E" w:rsidR="0072073C" w:rsidRPr="009C3204" w:rsidRDefault="00AB10F7" w:rsidP="008E4509">
      <w:pPr>
        <w:spacing w:line="240" w:lineRule="auto"/>
        <w:jc w:val="both"/>
        <w:rPr>
          <w:rFonts w:ascii="Cambria" w:hAnsi="Cambria"/>
          <w:sz w:val="24"/>
          <w:szCs w:val="24"/>
        </w:rPr>
      </w:pPr>
      <w:r w:rsidRPr="009C3204">
        <w:rPr>
          <w:rFonts w:ascii="Cambria" w:hAnsi="Cambria"/>
          <w:sz w:val="24"/>
          <w:szCs w:val="24"/>
        </w:rPr>
        <w:lastRenderedPageBreak/>
        <w:t xml:space="preserve">Its creation in response to a </w:t>
      </w:r>
      <w:r w:rsidR="005D40B7" w:rsidRPr="009C3204">
        <w:rPr>
          <w:rFonts w:ascii="Cambria" w:hAnsi="Cambria"/>
          <w:sz w:val="24"/>
          <w:szCs w:val="24"/>
        </w:rPr>
        <w:t xml:space="preserve">case involving losses in a </w:t>
      </w:r>
      <w:r w:rsidRPr="009C3204">
        <w:rPr>
          <w:rFonts w:ascii="Cambria" w:hAnsi="Cambria"/>
          <w:sz w:val="24"/>
          <w:szCs w:val="24"/>
        </w:rPr>
        <w:t xml:space="preserve">rapidly falling property market is illustrative of the way that it identifies </w:t>
      </w:r>
      <w:r w:rsidRPr="009C3204">
        <w:rPr>
          <w:rFonts w:ascii="Cambria" w:hAnsi="Cambria"/>
          <w:i/>
          <w:sz w:val="24"/>
          <w:szCs w:val="24"/>
        </w:rPr>
        <w:t xml:space="preserve">responsibility </w:t>
      </w:r>
      <w:r w:rsidRPr="009C3204">
        <w:rPr>
          <w:rFonts w:ascii="Cambria" w:hAnsi="Cambria"/>
          <w:sz w:val="24"/>
          <w:szCs w:val="24"/>
        </w:rPr>
        <w:t>for risk management</w:t>
      </w:r>
      <w:r w:rsidR="005D40B7" w:rsidRPr="009C3204">
        <w:rPr>
          <w:rFonts w:ascii="Cambria" w:hAnsi="Cambria"/>
          <w:sz w:val="24"/>
          <w:szCs w:val="24"/>
        </w:rPr>
        <w:t xml:space="preserve"> and specifies relevant risks</w:t>
      </w:r>
      <w:r w:rsidRPr="009C3204">
        <w:rPr>
          <w:rFonts w:ascii="Cambria" w:hAnsi="Cambria"/>
          <w:sz w:val="24"/>
          <w:szCs w:val="24"/>
        </w:rPr>
        <w:t xml:space="preserve">. The notion of ‘responsibility’ here is not entirely vacuous; but </w:t>
      </w:r>
      <w:r w:rsidR="00826215" w:rsidRPr="009C3204">
        <w:rPr>
          <w:rFonts w:ascii="Cambria" w:hAnsi="Cambria"/>
          <w:sz w:val="24"/>
          <w:szCs w:val="24"/>
        </w:rPr>
        <w:t xml:space="preserve">neither is it captured by previous ‘remoteness’ notions. The question is not whether there was an intervening cause between the defendant’s wrongdoing, and the loss; nor the </w:t>
      </w:r>
      <w:r w:rsidR="00826215" w:rsidRPr="009C3204">
        <w:rPr>
          <w:rFonts w:ascii="Cambria" w:hAnsi="Cambria"/>
          <w:i/>
          <w:sz w:val="24"/>
          <w:szCs w:val="24"/>
        </w:rPr>
        <w:t xml:space="preserve">Wagon Mound </w:t>
      </w:r>
      <w:r w:rsidR="00826215" w:rsidRPr="009C3204">
        <w:rPr>
          <w:rFonts w:ascii="Cambria" w:hAnsi="Cambria"/>
          <w:sz w:val="24"/>
          <w:szCs w:val="24"/>
        </w:rPr>
        <w:t xml:space="preserve">question of whether </w:t>
      </w:r>
      <w:proofErr w:type="gramStart"/>
      <w:r w:rsidR="00826215" w:rsidRPr="009C3204">
        <w:rPr>
          <w:rFonts w:ascii="Cambria" w:hAnsi="Cambria"/>
          <w:sz w:val="24"/>
          <w:szCs w:val="24"/>
        </w:rPr>
        <w:t>the l</w:t>
      </w:r>
      <w:r w:rsidR="00633278" w:rsidRPr="009C3204">
        <w:rPr>
          <w:rFonts w:ascii="Cambria" w:hAnsi="Cambria"/>
          <w:sz w:val="24"/>
          <w:szCs w:val="24"/>
        </w:rPr>
        <w:t>oss was</w:t>
      </w:r>
      <w:proofErr w:type="gramEnd"/>
      <w:r w:rsidR="00633278" w:rsidRPr="009C3204">
        <w:rPr>
          <w:rFonts w:ascii="Cambria" w:hAnsi="Cambria"/>
          <w:sz w:val="24"/>
          <w:szCs w:val="24"/>
        </w:rPr>
        <w:t xml:space="preserve"> ‘reasonably foreseeable</w:t>
      </w:r>
      <w:r w:rsidR="00E26C40" w:rsidRPr="009C3204">
        <w:rPr>
          <w:rFonts w:ascii="Cambria" w:hAnsi="Cambria"/>
          <w:sz w:val="24"/>
          <w:szCs w:val="24"/>
        </w:rPr>
        <w:t>’</w:t>
      </w:r>
      <w:r w:rsidR="00633278" w:rsidRPr="009C3204">
        <w:rPr>
          <w:rFonts w:ascii="Cambria" w:hAnsi="Cambria"/>
          <w:sz w:val="24"/>
          <w:szCs w:val="24"/>
        </w:rPr>
        <w:t>.</w:t>
      </w:r>
      <w:r w:rsidR="00E26C40" w:rsidRPr="009C3204">
        <w:rPr>
          <w:rStyle w:val="FootnoteReference"/>
          <w:rFonts w:ascii="Cambria" w:hAnsi="Cambria"/>
          <w:sz w:val="24"/>
          <w:szCs w:val="24"/>
        </w:rPr>
        <w:footnoteReference w:id="85"/>
      </w:r>
      <w:r w:rsidR="00633278" w:rsidRPr="009C3204">
        <w:rPr>
          <w:rFonts w:ascii="Cambria" w:hAnsi="Cambria"/>
          <w:sz w:val="24"/>
          <w:szCs w:val="24"/>
        </w:rPr>
        <w:t xml:space="preserve"> E</w:t>
      </w:r>
      <w:r w:rsidR="00826215" w:rsidRPr="009C3204">
        <w:rPr>
          <w:rFonts w:ascii="Cambria" w:hAnsi="Cambria"/>
          <w:sz w:val="24"/>
          <w:szCs w:val="24"/>
        </w:rPr>
        <w:t xml:space="preserve">ven leaving aside questions about the ‘type of loss’ which make </w:t>
      </w:r>
      <w:r w:rsidR="00826215" w:rsidRPr="009C3204">
        <w:rPr>
          <w:rFonts w:ascii="Cambria" w:hAnsi="Cambria"/>
          <w:i/>
          <w:sz w:val="24"/>
          <w:szCs w:val="24"/>
        </w:rPr>
        <w:t>The Wagon Mound</w:t>
      </w:r>
      <w:r w:rsidR="004115A3">
        <w:rPr>
          <w:rFonts w:ascii="Cambria" w:hAnsi="Cambria"/>
          <w:sz w:val="24"/>
          <w:szCs w:val="24"/>
        </w:rPr>
        <w:t xml:space="preserve"> test</w:t>
      </w:r>
      <w:r w:rsidR="00E26C40" w:rsidRPr="009C3204">
        <w:rPr>
          <w:rFonts w:ascii="Cambria" w:hAnsi="Cambria"/>
          <w:i/>
          <w:sz w:val="24"/>
          <w:szCs w:val="24"/>
        </w:rPr>
        <w:t xml:space="preserve"> </w:t>
      </w:r>
      <w:r w:rsidR="00826215" w:rsidRPr="009C3204">
        <w:rPr>
          <w:rFonts w:ascii="Cambria" w:hAnsi="Cambria"/>
          <w:sz w:val="24"/>
          <w:szCs w:val="24"/>
        </w:rPr>
        <w:t>a very blunt instrument in this context, a falling market is, clearly, foreseeable</w:t>
      </w:r>
      <w:r w:rsidR="004115A3">
        <w:rPr>
          <w:rFonts w:ascii="Cambria" w:hAnsi="Cambria"/>
          <w:sz w:val="24"/>
          <w:szCs w:val="24"/>
        </w:rPr>
        <w:t>, whether or not it is considered likely at any given time</w:t>
      </w:r>
      <w:r w:rsidR="00826215" w:rsidRPr="009C3204">
        <w:rPr>
          <w:rFonts w:ascii="Cambria" w:hAnsi="Cambria"/>
          <w:sz w:val="24"/>
          <w:szCs w:val="24"/>
        </w:rPr>
        <w:t xml:space="preserve">. Rather, </w:t>
      </w:r>
      <w:r w:rsidRPr="009C3204">
        <w:rPr>
          <w:rFonts w:ascii="Cambria" w:hAnsi="Cambria"/>
          <w:sz w:val="24"/>
          <w:szCs w:val="24"/>
        </w:rPr>
        <w:t xml:space="preserve">what </w:t>
      </w:r>
      <w:r w:rsidR="00826215" w:rsidRPr="009C3204">
        <w:rPr>
          <w:rFonts w:ascii="Cambria" w:hAnsi="Cambria"/>
          <w:sz w:val="24"/>
          <w:szCs w:val="24"/>
        </w:rPr>
        <w:t>the notion</w:t>
      </w:r>
      <w:r w:rsidRPr="009C3204">
        <w:rPr>
          <w:rFonts w:ascii="Cambria" w:hAnsi="Cambria"/>
          <w:sz w:val="24"/>
          <w:szCs w:val="24"/>
        </w:rPr>
        <w:t xml:space="preserve"> identifies is the </w:t>
      </w:r>
      <w:r w:rsidRPr="009C3204">
        <w:rPr>
          <w:rFonts w:ascii="Cambria" w:hAnsi="Cambria"/>
          <w:i/>
          <w:sz w:val="24"/>
          <w:szCs w:val="24"/>
        </w:rPr>
        <w:t>extent</w:t>
      </w:r>
      <w:r w:rsidRPr="009C3204">
        <w:rPr>
          <w:rFonts w:ascii="Cambria" w:hAnsi="Cambria"/>
          <w:sz w:val="24"/>
          <w:szCs w:val="24"/>
        </w:rPr>
        <w:t xml:space="preserve"> of the risk management role of various parties according to their functions</w:t>
      </w:r>
      <w:r w:rsidR="00826215" w:rsidRPr="009C3204">
        <w:rPr>
          <w:rFonts w:ascii="Cambria" w:hAnsi="Cambria"/>
          <w:sz w:val="24"/>
          <w:szCs w:val="24"/>
        </w:rPr>
        <w:t xml:space="preserve"> and relationship</w:t>
      </w:r>
      <w:r w:rsidRPr="009C3204">
        <w:rPr>
          <w:rFonts w:ascii="Cambria" w:hAnsi="Cambria"/>
          <w:sz w:val="24"/>
          <w:szCs w:val="24"/>
        </w:rPr>
        <w:t>.</w:t>
      </w:r>
      <w:r w:rsidR="00826215" w:rsidRPr="009C3204">
        <w:rPr>
          <w:rStyle w:val="FootnoteReference"/>
          <w:rFonts w:ascii="Cambria" w:hAnsi="Cambria"/>
          <w:sz w:val="24"/>
          <w:szCs w:val="24"/>
        </w:rPr>
        <w:footnoteReference w:id="86"/>
      </w:r>
      <w:r w:rsidRPr="009C3204">
        <w:rPr>
          <w:rFonts w:ascii="Cambria" w:hAnsi="Cambria"/>
          <w:sz w:val="24"/>
          <w:szCs w:val="24"/>
        </w:rPr>
        <w:t xml:space="preserve"> And this underlines another feature of the restraint of tort in the era of the regulatory state, namely</w:t>
      </w:r>
      <w:r w:rsidR="0017715B" w:rsidRPr="009C3204">
        <w:rPr>
          <w:rFonts w:ascii="Cambria" w:hAnsi="Cambria"/>
          <w:sz w:val="24"/>
          <w:szCs w:val="24"/>
        </w:rPr>
        <w:t xml:space="preserve"> recognition of the potential for over-concentrated liabilities with attendant insurance costs. The same phenomenon arguably underlies the protective attitude towards </w:t>
      </w:r>
      <w:r w:rsidR="00826215" w:rsidRPr="009C3204">
        <w:rPr>
          <w:rFonts w:ascii="Cambria" w:hAnsi="Cambria"/>
          <w:sz w:val="24"/>
          <w:szCs w:val="24"/>
        </w:rPr>
        <w:t xml:space="preserve">public authority </w:t>
      </w:r>
      <w:r w:rsidR="0017715B" w:rsidRPr="009C3204">
        <w:rPr>
          <w:rFonts w:ascii="Cambria" w:hAnsi="Cambria"/>
          <w:sz w:val="24"/>
          <w:szCs w:val="24"/>
        </w:rPr>
        <w:t>liabilities in tort, particularly where liability/responsibility could potentially be placed with another actor whose involvement is risk-creation, ra</w:t>
      </w:r>
      <w:r w:rsidR="00573D58" w:rsidRPr="009C3204">
        <w:rPr>
          <w:rFonts w:ascii="Cambria" w:hAnsi="Cambria"/>
          <w:sz w:val="24"/>
          <w:szCs w:val="24"/>
        </w:rPr>
        <w:t>ther than failure to avoid risk.</w:t>
      </w:r>
      <w:r w:rsidR="00070FE7" w:rsidRPr="009C3204">
        <w:rPr>
          <w:rStyle w:val="FootnoteReference"/>
          <w:rFonts w:ascii="Cambria" w:hAnsi="Cambria"/>
          <w:sz w:val="24"/>
          <w:szCs w:val="24"/>
        </w:rPr>
        <w:footnoteReference w:id="87"/>
      </w:r>
      <w:r w:rsidR="00CD2065" w:rsidRPr="009C3204">
        <w:rPr>
          <w:rFonts w:ascii="Cambria" w:hAnsi="Cambria"/>
          <w:sz w:val="24"/>
          <w:szCs w:val="24"/>
        </w:rPr>
        <w:t xml:space="preserve"> </w:t>
      </w:r>
      <w:r w:rsidR="00573D58" w:rsidRPr="009C3204">
        <w:rPr>
          <w:rFonts w:ascii="Cambria" w:hAnsi="Cambria"/>
          <w:sz w:val="24"/>
          <w:szCs w:val="24"/>
        </w:rPr>
        <w:t>The striking contrast between outcomes in tort claims in this context, and outcomes in human rights claims,</w:t>
      </w:r>
      <w:r w:rsidR="00573D58" w:rsidRPr="009C3204">
        <w:rPr>
          <w:rStyle w:val="FootnoteReference"/>
          <w:rFonts w:ascii="Cambria" w:hAnsi="Cambria"/>
          <w:sz w:val="24"/>
          <w:szCs w:val="24"/>
        </w:rPr>
        <w:footnoteReference w:id="88"/>
      </w:r>
      <w:r w:rsidR="00573D58" w:rsidRPr="009C3204">
        <w:rPr>
          <w:rFonts w:ascii="Cambria" w:hAnsi="Cambria"/>
          <w:sz w:val="24"/>
          <w:szCs w:val="24"/>
        </w:rPr>
        <w:t xml:space="preserve"> may be partly explained on the basis that ‘damage’ is not the basis of human rights claims, and that responsibility for </w:t>
      </w:r>
      <w:r w:rsidR="007D5490" w:rsidRPr="009C3204">
        <w:rPr>
          <w:rFonts w:ascii="Cambria" w:hAnsi="Cambria"/>
          <w:sz w:val="24"/>
          <w:szCs w:val="24"/>
        </w:rPr>
        <w:t xml:space="preserve">the economic consequences of </w:t>
      </w:r>
      <w:r w:rsidR="00573D58" w:rsidRPr="009C3204">
        <w:rPr>
          <w:rFonts w:ascii="Cambria" w:hAnsi="Cambria"/>
          <w:sz w:val="24"/>
          <w:szCs w:val="24"/>
        </w:rPr>
        <w:t xml:space="preserve">‘risk management’ </w:t>
      </w:r>
      <w:r w:rsidR="00633278" w:rsidRPr="009C3204">
        <w:rPr>
          <w:rFonts w:ascii="Cambria" w:hAnsi="Cambria"/>
          <w:sz w:val="24"/>
          <w:szCs w:val="24"/>
        </w:rPr>
        <w:t>is not a key operator</w:t>
      </w:r>
      <w:r w:rsidR="00573D58" w:rsidRPr="009C3204">
        <w:rPr>
          <w:rFonts w:ascii="Cambria" w:hAnsi="Cambria"/>
          <w:sz w:val="24"/>
          <w:szCs w:val="24"/>
        </w:rPr>
        <w:t xml:space="preserve"> in such claims.</w:t>
      </w:r>
      <w:r w:rsidR="00573D58" w:rsidRPr="009C3204">
        <w:rPr>
          <w:rStyle w:val="FootnoteReference"/>
          <w:rFonts w:ascii="Cambria" w:hAnsi="Cambria"/>
          <w:sz w:val="24"/>
          <w:szCs w:val="24"/>
        </w:rPr>
        <w:footnoteReference w:id="89"/>
      </w:r>
    </w:p>
    <w:p w14:paraId="26C76002" w14:textId="77777777" w:rsidR="007D5490" w:rsidRPr="009C3204" w:rsidRDefault="00601437" w:rsidP="008E4509">
      <w:pPr>
        <w:spacing w:line="240" w:lineRule="auto"/>
        <w:jc w:val="both"/>
        <w:rPr>
          <w:rFonts w:ascii="Cambria" w:hAnsi="Cambria"/>
          <w:sz w:val="24"/>
          <w:szCs w:val="24"/>
        </w:rPr>
      </w:pPr>
      <w:r w:rsidRPr="009C3204">
        <w:rPr>
          <w:rFonts w:ascii="Cambria" w:hAnsi="Cambria"/>
          <w:sz w:val="24"/>
          <w:szCs w:val="24"/>
        </w:rPr>
        <w:t xml:space="preserve">The expanding law of vicarious liability offers </w:t>
      </w:r>
      <w:r w:rsidR="00633278" w:rsidRPr="009C3204">
        <w:rPr>
          <w:rFonts w:ascii="Cambria" w:hAnsi="Cambria"/>
          <w:sz w:val="24"/>
          <w:szCs w:val="24"/>
        </w:rPr>
        <w:t xml:space="preserve">a second </w:t>
      </w:r>
      <w:r w:rsidRPr="009C3204">
        <w:rPr>
          <w:rFonts w:ascii="Cambria" w:hAnsi="Cambria"/>
          <w:sz w:val="24"/>
          <w:szCs w:val="24"/>
        </w:rPr>
        <w:t>important illu</w:t>
      </w:r>
      <w:r w:rsidR="00633278" w:rsidRPr="009C3204">
        <w:rPr>
          <w:rFonts w:ascii="Cambria" w:hAnsi="Cambria"/>
          <w:sz w:val="24"/>
          <w:szCs w:val="24"/>
        </w:rPr>
        <w:t>stration</w:t>
      </w:r>
      <w:r w:rsidRPr="009C3204">
        <w:rPr>
          <w:rFonts w:ascii="Cambria" w:hAnsi="Cambria"/>
          <w:sz w:val="24"/>
          <w:szCs w:val="24"/>
        </w:rPr>
        <w:t xml:space="preserve"> of the centrality of risk and the emerging preoccupation with defining who bears the burden of the cost of security. </w:t>
      </w:r>
      <w:r w:rsidR="00633278" w:rsidRPr="009C3204">
        <w:rPr>
          <w:rFonts w:ascii="Cambria" w:hAnsi="Cambria"/>
          <w:sz w:val="24"/>
          <w:szCs w:val="24"/>
        </w:rPr>
        <w:t>T</w:t>
      </w:r>
      <w:r w:rsidRPr="009C3204">
        <w:rPr>
          <w:rFonts w:ascii="Cambria" w:hAnsi="Cambria"/>
          <w:sz w:val="24"/>
          <w:szCs w:val="24"/>
        </w:rPr>
        <w:t xml:space="preserve">he question </w:t>
      </w:r>
      <w:r w:rsidR="00633278" w:rsidRPr="009C3204">
        <w:rPr>
          <w:rFonts w:ascii="Cambria" w:hAnsi="Cambria"/>
          <w:sz w:val="24"/>
          <w:szCs w:val="24"/>
        </w:rPr>
        <w:t>typically</w:t>
      </w:r>
      <w:r w:rsidRPr="009C3204">
        <w:rPr>
          <w:rFonts w:ascii="Cambria" w:hAnsi="Cambria"/>
          <w:sz w:val="24"/>
          <w:szCs w:val="24"/>
        </w:rPr>
        <w:t xml:space="preserve"> is not who should have protected from harm, but </w:t>
      </w:r>
      <w:r w:rsidR="00633278" w:rsidRPr="009C3204">
        <w:rPr>
          <w:rFonts w:ascii="Cambria" w:hAnsi="Cambria"/>
          <w:sz w:val="24"/>
          <w:szCs w:val="24"/>
        </w:rPr>
        <w:t xml:space="preserve">much </w:t>
      </w:r>
      <w:r w:rsidRPr="009C3204">
        <w:rPr>
          <w:rFonts w:ascii="Cambria" w:hAnsi="Cambria"/>
          <w:sz w:val="24"/>
          <w:szCs w:val="24"/>
        </w:rPr>
        <w:t xml:space="preserve">more openly who now bears the burden of the risk that harm would occur. In particular in relation to intentional torts, </w:t>
      </w:r>
      <w:r w:rsidR="002A5F97" w:rsidRPr="009C3204">
        <w:rPr>
          <w:rFonts w:ascii="Cambria" w:hAnsi="Cambria"/>
          <w:sz w:val="24"/>
          <w:szCs w:val="24"/>
        </w:rPr>
        <w:t>the need to consider the</w:t>
      </w:r>
      <w:r w:rsidRPr="009C3204">
        <w:rPr>
          <w:rFonts w:ascii="Cambria" w:hAnsi="Cambria"/>
          <w:sz w:val="24"/>
          <w:szCs w:val="24"/>
        </w:rPr>
        <w:t xml:space="preserve"> responsibility </w:t>
      </w:r>
      <w:r w:rsidR="002A5F97" w:rsidRPr="009C3204">
        <w:rPr>
          <w:rFonts w:ascii="Cambria" w:hAnsi="Cambria"/>
          <w:sz w:val="24"/>
          <w:szCs w:val="24"/>
        </w:rPr>
        <w:t>of</w:t>
      </w:r>
      <w:r w:rsidRPr="009C3204">
        <w:rPr>
          <w:rFonts w:ascii="Cambria" w:hAnsi="Cambria"/>
          <w:sz w:val="24"/>
          <w:szCs w:val="24"/>
        </w:rPr>
        <w:t xml:space="preserve"> an employer (or other) whose purposes were not being advanced by the activities of the </w:t>
      </w:r>
      <w:proofErr w:type="spellStart"/>
      <w:r w:rsidRPr="009C3204">
        <w:rPr>
          <w:rFonts w:ascii="Cambria" w:hAnsi="Cambria"/>
          <w:sz w:val="24"/>
          <w:szCs w:val="24"/>
        </w:rPr>
        <w:t>tortfeasor</w:t>
      </w:r>
      <w:proofErr w:type="spellEnd"/>
      <w:r w:rsidRPr="009C3204">
        <w:rPr>
          <w:rFonts w:ascii="Cambria" w:hAnsi="Cambria"/>
          <w:sz w:val="24"/>
          <w:szCs w:val="24"/>
        </w:rPr>
        <w:t xml:space="preserve"> ‘employee’ or equivalent has led to a new question, namely whether there was a sufficiently close connection between the employment or other relationship between </w:t>
      </w:r>
      <w:proofErr w:type="spellStart"/>
      <w:r w:rsidRPr="009C3204">
        <w:rPr>
          <w:rFonts w:ascii="Cambria" w:hAnsi="Cambria"/>
          <w:sz w:val="24"/>
          <w:szCs w:val="24"/>
        </w:rPr>
        <w:t>tortfeasor</w:t>
      </w:r>
      <w:proofErr w:type="spellEnd"/>
      <w:r w:rsidRPr="009C3204">
        <w:rPr>
          <w:rFonts w:ascii="Cambria" w:hAnsi="Cambria"/>
          <w:sz w:val="24"/>
          <w:szCs w:val="24"/>
        </w:rPr>
        <w:t xml:space="preserve"> and defendant, and the tort which occurred</w:t>
      </w:r>
      <w:r w:rsidR="002A5F97" w:rsidRPr="009C3204">
        <w:rPr>
          <w:rFonts w:ascii="Cambria" w:hAnsi="Cambria"/>
          <w:sz w:val="24"/>
          <w:szCs w:val="24"/>
        </w:rPr>
        <w:t xml:space="preserve">. In answering this question, the ‘risk’ of wrongdoing on the part of the employee or other in the course of that relationship is the key focus. But the question is not one of foreseeability of risk, for risks are by definition foreseeable, and the courts have </w:t>
      </w:r>
      <w:r w:rsidR="007D5490" w:rsidRPr="009C3204">
        <w:rPr>
          <w:rFonts w:ascii="Cambria" w:hAnsi="Cambria"/>
          <w:sz w:val="24"/>
          <w:szCs w:val="24"/>
        </w:rPr>
        <w:t xml:space="preserve">long since </w:t>
      </w:r>
      <w:r w:rsidR="002A5F97" w:rsidRPr="009C3204">
        <w:rPr>
          <w:rFonts w:ascii="Cambria" w:hAnsi="Cambria"/>
          <w:sz w:val="24"/>
          <w:szCs w:val="24"/>
        </w:rPr>
        <w:t xml:space="preserve">stopped pinning their hopes on </w:t>
      </w:r>
      <w:r w:rsidR="002A5F97" w:rsidRPr="009C3204">
        <w:rPr>
          <w:rFonts w:ascii="Cambria" w:hAnsi="Cambria"/>
          <w:i/>
          <w:sz w:val="24"/>
          <w:szCs w:val="24"/>
        </w:rPr>
        <w:t xml:space="preserve">degrees </w:t>
      </w:r>
      <w:r w:rsidR="002A5F97" w:rsidRPr="009C3204">
        <w:rPr>
          <w:rFonts w:ascii="Cambria" w:hAnsi="Cambria"/>
          <w:sz w:val="24"/>
          <w:szCs w:val="24"/>
        </w:rPr>
        <w:t>of foreseeability.</w:t>
      </w:r>
      <w:r w:rsidR="002A5F97" w:rsidRPr="009C3204">
        <w:rPr>
          <w:rStyle w:val="FootnoteReference"/>
          <w:rFonts w:ascii="Cambria" w:hAnsi="Cambria"/>
          <w:sz w:val="24"/>
          <w:szCs w:val="24"/>
        </w:rPr>
        <w:footnoteReference w:id="90"/>
      </w:r>
      <w:r w:rsidR="002A5F97" w:rsidRPr="009C3204">
        <w:rPr>
          <w:rFonts w:ascii="Cambria" w:hAnsi="Cambria"/>
          <w:sz w:val="24"/>
          <w:szCs w:val="24"/>
        </w:rPr>
        <w:t xml:space="preserve"> Rather, the question is whose risk this is, and the idea of ‘sufficiently close connection’ is the means to answer that </w:t>
      </w:r>
      <w:r w:rsidR="0071465F" w:rsidRPr="009C3204">
        <w:rPr>
          <w:rFonts w:ascii="Cambria" w:hAnsi="Cambria"/>
          <w:sz w:val="24"/>
          <w:szCs w:val="24"/>
        </w:rPr>
        <w:t xml:space="preserve">very open-ended </w:t>
      </w:r>
      <w:r w:rsidR="002A5F97" w:rsidRPr="009C3204">
        <w:rPr>
          <w:rFonts w:ascii="Cambria" w:hAnsi="Cambria"/>
          <w:sz w:val="24"/>
          <w:szCs w:val="24"/>
        </w:rPr>
        <w:t>question.</w:t>
      </w:r>
    </w:p>
    <w:p w14:paraId="26F972FF" w14:textId="454D3FB4" w:rsidR="00601437" w:rsidRPr="009C3204" w:rsidRDefault="002A5F97" w:rsidP="008E4509">
      <w:pPr>
        <w:spacing w:line="240" w:lineRule="auto"/>
        <w:jc w:val="both"/>
        <w:rPr>
          <w:rFonts w:ascii="Cambria" w:hAnsi="Cambria"/>
          <w:sz w:val="24"/>
          <w:szCs w:val="24"/>
        </w:rPr>
      </w:pPr>
      <w:r w:rsidRPr="009C3204">
        <w:rPr>
          <w:rFonts w:ascii="Cambria" w:hAnsi="Cambria"/>
          <w:sz w:val="24"/>
          <w:szCs w:val="24"/>
        </w:rPr>
        <w:lastRenderedPageBreak/>
        <w:t>Like voluntary as</w:t>
      </w:r>
      <w:r w:rsidR="007D5490" w:rsidRPr="009C3204">
        <w:rPr>
          <w:rFonts w:ascii="Cambria" w:hAnsi="Cambria"/>
          <w:sz w:val="24"/>
          <w:szCs w:val="24"/>
        </w:rPr>
        <w:t>sumption of responsibility, the</w:t>
      </w:r>
      <w:r w:rsidRPr="009C3204">
        <w:rPr>
          <w:rFonts w:ascii="Cambria" w:hAnsi="Cambria"/>
          <w:sz w:val="24"/>
          <w:szCs w:val="24"/>
        </w:rPr>
        <w:t xml:space="preserve"> idea</w:t>
      </w:r>
      <w:r w:rsidR="007D5490" w:rsidRPr="009C3204">
        <w:rPr>
          <w:rFonts w:ascii="Cambria" w:hAnsi="Cambria"/>
          <w:sz w:val="24"/>
          <w:szCs w:val="24"/>
        </w:rPr>
        <w:t xml:space="preserve"> of ‘close connection’</w:t>
      </w:r>
      <w:r w:rsidRPr="009C3204">
        <w:rPr>
          <w:rFonts w:ascii="Cambria" w:hAnsi="Cambria"/>
          <w:sz w:val="24"/>
          <w:szCs w:val="24"/>
        </w:rPr>
        <w:t xml:space="preserve"> is </w:t>
      </w:r>
      <w:r w:rsidR="0071465F" w:rsidRPr="009C3204">
        <w:rPr>
          <w:rFonts w:ascii="Cambria" w:hAnsi="Cambria"/>
          <w:sz w:val="24"/>
          <w:szCs w:val="24"/>
        </w:rPr>
        <w:t>intended to make the question less open-ended, and</w:t>
      </w:r>
      <w:r w:rsidR="00633278" w:rsidRPr="009C3204">
        <w:rPr>
          <w:rFonts w:ascii="Cambria" w:hAnsi="Cambria"/>
          <w:sz w:val="24"/>
          <w:szCs w:val="24"/>
        </w:rPr>
        <w:t xml:space="preserve"> to offer a focus, and it is this</w:t>
      </w:r>
      <w:r w:rsidR="0071465F" w:rsidRPr="009C3204">
        <w:rPr>
          <w:rFonts w:ascii="Cambria" w:hAnsi="Cambria"/>
          <w:sz w:val="24"/>
          <w:szCs w:val="24"/>
        </w:rPr>
        <w:t xml:space="preserve"> type of concept that the courts find useful</w:t>
      </w:r>
      <w:r w:rsidR="00633278" w:rsidRPr="009C3204">
        <w:rPr>
          <w:rFonts w:ascii="Cambria" w:hAnsi="Cambria"/>
          <w:sz w:val="24"/>
          <w:szCs w:val="24"/>
        </w:rPr>
        <w:t xml:space="preserve"> in the current risk era</w:t>
      </w:r>
      <w:r w:rsidR="007D5490" w:rsidRPr="009C3204">
        <w:rPr>
          <w:rFonts w:ascii="Cambria" w:hAnsi="Cambria"/>
          <w:sz w:val="24"/>
          <w:szCs w:val="24"/>
        </w:rPr>
        <w:t xml:space="preserve"> despite their</w:t>
      </w:r>
      <w:r w:rsidR="0071465F" w:rsidRPr="009C3204">
        <w:rPr>
          <w:rFonts w:ascii="Cambria" w:hAnsi="Cambria"/>
          <w:sz w:val="24"/>
          <w:szCs w:val="24"/>
        </w:rPr>
        <w:t xml:space="preserve"> evident imprecision. In the recent case of </w:t>
      </w:r>
      <w:proofErr w:type="spellStart"/>
      <w:r w:rsidR="0071465F" w:rsidRPr="009C3204">
        <w:rPr>
          <w:rFonts w:ascii="Cambria" w:hAnsi="Cambria"/>
          <w:i/>
          <w:sz w:val="24"/>
          <w:szCs w:val="24"/>
        </w:rPr>
        <w:t>Mohamud</w:t>
      </w:r>
      <w:proofErr w:type="spellEnd"/>
      <w:r w:rsidR="00CD0117" w:rsidRPr="009C3204">
        <w:rPr>
          <w:rFonts w:ascii="Cambria" w:hAnsi="Cambria"/>
          <w:i/>
          <w:sz w:val="24"/>
          <w:szCs w:val="24"/>
        </w:rPr>
        <w:t xml:space="preserve"> v </w:t>
      </w:r>
      <w:r w:rsidR="007A5673" w:rsidRPr="009C3204">
        <w:rPr>
          <w:rFonts w:ascii="Cambria" w:hAnsi="Cambria"/>
          <w:i/>
          <w:sz w:val="24"/>
          <w:szCs w:val="24"/>
        </w:rPr>
        <w:t xml:space="preserve">William </w:t>
      </w:r>
      <w:r w:rsidR="00CD0117" w:rsidRPr="009C3204">
        <w:rPr>
          <w:rFonts w:ascii="Cambria" w:hAnsi="Cambria"/>
          <w:i/>
          <w:sz w:val="24"/>
          <w:szCs w:val="24"/>
        </w:rPr>
        <w:t>Morrison Supermarkets</w:t>
      </w:r>
      <w:r w:rsidR="007A5673" w:rsidRPr="009C3204">
        <w:rPr>
          <w:rFonts w:ascii="Cambria" w:hAnsi="Cambria"/>
          <w:i/>
          <w:sz w:val="24"/>
          <w:szCs w:val="24"/>
        </w:rPr>
        <w:t xml:space="preserve"> plc</w:t>
      </w:r>
      <w:r w:rsidR="0071465F" w:rsidRPr="009C3204">
        <w:rPr>
          <w:rFonts w:ascii="Cambria" w:hAnsi="Cambria"/>
          <w:sz w:val="24"/>
          <w:szCs w:val="24"/>
        </w:rPr>
        <w:t>,</w:t>
      </w:r>
      <w:r w:rsidR="00460684" w:rsidRPr="009C3204">
        <w:rPr>
          <w:rStyle w:val="FootnoteReference"/>
          <w:rFonts w:ascii="Cambria" w:hAnsi="Cambria"/>
          <w:sz w:val="24"/>
          <w:szCs w:val="24"/>
        </w:rPr>
        <w:footnoteReference w:id="91"/>
      </w:r>
      <w:r w:rsidR="0071465F" w:rsidRPr="009C3204">
        <w:rPr>
          <w:rFonts w:ascii="Cambria" w:hAnsi="Cambria"/>
          <w:sz w:val="24"/>
          <w:szCs w:val="24"/>
        </w:rPr>
        <w:t xml:space="preserve"> there was an effort to challenge the validity of the concept </w:t>
      </w:r>
      <w:r w:rsidR="00CD0117" w:rsidRPr="009C3204">
        <w:rPr>
          <w:rFonts w:ascii="Cambria" w:hAnsi="Cambria"/>
          <w:sz w:val="24"/>
          <w:szCs w:val="24"/>
        </w:rPr>
        <w:t xml:space="preserve">and to replace it with a perhaps clearer question, namely whether a reasonable person would consider the </w:t>
      </w:r>
      <w:proofErr w:type="spellStart"/>
      <w:r w:rsidR="00CD0117" w:rsidRPr="009C3204">
        <w:rPr>
          <w:rFonts w:ascii="Cambria" w:hAnsi="Cambria"/>
          <w:sz w:val="24"/>
          <w:szCs w:val="24"/>
        </w:rPr>
        <w:t>tortfeasor</w:t>
      </w:r>
      <w:proofErr w:type="spellEnd"/>
      <w:r w:rsidR="00CD0117" w:rsidRPr="009C3204">
        <w:rPr>
          <w:rFonts w:ascii="Cambria" w:hAnsi="Cambria"/>
          <w:sz w:val="24"/>
          <w:szCs w:val="24"/>
        </w:rPr>
        <w:t xml:space="preserve"> to be acting as a representative of the defendant at the time of the tort. This change was rejected and indeed it is a far narrower question</w:t>
      </w:r>
      <w:r w:rsidR="00633278" w:rsidRPr="009C3204">
        <w:rPr>
          <w:rFonts w:ascii="Cambria" w:hAnsi="Cambria"/>
          <w:sz w:val="24"/>
          <w:szCs w:val="24"/>
        </w:rPr>
        <w:t>, concerned with expectations</w:t>
      </w:r>
      <w:r w:rsidR="007D5490" w:rsidRPr="009C3204">
        <w:rPr>
          <w:rFonts w:ascii="Cambria" w:hAnsi="Cambria"/>
          <w:sz w:val="24"/>
          <w:szCs w:val="24"/>
        </w:rPr>
        <w:t xml:space="preserve"> and understanding</w:t>
      </w:r>
      <w:r w:rsidR="00CD0117" w:rsidRPr="009C3204">
        <w:rPr>
          <w:rFonts w:ascii="Cambria" w:hAnsi="Cambria"/>
          <w:sz w:val="24"/>
          <w:szCs w:val="24"/>
        </w:rPr>
        <w:t xml:space="preserve">. The flexibility of the ‘close connection’ question is both what makes it an evaluative </w:t>
      </w:r>
      <w:r w:rsidR="00633278" w:rsidRPr="009C3204">
        <w:rPr>
          <w:rFonts w:ascii="Cambria" w:hAnsi="Cambria"/>
          <w:sz w:val="24"/>
          <w:szCs w:val="24"/>
        </w:rPr>
        <w:t>notion</w:t>
      </w:r>
      <w:r w:rsidR="00CD0117" w:rsidRPr="009C3204">
        <w:rPr>
          <w:rFonts w:ascii="Cambria" w:hAnsi="Cambria"/>
          <w:sz w:val="24"/>
          <w:szCs w:val="24"/>
        </w:rPr>
        <w:t>, and what makes it a suitable way of narrowing the focus of a much bigger potential question, about where the responsibility for managing and avoiding risks associated with employment and other purposive activities should be said to lie. Importantly, even serious criminal wrongdoing is thus translated into a risk and it is plainly the management of this</w:t>
      </w:r>
      <w:r w:rsidR="007D5490" w:rsidRPr="009C3204">
        <w:rPr>
          <w:rFonts w:ascii="Cambria" w:hAnsi="Cambria"/>
          <w:sz w:val="24"/>
          <w:szCs w:val="24"/>
        </w:rPr>
        <w:t xml:space="preserve"> risk</w:t>
      </w:r>
      <w:r w:rsidR="00CD0117" w:rsidRPr="009C3204">
        <w:rPr>
          <w:rFonts w:ascii="Cambria" w:hAnsi="Cambria"/>
          <w:sz w:val="24"/>
          <w:szCs w:val="24"/>
        </w:rPr>
        <w:t>, rather than fault, which is the critical notion.</w:t>
      </w:r>
      <w:r w:rsidR="006361C1">
        <w:rPr>
          <w:rFonts w:ascii="Cambria" w:hAnsi="Cambria"/>
          <w:sz w:val="24"/>
          <w:szCs w:val="24"/>
        </w:rPr>
        <w:t xml:space="preserve"> </w:t>
      </w:r>
    </w:p>
    <w:p w14:paraId="4AE1562D" w14:textId="2FAC7B8A" w:rsidR="00460684" w:rsidRPr="009C3204" w:rsidRDefault="00601437" w:rsidP="008E4509">
      <w:pPr>
        <w:spacing w:line="240" w:lineRule="auto"/>
        <w:jc w:val="both"/>
        <w:rPr>
          <w:rFonts w:ascii="Cambria" w:hAnsi="Cambria"/>
          <w:sz w:val="24"/>
          <w:szCs w:val="24"/>
        </w:rPr>
      </w:pPr>
      <w:r w:rsidRPr="009C3204">
        <w:rPr>
          <w:rFonts w:ascii="Cambria" w:hAnsi="Cambria"/>
          <w:sz w:val="24"/>
          <w:szCs w:val="24"/>
        </w:rPr>
        <w:t>R</w:t>
      </w:r>
      <w:r w:rsidR="00515C05" w:rsidRPr="009C3204">
        <w:rPr>
          <w:rFonts w:ascii="Cambria" w:hAnsi="Cambria"/>
          <w:sz w:val="24"/>
          <w:szCs w:val="24"/>
        </w:rPr>
        <w:t>oad traffic</w:t>
      </w:r>
      <w:r w:rsidR="00CD2065" w:rsidRPr="009C3204">
        <w:rPr>
          <w:rFonts w:ascii="Cambria" w:hAnsi="Cambria"/>
          <w:sz w:val="24"/>
          <w:szCs w:val="24"/>
        </w:rPr>
        <w:t xml:space="preserve"> liability</w:t>
      </w:r>
      <w:r w:rsidR="00573D58" w:rsidRPr="009C3204">
        <w:rPr>
          <w:rFonts w:ascii="Cambria" w:hAnsi="Cambria"/>
          <w:sz w:val="24"/>
          <w:szCs w:val="24"/>
        </w:rPr>
        <w:t xml:space="preserve"> provides </w:t>
      </w:r>
      <w:r w:rsidRPr="009C3204">
        <w:rPr>
          <w:rFonts w:ascii="Cambria" w:hAnsi="Cambria"/>
          <w:sz w:val="24"/>
          <w:szCs w:val="24"/>
        </w:rPr>
        <w:t xml:space="preserve">a third </w:t>
      </w:r>
      <w:r w:rsidR="00573D58" w:rsidRPr="009C3204">
        <w:rPr>
          <w:rFonts w:ascii="Cambria" w:hAnsi="Cambria"/>
          <w:sz w:val="24"/>
          <w:szCs w:val="24"/>
        </w:rPr>
        <w:t>important illustration of our themes</w:t>
      </w:r>
      <w:r w:rsidR="00515C05" w:rsidRPr="009C3204">
        <w:rPr>
          <w:rFonts w:ascii="Cambria" w:hAnsi="Cambria"/>
          <w:sz w:val="24"/>
          <w:szCs w:val="24"/>
        </w:rPr>
        <w:t>. Where is the balance between security and respon</w:t>
      </w:r>
      <w:r w:rsidR="002A59EC" w:rsidRPr="009C3204">
        <w:rPr>
          <w:rFonts w:ascii="Cambria" w:hAnsi="Cambria"/>
          <w:sz w:val="24"/>
          <w:szCs w:val="24"/>
        </w:rPr>
        <w:t>sibility in this important context</w:t>
      </w:r>
      <w:r w:rsidR="00515C05" w:rsidRPr="009C3204">
        <w:rPr>
          <w:rFonts w:ascii="Cambria" w:hAnsi="Cambria"/>
          <w:sz w:val="24"/>
          <w:szCs w:val="24"/>
        </w:rPr>
        <w:t>?</w:t>
      </w:r>
      <w:r w:rsidR="000F3B90" w:rsidRPr="009C3204">
        <w:rPr>
          <w:rFonts w:ascii="Cambria" w:hAnsi="Cambria"/>
          <w:sz w:val="24"/>
          <w:szCs w:val="24"/>
        </w:rPr>
        <w:t xml:space="preserve"> This area of liability</w:t>
      </w:r>
      <w:r w:rsidR="00CA160F" w:rsidRPr="009C3204">
        <w:rPr>
          <w:rFonts w:ascii="Cambria" w:hAnsi="Cambria"/>
          <w:sz w:val="24"/>
          <w:szCs w:val="24"/>
        </w:rPr>
        <w:t xml:space="preserve"> </w:t>
      </w:r>
      <w:r w:rsidRPr="009C3204">
        <w:rPr>
          <w:rFonts w:ascii="Cambria" w:hAnsi="Cambria"/>
          <w:sz w:val="24"/>
          <w:szCs w:val="24"/>
        </w:rPr>
        <w:t xml:space="preserve">is a staple of </w:t>
      </w:r>
      <w:r w:rsidR="00CA160F" w:rsidRPr="009C3204">
        <w:rPr>
          <w:rFonts w:ascii="Cambria" w:hAnsi="Cambria"/>
          <w:sz w:val="24"/>
          <w:szCs w:val="24"/>
        </w:rPr>
        <w:t xml:space="preserve">tort liability, as it has </w:t>
      </w:r>
      <w:r w:rsidR="00BC3720" w:rsidRPr="009C3204">
        <w:rPr>
          <w:rFonts w:ascii="Cambria" w:hAnsi="Cambria"/>
          <w:sz w:val="24"/>
          <w:szCs w:val="24"/>
        </w:rPr>
        <w:t xml:space="preserve">been </w:t>
      </w:r>
      <w:r w:rsidR="00CA160F" w:rsidRPr="009C3204">
        <w:rPr>
          <w:rFonts w:ascii="Cambria" w:hAnsi="Cambria"/>
          <w:sz w:val="24"/>
          <w:szCs w:val="24"/>
        </w:rPr>
        <w:t>throughout the periods surveyed</w:t>
      </w:r>
      <w:r w:rsidR="00EA0732" w:rsidRPr="009C3204">
        <w:rPr>
          <w:rFonts w:ascii="Cambria" w:hAnsi="Cambria"/>
          <w:sz w:val="24"/>
          <w:szCs w:val="24"/>
        </w:rPr>
        <w:t>.</w:t>
      </w:r>
      <w:r w:rsidR="002A59EC" w:rsidRPr="009C3204">
        <w:rPr>
          <w:rFonts w:ascii="Cambria" w:hAnsi="Cambria"/>
          <w:sz w:val="24"/>
          <w:szCs w:val="24"/>
        </w:rPr>
        <w:t xml:space="preserve"> And of course, it is also a staple of the security revolution in tort.</w:t>
      </w:r>
      <w:r w:rsidR="00EA0732" w:rsidRPr="009C3204">
        <w:rPr>
          <w:rFonts w:ascii="Cambria" w:hAnsi="Cambria"/>
          <w:sz w:val="24"/>
          <w:szCs w:val="24"/>
        </w:rPr>
        <w:t xml:space="preserve"> Unlike the two other illustrations offered, it is not an area where new </w:t>
      </w:r>
      <w:r w:rsidR="00633278" w:rsidRPr="009C3204">
        <w:rPr>
          <w:rFonts w:ascii="Cambria" w:hAnsi="Cambria"/>
          <w:sz w:val="24"/>
          <w:szCs w:val="24"/>
        </w:rPr>
        <w:t xml:space="preserve">tort </w:t>
      </w:r>
      <w:r w:rsidR="00EA0732" w:rsidRPr="009C3204">
        <w:rPr>
          <w:rFonts w:ascii="Cambria" w:hAnsi="Cambria"/>
          <w:sz w:val="24"/>
          <w:szCs w:val="24"/>
        </w:rPr>
        <w:t xml:space="preserve">concepts are being </w:t>
      </w:r>
      <w:r w:rsidR="00633278" w:rsidRPr="009C3204">
        <w:rPr>
          <w:rFonts w:ascii="Cambria" w:hAnsi="Cambria"/>
          <w:sz w:val="24"/>
          <w:szCs w:val="24"/>
        </w:rPr>
        <w:t>generated</w:t>
      </w:r>
      <w:r w:rsidR="00460684" w:rsidRPr="009C3204">
        <w:rPr>
          <w:rFonts w:ascii="Cambria" w:hAnsi="Cambria"/>
          <w:sz w:val="24"/>
          <w:szCs w:val="24"/>
        </w:rPr>
        <w:t>, and on the face of things</w:t>
      </w:r>
      <w:r w:rsidR="002A59EC" w:rsidRPr="009C3204">
        <w:rPr>
          <w:rFonts w:ascii="Cambria" w:hAnsi="Cambria"/>
          <w:sz w:val="24"/>
          <w:szCs w:val="24"/>
        </w:rPr>
        <w:t>, in relation to its concepts</w:t>
      </w:r>
      <w:r w:rsidR="00460684" w:rsidRPr="009C3204">
        <w:rPr>
          <w:rFonts w:ascii="Cambria" w:hAnsi="Cambria"/>
          <w:sz w:val="24"/>
          <w:szCs w:val="24"/>
        </w:rPr>
        <w:t xml:space="preserve"> it is</w:t>
      </w:r>
      <w:r w:rsidR="00633278" w:rsidRPr="009C3204">
        <w:rPr>
          <w:rFonts w:ascii="Cambria" w:hAnsi="Cambria"/>
          <w:sz w:val="24"/>
          <w:szCs w:val="24"/>
        </w:rPr>
        <w:t xml:space="preserve"> stable</w:t>
      </w:r>
      <w:r w:rsidR="00CA160F" w:rsidRPr="009C3204">
        <w:rPr>
          <w:rFonts w:ascii="Cambria" w:hAnsi="Cambria"/>
          <w:sz w:val="24"/>
          <w:szCs w:val="24"/>
        </w:rPr>
        <w:t xml:space="preserve">. </w:t>
      </w:r>
      <w:r w:rsidR="00EA0732" w:rsidRPr="009C3204">
        <w:rPr>
          <w:rFonts w:ascii="Cambria" w:hAnsi="Cambria"/>
          <w:sz w:val="24"/>
          <w:szCs w:val="24"/>
        </w:rPr>
        <w:t>However</w:t>
      </w:r>
      <w:r w:rsidR="00460684" w:rsidRPr="009C3204">
        <w:rPr>
          <w:rFonts w:ascii="Cambria" w:hAnsi="Cambria"/>
          <w:sz w:val="24"/>
          <w:szCs w:val="24"/>
        </w:rPr>
        <w:t>, this area of tort</w:t>
      </w:r>
      <w:r w:rsidR="002A59EC" w:rsidRPr="009C3204">
        <w:rPr>
          <w:rFonts w:ascii="Cambria" w:hAnsi="Cambria"/>
          <w:sz w:val="24"/>
          <w:szCs w:val="24"/>
        </w:rPr>
        <w:t xml:space="preserve"> most</w:t>
      </w:r>
      <w:r w:rsidR="00CA160F" w:rsidRPr="009C3204">
        <w:rPr>
          <w:rFonts w:ascii="Cambria" w:hAnsi="Cambria"/>
          <w:sz w:val="24"/>
          <w:szCs w:val="24"/>
        </w:rPr>
        <w:t xml:space="preserve"> </w:t>
      </w:r>
      <w:r w:rsidR="005D40B7" w:rsidRPr="009C3204">
        <w:rPr>
          <w:rFonts w:ascii="Cambria" w:hAnsi="Cambria"/>
          <w:sz w:val="24"/>
          <w:szCs w:val="24"/>
        </w:rPr>
        <w:t xml:space="preserve">neatly </w:t>
      </w:r>
      <w:r w:rsidR="00CA160F" w:rsidRPr="009C3204">
        <w:rPr>
          <w:rFonts w:ascii="Cambria" w:hAnsi="Cambria"/>
          <w:sz w:val="24"/>
          <w:szCs w:val="24"/>
        </w:rPr>
        <w:t xml:space="preserve">exemplifies the themes of risk-based </w:t>
      </w:r>
      <w:r w:rsidR="00B9433C" w:rsidRPr="009C3204">
        <w:rPr>
          <w:rFonts w:ascii="Cambria" w:hAnsi="Cambria"/>
          <w:sz w:val="24"/>
          <w:szCs w:val="24"/>
        </w:rPr>
        <w:t xml:space="preserve">governance, and the layering of responsibility over structures designed to deliver security. </w:t>
      </w:r>
    </w:p>
    <w:p w14:paraId="3646FF07" w14:textId="33A4E080" w:rsidR="001E704B" w:rsidRPr="009C3204" w:rsidRDefault="00460684" w:rsidP="008E4509">
      <w:pPr>
        <w:spacing w:line="240" w:lineRule="auto"/>
        <w:jc w:val="both"/>
        <w:rPr>
          <w:rFonts w:ascii="Cambria" w:hAnsi="Cambria"/>
          <w:sz w:val="24"/>
          <w:szCs w:val="24"/>
        </w:rPr>
      </w:pPr>
      <w:r w:rsidRPr="009C3204">
        <w:rPr>
          <w:rFonts w:ascii="Cambria" w:hAnsi="Cambria"/>
          <w:sz w:val="24"/>
          <w:szCs w:val="24"/>
        </w:rPr>
        <w:t>Does</w:t>
      </w:r>
      <w:r w:rsidR="005D40B7" w:rsidRPr="009C3204">
        <w:rPr>
          <w:rFonts w:ascii="Cambria" w:hAnsi="Cambria"/>
          <w:sz w:val="24"/>
          <w:szCs w:val="24"/>
        </w:rPr>
        <w:t xml:space="preserve"> t</w:t>
      </w:r>
      <w:r w:rsidR="00B9433C" w:rsidRPr="009C3204">
        <w:rPr>
          <w:rFonts w:ascii="Cambria" w:hAnsi="Cambria"/>
          <w:sz w:val="24"/>
          <w:szCs w:val="24"/>
        </w:rPr>
        <w:t>he</w:t>
      </w:r>
      <w:r w:rsidR="00B86B5F" w:rsidRPr="009C3204">
        <w:rPr>
          <w:rFonts w:ascii="Cambria" w:hAnsi="Cambria"/>
          <w:sz w:val="24"/>
          <w:szCs w:val="24"/>
        </w:rPr>
        <w:t xml:space="preserve"> presence of compulsory liability insurance negate the individualised </w:t>
      </w:r>
      <w:r w:rsidR="000F3B90" w:rsidRPr="009C3204">
        <w:rPr>
          <w:rFonts w:ascii="Cambria" w:hAnsi="Cambria"/>
          <w:sz w:val="24"/>
          <w:szCs w:val="24"/>
        </w:rPr>
        <w:t>responsibility of negligent drivers, while preserving the</w:t>
      </w:r>
      <w:r w:rsidRPr="009C3204">
        <w:rPr>
          <w:rFonts w:ascii="Cambria" w:hAnsi="Cambria"/>
          <w:sz w:val="24"/>
          <w:szCs w:val="24"/>
        </w:rPr>
        <w:t xml:space="preserve"> security of the injured victim?</w:t>
      </w:r>
      <w:r w:rsidR="000F3B90" w:rsidRPr="009C3204">
        <w:rPr>
          <w:rFonts w:ascii="Cambria" w:hAnsi="Cambria"/>
          <w:sz w:val="24"/>
          <w:szCs w:val="24"/>
        </w:rPr>
        <w:t xml:space="preserve"> </w:t>
      </w:r>
      <w:r w:rsidR="002A59EC" w:rsidRPr="009C3204">
        <w:rPr>
          <w:rFonts w:ascii="Cambria" w:hAnsi="Cambria"/>
          <w:sz w:val="24"/>
          <w:szCs w:val="24"/>
        </w:rPr>
        <w:t>C</w:t>
      </w:r>
      <w:r w:rsidR="000F3B90" w:rsidRPr="009C3204">
        <w:rPr>
          <w:rFonts w:ascii="Cambria" w:hAnsi="Cambria"/>
          <w:sz w:val="24"/>
          <w:szCs w:val="24"/>
        </w:rPr>
        <w:t>ompulsory liability insurance is itself not a responsibility-free zone</w:t>
      </w:r>
      <w:r w:rsidR="00E1568C" w:rsidRPr="009C3204">
        <w:rPr>
          <w:rFonts w:ascii="Cambria" w:hAnsi="Cambria"/>
          <w:sz w:val="24"/>
          <w:szCs w:val="24"/>
        </w:rPr>
        <w:t>. Rather</w:t>
      </w:r>
      <w:r w:rsidR="000F3B90" w:rsidRPr="009C3204">
        <w:rPr>
          <w:rFonts w:ascii="Cambria" w:hAnsi="Cambria"/>
          <w:sz w:val="24"/>
          <w:szCs w:val="24"/>
        </w:rPr>
        <w:t xml:space="preserve">, </w:t>
      </w:r>
      <w:r w:rsidR="00E1568C" w:rsidRPr="009C3204">
        <w:rPr>
          <w:rFonts w:ascii="Cambria" w:hAnsi="Cambria"/>
          <w:sz w:val="24"/>
          <w:szCs w:val="24"/>
        </w:rPr>
        <w:t>it</w:t>
      </w:r>
      <w:r w:rsidR="000F3B90" w:rsidRPr="009C3204">
        <w:rPr>
          <w:rFonts w:ascii="Cambria" w:hAnsi="Cambria"/>
          <w:sz w:val="24"/>
          <w:szCs w:val="24"/>
        </w:rPr>
        <w:t xml:space="preserve"> </w:t>
      </w:r>
      <w:r w:rsidR="005D40B7" w:rsidRPr="009C3204">
        <w:rPr>
          <w:rFonts w:ascii="Cambria" w:hAnsi="Cambria"/>
          <w:sz w:val="24"/>
          <w:szCs w:val="24"/>
        </w:rPr>
        <w:t xml:space="preserve">inherently </w:t>
      </w:r>
      <w:r w:rsidR="000F3B90" w:rsidRPr="009C3204">
        <w:rPr>
          <w:rFonts w:ascii="Cambria" w:hAnsi="Cambria"/>
          <w:sz w:val="24"/>
          <w:szCs w:val="24"/>
        </w:rPr>
        <w:t xml:space="preserve">gives rise to a new responsibility, namely to insure. </w:t>
      </w:r>
      <w:r w:rsidR="00A43ED9" w:rsidRPr="009C3204">
        <w:rPr>
          <w:rFonts w:ascii="Cambria" w:hAnsi="Cambria"/>
          <w:sz w:val="24"/>
          <w:szCs w:val="24"/>
        </w:rPr>
        <w:t xml:space="preserve">This </w:t>
      </w:r>
      <w:r w:rsidRPr="009C3204">
        <w:rPr>
          <w:rFonts w:ascii="Cambria" w:hAnsi="Cambria"/>
          <w:sz w:val="24"/>
          <w:szCs w:val="24"/>
        </w:rPr>
        <w:t xml:space="preserve">responsibility is keenly enforced and promoted, not surprisingly, by </w:t>
      </w:r>
      <w:r w:rsidR="00A43ED9" w:rsidRPr="009C3204">
        <w:rPr>
          <w:rFonts w:ascii="Cambria" w:hAnsi="Cambria"/>
          <w:sz w:val="24"/>
          <w:szCs w:val="24"/>
        </w:rPr>
        <w:t>insurers</w:t>
      </w:r>
      <w:r w:rsidRPr="009C3204">
        <w:rPr>
          <w:rFonts w:ascii="Cambria" w:hAnsi="Cambria"/>
          <w:sz w:val="24"/>
          <w:szCs w:val="24"/>
        </w:rPr>
        <w:t>.</w:t>
      </w:r>
      <w:r w:rsidR="00A43ED9" w:rsidRPr="009C3204">
        <w:rPr>
          <w:rFonts w:ascii="Cambria" w:hAnsi="Cambria"/>
          <w:sz w:val="24"/>
          <w:szCs w:val="24"/>
        </w:rPr>
        <w:t xml:space="preserve"> </w:t>
      </w:r>
      <w:r w:rsidRPr="009C3204">
        <w:rPr>
          <w:rFonts w:ascii="Cambria" w:hAnsi="Cambria"/>
          <w:sz w:val="24"/>
          <w:szCs w:val="24"/>
        </w:rPr>
        <w:t>In this context, t</w:t>
      </w:r>
      <w:r w:rsidR="000F3B90" w:rsidRPr="009C3204">
        <w:rPr>
          <w:rFonts w:ascii="Cambria" w:hAnsi="Cambria"/>
          <w:sz w:val="24"/>
          <w:szCs w:val="24"/>
        </w:rPr>
        <w:t xml:space="preserve">he </w:t>
      </w:r>
      <w:r w:rsidR="0057658D" w:rsidRPr="009C3204">
        <w:rPr>
          <w:rFonts w:ascii="Cambria" w:hAnsi="Cambria"/>
          <w:sz w:val="24"/>
          <w:szCs w:val="24"/>
        </w:rPr>
        <w:t xml:space="preserve">‘public’ </w:t>
      </w:r>
      <w:r w:rsidR="000F3B90" w:rsidRPr="009C3204">
        <w:rPr>
          <w:rFonts w:ascii="Cambria" w:hAnsi="Cambria"/>
          <w:sz w:val="24"/>
          <w:szCs w:val="24"/>
        </w:rPr>
        <w:t xml:space="preserve">role of insurers in delivering </w:t>
      </w:r>
      <w:r w:rsidR="0057658D" w:rsidRPr="009C3204">
        <w:rPr>
          <w:rFonts w:ascii="Cambria" w:hAnsi="Cambria"/>
          <w:sz w:val="24"/>
          <w:szCs w:val="24"/>
        </w:rPr>
        <w:t xml:space="preserve">a policy of </w:t>
      </w:r>
      <w:r w:rsidR="000F3B90" w:rsidRPr="009C3204">
        <w:rPr>
          <w:rFonts w:ascii="Cambria" w:hAnsi="Cambria"/>
          <w:sz w:val="24"/>
          <w:szCs w:val="24"/>
        </w:rPr>
        <w:t>security is plain: road traffic insurance must comply with the stringent statutory requirements; and the cases of uninsured and untraced drivers are governed by agreements between insurers and the state.</w:t>
      </w:r>
      <w:r w:rsidR="0057658D" w:rsidRPr="009C3204">
        <w:rPr>
          <w:rStyle w:val="FootnoteReference"/>
          <w:rFonts w:ascii="Cambria" w:hAnsi="Cambria"/>
          <w:sz w:val="24"/>
          <w:szCs w:val="24"/>
        </w:rPr>
        <w:footnoteReference w:id="92"/>
      </w:r>
      <w:r w:rsidR="000F3B90" w:rsidRPr="009C3204">
        <w:rPr>
          <w:rFonts w:ascii="Cambria" w:hAnsi="Cambria"/>
          <w:sz w:val="24"/>
          <w:szCs w:val="24"/>
        </w:rPr>
        <w:t xml:space="preserve"> The public policy goal of delivering security through the </w:t>
      </w:r>
      <w:r w:rsidR="0057658D" w:rsidRPr="009C3204">
        <w:rPr>
          <w:rFonts w:ascii="Cambria" w:hAnsi="Cambria"/>
          <w:sz w:val="24"/>
          <w:szCs w:val="24"/>
        </w:rPr>
        <w:t xml:space="preserve">insurance </w:t>
      </w:r>
      <w:r w:rsidR="000F3B90" w:rsidRPr="009C3204">
        <w:rPr>
          <w:rFonts w:ascii="Cambria" w:hAnsi="Cambria"/>
          <w:sz w:val="24"/>
          <w:szCs w:val="24"/>
        </w:rPr>
        <w:t xml:space="preserve">market </w:t>
      </w:r>
      <w:r w:rsidR="0057658D" w:rsidRPr="009C3204">
        <w:rPr>
          <w:rFonts w:ascii="Cambria" w:hAnsi="Cambria"/>
          <w:sz w:val="24"/>
          <w:szCs w:val="24"/>
        </w:rPr>
        <w:t xml:space="preserve">in this context </w:t>
      </w:r>
      <w:r w:rsidR="000F3B90" w:rsidRPr="009C3204">
        <w:rPr>
          <w:rFonts w:ascii="Cambria" w:hAnsi="Cambria"/>
          <w:sz w:val="24"/>
          <w:szCs w:val="24"/>
        </w:rPr>
        <w:t xml:space="preserve">is plain, and can be compared with the provision of flood insurance in the era of </w:t>
      </w:r>
      <w:r w:rsidR="00A43ED9" w:rsidRPr="009C3204">
        <w:rPr>
          <w:rFonts w:ascii="Cambria" w:hAnsi="Cambria"/>
          <w:sz w:val="24"/>
          <w:szCs w:val="24"/>
        </w:rPr>
        <w:t xml:space="preserve">intensified </w:t>
      </w:r>
      <w:r w:rsidR="000F3B90" w:rsidRPr="009C3204">
        <w:rPr>
          <w:rFonts w:ascii="Cambria" w:hAnsi="Cambria"/>
          <w:sz w:val="24"/>
          <w:szCs w:val="24"/>
        </w:rPr>
        <w:t xml:space="preserve">flooding events. In return, both in </w:t>
      </w:r>
      <w:r w:rsidR="00D74C17" w:rsidRPr="009C3204">
        <w:rPr>
          <w:rFonts w:ascii="Cambria" w:hAnsi="Cambria"/>
          <w:sz w:val="24"/>
          <w:szCs w:val="24"/>
        </w:rPr>
        <w:t xml:space="preserve">the case of </w:t>
      </w:r>
      <w:r w:rsidR="000F3B90" w:rsidRPr="009C3204">
        <w:rPr>
          <w:rFonts w:ascii="Cambria" w:hAnsi="Cambria"/>
          <w:sz w:val="24"/>
          <w:szCs w:val="24"/>
        </w:rPr>
        <w:t>road traffic and in</w:t>
      </w:r>
      <w:r w:rsidR="00D74C17" w:rsidRPr="009C3204">
        <w:rPr>
          <w:rFonts w:ascii="Cambria" w:hAnsi="Cambria"/>
          <w:sz w:val="24"/>
          <w:szCs w:val="24"/>
        </w:rPr>
        <w:t xml:space="preserve"> the case of</w:t>
      </w:r>
      <w:r w:rsidR="000F3B90" w:rsidRPr="009C3204">
        <w:rPr>
          <w:rFonts w:ascii="Cambria" w:hAnsi="Cambria"/>
          <w:sz w:val="24"/>
          <w:szCs w:val="24"/>
        </w:rPr>
        <w:t xml:space="preserve"> flooding, insurers are important contributors to policy debates.</w:t>
      </w:r>
      <w:r w:rsidR="00E47C31" w:rsidRPr="009C3204">
        <w:rPr>
          <w:rFonts w:ascii="Cambria" w:hAnsi="Cambria"/>
          <w:sz w:val="24"/>
          <w:szCs w:val="24"/>
        </w:rPr>
        <w:t xml:space="preserve"> At the same time, </w:t>
      </w:r>
      <w:r w:rsidR="00E1568C" w:rsidRPr="009C3204">
        <w:rPr>
          <w:rFonts w:ascii="Cambria" w:hAnsi="Cambria"/>
          <w:sz w:val="24"/>
          <w:szCs w:val="24"/>
        </w:rPr>
        <w:t xml:space="preserve">motor </w:t>
      </w:r>
      <w:r w:rsidR="00E47C31" w:rsidRPr="009C3204">
        <w:rPr>
          <w:rFonts w:ascii="Cambria" w:hAnsi="Cambria"/>
          <w:sz w:val="24"/>
          <w:szCs w:val="24"/>
        </w:rPr>
        <w:t>insurers seek to influence behaviour directly, for example through creating information about uninsured drivers and passing relevant information to police forces. One such strategy deploys the law of tort itself. Increas</w:t>
      </w:r>
      <w:r w:rsidR="00CB6B43" w:rsidRPr="009C3204">
        <w:rPr>
          <w:rFonts w:ascii="Cambria" w:hAnsi="Cambria"/>
          <w:sz w:val="24"/>
          <w:szCs w:val="24"/>
        </w:rPr>
        <w:t xml:space="preserve">ingly in recent years, the </w:t>
      </w:r>
      <w:r w:rsidR="00F254A3" w:rsidRPr="009C3204">
        <w:rPr>
          <w:rFonts w:ascii="Cambria" w:hAnsi="Cambria"/>
          <w:sz w:val="24"/>
          <w:szCs w:val="24"/>
        </w:rPr>
        <w:t>Motor Insurers’ Bureau</w:t>
      </w:r>
      <w:r w:rsidR="00CB6B43" w:rsidRPr="009C3204">
        <w:rPr>
          <w:rFonts w:ascii="Cambria" w:hAnsi="Cambria"/>
          <w:sz w:val="24"/>
          <w:szCs w:val="24"/>
        </w:rPr>
        <w:t xml:space="preserve"> —</w:t>
      </w:r>
      <w:r w:rsidR="00E47C31" w:rsidRPr="009C3204">
        <w:rPr>
          <w:rFonts w:ascii="Cambria" w:hAnsi="Cambria"/>
          <w:sz w:val="24"/>
          <w:szCs w:val="24"/>
        </w:rPr>
        <w:t xml:space="preserve"> which is responsible for compensating the victims of torts on the part of </w:t>
      </w:r>
      <w:r w:rsidR="00CB6B43" w:rsidRPr="009C3204">
        <w:rPr>
          <w:rFonts w:ascii="Cambria" w:hAnsi="Cambria"/>
          <w:sz w:val="24"/>
          <w:szCs w:val="24"/>
        </w:rPr>
        <w:t>uninsured and untraced drivers —</w:t>
      </w:r>
      <w:r w:rsidR="00E47C31" w:rsidRPr="009C3204">
        <w:rPr>
          <w:rFonts w:ascii="Cambria" w:hAnsi="Cambria"/>
          <w:sz w:val="24"/>
          <w:szCs w:val="24"/>
        </w:rPr>
        <w:t xml:space="preserve"> has included in its strategy the pursuit of uninsured </w:t>
      </w:r>
      <w:proofErr w:type="spellStart"/>
      <w:r w:rsidR="00E47C31" w:rsidRPr="009C3204">
        <w:rPr>
          <w:rFonts w:ascii="Cambria" w:hAnsi="Cambria"/>
          <w:sz w:val="24"/>
          <w:szCs w:val="24"/>
        </w:rPr>
        <w:t>tortfeasors</w:t>
      </w:r>
      <w:proofErr w:type="spellEnd"/>
      <w:r w:rsidR="00E47C31" w:rsidRPr="009C3204">
        <w:rPr>
          <w:rFonts w:ascii="Cambria" w:hAnsi="Cambria"/>
          <w:sz w:val="24"/>
          <w:szCs w:val="24"/>
        </w:rPr>
        <w:t>.</w:t>
      </w:r>
      <w:r w:rsidR="002A59EC" w:rsidRPr="009C3204">
        <w:rPr>
          <w:rStyle w:val="FootnoteReference"/>
          <w:rFonts w:ascii="Cambria" w:hAnsi="Cambria"/>
          <w:sz w:val="24"/>
          <w:szCs w:val="24"/>
        </w:rPr>
        <w:footnoteReference w:id="93"/>
      </w:r>
      <w:r w:rsidR="00E47C31" w:rsidRPr="009C3204">
        <w:rPr>
          <w:rFonts w:ascii="Cambria" w:hAnsi="Cambria"/>
          <w:sz w:val="24"/>
          <w:szCs w:val="24"/>
        </w:rPr>
        <w:t xml:space="preserve"> As in other areas, insurers may </w:t>
      </w:r>
      <w:r w:rsidR="00A43ED9" w:rsidRPr="009C3204">
        <w:rPr>
          <w:rFonts w:ascii="Cambria" w:hAnsi="Cambria"/>
          <w:sz w:val="24"/>
          <w:szCs w:val="24"/>
        </w:rPr>
        <w:t xml:space="preserve">thus </w:t>
      </w:r>
      <w:r w:rsidR="00E47C31" w:rsidRPr="009C3204">
        <w:rPr>
          <w:rFonts w:ascii="Cambria" w:hAnsi="Cambria"/>
          <w:sz w:val="24"/>
          <w:szCs w:val="24"/>
        </w:rPr>
        <w:t xml:space="preserve">be among the key promoters of </w:t>
      </w:r>
      <w:r w:rsidR="00E47C31" w:rsidRPr="009C3204">
        <w:rPr>
          <w:rFonts w:ascii="Cambria" w:hAnsi="Cambria"/>
          <w:sz w:val="24"/>
          <w:szCs w:val="24"/>
        </w:rPr>
        <w:lastRenderedPageBreak/>
        <w:t>‘responsibility’ in the law of liability</w:t>
      </w:r>
      <w:r w:rsidR="00601437" w:rsidRPr="009C3204">
        <w:rPr>
          <w:rFonts w:ascii="Cambria" w:hAnsi="Cambria"/>
          <w:sz w:val="24"/>
          <w:szCs w:val="24"/>
        </w:rPr>
        <w:t>.</w:t>
      </w:r>
      <w:r w:rsidR="002A59EC" w:rsidRPr="009C3204">
        <w:rPr>
          <w:rStyle w:val="FootnoteReference"/>
          <w:rFonts w:ascii="Cambria" w:hAnsi="Cambria"/>
          <w:sz w:val="24"/>
          <w:szCs w:val="24"/>
        </w:rPr>
        <w:footnoteReference w:id="94"/>
      </w:r>
      <w:r w:rsidR="00601437" w:rsidRPr="009C3204">
        <w:rPr>
          <w:rFonts w:ascii="Cambria" w:hAnsi="Cambria"/>
          <w:sz w:val="24"/>
          <w:szCs w:val="24"/>
        </w:rPr>
        <w:t xml:space="preserve"> The</w:t>
      </w:r>
      <w:r w:rsidR="00A43ED9" w:rsidRPr="009C3204">
        <w:rPr>
          <w:rFonts w:ascii="Cambria" w:hAnsi="Cambria"/>
          <w:sz w:val="24"/>
          <w:szCs w:val="24"/>
        </w:rPr>
        <w:t xml:space="preserve"> nature of responsibility here is </w:t>
      </w:r>
      <w:r w:rsidR="00601437" w:rsidRPr="009C3204">
        <w:rPr>
          <w:rFonts w:ascii="Cambria" w:hAnsi="Cambria"/>
          <w:sz w:val="24"/>
          <w:szCs w:val="24"/>
        </w:rPr>
        <w:t xml:space="preserve">however </w:t>
      </w:r>
      <w:r w:rsidR="00A43ED9" w:rsidRPr="009C3204">
        <w:rPr>
          <w:rFonts w:ascii="Cambria" w:hAnsi="Cambria"/>
          <w:sz w:val="24"/>
          <w:szCs w:val="24"/>
        </w:rPr>
        <w:t xml:space="preserve">directly </w:t>
      </w:r>
      <w:r w:rsidR="00E1568C" w:rsidRPr="009C3204">
        <w:rPr>
          <w:rFonts w:ascii="Cambria" w:hAnsi="Cambria"/>
          <w:sz w:val="24"/>
          <w:szCs w:val="24"/>
        </w:rPr>
        <w:t xml:space="preserve">derived from and </w:t>
      </w:r>
      <w:r w:rsidR="00A43ED9" w:rsidRPr="009C3204">
        <w:rPr>
          <w:rFonts w:ascii="Cambria" w:hAnsi="Cambria"/>
          <w:sz w:val="24"/>
          <w:szCs w:val="24"/>
        </w:rPr>
        <w:t xml:space="preserve">oriented to </w:t>
      </w:r>
      <w:r w:rsidR="00E1568C" w:rsidRPr="009C3204">
        <w:rPr>
          <w:rFonts w:ascii="Cambria" w:hAnsi="Cambria"/>
          <w:sz w:val="24"/>
          <w:szCs w:val="24"/>
        </w:rPr>
        <w:t xml:space="preserve">the need to promote </w:t>
      </w:r>
      <w:r w:rsidR="00A43ED9" w:rsidRPr="009C3204">
        <w:rPr>
          <w:rFonts w:ascii="Cambria" w:hAnsi="Cambria"/>
          <w:sz w:val="24"/>
          <w:szCs w:val="24"/>
        </w:rPr>
        <w:t>security</w:t>
      </w:r>
      <w:r w:rsidR="00E47C31" w:rsidRPr="009C3204">
        <w:rPr>
          <w:rFonts w:ascii="Cambria" w:hAnsi="Cambria"/>
          <w:sz w:val="24"/>
          <w:szCs w:val="24"/>
        </w:rPr>
        <w:t>.</w:t>
      </w:r>
    </w:p>
    <w:p w14:paraId="0920C141" w14:textId="4B1AF1CB" w:rsidR="000964C9" w:rsidRPr="009C3204" w:rsidRDefault="00900515" w:rsidP="008E4509">
      <w:pPr>
        <w:pStyle w:val="ListParagraph"/>
        <w:numPr>
          <w:ilvl w:val="0"/>
          <w:numId w:val="3"/>
        </w:numPr>
        <w:spacing w:line="240" w:lineRule="auto"/>
        <w:jc w:val="both"/>
        <w:rPr>
          <w:rFonts w:ascii="Cambria" w:hAnsi="Cambria"/>
          <w:b/>
          <w:sz w:val="24"/>
          <w:szCs w:val="24"/>
        </w:rPr>
      </w:pPr>
      <w:r w:rsidRPr="009C3204">
        <w:rPr>
          <w:rFonts w:ascii="Cambria" w:hAnsi="Cambria"/>
          <w:b/>
          <w:sz w:val="24"/>
          <w:szCs w:val="24"/>
        </w:rPr>
        <w:t>Conclusions:</w:t>
      </w:r>
      <w:r w:rsidR="001C3598" w:rsidRPr="009C3204">
        <w:rPr>
          <w:rFonts w:ascii="Cambria" w:hAnsi="Cambria"/>
          <w:b/>
          <w:sz w:val="24"/>
          <w:szCs w:val="24"/>
        </w:rPr>
        <w:t xml:space="preserve"> revolution upon revolution</w:t>
      </w:r>
      <w:r w:rsidRPr="009C3204">
        <w:rPr>
          <w:rFonts w:ascii="Cambria" w:hAnsi="Cambria"/>
          <w:b/>
          <w:sz w:val="24"/>
          <w:szCs w:val="24"/>
        </w:rPr>
        <w:t>?</w:t>
      </w:r>
    </w:p>
    <w:p w14:paraId="71B2293C" w14:textId="1AB569CC" w:rsidR="00E37F1B" w:rsidRPr="009C3204" w:rsidRDefault="00CB6B43" w:rsidP="008E4509">
      <w:pPr>
        <w:spacing w:line="240" w:lineRule="auto"/>
        <w:jc w:val="both"/>
        <w:rPr>
          <w:rFonts w:ascii="Cambria" w:hAnsi="Cambria"/>
          <w:sz w:val="24"/>
          <w:szCs w:val="24"/>
        </w:rPr>
      </w:pPr>
      <w:r w:rsidRPr="009C3204">
        <w:rPr>
          <w:rFonts w:ascii="Cambria" w:hAnsi="Cambria"/>
          <w:sz w:val="24"/>
          <w:szCs w:val="24"/>
        </w:rPr>
        <w:t>The two phenomena explored —</w:t>
      </w:r>
      <w:r w:rsidR="007B433A" w:rsidRPr="009C3204">
        <w:rPr>
          <w:rFonts w:ascii="Cambria" w:hAnsi="Cambria"/>
          <w:sz w:val="24"/>
          <w:szCs w:val="24"/>
        </w:rPr>
        <w:t xml:space="preserve"> the security </w:t>
      </w:r>
      <w:proofErr w:type="gramStart"/>
      <w:r w:rsidR="007B433A" w:rsidRPr="009C3204">
        <w:rPr>
          <w:rFonts w:ascii="Cambria" w:hAnsi="Cambria"/>
          <w:sz w:val="24"/>
          <w:szCs w:val="24"/>
        </w:rPr>
        <w:t xml:space="preserve">revolution, and </w:t>
      </w:r>
      <w:r w:rsidR="00AB5DAA" w:rsidRPr="009C3204">
        <w:rPr>
          <w:rFonts w:ascii="Cambria" w:hAnsi="Cambria"/>
          <w:sz w:val="24"/>
          <w:szCs w:val="24"/>
        </w:rPr>
        <w:t xml:space="preserve">apparent </w:t>
      </w:r>
      <w:r w:rsidR="007B433A" w:rsidRPr="009C3204">
        <w:rPr>
          <w:rFonts w:ascii="Cambria" w:hAnsi="Cambria"/>
          <w:sz w:val="24"/>
          <w:szCs w:val="24"/>
        </w:rPr>
        <w:t>reversal of the wheel toward responsibility</w:t>
      </w:r>
      <w:r w:rsidR="00E1568C" w:rsidRPr="009C3204">
        <w:rPr>
          <w:rFonts w:ascii="Cambria" w:hAnsi="Cambria"/>
          <w:sz w:val="24"/>
          <w:szCs w:val="24"/>
        </w:rPr>
        <w:t xml:space="preserve"> </w:t>
      </w:r>
      <w:r w:rsidR="00B15631">
        <w:rPr>
          <w:rFonts w:ascii="Cambria" w:hAnsi="Cambria"/>
          <w:sz w:val="24"/>
          <w:szCs w:val="24"/>
        </w:rPr>
        <w:t xml:space="preserve">in the era of </w:t>
      </w:r>
      <w:r w:rsidR="00E1568C" w:rsidRPr="009C3204">
        <w:rPr>
          <w:rFonts w:ascii="Cambria" w:hAnsi="Cambria"/>
          <w:sz w:val="24"/>
          <w:szCs w:val="24"/>
        </w:rPr>
        <w:t>new forms of governance and regulation</w:t>
      </w:r>
      <w:r w:rsidR="007B433A" w:rsidRPr="009C3204">
        <w:rPr>
          <w:rFonts w:ascii="Cambria" w:hAnsi="Cambria"/>
          <w:sz w:val="24"/>
          <w:szCs w:val="24"/>
        </w:rPr>
        <w:t xml:space="preserve"> </w:t>
      </w:r>
      <w:r w:rsidRPr="009C3204">
        <w:rPr>
          <w:rFonts w:ascii="Cambria" w:hAnsi="Cambria"/>
          <w:sz w:val="24"/>
          <w:szCs w:val="24"/>
        </w:rPr>
        <w:t>—</w:t>
      </w:r>
      <w:proofErr w:type="gramEnd"/>
      <w:r w:rsidR="007B433A" w:rsidRPr="009C3204">
        <w:rPr>
          <w:rFonts w:ascii="Cambria" w:hAnsi="Cambria"/>
          <w:sz w:val="24"/>
          <w:szCs w:val="24"/>
        </w:rPr>
        <w:t xml:space="preserve"> </w:t>
      </w:r>
      <w:r w:rsidR="000964C9" w:rsidRPr="009C3204">
        <w:rPr>
          <w:rFonts w:ascii="Cambria" w:hAnsi="Cambria"/>
          <w:sz w:val="24"/>
          <w:szCs w:val="24"/>
        </w:rPr>
        <w:t>have left complex relationship</w:t>
      </w:r>
      <w:r w:rsidR="000551EC" w:rsidRPr="009C3204">
        <w:rPr>
          <w:rFonts w:ascii="Cambria" w:hAnsi="Cambria"/>
          <w:sz w:val="24"/>
          <w:szCs w:val="24"/>
        </w:rPr>
        <w:t>s</w:t>
      </w:r>
      <w:r w:rsidR="000964C9" w:rsidRPr="009C3204">
        <w:rPr>
          <w:rFonts w:ascii="Cambria" w:hAnsi="Cambria"/>
          <w:sz w:val="24"/>
          <w:szCs w:val="24"/>
        </w:rPr>
        <w:t xml:space="preserve"> between security</w:t>
      </w:r>
      <w:r w:rsidR="000551EC" w:rsidRPr="009C3204">
        <w:rPr>
          <w:rFonts w:ascii="Cambria" w:hAnsi="Cambria"/>
          <w:sz w:val="24"/>
          <w:szCs w:val="24"/>
        </w:rPr>
        <w:t xml:space="preserve"> and</w:t>
      </w:r>
      <w:r w:rsidR="000964C9" w:rsidRPr="009C3204">
        <w:rPr>
          <w:rFonts w:ascii="Cambria" w:hAnsi="Cambria"/>
          <w:sz w:val="24"/>
          <w:szCs w:val="24"/>
        </w:rPr>
        <w:t xml:space="preserve"> distribution, and </w:t>
      </w:r>
      <w:r w:rsidR="000551EC" w:rsidRPr="009C3204">
        <w:rPr>
          <w:rFonts w:ascii="Cambria" w:hAnsi="Cambria"/>
          <w:sz w:val="24"/>
          <w:szCs w:val="24"/>
        </w:rPr>
        <w:t xml:space="preserve">between </w:t>
      </w:r>
      <w:r w:rsidR="000964C9" w:rsidRPr="009C3204">
        <w:rPr>
          <w:rFonts w:ascii="Cambria" w:hAnsi="Cambria"/>
          <w:sz w:val="24"/>
          <w:szCs w:val="24"/>
        </w:rPr>
        <w:t>liability</w:t>
      </w:r>
      <w:r w:rsidR="000551EC" w:rsidRPr="009C3204">
        <w:rPr>
          <w:rFonts w:ascii="Cambria" w:hAnsi="Cambria"/>
          <w:sz w:val="24"/>
          <w:szCs w:val="24"/>
        </w:rPr>
        <w:t xml:space="preserve"> and</w:t>
      </w:r>
      <w:r w:rsidR="000964C9" w:rsidRPr="009C3204">
        <w:rPr>
          <w:rFonts w:ascii="Cambria" w:hAnsi="Cambria"/>
          <w:sz w:val="24"/>
          <w:szCs w:val="24"/>
        </w:rPr>
        <w:t xml:space="preserve"> responsibility, which </w:t>
      </w:r>
      <w:r w:rsidR="000551EC" w:rsidRPr="009C3204">
        <w:rPr>
          <w:rFonts w:ascii="Cambria" w:hAnsi="Cambria"/>
          <w:sz w:val="24"/>
          <w:szCs w:val="24"/>
        </w:rPr>
        <w:t>are</w:t>
      </w:r>
      <w:r w:rsidR="000964C9" w:rsidRPr="009C3204">
        <w:rPr>
          <w:rFonts w:ascii="Cambria" w:hAnsi="Cambria"/>
          <w:sz w:val="24"/>
          <w:szCs w:val="24"/>
        </w:rPr>
        <w:t xml:space="preserve"> likely to have both affected private law, and to have invoked private law in arriving at the current balance. </w:t>
      </w:r>
      <w:r w:rsidR="001C3598" w:rsidRPr="009C3204">
        <w:rPr>
          <w:rFonts w:ascii="Cambria" w:hAnsi="Cambria"/>
          <w:sz w:val="24"/>
          <w:szCs w:val="24"/>
        </w:rPr>
        <w:t xml:space="preserve">As argued earlier, </w:t>
      </w:r>
      <w:r w:rsidR="00083658" w:rsidRPr="009C3204">
        <w:rPr>
          <w:rFonts w:ascii="Cambria" w:hAnsi="Cambria"/>
          <w:sz w:val="24"/>
          <w:szCs w:val="24"/>
        </w:rPr>
        <w:t xml:space="preserve">what has been learned and achieved through the initial risk revolution could </w:t>
      </w:r>
      <w:r w:rsidR="00E1568C" w:rsidRPr="009C3204">
        <w:rPr>
          <w:rFonts w:ascii="Cambria" w:hAnsi="Cambria"/>
          <w:sz w:val="24"/>
          <w:szCs w:val="24"/>
        </w:rPr>
        <w:t xml:space="preserve">not </w:t>
      </w:r>
      <w:r w:rsidR="00083658" w:rsidRPr="009C3204">
        <w:rPr>
          <w:rFonts w:ascii="Cambria" w:hAnsi="Cambria"/>
          <w:sz w:val="24"/>
          <w:szCs w:val="24"/>
        </w:rPr>
        <w:t>fail to influence the present shape of the law</w:t>
      </w:r>
      <w:r w:rsidR="001C3598" w:rsidRPr="009C3204">
        <w:rPr>
          <w:rFonts w:ascii="Cambria" w:hAnsi="Cambria"/>
          <w:sz w:val="24"/>
          <w:szCs w:val="24"/>
        </w:rPr>
        <w:t xml:space="preserve">. </w:t>
      </w:r>
      <w:r w:rsidR="00100A19" w:rsidRPr="009C3204">
        <w:rPr>
          <w:rFonts w:ascii="Cambria" w:hAnsi="Cambria"/>
          <w:sz w:val="24"/>
          <w:szCs w:val="24"/>
        </w:rPr>
        <w:t>‘Security’ is sti</w:t>
      </w:r>
      <w:r w:rsidRPr="009C3204">
        <w:rPr>
          <w:rFonts w:ascii="Cambria" w:hAnsi="Cambria"/>
          <w:sz w:val="24"/>
          <w:szCs w:val="24"/>
        </w:rPr>
        <w:t>ll a working goal and ambition —</w:t>
      </w:r>
      <w:r w:rsidR="00100A19" w:rsidRPr="009C3204">
        <w:rPr>
          <w:rFonts w:ascii="Cambria" w:hAnsi="Cambria"/>
          <w:sz w:val="24"/>
          <w:szCs w:val="24"/>
        </w:rPr>
        <w:t xml:space="preserve"> it is not being given up. But the </w:t>
      </w:r>
      <w:r w:rsidR="00100A19" w:rsidRPr="009C3204">
        <w:rPr>
          <w:rFonts w:ascii="Cambria" w:hAnsi="Cambria"/>
          <w:i/>
          <w:sz w:val="24"/>
          <w:szCs w:val="24"/>
        </w:rPr>
        <w:t>cost</w:t>
      </w:r>
      <w:r w:rsidR="00100A19" w:rsidRPr="009C3204">
        <w:rPr>
          <w:rFonts w:ascii="Cambria" w:hAnsi="Cambria"/>
          <w:sz w:val="24"/>
          <w:szCs w:val="24"/>
        </w:rPr>
        <w:t xml:space="preserve"> of security is increasingly in issue. This is as true of costs regimes and the provision of private law as a ‘resource’, as of any other aspect of the structures reviewed here.</w:t>
      </w:r>
    </w:p>
    <w:p w14:paraId="23E11FD2" w14:textId="5D23AD80" w:rsidR="0057658D" w:rsidRPr="009C3204" w:rsidRDefault="00C8629F" w:rsidP="008E4509">
      <w:pPr>
        <w:spacing w:line="240" w:lineRule="auto"/>
        <w:jc w:val="both"/>
        <w:rPr>
          <w:rFonts w:ascii="Cambria" w:hAnsi="Cambria"/>
          <w:sz w:val="24"/>
          <w:szCs w:val="24"/>
        </w:rPr>
      </w:pPr>
      <w:r w:rsidRPr="009C3204">
        <w:rPr>
          <w:rFonts w:ascii="Cambria" w:hAnsi="Cambria"/>
          <w:sz w:val="24"/>
          <w:szCs w:val="24"/>
        </w:rPr>
        <w:t xml:space="preserve">The new era might seem to represent the triumph of truly ‘private’ law over a conception of the field as increasingly socialised. </w:t>
      </w:r>
      <w:r w:rsidR="007910BE" w:rsidRPr="009C3204">
        <w:rPr>
          <w:rFonts w:ascii="Cambria" w:hAnsi="Cambria"/>
          <w:sz w:val="24"/>
          <w:szCs w:val="24"/>
        </w:rPr>
        <w:t>I</w:t>
      </w:r>
      <w:r w:rsidR="0057658D" w:rsidRPr="009C3204">
        <w:rPr>
          <w:rFonts w:ascii="Cambria" w:hAnsi="Cambria"/>
          <w:sz w:val="24"/>
          <w:szCs w:val="24"/>
        </w:rPr>
        <w:t>f this is so</w:t>
      </w:r>
      <w:r w:rsidR="00B15631">
        <w:rPr>
          <w:rFonts w:ascii="Cambria" w:hAnsi="Cambria"/>
          <w:sz w:val="24"/>
          <w:szCs w:val="24"/>
        </w:rPr>
        <w:t>, the key issue</w:t>
      </w:r>
      <w:r w:rsidR="0057658D" w:rsidRPr="009C3204">
        <w:rPr>
          <w:rFonts w:ascii="Cambria" w:hAnsi="Cambria"/>
          <w:sz w:val="24"/>
          <w:szCs w:val="24"/>
        </w:rPr>
        <w:t xml:space="preserve"> </w:t>
      </w:r>
      <w:r w:rsidR="003F31FE" w:rsidRPr="009C3204">
        <w:rPr>
          <w:rFonts w:ascii="Cambria" w:hAnsi="Cambria"/>
          <w:sz w:val="24"/>
          <w:szCs w:val="24"/>
        </w:rPr>
        <w:t xml:space="preserve">might not be about changes in (internal) </w:t>
      </w:r>
      <w:r w:rsidR="00A43ED9" w:rsidRPr="009C3204">
        <w:rPr>
          <w:rFonts w:ascii="Cambria" w:hAnsi="Cambria"/>
          <w:sz w:val="24"/>
          <w:szCs w:val="24"/>
        </w:rPr>
        <w:t>academic fashion, but about changes in the contex</w:t>
      </w:r>
      <w:r w:rsidR="00E1568C" w:rsidRPr="009C3204">
        <w:rPr>
          <w:rFonts w:ascii="Cambria" w:hAnsi="Cambria"/>
          <w:sz w:val="24"/>
          <w:szCs w:val="24"/>
        </w:rPr>
        <w:t xml:space="preserve">t of private law. </w:t>
      </w:r>
      <w:r w:rsidR="007910BE" w:rsidRPr="009C3204">
        <w:rPr>
          <w:rFonts w:ascii="Cambria" w:hAnsi="Cambria"/>
          <w:sz w:val="24"/>
          <w:szCs w:val="24"/>
        </w:rPr>
        <w:t>However, i</w:t>
      </w:r>
      <w:r w:rsidR="00A43ED9" w:rsidRPr="009C3204">
        <w:rPr>
          <w:rFonts w:ascii="Cambria" w:hAnsi="Cambria"/>
          <w:sz w:val="24"/>
          <w:szCs w:val="24"/>
        </w:rPr>
        <w:t>t has been suggested that this</w:t>
      </w:r>
      <w:r w:rsidRPr="009C3204">
        <w:rPr>
          <w:rFonts w:ascii="Cambria" w:hAnsi="Cambria"/>
          <w:sz w:val="24"/>
          <w:szCs w:val="24"/>
        </w:rPr>
        <w:t xml:space="preserve"> is</w:t>
      </w:r>
      <w:r w:rsidR="000551EC" w:rsidRPr="009C3204">
        <w:rPr>
          <w:rFonts w:ascii="Cambria" w:hAnsi="Cambria"/>
          <w:sz w:val="24"/>
          <w:szCs w:val="24"/>
        </w:rPr>
        <w:t>,</w:t>
      </w:r>
      <w:r w:rsidRPr="009C3204">
        <w:rPr>
          <w:rFonts w:ascii="Cambria" w:hAnsi="Cambria"/>
          <w:sz w:val="24"/>
          <w:szCs w:val="24"/>
        </w:rPr>
        <w:t xml:space="preserve"> </w:t>
      </w:r>
      <w:r w:rsidR="00E1568C" w:rsidRPr="009C3204">
        <w:rPr>
          <w:rFonts w:ascii="Cambria" w:hAnsi="Cambria"/>
          <w:sz w:val="24"/>
          <w:szCs w:val="24"/>
        </w:rPr>
        <w:t>in any event</w:t>
      </w:r>
      <w:r w:rsidR="000551EC" w:rsidRPr="009C3204">
        <w:rPr>
          <w:rFonts w:ascii="Cambria" w:hAnsi="Cambria"/>
          <w:sz w:val="24"/>
          <w:szCs w:val="24"/>
        </w:rPr>
        <w:t>,</w:t>
      </w:r>
      <w:r w:rsidR="00E1568C" w:rsidRPr="009C3204">
        <w:rPr>
          <w:rFonts w:ascii="Cambria" w:hAnsi="Cambria"/>
          <w:sz w:val="24"/>
          <w:szCs w:val="24"/>
        </w:rPr>
        <w:t xml:space="preserve"> </w:t>
      </w:r>
      <w:r w:rsidRPr="009C3204">
        <w:rPr>
          <w:rFonts w:ascii="Cambria" w:hAnsi="Cambria"/>
          <w:sz w:val="24"/>
          <w:szCs w:val="24"/>
        </w:rPr>
        <w:t xml:space="preserve">not precisely to the point. </w:t>
      </w:r>
      <w:r w:rsidR="00A43ED9" w:rsidRPr="009C3204">
        <w:rPr>
          <w:rFonts w:ascii="Cambria" w:hAnsi="Cambria"/>
          <w:sz w:val="24"/>
          <w:szCs w:val="24"/>
        </w:rPr>
        <w:t>W</w:t>
      </w:r>
      <w:r w:rsidRPr="009C3204">
        <w:rPr>
          <w:rFonts w:ascii="Cambria" w:hAnsi="Cambria"/>
          <w:sz w:val="24"/>
          <w:szCs w:val="24"/>
        </w:rPr>
        <w:t xml:space="preserve">hat has been learned in the ‘security’ revolution now provides the context for the operation of private law. </w:t>
      </w:r>
      <w:r w:rsidR="00E1568C" w:rsidRPr="009C3204">
        <w:rPr>
          <w:rFonts w:ascii="Cambria" w:hAnsi="Cambria"/>
          <w:sz w:val="24"/>
          <w:szCs w:val="24"/>
        </w:rPr>
        <w:t>A</w:t>
      </w:r>
      <w:r w:rsidR="00CB6B43" w:rsidRPr="009C3204">
        <w:rPr>
          <w:rFonts w:ascii="Cambria" w:hAnsi="Cambria"/>
          <w:sz w:val="24"/>
          <w:szCs w:val="24"/>
        </w:rPr>
        <w:t xml:space="preserve"> more restrained — and restraining —</w:t>
      </w:r>
      <w:r w:rsidRPr="009C3204">
        <w:rPr>
          <w:rFonts w:ascii="Cambria" w:hAnsi="Cambria"/>
          <w:sz w:val="24"/>
          <w:szCs w:val="24"/>
        </w:rPr>
        <w:t xml:space="preserve"> set of </w:t>
      </w:r>
      <w:r w:rsidR="0057658D" w:rsidRPr="009C3204">
        <w:rPr>
          <w:rFonts w:ascii="Cambria" w:hAnsi="Cambria"/>
          <w:sz w:val="24"/>
          <w:szCs w:val="24"/>
        </w:rPr>
        <w:t xml:space="preserve">concepts and </w:t>
      </w:r>
      <w:r w:rsidRPr="009C3204">
        <w:rPr>
          <w:rFonts w:ascii="Cambria" w:hAnsi="Cambria"/>
          <w:sz w:val="24"/>
          <w:szCs w:val="24"/>
        </w:rPr>
        <w:t>principles</w:t>
      </w:r>
      <w:r w:rsidR="00E1568C" w:rsidRPr="009C3204">
        <w:rPr>
          <w:rFonts w:ascii="Cambria" w:hAnsi="Cambria"/>
          <w:sz w:val="24"/>
          <w:szCs w:val="24"/>
        </w:rPr>
        <w:t xml:space="preserve"> is being promoted</w:t>
      </w:r>
      <w:r w:rsidRPr="009C3204">
        <w:rPr>
          <w:rFonts w:ascii="Cambria" w:hAnsi="Cambria"/>
          <w:sz w:val="24"/>
          <w:szCs w:val="24"/>
        </w:rPr>
        <w:t>, sensitive to risk allocation and rival potential sources of security</w:t>
      </w:r>
      <w:r w:rsidR="00B15631">
        <w:rPr>
          <w:rFonts w:ascii="Cambria" w:hAnsi="Cambria"/>
          <w:sz w:val="24"/>
          <w:szCs w:val="24"/>
        </w:rPr>
        <w:t>. These concepts may</w:t>
      </w:r>
      <w:r w:rsidR="0057658D" w:rsidRPr="009C3204">
        <w:rPr>
          <w:rFonts w:ascii="Cambria" w:hAnsi="Cambria"/>
          <w:sz w:val="24"/>
          <w:szCs w:val="24"/>
        </w:rPr>
        <w:t xml:space="preserve"> fail tests of clarity and predictability</w:t>
      </w:r>
      <w:r w:rsidR="00B15631">
        <w:rPr>
          <w:rFonts w:ascii="Cambria" w:hAnsi="Cambria"/>
          <w:sz w:val="24"/>
          <w:szCs w:val="24"/>
        </w:rPr>
        <w:t>, but they do so</w:t>
      </w:r>
      <w:r w:rsidR="0057658D" w:rsidRPr="009C3204">
        <w:rPr>
          <w:rFonts w:ascii="Cambria" w:hAnsi="Cambria"/>
          <w:sz w:val="24"/>
          <w:szCs w:val="24"/>
        </w:rPr>
        <w:t xml:space="preserve"> in favour of </w:t>
      </w:r>
      <w:r w:rsidR="00B15631">
        <w:rPr>
          <w:rFonts w:ascii="Cambria" w:hAnsi="Cambria"/>
          <w:sz w:val="24"/>
          <w:szCs w:val="24"/>
        </w:rPr>
        <w:t>directing decision-makers</w:t>
      </w:r>
      <w:r w:rsidR="0057658D" w:rsidRPr="009C3204">
        <w:rPr>
          <w:rFonts w:ascii="Cambria" w:hAnsi="Cambria"/>
          <w:sz w:val="24"/>
          <w:szCs w:val="24"/>
        </w:rPr>
        <w:t xml:space="preserve"> to </w:t>
      </w:r>
      <w:r w:rsidR="00B15631">
        <w:rPr>
          <w:rFonts w:ascii="Cambria" w:hAnsi="Cambria"/>
          <w:sz w:val="24"/>
          <w:szCs w:val="24"/>
        </w:rPr>
        <w:t>the question of</w:t>
      </w:r>
      <w:r w:rsidR="0057658D" w:rsidRPr="009C3204">
        <w:rPr>
          <w:rFonts w:ascii="Cambria" w:hAnsi="Cambria"/>
          <w:sz w:val="24"/>
          <w:szCs w:val="24"/>
        </w:rPr>
        <w:t xml:space="preserve"> where it is reasonable to place the costs of security</w:t>
      </w:r>
      <w:r w:rsidR="00E1568C" w:rsidRPr="009C3204">
        <w:rPr>
          <w:rFonts w:ascii="Cambria" w:hAnsi="Cambria"/>
          <w:sz w:val="24"/>
          <w:szCs w:val="24"/>
        </w:rPr>
        <w:t>. This</w:t>
      </w:r>
      <w:r w:rsidRPr="009C3204">
        <w:rPr>
          <w:rFonts w:ascii="Cambria" w:hAnsi="Cambria"/>
          <w:sz w:val="24"/>
          <w:szCs w:val="24"/>
        </w:rPr>
        <w:t xml:space="preserve"> </w:t>
      </w:r>
      <w:r w:rsidR="00B15631">
        <w:rPr>
          <w:rFonts w:ascii="Cambria" w:hAnsi="Cambria"/>
          <w:sz w:val="24"/>
          <w:szCs w:val="24"/>
        </w:rPr>
        <w:t>is</w:t>
      </w:r>
      <w:r w:rsidRPr="009C3204">
        <w:rPr>
          <w:rFonts w:ascii="Cambria" w:hAnsi="Cambria"/>
          <w:sz w:val="24"/>
          <w:szCs w:val="24"/>
        </w:rPr>
        <w:t xml:space="preserve"> itself more in tune with the current era of risk governance, than earlier tort law could hope to be in tune with the security revolution</w:t>
      </w:r>
      <w:r w:rsidR="0057658D" w:rsidRPr="009C3204">
        <w:rPr>
          <w:rFonts w:ascii="Cambria" w:hAnsi="Cambria"/>
          <w:sz w:val="24"/>
          <w:szCs w:val="24"/>
        </w:rPr>
        <w:t xml:space="preserve">, since the </w:t>
      </w:r>
      <w:r w:rsidR="00E1568C" w:rsidRPr="009C3204">
        <w:rPr>
          <w:rFonts w:ascii="Cambria" w:hAnsi="Cambria"/>
          <w:sz w:val="24"/>
          <w:szCs w:val="24"/>
        </w:rPr>
        <w:t xml:space="preserve">practical </w:t>
      </w:r>
      <w:r w:rsidR="0057658D" w:rsidRPr="009C3204">
        <w:rPr>
          <w:rFonts w:ascii="Cambria" w:hAnsi="Cambria"/>
          <w:sz w:val="24"/>
          <w:szCs w:val="24"/>
        </w:rPr>
        <w:t xml:space="preserve">fit between private law and security in the welfare sense was never </w:t>
      </w:r>
      <w:r w:rsidR="00E1568C" w:rsidRPr="009C3204">
        <w:rPr>
          <w:rFonts w:ascii="Cambria" w:hAnsi="Cambria"/>
          <w:sz w:val="24"/>
          <w:szCs w:val="24"/>
        </w:rPr>
        <w:t>complete at a theoretical level</w:t>
      </w:r>
      <w:r w:rsidRPr="009C3204">
        <w:rPr>
          <w:rFonts w:ascii="Cambria" w:hAnsi="Cambria"/>
          <w:sz w:val="24"/>
          <w:szCs w:val="24"/>
        </w:rPr>
        <w:t>.</w:t>
      </w:r>
    </w:p>
    <w:p w14:paraId="0FAEBADD" w14:textId="295D7895" w:rsidR="007910BE" w:rsidRPr="009C3204" w:rsidRDefault="00A43ED9" w:rsidP="008E4509">
      <w:pPr>
        <w:spacing w:line="240" w:lineRule="auto"/>
        <w:jc w:val="both"/>
        <w:rPr>
          <w:rFonts w:ascii="Cambria" w:hAnsi="Cambria"/>
          <w:sz w:val="24"/>
          <w:szCs w:val="24"/>
        </w:rPr>
      </w:pPr>
      <w:r w:rsidRPr="009C3204">
        <w:rPr>
          <w:rFonts w:ascii="Cambria" w:hAnsi="Cambria"/>
          <w:sz w:val="24"/>
          <w:szCs w:val="24"/>
        </w:rPr>
        <w:t>I</w:t>
      </w:r>
      <w:r w:rsidR="00C8629F" w:rsidRPr="009C3204">
        <w:rPr>
          <w:rFonts w:ascii="Cambria" w:hAnsi="Cambria"/>
          <w:sz w:val="24"/>
          <w:szCs w:val="24"/>
        </w:rPr>
        <w:t xml:space="preserve">n the current era, the generalisation of principle </w:t>
      </w:r>
      <w:r w:rsidR="0057658D" w:rsidRPr="009C3204">
        <w:rPr>
          <w:rFonts w:ascii="Cambria" w:hAnsi="Cambria"/>
          <w:sz w:val="24"/>
          <w:szCs w:val="24"/>
        </w:rPr>
        <w:t xml:space="preserve">which scholars have </w:t>
      </w:r>
      <w:r w:rsidR="00C8629F" w:rsidRPr="009C3204">
        <w:rPr>
          <w:rFonts w:ascii="Cambria" w:hAnsi="Cambria"/>
          <w:sz w:val="24"/>
          <w:szCs w:val="24"/>
        </w:rPr>
        <w:t>associated</w:t>
      </w:r>
      <w:r w:rsidR="00CB6B43" w:rsidRPr="009C3204">
        <w:rPr>
          <w:rFonts w:ascii="Cambria" w:hAnsi="Cambria"/>
          <w:sz w:val="24"/>
          <w:szCs w:val="24"/>
        </w:rPr>
        <w:t xml:space="preserve"> with ‘autonomous’ private law —</w:t>
      </w:r>
      <w:r w:rsidR="00C8629F" w:rsidRPr="009C3204">
        <w:rPr>
          <w:rFonts w:ascii="Cambria" w:hAnsi="Cambria"/>
          <w:sz w:val="24"/>
          <w:szCs w:val="24"/>
        </w:rPr>
        <w:t xml:space="preserve"> which might have as its ambition a relatively timeless </w:t>
      </w:r>
      <w:r w:rsidR="00CB6B43" w:rsidRPr="009C3204">
        <w:rPr>
          <w:rFonts w:ascii="Cambria" w:hAnsi="Cambria"/>
          <w:sz w:val="24"/>
          <w:szCs w:val="24"/>
        </w:rPr>
        <w:t>approach to party interactions —</w:t>
      </w:r>
      <w:r w:rsidR="00C8629F" w:rsidRPr="009C3204">
        <w:rPr>
          <w:rFonts w:ascii="Cambria" w:hAnsi="Cambria"/>
          <w:sz w:val="24"/>
          <w:szCs w:val="24"/>
        </w:rPr>
        <w:t xml:space="preserve"> is</w:t>
      </w:r>
      <w:r w:rsidR="00CB6B43" w:rsidRPr="009C3204">
        <w:rPr>
          <w:rFonts w:ascii="Cambria" w:hAnsi="Cambria"/>
          <w:sz w:val="24"/>
          <w:szCs w:val="24"/>
        </w:rPr>
        <w:t xml:space="preserve"> heavily compromised as courts </w:t>
      </w:r>
      <w:r w:rsidR="00C8629F" w:rsidRPr="009C3204">
        <w:rPr>
          <w:rFonts w:ascii="Cambria" w:hAnsi="Cambria"/>
          <w:sz w:val="24"/>
          <w:szCs w:val="24"/>
        </w:rPr>
        <w:t>and litigants</w:t>
      </w:r>
      <w:r w:rsidR="00CB6B43" w:rsidRPr="009C3204">
        <w:rPr>
          <w:rFonts w:ascii="Cambria" w:hAnsi="Cambria"/>
          <w:sz w:val="24"/>
          <w:szCs w:val="24"/>
        </w:rPr>
        <w:t xml:space="preserve"> </w:t>
      </w:r>
      <w:r w:rsidRPr="009C3204">
        <w:rPr>
          <w:rFonts w:ascii="Cambria" w:hAnsi="Cambria"/>
          <w:sz w:val="24"/>
          <w:szCs w:val="24"/>
        </w:rPr>
        <w:t>seek ways of negotiating risk</w:t>
      </w:r>
      <w:r w:rsidR="00C8629F" w:rsidRPr="009C3204">
        <w:rPr>
          <w:rFonts w:ascii="Cambria" w:hAnsi="Cambria"/>
          <w:sz w:val="24"/>
          <w:szCs w:val="24"/>
        </w:rPr>
        <w:t xml:space="preserve"> </w:t>
      </w:r>
      <w:r w:rsidR="007910BE" w:rsidRPr="009C3204">
        <w:rPr>
          <w:rFonts w:ascii="Cambria" w:hAnsi="Cambria"/>
          <w:sz w:val="24"/>
          <w:szCs w:val="24"/>
        </w:rPr>
        <w:t>and security</w:t>
      </w:r>
      <w:r w:rsidR="00C8629F" w:rsidRPr="009C3204">
        <w:rPr>
          <w:rFonts w:ascii="Cambria" w:hAnsi="Cambria"/>
          <w:sz w:val="24"/>
          <w:szCs w:val="24"/>
        </w:rPr>
        <w:t xml:space="preserve">. </w:t>
      </w:r>
      <w:r w:rsidR="0057658D" w:rsidRPr="009C3204">
        <w:rPr>
          <w:rFonts w:ascii="Cambria" w:hAnsi="Cambria"/>
          <w:sz w:val="24"/>
          <w:szCs w:val="24"/>
        </w:rPr>
        <w:t xml:space="preserve">But </w:t>
      </w:r>
      <w:r w:rsidR="007910BE" w:rsidRPr="009C3204">
        <w:rPr>
          <w:rFonts w:ascii="Cambria" w:hAnsi="Cambria"/>
          <w:sz w:val="24"/>
          <w:szCs w:val="24"/>
        </w:rPr>
        <w:t xml:space="preserve">it is suggested that </w:t>
      </w:r>
      <w:r w:rsidR="0057658D" w:rsidRPr="009C3204">
        <w:rPr>
          <w:rFonts w:ascii="Cambria" w:hAnsi="Cambria"/>
          <w:sz w:val="24"/>
          <w:szCs w:val="24"/>
        </w:rPr>
        <w:t xml:space="preserve">the more complex and responsive notions such as assumption of responsibility and ‘close connection’ which we have explored are themselves private law’s contributions to conditions of uncertainty. </w:t>
      </w:r>
      <w:r w:rsidR="00E1568C" w:rsidRPr="009C3204">
        <w:rPr>
          <w:rFonts w:ascii="Cambria" w:hAnsi="Cambria"/>
          <w:sz w:val="24"/>
          <w:szCs w:val="24"/>
        </w:rPr>
        <w:t xml:space="preserve">Their opacity is part of the reason for their </w:t>
      </w:r>
      <w:r w:rsidR="00B15631">
        <w:rPr>
          <w:rFonts w:ascii="Cambria" w:hAnsi="Cambria"/>
          <w:sz w:val="24"/>
          <w:szCs w:val="24"/>
        </w:rPr>
        <w:t>staying power</w:t>
      </w:r>
      <w:r w:rsidR="00E1568C" w:rsidRPr="009C3204">
        <w:rPr>
          <w:rFonts w:ascii="Cambria" w:hAnsi="Cambria"/>
          <w:sz w:val="24"/>
          <w:szCs w:val="24"/>
        </w:rPr>
        <w:t xml:space="preserve">, since they are </w:t>
      </w:r>
      <w:r w:rsidR="007910BE" w:rsidRPr="009C3204">
        <w:rPr>
          <w:rFonts w:ascii="Cambria" w:hAnsi="Cambria"/>
          <w:sz w:val="24"/>
          <w:szCs w:val="24"/>
        </w:rPr>
        <w:t xml:space="preserve">highly </w:t>
      </w:r>
      <w:r w:rsidR="00E1568C" w:rsidRPr="009C3204">
        <w:rPr>
          <w:rFonts w:ascii="Cambria" w:hAnsi="Cambria"/>
          <w:sz w:val="24"/>
          <w:szCs w:val="24"/>
        </w:rPr>
        <w:t>adaptable</w:t>
      </w:r>
      <w:r w:rsidR="003F31FE" w:rsidRPr="009C3204">
        <w:rPr>
          <w:rFonts w:ascii="Cambria" w:hAnsi="Cambria"/>
          <w:sz w:val="24"/>
          <w:szCs w:val="24"/>
        </w:rPr>
        <w:t>. Nevertheless,</w:t>
      </w:r>
      <w:r w:rsidR="007910BE" w:rsidRPr="009C3204">
        <w:rPr>
          <w:rFonts w:ascii="Cambria" w:hAnsi="Cambria"/>
          <w:sz w:val="24"/>
          <w:szCs w:val="24"/>
        </w:rPr>
        <w:t xml:space="preserve"> they are not empty</w:t>
      </w:r>
      <w:r w:rsidR="00E1568C" w:rsidRPr="009C3204">
        <w:rPr>
          <w:rFonts w:ascii="Cambria" w:hAnsi="Cambria"/>
          <w:sz w:val="24"/>
          <w:szCs w:val="24"/>
        </w:rPr>
        <w:t>.</w:t>
      </w:r>
      <w:r w:rsidR="007910BE" w:rsidRPr="009C3204">
        <w:rPr>
          <w:rFonts w:ascii="Cambria" w:hAnsi="Cambria"/>
          <w:sz w:val="24"/>
          <w:szCs w:val="24"/>
        </w:rPr>
        <w:t xml:space="preserve"> Rather, they direct the courts’ attention to questions about the burden of security.</w:t>
      </w:r>
    </w:p>
    <w:p w14:paraId="34A1E088" w14:textId="094BA0CC" w:rsidR="00C8629F" w:rsidRPr="009C3204" w:rsidRDefault="00C8629F" w:rsidP="008E4509">
      <w:pPr>
        <w:spacing w:line="240" w:lineRule="auto"/>
        <w:jc w:val="both"/>
        <w:rPr>
          <w:rFonts w:ascii="Cambria" w:hAnsi="Cambria"/>
          <w:sz w:val="24"/>
          <w:szCs w:val="24"/>
        </w:rPr>
      </w:pPr>
      <w:r w:rsidRPr="009C3204">
        <w:rPr>
          <w:rFonts w:ascii="Cambria" w:hAnsi="Cambria"/>
          <w:sz w:val="24"/>
          <w:szCs w:val="24"/>
        </w:rPr>
        <w:t xml:space="preserve">Finally, </w:t>
      </w:r>
      <w:r w:rsidR="00A43ED9" w:rsidRPr="009C3204">
        <w:rPr>
          <w:rFonts w:ascii="Cambria" w:hAnsi="Cambria"/>
          <w:sz w:val="24"/>
          <w:szCs w:val="24"/>
        </w:rPr>
        <w:t xml:space="preserve">and returning to the questions in our introduction, </w:t>
      </w:r>
      <w:r w:rsidRPr="009C3204">
        <w:rPr>
          <w:rFonts w:ascii="Cambria" w:hAnsi="Cambria"/>
          <w:sz w:val="24"/>
          <w:szCs w:val="24"/>
        </w:rPr>
        <w:t>there is reason to s</w:t>
      </w:r>
      <w:r w:rsidR="003F31FE" w:rsidRPr="009C3204">
        <w:rPr>
          <w:rFonts w:ascii="Cambria" w:hAnsi="Cambria"/>
          <w:sz w:val="24"/>
          <w:szCs w:val="24"/>
        </w:rPr>
        <w:t>uggest that in the present</w:t>
      </w:r>
      <w:r w:rsidRPr="009C3204">
        <w:rPr>
          <w:rFonts w:ascii="Cambria" w:hAnsi="Cambria"/>
          <w:sz w:val="24"/>
          <w:szCs w:val="24"/>
        </w:rPr>
        <w:t xml:space="preserve"> era, private law not only reflects, but is also part of, social change; and none more so than in connection with risk</w:t>
      </w:r>
      <w:r w:rsidR="0057658D" w:rsidRPr="009C3204">
        <w:rPr>
          <w:rFonts w:ascii="Cambria" w:hAnsi="Cambria"/>
          <w:sz w:val="24"/>
          <w:szCs w:val="24"/>
        </w:rPr>
        <w:t>, responsibility, and the costs of security</w:t>
      </w:r>
      <w:r w:rsidRPr="009C3204">
        <w:rPr>
          <w:rFonts w:ascii="Cambria" w:hAnsi="Cambria"/>
          <w:sz w:val="24"/>
          <w:szCs w:val="24"/>
        </w:rPr>
        <w:t>.</w:t>
      </w:r>
    </w:p>
    <w:sectPr w:rsidR="00C8629F" w:rsidRPr="009C3204">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CD58377" w15:done="0"/>
  <w15:commentEx w15:paraId="7D0A82D8" w15:done="0"/>
  <w15:commentEx w15:paraId="49A9CD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8E9D4" w14:textId="77777777" w:rsidR="00997BC1" w:rsidRDefault="00997BC1" w:rsidP="00F02731">
      <w:pPr>
        <w:spacing w:after="0" w:line="240" w:lineRule="auto"/>
      </w:pPr>
      <w:r>
        <w:separator/>
      </w:r>
    </w:p>
  </w:endnote>
  <w:endnote w:type="continuationSeparator" w:id="0">
    <w:p w14:paraId="5B30E57B" w14:textId="77777777" w:rsidR="00997BC1" w:rsidRDefault="00997BC1" w:rsidP="00F02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742421"/>
      <w:docPartObj>
        <w:docPartGallery w:val="Page Numbers (Bottom of Page)"/>
        <w:docPartUnique/>
      </w:docPartObj>
    </w:sdtPr>
    <w:sdtEndPr>
      <w:rPr>
        <w:noProof/>
      </w:rPr>
    </w:sdtEndPr>
    <w:sdtContent>
      <w:p w14:paraId="798D8082" w14:textId="79E011E3" w:rsidR="000B7A32" w:rsidRDefault="000B7A32">
        <w:pPr>
          <w:pStyle w:val="Footer"/>
          <w:jc w:val="right"/>
        </w:pPr>
        <w:r>
          <w:fldChar w:fldCharType="begin"/>
        </w:r>
        <w:r>
          <w:instrText xml:space="preserve"> PAGE   \* MERGEFORMAT </w:instrText>
        </w:r>
        <w:r>
          <w:fldChar w:fldCharType="separate"/>
        </w:r>
        <w:r w:rsidR="00A2446D">
          <w:rPr>
            <w:noProof/>
          </w:rPr>
          <w:t>21</w:t>
        </w:r>
        <w:r>
          <w:rPr>
            <w:noProof/>
          </w:rPr>
          <w:fldChar w:fldCharType="end"/>
        </w:r>
      </w:p>
    </w:sdtContent>
  </w:sdt>
  <w:p w14:paraId="07247851" w14:textId="77777777" w:rsidR="000B7A32" w:rsidRDefault="000B7A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1D3EC" w14:textId="77777777" w:rsidR="00997BC1" w:rsidRDefault="00997BC1" w:rsidP="00F02731">
      <w:pPr>
        <w:spacing w:after="0" w:line="240" w:lineRule="auto"/>
      </w:pPr>
      <w:r>
        <w:separator/>
      </w:r>
    </w:p>
  </w:footnote>
  <w:footnote w:type="continuationSeparator" w:id="0">
    <w:p w14:paraId="7EFA72BB" w14:textId="77777777" w:rsidR="00997BC1" w:rsidRDefault="00997BC1" w:rsidP="00F02731">
      <w:pPr>
        <w:spacing w:after="0" w:line="240" w:lineRule="auto"/>
      </w:pPr>
      <w:r>
        <w:continuationSeparator/>
      </w:r>
    </w:p>
  </w:footnote>
  <w:footnote w:id="1">
    <w:p w14:paraId="1E72F188" w14:textId="55262F62"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D Ibbetson</w:t>
      </w:r>
      <w:r w:rsidR="00CB29CE" w:rsidRPr="00B57DC9">
        <w:rPr>
          <w:rFonts w:ascii="Cambria" w:hAnsi="Cambria"/>
        </w:rPr>
        <w:t>, ‘Revolutions in Private Law?’</w:t>
      </w:r>
      <w:r w:rsidRPr="00B57DC9">
        <w:rPr>
          <w:rFonts w:ascii="Cambria" w:hAnsi="Cambria"/>
        </w:rPr>
        <w:t xml:space="preserve"> this volume, </w:t>
      </w:r>
      <w:proofErr w:type="spellStart"/>
      <w:r w:rsidRPr="00B57DC9">
        <w:rPr>
          <w:rFonts w:ascii="Cambria" w:hAnsi="Cambria"/>
        </w:rPr>
        <w:t>ch</w:t>
      </w:r>
      <w:proofErr w:type="spellEnd"/>
      <w:r w:rsidRPr="00B57DC9">
        <w:rPr>
          <w:rFonts w:ascii="Cambria" w:hAnsi="Cambria"/>
        </w:rPr>
        <w:t xml:space="preserve"> 2.</w:t>
      </w:r>
      <w:proofErr w:type="gramEnd"/>
    </w:p>
  </w:footnote>
  <w:footnote w:id="2">
    <w:p w14:paraId="270AF9B9" w14:textId="2EF2FF90"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The notion that private law has seen any revolutions was rejected</w:t>
      </w:r>
      <w:r w:rsidR="00BB3956" w:rsidRPr="00B57DC9">
        <w:rPr>
          <w:rFonts w:ascii="Cambria" w:hAnsi="Cambria"/>
        </w:rPr>
        <w:t xml:space="preserve"> by</w:t>
      </w:r>
      <w:r w:rsidRPr="00B57DC9">
        <w:rPr>
          <w:rFonts w:ascii="Cambria" w:hAnsi="Cambria"/>
        </w:rPr>
        <w:t xml:space="preserve"> G</w:t>
      </w:r>
      <w:r w:rsidR="00BB3956" w:rsidRPr="00B57DC9">
        <w:rPr>
          <w:rFonts w:ascii="Cambria" w:hAnsi="Cambria"/>
        </w:rPr>
        <w:t>eoffrey</w:t>
      </w:r>
      <w:r w:rsidRPr="00B57DC9">
        <w:rPr>
          <w:rFonts w:ascii="Cambria" w:hAnsi="Cambria"/>
        </w:rPr>
        <w:t xml:space="preserve"> Samuel</w:t>
      </w:r>
      <w:r w:rsidR="00BB3956" w:rsidRPr="00B57DC9">
        <w:rPr>
          <w:rFonts w:ascii="Cambria" w:hAnsi="Cambria"/>
        </w:rPr>
        <w:t>: G Samuel</w:t>
      </w:r>
      <w:r w:rsidRPr="00B57DC9">
        <w:rPr>
          <w:rFonts w:ascii="Cambria" w:hAnsi="Cambria"/>
        </w:rPr>
        <w:t xml:space="preserve">, ‘Have There Been </w:t>
      </w:r>
      <w:r w:rsidR="00BB3956" w:rsidRPr="00B57DC9">
        <w:rPr>
          <w:rFonts w:ascii="Cambria" w:hAnsi="Cambria"/>
        </w:rPr>
        <w:t>Scientific Revolutions in Law?’ (Obligations VIII Conference, Cambridge, July 2016).</w:t>
      </w:r>
    </w:p>
  </w:footnote>
  <w:footnote w:id="3">
    <w:p w14:paraId="74AA5C7F" w14:textId="13ECC1C6"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TT Arvind, ‘Paradigms Lost or Paradigms Regained? </w:t>
      </w:r>
      <w:proofErr w:type="gramStart"/>
      <w:r w:rsidRPr="00B57DC9">
        <w:rPr>
          <w:rFonts w:ascii="Cambria" w:hAnsi="Cambria"/>
        </w:rPr>
        <w:t>Legal Revolutions and the Pa</w:t>
      </w:r>
      <w:r w:rsidR="00CB29CE" w:rsidRPr="00B57DC9">
        <w:rPr>
          <w:rFonts w:ascii="Cambria" w:hAnsi="Cambria"/>
        </w:rPr>
        <w:t>th of the Law’</w:t>
      </w:r>
      <w:r w:rsidRPr="00B57DC9">
        <w:rPr>
          <w:rFonts w:ascii="Cambria" w:hAnsi="Cambria"/>
        </w:rPr>
        <w:t xml:space="preserve"> this volume, </w:t>
      </w:r>
      <w:proofErr w:type="spellStart"/>
      <w:r w:rsidRPr="00B57DC9">
        <w:rPr>
          <w:rFonts w:ascii="Cambria" w:hAnsi="Cambria"/>
        </w:rPr>
        <w:t>ch</w:t>
      </w:r>
      <w:proofErr w:type="spellEnd"/>
      <w:r w:rsidRPr="00B57DC9">
        <w:rPr>
          <w:rFonts w:ascii="Cambria" w:hAnsi="Cambria"/>
        </w:rPr>
        <w:t xml:space="preserve"> 4, arguing however that concepts must be understood in changing historical contexts.</w:t>
      </w:r>
      <w:proofErr w:type="gramEnd"/>
    </w:p>
  </w:footnote>
  <w:footnote w:id="4">
    <w:p w14:paraId="443C0F11" w14:textId="1D106445"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An argument that has of course been had before: see C Fried, </w:t>
      </w:r>
      <w:r w:rsidRPr="00B57DC9">
        <w:rPr>
          <w:rFonts w:ascii="Cambria" w:hAnsi="Cambria"/>
          <w:i/>
        </w:rPr>
        <w:t xml:space="preserve">Contract as Promise </w:t>
      </w:r>
      <w:r w:rsidRPr="00B57DC9">
        <w:rPr>
          <w:rFonts w:ascii="Cambria" w:hAnsi="Cambria"/>
        </w:rPr>
        <w:t xml:space="preserve">(Cambridge, Harvard University Press, 1981) 3, pointing to the works which acted as a foil and catalyst for the development of his own argument. Fried lists works by Patrick </w:t>
      </w:r>
      <w:proofErr w:type="spellStart"/>
      <w:r w:rsidRPr="00B57DC9">
        <w:rPr>
          <w:rFonts w:ascii="Cambria" w:hAnsi="Cambria"/>
        </w:rPr>
        <w:t>Atiyah</w:t>
      </w:r>
      <w:proofErr w:type="spellEnd"/>
      <w:r w:rsidRPr="00B57DC9">
        <w:rPr>
          <w:rFonts w:ascii="Cambria" w:hAnsi="Cambria"/>
        </w:rPr>
        <w:t xml:space="preserve">, Grant Gilmore, Morton Horwitz, Duncan Kennedy, Anthony </w:t>
      </w:r>
      <w:proofErr w:type="spellStart"/>
      <w:r w:rsidRPr="00B57DC9">
        <w:rPr>
          <w:rFonts w:ascii="Cambria" w:hAnsi="Cambria"/>
        </w:rPr>
        <w:t>Kronman</w:t>
      </w:r>
      <w:proofErr w:type="spellEnd"/>
      <w:r w:rsidRPr="00B57DC9">
        <w:rPr>
          <w:rFonts w:ascii="Cambria" w:hAnsi="Cambria"/>
        </w:rPr>
        <w:t xml:space="preserve">, and Ian </w:t>
      </w:r>
      <w:proofErr w:type="spellStart"/>
      <w:r w:rsidRPr="00B57DC9">
        <w:rPr>
          <w:rFonts w:ascii="Cambria" w:hAnsi="Cambria"/>
        </w:rPr>
        <w:t>Macneil</w:t>
      </w:r>
      <w:proofErr w:type="spellEnd"/>
      <w:r w:rsidRPr="00B57DC9">
        <w:rPr>
          <w:rFonts w:ascii="Cambria" w:hAnsi="Cambria"/>
        </w:rPr>
        <w:t>, all arguing that the law of contract is open to pursuit of community goals and standards rather than ‘neutrally endorsing’ goals and standards of the contracting parties.</w:t>
      </w:r>
    </w:p>
  </w:footnote>
  <w:footnote w:id="5">
    <w:p w14:paraId="0BD3AC2B" w14:textId="1ADB3371"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See the discussion of ‘Risk a</w:t>
      </w:r>
      <w:r w:rsidR="00BE62EB" w:rsidRPr="00B57DC9">
        <w:rPr>
          <w:rFonts w:ascii="Cambria" w:hAnsi="Cambria"/>
        </w:rPr>
        <w:t>nd Regulatory Change’</w:t>
      </w:r>
      <w:r w:rsidRPr="00B57DC9">
        <w:rPr>
          <w:rFonts w:ascii="Cambria" w:hAnsi="Cambria"/>
        </w:rPr>
        <w:t xml:space="preserve"> in Part I; and generally, Part III.</w:t>
      </w:r>
    </w:p>
  </w:footnote>
  <w:footnote w:id="6">
    <w:p w14:paraId="25E4817A" w14:textId="40BE9158" w:rsidR="000B7A32" w:rsidRPr="009C3204"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 xml:space="preserve">J Braithwaite, ‘The New Regulatory State and the Transformation of Criminology’ (2000) 40 </w:t>
      </w:r>
      <w:r w:rsidRPr="00B57DC9">
        <w:rPr>
          <w:rFonts w:ascii="Cambria" w:hAnsi="Cambria"/>
          <w:i/>
        </w:rPr>
        <w:t xml:space="preserve">British Journal of Criminology </w:t>
      </w:r>
      <w:r w:rsidRPr="00B57DC9">
        <w:rPr>
          <w:rFonts w:ascii="Cambria" w:hAnsi="Cambria"/>
        </w:rPr>
        <w:t>222, 235.</w:t>
      </w:r>
      <w:proofErr w:type="gramEnd"/>
      <w:r w:rsidRPr="009C3204">
        <w:rPr>
          <w:rFonts w:ascii="Cambria" w:hAnsi="Cambria"/>
        </w:rPr>
        <w:t xml:space="preserve"> </w:t>
      </w:r>
    </w:p>
  </w:footnote>
  <w:footnote w:id="7">
    <w:p w14:paraId="4EAAB23B" w14:textId="7CD295E1"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The role of ‘security’ and ‘responsibility’ is introduced in Part I.</w:t>
      </w:r>
    </w:p>
  </w:footnote>
  <w:footnote w:id="8">
    <w:p w14:paraId="0E8209EE" w14:textId="5DE35C0A"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 xml:space="preserve">J Black, ‘The emergence of risk-based regulation and the new public risk management’ (2005) </w:t>
      </w:r>
      <w:r w:rsidR="007C152E" w:rsidRPr="00B57DC9">
        <w:rPr>
          <w:rFonts w:ascii="Cambria" w:hAnsi="Cambria"/>
          <w:i/>
        </w:rPr>
        <w:t>Public Law</w:t>
      </w:r>
      <w:r w:rsidRPr="00B57DC9">
        <w:rPr>
          <w:rFonts w:ascii="Cambria" w:hAnsi="Cambria"/>
          <w:i/>
        </w:rPr>
        <w:t xml:space="preserve"> </w:t>
      </w:r>
      <w:r w:rsidRPr="00B57DC9">
        <w:rPr>
          <w:rFonts w:ascii="Cambria" w:hAnsi="Cambria"/>
        </w:rPr>
        <w:t>512, 513.</w:t>
      </w:r>
      <w:proofErr w:type="gramEnd"/>
    </w:p>
  </w:footnote>
  <w:footnote w:id="9">
    <w:p w14:paraId="3BF4E491" w14:textId="1F7F8EE1"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L Godden, F Rochford, J Peel, L </w:t>
      </w:r>
      <w:proofErr w:type="spellStart"/>
      <w:r w:rsidRPr="00B57DC9">
        <w:rPr>
          <w:rFonts w:ascii="Cambria" w:hAnsi="Cambria"/>
        </w:rPr>
        <w:t>Caripis</w:t>
      </w:r>
      <w:proofErr w:type="spellEnd"/>
      <w:r w:rsidRPr="00B57DC9">
        <w:rPr>
          <w:rFonts w:ascii="Cambria" w:hAnsi="Cambria"/>
        </w:rPr>
        <w:t xml:space="preserve"> and R Carter, ‘Law, Governance and Risk: Deconstructing the Public-Private Divide in Climate Change Adaptation’ (2013) 36 </w:t>
      </w:r>
      <w:r w:rsidRPr="00B57DC9">
        <w:rPr>
          <w:rFonts w:ascii="Cambria" w:hAnsi="Cambria"/>
          <w:i/>
        </w:rPr>
        <w:t>UNSW Law Journal</w:t>
      </w:r>
      <w:r w:rsidRPr="00B57DC9">
        <w:rPr>
          <w:rFonts w:ascii="Cambria" w:hAnsi="Cambria"/>
        </w:rPr>
        <w:t xml:space="preserve"> 224.</w:t>
      </w:r>
    </w:p>
  </w:footnote>
  <w:footnote w:id="10">
    <w:p w14:paraId="3979D983" w14:textId="471222EC"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For example, in relation to the insurance industry, R Ericson and A Doyle, </w:t>
      </w:r>
      <w:r w:rsidRPr="00B57DC9">
        <w:rPr>
          <w:rFonts w:ascii="Cambria" w:hAnsi="Cambria"/>
          <w:i/>
        </w:rPr>
        <w:t xml:space="preserve">Uncertain Business: Risk, Insurance and the Limits of Knowledge </w:t>
      </w:r>
      <w:r w:rsidRPr="00B57DC9">
        <w:rPr>
          <w:rFonts w:ascii="Cambria" w:hAnsi="Cambria"/>
        </w:rPr>
        <w:t>(Toronto, University of Toronto Press, 2004).</w:t>
      </w:r>
    </w:p>
  </w:footnote>
  <w:footnote w:id="11">
    <w:p w14:paraId="1066E8A4" w14:textId="07A1413D" w:rsidR="000B7A32" w:rsidRPr="009C3204"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See the discussion in Parts I and III.</w:t>
      </w:r>
    </w:p>
  </w:footnote>
  <w:footnote w:id="12">
    <w:p w14:paraId="53FFDAC7" w14:textId="2D5D6479" w:rsidR="000B7A32" w:rsidRPr="00B57DC9" w:rsidRDefault="000B7A32" w:rsidP="00CC1C99">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 Baker, ‘Risk, Insurance, and the Social </w:t>
      </w:r>
      <w:r w:rsidR="00851CE5" w:rsidRPr="00B57DC9">
        <w:rPr>
          <w:rFonts w:ascii="Cambria" w:hAnsi="Cambria"/>
        </w:rPr>
        <w:t>Construction of Responsibility’</w:t>
      </w:r>
      <w:r w:rsidRPr="00B57DC9">
        <w:rPr>
          <w:rFonts w:ascii="Cambria" w:hAnsi="Cambria"/>
        </w:rPr>
        <w:t xml:space="preserve"> in Baker and Simon, </w:t>
      </w:r>
      <w:r w:rsidRPr="00B57DC9">
        <w:rPr>
          <w:rFonts w:ascii="Cambria" w:hAnsi="Cambria"/>
          <w:i/>
        </w:rPr>
        <w:t xml:space="preserve">Embracing Risk: The Changing Culture of Insurance and Responsibility </w:t>
      </w:r>
      <w:r w:rsidRPr="00B57DC9">
        <w:rPr>
          <w:rFonts w:ascii="Cambria" w:hAnsi="Cambria"/>
        </w:rPr>
        <w:t>(Chicago, University of Chicago Press, 2002).</w:t>
      </w:r>
    </w:p>
  </w:footnote>
  <w:footnote w:id="13">
    <w:p w14:paraId="0EAA7E2A" w14:textId="6AF306CC"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F Ewald, ‘The Return of Descartes’s Malicious Demon: An Outline</w:t>
      </w:r>
      <w:r w:rsidR="00851CE5" w:rsidRPr="00B57DC9">
        <w:rPr>
          <w:rFonts w:ascii="Cambria" w:hAnsi="Cambria"/>
        </w:rPr>
        <w:t xml:space="preserve"> of a Philosophy of Precaution’</w:t>
      </w:r>
      <w:r w:rsidRPr="00B57DC9">
        <w:rPr>
          <w:rFonts w:ascii="Cambria" w:hAnsi="Cambria"/>
        </w:rPr>
        <w:t xml:space="preserve"> in T Baker and J Simon, </w:t>
      </w:r>
      <w:r w:rsidRPr="00B57DC9">
        <w:rPr>
          <w:rFonts w:ascii="Cambria" w:hAnsi="Cambria"/>
          <w:i/>
        </w:rPr>
        <w:t>Embracing Risk</w:t>
      </w:r>
      <w:r w:rsidR="00851CE5" w:rsidRPr="00B57DC9">
        <w:rPr>
          <w:rFonts w:ascii="Cambria" w:hAnsi="Cambria"/>
        </w:rPr>
        <w:t>,</w:t>
      </w:r>
      <w:r w:rsidRPr="00B57DC9">
        <w:rPr>
          <w:rFonts w:ascii="Cambria" w:hAnsi="Cambria"/>
        </w:rPr>
        <w:t xml:space="preserve"> n</w:t>
      </w:r>
      <w:r w:rsidR="00851CE5" w:rsidRPr="00B57DC9">
        <w:rPr>
          <w:rFonts w:ascii="Cambria" w:hAnsi="Cambria"/>
        </w:rPr>
        <w:t xml:space="preserve"> </w:t>
      </w:r>
      <w:r w:rsidR="00851CE5" w:rsidRPr="00B57DC9">
        <w:rPr>
          <w:rFonts w:ascii="Cambria" w:hAnsi="Cambria"/>
        </w:rPr>
        <w:fldChar w:fldCharType="begin"/>
      </w:r>
      <w:r w:rsidR="00851CE5" w:rsidRPr="00B57DC9">
        <w:rPr>
          <w:rFonts w:ascii="Cambria" w:hAnsi="Cambria"/>
        </w:rPr>
        <w:instrText xml:space="preserve"> NOTEREF _Ref480741277 \h </w:instrText>
      </w:r>
      <w:r w:rsidR="00B57DC9">
        <w:rPr>
          <w:rFonts w:ascii="Cambria" w:hAnsi="Cambria"/>
        </w:rPr>
        <w:instrText xml:space="preserve"> \* MERGEFORMAT </w:instrText>
      </w:r>
      <w:r w:rsidR="00851CE5" w:rsidRPr="00B57DC9">
        <w:rPr>
          <w:rFonts w:ascii="Cambria" w:hAnsi="Cambria"/>
        </w:rPr>
      </w:r>
      <w:r w:rsidR="00851CE5" w:rsidRPr="00B57DC9">
        <w:rPr>
          <w:rFonts w:ascii="Cambria" w:hAnsi="Cambria"/>
        </w:rPr>
        <w:fldChar w:fldCharType="separate"/>
      </w:r>
      <w:r w:rsidR="00D52251">
        <w:rPr>
          <w:rFonts w:ascii="Cambria" w:hAnsi="Cambria"/>
        </w:rPr>
        <w:t>12</w:t>
      </w:r>
      <w:r w:rsidR="00851CE5" w:rsidRPr="00B57DC9">
        <w:rPr>
          <w:rFonts w:ascii="Cambria" w:hAnsi="Cambria"/>
        </w:rPr>
        <w:fldChar w:fldCharType="end"/>
      </w:r>
      <w:r w:rsidRPr="00B57DC9">
        <w:rPr>
          <w:rFonts w:ascii="Cambria" w:hAnsi="Cambria"/>
        </w:rPr>
        <w:t>, 273.</w:t>
      </w:r>
    </w:p>
  </w:footnote>
  <w:footnote w:id="14">
    <w:p w14:paraId="25AF5ED0" w14:textId="1C5E3E0F" w:rsidR="000B7A32" w:rsidRPr="00B57DC9" w:rsidRDefault="000B7A32">
      <w:pPr>
        <w:pStyle w:val="FootnoteText"/>
        <w:rPr>
          <w:rFonts w:asciiTheme="majorHAnsi" w:hAnsiTheme="majorHAnsi"/>
        </w:rPr>
      </w:pPr>
      <w:r w:rsidRPr="00B57DC9">
        <w:rPr>
          <w:rStyle w:val="FootnoteReference"/>
          <w:rFonts w:asciiTheme="majorHAnsi" w:hAnsiTheme="majorHAnsi"/>
        </w:rPr>
        <w:footnoteRef/>
      </w:r>
      <w:r w:rsidRPr="00B57DC9">
        <w:rPr>
          <w:rFonts w:asciiTheme="majorHAnsi" w:hAnsiTheme="majorHAnsi"/>
        </w:rPr>
        <w:t xml:space="preserve"> The length of influence of this paradigm shift on private law is debated in Part IV. Arguably, the next paradigm shift began to make itself felt in the final quarter of the century, and particularly from the 1980s.</w:t>
      </w:r>
    </w:p>
  </w:footnote>
  <w:footnote w:id="15">
    <w:p w14:paraId="77915D97" w14:textId="4861315F" w:rsidR="000B7A32" w:rsidRPr="00B57DC9" w:rsidRDefault="000B7A32">
      <w:pPr>
        <w:pStyle w:val="FootnoteText"/>
        <w:rPr>
          <w:rFonts w:asciiTheme="majorHAnsi" w:hAnsiTheme="majorHAnsi"/>
        </w:rPr>
      </w:pPr>
      <w:r w:rsidRPr="00B57DC9">
        <w:rPr>
          <w:rStyle w:val="FootnoteReference"/>
          <w:rFonts w:asciiTheme="majorHAnsi" w:hAnsiTheme="majorHAnsi"/>
        </w:rPr>
        <w:footnoteRef/>
      </w:r>
      <w:r w:rsidRPr="00B57DC9">
        <w:rPr>
          <w:rFonts w:asciiTheme="majorHAnsi" w:hAnsiTheme="majorHAnsi"/>
        </w:rPr>
        <w:t xml:space="preserve"> U Beck, ‘Living in the World Risk Society’ (2006) 35 </w:t>
      </w:r>
      <w:r w:rsidRPr="00B57DC9">
        <w:rPr>
          <w:rFonts w:asciiTheme="majorHAnsi" w:hAnsiTheme="majorHAnsi"/>
          <w:i/>
        </w:rPr>
        <w:t xml:space="preserve">Economy and Society </w:t>
      </w:r>
      <w:r w:rsidRPr="00B57DC9">
        <w:rPr>
          <w:rFonts w:asciiTheme="majorHAnsi" w:hAnsiTheme="majorHAnsi"/>
        </w:rPr>
        <w:t xml:space="preserve">329, 334: ‘the security dream of first modernity was based on the scientific utopia of making the unsafe consequences and dangers of decisions ever more controllable; accidents could occur, as long as and because they were considered </w:t>
      </w:r>
      <w:proofErr w:type="spellStart"/>
      <w:r w:rsidRPr="00B57DC9">
        <w:rPr>
          <w:rFonts w:asciiTheme="majorHAnsi" w:hAnsiTheme="majorHAnsi"/>
        </w:rPr>
        <w:t>compensatible</w:t>
      </w:r>
      <w:proofErr w:type="spellEnd"/>
      <w:r w:rsidRPr="00B57DC9">
        <w:rPr>
          <w:rFonts w:asciiTheme="majorHAnsi" w:hAnsiTheme="majorHAnsi"/>
        </w:rPr>
        <w:t>’. Ewald, above</w:t>
      </w:r>
      <w:r w:rsidR="00851CE5" w:rsidRPr="00B57DC9">
        <w:rPr>
          <w:rFonts w:asciiTheme="majorHAnsi" w:hAnsiTheme="majorHAnsi"/>
        </w:rPr>
        <w:t xml:space="preserve"> n </w:t>
      </w:r>
      <w:r w:rsidR="00851CE5" w:rsidRPr="00B57DC9">
        <w:rPr>
          <w:rFonts w:asciiTheme="majorHAnsi" w:hAnsiTheme="majorHAnsi"/>
        </w:rPr>
        <w:fldChar w:fldCharType="begin"/>
      </w:r>
      <w:r w:rsidR="00851CE5" w:rsidRPr="00B57DC9">
        <w:rPr>
          <w:rFonts w:asciiTheme="majorHAnsi" w:hAnsiTheme="majorHAnsi"/>
        </w:rPr>
        <w:instrText xml:space="preserve"> NOTEREF _Ref480741388 \h  \* MERGEFORMAT </w:instrText>
      </w:r>
      <w:r w:rsidR="00851CE5" w:rsidRPr="00B57DC9">
        <w:rPr>
          <w:rFonts w:asciiTheme="majorHAnsi" w:hAnsiTheme="majorHAnsi"/>
        </w:rPr>
      </w:r>
      <w:r w:rsidR="00851CE5" w:rsidRPr="00B57DC9">
        <w:rPr>
          <w:rFonts w:asciiTheme="majorHAnsi" w:hAnsiTheme="majorHAnsi"/>
        </w:rPr>
        <w:fldChar w:fldCharType="separate"/>
      </w:r>
      <w:r w:rsidR="00D52251">
        <w:rPr>
          <w:rFonts w:asciiTheme="majorHAnsi" w:hAnsiTheme="majorHAnsi"/>
        </w:rPr>
        <w:t>13</w:t>
      </w:r>
      <w:r w:rsidR="00851CE5" w:rsidRPr="00B57DC9">
        <w:rPr>
          <w:rFonts w:asciiTheme="majorHAnsi" w:hAnsiTheme="majorHAnsi"/>
        </w:rPr>
        <w:fldChar w:fldCharType="end"/>
      </w:r>
      <w:r w:rsidRPr="00B57DC9">
        <w:rPr>
          <w:rFonts w:asciiTheme="majorHAnsi" w:hAnsiTheme="majorHAnsi"/>
        </w:rPr>
        <w:t>, also speaks of a technical and scientific ‘utopia’ behind the paradigm of security.</w:t>
      </w:r>
    </w:p>
  </w:footnote>
  <w:footnote w:id="16">
    <w:p w14:paraId="3A9C61BD" w14:textId="1B6BB553" w:rsidR="000B7A32" w:rsidRPr="00B57DC9" w:rsidRDefault="000B7A32">
      <w:pPr>
        <w:pStyle w:val="FootnoteText"/>
        <w:rPr>
          <w:rFonts w:asciiTheme="majorHAnsi" w:hAnsiTheme="majorHAnsi"/>
        </w:rPr>
      </w:pPr>
      <w:r w:rsidRPr="00B57DC9">
        <w:rPr>
          <w:rStyle w:val="FootnoteReference"/>
          <w:rFonts w:asciiTheme="majorHAnsi" w:hAnsiTheme="majorHAnsi"/>
        </w:rPr>
        <w:footnoteRef/>
      </w:r>
      <w:r w:rsidR="009864D9" w:rsidRPr="00B57DC9">
        <w:rPr>
          <w:rFonts w:asciiTheme="majorHAnsi" w:hAnsiTheme="majorHAnsi"/>
        </w:rPr>
        <w:t xml:space="preserve"> See, </w:t>
      </w:r>
      <w:proofErr w:type="spellStart"/>
      <w:r w:rsidR="009864D9" w:rsidRPr="00B57DC9">
        <w:rPr>
          <w:rFonts w:asciiTheme="majorHAnsi" w:hAnsiTheme="majorHAnsi"/>
        </w:rPr>
        <w:t>eg</w:t>
      </w:r>
      <w:proofErr w:type="spellEnd"/>
      <w:r w:rsidR="009864D9" w:rsidRPr="00B57DC9">
        <w:rPr>
          <w:rFonts w:asciiTheme="majorHAnsi" w:hAnsiTheme="majorHAnsi"/>
        </w:rPr>
        <w:t xml:space="preserve">, </w:t>
      </w:r>
      <w:r w:rsidRPr="00B57DC9">
        <w:rPr>
          <w:rFonts w:asciiTheme="majorHAnsi" w:hAnsiTheme="majorHAnsi"/>
        </w:rPr>
        <w:t xml:space="preserve">D Garland and R Sparks, ‘Criminology, Social Theory and the Challenge of our Times’ (2000) 40 </w:t>
      </w:r>
      <w:r w:rsidRPr="00B57DC9">
        <w:rPr>
          <w:rFonts w:asciiTheme="majorHAnsi" w:hAnsiTheme="majorHAnsi"/>
          <w:i/>
        </w:rPr>
        <w:t xml:space="preserve">British Journal of Criminology </w:t>
      </w:r>
      <w:r w:rsidRPr="00B57DC9">
        <w:rPr>
          <w:rFonts w:asciiTheme="majorHAnsi" w:hAnsiTheme="majorHAnsi"/>
        </w:rPr>
        <w:t>189, 204, 198; Beck himself referred to a ‘second modernity’: ibid.</w:t>
      </w:r>
    </w:p>
  </w:footnote>
  <w:footnote w:id="17">
    <w:p w14:paraId="771390E1" w14:textId="73DE2258" w:rsidR="000B7A32" w:rsidRPr="00471F65" w:rsidRDefault="000B7A32" w:rsidP="008C3C84">
      <w:pPr>
        <w:pStyle w:val="FootnoteText"/>
        <w:rPr>
          <w:rFonts w:asciiTheme="majorHAnsi" w:hAnsiTheme="majorHAnsi"/>
          <w:highlight w:val="cyan"/>
        </w:rPr>
      </w:pPr>
      <w:r w:rsidRPr="00B57DC9">
        <w:rPr>
          <w:rStyle w:val="FootnoteReference"/>
          <w:rFonts w:asciiTheme="majorHAnsi" w:hAnsiTheme="majorHAnsi"/>
        </w:rPr>
        <w:footnoteRef/>
      </w:r>
      <w:r w:rsidRPr="00B57DC9">
        <w:rPr>
          <w:rFonts w:asciiTheme="majorHAnsi" w:hAnsiTheme="majorHAnsi"/>
        </w:rPr>
        <w:t xml:space="preserve"> C Witt, </w:t>
      </w:r>
      <w:proofErr w:type="gramStart"/>
      <w:r w:rsidRPr="00B57DC9">
        <w:rPr>
          <w:rFonts w:asciiTheme="majorHAnsi" w:hAnsiTheme="majorHAnsi"/>
          <w:i/>
        </w:rPr>
        <w:t>The</w:t>
      </w:r>
      <w:proofErr w:type="gramEnd"/>
      <w:r w:rsidRPr="00B57DC9">
        <w:rPr>
          <w:rFonts w:asciiTheme="majorHAnsi" w:hAnsiTheme="majorHAnsi"/>
          <w:i/>
        </w:rPr>
        <w:t xml:space="preserve"> Accidental Republic </w:t>
      </w:r>
      <w:r w:rsidRPr="00B57DC9">
        <w:rPr>
          <w:rFonts w:asciiTheme="majorHAnsi" w:hAnsiTheme="majorHAnsi"/>
        </w:rPr>
        <w:t>(Harvard, Harvard University Press, 2004) 206.</w:t>
      </w:r>
    </w:p>
  </w:footnote>
  <w:footnote w:id="18">
    <w:p w14:paraId="12ABC153" w14:textId="357E28FF" w:rsidR="000B7A32" w:rsidRPr="00B57DC9" w:rsidRDefault="000B7A32">
      <w:pPr>
        <w:pStyle w:val="FootnoteText"/>
        <w:rPr>
          <w:rFonts w:ascii="Cambria" w:hAnsi="Cambria"/>
        </w:rPr>
      </w:pPr>
      <w:r w:rsidRPr="00B57DC9">
        <w:rPr>
          <w:rStyle w:val="FootnoteReference"/>
          <w:rFonts w:ascii="Cambria" w:hAnsi="Cambria"/>
        </w:rPr>
        <w:footnoteRef/>
      </w:r>
      <w:r w:rsidR="00471F65" w:rsidRPr="00B57DC9">
        <w:rPr>
          <w:rFonts w:ascii="Cambria" w:hAnsi="Cambria"/>
        </w:rPr>
        <w:t xml:space="preserve"> </w:t>
      </w:r>
      <w:proofErr w:type="gramStart"/>
      <w:r w:rsidR="00471F65" w:rsidRPr="00B57DC9">
        <w:rPr>
          <w:rFonts w:ascii="Cambria" w:hAnsi="Cambria"/>
        </w:rPr>
        <w:t xml:space="preserve">Ewald, above n </w:t>
      </w:r>
      <w:r w:rsidR="00471F65" w:rsidRPr="00B57DC9">
        <w:rPr>
          <w:rFonts w:ascii="Cambria" w:hAnsi="Cambria"/>
        </w:rPr>
        <w:fldChar w:fldCharType="begin"/>
      </w:r>
      <w:r w:rsidR="00471F65" w:rsidRPr="00B57DC9">
        <w:rPr>
          <w:rFonts w:ascii="Cambria" w:hAnsi="Cambria"/>
        </w:rPr>
        <w:instrText xml:space="preserve"> NOTEREF _Ref480741388 \h  \* MERGEFORMAT </w:instrText>
      </w:r>
      <w:r w:rsidR="00471F65" w:rsidRPr="00B57DC9">
        <w:rPr>
          <w:rFonts w:ascii="Cambria" w:hAnsi="Cambria"/>
        </w:rPr>
      </w:r>
      <w:r w:rsidR="00471F65" w:rsidRPr="00B57DC9">
        <w:rPr>
          <w:rFonts w:ascii="Cambria" w:hAnsi="Cambria"/>
        </w:rPr>
        <w:fldChar w:fldCharType="separate"/>
      </w:r>
      <w:r w:rsidR="00D52251">
        <w:rPr>
          <w:rFonts w:ascii="Cambria" w:hAnsi="Cambria"/>
        </w:rPr>
        <w:t>13</w:t>
      </w:r>
      <w:r w:rsidR="00471F65" w:rsidRPr="00B57DC9">
        <w:rPr>
          <w:rFonts w:ascii="Cambria" w:hAnsi="Cambria"/>
        </w:rPr>
        <w:fldChar w:fldCharType="end"/>
      </w:r>
      <w:r w:rsidRPr="00B57DC9">
        <w:rPr>
          <w:rFonts w:ascii="Cambria" w:hAnsi="Cambria"/>
        </w:rPr>
        <w:t>.</w:t>
      </w:r>
      <w:proofErr w:type="gramEnd"/>
    </w:p>
  </w:footnote>
  <w:footnote w:id="19">
    <w:p w14:paraId="5117B58A" w14:textId="43F78E6F" w:rsidR="000B7A32" w:rsidRPr="00B57DC9" w:rsidRDefault="000B7A32">
      <w:pPr>
        <w:pStyle w:val="FootnoteText"/>
        <w:rPr>
          <w:rFonts w:ascii="Cambria" w:hAnsi="Cambria"/>
        </w:rPr>
      </w:pPr>
      <w:r w:rsidRPr="00B57DC9">
        <w:rPr>
          <w:rStyle w:val="FootnoteReference"/>
          <w:rFonts w:ascii="Cambria" w:hAnsi="Cambria"/>
        </w:rPr>
        <w:footnoteRef/>
      </w:r>
      <w:r w:rsidR="00471F65" w:rsidRPr="00B57DC9">
        <w:rPr>
          <w:rFonts w:ascii="Cambria" w:hAnsi="Cambria"/>
        </w:rPr>
        <w:t xml:space="preserve"> See Arvind, above n </w:t>
      </w:r>
      <w:r w:rsidR="00471F65" w:rsidRPr="00B57DC9">
        <w:rPr>
          <w:rFonts w:ascii="Cambria" w:hAnsi="Cambria"/>
        </w:rPr>
        <w:fldChar w:fldCharType="begin"/>
      </w:r>
      <w:r w:rsidR="00471F65" w:rsidRPr="00B57DC9">
        <w:rPr>
          <w:rFonts w:ascii="Cambria" w:hAnsi="Cambria"/>
        </w:rPr>
        <w:instrText xml:space="preserve"> NOTEREF _Ref480741443 \h  \* MERGEFORMAT </w:instrText>
      </w:r>
      <w:r w:rsidR="00471F65" w:rsidRPr="00B57DC9">
        <w:rPr>
          <w:rFonts w:ascii="Cambria" w:hAnsi="Cambria"/>
        </w:rPr>
      </w:r>
      <w:r w:rsidR="00471F65" w:rsidRPr="00B57DC9">
        <w:rPr>
          <w:rFonts w:ascii="Cambria" w:hAnsi="Cambria"/>
        </w:rPr>
        <w:fldChar w:fldCharType="separate"/>
      </w:r>
      <w:r w:rsidR="00D52251">
        <w:rPr>
          <w:rFonts w:ascii="Cambria" w:hAnsi="Cambria"/>
        </w:rPr>
        <w:t>3</w:t>
      </w:r>
      <w:r w:rsidR="00471F65" w:rsidRPr="00B57DC9">
        <w:rPr>
          <w:rFonts w:ascii="Cambria" w:hAnsi="Cambria"/>
        </w:rPr>
        <w:fldChar w:fldCharType="end"/>
      </w:r>
      <w:r w:rsidRPr="00B57DC9">
        <w:rPr>
          <w:rFonts w:ascii="Cambria" w:hAnsi="Cambria"/>
        </w:rPr>
        <w:t>.</w:t>
      </w:r>
    </w:p>
  </w:footnote>
  <w:footnote w:id="20">
    <w:p w14:paraId="593E38A4" w14:textId="0B202353" w:rsidR="000B7A32" w:rsidRPr="00B57DC9" w:rsidRDefault="000B7A32">
      <w:pPr>
        <w:pStyle w:val="FootnoteText"/>
        <w:rPr>
          <w:rFonts w:ascii="Cambria" w:hAnsi="Cambria"/>
        </w:rPr>
      </w:pPr>
      <w:r w:rsidRPr="00B57DC9">
        <w:rPr>
          <w:rStyle w:val="FootnoteReference"/>
          <w:rFonts w:ascii="Cambria" w:hAnsi="Cambria"/>
        </w:rPr>
        <w:footnoteRef/>
      </w:r>
      <w:r w:rsidR="00471F65" w:rsidRPr="00B57DC9">
        <w:rPr>
          <w:rFonts w:ascii="Cambria" w:hAnsi="Cambria"/>
        </w:rPr>
        <w:t xml:space="preserve"> </w:t>
      </w:r>
      <w:proofErr w:type="gramStart"/>
      <w:r w:rsidR="00471F65" w:rsidRPr="00B57DC9">
        <w:rPr>
          <w:rFonts w:ascii="Cambria" w:hAnsi="Cambria"/>
        </w:rPr>
        <w:t xml:space="preserve">Ericson and Doyle, above n </w:t>
      </w:r>
      <w:r w:rsidR="00471F65" w:rsidRPr="00B57DC9">
        <w:rPr>
          <w:rFonts w:ascii="Cambria" w:hAnsi="Cambria"/>
        </w:rPr>
        <w:fldChar w:fldCharType="begin"/>
      </w:r>
      <w:r w:rsidR="00471F65" w:rsidRPr="00B57DC9">
        <w:rPr>
          <w:rFonts w:ascii="Cambria" w:hAnsi="Cambria"/>
        </w:rPr>
        <w:instrText xml:space="preserve"> NOTEREF _Ref480741450 \h  \* MERGEFORMAT </w:instrText>
      </w:r>
      <w:r w:rsidR="00471F65" w:rsidRPr="00B57DC9">
        <w:rPr>
          <w:rFonts w:ascii="Cambria" w:hAnsi="Cambria"/>
        </w:rPr>
      </w:r>
      <w:r w:rsidR="00471F65" w:rsidRPr="00B57DC9">
        <w:rPr>
          <w:rFonts w:ascii="Cambria" w:hAnsi="Cambria"/>
        </w:rPr>
        <w:fldChar w:fldCharType="separate"/>
      </w:r>
      <w:r w:rsidR="00D52251">
        <w:rPr>
          <w:rFonts w:ascii="Cambria" w:hAnsi="Cambria"/>
        </w:rPr>
        <w:t>10</w:t>
      </w:r>
      <w:r w:rsidR="00471F65" w:rsidRPr="00B57DC9">
        <w:rPr>
          <w:rFonts w:ascii="Cambria" w:hAnsi="Cambria"/>
        </w:rPr>
        <w:fldChar w:fldCharType="end"/>
      </w:r>
      <w:r w:rsidRPr="00B57DC9">
        <w:rPr>
          <w:rFonts w:ascii="Cambria" w:hAnsi="Cambria"/>
        </w:rPr>
        <w:t>.</w:t>
      </w:r>
      <w:proofErr w:type="gramEnd"/>
      <w:r w:rsidRPr="00B57DC9">
        <w:rPr>
          <w:rFonts w:ascii="Cambria" w:hAnsi="Cambria"/>
        </w:rPr>
        <w:t xml:space="preserve"> </w:t>
      </w:r>
    </w:p>
  </w:footnote>
  <w:footnote w:id="21">
    <w:p w14:paraId="77F1C920" w14:textId="4E7E37E3" w:rsidR="000B7A32" w:rsidRPr="00B57DC9" w:rsidRDefault="000B7A32">
      <w:pPr>
        <w:pStyle w:val="FootnoteText"/>
        <w:rPr>
          <w:rFonts w:ascii="Cambria" w:hAnsi="Cambria"/>
        </w:rPr>
      </w:pPr>
      <w:r w:rsidRPr="00B57DC9">
        <w:rPr>
          <w:rStyle w:val="FootnoteReference"/>
          <w:rFonts w:ascii="Cambria" w:hAnsi="Cambria"/>
        </w:rPr>
        <w:footnoteRef/>
      </w:r>
      <w:r w:rsidR="00471F65" w:rsidRPr="00B57DC9">
        <w:rPr>
          <w:rFonts w:ascii="Cambria" w:hAnsi="Cambria"/>
        </w:rPr>
        <w:t xml:space="preserve"> D Garland, ‘The Rise of Risk’</w:t>
      </w:r>
      <w:r w:rsidRPr="00B57DC9">
        <w:rPr>
          <w:rFonts w:ascii="Cambria" w:hAnsi="Cambria"/>
        </w:rPr>
        <w:t xml:space="preserve"> in Ericson and Doyle, </w:t>
      </w:r>
      <w:r w:rsidRPr="00B57DC9">
        <w:rPr>
          <w:rFonts w:ascii="Cambria" w:hAnsi="Cambria"/>
          <w:i/>
        </w:rPr>
        <w:t xml:space="preserve">Risk and Morality </w:t>
      </w:r>
      <w:r w:rsidRPr="00B57DC9">
        <w:rPr>
          <w:rFonts w:ascii="Cambria" w:hAnsi="Cambria"/>
        </w:rPr>
        <w:t>(</w:t>
      </w:r>
      <w:r w:rsidR="00EC5B8F" w:rsidRPr="00B57DC9">
        <w:rPr>
          <w:rFonts w:ascii="Cambria" w:hAnsi="Cambria"/>
        </w:rPr>
        <w:t xml:space="preserve">Buffalo, </w:t>
      </w:r>
      <w:r w:rsidR="00471F65" w:rsidRPr="00B57DC9">
        <w:rPr>
          <w:rFonts w:ascii="Cambria" w:hAnsi="Cambria"/>
        </w:rPr>
        <w:t xml:space="preserve">University of Toronto Press, </w:t>
      </w:r>
      <w:r w:rsidRPr="00B57DC9">
        <w:rPr>
          <w:rFonts w:ascii="Cambria" w:hAnsi="Cambria"/>
        </w:rPr>
        <w:t>2003) 62: neo-liberal governments ‘have deregulated markets and financial institutions, emphasized free enterprise, and taken steps to shift risk and responsibility onto individuals’.</w:t>
      </w:r>
    </w:p>
  </w:footnote>
  <w:footnote w:id="22">
    <w:p w14:paraId="290D03D4" w14:textId="23265F79" w:rsidR="000B7A32" w:rsidRPr="009C3204" w:rsidRDefault="000B7A32">
      <w:pPr>
        <w:pStyle w:val="FootnoteText"/>
        <w:rPr>
          <w:rFonts w:ascii="Cambria" w:hAnsi="Cambria"/>
        </w:rPr>
      </w:pPr>
      <w:r w:rsidRPr="00B57DC9">
        <w:rPr>
          <w:rStyle w:val="FootnoteReference"/>
          <w:rFonts w:ascii="Cambria" w:hAnsi="Cambria"/>
        </w:rPr>
        <w:footnoteRef/>
      </w:r>
      <w:r w:rsidR="002E438A" w:rsidRPr="00B57DC9">
        <w:rPr>
          <w:rFonts w:ascii="Cambria" w:hAnsi="Cambria"/>
        </w:rPr>
        <w:t xml:space="preserve"> Baker and </w:t>
      </w:r>
      <w:r w:rsidRPr="00B57DC9">
        <w:rPr>
          <w:rFonts w:ascii="Cambria" w:hAnsi="Cambria"/>
        </w:rPr>
        <w:t xml:space="preserve">Simon, </w:t>
      </w:r>
      <w:r w:rsidRPr="00B57DC9">
        <w:rPr>
          <w:rFonts w:ascii="Cambria" w:hAnsi="Cambria"/>
          <w:i/>
        </w:rPr>
        <w:t xml:space="preserve">Embracing Risk, </w:t>
      </w:r>
      <w:r w:rsidR="00EC5B8F" w:rsidRPr="00B57DC9">
        <w:rPr>
          <w:rFonts w:ascii="Cambria" w:hAnsi="Cambria"/>
        </w:rPr>
        <w:t xml:space="preserve">above n </w:t>
      </w:r>
      <w:r w:rsidR="00EC5B8F" w:rsidRPr="00B57DC9">
        <w:rPr>
          <w:rFonts w:ascii="Cambria" w:hAnsi="Cambria"/>
        </w:rPr>
        <w:fldChar w:fldCharType="begin"/>
      </w:r>
      <w:r w:rsidR="00EC5B8F" w:rsidRPr="00B57DC9">
        <w:rPr>
          <w:rFonts w:ascii="Cambria" w:hAnsi="Cambria"/>
        </w:rPr>
        <w:instrText xml:space="preserve"> NOTEREF _Ref480741277 \h  \* MERGEFORMAT </w:instrText>
      </w:r>
      <w:r w:rsidR="00EC5B8F" w:rsidRPr="00B57DC9">
        <w:rPr>
          <w:rFonts w:ascii="Cambria" w:hAnsi="Cambria"/>
        </w:rPr>
      </w:r>
      <w:r w:rsidR="00EC5B8F" w:rsidRPr="00B57DC9">
        <w:rPr>
          <w:rFonts w:ascii="Cambria" w:hAnsi="Cambria"/>
        </w:rPr>
        <w:fldChar w:fldCharType="separate"/>
      </w:r>
      <w:r w:rsidR="00D52251">
        <w:rPr>
          <w:rFonts w:ascii="Cambria" w:hAnsi="Cambria"/>
        </w:rPr>
        <w:t>12</w:t>
      </w:r>
      <w:r w:rsidR="00EC5B8F" w:rsidRPr="00B57DC9">
        <w:rPr>
          <w:rFonts w:ascii="Cambria" w:hAnsi="Cambria"/>
        </w:rPr>
        <w:fldChar w:fldCharType="end"/>
      </w:r>
      <w:r w:rsidRPr="00B57DC9">
        <w:rPr>
          <w:rFonts w:ascii="Cambria" w:hAnsi="Cambria"/>
        </w:rPr>
        <w:t>.</w:t>
      </w:r>
      <w:r w:rsidR="006361C1">
        <w:rPr>
          <w:rFonts w:ascii="Cambria" w:hAnsi="Cambria"/>
          <w:i/>
        </w:rPr>
        <w:t xml:space="preserve"> </w:t>
      </w:r>
    </w:p>
  </w:footnote>
  <w:footnote w:id="23">
    <w:p w14:paraId="15E222E3" w14:textId="1A17F81E"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K Yeung, ‘Algorithmic Regulation and I</w:t>
      </w:r>
      <w:r w:rsidR="004F7289" w:rsidRPr="00B57DC9">
        <w:rPr>
          <w:rFonts w:ascii="Cambria" w:hAnsi="Cambria"/>
        </w:rPr>
        <w:t xml:space="preserve">ntelligent Enforcement’ </w:t>
      </w:r>
      <w:r w:rsidR="002E0F7E" w:rsidRPr="00B57DC9">
        <w:rPr>
          <w:rFonts w:ascii="Cambria" w:hAnsi="Cambria"/>
        </w:rPr>
        <w:t>in M Lodge (</w:t>
      </w:r>
      <w:proofErr w:type="spellStart"/>
      <w:proofErr w:type="gramStart"/>
      <w:r w:rsidR="002E0F7E" w:rsidRPr="00B57DC9">
        <w:rPr>
          <w:rFonts w:ascii="Cambria" w:hAnsi="Cambria"/>
        </w:rPr>
        <w:t>ed</w:t>
      </w:r>
      <w:proofErr w:type="spellEnd"/>
      <w:proofErr w:type="gramEnd"/>
      <w:r w:rsidR="002E0F7E" w:rsidRPr="00B57DC9">
        <w:rPr>
          <w:rFonts w:ascii="Cambria" w:hAnsi="Cambria"/>
        </w:rPr>
        <w:t xml:space="preserve">), </w:t>
      </w:r>
      <w:r w:rsidR="002E0F7E" w:rsidRPr="00B57DC9">
        <w:rPr>
          <w:rFonts w:ascii="Cambria" w:hAnsi="Cambria"/>
          <w:i/>
        </w:rPr>
        <w:t xml:space="preserve">Regulatory Scholarship in Crisis </w:t>
      </w:r>
      <w:r w:rsidR="004F7289" w:rsidRPr="00B57DC9">
        <w:rPr>
          <w:rFonts w:ascii="Cambria" w:hAnsi="Cambria"/>
        </w:rPr>
        <w:t>(</w:t>
      </w:r>
      <w:r w:rsidR="002E0F7E" w:rsidRPr="00B57DC9">
        <w:rPr>
          <w:rFonts w:ascii="Cambria" w:hAnsi="Cambria"/>
        </w:rPr>
        <w:t>Discussion Paper No. 84, LSE,</w:t>
      </w:r>
      <w:r w:rsidR="004F7289" w:rsidRPr="00B57DC9">
        <w:rPr>
          <w:rFonts w:ascii="Cambria" w:hAnsi="Cambria"/>
        </w:rPr>
        <w:t xml:space="preserve"> </w:t>
      </w:r>
      <w:r w:rsidRPr="00B57DC9">
        <w:rPr>
          <w:rFonts w:ascii="Cambria" w:hAnsi="Cambria"/>
        </w:rPr>
        <w:t>2016).</w:t>
      </w:r>
    </w:p>
  </w:footnote>
  <w:footnote w:id="24">
    <w:p w14:paraId="0E5C0888" w14:textId="2A68DA40"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P O’Malley, ‘Uncertain Subjects: Risks, Liberalism and Contract’ (2000) 29 </w:t>
      </w:r>
      <w:r w:rsidRPr="00B57DC9">
        <w:rPr>
          <w:rFonts w:ascii="Cambria" w:hAnsi="Cambria"/>
          <w:i/>
        </w:rPr>
        <w:t xml:space="preserve">Economy and Society </w:t>
      </w:r>
      <w:r w:rsidRPr="00B57DC9">
        <w:rPr>
          <w:rFonts w:ascii="Cambria" w:hAnsi="Cambria"/>
        </w:rPr>
        <w:t>460.</w:t>
      </w:r>
    </w:p>
  </w:footnote>
  <w:footnote w:id="25">
    <w:p w14:paraId="379EBF61" w14:textId="5CD65FE2"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 xml:space="preserve">G Williams, ‘The Risk Principle’ (1961) 77 </w:t>
      </w:r>
      <w:r w:rsidRPr="00B57DC9">
        <w:rPr>
          <w:rFonts w:ascii="Cambria" w:hAnsi="Cambria"/>
          <w:i/>
        </w:rPr>
        <w:t xml:space="preserve">LQR </w:t>
      </w:r>
      <w:r w:rsidRPr="00B57DC9">
        <w:rPr>
          <w:rFonts w:ascii="Cambria" w:hAnsi="Cambria"/>
        </w:rPr>
        <w:t>179</w:t>
      </w:r>
      <w:r w:rsidR="0015506B" w:rsidRPr="00B57DC9">
        <w:rPr>
          <w:rFonts w:ascii="Cambria" w:hAnsi="Cambria"/>
        </w:rPr>
        <w:t>.</w:t>
      </w:r>
      <w:proofErr w:type="gramEnd"/>
    </w:p>
  </w:footnote>
  <w:footnote w:id="26">
    <w:p w14:paraId="732D9FC5" w14:textId="1EA20B8B"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i/>
        </w:rPr>
        <w:t xml:space="preserve">Tomlinson v Congleton </w:t>
      </w:r>
      <w:r w:rsidR="0015506B" w:rsidRPr="00B57DC9">
        <w:rPr>
          <w:rFonts w:ascii="Cambria" w:hAnsi="Cambria"/>
        </w:rPr>
        <w:t>[2003] UKHL 47,</w:t>
      </w:r>
      <w:r w:rsidRPr="00B57DC9">
        <w:rPr>
          <w:rFonts w:ascii="Cambria" w:hAnsi="Cambria"/>
        </w:rPr>
        <w:t xml:space="preserve"> [2004] 1 AC 46</w:t>
      </w:r>
      <w:r w:rsidR="0015506B" w:rsidRPr="00B57DC9">
        <w:rPr>
          <w:rFonts w:ascii="Cambria" w:hAnsi="Cambria"/>
        </w:rPr>
        <w:t>.</w:t>
      </w:r>
      <w:proofErr w:type="gramEnd"/>
    </w:p>
  </w:footnote>
  <w:footnote w:id="27">
    <w:p w14:paraId="097069D3" w14:textId="543F9614"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i/>
        </w:rPr>
        <w:t xml:space="preserve">Kennedy v Cordia (Services) LLP </w:t>
      </w:r>
      <w:r w:rsidR="0015506B" w:rsidRPr="00B57DC9">
        <w:rPr>
          <w:rFonts w:ascii="Cambria" w:hAnsi="Cambria"/>
        </w:rPr>
        <w:t>[2016] UKSC 6,</w:t>
      </w:r>
      <w:r w:rsidRPr="00B57DC9">
        <w:rPr>
          <w:rFonts w:ascii="Cambria" w:hAnsi="Cambria"/>
        </w:rPr>
        <w:t xml:space="preserve"> [2016] 1 WLR 597.</w:t>
      </w:r>
      <w:proofErr w:type="gramEnd"/>
    </w:p>
  </w:footnote>
  <w:footnote w:id="28">
    <w:p w14:paraId="2D6AE83B" w14:textId="59743C6B" w:rsidR="000B7A32" w:rsidRPr="009C3204" w:rsidRDefault="000B7A32">
      <w:pPr>
        <w:pStyle w:val="FootnoteText"/>
        <w:rPr>
          <w:rFonts w:ascii="Cambria" w:hAnsi="Cambria"/>
        </w:rPr>
      </w:pPr>
      <w:r w:rsidRPr="00B57DC9">
        <w:rPr>
          <w:rStyle w:val="FootnoteReference"/>
          <w:rFonts w:ascii="Cambria" w:hAnsi="Cambria"/>
        </w:rPr>
        <w:footnoteRef/>
      </w:r>
      <w:r w:rsidR="00685834" w:rsidRPr="00B57DC9">
        <w:rPr>
          <w:rFonts w:ascii="Cambria" w:hAnsi="Cambria"/>
        </w:rPr>
        <w:t xml:space="preserve"> </w:t>
      </w:r>
      <w:proofErr w:type="gramStart"/>
      <w:r w:rsidR="00685834" w:rsidRPr="00B57DC9">
        <w:rPr>
          <w:rFonts w:ascii="Cambria" w:hAnsi="Cambria"/>
        </w:rPr>
        <w:t>Directive 85/374/EEC.</w:t>
      </w:r>
      <w:proofErr w:type="gramEnd"/>
      <w:r w:rsidR="00685834" w:rsidRPr="00B57DC9">
        <w:rPr>
          <w:rFonts w:ascii="Cambria" w:hAnsi="Cambria"/>
        </w:rPr>
        <w:t xml:space="preserve"> T</w:t>
      </w:r>
      <w:r w:rsidRPr="00B57DC9">
        <w:rPr>
          <w:rFonts w:ascii="Cambria" w:hAnsi="Cambria"/>
        </w:rPr>
        <w:t xml:space="preserve">he UK version of the development risks defence is contained in </w:t>
      </w:r>
      <w:r w:rsidR="00685834" w:rsidRPr="00B57DC9">
        <w:rPr>
          <w:rFonts w:ascii="Cambria" w:hAnsi="Cambria"/>
        </w:rPr>
        <w:t xml:space="preserve">the Consumer Protection Act 1987 </w:t>
      </w:r>
      <w:r w:rsidRPr="00B57DC9">
        <w:rPr>
          <w:rFonts w:ascii="Cambria" w:hAnsi="Cambria"/>
        </w:rPr>
        <w:t>s</w:t>
      </w:r>
      <w:r w:rsidR="0015506B" w:rsidRPr="00B57DC9">
        <w:rPr>
          <w:rFonts w:ascii="Cambria" w:hAnsi="Cambria"/>
        </w:rPr>
        <w:t xml:space="preserve"> </w:t>
      </w:r>
      <w:r w:rsidRPr="00B57DC9">
        <w:rPr>
          <w:rFonts w:ascii="Cambria" w:hAnsi="Cambria"/>
        </w:rPr>
        <w:t>4(1)(e).</w:t>
      </w:r>
    </w:p>
  </w:footnote>
  <w:footnote w:id="29">
    <w:p w14:paraId="1C715481" w14:textId="40BACD3C"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The latter sort of approach can be seen as inherent in the ‘neighbour principle’ derived from </w:t>
      </w:r>
      <w:r w:rsidRPr="00B57DC9">
        <w:rPr>
          <w:rFonts w:ascii="Cambria" w:hAnsi="Cambria"/>
          <w:i/>
        </w:rPr>
        <w:t xml:space="preserve">Donoghue v Stevenson </w:t>
      </w:r>
      <w:r w:rsidRPr="00B57DC9">
        <w:rPr>
          <w:rFonts w:ascii="Cambria" w:hAnsi="Cambria"/>
        </w:rPr>
        <w:t xml:space="preserve">[1932] AC 562, in relation to the duty of care; and in the question of which risks it is reasonable to take, in relation to the standard of care. The latter is most clearly exemplified by the ‘Learned Hand’ approach in </w:t>
      </w:r>
      <w:r w:rsidRPr="00B57DC9">
        <w:rPr>
          <w:rFonts w:ascii="Cambria" w:hAnsi="Cambria"/>
          <w:i/>
        </w:rPr>
        <w:t xml:space="preserve">US v Carroll Towing Co </w:t>
      </w:r>
      <w:r w:rsidRPr="00B57DC9">
        <w:rPr>
          <w:rFonts w:ascii="Cambria" w:hAnsi="Cambria"/>
        </w:rPr>
        <w:t>159 F 2d 169 (1947).</w:t>
      </w:r>
    </w:p>
  </w:footnote>
  <w:footnote w:id="30">
    <w:p w14:paraId="5EBA4E44" w14:textId="62AD29D0" w:rsidR="000B7A32" w:rsidRPr="00B57DC9" w:rsidRDefault="000B7A32" w:rsidP="007E7275">
      <w:pPr>
        <w:pStyle w:val="FootnoteText"/>
        <w:rPr>
          <w:rFonts w:ascii="Cambria" w:hAnsi="Cambria"/>
        </w:rPr>
      </w:pPr>
      <w:r w:rsidRPr="00B57DC9">
        <w:rPr>
          <w:rStyle w:val="FootnoteReference"/>
          <w:rFonts w:ascii="Cambria" w:hAnsi="Cambria"/>
        </w:rPr>
        <w:footnoteRef/>
      </w:r>
      <w:r w:rsidR="0015506B" w:rsidRPr="00B57DC9">
        <w:rPr>
          <w:rFonts w:ascii="Cambria" w:hAnsi="Cambria"/>
        </w:rPr>
        <w:t xml:space="preserve"> </w:t>
      </w:r>
      <w:proofErr w:type="gramStart"/>
      <w:r w:rsidR="0015506B" w:rsidRPr="00B57DC9">
        <w:rPr>
          <w:rFonts w:ascii="Cambria" w:hAnsi="Cambria"/>
        </w:rPr>
        <w:t xml:space="preserve">Braithwaite, above n </w:t>
      </w:r>
      <w:r w:rsidR="0015506B" w:rsidRPr="00B57DC9">
        <w:rPr>
          <w:rFonts w:ascii="Cambria" w:hAnsi="Cambria"/>
        </w:rPr>
        <w:fldChar w:fldCharType="begin"/>
      </w:r>
      <w:r w:rsidR="0015506B" w:rsidRPr="00B57DC9">
        <w:rPr>
          <w:rFonts w:ascii="Cambria" w:hAnsi="Cambria"/>
        </w:rPr>
        <w:instrText xml:space="preserve"> NOTEREF _Ref480741661 \h </w:instrText>
      </w:r>
      <w:r w:rsidR="002E438A" w:rsidRPr="00B57DC9">
        <w:rPr>
          <w:rFonts w:ascii="Cambria" w:hAnsi="Cambria"/>
        </w:rPr>
        <w:instrText xml:space="preserve"> \* MERGEFORMAT </w:instrText>
      </w:r>
      <w:r w:rsidR="0015506B" w:rsidRPr="00B57DC9">
        <w:rPr>
          <w:rFonts w:ascii="Cambria" w:hAnsi="Cambria"/>
        </w:rPr>
      </w:r>
      <w:r w:rsidR="0015506B" w:rsidRPr="00B57DC9">
        <w:rPr>
          <w:rFonts w:ascii="Cambria" w:hAnsi="Cambria"/>
        </w:rPr>
        <w:fldChar w:fldCharType="separate"/>
      </w:r>
      <w:r w:rsidR="00D52251">
        <w:rPr>
          <w:rFonts w:ascii="Cambria" w:hAnsi="Cambria"/>
        </w:rPr>
        <w:t>6</w:t>
      </w:r>
      <w:r w:rsidR="0015506B" w:rsidRPr="00B57DC9">
        <w:rPr>
          <w:rFonts w:ascii="Cambria" w:hAnsi="Cambria"/>
        </w:rPr>
        <w:fldChar w:fldCharType="end"/>
      </w:r>
      <w:r w:rsidRPr="00B57DC9">
        <w:rPr>
          <w:rFonts w:ascii="Cambria" w:hAnsi="Cambria"/>
        </w:rPr>
        <w:t>, 228.</w:t>
      </w:r>
      <w:proofErr w:type="gramEnd"/>
    </w:p>
  </w:footnote>
  <w:footnote w:id="31">
    <w:p w14:paraId="2C596AF5" w14:textId="67BA23BE" w:rsidR="000B7A32" w:rsidRPr="00B57DC9" w:rsidRDefault="000B7A32" w:rsidP="007E7275">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 xml:space="preserve">D Osborne and T </w:t>
      </w:r>
      <w:proofErr w:type="spellStart"/>
      <w:r w:rsidRPr="00B57DC9">
        <w:rPr>
          <w:rFonts w:ascii="Cambria" w:hAnsi="Cambria"/>
        </w:rPr>
        <w:t>Gaebler</w:t>
      </w:r>
      <w:proofErr w:type="spellEnd"/>
      <w:r w:rsidRPr="00B57DC9">
        <w:rPr>
          <w:rFonts w:ascii="Cambria" w:hAnsi="Cambria"/>
        </w:rPr>
        <w:t xml:space="preserve">, </w:t>
      </w:r>
      <w:r w:rsidRPr="00B57DC9">
        <w:rPr>
          <w:rFonts w:ascii="Cambria" w:hAnsi="Cambria"/>
          <w:i/>
        </w:rPr>
        <w:t xml:space="preserve">Reinventing Government </w:t>
      </w:r>
      <w:r w:rsidRPr="00B57DC9">
        <w:rPr>
          <w:rFonts w:ascii="Cambria" w:hAnsi="Cambria"/>
        </w:rPr>
        <w:t>(</w:t>
      </w:r>
      <w:r w:rsidR="0015506B" w:rsidRPr="00B57DC9">
        <w:rPr>
          <w:rFonts w:ascii="Cambria" w:hAnsi="Cambria"/>
        </w:rPr>
        <w:t xml:space="preserve">New York, </w:t>
      </w:r>
      <w:r w:rsidRPr="00B57DC9">
        <w:rPr>
          <w:rFonts w:ascii="Cambria" w:hAnsi="Cambria"/>
        </w:rPr>
        <w:t>Addison-Wesley, 1992).</w:t>
      </w:r>
      <w:proofErr w:type="gramEnd"/>
    </w:p>
  </w:footnote>
  <w:footnote w:id="32">
    <w:p w14:paraId="7D691430" w14:textId="77777777" w:rsidR="000B7A32" w:rsidRPr="00B57DC9" w:rsidRDefault="000B7A32" w:rsidP="007E7275">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H Rothstein, M Huber and G Gaskell, ‘A Theory of Risk Colonization: The Spiralling Regulatory Logics of Societal and Institutional Risk’ (2006) 35 </w:t>
      </w:r>
      <w:r w:rsidRPr="00B57DC9">
        <w:rPr>
          <w:rFonts w:ascii="Cambria" w:hAnsi="Cambria"/>
          <w:i/>
        </w:rPr>
        <w:t xml:space="preserve">Economy and Society </w:t>
      </w:r>
      <w:r w:rsidRPr="00B57DC9">
        <w:rPr>
          <w:rFonts w:ascii="Cambria" w:hAnsi="Cambria"/>
        </w:rPr>
        <w:t>91, 94–5.</w:t>
      </w:r>
    </w:p>
  </w:footnote>
  <w:footnote w:id="33">
    <w:p w14:paraId="433877D0" w14:textId="2EF2BB3B" w:rsidR="000B7A32" w:rsidRPr="00B57DC9" w:rsidRDefault="000B7A32" w:rsidP="007E7275">
      <w:pPr>
        <w:pStyle w:val="FootnoteText"/>
        <w:rPr>
          <w:rFonts w:ascii="Cambria" w:hAnsi="Cambria"/>
        </w:rPr>
      </w:pPr>
      <w:r w:rsidRPr="00B57DC9">
        <w:rPr>
          <w:rStyle w:val="FootnoteReference"/>
          <w:rFonts w:ascii="Cambria" w:hAnsi="Cambria"/>
        </w:rPr>
        <w:footnoteRef/>
      </w:r>
      <w:r w:rsidR="0015506B" w:rsidRPr="00B57DC9">
        <w:rPr>
          <w:rFonts w:ascii="Cambria" w:hAnsi="Cambria"/>
        </w:rPr>
        <w:t xml:space="preserve"> </w:t>
      </w:r>
      <w:proofErr w:type="gramStart"/>
      <w:r w:rsidR="0015506B" w:rsidRPr="00B57DC9">
        <w:rPr>
          <w:rFonts w:ascii="Cambria" w:hAnsi="Cambria"/>
        </w:rPr>
        <w:t xml:space="preserve">Black, above n </w:t>
      </w:r>
      <w:r w:rsidR="0015506B" w:rsidRPr="00B57DC9">
        <w:rPr>
          <w:rFonts w:ascii="Cambria" w:hAnsi="Cambria"/>
        </w:rPr>
        <w:fldChar w:fldCharType="begin"/>
      </w:r>
      <w:r w:rsidR="0015506B" w:rsidRPr="00B57DC9">
        <w:rPr>
          <w:rFonts w:ascii="Cambria" w:hAnsi="Cambria"/>
        </w:rPr>
        <w:instrText xml:space="preserve"> NOTEREF _Ref480741692 \h  \* MERGEFORMAT </w:instrText>
      </w:r>
      <w:r w:rsidR="0015506B" w:rsidRPr="00B57DC9">
        <w:rPr>
          <w:rFonts w:ascii="Cambria" w:hAnsi="Cambria"/>
        </w:rPr>
      </w:r>
      <w:r w:rsidR="0015506B" w:rsidRPr="00B57DC9">
        <w:rPr>
          <w:rFonts w:ascii="Cambria" w:hAnsi="Cambria"/>
        </w:rPr>
        <w:fldChar w:fldCharType="separate"/>
      </w:r>
      <w:r w:rsidR="00D52251">
        <w:rPr>
          <w:rFonts w:ascii="Cambria" w:hAnsi="Cambria"/>
        </w:rPr>
        <w:t>8</w:t>
      </w:r>
      <w:r w:rsidR="0015506B" w:rsidRPr="00B57DC9">
        <w:rPr>
          <w:rFonts w:ascii="Cambria" w:hAnsi="Cambria"/>
        </w:rPr>
        <w:fldChar w:fldCharType="end"/>
      </w:r>
      <w:r w:rsidRPr="00B57DC9">
        <w:rPr>
          <w:rFonts w:ascii="Cambria" w:hAnsi="Cambria"/>
        </w:rPr>
        <w:t>.</w:t>
      </w:r>
      <w:proofErr w:type="gramEnd"/>
    </w:p>
  </w:footnote>
  <w:footnote w:id="34">
    <w:p w14:paraId="6859427F" w14:textId="3105866C" w:rsidR="000B7A32" w:rsidRPr="009C3204" w:rsidRDefault="000B7A32" w:rsidP="007E7275">
      <w:pPr>
        <w:pStyle w:val="FootnoteText"/>
        <w:rPr>
          <w:rFonts w:ascii="Cambria" w:hAnsi="Cambria"/>
        </w:rPr>
      </w:pPr>
      <w:r w:rsidRPr="00B57DC9">
        <w:rPr>
          <w:rStyle w:val="FootnoteReference"/>
          <w:rFonts w:ascii="Cambria" w:hAnsi="Cambria"/>
        </w:rPr>
        <w:footnoteRef/>
      </w:r>
      <w:r w:rsidR="0015506B" w:rsidRPr="00B57DC9">
        <w:rPr>
          <w:rFonts w:ascii="Cambria" w:hAnsi="Cambria"/>
        </w:rPr>
        <w:t xml:space="preserve"> </w:t>
      </w:r>
      <w:proofErr w:type="gramStart"/>
      <w:r w:rsidR="0015506B" w:rsidRPr="00B57DC9">
        <w:rPr>
          <w:rFonts w:ascii="Cambria" w:hAnsi="Cambria"/>
        </w:rPr>
        <w:t xml:space="preserve">Braithwaite, above n </w:t>
      </w:r>
      <w:r w:rsidR="0015506B" w:rsidRPr="00B57DC9">
        <w:rPr>
          <w:rFonts w:ascii="Cambria" w:hAnsi="Cambria"/>
        </w:rPr>
        <w:fldChar w:fldCharType="begin"/>
      </w:r>
      <w:r w:rsidR="0015506B" w:rsidRPr="00B57DC9">
        <w:rPr>
          <w:rFonts w:ascii="Cambria" w:hAnsi="Cambria"/>
        </w:rPr>
        <w:instrText xml:space="preserve"> NOTEREF _Ref480741661 \h  \* MERGEFORMAT </w:instrText>
      </w:r>
      <w:r w:rsidR="0015506B" w:rsidRPr="00B57DC9">
        <w:rPr>
          <w:rFonts w:ascii="Cambria" w:hAnsi="Cambria"/>
        </w:rPr>
      </w:r>
      <w:r w:rsidR="0015506B" w:rsidRPr="00B57DC9">
        <w:rPr>
          <w:rFonts w:ascii="Cambria" w:hAnsi="Cambria"/>
        </w:rPr>
        <w:fldChar w:fldCharType="separate"/>
      </w:r>
      <w:r w:rsidR="00D52251">
        <w:rPr>
          <w:rFonts w:ascii="Cambria" w:hAnsi="Cambria"/>
        </w:rPr>
        <w:t>6</w:t>
      </w:r>
      <w:r w:rsidR="0015506B" w:rsidRPr="00B57DC9">
        <w:rPr>
          <w:rFonts w:ascii="Cambria" w:hAnsi="Cambria"/>
        </w:rPr>
        <w:fldChar w:fldCharType="end"/>
      </w:r>
      <w:r w:rsidR="0015506B" w:rsidRPr="00B57DC9">
        <w:rPr>
          <w:rFonts w:ascii="Cambria" w:hAnsi="Cambria"/>
        </w:rPr>
        <w:t>,</w:t>
      </w:r>
      <w:r w:rsidRPr="00B57DC9">
        <w:rPr>
          <w:rFonts w:ascii="Cambria" w:hAnsi="Cambria"/>
        </w:rPr>
        <w:t xml:space="preserve"> 225, explaining the synergies between theories of the ‘new regulatory state’, and Foucault’s interest in ‘governmentality’ through capacity for self-regulation.</w:t>
      </w:r>
      <w:proofErr w:type="gramEnd"/>
    </w:p>
  </w:footnote>
  <w:footnote w:id="35">
    <w:p w14:paraId="4358FD78" w14:textId="4F6C4ED5" w:rsidR="000B7A32" w:rsidRPr="00B57DC9" w:rsidRDefault="000B7A32" w:rsidP="007E7275">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N </w:t>
      </w:r>
      <w:proofErr w:type="spellStart"/>
      <w:r w:rsidRPr="00B57DC9">
        <w:rPr>
          <w:rFonts w:ascii="Cambria" w:hAnsi="Cambria"/>
        </w:rPr>
        <w:t>Gunningham</w:t>
      </w:r>
      <w:proofErr w:type="spellEnd"/>
      <w:r w:rsidRPr="00B57DC9">
        <w:rPr>
          <w:rFonts w:ascii="Cambria" w:hAnsi="Cambria"/>
        </w:rPr>
        <w:t xml:space="preserve">, ‘Environmental Law, Regulation, and Governance: Shifting Architectures’ (2009) 12 </w:t>
      </w:r>
      <w:r w:rsidR="002E438A" w:rsidRPr="00B57DC9">
        <w:rPr>
          <w:rFonts w:ascii="Cambria" w:hAnsi="Cambria"/>
          <w:i/>
        </w:rPr>
        <w:t>Journal of Environmental Law</w:t>
      </w:r>
      <w:r w:rsidRPr="00B57DC9">
        <w:rPr>
          <w:rFonts w:ascii="Cambria" w:hAnsi="Cambria"/>
        </w:rPr>
        <w:t xml:space="preserve"> 179, 189; for the continued prevalence of risk-based regulation, see R Baldwin and J Black, ‘Driving Priorities in Risk-Based Regulation: What’s the Problem?’ </w:t>
      </w:r>
      <w:proofErr w:type="gramStart"/>
      <w:r w:rsidRPr="00B57DC9">
        <w:rPr>
          <w:rFonts w:ascii="Cambria" w:hAnsi="Cambria"/>
        </w:rPr>
        <w:t xml:space="preserve">(2016) 43 </w:t>
      </w:r>
      <w:r w:rsidRPr="00B57DC9">
        <w:rPr>
          <w:rFonts w:ascii="Cambria" w:hAnsi="Cambria"/>
          <w:i/>
        </w:rPr>
        <w:t xml:space="preserve">Journal of Law and Society </w:t>
      </w:r>
      <w:r w:rsidRPr="00B57DC9">
        <w:rPr>
          <w:rFonts w:ascii="Cambria" w:hAnsi="Cambria"/>
        </w:rPr>
        <w:t>565.</w:t>
      </w:r>
      <w:proofErr w:type="gramEnd"/>
    </w:p>
  </w:footnote>
  <w:footnote w:id="36">
    <w:p w14:paraId="620D44CE" w14:textId="46C4240A"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P Bernstein, </w:t>
      </w:r>
      <w:r w:rsidRPr="00B57DC9">
        <w:rPr>
          <w:rFonts w:ascii="Cambria" w:hAnsi="Cambria"/>
          <w:i/>
        </w:rPr>
        <w:t xml:space="preserve">Against the Gods: The Remarkable Story of Risk </w:t>
      </w:r>
      <w:r w:rsidRPr="00B57DC9">
        <w:rPr>
          <w:rFonts w:ascii="Cambria" w:hAnsi="Cambria"/>
        </w:rPr>
        <w:t xml:space="preserve">(New York, John Wiley and Sons, 1996); TJ </w:t>
      </w:r>
      <w:proofErr w:type="spellStart"/>
      <w:r w:rsidRPr="00B57DC9">
        <w:rPr>
          <w:rFonts w:ascii="Cambria" w:hAnsi="Cambria"/>
        </w:rPr>
        <w:t>Lowi</w:t>
      </w:r>
      <w:proofErr w:type="spellEnd"/>
      <w:r w:rsidRPr="00B57DC9">
        <w:rPr>
          <w:rFonts w:ascii="Cambria" w:hAnsi="Cambria"/>
        </w:rPr>
        <w:t xml:space="preserve">, ‘Risks and Rights in the History of American Governments’ (1990) </w:t>
      </w:r>
      <w:r w:rsidRPr="00B57DC9">
        <w:rPr>
          <w:rFonts w:ascii="Cambria" w:hAnsi="Cambria"/>
          <w:i/>
        </w:rPr>
        <w:t>Daedalus</w:t>
      </w:r>
      <w:r w:rsidRPr="00B57DC9">
        <w:rPr>
          <w:rFonts w:ascii="Cambria" w:hAnsi="Cambria"/>
        </w:rPr>
        <w:t xml:space="preserve"> 17.</w:t>
      </w:r>
    </w:p>
  </w:footnote>
  <w:footnote w:id="37">
    <w:p w14:paraId="4BBD3CEF" w14:textId="0858A724" w:rsidR="000B7A32" w:rsidRPr="00B57DC9" w:rsidRDefault="000B7A32">
      <w:pPr>
        <w:pStyle w:val="FootnoteText"/>
        <w:rPr>
          <w:rFonts w:ascii="Cambria" w:hAnsi="Cambria"/>
        </w:rPr>
      </w:pPr>
      <w:r w:rsidRPr="00B57DC9">
        <w:rPr>
          <w:rStyle w:val="FootnoteReference"/>
          <w:rFonts w:ascii="Cambria" w:hAnsi="Cambria"/>
        </w:rPr>
        <w:footnoteRef/>
      </w:r>
      <w:r w:rsidR="004D32E5" w:rsidRPr="00B57DC9">
        <w:rPr>
          <w:rFonts w:ascii="Cambria" w:hAnsi="Cambria"/>
        </w:rPr>
        <w:t xml:space="preserve"> </w:t>
      </w:r>
      <w:r w:rsidRPr="00B57DC9">
        <w:rPr>
          <w:rFonts w:ascii="Cambria" w:hAnsi="Cambria"/>
        </w:rPr>
        <w:t xml:space="preserve">Ewald, </w:t>
      </w:r>
      <w:r w:rsidR="00851CE5" w:rsidRPr="00B57DC9">
        <w:rPr>
          <w:rFonts w:ascii="Cambria" w:hAnsi="Cambria"/>
        </w:rPr>
        <w:t xml:space="preserve">above </w:t>
      </w:r>
      <w:r w:rsidR="00D93902" w:rsidRPr="00B57DC9">
        <w:rPr>
          <w:rFonts w:ascii="Cambria" w:hAnsi="Cambria"/>
        </w:rPr>
        <w:t xml:space="preserve">n </w:t>
      </w:r>
      <w:r w:rsidR="00D93902" w:rsidRPr="00B57DC9">
        <w:rPr>
          <w:rFonts w:ascii="Cambria" w:hAnsi="Cambria"/>
        </w:rPr>
        <w:fldChar w:fldCharType="begin"/>
      </w:r>
      <w:r w:rsidR="00D93902" w:rsidRPr="00B57DC9">
        <w:rPr>
          <w:rFonts w:ascii="Cambria" w:hAnsi="Cambria"/>
        </w:rPr>
        <w:instrText xml:space="preserve"> NOTEREF _Ref480741388 \h </w:instrText>
      </w:r>
      <w:r w:rsidR="00B57DC9">
        <w:rPr>
          <w:rFonts w:ascii="Cambria" w:hAnsi="Cambria"/>
        </w:rPr>
        <w:instrText xml:space="preserve"> \* MERGEFORMAT </w:instrText>
      </w:r>
      <w:r w:rsidR="00D93902" w:rsidRPr="00B57DC9">
        <w:rPr>
          <w:rFonts w:ascii="Cambria" w:hAnsi="Cambria"/>
        </w:rPr>
      </w:r>
      <w:r w:rsidR="00D93902" w:rsidRPr="00B57DC9">
        <w:rPr>
          <w:rFonts w:ascii="Cambria" w:hAnsi="Cambria"/>
        </w:rPr>
        <w:fldChar w:fldCharType="separate"/>
      </w:r>
      <w:r w:rsidR="00D52251">
        <w:rPr>
          <w:rFonts w:ascii="Cambria" w:hAnsi="Cambria"/>
        </w:rPr>
        <w:t>13</w:t>
      </w:r>
      <w:r w:rsidR="00D93902" w:rsidRPr="00B57DC9">
        <w:rPr>
          <w:rFonts w:ascii="Cambria" w:hAnsi="Cambria"/>
        </w:rPr>
        <w:fldChar w:fldCharType="end"/>
      </w:r>
      <w:r w:rsidRPr="00B57DC9">
        <w:rPr>
          <w:rFonts w:ascii="Cambria" w:hAnsi="Cambria"/>
        </w:rPr>
        <w:t xml:space="preserve">; Rose and Miller (1992) 43 </w:t>
      </w:r>
      <w:r w:rsidRPr="00B57DC9">
        <w:rPr>
          <w:rFonts w:ascii="Cambria" w:hAnsi="Cambria"/>
          <w:i/>
        </w:rPr>
        <w:t xml:space="preserve">British Journal of Sociology </w:t>
      </w:r>
      <w:r w:rsidR="004D32E5" w:rsidRPr="00B57DC9">
        <w:rPr>
          <w:rFonts w:ascii="Cambria" w:hAnsi="Cambria"/>
        </w:rPr>
        <w:t>173; T Lemke, ‘</w:t>
      </w:r>
      <w:r w:rsidR="00977BEE" w:rsidRPr="00B57DC9">
        <w:rPr>
          <w:rFonts w:ascii="Cambria" w:hAnsi="Cambria"/>
        </w:rPr>
        <w:t>”The Birth of Bio-Politics”</w:t>
      </w:r>
      <w:r w:rsidRPr="00B57DC9">
        <w:rPr>
          <w:rFonts w:ascii="Cambria" w:hAnsi="Cambria"/>
        </w:rPr>
        <w:t xml:space="preserve">: Michel Foucault’s lecture at the College de France on neo-liberal governmentality’ (2001) 30 </w:t>
      </w:r>
      <w:r w:rsidRPr="00B57DC9">
        <w:rPr>
          <w:rFonts w:ascii="Cambria" w:hAnsi="Cambria"/>
          <w:i/>
        </w:rPr>
        <w:t xml:space="preserve">Economy and Society </w:t>
      </w:r>
      <w:r w:rsidRPr="00B57DC9">
        <w:rPr>
          <w:rFonts w:ascii="Cambria" w:hAnsi="Cambria"/>
        </w:rPr>
        <w:t>190.</w:t>
      </w:r>
    </w:p>
  </w:footnote>
  <w:footnote w:id="38">
    <w:p w14:paraId="0AACA237" w14:textId="15C3E695" w:rsidR="000B7A32" w:rsidRPr="009C3204" w:rsidRDefault="000B7A32">
      <w:pPr>
        <w:pStyle w:val="FootnoteText"/>
        <w:rPr>
          <w:rFonts w:ascii="Cambria" w:hAnsi="Cambria"/>
        </w:rPr>
      </w:pPr>
      <w:r w:rsidRPr="00B57DC9">
        <w:rPr>
          <w:rStyle w:val="FootnoteReference"/>
          <w:rFonts w:ascii="Cambria" w:hAnsi="Cambria"/>
        </w:rPr>
        <w:footnoteRef/>
      </w:r>
      <w:r w:rsidR="000B723E" w:rsidRPr="00B57DC9">
        <w:rPr>
          <w:rFonts w:ascii="Cambria" w:hAnsi="Cambria"/>
        </w:rPr>
        <w:t xml:space="preserve"> H </w:t>
      </w:r>
      <w:proofErr w:type="spellStart"/>
      <w:r w:rsidR="000B723E" w:rsidRPr="00B57DC9">
        <w:rPr>
          <w:rFonts w:ascii="Cambria" w:hAnsi="Cambria"/>
        </w:rPr>
        <w:t>Aasen</w:t>
      </w:r>
      <w:proofErr w:type="spellEnd"/>
      <w:r w:rsidR="000B723E" w:rsidRPr="00B57DC9">
        <w:rPr>
          <w:rFonts w:ascii="Cambria" w:hAnsi="Cambria"/>
        </w:rPr>
        <w:t xml:space="preserve">, S </w:t>
      </w:r>
      <w:proofErr w:type="spellStart"/>
      <w:r w:rsidR="000B723E" w:rsidRPr="00B57DC9">
        <w:rPr>
          <w:rFonts w:ascii="Cambria" w:hAnsi="Cambria"/>
        </w:rPr>
        <w:t>Gloppen</w:t>
      </w:r>
      <w:proofErr w:type="spellEnd"/>
      <w:r w:rsidR="000B723E" w:rsidRPr="00B57DC9">
        <w:rPr>
          <w:rFonts w:ascii="Cambria" w:hAnsi="Cambria"/>
        </w:rPr>
        <w:t>, AM Magnussen and</w:t>
      </w:r>
      <w:r w:rsidRPr="00B57DC9">
        <w:rPr>
          <w:rFonts w:ascii="Cambria" w:hAnsi="Cambria"/>
        </w:rPr>
        <w:t xml:space="preserve"> E </w:t>
      </w:r>
      <w:proofErr w:type="spellStart"/>
      <w:r w:rsidRPr="00B57DC9">
        <w:rPr>
          <w:rFonts w:ascii="Cambria" w:hAnsi="Cambria"/>
        </w:rPr>
        <w:t>Nilssen</w:t>
      </w:r>
      <w:proofErr w:type="spellEnd"/>
      <w:r w:rsidRPr="00B57DC9">
        <w:rPr>
          <w:rFonts w:ascii="Cambria" w:hAnsi="Cambria"/>
        </w:rPr>
        <w:t xml:space="preserve">, </w:t>
      </w:r>
      <w:proofErr w:type="spellStart"/>
      <w:r w:rsidRPr="00B57DC9">
        <w:rPr>
          <w:rFonts w:ascii="Cambria" w:hAnsi="Cambria"/>
          <w:i/>
        </w:rPr>
        <w:t>Juridification</w:t>
      </w:r>
      <w:proofErr w:type="spellEnd"/>
      <w:r w:rsidRPr="00B57DC9">
        <w:rPr>
          <w:rFonts w:ascii="Cambria" w:hAnsi="Cambria"/>
          <w:i/>
        </w:rPr>
        <w:t xml:space="preserve"> and Social Citizenship in the Welfare State</w:t>
      </w:r>
      <w:r w:rsidRPr="00B57DC9">
        <w:rPr>
          <w:rFonts w:ascii="Cambria" w:hAnsi="Cambria"/>
        </w:rPr>
        <w:t xml:space="preserve"> (Cheltenham, Edward Elgar, 2014); G </w:t>
      </w:r>
      <w:proofErr w:type="spellStart"/>
      <w:r w:rsidRPr="00B57DC9">
        <w:rPr>
          <w:rFonts w:ascii="Cambria" w:hAnsi="Cambria"/>
        </w:rPr>
        <w:t>Teubner</w:t>
      </w:r>
      <w:proofErr w:type="spellEnd"/>
      <w:r w:rsidRPr="00B57DC9">
        <w:rPr>
          <w:rFonts w:ascii="Cambria" w:hAnsi="Cambria"/>
        </w:rPr>
        <w:t xml:space="preserve"> (</w:t>
      </w:r>
      <w:proofErr w:type="spellStart"/>
      <w:r w:rsidRPr="00B57DC9">
        <w:rPr>
          <w:rFonts w:ascii="Cambria" w:hAnsi="Cambria"/>
        </w:rPr>
        <w:t>ed</w:t>
      </w:r>
      <w:proofErr w:type="spellEnd"/>
      <w:r w:rsidRPr="00B57DC9">
        <w:rPr>
          <w:rFonts w:ascii="Cambria" w:hAnsi="Cambria"/>
        </w:rPr>
        <w:t xml:space="preserve">), </w:t>
      </w:r>
      <w:r w:rsidRPr="00B57DC9">
        <w:rPr>
          <w:rFonts w:ascii="Cambria" w:hAnsi="Cambria"/>
          <w:i/>
        </w:rPr>
        <w:t xml:space="preserve">The </w:t>
      </w:r>
      <w:proofErr w:type="spellStart"/>
      <w:r w:rsidRPr="00B57DC9">
        <w:rPr>
          <w:rFonts w:ascii="Cambria" w:hAnsi="Cambria"/>
          <w:i/>
        </w:rPr>
        <w:t>Juridification</w:t>
      </w:r>
      <w:proofErr w:type="spellEnd"/>
      <w:r w:rsidRPr="00B57DC9">
        <w:rPr>
          <w:rFonts w:ascii="Cambria" w:hAnsi="Cambria"/>
          <w:i/>
        </w:rPr>
        <w:t xml:space="preserve"> of Social Spheres</w:t>
      </w:r>
      <w:r w:rsidRPr="00B57DC9">
        <w:rPr>
          <w:rFonts w:ascii="Cambria" w:hAnsi="Cambria"/>
        </w:rPr>
        <w:t xml:space="preserve"> (Florence, European University Institute, 1987).</w:t>
      </w:r>
    </w:p>
  </w:footnote>
  <w:footnote w:id="39">
    <w:p w14:paraId="7912C2A9" w14:textId="2D66E754"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P Cane, </w:t>
      </w:r>
      <w:proofErr w:type="spellStart"/>
      <w:r w:rsidRPr="00B57DC9">
        <w:rPr>
          <w:rFonts w:ascii="Cambria" w:hAnsi="Cambria"/>
          <w:i/>
        </w:rPr>
        <w:t>Atiyah’s</w:t>
      </w:r>
      <w:proofErr w:type="spellEnd"/>
      <w:r w:rsidRPr="00B57DC9">
        <w:rPr>
          <w:rFonts w:ascii="Cambria" w:hAnsi="Cambria"/>
          <w:i/>
        </w:rPr>
        <w:t xml:space="preserve"> Accidents, Compensation and the Law</w:t>
      </w:r>
      <w:r w:rsidRPr="00B57DC9">
        <w:rPr>
          <w:rFonts w:ascii="Cambria" w:hAnsi="Cambria"/>
        </w:rPr>
        <w:t xml:space="preserve">, 8th </w:t>
      </w:r>
      <w:proofErr w:type="spellStart"/>
      <w:r w:rsidRPr="00B57DC9">
        <w:rPr>
          <w:rFonts w:ascii="Cambria" w:hAnsi="Cambria"/>
        </w:rPr>
        <w:t>edn</w:t>
      </w:r>
      <w:proofErr w:type="spellEnd"/>
      <w:r w:rsidRPr="00B57DC9">
        <w:rPr>
          <w:rFonts w:ascii="Cambria" w:hAnsi="Cambria"/>
        </w:rPr>
        <w:t xml:space="preserve"> (Cambridge, Cambridge University Press, 2013).</w:t>
      </w:r>
    </w:p>
  </w:footnote>
  <w:footnote w:id="40">
    <w:p w14:paraId="28551A6B" w14:textId="7B7F6D3C"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G Gilmore, </w:t>
      </w:r>
      <w:proofErr w:type="gramStart"/>
      <w:r w:rsidRPr="00B57DC9">
        <w:rPr>
          <w:rFonts w:ascii="Cambria" w:hAnsi="Cambria"/>
          <w:i/>
        </w:rPr>
        <w:t>The</w:t>
      </w:r>
      <w:proofErr w:type="gramEnd"/>
      <w:r w:rsidRPr="00B57DC9">
        <w:rPr>
          <w:rFonts w:ascii="Cambria" w:hAnsi="Cambria"/>
          <w:i/>
        </w:rPr>
        <w:t xml:space="preserve"> Death of Contract</w:t>
      </w:r>
      <w:r w:rsidR="000B723E" w:rsidRPr="00B57DC9">
        <w:rPr>
          <w:rFonts w:ascii="Cambria" w:hAnsi="Cambria"/>
        </w:rPr>
        <w:t xml:space="preserve"> (Columbus,</w:t>
      </w:r>
      <w:r w:rsidRPr="00B57DC9">
        <w:rPr>
          <w:rFonts w:ascii="Cambria" w:hAnsi="Cambria"/>
        </w:rPr>
        <w:t xml:space="preserve"> Ohio University Press, 1974) 87.</w:t>
      </w:r>
    </w:p>
  </w:footnote>
  <w:footnote w:id="41">
    <w:p w14:paraId="6A4A7765" w14:textId="75EC214F" w:rsidR="000B7A32" w:rsidRPr="00B57DC9" w:rsidRDefault="000B7A32">
      <w:pPr>
        <w:pStyle w:val="FootnoteText"/>
        <w:rPr>
          <w:rFonts w:asciiTheme="majorHAnsi" w:hAnsiTheme="majorHAnsi"/>
        </w:rPr>
      </w:pPr>
      <w:r w:rsidRPr="00B57DC9">
        <w:rPr>
          <w:rStyle w:val="FootnoteReference"/>
          <w:rFonts w:asciiTheme="majorHAnsi" w:hAnsiTheme="majorHAnsi"/>
        </w:rPr>
        <w:footnoteRef/>
      </w:r>
      <w:r w:rsidRPr="00B57DC9">
        <w:rPr>
          <w:rFonts w:asciiTheme="majorHAnsi" w:hAnsiTheme="majorHAnsi"/>
        </w:rPr>
        <w:t xml:space="preserve"> See the discussion </w:t>
      </w:r>
      <w:r w:rsidR="007D0698" w:rsidRPr="00B57DC9">
        <w:rPr>
          <w:rFonts w:asciiTheme="majorHAnsi" w:hAnsiTheme="majorHAnsi"/>
        </w:rPr>
        <w:t>in</w:t>
      </w:r>
      <w:r w:rsidRPr="00B57DC9">
        <w:rPr>
          <w:rFonts w:asciiTheme="majorHAnsi" w:hAnsiTheme="majorHAnsi"/>
        </w:rPr>
        <w:t xml:space="preserve"> S</w:t>
      </w:r>
      <w:r w:rsidR="007D0698" w:rsidRPr="00B57DC9">
        <w:rPr>
          <w:rFonts w:asciiTheme="majorHAnsi" w:hAnsiTheme="majorHAnsi"/>
        </w:rPr>
        <w:t xml:space="preserve"> </w:t>
      </w:r>
      <w:r w:rsidRPr="00B57DC9">
        <w:rPr>
          <w:rFonts w:asciiTheme="majorHAnsi" w:hAnsiTheme="majorHAnsi"/>
        </w:rPr>
        <w:t xml:space="preserve">Hedley, </w:t>
      </w:r>
      <w:r w:rsidR="007D0698" w:rsidRPr="00B57DC9">
        <w:rPr>
          <w:rFonts w:asciiTheme="majorHAnsi" w:hAnsiTheme="majorHAnsi"/>
        </w:rPr>
        <w:t xml:space="preserve">‘The Unacknowledged Revolution in Liability for Negligence’ </w:t>
      </w:r>
      <w:r w:rsidRPr="00B57DC9">
        <w:rPr>
          <w:rFonts w:asciiTheme="majorHAnsi" w:hAnsiTheme="majorHAnsi"/>
        </w:rPr>
        <w:t xml:space="preserve">this volume, </w:t>
      </w:r>
      <w:proofErr w:type="spellStart"/>
      <w:proofErr w:type="gramStart"/>
      <w:r w:rsidRPr="00B57DC9">
        <w:rPr>
          <w:rFonts w:asciiTheme="majorHAnsi" w:hAnsiTheme="majorHAnsi"/>
        </w:rPr>
        <w:t>ch</w:t>
      </w:r>
      <w:proofErr w:type="spellEnd"/>
      <w:proofErr w:type="gramEnd"/>
      <w:r w:rsidRPr="00B57DC9">
        <w:rPr>
          <w:rFonts w:asciiTheme="majorHAnsi" w:hAnsiTheme="majorHAnsi"/>
        </w:rPr>
        <w:t xml:space="preserve"> 9.</w:t>
      </w:r>
    </w:p>
  </w:footnote>
  <w:footnote w:id="42">
    <w:p w14:paraId="0518D157" w14:textId="67B092FF" w:rsidR="000B7A32" w:rsidRPr="00B57DC9" w:rsidRDefault="000B7A32">
      <w:pPr>
        <w:pStyle w:val="FootnoteText"/>
        <w:rPr>
          <w:rFonts w:asciiTheme="majorHAnsi" w:hAnsiTheme="majorHAnsi"/>
        </w:rPr>
      </w:pPr>
      <w:r w:rsidRPr="00B57DC9">
        <w:rPr>
          <w:rStyle w:val="FootnoteReference"/>
          <w:rFonts w:asciiTheme="majorHAnsi" w:hAnsiTheme="majorHAnsi"/>
        </w:rPr>
        <w:footnoteRef/>
      </w:r>
      <w:r w:rsidRPr="00B57DC9">
        <w:rPr>
          <w:rFonts w:asciiTheme="majorHAnsi" w:hAnsiTheme="majorHAnsi"/>
        </w:rPr>
        <w:t xml:space="preserve"> </w:t>
      </w:r>
      <w:proofErr w:type="gramStart"/>
      <w:r w:rsidRPr="00B57DC9">
        <w:rPr>
          <w:rFonts w:asciiTheme="majorHAnsi" w:hAnsiTheme="majorHAnsi"/>
        </w:rPr>
        <w:t>Or in the UK, Workmen’s Compensation.</w:t>
      </w:r>
      <w:proofErr w:type="gramEnd"/>
    </w:p>
  </w:footnote>
  <w:footnote w:id="43">
    <w:p w14:paraId="7221B70D" w14:textId="154C97B2" w:rsidR="000B7A32" w:rsidRPr="00B57DC9" w:rsidRDefault="000B7A32">
      <w:pPr>
        <w:pStyle w:val="FootnoteText"/>
        <w:rPr>
          <w:rFonts w:asciiTheme="majorHAnsi" w:hAnsiTheme="majorHAnsi"/>
        </w:rPr>
      </w:pPr>
      <w:r w:rsidRPr="00B57DC9">
        <w:rPr>
          <w:rStyle w:val="FootnoteReference"/>
          <w:rFonts w:asciiTheme="majorHAnsi" w:hAnsiTheme="majorHAnsi"/>
        </w:rPr>
        <w:footnoteRef/>
      </w:r>
      <w:r w:rsidRPr="00B57DC9">
        <w:rPr>
          <w:rFonts w:asciiTheme="majorHAnsi" w:hAnsiTheme="majorHAnsi"/>
        </w:rPr>
        <w:t xml:space="preserve"> For some reasons, including the commitment of the labour movement to the idea of liability based on fault, see J Steele, ‘Law Reform (Contributory Negligence) Act 1945: Collisions of a Different Sort’ in TT Arvind and J Steele, </w:t>
      </w:r>
      <w:r w:rsidRPr="00B57DC9">
        <w:rPr>
          <w:rFonts w:asciiTheme="majorHAnsi" w:hAnsiTheme="majorHAnsi"/>
          <w:i/>
        </w:rPr>
        <w:t xml:space="preserve">Tort Law and the Legislature: Common Law, Statute, and the Dynamics of Legal Change </w:t>
      </w:r>
      <w:r w:rsidRPr="00B57DC9">
        <w:rPr>
          <w:rFonts w:asciiTheme="majorHAnsi" w:hAnsiTheme="majorHAnsi"/>
        </w:rPr>
        <w:t>(Oxford, Hart Publishing, 2013).</w:t>
      </w:r>
    </w:p>
  </w:footnote>
  <w:footnote w:id="44">
    <w:p w14:paraId="444E3536" w14:textId="45549EAD"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The first of which was the Workmen’s Compensation Act 1897 (UK).</w:t>
      </w:r>
    </w:p>
  </w:footnote>
  <w:footnote w:id="45">
    <w:p w14:paraId="2BFBCC08" w14:textId="47E8B42B" w:rsidR="000B7A32" w:rsidRPr="009C3204"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Employers’ Liability Act 1880 (UK).</w:t>
      </w:r>
      <w:proofErr w:type="gramEnd"/>
    </w:p>
  </w:footnote>
  <w:footnote w:id="46">
    <w:p w14:paraId="03E8AAB5" w14:textId="0B094E8E"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 xml:space="preserve">R </w:t>
      </w:r>
      <w:proofErr w:type="spellStart"/>
      <w:r w:rsidRPr="00B57DC9">
        <w:rPr>
          <w:rFonts w:ascii="Cambria" w:hAnsi="Cambria"/>
        </w:rPr>
        <w:t>Merkin</w:t>
      </w:r>
      <w:proofErr w:type="spellEnd"/>
      <w:r w:rsidRPr="00B57DC9">
        <w:rPr>
          <w:rFonts w:ascii="Cambria" w:hAnsi="Cambria"/>
        </w:rPr>
        <w:t xml:space="preserve"> and J Steele, </w:t>
      </w:r>
      <w:r w:rsidRPr="00B57DC9">
        <w:rPr>
          <w:rFonts w:ascii="Cambria" w:hAnsi="Cambria"/>
          <w:i/>
        </w:rPr>
        <w:t>Insurance and the Law of Obligations</w:t>
      </w:r>
      <w:r w:rsidRPr="00B57DC9">
        <w:rPr>
          <w:rFonts w:ascii="Cambria" w:hAnsi="Cambria"/>
        </w:rPr>
        <w:t xml:space="preserve"> (Oxford, Oxford University Press, 2013) 285.</w:t>
      </w:r>
      <w:proofErr w:type="gramEnd"/>
    </w:p>
  </w:footnote>
  <w:footnote w:id="47">
    <w:p w14:paraId="7BFFF23B" w14:textId="4C10BA43"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The celebrated moment is the decision of the House of Lords in </w:t>
      </w:r>
      <w:r w:rsidRPr="00B57DC9">
        <w:rPr>
          <w:rFonts w:ascii="Cambria" w:hAnsi="Cambria"/>
          <w:i/>
        </w:rPr>
        <w:t>Donoghue v Stevenson</w:t>
      </w:r>
      <w:r w:rsidRPr="00B57DC9">
        <w:rPr>
          <w:rFonts w:ascii="Cambria" w:hAnsi="Cambria"/>
        </w:rPr>
        <w:t xml:space="preserve"> [1932] AC 562. But note also the generally liberalising effects of legislative reforms, reviewed by S Hedley, ‘Tort and Personal Injuries, 1850 to the Present</w:t>
      </w:r>
      <w:r w:rsidR="007853E3" w:rsidRPr="00B57DC9">
        <w:rPr>
          <w:rFonts w:ascii="Cambria" w:hAnsi="Cambria"/>
        </w:rPr>
        <w:t>’</w:t>
      </w:r>
      <w:r w:rsidRPr="00B57DC9">
        <w:rPr>
          <w:rFonts w:ascii="Cambria" w:hAnsi="Cambria"/>
        </w:rPr>
        <w:t xml:space="preserve"> in Arvind and Steele, above n</w:t>
      </w:r>
      <w:r w:rsidR="002E438A" w:rsidRPr="00B57DC9">
        <w:rPr>
          <w:rFonts w:ascii="Cambria" w:hAnsi="Cambria"/>
        </w:rPr>
        <w:t xml:space="preserve"> </w:t>
      </w:r>
      <w:r w:rsidR="002E438A" w:rsidRPr="00B57DC9">
        <w:rPr>
          <w:rFonts w:ascii="Cambria" w:hAnsi="Cambria"/>
        </w:rPr>
        <w:fldChar w:fldCharType="begin"/>
      </w:r>
      <w:r w:rsidR="002E438A" w:rsidRPr="00B57DC9">
        <w:rPr>
          <w:rFonts w:ascii="Cambria" w:hAnsi="Cambria"/>
        </w:rPr>
        <w:instrText xml:space="preserve"> NOTEREF _Ref480743484 \h </w:instrText>
      </w:r>
      <w:r w:rsidR="00B57DC9">
        <w:rPr>
          <w:rFonts w:ascii="Cambria" w:hAnsi="Cambria"/>
        </w:rPr>
        <w:instrText xml:space="preserve"> \* MERGEFORMAT </w:instrText>
      </w:r>
      <w:r w:rsidR="002E438A" w:rsidRPr="00B57DC9">
        <w:rPr>
          <w:rFonts w:ascii="Cambria" w:hAnsi="Cambria"/>
        </w:rPr>
      </w:r>
      <w:r w:rsidR="002E438A" w:rsidRPr="00B57DC9">
        <w:rPr>
          <w:rFonts w:ascii="Cambria" w:hAnsi="Cambria"/>
        </w:rPr>
        <w:fldChar w:fldCharType="separate"/>
      </w:r>
      <w:r w:rsidR="00D52251">
        <w:rPr>
          <w:rFonts w:ascii="Cambria" w:hAnsi="Cambria"/>
        </w:rPr>
        <w:t>43</w:t>
      </w:r>
      <w:r w:rsidR="002E438A" w:rsidRPr="00B57DC9">
        <w:rPr>
          <w:rFonts w:ascii="Cambria" w:hAnsi="Cambria"/>
        </w:rPr>
        <w:fldChar w:fldCharType="end"/>
      </w:r>
      <w:r w:rsidRPr="00B57DC9">
        <w:rPr>
          <w:rFonts w:ascii="Cambria" w:hAnsi="Cambria"/>
        </w:rPr>
        <w:t>.</w:t>
      </w:r>
    </w:p>
  </w:footnote>
  <w:footnote w:id="48">
    <w:p w14:paraId="765531E3" w14:textId="23CE2A8B"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National Insurance (Industrial Injuries) Act 1946.</w:t>
      </w:r>
      <w:proofErr w:type="gramEnd"/>
    </w:p>
  </w:footnote>
  <w:footnote w:id="49">
    <w:p w14:paraId="5A147811" w14:textId="3483AD5F" w:rsidR="000B7A32" w:rsidRPr="009C3204"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On the flawed provision of security through the three pillars of fami</w:t>
      </w:r>
      <w:r w:rsidR="00F2144B" w:rsidRPr="00B57DC9">
        <w:rPr>
          <w:rFonts w:ascii="Cambria" w:hAnsi="Cambria"/>
        </w:rPr>
        <w:t>ly, insurance, and state, see C</w:t>
      </w:r>
      <w:r w:rsidRPr="00B57DC9">
        <w:rPr>
          <w:rFonts w:ascii="Cambria" w:hAnsi="Cambria"/>
        </w:rPr>
        <w:t xml:space="preserve"> </w:t>
      </w:r>
      <w:proofErr w:type="spellStart"/>
      <w:r w:rsidRPr="00B57DC9">
        <w:rPr>
          <w:rFonts w:ascii="Cambria" w:hAnsi="Cambria"/>
        </w:rPr>
        <w:t>Weisbrod</w:t>
      </w:r>
      <w:proofErr w:type="spellEnd"/>
      <w:r w:rsidRPr="00B57DC9">
        <w:rPr>
          <w:rFonts w:ascii="Cambria" w:hAnsi="Cambria"/>
        </w:rPr>
        <w:t xml:space="preserve">, </w:t>
      </w:r>
      <w:r w:rsidRPr="00B57DC9">
        <w:rPr>
          <w:rFonts w:ascii="Cambria" w:hAnsi="Cambria"/>
          <w:i/>
        </w:rPr>
        <w:t>Grounding Security</w:t>
      </w:r>
      <w:r w:rsidRPr="00B57DC9">
        <w:rPr>
          <w:rFonts w:ascii="Cambria" w:hAnsi="Cambria"/>
        </w:rPr>
        <w:t xml:space="preserve"> (Aldershot, </w:t>
      </w:r>
      <w:proofErr w:type="spellStart"/>
      <w:r w:rsidRPr="00B57DC9">
        <w:rPr>
          <w:rFonts w:ascii="Cambria" w:hAnsi="Cambria"/>
        </w:rPr>
        <w:t>Ashgate</w:t>
      </w:r>
      <w:proofErr w:type="spellEnd"/>
      <w:r w:rsidRPr="00B57DC9">
        <w:rPr>
          <w:rFonts w:ascii="Cambria" w:hAnsi="Cambria"/>
        </w:rPr>
        <w:t>, 2006).</w:t>
      </w:r>
    </w:p>
  </w:footnote>
  <w:footnote w:id="50">
    <w:p w14:paraId="3EB70FD8" w14:textId="5C89E299"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This was the notion behind the restriction of Workmen’s Compensation Act compensation to restricted (though gradually expanding) categories of ‘workmen’.</w:t>
      </w:r>
    </w:p>
  </w:footnote>
  <w:footnote w:id="51">
    <w:p w14:paraId="13DCCA29" w14:textId="29550ADA" w:rsidR="000B7A32" w:rsidRPr="009C3204"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For current notions of responsibility in relation to road traffic, see part IV.</w:t>
      </w:r>
    </w:p>
  </w:footnote>
  <w:footnote w:id="52">
    <w:p w14:paraId="05D6E07D" w14:textId="38C6804C"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PS </w:t>
      </w:r>
      <w:proofErr w:type="spellStart"/>
      <w:r w:rsidRPr="00B57DC9">
        <w:rPr>
          <w:rFonts w:ascii="Cambria" w:hAnsi="Cambria"/>
        </w:rPr>
        <w:t>Atiyah</w:t>
      </w:r>
      <w:proofErr w:type="spellEnd"/>
      <w:r w:rsidRPr="00B57DC9">
        <w:rPr>
          <w:rFonts w:ascii="Cambria" w:hAnsi="Cambria"/>
        </w:rPr>
        <w:t xml:space="preserve">, </w:t>
      </w:r>
      <w:proofErr w:type="gramStart"/>
      <w:r w:rsidRPr="00B57DC9">
        <w:rPr>
          <w:rFonts w:ascii="Cambria" w:hAnsi="Cambria"/>
          <w:i/>
        </w:rPr>
        <w:t>The</w:t>
      </w:r>
      <w:proofErr w:type="gramEnd"/>
      <w:r w:rsidRPr="00B57DC9">
        <w:rPr>
          <w:rFonts w:ascii="Cambria" w:hAnsi="Cambria"/>
          <w:i/>
        </w:rPr>
        <w:t xml:space="preserve"> Rise and Fall of Freedom of Contract </w:t>
      </w:r>
      <w:r w:rsidRPr="00B57DC9">
        <w:rPr>
          <w:rFonts w:ascii="Cambria" w:hAnsi="Cambria"/>
        </w:rPr>
        <w:t>(Oxford, Ox</w:t>
      </w:r>
      <w:r w:rsidR="002E438A" w:rsidRPr="00B57DC9">
        <w:rPr>
          <w:rFonts w:ascii="Cambria" w:hAnsi="Cambria"/>
        </w:rPr>
        <w:t>ford University Press, 1979); Gilmore</w:t>
      </w:r>
      <w:r w:rsidRPr="00B57DC9">
        <w:rPr>
          <w:rFonts w:ascii="Cambria" w:hAnsi="Cambria"/>
        </w:rPr>
        <w:t>, above n</w:t>
      </w:r>
      <w:r w:rsidR="002E438A" w:rsidRPr="00B57DC9">
        <w:rPr>
          <w:rFonts w:ascii="Cambria" w:hAnsi="Cambria"/>
        </w:rPr>
        <w:t xml:space="preserve"> </w:t>
      </w:r>
      <w:r w:rsidR="002E438A" w:rsidRPr="00B57DC9">
        <w:rPr>
          <w:rFonts w:ascii="Cambria" w:hAnsi="Cambria"/>
        </w:rPr>
        <w:fldChar w:fldCharType="begin"/>
      </w:r>
      <w:r w:rsidR="002E438A" w:rsidRPr="00B57DC9">
        <w:rPr>
          <w:rFonts w:ascii="Cambria" w:hAnsi="Cambria"/>
        </w:rPr>
        <w:instrText xml:space="preserve"> NOTEREF _Ref480743532 \h </w:instrText>
      </w:r>
      <w:r w:rsidR="00B57DC9">
        <w:rPr>
          <w:rFonts w:ascii="Cambria" w:hAnsi="Cambria"/>
        </w:rPr>
        <w:instrText xml:space="preserve"> \* MERGEFORMAT </w:instrText>
      </w:r>
      <w:r w:rsidR="002E438A" w:rsidRPr="00B57DC9">
        <w:rPr>
          <w:rFonts w:ascii="Cambria" w:hAnsi="Cambria"/>
        </w:rPr>
      </w:r>
      <w:r w:rsidR="002E438A" w:rsidRPr="00B57DC9">
        <w:rPr>
          <w:rFonts w:ascii="Cambria" w:hAnsi="Cambria"/>
        </w:rPr>
        <w:fldChar w:fldCharType="separate"/>
      </w:r>
      <w:r w:rsidR="00D52251">
        <w:rPr>
          <w:rFonts w:ascii="Cambria" w:hAnsi="Cambria"/>
        </w:rPr>
        <w:t>40</w:t>
      </w:r>
      <w:r w:rsidR="002E438A" w:rsidRPr="00B57DC9">
        <w:rPr>
          <w:rFonts w:ascii="Cambria" w:hAnsi="Cambria"/>
        </w:rPr>
        <w:fldChar w:fldCharType="end"/>
      </w:r>
      <w:r w:rsidRPr="00B57DC9">
        <w:rPr>
          <w:rFonts w:ascii="Cambria" w:hAnsi="Cambria"/>
        </w:rPr>
        <w:t>.</w:t>
      </w:r>
    </w:p>
  </w:footnote>
  <w:footnote w:id="53">
    <w:p w14:paraId="67AAFE0C" w14:textId="0086C741"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 xml:space="preserve">L Friedman, </w:t>
      </w:r>
      <w:r w:rsidRPr="00B57DC9">
        <w:rPr>
          <w:rFonts w:ascii="Cambria" w:hAnsi="Cambria"/>
          <w:i/>
        </w:rPr>
        <w:t xml:space="preserve">Total Justice, </w:t>
      </w:r>
      <w:r w:rsidRPr="00B57DC9">
        <w:rPr>
          <w:rFonts w:ascii="Cambria" w:hAnsi="Cambria"/>
        </w:rPr>
        <w:t xml:space="preserve">paperback </w:t>
      </w:r>
      <w:proofErr w:type="spellStart"/>
      <w:r w:rsidRPr="00B57DC9">
        <w:rPr>
          <w:rFonts w:ascii="Cambria" w:hAnsi="Cambria"/>
        </w:rPr>
        <w:t>edn</w:t>
      </w:r>
      <w:proofErr w:type="spellEnd"/>
      <w:r w:rsidRPr="00B57DC9">
        <w:rPr>
          <w:rFonts w:ascii="Cambria" w:hAnsi="Cambria"/>
        </w:rPr>
        <w:t xml:space="preserve"> (New York, Russell Sage, 1994).</w:t>
      </w:r>
      <w:proofErr w:type="gramEnd"/>
      <w:r w:rsidRPr="00B57DC9">
        <w:rPr>
          <w:rFonts w:ascii="Cambria" w:hAnsi="Cambria"/>
        </w:rPr>
        <w:t xml:space="preserve"> </w:t>
      </w:r>
    </w:p>
  </w:footnote>
  <w:footnote w:id="54">
    <w:p w14:paraId="3D912272" w14:textId="29F718D3"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ibid 76.</w:t>
      </w:r>
      <w:proofErr w:type="gramEnd"/>
    </w:p>
  </w:footnote>
  <w:footnote w:id="55">
    <w:p w14:paraId="70E509B8" w14:textId="62D4D307" w:rsidR="000B7A32" w:rsidRPr="009C3204"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 xml:space="preserve">For example, in order to solve problems of ‘remoteness’ after the </w:t>
      </w:r>
      <w:r w:rsidRPr="00B57DC9">
        <w:rPr>
          <w:rFonts w:ascii="Cambria" w:hAnsi="Cambria"/>
          <w:i/>
        </w:rPr>
        <w:t>Wagon Mound</w:t>
      </w:r>
      <w:r w:rsidRPr="00B57DC9">
        <w:rPr>
          <w:rFonts w:ascii="Cambria" w:hAnsi="Cambria"/>
        </w:rPr>
        <w:t xml:space="preserve">: see </w:t>
      </w:r>
      <w:r w:rsidR="00632797" w:rsidRPr="00B57DC9">
        <w:rPr>
          <w:rFonts w:ascii="Cambria" w:hAnsi="Cambria"/>
        </w:rPr>
        <w:t xml:space="preserve">Part </w:t>
      </w:r>
      <w:r w:rsidRPr="00B57DC9">
        <w:rPr>
          <w:rFonts w:ascii="Cambria" w:hAnsi="Cambria"/>
        </w:rPr>
        <w:t>IV below.</w:t>
      </w:r>
      <w:proofErr w:type="gramEnd"/>
    </w:p>
  </w:footnote>
  <w:footnote w:id="56">
    <w:p w14:paraId="30294E44" w14:textId="4944880B" w:rsidR="000B7A32" w:rsidRPr="009C3204" w:rsidRDefault="000B7A32">
      <w:pPr>
        <w:pStyle w:val="FootnoteText"/>
        <w:rPr>
          <w:rFonts w:ascii="Cambria" w:hAnsi="Cambria"/>
        </w:rPr>
      </w:pPr>
      <w:r w:rsidRPr="00A2446D">
        <w:rPr>
          <w:rStyle w:val="FootnoteReference"/>
          <w:rFonts w:ascii="Cambria" w:hAnsi="Cambria"/>
        </w:rPr>
        <w:footnoteRef/>
      </w:r>
      <w:r w:rsidRPr="00A2446D">
        <w:rPr>
          <w:rFonts w:ascii="Cambria" w:hAnsi="Cambria"/>
        </w:rPr>
        <w:t xml:space="preserve"> </w:t>
      </w:r>
      <w:proofErr w:type="gramStart"/>
      <w:r w:rsidRPr="00A2446D">
        <w:rPr>
          <w:rFonts w:ascii="Cambria" w:hAnsi="Cambria"/>
        </w:rPr>
        <w:t>n</w:t>
      </w:r>
      <w:proofErr w:type="gramEnd"/>
      <w:r w:rsidR="00C35E10" w:rsidRPr="00A2446D">
        <w:rPr>
          <w:rFonts w:ascii="Cambria" w:hAnsi="Cambria"/>
        </w:rPr>
        <w:t xml:space="preserve"> </w:t>
      </w:r>
      <w:r w:rsidR="00C35E10" w:rsidRPr="00A2446D">
        <w:rPr>
          <w:rFonts w:ascii="Cambria" w:hAnsi="Cambria"/>
        </w:rPr>
        <w:fldChar w:fldCharType="begin"/>
      </w:r>
      <w:r w:rsidR="00C35E10" w:rsidRPr="00A2446D">
        <w:rPr>
          <w:rFonts w:ascii="Cambria" w:hAnsi="Cambria"/>
        </w:rPr>
        <w:instrText xml:space="preserve"> NOTEREF _Ref480835433 \h  \* MERGEFORMAT </w:instrText>
      </w:r>
      <w:r w:rsidR="00C35E10" w:rsidRPr="00A2446D">
        <w:rPr>
          <w:rFonts w:ascii="Cambria" w:hAnsi="Cambria"/>
        </w:rPr>
      </w:r>
      <w:r w:rsidR="00C35E10" w:rsidRPr="00A2446D">
        <w:rPr>
          <w:rFonts w:ascii="Cambria" w:hAnsi="Cambria"/>
        </w:rPr>
        <w:fldChar w:fldCharType="separate"/>
      </w:r>
      <w:r w:rsidR="00D52251" w:rsidRPr="00A2446D">
        <w:rPr>
          <w:rFonts w:ascii="Cambria" w:hAnsi="Cambria"/>
        </w:rPr>
        <w:t>29</w:t>
      </w:r>
      <w:r w:rsidR="00C35E10" w:rsidRPr="00A2446D">
        <w:rPr>
          <w:rFonts w:ascii="Cambria" w:hAnsi="Cambria"/>
        </w:rPr>
        <w:fldChar w:fldCharType="end"/>
      </w:r>
      <w:r w:rsidRPr="00A2446D">
        <w:rPr>
          <w:rFonts w:ascii="Cambria" w:hAnsi="Cambria"/>
        </w:rPr>
        <w:t>.</w:t>
      </w:r>
    </w:p>
  </w:footnote>
  <w:footnote w:id="57">
    <w:p w14:paraId="39A298DB" w14:textId="5740A492"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005C19DA" w:rsidRPr="00B57DC9">
        <w:rPr>
          <w:rFonts w:ascii="Cambria" w:hAnsi="Cambria"/>
        </w:rPr>
        <w:t xml:space="preserve">R </w:t>
      </w:r>
      <w:r w:rsidRPr="00B57DC9">
        <w:rPr>
          <w:rFonts w:ascii="Cambria" w:hAnsi="Cambria"/>
        </w:rPr>
        <w:t xml:space="preserve">Lewis, ‘Insurance and the Tort System’ (2005) 25 </w:t>
      </w:r>
      <w:r w:rsidRPr="00B57DC9">
        <w:rPr>
          <w:rFonts w:ascii="Cambria" w:hAnsi="Cambria"/>
          <w:i/>
        </w:rPr>
        <w:t xml:space="preserve">Legal Studies </w:t>
      </w:r>
      <w:r w:rsidRPr="00B57DC9">
        <w:rPr>
          <w:rFonts w:ascii="Cambria" w:hAnsi="Cambria"/>
        </w:rPr>
        <w:t>85.</w:t>
      </w:r>
      <w:proofErr w:type="gramEnd"/>
    </w:p>
  </w:footnote>
  <w:footnote w:id="58">
    <w:p w14:paraId="311F93FD" w14:textId="3234A2ED"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The expression ‘security state’ is used by Friedman, above n</w:t>
      </w:r>
      <w:r w:rsidR="000E20F3" w:rsidRPr="00B57DC9">
        <w:rPr>
          <w:rFonts w:ascii="Cambria" w:hAnsi="Cambria"/>
        </w:rPr>
        <w:t xml:space="preserve"> </w:t>
      </w:r>
      <w:r w:rsidR="000E20F3" w:rsidRPr="00B57DC9">
        <w:rPr>
          <w:rFonts w:ascii="Cambria" w:hAnsi="Cambria"/>
        </w:rPr>
        <w:fldChar w:fldCharType="begin"/>
      </w:r>
      <w:r w:rsidR="000E20F3" w:rsidRPr="00B57DC9">
        <w:rPr>
          <w:rFonts w:ascii="Cambria" w:hAnsi="Cambria"/>
        </w:rPr>
        <w:instrText xml:space="preserve"> NOTEREF _Ref471149354 \h </w:instrText>
      </w:r>
      <w:r w:rsidR="00B57DC9">
        <w:rPr>
          <w:rFonts w:ascii="Cambria" w:hAnsi="Cambria"/>
        </w:rPr>
        <w:instrText xml:space="preserve"> \* MERGEFORMAT </w:instrText>
      </w:r>
      <w:r w:rsidR="000E20F3" w:rsidRPr="00B57DC9">
        <w:rPr>
          <w:rFonts w:ascii="Cambria" w:hAnsi="Cambria"/>
        </w:rPr>
      </w:r>
      <w:r w:rsidR="000E20F3" w:rsidRPr="00B57DC9">
        <w:rPr>
          <w:rFonts w:ascii="Cambria" w:hAnsi="Cambria"/>
        </w:rPr>
        <w:fldChar w:fldCharType="separate"/>
      </w:r>
      <w:r w:rsidR="00D52251">
        <w:rPr>
          <w:rFonts w:ascii="Cambria" w:hAnsi="Cambria"/>
        </w:rPr>
        <w:t>53</w:t>
      </w:r>
      <w:r w:rsidR="000E20F3" w:rsidRPr="00B57DC9">
        <w:rPr>
          <w:rFonts w:ascii="Cambria" w:hAnsi="Cambria"/>
        </w:rPr>
        <w:fldChar w:fldCharType="end"/>
      </w:r>
      <w:r w:rsidRPr="00B57DC9">
        <w:rPr>
          <w:rFonts w:ascii="Cambria" w:hAnsi="Cambria"/>
        </w:rPr>
        <w:t xml:space="preserve">, </w:t>
      </w:r>
      <w:proofErr w:type="spellStart"/>
      <w:r w:rsidRPr="00B57DC9">
        <w:rPr>
          <w:rFonts w:ascii="Cambria" w:hAnsi="Cambria"/>
        </w:rPr>
        <w:t>ch</w:t>
      </w:r>
      <w:proofErr w:type="spellEnd"/>
      <w:r w:rsidRPr="00B57DC9">
        <w:rPr>
          <w:rFonts w:ascii="Cambria" w:hAnsi="Cambria"/>
        </w:rPr>
        <w:t xml:space="preserve"> 4.</w:t>
      </w:r>
    </w:p>
  </w:footnote>
  <w:footnote w:id="59">
    <w:p w14:paraId="01F17B0F" w14:textId="5BE4D448"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This is when the paperback edition was published: see above n</w:t>
      </w:r>
      <w:r w:rsidR="000E20F3" w:rsidRPr="00B57DC9">
        <w:rPr>
          <w:rFonts w:ascii="Cambria" w:hAnsi="Cambria"/>
        </w:rPr>
        <w:t xml:space="preserve"> </w:t>
      </w:r>
      <w:r w:rsidR="000E20F3" w:rsidRPr="00B57DC9">
        <w:rPr>
          <w:rFonts w:ascii="Cambria" w:hAnsi="Cambria"/>
        </w:rPr>
        <w:fldChar w:fldCharType="begin"/>
      </w:r>
      <w:r w:rsidR="000E20F3" w:rsidRPr="00B57DC9">
        <w:rPr>
          <w:rFonts w:ascii="Cambria" w:hAnsi="Cambria"/>
        </w:rPr>
        <w:instrText xml:space="preserve"> NOTEREF _Ref471149354 \h </w:instrText>
      </w:r>
      <w:r w:rsidR="00DB0CB3" w:rsidRPr="00B57DC9">
        <w:rPr>
          <w:rFonts w:ascii="Cambria" w:hAnsi="Cambria"/>
        </w:rPr>
        <w:instrText xml:space="preserve"> \* MERGEFORMAT </w:instrText>
      </w:r>
      <w:r w:rsidR="000E20F3" w:rsidRPr="00B57DC9">
        <w:rPr>
          <w:rFonts w:ascii="Cambria" w:hAnsi="Cambria"/>
        </w:rPr>
      </w:r>
      <w:r w:rsidR="000E20F3" w:rsidRPr="00B57DC9">
        <w:rPr>
          <w:rFonts w:ascii="Cambria" w:hAnsi="Cambria"/>
        </w:rPr>
        <w:fldChar w:fldCharType="separate"/>
      </w:r>
      <w:r w:rsidR="00D52251">
        <w:rPr>
          <w:rFonts w:ascii="Cambria" w:hAnsi="Cambria"/>
        </w:rPr>
        <w:t>53</w:t>
      </w:r>
      <w:r w:rsidR="000E20F3" w:rsidRPr="00B57DC9">
        <w:rPr>
          <w:rFonts w:ascii="Cambria" w:hAnsi="Cambria"/>
        </w:rPr>
        <w:fldChar w:fldCharType="end"/>
      </w:r>
      <w:r w:rsidRPr="00B57DC9">
        <w:rPr>
          <w:rFonts w:ascii="Cambria" w:hAnsi="Cambria"/>
        </w:rPr>
        <w:t>.</w:t>
      </w:r>
    </w:p>
  </w:footnote>
  <w:footnote w:id="60">
    <w:p w14:paraId="4CE7FBD1" w14:textId="133D3331" w:rsidR="000B7A32" w:rsidRPr="009C3204"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 xml:space="preserve">PS </w:t>
      </w:r>
      <w:proofErr w:type="spellStart"/>
      <w:r w:rsidRPr="00B57DC9">
        <w:rPr>
          <w:rFonts w:ascii="Cambria" w:hAnsi="Cambria"/>
        </w:rPr>
        <w:t>Atiyah</w:t>
      </w:r>
      <w:proofErr w:type="spellEnd"/>
      <w:r w:rsidRPr="00B57DC9">
        <w:rPr>
          <w:rFonts w:ascii="Cambria" w:hAnsi="Cambria"/>
        </w:rPr>
        <w:t xml:space="preserve">, ‘Freedom of Contract and the New Right’, in PS </w:t>
      </w:r>
      <w:proofErr w:type="spellStart"/>
      <w:r w:rsidRPr="00B57DC9">
        <w:rPr>
          <w:rFonts w:ascii="Cambria" w:hAnsi="Cambria"/>
        </w:rPr>
        <w:t>Atiyah</w:t>
      </w:r>
      <w:proofErr w:type="spellEnd"/>
      <w:r w:rsidRPr="00B57DC9">
        <w:rPr>
          <w:rFonts w:ascii="Cambria" w:hAnsi="Cambria"/>
        </w:rPr>
        <w:t xml:space="preserve">, </w:t>
      </w:r>
      <w:r w:rsidRPr="00B57DC9">
        <w:rPr>
          <w:rFonts w:ascii="Cambria" w:hAnsi="Cambria"/>
          <w:i/>
        </w:rPr>
        <w:t xml:space="preserve">Essays in Contract </w:t>
      </w:r>
      <w:r w:rsidRPr="00B57DC9">
        <w:rPr>
          <w:rFonts w:ascii="Cambria" w:hAnsi="Cambria"/>
        </w:rPr>
        <w:t>(Oxford, Oxford University Press, 2001) 356.</w:t>
      </w:r>
      <w:proofErr w:type="gramEnd"/>
    </w:p>
  </w:footnote>
  <w:footnote w:id="61">
    <w:p w14:paraId="78A95E9C" w14:textId="4BB0ED95" w:rsidR="000B7A32" w:rsidRPr="00B57DC9" w:rsidRDefault="000B7A32">
      <w:pPr>
        <w:pStyle w:val="FootnoteText"/>
        <w:rPr>
          <w:rFonts w:ascii="Cambria" w:hAnsi="Cambria"/>
        </w:rPr>
      </w:pPr>
      <w:r w:rsidRPr="00B57DC9">
        <w:rPr>
          <w:rStyle w:val="FootnoteReference"/>
          <w:rFonts w:ascii="Cambria" w:hAnsi="Cambria"/>
        </w:rPr>
        <w:footnoteRef/>
      </w:r>
      <w:r w:rsidR="00DB0CB3" w:rsidRPr="00B57DC9">
        <w:rPr>
          <w:rFonts w:ascii="Cambria" w:hAnsi="Cambria"/>
        </w:rPr>
        <w:t xml:space="preserve"> </w:t>
      </w:r>
      <w:proofErr w:type="gramStart"/>
      <w:r w:rsidR="00DB0CB3" w:rsidRPr="00B57DC9">
        <w:rPr>
          <w:rFonts w:ascii="Cambria" w:hAnsi="Cambria"/>
        </w:rPr>
        <w:t xml:space="preserve">Braithwaite, above n </w:t>
      </w:r>
      <w:r w:rsidR="00DB0CB3" w:rsidRPr="00B57DC9">
        <w:rPr>
          <w:rFonts w:ascii="Cambria" w:hAnsi="Cambria"/>
        </w:rPr>
        <w:fldChar w:fldCharType="begin"/>
      </w:r>
      <w:r w:rsidR="00DB0CB3" w:rsidRPr="00B57DC9">
        <w:rPr>
          <w:rFonts w:ascii="Cambria" w:hAnsi="Cambria"/>
        </w:rPr>
        <w:instrText xml:space="preserve"> NOTEREF _Ref480741661 \h  \* MERGEFORMAT </w:instrText>
      </w:r>
      <w:r w:rsidR="00DB0CB3" w:rsidRPr="00B57DC9">
        <w:rPr>
          <w:rFonts w:ascii="Cambria" w:hAnsi="Cambria"/>
        </w:rPr>
      </w:r>
      <w:r w:rsidR="00DB0CB3" w:rsidRPr="00B57DC9">
        <w:rPr>
          <w:rFonts w:ascii="Cambria" w:hAnsi="Cambria"/>
        </w:rPr>
        <w:fldChar w:fldCharType="separate"/>
      </w:r>
      <w:r w:rsidR="00D52251">
        <w:rPr>
          <w:rFonts w:ascii="Cambria" w:hAnsi="Cambria"/>
        </w:rPr>
        <w:t>6</w:t>
      </w:r>
      <w:r w:rsidR="00DB0CB3" w:rsidRPr="00B57DC9">
        <w:rPr>
          <w:rFonts w:ascii="Cambria" w:hAnsi="Cambria"/>
        </w:rPr>
        <w:fldChar w:fldCharType="end"/>
      </w:r>
      <w:r w:rsidRPr="00B57DC9">
        <w:rPr>
          <w:rFonts w:ascii="Cambria" w:hAnsi="Cambria"/>
        </w:rPr>
        <w:t>.</w:t>
      </w:r>
      <w:proofErr w:type="gramEnd"/>
    </w:p>
  </w:footnote>
  <w:footnote w:id="62">
    <w:p w14:paraId="0BFC3CEB" w14:textId="2EDC7350"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Braithwaite’s influential discussion was aimed at criminologists, but drew on much broader regulatory theory to demonstrate the challenges for that discipline.</w:t>
      </w:r>
    </w:p>
  </w:footnote>
  <w:footnote w:id="63">
    <w:p w14:paraId="01BB9D0C" w14:textId="22DFBDA0"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spellStart"/>
      <w:r w:rsidRPr="00B57DC9">
        <w:rPr>
          <w:rFonts w:ascii="Cambria" w:hAnsi="Cambria"/>
          <w:i/>
        </w:rPr>
        <w:t>Anns</w:t>
      </w:r>
      <w:proofErr w:type="spellEnd"/>
      <w:r w:rsidRPr="00B57DC9">
        <w:rPr>
          <w:rFonts w:ascii="Cambria" w:hAnsi="Cambria"/>
          <w:i/>
        </w:rPr>
        <w:t xml:space="preserve"> v Merton </w:t>
      </w:r>
      <w:r w:rsidRPr="00B57DC9">
        <w:rPr>
          <w:rFonts w:ascii="Cambria" w:hAnsi="Cambria"/>
        </w:rPr>
        <w:t>[1978] AC 728, 751–2, setting out a general two stage ‘test’ for a duty of care in negligence.</w:t>
      </w:r>
    </w:p>
  </w:footnote>
  <w:footnote w:id="64">
    <w:p w14:paraId="4C45AD18" w14:textId="317D8868"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Examined by S Johal, M Moran, and K Williams, ‘Power, Politics and the City of London after the Great Financial Crisis’ (2014) 49 </w:t>
      </w:r>
      <w:proofErr w:type="gramStart"/>
      <w:r w:rsidRPr="00B57DC9">
        <w:rPr>
          <w:rFonts w:ascii="Cambria" w:hAnsi="Cambria"/>
          <w:i/>
        </w:rPr>
        <w:t>Government</w:t>
      </w:r>
      <w:proofErr w:type="gramEnd"/>
      <w:r w:rsidRPr="00B57DC9">
        <w:rPr>
          <w:rFonts w:ascii="Cambria" w:hAnsi="Cambria"/>
          <w:i/>
        </w:rPr>
        <w:t xml:space="preserve"> and Opposition </w:t>
      </w:r>
      <w:r w:rsidRPr="00B57DC9">
        <w:rPr>
          <w:rFonts w:ascii="Cambria" w:hAnsi="Cambria"/>
        </w:rPr>
        <w:t>400.</w:t>
      </w:r>
    </w:p>
  </w:footnote>
  <w:footnote w:id="65">
    <w:p w14:paraId="7E652081" w14:textId="0200A1AC" w:rsidR="000B7A32" w:rsidRPr="00B57DC9" w:rsidRDefault="000B7A32">
      <w:pPr>
        <w:pStyle w:val="FootnoteText"/>
        <w:rPr>
          <w:rFonts w:ascii="Cambria" w:hAnsi="Cambria"/>
        </w:rPr>
      </w:pPr>
      <w:r w:rsidRPr="00B57DC9">
        <w:rPr>
          <w:rStyle w:val="FootnoteReference"/>
          <w:rFonts w:ascii="Cambria" w:hAnsi="Cambria"/>
        </w:rPr>
        <w:footnoteRef/>
      </w:r>
      <w:r w:rsidR="00DB0CB3" w:rsidRPr="00B57DC9">
        <w:rPr>
          <w:rFonts w:ascii="Cambria" w:hAnsi="Cambria"/>
        </w:rPr>
        <w:t xml:space="preserve"> </w:t>
      </w:r>
      <w:proofErr w:type="gramStart"/>
      <w:r w:rsidR="00DB0CB3" w:rsidRPr="00B57DC9">
        <w:rPr>
          <w:rFonts w:ascii="Cambria" w:hAnsi="Cambria"/>
        </w:rPr>
        <w:t xml:space="preserve">Braithwaite, above n </w:t>
      </w:r>
      <w:r w:rsidR="00DB0CB3" w:rsidRPr="00B57DC9">
        <w:rPr>
          <w:rFonts w:ascii="Cambria" w:hAnsi="Cambria"/>
        </w:rPr>
        <w:fldChar w:fldCharType="begin"/>
      </w:r>
      <w:r w:rsidR="00DB0CB3" w:rsidRPr="00B57DC9">
        <w:rPr>
          <w:rFonts w:ascii="Cambria" w:hAnsi="Cambria"/>
        </w:rPr>
        <w:instrText xml:space="preserve"> NOTEREF _Ref480741661 \h  \* MERGEFORMAT </w:instrText>
      </w:r>
      <w:r w:rsidR="00DB0CB3" w:rsidRPr="00B57DC9">
        <w:rPr>
          <w:rFonts w:ascii="Cambria" w:hAnsi="Cambria"/>
        </w:rPr>
      </w:r>
      <w:r w:rsidR="00DB0CB3" w:rsidRPr="00B57DC9">
        <w:rPr>
          <w:rFonts w:ascii="Cambria" w:hAnsi="Cambria"/>
        </w:rPr>
        <w:fldChar w:fldCharType="separate"/>
      </w:r>
      <w:r w:rsidR="00D52251">
        <w:rPr>
          <w:rFonts w:ascii="Cambria" w:hAnsi="Cambria"/>
        </w:rPr>
        <w:t>6</w:t>
      </w:r>
      <w:r w:rsidR="00DB0CB3" w:rsidRPr="00B57DC9">
        <w:rPr>
          <w:rFonts w:ascii="Cambria" w:hAnsi="Cambria"/>
        </w:rPr>
        <w:fldChar w:fldCharType="end"/>
      </w:r>
      <w:r w:rsidRPr="00B57DC9">
        <w:rPr>
          <w:rFonts w:ascii="Cambria" w:hAnsi="Cambria"/>
        </w:rPr>
        <w:t>.</w:t>
      </w:r>
      <w:proofErr w:type="gramEnd"/>
    </w:p>
  </w:footnote>
  <w:footnote w:id="66">
    <w:p w14:paraId="3B2DD11F" w14:textId="582D0876"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L Godden, F Rochford, J Peel, L </w:t>
      </w:r>
      <w:proofErr w:type="spellStart"/>
      <w:r w:rsidRPr="00B57DC9">
        <w:rPr>
          <w:rFonts w:ascii="Cambria" w:hAnsi="Cambria"/>
        </w:rPr>
        <w:t>Caripis</w:t>
      </w:r>
      <w:proofErr w:type="spellEnd"/>
      <w:r w:rsidRPr="00B57DC9">
        <w:rPr>
          <w:rFonts w:ascii="Cambria" w:hAnsi="Cambria"/>
        </w:rPr>
        <w:t xml:space="preserve"> and R Carter, above n </w:t>
      </w:r>
      <w:r w:rsidR="00DB0CB3" w:rsidRPr="00B57DC9">
        <w:rPr>
          <w:rFonts w:ascii="Cambria" w:hAnsi="Cambria"/>
        </w:rPr>
        <w:fldChar w:fldCharType="begin"/>
      </w:r>
      <w:r w:rsidR="00DB0CB3" w:rsidRPr="00B57DC9">
        <w:rPr>
          <w:rFonts w:ascii="Cambria" w:hAnsi="Cambria"/>
        </w:rPr>
        <w:instrText xml:space="preserve"> NOTEREF _Ref480742268 \h  \* MERGEFORMAT </w:instrText>
      </w:r>
      <w:r w:rsidR="00DB0CB3" w:rsidRPr="00B57DC9">
        <w:rPr>
          <w:rFonts w:ascii="Cambria" w:hAnsi="Cambria"/>
        </w:rPr>
      </w:r>
      <w:r w:rsidR="00DB0CB3" w:rsidRPr="00B57DC9">
        <w:rPr>
          <w:rFonts w:ascii="Cambria" w:hAnsi="Cambria"/>
        </w:rPr>
        <w:fldChar w:fldCharType="separate"/>
      </w:r>
      <w:r w:rsidR="00D52251">
        <w:rPr>
          <w:rFonts w:ascii="Cambria" w:hAnsi="Cambria"/>
        </w:rPr>
        <w:t>9</w:t>
      </w:r>
      <w:r w:rsidR="00DB0CB3" w:rsidRPr="00B57DC9">
        <w:rPr>
          <w:rFonts w:ascii="Cambria" w:hAnsi="Cambria"/>
        </w:rPr>
        <w:fldChar w:fldCharType="end"/>
      </w:r>
      <w:r w:rsidRPr="00B57DC9">
        <w:rPr>
          <w:rFonts w:ascii="Cambria" w:hAnsi="Cambria"/>
        </w:rPr>
        <w:t xml:space="preserve">, 234; Black, above n </w:t>
      </w:r>
      <w:r w:rsidR="00DB0CB3" w:rsidRPr="00B57DC9">
        <w:rPr>
          <w:rFonts w:ascii="Cambria" w:hAnsi="Cambria"/>
        </w:rPr>
        <w:fldChar w:fldCharType="begin"/>
      </w:r>
      <w:r w:rsidR="00DB0CB3" w:rsidRPr="00B57DC9">
        <w:rPr>
          <w:rFonts w:ascii="Cambria" w:hAnsi="Cambria"/>
        </w:rPr>
        <w:instrText xml:space="preserve"> NOTEREF _Ref480741692 \h  \* MERGEFORMAT </w:instrText>
      </w:r>
      <w:r w:rsidR="00DB0CB3" w:rsidRPr="00B57DC9">
        <w:rPr>
          <w:rFonts w:ascii="Cambria" w:hAnsi="Cambria"/>
        </w:rPr>
      </w:r>
      <w:r w:rsidR="00DB0CB3" w:rsidRPr="00B57DC9">
        <w:rPr>
          <w:rFonts w:ascii="Cambria" w:hAnsi="Cambria"/>
        </w:rPr>
        <w:fldChar w:fldCharType="separate"/>
      </w:r>
      <w:r w:rsidR="00D52251">
        <w:rPr>
          <w:rFonts w:ascii="Cambria" w:hAnsi="Cambria"/>
        </w:rPr>
        <w:t>8</w:t>
      </w:r>
      <w:r w:rsidR="00DB0CB3" w:rsidRPr="00B57DC9">
        <w:rPr>
          <w:rFonts w:ascii="Cambria" w:hAnsi="Cambria"/>
        </w:rPr>
        <w:fldChar w:fldCharType="end"/>
      </w:r>
      <w:r w:rsidRPr="00B57DC9">
        <w:rPr>
          <w:rFonts w:ascii="Cambria" w:hAnsi="Cambria"/>
        </w:rPr>
        <w:t xml:space="preserve">; Rothstein, Huber and Gaskell, above n </w:t>
      </w:r>
      <w:r w:rsidR="00DB0CB3" w:rsidRPr="00B57DC9">
        <w:rPr>
          <w:rFonts w:ascii="Cambria" w:hAnsi="Cambria"/>
        </w:rPr>
        <w:fldChar w:fldCharType="begin"/>
      </w:r>
      <w:r w:rsidR="00DB0CB3" w:rsidRPr="00B57DC9">
        <w:rPr>
          <w:rFonts w:ascii="Cambria" w:hAnsi="Cambria"/>
        </w:rPr>
        <w:instrText xml:space="preserve"> NOTEREF _Ref480742324 \h  \* MERGEFORMAT </w:instrText>
      </w:r>
      <w:r w:rsidR="00DB0CB3" w:rsidRPr="00B57DC9">
        <w:rPr>
          <w:rFonts w:ascii="Cambria" w:hAnsi="Cambria"/>
        </w:rPr>
      </w:r>
      <w:r w:rsidR="00DB0CB3" w:rsidRPr="00B57DC9">
        <w:rPr>
          <w:rFonts w:ascii="Cambria" w:hAnsi="Cambria"/>
        </w:rPr>
        <w:fldChar w:fldCharType="separate"/>
      </w:r>
      <w:r w:rsidR="00D52251">
        <w:rPr>
          <w:rFonts w:ascii="Cambria" w:hAnsi="Cambria"/>
        </w:rPr>
        <w:t>32</w:t>
      </w:r>
      <w:r w:rsidR="00DB0CB3" w:rsidRPr="00B57DC9">
        <w:rPr>
          <w:rFonts w:ascii="Cambria" w:hAnsi="Cambria"/>
        </w:rPr>
        <w:fldChar w:fldCharType="end"/>
      </w:r>
      <w:r w:rsidRPr="00B57DC9">
        <w:rPr>
          <w:rFonts w:ascii="Cambria" w:hAnsi="Cambria"/>
        </w:rPr>
        <w:t>.</w:t>
      </w:r>
    </w:p>
  </w:footnote>
  <w:footnote w:id="67">
    <w:p w14:paraId="1A8614D6" w14:textId="0E212DB9" w:rsidR="000B7A32" w:rsidRPr="009C3204"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Through notions such as ‘compensation culture’ and a returning, rhetorical attachment to ‘responsibility’.</w:t>
      </w:r>
      <w:proofErr w:type="gramEnd"/>
    </w:p>
  </w:footnote>
  <w:footnote w:id="68">
    <w:p w14:paraId="592B0816" w14:textId="4FB14741"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Consumers, for example, may continue to be framed as vulnerable and in need of protection. </w:t>
      </w:r>
    </w:p>
  </w:footnote>
  <w:footnote w:id="69">
    <w:p w14:paraId="59540772" w14:textId="41165559"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See M Simpson, ‘“Designed to reduce people … to complete destitution”: human dignity in the active welfare state’ (2015) 1 </w:t>
      </w:r>
      <w:r w:rsidR="008F1A18" w:rsidRPr="00B57DC9">
        <w:rPr>
          <w:rFonts w:ascii="Cambria" w:hAnsi="Cambria"/>
          <w:i/>
        </w:rPr>
        <w:t>European Human Rights Law Review</w:t>
      </w:r>
      <w:r w:rsidRPr="00B57DC9">
        <w:rPr>
          <w:rFonts w:ascii="Cambria" w:hAnsi="Cambria"/>
        </w:rPr>
        <w:t xml:space="preserve"> 66.</w:t>
      </w:r>
    </w:p>
  </w:footnote>
  <w:footnote w:id="70">
    <w:p w14:paraId="1FB87F74" w14:textId="10A8C7A5"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In the UK, this was reflected in much of the ‘leave’ campaign during the ‘Brexit’ referendum of 2016. See now Prime Minister Theresa May’s stated preference, in her previous role as Home Secretary, to deprioritise the children of those who enter the country illegally when allocating school places: </w:t>
      </w:r>
      <w:r w:rsidR="001709C5" w:rsidRPr="00B57DC9">
        <w:rPr>
          <w:rFonts w:ascii="Cambria" w:hAnsi="Cambria"/>
        </w:rPr>
        <w:t xml:space="preserve">L </w:t>
      </w:r>
      <w:proofErr w:type="spellStart"/>
      <w:r w:rsidR="001709C5" w:rsidRPr="00B57DC9">
        <w:rPr>
          <w:rFonts w:ascii="Cambria" w:hAnsi="Cambria"/>
        </w:rPr>
        <w:t>Kuenssberg</w:t>
      </w:r>
      <w:proofErr w:type="spellEnd"/>
      <w:r w:rsidR="001709C5" w:rsidRPr="00B57DC9">
        <w:rPr>
          <w:rFonts w:ascii="Cambria" w:hAnsi="Cambria"/>
        </w:rPr>
        <w:t xml:space="preserve">, ‘Theresa May had plan to deprioritise illegal migrant pupils’ </w:t>
      </w:r>
      <w:r w:rsidR="008B7B4C" w:rsidRPr="00B57DC9">
        <w:rPr>
          <w:rFonts w:ascii="Cambria" w:hAnsi="Cambria"/>
          <w:i/>
        </w:rPr>
        <w:t xml:space="preserve">BBC </w:t>
      </w:r>
      <w:r w:rsidR="001709C5" w:rsidRPr="00B57DC9">
        <w:rPr>
          <w:rFonts w:ascii="Cambria" w:hAnsi="Cambria"/>
        </w:rPr>
        <w:t xml:space="preserve">(London, 1 December 2016) </w:t>
      </w:r>
      <w:r w:rsidRPr="00B57DC9">
        <w:rPr>
          <w:rFonts w:ascii="Cambria" w:hAnsi="Cambria"/>
        </w:rPr>
        <w:t xml:space="preserve">http://www.bbc.co.uk/news/uk-politics-38165395. </w:t>
      </w:r>
    </w:p>
  </w:footnote>
  <w:footnote w:id="71">
    <w:p w14:paraId="22B6C48B" w14:textId="6669CA00"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spellStart"/>
      <w:proofErr w:type="gramStart"/>
      <w:r w:rsidRPr="00B57DC9">
        <w:rPr>
          <w:rFonts w:ascii="Cambria" w:hAnsi="Cambria"/>
        </w:rPr>
        <w:t>Merkin</w:t>
      </w:r>
      <w:proofErr w:type="spellEnd"/>
      <w:r w:rsidRPr="00B57DC9">
        <w:rPr>
          <w:rFonts w:ascii="Cambria" w:hAnsi="Cambria"/>
        </w:rPr>
        <w:t xml:space="preserve"> and Steele, above n</w:t>
      </w:r>
      <w:r w:rsidR="008F1A18" w:rsidRPr="00B57DC9">
        <w:rPr>
          <w:rFonts w:ascii="Cambria" w:hAnsi="Cambria"/>
        </w:rPr>
        <w:t xml:space="preserve"> </w:t>
      </w:r>
      <w:r w:rsidR="008F1A18" w:rsidRPr="00B57DC9">
        <w:rPr>
          <w:rFonts w:ascii="Cambria" w:hAnsi="Cambria"/>
        </w:rPr>
        <w:fldChar w:fldCharType="begin"/>
      </w:r>
      <w:r w:rsidR="008F1A18" w:rsidRPr="00B57DC9">
        <w:rPr>
          <w:rFonts w:ascii="Cambria" w:hAnsi="Cambria"/>
        </w:rPr>
        <w:instrText xml:space="preserve"> NOTEREF _Ref480742479 \h  \* MERGEFORMAT </w:instrText>
      </w:r>
      <w:r w:rsidR="008F1A18" w:rsidRPr="00B57DC9">
        <w:rPr>
          <w:rFonts w:ascii="Cambria" w:hAnsi="Cambria"/>
        </w:rPr>
      </w:r>
      <w:r w:rsidR="008F1A18" w:rsidRPr="00B57DC9">
        <w:rPr>
          <w:rFonts w:ascii="Cambria" w:hAnsi="Cambria"/>
        </w:rPr>
        <w:fldChar w:fldCharType="separate"/>
      </w:r>
      <w:r w:rsidR="00D52251">
        <w:rPr>
          <w:rFonts w:ascii="Cambria" w:hAnsi="Cambria"/>
        </w:rPr>
        <w:t>46</w:t>
      </w:r>
      <w:r w:rsidR="008F1A18" w:rsidRPr="00B57DC9">
        <w:rPr>
          <w:rFonts w:ascii="Cambria" w:hAnsi="Cambria"/>
        </w:rPr>
        <w:fldChar w:fldCharType="end"/>
      </w:r>
      <w:r w:rsidRPr="00B57DC9">
        <w:rPr>
          <w:rFonts w:ascii="Cambria" w:hAnsi="Cambria"/>
        </w:rPr>
        <w:t xml:space="preserve">, </w:t>
      </w:r>
      <w:proofErr w:type="spellStart"/>
      <w:r w:rsidRPr="00B57DC9">
        <w:rPr>
          <w:rFonts w:ascii="Cambria" w:hAnsi="Cambria"/>
        </w:rPr>
        <w:t>ch</w:t>
      </w:r>
      <w:proofErr w:type="spellEnd"/>
      <w:r w:rsidRPr="00B57DC9">
        <w:rPr>
          <w:rFonts w:ascii="Cambria" w:hAnsi="Cambria"/>
        </w:rPr>
        <w:t xml:space="preserve"> 7.</w:t>
      </w:r>
      <w:proofErr w:type="gramEnd"/>
    </w:p>
  </w:footnote>
  <w:footnote w:id="72">
    <w:p w14:paraId="2FC5F21F" w14:textId="120E43F5"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This point was very clearly made by Kenneth Abraham: K Abraham, </w:t>
      </w:r>
      <w:r w:rsidRPr="00B57DC9">
        <w:rPr>
          <w:rFonts w:ascii="Cambria" w:hAnsi="Cambria"/>
          <w:i/>
        </w:rPr>
        <w:t xml:space="preserve">The Liability Century: Insurance and Tort Law from the Progressive Era to 9/11 </w:t>
      </w:r>
      <w:r w:rsidR="008F1A18" w:rsidRPr="00B57DC9">
        <w:rPr>
          <w:rFonts w:ascii="Cambria" w:hAnsi="Cambria"/>
        </w:rPr>
        <w:t>(Cambridge,</w:t>
      </w:r>
      <w:r w:rsidRPr="00B57DC9">
        <w:rPr>
          <w:rFonts w:ascii="Cambria" w:hAnsi="Cambria"/>
        </w:rPr>
        <w:t xml:space="preserve"> Harvard University Press, 2008). </w:t>
      </w:r>
    </w:p>
  </w:footnote>
  <w:footnote w:id="73">
    <w:p w14:paraId="29276EE1" w14:textId="4A64ECA3" w:rsidR="000B7A32" w:rsidRPr="009C3204"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In the UK, this is exemplified by </w:t>
      </w:r>
      <w:proofErr w:type="spellStart"/>
      <w:r w:rsidRPr="00B57DC9">
        <w:rPr>
          <w:rFonts w:ascii="Cambria" w:hAnsi="Cambria"/>
          <w:i/>
        </w:rPr>
        <w:t>Caparo</w:t>
      </w:r>
      <w:proofErr w:type="spellEnd"/>
      <w:r w:rsidRPr="00B57DC9">
        <w:rPr>
          <w:rFonts w:ascii="Cambria" w:hAnsi="Cambria"/>
          <w:i/>
        </w:rPr>
        <w:t xml:space="preserve"> v </w:t>
      </w:r>
      <w:proofErr w:type="spellStart"/>
      <w:r w:rsidRPr="00B57DC9">
        <w:rPr>
          <w:rFonts w:ascii="Cambria" w:hAnsi="Cambria"/>
          <w:i/>
        </w:rPr>
        <w:t>Dickman</w:t>
      </w:r>
      <w:proofErr w:type="spellEnd"/>
      <w:r w:rsidRPr="00B57DC9">
        <w:rPr>
          <w:rFonts w:ascii="Cambria" w:hAnsi="Cambria"/>
          <w:i/>
        </w:rPr>
        <w:t xml:space="preserve"> </w:t>
      </w:r>
      <w:r w:rsidRPr="00B57DC9">
        <w:rPr>
          <w:rFonts w:ascii="Cambria" w:hAnsi="Cambria"/>
        </w:rPr>
        <w:t>[1990] 2 AC 605,</w:t>
      </w:r>
      <w:r w:rsidRPr="00B57DC9">
        <w:rPr>
          <w:rFonts w:ascii="Cambria" w:hAnsi="Cambria"/>
          <w:i/>
        </w:rPr>
        <w:t xml:space="preserve"> </w:t>
      </w:r>
      <w:r w:rsidRPr="00B57DC9">
        <w:rPr>
          <w:rFonts w:ascii="Cambria" w:hAnsi="Cambria"/>
        </w:rPr>
        <w:t>and the subsequent developments of its ‘fair, just and reasonable’ and ‘proximity’ heads.</w:t>
      </w:r>
    </w:p>
  </w:footnote>
  <w:footnote w:id="74">
    <w:p w14:paraId="078770FB" w14:textId="5AB343A5"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This is not to reject the sceptical academic claim that these concepts themselves are or may be used to give effect to policy judgments.</w:t>
      </w:r>
      <w:r w:rsidR="006361C1">
        <w:rPr>
          <w:rFonts w:ascii="Cambria" w:hAnsi="Cambria"/>
        </w:rPr>
        <w:t xml:space="preserve"> </w:t>
      </w:r>
      <w:r w:rsidRPr="00B57DC9">
        <w:rPr>
          <w:rFonts w:ascii="Cambria" w:hAnsi="Cambria"/>
        </w:rPr>
        <w:t>But policy arguments are at least moderated by the attempt to fit t</w:t>
      </w:r>
      <w:r w:rsidR="008F1A18" w:rsidRPr="00B57DC9">
        <w:rPr>
          <w:rFonts w:ascii="Cambria" w:hAnsi="Cambria"/>
        </w:rPr>
        <w:t>hem to the applicable concepts —</w:t>
      </w:r>
      <w:r w:rsidRPr="00B57DC9">
        <w:rPr>
          <w:rFonts w:ascii="Cambria" w:hAnsi="Cambria"/>
        </w:rPr>
        <w:t xml:space="preserve"> and it is lik</w:t>
      </w:r>
      <w:r w:rsidR="008F1A18" w:rsidRPr="00B57DC9">
        <w:rPr>
          <w:rFonts w:ascii="Cambria" w:hAnsi="Cambria"/>
        </w:rPr>
        <w:t>ely that this is the intention —</w:t>
      </w:r>
      <w:r w:rsidRPr="00B57DC9">
        <w:rPr>
          <w:rFonts w:ascii="Cambria" w:hAnsi="Cambria"/>
        </w:rPr>
        <w:t xml:space="preserve"> to narrow and shape the available reasons. Indeed, the existence of any legal concept will guide and influence the perception of applicable reasons to some extent, however malleable.</w:t>
      </w:r>
    </w:p>
  </w:footnote>
  <w:footnote w:id="75">
    <w:p w14:paraId="6E3B0258" w14:textId="2B19C121"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O</w:t>
      </w:r>
      <w:r w:rsidR="009864D9" w:rsidRPr="00B57DC9">
        <w:rPr>
          <w:rFonts w:ascii="Cambria" w:hAnsi="Cambria"/>
        </w:rPr>
        <w:t xml:space="preserve">n tort reform in Australia, see, </w:t>
      </w:r>
      <w:proofErr w:type="spellStart"/>
      <w:r w:rsidR="009864D9" w:rsidRPr="00B57DC9">
        <w:rPr>
          <w:rFonts w:ascii="Cambria" w:hAnsi="Cambria"/>
        </w:rPr>
        <w:t>eg</w:t>
      </w:r>
      <w:proofErr w:type="spellEnd"/>
      <w:r w:rsidR="009864D9" w:rsidRPr="00B57DC9">
        <w:rPr>
          <w:rFonts w:ascii="Cambria" w:hAnsi="Cambria"/>
        </w:rPr>
        <w:t xml:space="preserve">, </w:t>
      </w:r>
      <w:r w:rsidRPr="00B57DC9">
        <w:rPr>
          <w:rFonts w:ascii="Cambria" w:hAnsi="Cambria"/>
        </w:rPr>
        <w:t xml:space="preserve">B McDonald, ‘Legislative Intervention in the Law of Negligence: The Common Law, Statutory Interpretation and Tort Reform in Australia’ (2005) 27 </w:t>
      </w:r>
      <w:r w:rsidRPr="00B57DC9">
        <w:rPr>
          <w:rFonts w:ascii="Cambria" w:hAnsi="Cambria"/>
          <w:i/>
        </w:rPr>
        <w:t>Sydney Law Review</w:t>
      </w:r>
      <w:r w:rsidRPr="00B57DC9">
        <w:rPr>
          <w:rFonts w:ascii="Cambria" w:hAnsi="Cambria"/>
        </w:rPr>
        <w:t xml:space="preserve"> 443; K Burns, ‘Distorting the Law: Politics, Media and the Litigation Crisis: an Australian Perspective’ (2007) 15 </w:t>
      </w:r>
      <w:r w:rsidRPr="00B57DC9">
        <w:rPr>
          <w:rFonts w:ascii="Cambria" w:hAnsi="Cambria"/>
          <w:i/>
        </w:rPr>
        <w:t xml:space="preserve">Tort Law Journal </w:t>
      </w:r>
      <w:r w:rsidRPr="00B57DC9">
        <w:rPr>
          <w:rFonts w:ascii="Cambria" w:hAnsi="Cambria"/>
        </w:rPr>
        <w:t>195.</w:t>
      </w:r>
    </w:p>
  </w:footnote>
  <w:footnote w:id="76">
    <w:p w14:paraId="30F00957" w14:textId="29EEEB63" w:rsidR="000B7A32" w:rsidRPr="009C3204"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This can only be stated to be ‘on the whole’. The availability of tort law as a resource for litigants is heavily affected by legislative reform of costs, for example </w:t>
      </w:r>
      <w:r w:rsidRPr="00B57DC9">
        <w:rPr>
          <w:rFonts w:ascii="Cambria" w:hAnsi="Cambria"/>
          <w:sz w:val="24"/>
          <w:szCs w:val="24"/>
        </w:rPr>
        <w:t>—</w:t>
      </w:r>
      <w:r w:rsidRPr="00B57DC9">
        <w:rPr>
          <w:rFonts w:ascii="Cambria" w:hAnsi="Cambria"/>
        </w:rPr>
        <w:t xml:space="preserve"> though here, senior members of the judiciary were closely involved in reshaping the applicable regime: see for example </w:t>
      </w:r>
      <w:r w:rsidR="00CE3219" w:rsidRPr="00B57DC9">
        <w:rPr>
          <w:rFonts w:ascii="Cambria" w:hAnsi="Cambria"/>
        </w:rPr>
        <w:t>R Jackson</w:t>
      </w:r>
      <w:r w:rsidRPr="00B57DC9">
        <w:rPr>
          <w:rFonts w:ascii="Cambria" w:hAnsi="Cambria"/>
        </w:rPr>
        <w:t xml:space="preserve">, </w:t>
      </w:r>
      <w:r w:rsidRPr="00B57DC9">
        <w:rPr>
          <w:rFonts w:ascii="Cambria" w:hAnsi="Cambria"/>
          <w:i/>
        </w:rPr>
        <w:t xml:space="preserve">Review of Civil Litigation Costs: Final Report </w:t>
      </w:r>
      <w:r w:rsidR="00CE3219" w:rsidRPr="00B57DC9">
        <w:rPr>
          <w:rFonts w:ascii="Cambria" w:hAnsi="Cambria"/>
        </w:rPr>
        <w:t>(HMSO, 2010</w:t>
      </w:r>
      <w:r w:rsidRPr="00B57DC9">
        <w:rPr>
          <w:rFonts w:ascii="Cambria" w:hAnsi="Cambria"/>
        </w:rPr>
        <w:t>). More clearly, reform of employers’ liability by removing civil remedies from a vast array of safety legislation is a significant outside intervention, again appearing like a reinstatement of an earlier conception of individual responsibility and deregulation: Enterprise and Regulatory Reform Act 2013 (UK) s 69.</w:t>
      </w:r>
    </w:p>
  </w:footnote>
  <w:footnote w:id="77">
    <w:p w14:paraId="509E4895" w14:textId="44DA2F6F" w:rsidR="000B7A32" w:rsidRPr="009C3204"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Given the notion of individuals as risk entrepreneurs, this could in principle include individuals, as well as the more obvious market and insurance participants. Lawyers too must manage litigation risk; in the UK, evolving models of funding make this a central part of their activities.</w:t>
      </w:r>
    </w:p>
  </w:footnote>
  <w:footnote w:id="78">
    <w:p w14:paraId="277566AD" w14:textId="15939B9D" w:rsidR="000B7A32" w:rsidRPr="009C3204"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This does not mean that private law has no important functions in relation to constitutional questions, for example. But in Friedman’s sense, it has become less welfare-oriented.</w:t>
      </w:r>
    </w:p>
  </w:footnote>
  <w:footnote w:id="79">
    <w:p w14:paraId="19B1DD27" w14:textId="6523F159" w:rsidR="000B7A32" w:rsidRPr="009C3204" w:rsidRDefault="000B7A32">
      <w:pPr>
        <w:pStyle w:val="FootnoteText"/>
        <w:rPr>
          <w:rFonts w:ascii="Cambria" w:hAnsi="Cambria"/>
        </w:rPr>
      </w:pPr>
      <w:r w:rsidRPr="00A2446D">
        <w:rPr>
          <w:rStyle w:val="FootnoteReference"/>
          <w:rFonts w:ascii="Cambria" w:hAnsi="Cambria"/>
        </w:rPr>
        <w:footnoteRef/>
      </w:r>
      <w:r w:rsidR="00707482" w:rsidRPr="00A2446D">
        <w:rPr>
          <w:rFonts w:ascii="Cambria" w:hAnsi="Cambria"/>
        </w:rPr>
        <w:t xml:space="preserve"> </w:t>
      </w:r>
      <w:proofErr w:type="gramStart"/>
      <w:r w:rsidR="00707482" w:rsidRPr="00A2446D">
        <w:rPr>
          <w:rFonts w:ascii="Cambria" w:hAnsi="Cambria"/>
        </w:rPr>
        <w:t>n</w:t>
      </w:r>
      <w:proofErr w:type="gramEnd"/>
      <w:r w:rsidR="00707482" w:rsidRPr="00A2446D">
        <w:rPr>
          <w:rFonts w:ascii="Cambria" w:hAnsi="Cambria"/>
        </w:rPr>
        <w:t xml:space="preserve"> </w:t>
      </w:r>
      <w:r w:rsidR="00707482" w:rsidRPr="00A2446D">
        <w:rPr>
          <w:rFonts w:ascii="Cambria" w:hAnsi="Cambria"/>
        </w:rPr>
        <w:fldChar w:fldCharType="begin"/>
      </w:r>
      <w:r w:rsidR="00707482" w:rsidRPr="00A2446D">
        <w:rPr>
          <w:rFonts w:ascii="Cambria" w:hAnsi="Cambria"/>
        </w:rPr>
        <w:instrText xml:space="preserve"> NOTEREF _Ref480835433 \h  \* MERGEFORMAT </w:instrText>
      </w:r>
      <w:r w:rsidR="00707482" w:rsidRPr="00A2446D">
        <w:rPr>
          <w:rFonts w:ascii="Cambria" w:hAnsi="Cambria"/>
        </w:rPr>
      </w:r>
      <w:r w:rsidR="00707482" w:rsidRPr="00A2446D">
        <w:rPr>
          <w:rFonts w:ascii="Cambria" w:hAnsi="Cambria"/>
        </w:rPr>
        <w:fldChar w:fldCharType="separate"/>
      </w:r>
      <w:r w:rsidR="00D52251" w:rsidRPr="00A2446D">
        <w:rPr>
          <w:rFonts w:ascii="Cambria" w:hAnsi="Cambria"/>
        </w:rPr>
        <w:t>29</w:t>
      </w:r>
      <w:r w:rsidR="00707482" w:rsidRPr="00A2446D">
        <w:rPr>
          <w:rFonts w:ascii="Cambria" w:hAnsi="Cambria"/>
        </w:rPr>
        <w:fldChar w:fldCharType="end"/>
      </w:r>
      <w:r w:rsidRPr="00A2446D">
        <w:rPr>
          <w:rFonts w:ascii="Cambria" w:hAnsi="Cambria"/>
        </w:rPr>
        <w:t>.</w:t>
      </w:r>
    </w:p>
  </w:footnote>
  <w:footnote w:id="80">
    <w:p w14:paraId="610323C7" w14:textId="76657B12"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[1990] 2 AC 605.</w:t>
      </w:r>
      <w:proofErr w:type="gramEnd"/>
    </w:p>
  </w:footnote>
  <w:footnote w:id="81">
    <w:p w14:paraId="23FAB059" w14:textId="4B595FD2"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i/>
        </w:rPr>
        <w:t>Henderson v Merrett</w:t>
      </w:r>
      <w:r w:rsidRPr="00B57DC9">
        <w:rPr>
          <w:rFonts w:ascii="Cambria" w:hAnsi="Cambria"/>
        </w:rPr>
        <w:t xml:space="preserve"> [1995] 2 AC 145.</w:t>
      </w:r>
      <w:proofErr w:type="gramEnd"/>
    </w:p>
  </w:footnote>
  <w:footnote w:id="82">
    <w:p w14:paraId="7EFFFCD3" w14:textId="6886A1A2"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Use of the expression was pertinently dismantled at an early stage in its career: see K Barker, ‘Unreliable Assumptions in the Modern Law of Negligence’ (1993) 109 </w:t>
      </w:r>
      <w:r w:rsidRPr="00B57DC9">
        <w:rPr>
          <w:rFonts w:ascii="Cambria" w:hAnsi="Cambria"/>
          <w:i/>
        </w:rPr>
        <w:t>LQR</w:t>
      </w:r>
      <w:r w:rsidRPr="00B57DC9">
        <w:rPr>
          <w:rFonts w:ascii="Cambria" w:hAnsi="Cambria"/>
        </w:rPr>
        <w:t xml:space="preserve"> 461; but critical reviews appear not to have stunted its use in any way.</w:t>
      </w:r>
    </w:p>
  </w:footnote>
  <w:footnote w:id="83">
    <w:p w14:paraId="619AD7F2" w14:textId="16D34571"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 xml:space="preserve">Originating in the House of Lords’ decision in </w:t>
      </w:r>
      <w:r w:rsidRPr="00B57DC9">
        <w:rPr>
          <w:rFonts w:ascii="Cambria" w:hAnsi="Cambria"/>
          <w:i/>
        </w:rPr>
        <w:t xml:space="preserve">South Australia Asset Management Corporation v York Montague Ltd </w:t>
      </w:r>
      <w:r w:rsidRPr="00B57DC9">
        <w:rPr>
          <w:rFonts w:ascii="Cambria" w:hAnsi="Cambria"/>
        </w:rPr>
        <w:t>[1997] AC 191.</w:t>
      </w:r>
      <w:proofErr w:type="gramEnd"/>
    </w:p>
  </w:footnote>
  <w:footnote w:id="84">
    <w:p w14:paraId="3BA83129" w14:textId="43DFA209" w:rsidR="000B7A32" w:rsidRPr="009C3204"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J Stapleton, ‘Negligent </w:t>
      </w:r>
      <w:proofErr w:type="spellStart"/>
      <w:r w:rsidRPr="00B57DC9">
        <w:rPr>
          <w:rFonts w:ascii="Cambria" w:hAnsi="Cambria"/>
        </w:rPr>
        <w:t>Valuers</w:t>
      </w:r>
      <w:proofErr w:type="spellEnd"/>
      <w:r w:rsidRPr="00B57DC9">
        <w:rPr>
          <w:rFonts w:ascii="Cambria" w:hAnsi="Cambria"/>
        </w:rPr>
        <w:t xml:space="preserve"> and </w:t>
      </w:r>
      <w:proofErr w:type="gramStart"/>
      <w:r w:rsidRPr="00B57DC9">
        <w:rPr>
          <w:rFonts w:ascii="Cambria" w:hAnsi="Cambria"/>
        </w:rPr>
        <w:t>Falls</w:t>
      </w:r>
      <w:proofErr w:type="gramEnd"/>
      <w:r w:rsidRPr="00B57DC9">
        <w:rPr>
          <w:rFonts w:ascii="Cambria" w:hAnsi="Cambria"/>
        </w:rPr>
        <w:t xml:space="preserve"> in the Property Market’ [1997] 113 </w:t>
      </w:r>
      <w:r w:rsidRPr="00B57DC9">
        <w:rPr>
          <w:rFonts w:ascii="Cambria" w:hAnsi="Cambria"/>
          <w:i/>
        </w:rPr>
        <w:t>LQR</w:t>
      </w:r>
      <w:r w:rsidRPr="00B57DC9">
        <w:rPr>
          <w:rFonts w:ascii="Cambria" w:hAnsi="Cambria"/>
        </w:rPr>
        <w:t xml:space="preserve"> 1.</w:t>
      </w:r>
    </w:p>
  </w:footnote>
  <w:footnote w:id="85">
    <w:p w14:paraId="28308214" w14:textId="337740A6" w:rsidR="000B7A32" w:rsidRPr="00B57DC9" w:rsidRDefault="000B7A32">
      <w:pPr>
        <w:pStyle w:val="FootnoteText"/>
        <w:rPr>
          <w:rFonts w:ascii="Cambria" w:hAnsi="Cambria"/>
          <w:lang w:val="en-AU"/>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i/>
        </w:rPr>
        <w:t xml:space="preserve">Overseas Tankship (UK) Ltd v </w:t>
      </w:r>
      <w:proofErr w:type="spellStart"/>
      <w:r w:rsidRPr="00B57DC9">
        <w:rPr>
          <w:rFonts w:ascii="Cambria" w:hAnsi="Cambria"/>
          <w:i/>
        </w:rPr>
        <w:t>Morts</w:t>
      </w:r>
      <w:proofErr w:type="spellEnd"/>
      <w:r w:rsidRPr="00B57DC9">
        <w:rPr>
          <w:rFonts w:ascii="Cambria" w:hAnsi="Cambria"/>
          <w:i/>
        </w:rPr>
        <w:t xml:space="preserve"> Dock &amp; Engineering Co Ltd (The Wagon Mound No 1)</w:t>
      </w:r>
      <w:r w:rsidRPr="00B57DC9">
        <w:rPr>
          <w:rFonts w:ascii="Cambria" w:hAnsi="Cambria"/>
        </w:rPr>
        <w:t xml:space="preserve"> [1961] AC 388.</w:t>
      </w:r>
      <w:proofErr w:type="gramEnd"/>
    </w:p>
  </w:footnote>
  <w:footnote w:id="86">
    <w:p w14:paraId="15D8AFF7" w14:textId="6B9EFD0A"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w:t>
      </w:r>
      <w:proofErr w:type="gramStart"/>
      <w:r w:rsidRPr="00B57DC9">
        <w:rPr>
          <w:rFonts w:ascii="Cambria" w:hAnsi="Cambria"/>
        </w:rPr>
        <w:t xml:space="preserve">See also </w:t>
      </w:r>
      <w:proofErr w:type="spellStart"/>
      <w:r w:rsidRPr="00B57DC9">
        <w:rPr>
          <w:rFonts w:ascii="Cambria" w:hAnsi="Cambria"/>
          <w:i/>
        </w:rPr>
        <w:t>Haugesund</w:t>
      </w:r>
      <w:proofErr w:type="spellEnd"/>
      <w:r w:rsidRPr="00B57DC9">
        <w:rPr>
          <w:rFonts w:ascii="Cambria" w:hAnsi="Cambria"/>
          <w:i/>
        </w:rPr>
        <w:t xml:space="preserve"> </w:t>
      </w:r>
      <w:proofErr w:type="spellStart"/>
      <w:r w:rsidRPr="00B57DC9">
        <w:rPr>
          <w:rFonts w:ascii="Cambria" w:hAnsi="Cambria"/>
          <w:i/>
        </w:rPr>
        <w:t>Kommune</w:t>
      </w:r>
      <w:proofErr w:type="spellEnd"/>
      <w:r w:rsidRPr="00B57DC9">
        <w:rPr>
          <w:rFonts w:ascii="Cambria" w:hAnsi="Cambria"/>
          <w:i/>
        </w:rPr>
        <w:t xml:space="preserve"> v </w:t>
      </w:r>
      <w:proofErr w:type="spellStart"/>
      <w:r w:rsidRPr="00B57DC9">
        <w:rPr>
          <w:rFonts w:ascii="Cambria" w:hAnsi="Cambria"/>
          <w:i/>
        </w:rPr>
        <w:t>Depfa</w:t>
      </w:r>
      <w:proofErr w:type="spellEnd"/>
      <w:r w:rsidRPr="00B57DC9">
        <w:rPr>
          <w:rFonts w:ascii="Cambria" w:hAnsi="Cambria"/>
          <w:i/>
        </w:rPr>
        <w:t xml:space="preserve"> ACS Bank (No 2) </w:t>
      </w:r>
      <w:r w:rsidRPr="00B57DC9">
        <w:rPr>
          <w:rFonts w:ascii="Cambria" w:hAnsi="Cambria"/>
        </w:rPr>
        <w:t xml:space="preserve">[2011] EWCA </w:t>
      </w:r>
      <w:proofErr w:type="spellStart"/>
      <w:r w:rsidRPr="00B57DC9">
        <w:rPr>
          <w:rFonts w:ascii="Cambria" w:hAnsi="Cambria"/>
        </w:rPr>
        <w:t>Civ</w:t>
      </w:r>
      <w:proofErr w:type="spellEnd"/>
      <w:r w:rsidRPr="00B57DC9">
        <w:rPr>
          <w:rFonts w:ascii="Cambria" w:hAnsi="Cambria"/>
        </w:rPr>
        <w:t xml:space="preserve"> 33</w:t>
      </w:r>
      <w:r w:rsidR="008D639D" w:rsidRPr="00B57DC9">
        <w:rPr>
          <w:rFonts w:ascii="Cambria" w:hAnsi="Cambria"/>
        </w:rPr>
        <w:t>,</w:t>
      </w:r>
      <w:r w:rsidRPr="00B57DC9">
        <w:rPr>
          <w:rFonts w:ascii="Cambria" w:hAnsi="Cambria"/>
        </w:rPr>
        <w:t xml:space="preserve"> [2012] Bus LR 230.</w:t>
      </w:r>
      <w:proofErr w:type="gramEnd"/>
    </w:p>
  </w:footnote>
  <w:footnote w:id="87">
    <w:p w14:paraId="1EF94E18" w14:textId="3535A76A"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Classic cases in the UK include </w:t>
      </w:r>
      <w:proofErr w:type="spellStart"/>
      <w:r w:rsidRPr="00B57DC9">
        <w:rPr>
          <w:rFonts w:ascii="Cambria" w:hAnsi="Cambria"/>
          <w:i/>
        </w:rPr>
        <w:t>Gorringe</w:t>
      </w:r>
      <w:proofErr w:type="spellEnd"/>
      <w:r w:rsidRPr="00B57DC9">
        <w:rPr>
          <w:rFonts w:ascii="Cambria" w:hAnsi="Cambria"/>
          <w:i/>
        </w:rPr>
        <w:t xml:space="preserve"> v Calderdale </w:t>
      </w:r>
      <w:r w:rsidRPr="00B57DC9">
        <w:rPr>
          <w:rFonts w:ascii="Cambria" w:hAnsi="Cambria"/>
        </w:rPr>
        <w:t xml:space="preserve">[2004] UKHL 15, [2004] 1 WLR 1057; </w:t>
      </w:r>
      <w:r w:rsidRPr="00B57DC9">
        <w:rPr>
          <w:rFonts w:ascii="Cambria" w:hAnsi="Cambria"/>
          <w:i/>
        </w:rPr>
        <w:t xml:space="preserve">Mitchell v City of Glasgow </w:t>
      </w:r>
      <w:r w:rsidRPr="00B57DC9">
        <w:rPr>
          <w:rFonts w:ascii="Cambria" w:hAnsi="Cambria"/>
        </w:rPr>
        <w:t>[2009] UKHL 11, [2009] 1 AC 874</w:t>
      </w:r>
      <w:r w:rsidR="00CE3219" w:rsidRPr="00B57DC9">
        <w:rPr>
          <w:rFonts w:ascii="Cambria" w:hAnsi="Cambria"/>
        </w:rPr>
        <w:t>;</w:t>
      </w:r>
      <w:r w:rsidRPr="00B57DC9">
        <w:rPr>
          <w:rFonts w:ascii="Cambria" w:hAnsi="Cambria"/>
          <w:i/>
        </w:rPr>
        <w:t xml:space="preserve"> Hill v Chief Constable of West Yorkshire </w:t>
      </w:r>
      <w:r w:rsidRPr="00B57DC9">
        <w:rPr>
          <w:rFonts w:ascii="Cambria" w:hAnsi="Cambria"/>
        </w:rPr>
        <w:t>[1989] AC 53.</w:t>
      </w:r>
    </w:p>
  </w:footnote>
  <w:footnote w:id="88">
    <w:p w14:paraId="4CCCFEB1" w14:textId="0560366B"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In </w:t>
      </w:r>
      <w:r w:rsidRPr="00B57DC9">
        <w:rPr>
          <w:rFonts w:ascii="Cambria" w:hAnsi="Cambria"/>
          <w:i/>
        </w:rPr>
        <w:t xml:space="preserve">Michael v Chief Constable of South Wales </w:t>
      </w:r>
      <w:r w:rsidRPr="00B57DC9">
        <w:rPr>
          <w:rFonts w:ascii="Cambria" w:hAnsi="Cambria"/>
        </w:rPr>
        <w:t xml:space="preserve">[2015] UKSC 2, a human rights claim could proceed while a claim in negligence was struck out: here, the case </w:t>
      </w:r>
      <w:r w:rsidR="008D639D" w:rsidRPr="00B57DC9">
        <w:rPr>
          <w:rFonts w:ascii="Cambria" w:hAnsi="Cambria"/>
        </w:rPr>
        <w:t>concerned</w:t>
      </w:r>
      <w:r w:rsidRPr="00B57DC9">
        <w:rPr>
          <w:rFonts w:ascii="Cambria" w:hAnsi="Cambria"/>
        </w:rPr>
        <w:t xml:space="preserve"> </w:t>
      </w:r>
      <w:r w:rsidR="008D639D" w:rsidRPr="00B57DC9">
        <w:rPr>
          <w:rFonts w:ascii="Cambria" w:hAnsi="Cambria"/>
        </w:rPr>
        <w:t xml:space="preserve">whether </w:t>
      </w:r>
      <w:r w:rsidRPr="00B57DC9">
        <w:rPr>
          <w:rFonts w:ascii="Cambria" w:hAnsi="Cambria"/>
        </w:rPr>
        <w:t xml:space="preserve">there had been a failure to respond appropriately to an emergency ‘999’ call; in </w:t>
      </w:r>
      <w:r w:rsidRPr="00B57DC9">
        <w:rPr>
          <w:rFonts w:ascii="Cambria" w:hAnsi="Cambria"/>
          <w:i/>
        </w:rPr>
        <w:t xml:space="preserve">DSD v Commissioner of Police for the Metropolis </w:t>
      </w:r>
      <w:r w:rsidRPr="00B57DC9">
        <w:rPr>
          <w:rFonts w:ascii="Cambria" w:hAnsi="Cambria"/>
        </w:rPr>
        <w:t xml:space="preserve">[2015] EWCA </w:t>
      </w:r>
      <w:proofErr w:type="spellStart"/>
      <w:r w:rsidRPr="00B57DC9">
        <w:rPr>
          <w:rFonts w:ascii="Cambria" w:hAnsi="Cambria"/>
        </w:rPr>
        <w:t>Civ</w:t>
      </w:r>
      <w:proofErr w:type="spellEnd"/>
      <w:r w:rsidRPr="00B57DC9">
        <w:rPr>
          <w:rFonts w:ascii="Cambria" w:hAnsi="Cambria"/>
        </w:rPr>
        <w:t xml:space="preserve"> 646, [2016] QB 161, a human rights claim for failure in investigation was able to proceed in circumstances quite similar to </w:t>
      </w:r>
      <w:r w:rsidRPr="00B57DC9">
        <w:rPr>
          <w:rFonts w:ascii="Cambria" w:hAnsi="Cambria"/>
          <w:i/>
        </w:rPr>
        <w:t xml:space="preserve">Hill </w:t>
      </w:r>
      <w:r w:rsidRPr="00B57DC9">
        <w:rPr>
          <w:rFonts w:ascii="Cambria" w:hAnsi="Cambria"/>
        </w:rPr>
        <w:t>itself.</w:t>
      </w:r>
    </w:p>
  </w:footnote>
  <w:footnote w:id="89">
    <w:p w14:paraId="4A449ED2" w14:textId="34EE39DC" w:rsidR="000B7A32" w:rsidRPr="00B57DC9" w:rsidRDefault="000B7A32">
      <w:pPr>
        <w:pStyle w:val="FootnoteText"/>
        <w:rPr>
          <w:rFonts w:ascii="Cambria" w:hAnsi="Cambria"/>
        </w:rPr>
      </w:pPr>
      <w:r w:rsidRPr="00B57DC9">
        <w:rPr>
          <w:rStyle w:val="FootnoteReference"/>
          <w:rFonts w:ascii="Cambria" w:hAnsi="Cambria"/>
        </w:rPr>
        <w:footnoteRef/>
      </w:r>
      <w:r w:rsidRPr="00B57DC9">
        <w:rPr>
          <w:rFonts w:ascii="Cambria" w:hAnsi="Cambria"/>
        </w:rPr>
        <w:t xml:space="preserve"> Neither, of course, is damage the sole preoccupation of the law of tort: as explained above, the present observations are particularly aimed at the tort of negligence.</w:t>
      </w:r>
    </w:p>
  </w:footnote>
  <w:footnote w:id="90">
    <w:p w14:paraId="7BD4AEEF" w14:textId="30A9E48B" w:rsidR="000B7A32" w:rsidRPr="009864D9" w:rsidRDefault="000B7A32">
      <w:pPr>
        <w:pStyle w:val="FootnoteText"/>
        <w:rPr>
          <w:rFonts w:ascii="Cambria" w:hAnsi="Cambria"/>
          <w:highlight w:val="cyan"/>
        </w:rPr>
      </w:pPr>
      <w:r w:rsidRPr="00B57DC9">
        <w:rPr>
          <w:rStyle w:val="FootnoteReference"/>
          <w:rFonts w:ascii="Cambria" w:hAnsi="Cambria"/>
        </w:rPr>
        <w:footnoteRef/>
      </w:r>
      <w:r w:rsidR="009864D9" w:rsidRPr="00B57DC9">
        <w:rPr>
          <w:rFonts w:ascii="Cambria" w:hAnsi="Cambria"/>
        </w:rPr>
        <w:t xml:space="preserve"> See, </w:t>
      </w:r>
      <w:proofErr w:type="spellStart"/>
      <w:r w:rsidR="009864D9" w:rsidRPr="00B57DC9">
        <w:rPr>
          <w:rFonts w:ascii="Cambria" w:hAnsi="Cambria"/>
        </w:rPr>
        <w:t>eg</w:t>
      </w:r>
      <w:proofErr w:type="spellEnd"/>
      <w:r w:rsidR="009864D9" w:rsidRPr="00B57DC9">
        <w:rPr>
          <w:rFonts w:ascii="Cambria" w:hAnsi="Cambria"/>
        </w:rPr>
        <w:t xml:space="preserve">, </w:t>
      </w:r>
      <w:r w:rsidRPr="00B57DC9">
        <w:rPr>
          <w:rFonts w:ascii="Cambria" w:hAnsi="Cambria"/>
        </w:rPr>
        <w:t xml:space="preserve">the judgments of Lord Reid in </w:t>
      </w:r>
      <w:r w:rsidRPr="00B57DC9">
        <w:rPr>
          <w:rFonts w:ascii="Cambria" w:hAnsi="Cambria"/>
          <w:i/>
        </w:rPr>
        <w:t xml:space="preserve">Dorset Yacht v Home Office </w:t>
      </w:r>
      <w:r w:rsidRPr="00B57DC9">
        <w:rPr>
          <w:rFonts w:ascii="Cambria" w:hAnsi="Cambria"/>
        </w:rPr>
        <w:t xml:space="preserve">[1970] AC 1004, and Oliver LJ in </w:t>
      </w:r>
      <w:r w:rsidRPr="00B57DC9">
        <w:rPr>
          <w:rFonts w:ascii="Cambria" w:hAnsi="Cambria"/>
          <w:i/>
        </w:rPr>
        <w:t xml:space="preserve">Lamb v Camden LBC </w:t>
      </w:r>
      <w:r w:rsidRPr="00B57DC9">
        <w:rPr>
          <w:rFonts w:ascii="Cambria" w:hAnsi="Cambria"/>
        </w:rPr>
        <w:t>[1981] QB 625.</w:t>
      </w:r>
    </w:p>
  </w:footnote>
  <w:footnote w:id="91">
    <w:p w14:paraId="21F0A259" w14:textId="0FB439C9" w:rsidR="000B7A32" w:rsidRPr="00AD2524" w:rsidRDefault="000B7A32">
      <w:pPr>
        <w:pStyle w:val="FootnoteText"/>
        <w:rPr>
          <w:rFonts w:ascii="Cambria" w:hAnsi="Cambria"/>
        </w:rPr>
      </w:pPr>
      <w:r w:rsidRPr="00AD2524">
        <w:rPr>
          <w:rStyle w:val="FootnoteReference"/>
          <w:rFonts w:ascii="Cambria" w:hAnsi="Cambria"/>
        </w:rPr>
        <w:footnoteRef/>
      </w:r>
      <w:r w:rsidRPr="00AD2524">
        <w:rPr>
          <w:rFonts w:ascii="Cambria" w:hAnsi="Cambria"/>
        </w:rPr>
        <w:t xml:space="preserve"> </w:t>
      </w:r>
      <w:proofErr w:type="gramStart"/>
      <w:r w:rsidRPr="00AD2524">
        <w:rPr>
          <w:rFonts w:ascii="Cambria" w:hAnsi="Cambria"/>
        </w:rPr>
        <w:t>[2016] UKSC 11, [2016] AC 677.</w:t>
      </w:r>
      <w:proofErr w:type="gramEnd"/>
    </w:p>
  </w:footnote>
  <w:footnote w:id="92">
    <w:p w14:paraId="0A14C3DB" w14:textId="646C5900" w:rsidR="000B7A32" w:rsidRPr="00AD2524" w:rsidRDefault="000B7A32">
      <w:pPr>
        <w:pStyle w:val="FootnoteText"/>
        <w:rPr>
          <w:rFonts w:ascii="Cambria" w:hAnsi="Cambria"/>
        </w:rPr>
      </w:pPr>
      <w:r w:rsidRPr="00AD2524">
        <w:rPr>
          <w:rStyle w:val="FootnoteReference"/>
          <w:rFonts w:ascii="Cambria" w:hAnsi="Cambria"/>
        </w:rPr>
        <w:footnoteRef/>
      </w:r>
      <w:r w:rsidRPr="00AD2524">
        <w:rPr>
          <w:rFonts w:ascii="Cambria" w:hAnsi="Cambria"/>
        </w:rPr>
        <w:t xml:space="preserve"> A new Uninsured Drivers Agreement was signed in 2015, replacing the 1999 Agreement; note also the Untraced Drivers Agreement 2003.</w:t>
      </w:r>
    </w:p>
  </w:footnote>
  <w:footnote w:id="93">
    <w:p w14:paraId="52918A72" w14:textId="299AFCB7" w:rsidR="000B7A32" w:rsidRPr="009C3204" w:rsidRDefault="000B7A32">
      <w:pPr>
        <w:pStyle w:val="FootnoteText"/>
        <w:rPr>
          <w:rFonts w:ascii="Cambria" w:hAnsi="Cambria"/>
        </w:rPr>
      </w:pPr>
      <w:r w:rsidRPr="00AD2524">
        <w:rPr>
          <w:rStyle w:val="FootnoteReference"/>
          <w:rFonts w:ascii="Cambria" w:hAnsi="Cambria"/>
        </w:rPr>
        <w:footnoteRef/>
      </w:r>
      <w:r w:rsidRPr="00AD2524">
        <w:rPr>
          <w:rFonts w:ascii="Cambria" w:hAnsi="Cambria"/>
        </w:rPr>
        <w:t xml:space="preserve"> R </w:t>
      </w:r>
      <w:proofErr w:type="spellStart"/>
      <w:r w:rsidRPr="00AD2524">
        <w:rPr>
          <w:rFonts w:ascii="Cambria" w:hAnsi="Cambria"/>
        </w:rPr>
        <w:t>Merkin</w:t>
      </w:r>
      <w:proofErr w:type="spellEnd"/>
      <w:r w:rsidRPr="00AD2524">
        <w:rPr>
          <w:rFonts w:ascii="Cambria" w:hAnsi="Cambria"/>
        </w:rPr>
        <w:t xml:space="preserve"> and J Steele, ‘Policing Tort and Crime with the MIB: Remedies, Penalties and the Du</w:t>
      </w:r>
      <w:r w:rsidR="008F1A18" w:rsidRPr="00AD2524">
        <w:rPr>
          <w:rFonts w:ascii="Cambria" w:hAnsi="Cambria"/>
        </w:rPr>
        <w:t>ty to Insure’</w:t>
      </w:r>
      <w:r w:rsidRPr="00AD2524">
        <w:rPr>
          <w:rFonts w:ascii="Cambria" w:hAnsi="Cambria"/>
        </w:rPr>
        <w:t xml:space="preserve"> in M Dyson (</w:t>
      </w:r>
      <w:proofErr w:type="spellStart"/>
      <w:proofErr w:type="gramStart"/>
      <w:r w:rsidRPr="00AD2524">
        <w:rPr>
          <w:rFonts w:ascii="Cambria" w:hAnsi="Cambria"/>
        </w:rPr>
        <w:t>ed</w:t>
      </w:r>
      <w:proofErr w:type="spellEnd"/>
      <w:proofErr w:type="gramEnd"/>
      <w:r w:rsidRPr="00AD2524">
        <w:rPr>
          <w:rFonts w:ascii="Cambria" w:hAnsi="Cambria"/>
        </w:rPr>
        <w:t xml:space="preserve">), </w:t>
      </w:r>
      <w:r w:rsidRPr="00AD2524">
        <w:rPr>
          <w:rFonts w:ascii="Cambria" w:hAnsi="Cambria"/>
          <w:i/>
        </w:rPr>
        <w:t xml:space="preserve">Unravelling Tort and Crime </w:t>
      </w:r>
      <w:r w:rsidRPr="00AD2524">
        <w:rPr>
          <w:rFonts w:ascii="Cambria" w:hAnsi="Cambria"/>
        </w:rPr>
        <w:t>(Cambridge, Cambridge University Press, 2014).</w:t>
      </w:r>
    </w:p>
  </w:footnote>
  <w:footnote w:id="94">
    <w:p w14:paraId="13BC901F" w14:textId="768F596F" w:rsidR="000B7A32" w:rsidRPr="009C3204" w:rsidRDefault="000B7A32">
      <w:pPr>
        <w:pStyle w:val="FootnoteText"/>
        <w:rPr>
          <w:rFonts w:ascii="Cambria" w:hAnsi="Cambria"/>
        </w:rPr>
      </w:pPr>
      <w:r w:rsidRPr="00AD2524">
        <w:rPr>
          <w:rStyle w:val="FootnoteReference"/>
          <w:rFonts w:ascii="Cambria" w:hAnsi="Cambria"/>
        </w:rPr>
        <w:footnoteRef/>
      </w:r>
      <w:r w:rsidRPr="00AD2524">
        <w:rPr>
          <w:rFonts w:ascii="Cambria" w:hAnsi="Cambria"/>
        </w:rPr>
        <w:t xml:space="preserve"> The link between insurers, and moral judgment, has been demonstrated in other contexts: Baker, above n </w:t>
      </w:r>
      <w:r w:rsidR="008F1A18" w:rsidRPr="00AD2524">
        <w:rPr>
          <w:rFonts w:ascii="Cambria" w:hAnsi="Cambria"/>
        </w:rPr>
        <w:fldChar w:fldCharType="begin"/>
      </w:r>
      <w:r w:rsidR="008F1A18" w:rsidRPr="00AD2524">
        <w:rPr>
          <w:rFonts w:ascii="Cambria" w:hAnsi="Cambria"/>
        </w:rPr>
        <w:instrText xml:space="preserve"> NOTEREF _Ref480741277 \h  \* MERGEFORMAT </w:instrText>
      </w:r>
      <w:r w:rsidR="008F1A18" w:rsidRPr="00AD2524">
        <w:rPr>
          <w:rFonts w:ascii="Cambria" w:hAnsi="Cambria"/>
        </w:rPr>
      </w:r>
      <w:r w:rsidR="008F1A18" w:rsidRPr="00AD2524">
        <w:rPr>
          <w:rFonts w:ascii="Cambria" w:hAnsi="Cambria"/>
        </w:rPr>
        <w:fldChar w:fldCharType="separate"/>
      </w:r>
      <w:r w:rsidR="00D52251">
        <w:rPr>
          <w:rFonts w:ascii="Cambria" w:hAnsi="Cambria"/>
        </w:rPr>
        <w:t>12</w:t>
      </w:r>
      <w:r w:rsidR="008F1A18" w:rsidRPr="00AD2524">
        <w:rPr>
          <w:rFonts w:ascii="Cambria" w:hAnsi="Cambria"/>
        </w:rPr>
        <w:fldChar w:fldCharType="end"/>
      </w:r>
      <w:r w:rsidRPr="00AD2524">
        <w:rPr>
          <w:rFonts w:ascii="Cambria" w:hAnsi="Cambria"/>
        </w:rPr>
        <w:t>; R Ericson, D Barry, and A Doyle, ‘</w:t>
      </w:r>
      <w:proofErr w:type="gramStart"/>
      <w:r w:rsidRPr="00AD2524">
        <w:rPr>
          <w:rFonts w:ascii="Cambria" w:hAnsi="Cambria"/>
        </w:rPr>
        <w:t>The</w:t>
      </w:r>
      <w:proofErr w:type="gramEnd"/>
      <w:r w:rsidRPr="00AD2524">
        <w:rPr>
          <w:rFonts w:ascii="Cambria" w:hAnsi="Cambria"/>
        </w:rPr>
        <w:t xml:space="preserve"> moral hazards of neo-liberalism: lessons from the private insuran</w:t>
      </w:r>
      <w:bookmarkStart w:id="17" w:name="_GoBack"/>
      <w:bookmarkEnd w:id="17"/>
      <w:r w:rsidRPr="00AD2524">
        <w:rPr>
          <w:rFonts w:ascii="Cambria" w:hAnsi="Cambria"/>
        </w:rPr>
        <w:t xml:space="preserve">ce industry’ (2000) 29 </w:t>
      </w:r>
      <w:r w:rsidRPr="00AD2524">
        <w:rPr>
          <w:rFonts w:ascii="Cambria" w:hAnsi="Cambria"/>
          <w:i/>
        </w:rPr>
        <w:t xml:space="preserve">Economy and Society </w:t>
      </w:r>
      <w:r w:rsidRPr="00AD2524">
        <w:rPr>
          <w:rFonts w:ascii="Cambria" w:hAnsi="Cambria"/>
        </w:rPr>
        <w:t>532.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1224"/>
    <w:multiLevelType w:val="hybridMultilevel"/>
    <w:tmpl w:val="AED47364"/>
    <w:lvl w:ilvl="0" w:tplc="7C8443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780D05"/>
    <w:multiLevelType w:val="hybridMultilevel"/>
    <w:tmpl w:val="3E92D1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02C89"/>
    <w:multiLevelType w:val="hybridMultilevel"/>
    <w:tmpl w:val="9D38D4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2C05ED"/>
    <w:multiLevelType w:val="hybridMultilevel"/>
    <w:tmpl w:val="90AC97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966A1A"/>
    <w:multiLevelType w:val="hybridMultilevel"/>
    <w:tmpl w:val="CD8CE9C6"/>
    <w:lvl w:ilvl="0" w:tplc="188E4000">
      <w:start w:val="3"/>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DB80881"/>
    <w:multiLevelType w:val="hybridMultilevel"/>
    <w:tmpl w:val="B94E55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E04B2C"/>
    <w:multiLevelType w:val="hybridMultilevel"/>
    <w:tmpl w:val="1C88F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AA4EA9"/>
    <w:multiLevelType w:val="hybridMultilevel"/>
    <w:tmpl w:val="F724B2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5055FF"/>
    <w:multiLevelType w:val="hybridMultilevel"/>
    <w:tmpl w:val="FC329B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2C7A6D"/>
    <w:multiLevelType w:val="hybridMultilevel"/>
    <w:tmpl w:val="3E8872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F0352D"/>
    <w:multiLevelType w:val="hybridMultilevel"/>
    <w:tmpl w:val="42D660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8"/>
  </w:num>
  <w:num w:numId="5">
    <w:abstractNumId w:val="1"/>
  </w:num>
  <w:num w:numId="6">
    <w:abstractNumId w:val="3"/>
  </w:num>
  <w:num w:numId="7">
    <w:abstractNumId w:val="7"/>
  </w:num>
  <w:num w:numId="8">
    <w:abstractNumId w:val="2"/>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A73D33C-F70B-4A66-BD8B-47FA0F23F247}"/>
    <w:docVar w:name="dgnword-eventsink" w:val="599904280"/>
  </w:docVars>
  <w:rsids>
    <w:rsidRoot w:val="005A5859"/>
    <w:rsid w:val="0000139B"/>
    <w:rsid w:val="00007BF3"/>
    <w:rsid w:val="00011D1B"/>
    <w:rsid w:val="00012157"/>
    <w:rsid w:val="000146C0"/>
    <w:rsid w:val="000157A5"/>
    <w:rsid w:val="00016477"/>
    <w:rsid w:val="00020C84"/>
    <w:rsid w:val="0002127D"/>
    <w:rsid w:val="00021A81"/>
    <w:rsid w:val="00025899"/>
    <w:rsid w:val="00031679"/>
    <w:rsid w:val="00046BA2"/>
    <w:rsid w:val="000512E2"/>
    <w:rsid w:val="00053449"/>
    <w:rsid w:val="000551EC"/>
    <w:rsid w:val="000551FC"/>
    <w:rsid w:val="000557B3"/>
    <w:rsid w:val="00055EC1"/>
    <w:rsid w:val="0006040B"/>
    <w:rsid w:val="000633C6"/>
    <w:rsid w:val="00070FE7"/>
    <w:rsid w:val="00071A70"/>
    <w:rsid w:val="00080F2E"/>
    <w:rsid w:val="00083658"/>
    <w:rsid w:val="00084102"/>
    <w:rsid w:val="000842E2"/>
    <w:rsid w:val="000964C9"/>
    <w:rsid w:val="00096D36"/>
    <w:rsid w:val="000A0173"/>
    <w:rsid w:val="000A1B42"/>
    <w:rsid w:val="000A32F6"/>
    <w:rsid w:val="000A4141"/>
    <w:rsid w:val="000A7275"/>
    <w:rsid w:val="000B723E"/>
    <w:rsid w:val="000B7A32"/>
    <w:rsid w:val="000C52D8"/>
    <w:rsid w:val="000C7E13"/>
    <w:rsid w:val="000D79D5"/>
    <w:rsid w:val="000E1B0A"/>
    <w:rsid w:val="000E20F3"/>
    <w:rsid w:val="000E3A20"/>
    <w:rsid w:val="000E3EAB"/>
    <w:rsid w:val="000E4C36"/>
    <w:rsid w:val="000E7435"/>
    <w:rsid w:val="000F13A9"/>
    <w:rsid w:val="000F3B90"/>
    <w:rsid w:val="00100A19"/>
    <w:rsid w:val="00103353"/>
    <w:rsid w:val="001042BF"/>
    <w:rsid w:val="00107410"/>
    <w:rsid w:val="00110116"/>
    <w:rsid w:val="00110BAC"/>
    <w:rsid w:val="00111178"/>
    <w:rsid w:val="00111D01"/>
    <w:rsid w:val="0011358B"/>
    <w:rsid w:val="00121F8F"/>
    <w:rsid w:val="00127AE4"/>
    <w:rsid w:val="0013050F"/>
    <w:rsid w:val="0013170A"/>
    <w:rsid w:val="00141C63"/>
    <w:rsid w:val="0014756F"/>
    <w:rsid w:val="001475FC"/>
    <w:rsid w:val="0015506B"/>
    <w:rsid w:val="001551C5"/>
    <w:rsid w:val="00157767"/>
    <w:rsid w:val="00157C00"/>
    <w:rsid w:val="001655EC"/>
    <w:rsid w:val="001709C5"/>
    <w:rsid w:val="001743D1"/>
    <w:rsid w:val="0017715B"/>
    <w:rsid w:val="001815F6"/>
    <w:rsid w:val="001819C9"/>
    <w:rsid w:val="00181A51"/>
    <w:rsid w:val="00182552"/>
    <w:rsid w:val="00192162"/>
    <w:rsid w:val="001938F2"/>
    <w:rsid w:val="001B51DF"/>
    <w:rsid w:val="001B6F07"/>
    <w:rsid w:val="001B7C72"/>
    <w:rsid w:val="001C0D68"/>
    <w:rsid w:val="001C11E0"/>
    <w:rsid w:val="001C3598"/>
    <w:rsid w:val="001C3A6A"/>
    <w:rsid w:val="001E0138"/>
    <w:rsid w:val="001E1D28"/>
    <w:rsid w:val="001E25FF"/>
    <w:rsid w:val="001E361F"/>
    <w:rsid w:val="001E3C1D"/>
    <w:rsid w:val="001E4E99"/>
    <w:rsid w:val="001E704B"/>
    <w:rsid w:val="001F0569"/>
    <w:rsid w:val="001F0CAD"/>
    <w:rsid w:val="001F3429"/>
    <w:rsid w:val="00200611"/>
    <w:rsid w:val="00203805"/>
    <w:rsid w:val="00205B4E"/>
    <w:rsid w:val="0021175B"/>
    <w:rsid w:val="0021335A"/>
    <w:rsid w:val="00214738"/>
    <w:rsid w:val="00217FD8"/>
    <w:rsid w:val="002208C8"/>
    <w:rsid w:val="00222B44"/>
    <w:rsid w:val="00226AFA"/>
    <w:rsid w:val="00230F06"/>
    <w:rsid w:val="002455FA"/>
    <w:rsid w:val="002528B1"/>
    <w:rsid w:val="002604C0"/>
    <w:rsid w:val="00260C23"/>
    <w:rsid w:val="00263248"/>
    <w:rsid w:val="002651BA"/>
    <w:rsid w:val="00265249"/>
    <w:rsid w:val="0026703C"/>
    <w:rsid w:val="0026792B"/>
    <w:rsid w:val="002730CF"/>
    <w:rsid w:val="00274F7C"/>
    <w:rsid w:val="0027558C"/>
    <w:rsid w:val="00277678"/>
    <w:rsid w:val="00285FD8"/>
    <w:rsid w:val="0029082D"/>
    <w:rsid w:val="002A1EDA"/>
    <w:rsid w:val="002A59EC"/>
    <w:rsid w:val="002A5F97"/>
    <w:rsid w:val="002B0E98"/>
    <w:rsid w:val="002B192A"/>
    <w:rsid w:val="002B2137"/>
    <w:rsid w:val="002B4387"/>
    <w:rsid w:val="002B6958"/>
    <w:rsid w:val="002C541F"/>
    <w:rsid w:val="002D02C5"/>
    <w:rsid w:val="002D3514"/>
    <w:rsid w:val="002E0F7E"/>
    <w:rsid w:val="002E2677"/>
    <w:rsid w:val="002E404C"/>
    <w:rsid w:val="002E438A"/>
    <w:rsid w:val="002E5C04"/>
    <w:rsid w:val="002E7A65"/>
    <w:rsid w:val="002E7FB1"/>
    <w:rsid w:val="002F4DA7"/>
    <w:rsid w:val="002F5BF1"/>
    <w:rsid w:val="002F678D"/>
    <w:rsid w:val="002F7888"/>
    <w:rsid w:val="002F7F0B"/>
    <w:rsid w:val="003006FA"/>
    <w:rsid w:val="003068A0"/>
    <w:rsid w:val="003068B0"/>
    <w:rsid w:val="00306C76"/>
    <w:rsid w:val="00312EF4"/>
    <w:rsid w:val="00314781"/>
    <w:rsid w:val="00316710"/>
    <w:rsid w:val="00316D92"/>
    <w:rsid w:val="0032411D"/>
    <w:rsid w:val="00327644"/>
    <w:rsid w:val="00327D30"/>
    <w:rsid w:val="00331C9E"/>
    <w:rsid w:val="00332D3F"/>
    <w:rsid w:val="003422DC"/>
    <w:rsid w:val="0034698C"/>
    <w:rsid w:val="00347FBD"/>
    <w:rsid w:val="00354137"/>
    <w:rsid w:val="00361E27"/>
    <w:rsid w:val="003677B6"/>
    <w:rsid w:val="00371C58"/>
    <w:rsid w:val="00373BDC"/>
    <w:rsid w:val="003806DE"/>
    <w:rsid w:val="00380A15"/>
    <w:rsid w:val="00384FFC"/>
    <w:rsid w:val="003907F4"/>
    <w:rsid w:val="00391444"/>
    <w:rsid w:val="00391C11"/>
    <w:rsid w:val="0039497C"/>
    <w:rsid w:val="0039502C"/>
    <w:rsid w:val="00395347"/>
    <w:rsid w:val="00397114"/>
    <w:rsid w:val="003A01C2"/>
    <w:rsid w:val="003A0759"/>
    <w:rsid w:val="003A2608"/>
    <w:rsid w:val="003A2740"/>
    <w:rsid w:val="003A41A3"/>
    <w:rsid w:val="003A48E4"/>
    <w:rsid w:val="003A49CE"/>
    <w:rsid w:val="003A7ECC"/>
    <w:rsid w:val="003B1E1B"/>
    <w:rsid w:val="003B60BE"/>
    <w:rsid w:val="003C4830"/>
    <w:rsid w:val="003C4890"/>
    <w:rsid w:val="003C5341"/>
    <w:rsid w:val="003C544E"/>
    <w:rsid w:val="003C596D"/>
    <w:rsid w:val="003C5DD0"/>
    <w:rsid w:val="003E01C2"/>
    <w:rsid w:val="003E1078"/>
    <w:rsid w:val="003E3951"/>
    <w:rsid w:val="003E6073"/>
    <w:rsid w:val="003F08DF"/>
    <w:rsid w:val="003F2D95"/>
    <w:rsid w:val="003F31FE"/>
    <w:rsid w:val="003F482B"/>
    <w:rsid w:val="00401A19"/>
    <w:rsid w:val="00403CDA"/>
    <w:rsid w:val="00404B1A"/>
    <w:rsid w:val="004070AE"/>
    <w:rsid w:val="004115A3"/>
    <w:rsid w:val="00415294"/>
    <w:rsid w:val="00415F0F"/>
    <w:rsid w:val="00416805"/>
    <w:rsid w:val="004273B6"/>
    <w:rsid w:val="00431A35"/>
    <w:rsid w:val="0043336A"/>
    <w:rsid w:val="00436DF5"/>
    <w:rsid w:val="00440B2D"/>
    <w:rsid w:val="00441142"/>
    <w:rsid w:val="00446746"/>
    <w:rsid w:val="00456D15"/>
    <w:rsid w:val="00457C30"/>
    <w:rsid w:val="00460684"/>
    <w:rsid w:val="00460B27"/>
    <w:rsid w:val="004611CF"/>
    <w:rsid w:val="00461BAD"/>
    <w:rsid w:val="00471573"/>
    <w:rsid w:val="00471F65"/>
    <w:rsid w:val="00475A80"/>
    <w:rsid w:val="0047720B"/>
    <w:rsid w:val="00484C8E"/>
    <w:rsid w:val="0049239F"/>
    <w:rsid w:val="004925C5"/>
    <w:rsid w:val="004958C1"/>
    <w:rsid w:val="00497FAD"/>
    <w:rsid w:val="004A267C"/>
    <w:rsid w:val="004A3AA8"/>
    <w:rsid w:val="004A5211"/>
    <w:rsid w:val="004A53CD"/>
    <w:rsid w:val="004C0612"/>
    <w:rsid w:val="004C6617"/>
    <w:rsid w:val="004D32E5"/>
    <w:rsid w:val="004D45EA"/>
    <w:rsid w:val="004D6D21"/>
    <w:rsid w:val="004E363C"/>
    <w:rsid w:val="004E6BEE"/>
    <w:rsid w:val="004F1888"/>
    <w:rsid w:val="004F29FA"/>
    <w:rsid w:val="004F38D3"/>
    <w:rsid w:val="004F7289"/>
    <w:rsid w:val="004F7B82"/>
    <w:rsid w:val="0051099C"/>
    <w:rsid w:val="00515C05"/>
    <w:rsid w:val="00517CE4"/>
    <w:rsid w:val="00523F96"/>
    <w:rsid w:val="0053171D"/>
    <w:rsid w:val="00531778"/>
    <w:rsid w:val="00532BFC"/>
    <w:rsid w:val="00534511"/>
    <w:rsid w:val="00542AD8"/>
    <w:rsid w:val="005453F4"/>
    <w:rsid w:val="00545ABF"/>
    <w:rsid w:val="00545F71"/>
    <w:rsid w:val="00553143"/>
    <w:rsid w:val="0055382B"/>
    <w:rsid w:val="00557BD0"/>
    <w:rsid w:val="005602CC"/>
    <w:rsid w:val="00566B55"/>
    <w:rsid w:val="005736A7"/>
    <w:rsid w:val="00573D58"/>
    <w:rsid w:val="0057658D"/>
    <w:rsid w:val="00577252"/>
    <w:rsid w:val="00580A1C"/>
    <w:rsid w:val="005825E5"/>
    <w:rsid w:val="00583C86"/>
    <w:rsid w:val="005856F6"/>
    <w:rsid w:val="0058742F"/>
    <w:rsid w:val="00587A45"/>
    <w:rsid w:val="00592AFD"/>
    <w:rsid w:val="00595837"/>
    <w:rsid w:val="005A100F"/>
    <w:rsid w:val="005A230A"/>
    <w:rsid w:val="005A278F"/>
    <w:rsid w:val="005A5859"/>
    <w:rsid w:val="005A636E"/>
    <w:rsid w:val="005B2005"/>
    <w:rsid w:val="005B6E5C"/>
    <w:rsid w:val="005C0BE6"/>
    <w:rsid w:val="005C19DA"/>
    <w:rsid w:val="005C1DEA"/>
    <w:rsid w:val="005C36DE"/>
    <w:rsid w:val="005C4156"/>
    <w:rsid w:val="005C59FE"/>
    <w:rsid w:val="005D1283"/>
    <w:rsid w:val="005D40B7"/>
    <w:rsid w:val="005D74F7"/>
    <w:rsid w:val="005E1BEB"/>
    <w:rsid w:val="005E1E12"/>
    <w:rsid w:val="005E2A56"/>
    <w:rsid w:val="005E4B48"/>
    <w:rsid w:val="005E510F"/>
    <w:rsid w:val="005E59C3"/>
    <w:rsid w:val="005E5D0E"/>
    <w:rsid w:val="005E75D6"/>
    <w:rsid w:val="005F2B2C"/>
    <w:rsid w:val="005F3FB7"/>
    <w:rsid w:val="0060124C"/>
    <w:rsid w:val="00601437"/>
    <w:rsid w:val="00604A9F"/>
    <w:rsid w:val="0060788C"/>
    <w:rsid w:val="00613F84"/>
    <w:rsid w:val="006159B9"/>
    <w:rsid w:val="006209FD"/>
    <w:rsid w:val="006210F0"/>
    <w:rsid w:val="00621F04"/>
    <w:rsid w:val="006231E4"/>
    <w:rsid w:val="00623D8C"/>
    <w:rsid w:val="00625AA5"/>
    <w:rsid w:val="00626F85"/>
    <w:rsid w:val="00627A7B"/>
    <w:rsid w:val="00631298"/>
    <w:rsid w:val="006315A1"/>
    <w:rsid w:val="00632797"/>
    <w:rsid w:val="006329B4"/>
    <w:rsid w:val="00633278"/>
    <w:rsid w:val="00635870"/>
    <w:rsid w:val="006361C1"/>
    <w:rsid w:val="006408FA"/>
    <w:rsid w:val="0064429C"/>
    <w:rsid w:val="006451B9"/>
    <w:rsid w:val="006451F9"/>
    <w:rsid w:val="0065102E"/>
    <w:rsid w:val="00651440"/>
    <w:rsid w:val="0065270F"/>
    <w:rsid w:val="00652E46"/>
    <w:rsid w:val="00653691"/>
    <w:rsid w:val="00654A20"/>
    <w:rsid w:val="0065573F"/>
    <w:rsid w:val="00655F65"/>
    <w:rsid w:val="00657489"/>
    <w:rsid w:val="0065783F"/>
    <w:rsid w:val="0066190C"/>
    <w:rsid w:val="0066501F"/>
    <w:rsid w:val="00672FCD"/>
    <w:rsid w:val="00674244"/>
    <w:rsid w:val="0067467E"/>
    <w:rsid w:val="006832F6"/>
    <w:rsid w:val="0068436D"/>
    <w:rsid w:val="00685834"/>
    <w:rsid w:val="00686218"/>
    <w:rsid w:val="00697DB5"/>
    <w:rsid w:val="00697FCE"/>
    <w:rsid w:val="006A09DF"/>
    <w:rsid w:val="006A0DB0"/>
    <w:rsid w:val="006A2868"/>
    <w:rsid w:val="006A5333"/>
    <w:rsid w:val="006B3CF0"/>
    <w:rsid w:val="006B4EC2"/>
    <w:rsid w:val="006B5DE7"/>
    <w:rsid w:val="006C19A6"/>
    <w:rsid w:val="006C4C2C"/>
    <w:rsid w:val="006C6642"/>
    <w:rsid w:val="006C7350"/>
    <w:rsid w:val="006D041A"/>
    <w:rsid w:val="006E1811"/>
    <w:rsid w:val="006E29EC"/>
    <w:rsid w:val="006F2C3B"/>
    <w:rsid w:val="006F2E0B"/>
    <w:rsid w:val="006F4525"/>
    <w:rsid w:val="006F50DE"/>
    <w:rsid w:val="00702417"/>
    <w:rsid w:val="007033F8"/>
    <w:rsid w:val="00705701"/>
    <w:rsid w:val="00705780"/>
    <w:rsid w:val="00707482"/>
    <w:rsid w:val="007120A3"/>
    <w:rsid w:val="00712F61"/>
    <w:rsid w:val="0071465F"/>
    <w:rsid w:val="007162BA"/>
    <w:rsid w:val="00717602"/>
    <w:rsid w:val="0072073C"/>
    <w:rsid w:val="007218AC"/>
    <w:rsid w:val="007260BB"/>
    <w:rsid w:val="00736B9D"/>
    <w:rsid w:val="00737A00"/>
    <w:rsid w:val="007405DE"/>
    <w:rsid w:val="00742473"/>
    <w:rsid w:val="00742EC2"/>
    <w:rsid w:val="00750BF4"/>
    <w:rsid w:val="007555DD"/>
    <w:rsid w:val="007726CB"/>
    <w:rsid w:val="00774034"/>
    <w:rsid w:val="00781C22"/>
    <w:rsid w:val="00781D2A"/>
    <w:rsid w:val="00781E97"/>
    <w:rsid w:val="0078226B"/>
    <w:rsid w:val="00782F6D"/>
    <w:rsid w:val="007853E3"/>
    <w:rsid w:val="00787AB6"/>
    <w:rsid w:val="007910BE"/>
    <w:rsid w:val="00791CCE"/>
    <w:rsid w:val="0079423B"/>
    <w:rsid w:val="007951B3"/>
    <w:rsid w:val="007A2FD2"/>
    <w:rsid w:val="007A5673"/>
    <w:rsid w:val="007A7B04"/>
    <w:rsid w:val="007B433A"/>
    <w:rsid w:val="007B6D69"/>
    <w:rsid w:val="007C152E"/>
    <w:rsid w:val="007C4C89"/>
    <w:rsid w:val="007C6445"/>
    <w:rsid w:val="007C79E9"/>
    <w:rsid w:val="007D0112"/>
    <w:rsid w:val="007D0698"/>
    <w:rsid w:val="007D3346"/>
    <w:rsid w:val="007D3C86"/>
    <w:rsid w:val="007D437F"/>
    <w:rsid w:val="007D5490"/>
    <w:rsid w:val="007D6DDD"/>
    <w:rsid w:val="007E164B"/>
    <w:rsid w:val="007E1868"/>
    <w:rsid w:val="007E28D2"/>
    <w:rsid w:val="007E3C89"/>
    <w:rsid w:val="007E3EF3"/>
    <w:rsid w:val="007E621C"/>
    <w:rsid w:val="007E7275"/>
    <w:rsid w:val="007F16B1"/>
    <w:rsid w:val="007F21D0"/>
    <w:rsid w:val="007F36B9"/>
    <w:rsid w:val="007F3C1C"/>
    <w:rsid w:val="007F53B7"/>
    <w:rsid w:val="007F7A75"/>
    <w:rsid w:val="00803EB3"/>
    <w:rsid w:val="008105AB"/>
    <w:rsid w:val="008154AE"/>
    <w:rsid w:val="00815D38"/>
    <w:rsid w:val="00817126"/>
    <w:rsid w:val="00823B26"/>
    <w:rsid w:val="00826215"/>
    <w:rsid w:val="0082700C"/>
    <w:rsid w:val="00827758"/>
    <w:rsid w:val="00827F54"/>
    <w:rsid w:val="00830EAF"/>
    <w:rsid w:val="00842EBD"/>
    <w:rsid w:val="00843B81"/>
    <w:rsid w:val="008462A7"/>
    <w:rsid w:val="00847A5A"/>
    <w:rsid w:val="00851CE5"/>
    <w:rsid w:val="0085229E"/>
    <w:rsid w:val="00852555"/>
    <w:rsid w:val="008534B5"/>
    <w:rsid w:val="0085455F"/>
    <w:rsid w:val="00854A72"/>
    <w:rsid w:val="00854F79"/>
    <w:rsid w:val="008602F9"/>
    <w:rsid w:val="0086491F"/>
    <w:rsid w:val="00872ED7"/>
    <w:rsid w:val="00875488"/>
    <w:rsid w:val="00877103"/>
    <w:rsid w:val="008807A1"/>
    <w:rsid w:val="0088628A"/>
    <w:rsid w:val="00893FC3"/>
    <w:rsid w:val="00894329"/>
    <w:rsid w:val="008953A7"/>
    <w:rsid w:val="00896555"/>
    <w:rsid w:val="00896E31"/>
    <w:rsid w:val="008A30D6"/>
    <w:rsid w:val="008B03E1"/>
    <w:rsid w:val="008B7B4C"/>
    <w:rsid w:val="008C205F"/>
    <w:rsid w:val="008C2A2F"/>
    <w:rsid w:val="008C3C84"/>
    <w:rsid w:val="008C756B"/>
    <w:rsid w:val="008D038E"/>
    <w:rsid w:val="008D41BB"/>
    <w:rsid w:val="008D4E0E"/>
    <w:rsid w:val="008D639D"/>
    <w:rsid w:val="008D7D23"/>
    <w:rsid w:val="008E0F67"/>
    <w:rsid w:val="008E1918"/>
    <w:rsid w:val="008E359D"/>
    <w:rsid w:val="008E4509"/>
    <w:rsid w:val="008E6C2E"/>
    <w:rsid w:val="008E740A"/>
    <w:rsid w:val="008E7715"/>
    <w:rsid w:val="008F1693"/>
    <w:rsid w:val="008F18F5"/>
    <w:rsid w:val="008F1A18"/>
    <w:rsid w:val="008F790D"/>
    <w:rsid w:val="008F7E7B"/>
    <w:rsid w:val="008F7F10"/>
    <w:rsid w:val="00900515"/>
    <w:rsid w:val="0090238B"/>
    <w:rsid w:val="009034DD"/>
    <w:rsid w:val="009150A0"/>
    <w:rsid w:val="00921D88"/>
    <w:rsid w:val="0093118F"/>
    <w:rsid w:val="00936879"/>
    <w:rsid w:val="00944C1E"/>
    <w:rsid w:val="009519AF"/>
    <w:rsid w:val="00952575"/>
    <w:rsid w:val="009535BD"/>
    <w:rsid w:val="00961F84"/>
    <w:rsid w:val="00967F5B"/>
    <w:rsid w:val="009757AF"/>
    <w:rsid w:val="00975FC8"/>
    <w:rsid w:val="009776E9"/>
    <w:rsid w:val="00977BEE"/>
    <w:rsid w:val="00981B3B"/>
    <w:rsid w:val="00982F9C"/>
    <w:rsid w:val="00983521"/>
    <w:rsid w:val="009864D9"/>
    <w:rsid w:val="00986864"/>
    <w:rsid w:val="009900CD"/>
    <w:rsid w:val="0099425C"/>
    <w:rsid w:val="00997BC1"/>
    <w:rsid w:val="00997FF4"/>
    <w:rsid w:val="009A12A9"/>
    <w:rsid w:val="009A21C7"/>
    <w:rsid w:val="009A2AA9"/>
    <w:rsid w:val="009A34E4"/>
    <w:rsid w:val="009A3509"/>
    <w:rsid w:val="009A3E9D"/>
    <w:rsid w:val="009A6003"/>
    <w:rsid w:val="009B1578"/>
    <w:rsid w:val="009B1E5C"/>
    <w:rsid w:val="009C0B26"/>
    <w:rsid w:val="009C3204"/>
    <w:rsid w:val="009C69E6"/>
    <w:rsid w:val="009D20B8"/>
    <w:rsid w:val="009D20E6"/>
    <w:rsid w:val="009D552F"/>
    <w:rsid w:val="009D79D1"/>
    <w:rsid w:val="009E106D"/>
    <w:rsid w:val="009E19F9"/>
    <w:rsid w:val="009E2477"/>
    <w:rsid w:val="009E3486"/>
    <w:rsid w:val="009E3AA5"/>
    <w:rsid w:val="009E5AE7"/>
    <w:rsid w:val="009E7EF5"/>
    <w:rsid w:val="009F49D4"/>
    <w:rsid w:val="00A0022B"/>
    <w:rsid w:val="00A010EA"/>
    <w:rsid w:val="00A01973"/>
    <w:rsid w:val="00A07B65"/>
    <w:rsid w:val="00A10425"/>
    <w:rsid w:val="00A126AA"/>
    <w:rsid w:val="00A12DC8"/>
    <w:rsid w:val="00A12F0F"/>
    <w:rsid w:val="00A1396E"/>
    <w:rsid w:val="00A2446D"/>
    <w:rsid w:val="00A34B4E"/>
    <w:rsid w:val="00A41428"/>
    <w:rsid w:val="00A43ED9"/>
    <w:rsid w:val="00A441D2"/>
    <w:rsid w:val="00A45DEF"/>
    <w:rsid w:val="00A463B9"/>
    <w:rsid w:val="00A50B27"/>
    <w:rsid w:val="00A55388"/>
    <w:rsid w:val="00A56540"/>
    <w:rsid w:val="00A63485"/>
    <w:rsid w:val="00A64CDF"/>
    <w:rsid w:val="00A657D0"/>
    <w:rsid w:val="00A73279"/>
    <w:rsid w:val="00A75864"/>
    <w:rsid w:val="00A77996"/>
    <w:rsid w:val="00A802EA"/>
    <w:rsid w:val="00A80D62"/>
    <w:rsid w:val="00A85486"/>
    <w:rsid w:val="00A85AA0"/>
    <w:rsid w:val="00A9016D"/>
    <w:rsid w:val="00A91328"/>
    <w:rsid w:val="00A93110"/>
    <w:rsid w:val="00A93A1E"/>
    <w:rsid w:val="00A93F46"/>
    <w:rsid w:val="00A94DD3"/>
    <w:rsid w:val="00A95E13"/>
    <w:rsid w:val="00AA2553"/>
    <w:rsid w:val="00AA25D4"/>
    <w:rsid w:val="00AA7F44"/>
    <w:rsid w:val="00AB10F7"/>
    <w:rsid w:val="00AB1AD7"/>
    <w:rsid w:val="00AB5DAA"/>
    <w:rsid w:val="00AC0ED7"/>
    <w:rsid w:val="00AC2FF4"/>
    <w:rsid w:val="00AC461B"/>
    <w:rsid w:val="00AD1D36"/>
    <w:rsid w:val="00AD2524"/>
    <w:rsid w:val="00AD2C3C"/>
    <w:rsid w:val="00AD46B0"/>
    <w:rsid w:val="00AE6BBF"/>
    <w:rsid w:val="00AF0A42"/>
    <w:rsid w:val="00AF1489"/>
    <w:rsid w:val="00AF1EF8"/>
    <w:rsid w:val="00B01D39"/>
    <w:rsid w:val="00B02087"/>
    <w:rsid w:val="00B05174"/>
    <w:rsid w:val="00B065C9"/>
    <w:rsid w:val="00B15631"/>
    <w:rsid w:val="00B15B17"/>
    <w:rsid w:val="00B15D43"/>
    <w:rsid w:val="00B16892"/>
    <w:rsid w:val="00B20BCC"/>
    <w:rsid w:val="00B20EFD"/>
    <w:rsid w:val="00B20F01"/>
    <w:rsid w:val="00B22A47"/>
    <w:rsid w:val="00B24DC1"/>
    <w:rsid w:val="00B25EA5"/>
    <w:rsid w:val="00B30722"/>
    <w:rsid w:val="00B32D87"/>
    <w:rsid w:val="00B33FBF"/>
    <w:rsid w:val="00B3590E"/>
    <w:rsid w:val="00B42485"/>
    <w:rsid w:val="00B519BD"/>
    <w:rsid w:val="00B54C39"/>
    <w:rsid w:val="00B57DC9"/>
    <w:rsid w:val="00B61715"/>
    <w:rsid w:val="00B62247"/>
    <w:rsid w:val="00B62A29"/>
    <w:rsid w:val="00B64487"/>
    <w:rsid w:val="00B672F6"/>
    <w:rsid w:val="00B73838"/>
    <w:rsid w:val="00B75AB7"/>
    <w:rsid w:val="00B767EA"/>
    <w:rsid w:val="00B80CB1"/>
    <w:rsid w:val="00B831FC"/>
    <w:rsid w:val="00B837E7"/>
    <w:rsid w:val="00B84276"/>
    <w:rsid w:val="00B86B5F"/>
    <w:rsid w:val="00B90B8D"/>
    <w:rsid w:val="00B913FC"/>
    <w:rsid w:val="00B935A7"/>
    <w:rsid w:val="00B9433C"/>
    <w:rsid w:val="00B9522A"/>
    <w:rsid w:val="00B967EA"/>
    <w:rsid w:val="00B9707D"/>
    <w:rsid w:val="00B976B4"/>
    <w:rsid w:val="00BA175D"/>
    <w:rsid w:val="00BA39EE"/>
    <w:rsid w:val="00BA3FCE"/>
    <w:rsid w:val="00BB2CE2"/>
    <w:rsid w:val="00BB3956"/>
    <w:rsid w:val="00BB5384"/>
    <w:rsid w:val="00BB6EFA"/>
    <w:rsid w:val="00BC1BFC"/>
    <w:rsid w:val="00BC3720"/>
    <w:rsid w:val="00BC4500"/>
    <w:rsid w:val="00BC5C07"/>
    <w:rsid w:val="00BC6DF6"/>
    <w:rsid w:val="00BC77EB"/>
    <w:rsid w:val="00BD30DE"/>
    <w:rsid w:val="00BD5AE0"/>
    <w:rsid w:val="00BE1F83"/>
    <w:rsid w:val="00BE2B7A"/>
    <w:rsid w:val="00BE4595"/>
    <w:rsid w:val="00BE62EB"/>
    <w:rsid w:val="00BE658D"/>
    <w:rsid w:val="00BE6EDC"/>
    <w:rsid w:val="00BF1BC5"/>
    <w:rsid w:val="00BF265A"/>
    <w:rsid w:val="00BF4A6E"/>
    <w:rsid w:val="00BF7009"/>
    <w:rsid w:val="00C0386C"/>
    <w:rsid w:val="00C04066"/>
    <w:rsid w:val="00C058EE"/>
    <w:rsid w:val="00C139AB"/>
    <w:rsid w:val="00C16528"/>
    <w:rsid w:val="00C16BF1"/>
    <w:rsid w:val="00C203A6"/>
    <w:rsid w:val="00C20693"/>
    <w:rsid w:val="00C206A0"/>
    <w:rsid w:val="00C212B8"/>
    <w:rsid w:val="00C23788"/>
    <w:rsid w:val="00C25974"/>
    <w:rsid w:val="00C259C2"/>
    <w:rsid w:val="00C31F95"/>
    <w:rsid w:val="00C32926"/>
    <w:rsid w:val="00C35E10"/>
    <w:rsid w:val="00C40FF1"/>
    <w:rsid w:val="00C42041"/>
    <w:rsid w:val="00C50CE9"/>
    <w:rsid w:val="00C51520"/>
    <w:rsid w:val="00C52907"/>
    <w:rsid w:val="00C610AA"/>
    <w:rsid w:val="00C61D5A"/>
    <w:rsid w:val="00C70C5A"/>
    <w:rsid w:val="00C71992"/>
    <w:rsid w:val="00C765CB"/>
    <w:rsid w:val="00C76E60"/>
    <w:rsid w:val="00C82966"/>
    <w:rsid w:val="00C85BF4"/>
    <w:rsid w:val="00C8629F"/>
    <w:rsid w:val="00C86B21"/>
    <w:rsid w:val="00C90F75"/>
    <w:rsid w:val="00C97E20"/>
    <w:rsid w:val="00CA07A9"/>
    <w:rsid w:val="00CA160F"/>
    <w:rsid w:val="00CA1CA9"/>
    <w:rsid w:val="00CA321D"/>
    <w:rsid w:val="00CA3970"/>
    <w:rsid w:val="00CB04A6"/>
    <w:rsid w:val="00CB1B79"/>
    <w:rsid w:val="00CB267D"/>
    <w:rsid w:val="00CB29CE"/>
    <w:rsid w:val="00CB3FD3"/>
    <w:rsid w:val="00CB407B"/>
    <w:rsid w:val="00CB6B43"/>
    <w:rsid w:val="00CB728F"/>
    <w:rsid w:val="00CB7D17"/>
    <w:rsid w:val="00CC1C99"/>
    <w:rsid w:val="00CC74CB"/>
    <w:rsid w:val="00CD0117"/>
    <w:rsid w:val="00CD2065"/>
    <w:rsid w:val="00CD41B3"/>
    <w:rsid w:val="00CD4FFE"/>
    <w:rsid w:val="00CE1CD5"/>
    <w:rsid w:val="00CE3219"/>
    <w:rsid w:val="00CE54DC"/>
    <w:rsid w:val="00CE590F"/>
    <w:rsid w:val="00CE640C"/>
    <w:rsid w:val="00CF17C1"/>
    <w:rsid w:val="00CF2CAC"/>
    <w:rsid w:val="00CF50E3"/>
    <w:rsid w:val="00D04B70"/>
    <w:rsid w:val="00D05765"/>
    <w:rsid w:val="00D11A52"/>
    <w:rsid w:val="00D13F3D"/>
    <w:rsid w:val="00D143C1"/>
    <w:rsid w:val="00D17295"/>
    <w:rsid w:val="00D233B8"/>
    <w:rsid w:val="00D24E2D"/>
    <w:rsid w:val="00D25233"/>
    <w:rsid w:val="00D27B23"/>
    <w:rsid w:val="00D310B4"/>
    <w:rsid w:val="00D31605"/>
    <w:rsid w:val="00D32F8A"/>
    <w:rsid w:val="00D3778A"/>
    <w:rsid w:val="00D37B37"/>
    <w:rsid w:val="00D41CC0"/>
    <w:rsid w:val="00D42E54"/>
    <w:rsid w:val="00D4338E"/>
    <w:rsid w:val="00D4643E"/>
    <w:rsid w:val="00D50ECB"/>
    <w:rsid w:val="00D52251"/>
    <w:rsid w:val="00D54D53"/>
    <w:rsid w:val="00D60DB1"/>
    <w:rsid w:val="00D61D27"/>
    <w:rsid w:val="00D621BB"/>
    <w:rsid w:val="00D6241D"/>
    <w:rsid w:val="00D6671B"/>
    <w:rsid w:val="00D67F5F"/>
    <w:rsid w:val="00D746DB"/>
    <w:rsid w:val="00D74C17"/>
    <w:rsid w:val="00D76531"/>
    <w:rsid w:val="00D8248D"/>
    <w:rsid w:val="00D8337E"/>
    <w:rsid w:val="00D833CC"/>
    <w:rsid w:val="00D84D76"/>
    <w:rsid w:val="00D854A2"/>
    <w:rsid w:val="00D8711C"/>
    <w:rsid w:val="00D90E45"/>
    <w:rsid w:val="00D93902"/>
    <w:rsid w:val="00D962C9"/>
    <w:rsid w:val="00D964AE"/>
    <w:rsid w:val="00D970FB"/>
    <w:rsid w:val="00DA507D"/>
    <w:rsid w:val="00DB000E"/>
    <w:rsid w:val="00DB0CB3"/>
    <w:rsid w:val="00DB13A5"/>
    <w:rsid w:val="00DB1815"/>
    <w:rsid w:val="00DB2C75"/>
    <w:rsid w:val="00DB2E83"/>
    <w:rsid w:val="00DB7D08"/>
    <w:rsid w:val="00DC2616"/>
    <w:rsid w:val="00DC2816"/>
    <w:rsid w:val="00DC330D"/>
    <w:rsid w:val="00DC37F6"/>
    <w:rsid w:val="00DD51FF"/>
    <w:rsid w:val="00DD64EA"/>
    <w:rsid w:val="00DD7D28"/>
    <w:rsid w:val="00DE0E15"/>
    <w:rsid w:val="00DE625C"/>
    <w:rsid w:val="00DF2BA8"/>
    <w:rsid w:val="00DF4D98"/>
    <w:rsid w:val="00DF6813"/>
    <w:rsid w:val="00E02A2D"/>
    <w:rsid w:val="00E0358E"/>
    <w:rsid w:val="00E06A52"/>
    <w:rsid w:val="00E10B96"/>
    <w:rsid w:val="00E10E24"/>
    <w:rsid w:val="00E11518"/>
    <w:rsid w:val="00E13EA0"/>
    <w:rsid w:val="00E14B5B"/>
    <w:rsid w:val="00E1539C"/>
    <w:rsid w:val="00E1568C"/>
    <w:rsid w:val="00E20141"/>
    <w:rsid w:val="00E21635"/>
    <w:rsid w:val="00E25441"/>
    <w:rsid w:val="00E25EC0"/>
    <w:rsid w:val="00E26422"/>
    <w:rsid w:val="00E26C40"/>
    <w:rsid w:val="00E30660"/>
    <w:rsid w:val="00E30FDC"/>
    <w:rsid w:val="00E32859"/>
    <w:rsid w:val="00E334F6"/>
    <w:rsid w:val="00E35C64"/>
    <w:rsid w:val="00E367ED"/>
    <w:rsid w:val="00E37F1B"/>
    <w:rsid w:val="00E42E8C"/>
    <w:rsid w:val="00E42F74"/>
    <w:rsid w:val="00E47216"/>
    <w:rsid w:val="00E47C31"/>
    <w:rsid w:val="00E52A95"/>
    <w:rsid w:val="00E558B7"/>
    <w:rsid w:val="00E56BBA"/>
    <w:rsid w:val="00E6578E"/>
    <w:rsid w:val="00E719DB"/>
    <w:rsid w:val="00E74EF9"/>
    <w:rsid w:val="00E7696A"/>
    <w:rsid w:val="00E82FAC"/>
    <w:rsid w:val="00E85589"/>
    <w:rsid w:val="00E85EF9"/>
    <w:rsid w:val="00E87739"/>
    <w:rsid w:val="00E87B87"/>
    <w:rsid w:val="00E913F5"/>
    <w:rsid w:val="00E940CB"/>
    <w:rsid w:val="00EA0732"/>
    <w:rsid w:val="00EA277A"/>
    <w:rsid w:val="00EA2C12"/>
    <w:rsid w:val="00EA375F"/>
    <w:rsid w:val="00EA6983"/>
    <w:rsid w:val="00EB2D64"/>
    <w:rsid w:val="00EB38BD"/>
    <w:rsid w:val="00EB546E"/>
    <w:rsid w:val="00EB756A"/>
    <w:rsid w:val="00EC1FBB"/>
    <w:rsid w:val="00EC3FD5"/>
    <w:rsid w:val="00EC4E85"/>
    <w:rsid w:val="00EC5B8F"/>
    <w:rsid w:val="00EC7945"/>
    <w:rsid w:val="00ED42FD"/>
    <w:rsid w:val="00EE1616"/>
    <w:rsid w:val="00EE1634"/>
    <w:rsid w:val="00EE4E0E"/>
    <w:rsid w:val="00EF00F3"/>
    <w:rsid w:val="00EF29DC"/>
    <w:rsid w:val="00EF4727"/>
    <w:rsid w:val="00EF4CBB"/>
    <w:rsid w:val="00EF4D05"/>
    <w:rsid w:val="00EF5F62"/>
    <w:rsid w:val="00F02731"/>
    <w:rsid w:val="00F03965"/>
    <w:rsid w:val="00F071CA"/>
    <w:rsid w:val="00F129BB"/>
    <w:rsid w:val="00F1338C"/>
    <w:rsid w:val="00F1617E"/>
    <w:rsid w:val="00F203E1"/>
    <w:rsid w:val="00F2144B"/>
    <w:rsid w:val="00F222D5"/>
    <w:rsid w:val="00F24FF7"/>
    <w:rsid w:val="00F250F2"/>
    <w:rsid w:val="00F254A3"/>
    <w:rsid w:val="00F27375"/>
    <w:rsid w:val="00F321D6"/>
    <w:rsid w:val="00F32F2C"/>
    <w:rsid w:val="00F33EDD"/>
    <w:rsid w:val="00F35146"/>
    <w:rsid w:val="00F41077"/>
    <w:rsid w:val="00F43414"/>
    <w:rsid w:val="00F470C0"/>
    <w:rsid w:val="00F5030B"/>
    <w:rsid w:val="00F514DE"/>
    <w:rsid w:val="00F52484"/>
    <w:rsid w:val="00F54019"/>
    <w:rsid w:val="00F61B0D"/>
    <w:rsid w:val="00F6223A"/>
    <w:rsid w:val="00F6648E"/>
    <w:rsid w:val="00F66552"/>
    <w:rsid w:val="00F73973"/>
    <w:rsid w:val="00F763E6"/>
    <w:rsid w:val="00F77316"/>
    <w:rsid w:val="00F7793F"/>
    <w:rsid w:val="00F80B4E"/>
    <w:rsid w:val="00F80CCB"/>
    <w:rsid w:val="00F83281"/>
    <w:rsid w:val="00F83B9C"/>
    <w:rsid w:val="00F83EEA"/>
    <w:rsid w:val="00F876C5"/>
    <w:rsid w:val="00F91309"/>
    <w:rsid w:val="00F91CAE"/>
    <w:rsid w:val="00F9381A"/>
    <w:rsid w:val="00F94812"/>
    <w:rsid w:val="00F94F25"/>
    <w:rsid w:val="00F95432"/>
    <w:rsid w:val="00F954EE"/>
    <w:rsid w:val="00F95DFF"/>
    <w:rsid w:val="00FA37D7"/>
    <w:rsid w:val="00FB06F6"/>
    <w:rsid w:val="00FB2379"/>
    <w:rsid w:val="00FB605D"/>
    <w:rsid w:val="00FC4056"/>
    <w:rsid w:val="00FC504E"/>
    <w:rsid w:val="00FD11F8"/>
    <w:rsid w:val="00FD4F5A"/>
    <w:rsid w:val="00FD5725"/>
    <w:rsid w:val="00FD579D"/>
    <w:rsid w:val="00FE007C"/>
    <w:rsid w:val="00FE0D93"/>
    <w:rsid w:val="00FE149A"/>
    <w:rsid w:val="00FE3FF2"/>
    <w:rsid w:val="00FE55EC"/>
    <w:rsid w:val="00FE5FD1"/>
    <w:rsid w:val="00FE6B55"/>
    <w:rsid w:val="0A753FE3"/>
    <w:rsid w:val="1B3EA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C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02731"/>
    <w:pPr>
      <w:spacing w:after="0" w:line="240" w:lineRule="auto"/>
    </w:pPr>
    <w:rPr>
      <w:sz w:val="20"/>
      <w:szCs w:val="20"/>
    </w:rPr>
  </w:style>
  <w:style w:type="character" w:customStyle="1" w:styleId="FootnoteTextChar">
    <w:name w:val="Footnote Text Char"/>
    <w:basedOn w:val="DefaultParagraphFont"/>
    <w:link w:val="FootnoteText"/>
    <w:uiPriority w:val="99"/>
    <w:rsid w:val="00F02731"/>
    <w:rPr>
      <w:sz w:val="20"/>
      <w:szCs w:val="20"/>
    </w:rPr>
  </w:style>
  <w:style w:type="character" w:styleId="FootnoteReference">
    <w:name w:val="footnote reference"/>
    <w:basedOn w:val="DefaultParagraphFont"/>
    <w:uiPriority w:val="99"/>
    <w:unhideWhenUsed/>
    <w:rsid w:val="00F02731"/>
    <w:rPr>
      <w:vertAlign w:val="superscript"/>
    </w:rPr>
  </w:style>
  <w:style w:type="paragraph" w:styleId="Header">
    <w:name w:val="header"/>
    <w:basedOn w:val="Normal"/>
    <w:link w:val="HeaderChar"/>
    <w:uiPriority w:val="99"/>
    <w:unhideWhenUsed/>
    <w:rsid w:val="00CE1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CD5"/>
  </w:style>
  <w:style w:type="paragraph" w:styleId="Footer">
    <w:name w:val="footer"/>
    <w:basedOn w:val="Normal"/>
    <w:link w:val="FooterChar"/>
    <w:uiPriority w:val="99"/>
    <w:unhideWhenUsed/>
    <w:rsid w:val="00CE1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CD5"/>
  </w:style>
  <w:style w:type="paragraph" w:styleId="ListParagraph">
    <w:name w:val="List Paragraph"/>
    <w:basedOn w:val="Normal"/>
    <w:uiPriority w:val="34"/>
    <w:qFormat/>
    <w:rsid w:val="00896E31"/>
    <w:pPr>
      <w:ind w:left="720"/>
      <w:contextualSpacing/>
    </w:pPr>
  </w:style>
  <w:style w:type="paragraph" w:styleId="BalloonText">
    <w:name w:val="Balloon Text"/>
    <w:basedOn w:val="Normal"/>
    <w:link w:val="BalloonTextChar"/>
    <w:uiPriority w:val="99"/>
    <w:semiHidden/>
    <w:unhideWhenUsed/>
    <w:rsid w:val="00EA2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C12"/>
    <w:rPr>
      <w:rFonts w:ascii="Tahoma" w:hAnsi="Tahoma" w:cs="Tahoma"/>
      <w:sz w:val="16"/>
      <w:szCs w:val="16"/>
    </w:rPr>
  </w:style>
  <w:style w:type="character" w:styleId="CommentReference">
    <w:name w:val="annotation reference"/>
    <w:basedOn w:val="DefaultParagraphFont"/>
    <w:uiPriority w:val="99"/>
    <w:semiHidden/>
    <w:unhideWhenUsed/>
    <w:rsid w:val="00D962C9"/>
    <w:rPr>
      <w:sz w:val="18"/>
      <w:szCs w:val="18"/>
    </w:rPr>
  </w:style>
  <w:style w:type="paragraph" w:styleId="CommentText">
    <w:name w:val="annotation text"/>
    <w:basedOn w:val="Normal"/>
    <w:link w:val="CommentTextChar"/>
    <w:uiPriority w:val="99"/>
    <w:unhideWhenUsed/>
    <w:rsid w:val="00D962C9"/>
    <w:pPr>
      <w:spacing w:line="240" w:lineRule="auto"/>
    </w:pPr>
    <w:rPr>
      <w:sz w:val="24"/>
      <w:szCs w:val="24"/>
    </w:rPr>
  </w:style>
  <w:style w:type="character" w:customStyle="1" w:styleId="CommentTextChar">
    <w:name w:val="Comment Text Char"/>
    <w:basedOn w:val="DefaultParagraphFont"/>
    <w:link w:val="CommentText"/>
    <w:uiPriority w:val="99"/>
    <w:rsid w:val="00D962C9"/>
    <w:rPr>
      <w:sz w:val="24"/>
      <w:szCs w:val="24"/>
    </w:rPr>
  </w:style>
  <w:style w:type="paragraph" w:styleId="CommentSubject">
    <w:name w:val="annotation subject"/>
    <w:basedOn w:val="CommentText"/>
    <w:next w:val="CommentText"/>
    <w:link w:val="CommentSubjectChar"/>
    <w:uiPriority w:val="99"/>
    <w:semiHidden/>
    <w:unhideWhenUsed/>
    <w:rsid w:val="00D962C9"/>
    <w:rPr>
      <w:b/>
      <w:bCs/>
      <w:sz w:val="20"/>
      <w:szCs w:val="20"/>
    </w:rPr>
  </w:style>
  <w:style w:type="character" w:customStyle="1" w:styleId="CommentSubjectChar">
    <w:name w:val="Comment Subject Char"/>
    <w:basedOn w:val="CommentTextChar"/>
    <w:link w:val="CommentSubject"/>
    <w:uiPriority w:val="99"/>
    <w:semiHidden/>
    <w:rsid w:val="00D962C9"/>
    <w:rPr>
      <w:b/>
      <w:bCs/>
      <w:sz w:val="20"/>
      <w:szCs w:val="20"/>
    </w:rPr>
  </w:style>
  <w:style w:type="character" w:styleId="Hyperlink">
    <w:name w:val="Hyperlink"/>
    <w:basedOn w:val="DefaultParagraphFont"/>
    <w:uiPriority w:val="99"/>
    <w:unhideWhenUsed/>
    <w:rsid w:val="00384FFC"/>
    <w:rPr>
      <w:color w:val="0000FF" w:themeColor="hyperlink"/>
      <w:u w:val="single"/>
    </w:rPr>
  </w:style>
  <w:style w:type="paragraph" w:styleId="Revision">
    <w:name w:val="Revision"/>
    <w:hidden/>
    <w:uiPriority w:val="99"/>
    <w:semiHidden/>
    <w:rsid w:val="00A7327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02731"/>
    <w:pPr>
      <w:spacing w:after="0" w:line="240" w:lineRule="auto"/>
    </w:pPr>
    <w:rPr>
      <w:sz w:val="20"/>
      <w:szCs w:val="20"/>
    </w:rPr>
  </w:style>
  <w:style w:type="character" w:customStyle="1" w:styleId="FootnoteTextChar">
    <w:name w:val="Footnote Text Char"/>
    <w:basedOn w:val="DefaultParagraphFont"/>
    <w:link w:val="FootnoteText"/>
    <w:uiPriority w:val="99"/>
    <w:rsid w:val="00F02731"/>
    <w:rPr>
      <w:sz w:val="20"/>
      <w:szCs w:val="20"/>
    </w:rPr>
  </w:style>
  <w:style w:type="character" w:styleId="FootnoteReference">
    <w:name w:val="footnote reference"/>
    <w:basedOn w:val="DefaultParagraphFont"/>
    <w:uiPriority w:val="99"/>
    <w:unhideWhenUsed/>
    <w:rsid w:val="00F02731"/>
    <w:rPr>
      <w:vertAlign w:val="superscript"/>
    </w:rPr>
  </w:style>
  <w:style w:type="paragraph" w:styleId="Header">
    <w:name w:val="header"/>
    <w:basedOn w:val="Normal"/>
    <w:link w:val="HeaderChar"/>
    <w:uiPriority w:val="99"/>
    <w:unhideWhenUsed/>
    <w:rsid w:val="00CE1C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CD5"/>
  </w:style>
  <w:style w:type="paragraph" w:styleId="Footer">
    <w:name w:val="footer"/>
    <w:basedOn w:val="Normal"/>
    <w:link w:val="FooterChar"/>
    <w:uiPriority w:val="99"/>
    <w:unhideWhenUsed/>
    <w:rsid w:val="00CE1C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CD5"/>
  </w:style>
  <w:style w:type="paragraph" w:styleId="ListParagraph">
    <w:name w:val="List Paragraph"/>
    <w:basedOn w:val="Normal"/>
    <w:uiPriority w:val="34"/>
    <w:qFormat/>
    <w:rsid w:val="00896E31"/>
    <w:pPr>
      <w:ind w:left="720"/>
      <w:contextualSpacing/>
    </w:pPr>
  </w:style>
  <w:style w:type="paragraph" w:styleId="BalloonText">
    <w:name w:val="Balloon Text"/>
    <w:basedOn w:val="Normal"/>
    <w:link w:val="BalloonTextChar"/>
    <w:uiPriority w:val="99"/>
    <w:semiHidden/>
    <w:unhideWhenUsed/>
    <w:rsid w:val="00EA2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C12"/>
    <w:rPr>
      <w:rFonts w:ascii="Tahoma" w:hAnsi="Tahoma" w:cs="Tahoma"/>
      <w:sz w:val="16"/>
      <w:szCs w:val="16"/>
    </w:rPr>
  </w:style>
  <w:style w:type="character" w:styleId="CommentReference">
    <w:name w:val="annotation reference"/>
    <w:basedOn w:val="DefaultParagraphFont"/>
    <w:uiPriority w:val="99"/>
    <w:semiHidden/>
    <w:unhideWhenUsed/>
    <w:rsid w:val="00D962C9"/>
    <w:rPr>
      <w:sz w:val="18"/>
      <w:szCs w:val="18"/>
    </w:rPr>
  </w:style>
  <w:style w:type="paragraph" w:styleId="CommentText">
    <w:name w:val="annotation text"/>
    <w:basedOn w:val="Normal"/>
    <w:link w:val="CommentTextChar"/>
    <w:uiPriority w:val="99"/>
    <w:unhideWhenUsed/>
    <w:rsid w:val="00D962C9"/>
    <w:pPr>
      <w:spacing w:line="240" w:lineRule="auto"/>
    </w:pPr>
    <w:rPr>
      <w:sz w:val="24"/>
      <w:szCs w:val="24"/>
    </w:rPr>
  </w:style>
  <w:style w:type="character" w:customStyle="1" w:styleId="CommentTextChar">
    <w:name w:val="Comment Text Char"/>
    <w:basedOn w:val="DefaultParagraphFont"/>
    <w:link w:val="CommentText"/>
    <w:uiPriority w:val="99"/>
    <w:rsid w:val="00D962C9"/>
    <w:rPr>
      <w:sz w:val="24"/>
      <w:szCs w:val="24"/>
    </w:rPr>
  </w:style>
  <w:style w:type="paragraph" w:styleId="CommentSubject">
    <w:name w:val="annotation subject"/>
    <w:basedOn w:val="CommentText"/>
    <w:next w:val="CommentText"/>
    <w:link w:val="CommentSubjectChar"/>
    <w:uiPriority w:val="99"/>
    <w:semiHidden/>
    <w:unhideWhenUsed/>
    <w:rsid w:val="00D962C9"/>
    <w:rPr>
      <w:b/>
      <w:bCs/>
      <w:sz w:val="20"/>
      <w:szCs w:val="20"/>
    </w:rPr>
  </w:style>
  <w:style w:type="character" w:customStyle="1" w:styleId="CommentSubjectChar">
    <w:name w:val="Comment Subject Char"/>
    <w:basedOn w:val="CommentTextChar"/>
    <w:link w:val="CommentSubject"/>
    <w:uiPriority w:val="99"/>
    <w:semiHidden/>
    <w:rsid w:val="00D962C9"/>
    <w:rPr>
      <w:b/>
      <w:bCs/>
      <w:sz w:val="20"/>
      <w:szCs w:val="20"/>
    </w:rPr>
  </w:style>
  <w:style w:type="character" w:styleId="Hyperlink">
    <w:name w:val="Hyperlink"/>
    <w:basedOn w:val="DefaultParagraphFont"/>
    <w:uiPriority w:val="99"/>
    <w:unhideWhenUsed/>
    <w:rsid w:val="00384FFC"/>
    <w:rPr>
      <w:color w:val="0000FF" w:themeColor="hyperlink"/>
      <w:u w:val="single"/>
    </w:rPr>
  </w:style>
  <w:style w:type="paragraph" w:styleId="Revision">
    <w:name w:val="Revision"/>
    <w:hidden/>
    <w:uiPriority w:val="99"/>
    <w:semiHidden/>
    <w:rsid w:val="00A732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201975">
      <w:bodyDiv w:val="1"/>
      <w:marLeft w:val="0"/>
      <w:marRight w:val="0"/>
      <w:marTop w:val="0"/>
      <w:marBottom w:val="0"/>
      <w:divBdr>
        <w:top w:val="none" w:sz="0" w:space="0" w:color="auto"/>
        <w:left w:val="none" w:sz="0" w:space="0" w:color="auto"/>
        <w:bottom w:val="none" w:sz="0" w:space="0" w:color="auto"/>
        <w:right w:val="none" w:sz="0" w:space="0" w:color="auto"/>
      </w:divBdr>
    </w:div>
    <w:div w:id="1219127945">
      <w:bodyDiv w:val="1"/>
      <w:marLeft w:val="0"/>
      <w:marRight w:val="0"/>
      <w:marTop w:val="0"/>
      <w:marBottom w:val="0"/>
      <w:divBdr>
        <w:top w:val="none" w:sz="0" w:space="0" w:color="auto"/>
        <w:left w:val="none" w:sz="0" w:space="0" w:color="auto"/>
        <w:bottom w:val="none" w:sz="0" w:space="0" w:color="auto"/>
        <w:right w:val="none" w:sz="0" w:space="0" w:color="auto"/>
      </w:divBdr>
    </w:div>
    <w:div w:id="168539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ED818-C210-4243-AB32-6DB25124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4075B19E.dotm</Template>
  <TotalTime>2</TotalTime>
  <Pages>21</Pages>
  <Words>9788</Words>
  <Characters>55796</Characters>
  <Application>Microsoft Office Word</Application>
  <DocSecurity>4</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Jenny Steele</cp:lastModifiedBy>
  <cp:revision>2</cp:revision>
  <cp:lastPrinted>2017-05-16T08:29:00Z</cp:lastPrinted>
  <dcterms:created xsi:type="dcterms:W3CDTF">2018-11-26T14:08:00Z</dcterms:created>
  <dcterms:modified xsi:type="dcterms:W3CDTF">2018-11-26T14:08:00Z</dcterms:modified>
</cp:coreProperties>
</file>