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D7CBD" w14:textId="56BC896C" w:rsidR="00720FA7" w:rsidRPr="004E453C" w:rsidRDefault="00720FA7" w:rsidP="00720FA7">
      <w:pPr>
        <w:pStyle w:val="Heading1"/>
        <w:spacing w:line="480" w:lineRule="auto"/>
        <w:jc w:val="center"/>
        <w:rPr>
          <w:rFonts w:ascii="Times New Roman" w:hAnsi="Times New Roman" w:cs="Times New Roman"/>
          <w:color w:val="auto"/>
        </w:rPr>
      </w:pPr>
      <w:r w:rsidRPr="004E453C">
        <w:rPr>
          <w:rFonts w:ascii="Times New Roman" w:hAnsi="Times New Roman" w:cs="Times New Roman"/>
          <w:color w:val="auto"/>
        </w:rPr>
        <w:t xml:space="preserve">Searching for Synergies, Making Majorities: </w:t>
      </w:r>
      <w:r w:rsidR="009E64A6">
        <w:rPr>
          <w:rFonts w:ascii="Times New Roman" w:hAnsi="Times New Roman" w:cs="Times New Roman"/>
          <w:color w:val="auto"/>
        </w:rPr>
        <w:t xml:space="preserve">The Demands for </w:t>
      </w:r>
      <w:r>
        <w:rPr>
          <w:rFonts w:ascii="Times New Roman" w:hAnsi="Times New Roman" w:cs="Times New Roman"/>
          <w:color w:val="auto"/>
        </w:rPr>
        <w:t>Pakistan</w:t>
      </w:r>
      <w:r w:rsidRPr="004E453C">
        <w:rPr>
          <w:rFonts w:ascii="Times New Roman" w:hAnsi="Times New Roman" w:cs="Times New Roman"/>
          <w:color w:val="auto"/>
        </w:rPr>
        <w:t xml:space="preserve"> and </w:t>
      </w:r>
      <w:r>
        <w:rPr>
          <w:rFonts w:ascii="Times New Roman" w:hAnsi="Times New Roman" w:cs="Times New Roman"/>
          <w:color w:val="auto"/>
        </w:rPr>
        <w:t>Maharashtra</w:t>
      </w:r>
    </w:p>
    <w:p w14:paraId="44F742C4" w14:textId="77777777" w:rsidR="00720FA7" w:rsidRDefault="00720FA7" w:rsidP="00720FA7">
      <w:pPr>
        <w:spacing w:before="240" w:after="200" w:line="480" w:lineRule="auto"/>
        <w:jc w:val="center"/>
        <w:rPr>
          <w:rFonts w:ascii="Times New Roman" w:hAnsi="Times New Roman" w:cs="Times New Roman"/>
          <w:b/>
          <w:sz w:val="28"/>
          <w:szCs w:val="28"/>
        </w:rPr>
      </w:pPr>
      <w:r w:rsidRPr="004E453C">
        <w:rPr>
          <w:rFonts w:ascii="Times New Roman" w:hAnsi="Times New Roman" w:cs="Times New Roman"/>
          <w:b/>
          <w:sz w:val="28"/>
          <w:szCs w:val="28"/>
        </w:rPr>
        <w:t>OLIVER</w:t>
      </w:r>
      <w:r>
        <w:rPr>
          <w:rFonts w:ascii="Times New Roman" w:hAnsi="Times New Roman" w:cs="Times New Roman"/>
          <w:b/>
          <w:sz w:val="28"/>
          <w:szCs w:val="28"/>
        </w:rPr>
        <w:t xml:space="preserve"> GODSMARK, University of Sheffield</w:t>
      </w:r>
    </w:p>
    <w:p w14:paraId="5CC92674" w14:textId="77777777" w:rsidR="00720FA7" w:rsidRDefault="00720FA7" w:rsidP="00720FA7">
      <w:pPr>
        <w:spacing w:line="276" w:lineRule="auto"/>
        <w:jc w:val="center"/>
        <w:rPr>
          <w:rFonts w:ascii="Times New Roman" w:hAnsi="Times New Roman" w:cs="Times New Roman"/>
        </w:rPr>
      </w:pPr>
      <w:r>
        <w:rPr>
          <w:rFonts w:ascii="Times New Roman" w:hAnsi="Times New Roman" w:cs="Times New Roman"/>
        </w:rPr>
        <w:t>Department of History</w:t>
      </w:r>
    </w:p>
    <w:p w14:paraId="2BD51465" w14:textId="77777777" w:rsidR="00720FA7" w:rsidRDefault="00720FA7" w:rsidP="00720FA7">
      <w:pPr>
        <w:spacing w:line="276" w:lineRule="auto"/>
        <w:jc w:val="center"/>
        <w:rPr>
          <w:rFonts w:ascii="Times New Roman" w:hAnsi="Times New Roman" w:cs="Times New Roman"/>
        </w:rPr>
      </w:pPr>
      <w:r>
        <w:rPr>
          <w:rFonts w:ascii="Times New Roman" w:hAnsi="Times New Roman" w:cs="Times New Roman"/>
        </w:rPr>
        <w:t>University of Sheffield</w:t>
      </w:r>
    </w:p>
    <w:p w14:paraId="287C41E2" w14:textId="77777777" w:rsidR="00720FA7" w:rsidRDefault="00720FA7" w:rsidP="00720FA7">
      <w:pPr>
        <w:spacing w:line="276" w:lineRule="auto"/>
        <w:jc w:val="center"/>
        <w:rPr>
          <w:rFonts w:ascii="Times New Roman" w:hAnsi="Times New Roman" w:cs="Times New Roman"/>
        </w:rPr>
      </w:pPr>
      <w:r>
        <w:rPr>
          <w:rFonts w:ascii="Times New Roman" w:hAnsi="Times New Roman" w:cs="Times New Roman"/>
        </w:rPr>
        <w:t>Sheffield</w:t>
      </w:r>
    </w:p>
    <w:p w14:paraId="41F830C0" w14:textId="77777777" w:rsidR="00720FA7" w:rsidRDefault="00720FA7" w:rsidP="00720FA7">
      <w:pPr>
        <w:spacing w:line="276" w:lineRule="auto"/>
        <w:jc w:val="center"/>
        <w:rPr>
          <w:rFonts w:ascii="Times New Roman" w:hAnsi="Times New Roman" w:cs="Times New Roman"/>
        </w:rPr>
      </w:pPr>
      <w:r>
        <w:rPr>
          <w:rFonts w:ascii="Times New Roman" w:hAnsi="Times New Roman" w:cs="Times New Roman"/>
        </w:rPr>
        <w:t>S3 7RA</w:t>
      </w:r>
    </w:p>
    <w:p w14:paraId="697311AF" w14:textId="77777777" w:rsidR="00720FA7" w:rsidRDefault="00720FA7" w:rsidP="00720FA7">
      <w:pPr>
        <w:spacing w:line="276" w:lineRule="auto"/>
        <w:jc w:val="center"/>
        <w:rPr>
          <w:rFonts w:ascii="Times New Roman" w:hAnsi="Times New Roman" w:cs="Times New Roman"/>
        </w:rPr>
      </w:pPr>
      <w:r>
        <w:rPr>
          <w:rFonts w:ascii="Times New Roman" w:hAnsi="Times New Roman" w:cs="Times New Roman"/>
        </w:rPr>
        <w:t>United Kingdom</w:t>
      </w:r>
    </w:p>
    <w:p w14:paraId="7E7A61E7" w14:textId="77777777" w:rsidR="00720FA7" w:rsidRDefault="00000D26" w:rsidP="00720FA7">
      <w:pPr>
        <w:spacing w:line="276" w:lineRule="auto"/>
        <w:jc w:val="center"/>
        <w:rPr>
          <w:rFonts w:ascii="Times New Roman" w:hAnsi="Times New Roman" w:cs="Times New Roman"/>
        </w:rPr>
      </w:pPr>
      <w:hyperlink r:id="rId7" w:history="1">
        <w:r w:rsidR="00720FA7" w:rsidRPr="006553C6">
          <w:rPr>
            <w:rStyle w:val="Hyperlink"/>
            <w:rFonts w:ascii="Times New Roman" w:hAnsi="Times New Roman" w:cs="Times New Roman"/>
          </w:rPr>
          <w:t>O.Godsmark@sheffield.ac.uk</w:t>
        </w:r>
      </w:hyperlink>
    </w:p>
    <w:p w14:paraId="380ADA5F" w14:textId="77777777" w:rsidR="00720FA7" w:rsidRDefault="00720FA7" w:rsidP="00720FA7">
      <w:pPr>
        <w:spacing w:line="276" w:lineRule="auto"/>
        <w:jc w:val="center"/>
        <w:rPr>
          <w:rFonts w:ascii="Times New Roman" w:hAnsi="Times New Roman" w:cs="Times New Roman"/>
        </w:rPr>
      </w:pPr>
    </w:p>
    <w:p w14:paraId="1368474E" w14:textId="77777777" w:rsidR="00720FA7" w:rsidRDefault="00720FA7" w:rsidP="00720FA7">
      <w:pPr>
        <w:pStyle w:val="Heading2"/>
        <w:spacing w:after="24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Abstract</w:t>
      </w:r>
    </w:p>
    <w:p w14:paraId="2284382E" w14:textId="5F3C1D6F" w:rsidR="00F7722D" w:rsidRDefault="00720FA7" w:rsidP="00720FA7">
      <w:pPr>
        <w:spacing w:after="200" w:line="480" w:lineRule="auto"/>
        <w:jc w:val="both"/>
        <w:rPr>
          <w:rFonts w:ascii="Times New Roman" w:hAnsi="Times New Roman" w:cs="Times New Roman"/>
          <w:i/>
        </w:rPr>
      </w:pPr>
      <w:r>
        <w:rPr>
          <w:rFonts w:ascii="Times New Roman" w:hAnsi="Times New Roman" w:cs="Times New Roman"/>
          <w:i/>
        </w:rPr>
        <w:t xml:space="preserve">This paper re-examines the Pakistan demand as </w:t>
      </w:r>
      <w:r w:rsidR="00A368F8">
        <w:rPr>
          <w:rFonts w:ascii="Times New Roman" w:hAnsi="Times New Roman" w:cs="Times New Roman"/>
          <w:i/>
        </w:rPr>
        <w:t>part</w:t>
      </w:r>
      <w:r>
        <w:rPr>
          <w:rFonts w:ascii="Times New Roman" w:hAnsi="Times New Roman" w:cs="Times New Roman"/>
          <w:i/>
        </w:rPr>
        <w:t xml:space="preserve"> of a wider </w:t>
      </w:r>
      <w:r w:rsidR="00A368F8">
        <w:rPr>
          <w:rFonts w:ascii="Times New Roman" w:hAnsi="Times New Roman" w:cs="Times New Roman"/>
          <w:i/>
        </w:rPr>
        <w:t xml:space="preserve">‘federal moment’ </w:t>
      </w:r>
      <w:r>
        <w:rPr>
          <w:rFonts w:ascii="Times New Roman" w:hAnsi="Times New Roman" w:cs="Times New Roman"/>
          <w:i/>
        </w:rPr>
        <w:t xml:space="preserve">in </w:t>
      </w:r>
      <w:r w:rsidR="00A368F8">
        <w:rPr>
          <w:rFonts w:ascii="Times New Roman" w:hAnsi="Times New Roman" w:cs="Times New Roman"/>
          <w:i/>
        </w:rPr>
        <w:t>India</w:t>
      </w:r>
      <w:r>
        <w:rPr>
          <w:rFonts w:ascii="Times New Roman" w:hAnsi="Times New Roman" w:cs="Times New Roman"/>
          <w:i/>
        </w:rPr>
        <w:t>, by addressing its connections with</w:t>
      </w:r>
      <w:r w:rsidR="002E479E">
        <w:rPr>
          <w:rFonts w:ascii="Times New Roman" w:hAnsi="Times New Roman" w:cs="Times New Roman"/>
          <w:i/>
        </w:rPr>
        <w:t xml:space="preserve"> the</w:t>
      </w:r>
      <w:r>
        <w:rPr>
          <w:rFonts w:ascii="Times New Roman" w:hAnsi="Times New Roman" w:cs="Times New Roman"/>
          <w:i/>
        </w:rPr>
        <w:t xml:space="preserve"> coterminous calls for </w:t>
      </w:r>
      <w:r w:rsidR="002E479E">
        <w:rPr>
          <w:rFonts w:ascii="Times New Roman" w:hAnsi="Times New Roman" w:cs="Times New Roman"/>
          <w:i/>
        </w:rPr>
        <w:t>Samyukta Maharashtra</w:t>
      </w:r>
      <w:r w:rsidR="00A368F8">
        <w:rPr>
          <w:rFonts w:ascii="Times New Roman" w:hAnsi="Times New Roman" w:cs="Times New Roman"/>
          <w:i/>
        </w:rPr>
        <w:t xml:space="preserve"> </w:t>
      </w:r>
      <w:r w:rsidR="002E479E">
        <w:rPr>
          <w:rFonts w:ascii="Times New Roman" w:hAnsi="Times New Roman" w:cs="Times New Roman"/>
          <w:i/>
        </w:rPr>
        <w:t>in the context of the Cabinet Mission of spring/summer 1946</w:t>
      </w:r>
      <w:r>
        <w:rPr>
          <w:rFonts w:ascii="Times New Roman" w:hAnsi="Times New Roman" w:cs="Times New Roman"/>
          <w:i/>
        </w:rPr>
        <w:t xml:space="preserve">. It highlights how the twinned processes of democratisation and provincialisation during the </w:t>
      </w:r>
      <w:r w:rsidR="00A368F8">
        <w:rPr>
          <w:rFonts w:ascii="Times New Roman" w:hAnsi="Times New Roman" w:cs="Times New Roman"/>
          <w:i/>
        </w:rPr>
        <w:t xml:space="preserve">interwar years informed these </w:t>
      </w:r>
      <w:r>
        <w:rPr>
          <w:rFonts w:ascii="Times New Roman" w:hAnsi="Times New Roman" w:cs="Times New Roman"/>
          <w:i/>
        </w:rPr>
        <w:t>demands.</w:t>
      </w:r>
      <w:r w:rsidR="00A368F8" w:rsidRPr="00A368F8">
        <w:rPr>
          <w:rFonts w:ascii="Times New Roman" w:hAnsi="Times New Roman" w:cs="Times New Roman"/>
          <w:i/>
        </w:rPr>
        <w:t xml:space="preserve"> </w:t>
      </w:r>
      <w:r w:rsidR="00A368F8">
        <w:rPr>
          <w:rFonts w:ascii="Times New Roman" w:hAnsi="Times New Roman" w:cs="Times New Roman"/>
          <w:i/>
        </w:rPr>
        <w:t>Both Muslim and Maratha representatives looked to locate and secure autonomous political spaces that would better secure their political representation.</w:t>
      </w:r>
      <w:r>
        <w:rPr>
          <w:rFonts w:ascii="Times New Roman" w:hAnsi="Times New Roman" w:cs="Times New Roman"/>
          <w:i/>
        </w:rPr>
        <w:t xml:space="preserve"> </w:t>
      </w:r>
      <w:r w:rsidR="00A368F8">
        <w:rPr>
          <w:rFonts w:ascii="Times New Roman" w:hAnsi="Times New Roman" w:cs="Times New Roman"/>
          <w:i/>
        </w:rPr>
        <w:t>The</w:t>
      </w:r>
      <w:r w:rsidR="00806466">
        <w:rPr>
          <w:rFonts w:ascii="Times New Roman" w:hAnsi="Times New Roman" w:cs="Times New Roman"/>
          <w:i/>
        </w:rPr>
        <w:t>ir</w:t>
      </w:r>
      <w:r w:rsidR="00A368F8">
        <w:rPr>
          <w:rFonts w:ascii="Times New Roman" w:hAnsi="Times New Roman" w:cs="Times New Roman"/>
          <w:i/>
        </w:rPr>
        <w:t xml:space="preserve"> demands</w:t>
      </w:r>
      <w:r>
        <w:rPr>
          <w:rFonts w:ascii="Times New Roman" w:hAnsi="Times New Roman" w:cs="Times New Roman"/>
          <w:i/>
        </w:rPr>
        <w:t xml:space="preserve"> exemplified a shift away from a commensurative logic expressed through separate representation in the legislatures, and towards support for majority rule at the provincial level. </w:t>
      </w:r>
    </w:p>
    <w:p w14:paraId="456C0312" w14:textId="77777777" w:rsidR="00720FA7" w:rsidRDefault="00720FA7" w:rsidP="00720FA7">
      <w:pPr>
        <w:spacing w:after="200" w:line="480" w:lineRule="auto"/>
        <w:jc w:val="both"/>
        <w:rPr>
          <w:rFonts w:ascii="Times New Roman" w:hAnsi="Times New Roman" w:cs="Times New Roman"/>
          <w:b/>
        </w:rPr>
      </w:pPr>
      <w:r>
        <w:rPr>
          <w:rFonts w:ascii="Times New Roman" w:hAnsi="Times New Roman" w:cs="Times New Roman"/>
          <w:b/>
        </w:rPr>
        <w:t>Keywords:</w:t>
      </w:r>
    </w:p>
    <w:p w14:paraId="5BBE9285" w14:textId="77777777" w:rsidR="00720FA7" w:rsidRDefault="00720FA7" w:rsidP="00720FA7">
      <w:pPr>
        <w:spacing w:after="200" w:line="480" w:lineRule="auto"/>
        <w:jc w:val="both"/>
        <w:rPr>
          <w:rFonts w:ascii="Times New Roman" w:hAnsi="Times New Roman" w:cs="Times New Roman"/>
        </w:rPr>
      </w:pPr>
      <w:r>
        <w:rPr>
          <w:rFonts w:ascii="Times New Roman" w:hAnsi="Times New Roman" w:cs="Times New Roman"/>
        </w:rPr>
        <w:t>autonomy; community; democracy; Maharashtra; majority; minority; Pakistan; partition; province; territory.</w:t>
      </w:r>
    </w:p>
    <w:p w14:paraId="3907CF02" w14:textId="77777777" w:rsidR="00720FA7" w:rsidRDefault="00720FA7" w:rsidP="00720FA7">
      <w:pPr>
        <w:pStyle w:val="Heading2"/>
        <w:spacing w:after="24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Introduction</w:t>
      </w:r>
    </w:p>
    <w:p w14:paraId="39885F5C" w14:textId="1476D139" w:rsidR="005A73E7" w:rsidRDefault="00E84BD7" w:rsidP="00720FA7">
      <w:pPr>
        <w:spacing w:after="200" w:line="480" w:lineRule="auto"/>
        <w:jc w:val="both"/>
        <w:rPr>
          <w:rFonts w:ascii="Times New Roman" w:hAnsi="Times New Roman" w:cs="Times New Roman"/>
        </w:rPr>
      </w:pPr>
      <w:r>
        <w:rPr>
          <w:rFonts w:ascii="Times New Roman" w:hAnsi="Times New Roman" w:cs="Times New Roman"/>
        </w:rPr>
        <w:t xml:space="preserve">This paper argues that the demands for both Pakistan and Samyukta (‘united’) Maharashtra were </w:t>
      </w:r>
      <w:r w:rsidR="00DE74F5">
        <w:rPr>
          <w:rFonts w:ascii="Times New Roman" w:hAnsi="Times New Roman" w:cs="Times New Roman"/>
        </w:rPr>
        <w:t>the upshot</w:t>
      </w:r>
      <w:r>
        <w:rPr>
          <w:rFonts w:ascii="Times New Roman" w:hAnsi="Times New Roman" w:cs="Times New Roman"/>
        </w:rPr>
        <w:t xml:space="preserve"> of a </w:t>
      </w:r>
      <w:r w:rsidR="00DE74F5">
        <w:rPr>
          <w:rFonts w:ascii="Times New Roman" w:hAnsi="Times New Roman" w:cs="Times New Roman"/>
        </w:rPr>
        <w:t xml:space="preserve">cumulative </w:t>
      </w:r>
      <w:r>
        <w:rPr>
          <w:rFonts w:ascii="Times New Roman" w:hAnsi="Times New Roman" w:cs="Times New Roman"/>
        </w:rPr>
        <w:t>shift away from a politics framed around separate representation</w:t>
      </w:r>
      <w:r w:rsidR="00DE74F5">
        <w:rPr>
          <w:rFonts w:ascii="Times New Roman" w:hAnsi="Times New Roman" w:cs="Times New Roman"/>
        </w:rPr>
        <w:t xml:space="preserve"> for minority communities in the legislature – whether separate electorates or reserved seats – that emerged amongst certain Muslim and Maratha politicians during the interwar years. It highlights how both Pakistan and Samyukta Maharashtra can be conceived as demands for the establishment of autonomous territorial units within a federal union, imagined on the basis of the majority demographic status of certain</w:t>
      </w:r>
      <w:r w:rsidR="003B6171">
        <w:rPr>
          <w:rFonts w:ascii="Times New Roman" w:hAnsi="Times New Roman" w:cs="Times New Roman"/>
        </w:rPr>
        <w:t xml:space="preserve"> caste, linguistic, and religious</w:t>
      </w:r>
      <w:r w:rsidR="00DE74F5">
        <w:rPr>
          <w:rFonts w:ascii="Times New Roman" w:hAnsi="Times New Roman" w:cs="Times New Roman"/>
        </w:rPr>
        <w:t xml:space="preserve"> communities (or ‘nations’) within particular administrative spaces. The emergence of these demands was shaped not only by engagement with developing democratic institutions and an extended franchise, but also by the materialisation of the province as a scale of increased political significance in South Asia d</w:t>
      </w:r>
      <w:r w:rsidR="00371F33">
        <w:rPr>
          <w:rFonts w:ascii="Times New Roman" w:hAnsi="Times New Roman" w:cs="Times New Roman"/>
        </w:rPr>
        <w:t xml:space="preserve">uring the late colonial period. </w:t>
      </w:r>
      <w:r w:rsidR="00B92847">
        <w:rPr>
          <w:rFonts w:ascii="Times New Roman" w:hAnsi="Times New Roman" w:cs="Times New Roman"/>
        </w:rPr>
        <w:t>In establishing the shared processes through which these demands emerged, this paper avoids</w:t>
      </w:r>
      <w:r w:rsidR="00B907CC">
        <w:rPr>
          <w:rFonts w:ascii="Times New Roman" w:hAnsi="Times New Roman" w:cs="Times New Roman"/>
        </w:rPr>
        <w:t xml:space="preserve"> </w:t>
      </w:r>
      <w:r w:rsidR="00B92847">
        <w:rPr>
          <w:rFonts w:ascii="Times New Roman" w:hAnsi="Times New Roman" w:cs="Times New Roman"/>
        </w:rPr>
        <w:t xml:space="preserve">treating the Pakistan demand as an </w:t>
      </w:r>
      <w:r w:rsidR="005A73E7">
        <w:rPr>
          <w:rFonts w:ascii="Times New Roman" w:hAnsi="Times New Roman" w:cs="Times New Roman"/>
        </w:rPr>
        <w:t>aberration in an otherwise straightforward</w:t>
      </w:r>
      <w:r w:rsidR="009C2347">
        <w:rPr>
          <w:rFonts w:ascii="Times New Roman" w:hAnsi="Times New Roman" w:cs="Times New Roman"/>
        </w:rPr>
        <w:t xml:space="preserve"> anti-colonial nationalist</w:t>
      </w:r>
      <w:r w:rsidR="005A73E7">
        <w:rPr>
          <w:rFonts w:ascii="Times New Roman" w:hAnsi="Times New Roman" w:cs="Times New Roman"/>
        </w:rPr>
        <w:t xml:space="preserve"> trajectory towards independence</w:t>
      </w:r>
      <w:r w:rsidR="00670269">
        <w:rPr>
          <w:rFonts w:ascii="Times New Roman" w:hAnsi="Times New Roman" w:cs="Times New Roman"/>
        </w:rPr>
        <w:t>. Simultaneously, it</w:t>
      </w:r>
      <w:r w:rsidR="00B907CC">
        <w:rPr>
          <w:rFonts w:ascii="Times New Roman" w:hAnsi="Times New Roman" w:cs="Times New Roman"/>
        </w:rPr>
        <w:t xml:space="preserve"> escapes from a rather straightforward and somewhat teleological narrative that suggests partition’s inevitability</w:t>
      </w:r>
      <w:r w:rsidR="005A73E7">
        <w:rPr>
          <w:rFonts w:ascii="Times New Roman" w:hAnsi="Times New Roman" w:cs="Times New Roman"/>
        </w:rPr>
        <w:t xml:space="preserve">. </w:t>
      </w:r>
      <w:r w:rsidR="00B907CC">
        <w:rPr>
          <w:rFonts w:ascii="Times New Roman" w:hAnsi="Times New Roman" w:cs="Times New Roman"/>
        </w:rPr>
        <w:t xml:space="preserve">In fact, </w:t>
      </w:r>
      <w:r w:rsidR="007C219D">
        <w:rPr>
          <w:rFonts w:ascii="Times New Roman" w:hAnsi="Times New Roman" w:cs="Times New Roman"/>
        </w:rPr>
        <w:t xml:space="preserve">up to the </w:t>
      </w:r>
      <w:r w:rsidR="005A73E7">
        <w:rPr>
          <w:rFonts w:ascii="Times New Roman" w:hAnsi="Times New Roman" w:cs="Times New Roman"/>
        </w:rPr>
        <w:t xml:space="preserve">Cabinet Mission Plan of </w:t>
      </w:r>
      <w:r w:rsidR="007C219D">
        <w:rPr>
          <w:rFonts w:ascii="Times New Roman" w:hAnsi="Times New Roman" w:cs="Times New Roman"/>
        </w:rPr>
        <w:t>May</w:t>
      </w:r>
      <w:r w:rsidR="005621E5">
        <w:rPr>
          <w:rFonts w:ascii="Times New Roman" w:hAnsi="Times New Roman" w:cs="Times New Roman"/>
        </w:rPr>
        <w:t xml:space="preserve"> 1946, one</w:t>
      </w:r>
      <w:r w:rsidR="005A73E7">
        <w:rPr>
          <w:rFonts w:ascii="Times New Roman" w:hAnsi="Times New Roman" w:cs="Times New Roman"/>
        </w:rPr>
        <w:t xml:space="preserve"> particular iteration of the Pakistan demand might be considered as </w:t>
      </w:r>
      <w:r w:rsidR="005621E5">
        <w:rPr>
          <w:rFonts w:ascii="Times New Roman" w:hAnsi="Times New Roman" w:cs="Times New Roman"/>
        </w:rPr>
        <w:t>an</w:t>
      </w:r>
      <w:r w:rsidR="005A73E7">
        <w:rPr>
          <w:rFonts w:ascii="Times New Roman" w:hAnsi="Times New Roman" w:cs="Times New Roman"/>
        </w:rPr>
        <w:t xml:space="preserve"> example of a wider ‘federal moment’</w:t>
      </w:r>
      <w:r w:rsidR="00B907CC">
        <w:rPr>
          <w:rFonts w:ascii="Times New Roman" w:hAnsi="Times New Roman" w:cs="Times New Roman"/>
        </w:rPr>
        <w:t>, which emerged during constitutional negotiations over the future status of an independent India,</w:t>
      </w:r>
      <w:r w:rsidR="005A73E7">
        <w:rPr>
          <w:rFonts w:ascii="Times New Roman" w:hAnsi="Times New Roman" w:cs="Times New Roman"/>
        </w:rPr>
        <w:t xml:space="preserve"> and </w:t>
      </w:r>
      <w:r w:rsidR="009C2347">
        <w:rPr>
          <w:rFonts w:ascii="Times New Roman" w:hAnsi="Times New Roman" w:cs="Times New Roman"/>
        </w:rPr>
        <w:t xml:space="preserve">which </w:t>
      </w:r>
      <w:r w:rsidR="005A73E7">
        <w:rPr>
          <w:rFonts w:ascii="Times New Roman" w:hAnsi="Times New Roman" w:cs="Times New Roman"/>
        </w:rPr>
        <w:t>shared common antecedents with other demands for the establishment o</w:t>
      </w:r>
      <w:r w:rsidR="007C219D">
        <w:rPr>
          <w:rFonts w:ascii="Times New Roman" w:hAnsi="Times New Roman" w:cs="Times New Roman"/>
        </w:rPr>
        <w:t xml:space="preserve">f autonomous territorial units. </w:t>
      </w:r>
      <w:r w:rsidR="00670269">
        <w:rPr>
          <w:rFonts w:ascii="Times New Roman" w:hAnsi="Times New Roman" w:cs="Times New Roman"/>
        </w:rPr>
        <w:t>After</w:t>
      </w:r>
      <w:r w:rsidR="00E807A6">
        <w:rPr>
          <w:rFonts w:ascii="Times New Roman" w:hAnsi="Times New Roman" w:cs="Times New Roman"/>
        </w:rPr>
        <w:t xml:space="preserve"> the collapse of the Cabinet Mission’s </w:t>
      </w:r>
      <w:r w:rsidR="00216FA0">
        <w:rPr>
          <w:rFonts w:ascii="Times New Roman" w:hAnsi="Times New Roman" w:cs="Times New Roman"/>
        </w:rPr>
        <w:t>three-tiered proposal</w:t>
      </w:r>
      <w:r w:rsidR="00670269">
        <w:rPr>
          <w:rFonts w:ascii="Times New Roman" w:hAnsi="Times New Roman" w:cs="Times New Roman"/>
        </w:rPr>
        <w:t>, the slide towards the final logic of partition</w:t>
      </w:r>
      <w:r w:rsidR="009C2347">
        <w:rPr>
          <w:rFonts w:ascii="Times New Roman" w:hAnsi="Times New Roman" w:cs="Times New Roman"/>
        </w:rPr>
        <w:t xml:space="preserve"> </w:t>
      </w:r>
      <w:r w:rsidR="00670269">
        <w:rPr>
          <w:rFonts w:ascii="Times New Roman" w:hAnsi="Times New Roman" w:cs="Times New Roman"/>
        </w:rPr>
        <w:t>became increasingly inexorable. But in the interregnum</w:t>
      </w:r>
      <w:r w:rsidR="007C219D">
        <w:rPr>
          <w:rFonts w:ascii="Times New Roman" w:hAnsi="Times New Roman" w:cs="Times New Roman"/>
        </w:rPr>
        <w:t>,</w:t>
      </w:r>
      <w:r w:rsidR="00670269">
        <w:rPr>
          <w:rFonts w:ascii="Times New Roman" w:hAnsi="Times New Roman" w:cs="Times New Roman"/>
        </w:rPr>
        <w:t xml:space="preserve"> between the Lahore Resolution of 1940 and the final </w:t>
      </w:r>
      <w:r w:rsidR="00216FA0">
        <w:rPr>
          <w:rFonts w:ascii="Times New Roman" w:hAnsi="Times New Roman" w:cs="Times New Roman"/>
        </w:rPr>
        <w:t>decision</w:t>
      </w:r>
      <w:r w:rsidR="00670269">
        <w:rPr>
          <w:rFonts w:ascii="Times New Roman" w:hAnsi="Times New Roman" w:cs="Times New Roman"/>
        </w:rPr>
        <w:t xml:space="preserve"> </w:t>
      </w:r>
      <w:r w:rsidR="00216FA0">
        <w:rPr>
          <w:rFonts w:ascii="Times New Roman" w:hAnsi="Times New Roman" w:cs="Times New Roman"/>
        </w:rPr>
        <w:t>to</w:t>
      </w:r>
      <w:r w:rsidR="00670269">
        <w:rPr>
          <w:rFonts w:ascii="Times New Roman" w:hAnsi="Times New Roman" w:cs="Times New Roman"/>
        </w:rPr>
        <w:t xml:space="preserve"> partition, </w:t>
      </w:r>
      <w:r w:rsidR="0027224B">
        <w:rPr>
          <w:rFonts w:ascii="Times New Roman" w:hAnsi="Times New Roman" w:cs="Times New Roman"/>
        </w:rPr>
        <w:t>an</w:t>
      </w:r>
      <w:r w:rsidR="007C219D">
        <w:rPr>
          <w:rFonts w:ascii="Times New Roman" w:hAnsi="Times New Roman" w:cs="Times New Roman"/>
        </w:rPr>
        <w:t>other possibility</w:t>
      </w:r>
      <w:r w:rsidR="00670269">
        <w:rPr>
          <w:rFonts w:ascii="Times New Roman" w:hAnsi="Times New Roman" w:cs="Times New Roman"/>
        </w:rPr>
        <w:t xml:space="preserve"> </w:t>
      </w:r>
      <w:r w:rsidR="0027224B">
        <w:rPr>
          <w:rFonts w:ascii="Times New Roman" w:hAnsi="Times New Roman" w:cs="Times New Roman"/>
        </w:rPr>
        <w:t>for</w:t>
      </w:r>
      <w:r w:rsidR="00670269">
        <w:rPr>
          <w:rFonts w:ascii="Times New Roman" w:hAnsi="Times New Roman" w:cs="Times New Roman"/>
        </w:rPr>
        <w:t xml:space="preserve"> Pakistan</w:t>
      </w:r>
      <w:r w:rsidR="007C219D">
        <w:rPr>
          <w:rFonts w:ascii="Times New Roman" w:hAnsi="Times New Roman" w:cs="Times New Roman"/>
        </w:rPr>
        <w:t xml:space="preserve">, based around a federal solution to the ‘communal problem’, shared </w:t>
      </w:r>
      <w:r w:rsidR="00371F33">
        <w:rPr>
          <w:rFonts w:ascii="Times New Roman" w:hAnsi="Times New Roman" w:cs="Times New Roman"/>
        </w:rPr>
        <w:t xml:space="preserve">many </w:t>
      </w:r>
      <w:r w:rsidR="007C219D">
        <w:rPr>
          <w:rFonts w:ascii="Times New Roman" w:hAnsi="Times New Roman" w:cs="Times New Roman"/>
        </w:rPr>
        <w:t xml:space="preserve">commonalities with other demands for regional autonomy that were being articulated </w:t>
      </w:r>
      <w:r w:rsidR="009C2347">
        <w:rPr>
          <w:rFonts w:ascii="Times New Roman" w:hAnsi="Times New Roman" w:cs="Times New Roman"/>
        </w:rPr>
        <w:t>elsewhere within</w:t>
      </w:r>
      <w:r w:rsidR="007C219D">
        <w:rPr>
          <w:rFonts w:ascii="Times New Roman" w:hAnsi="Times New Roman" w:cs="Times New Roman"/>
        </w:rPr>
        <w:t xml:space="preserve"> the</w:t>
      </w:r>
      <w:r w:rsidR="00371F33">
        <w:rPr>
          <w:rFonts w:ascii="Times New Roman" w:hAnsi="Times New Roman" w:cs="Times New Roman"/>
        </w:rPr>
        <w:t xml:space="preserve"> Indian</w:t>
      </w:r>
      <w:r w:rsidR="007C219D">
        <w:rPr>
          <w:rFonts w:ascii="Times New Roman" w:hAnsi="Times New Roman" w:cs="Times New Roman"/>
        </w:rPr>
        <w:t xml:space="preserve"> subcontinent.</w:t>
      </w:r>
    </w:p>
    <w:p w14:paraId="1C81E78D" w14:textId="5E890510" w:rsidR="00670269" w:rsidRDefault="009E64A6" w:rsidP="00EF607A">
      <w:pPr>
        <w:spacing w:after="200" w:line="480" w:lineRule="auto"/>
        <w:ind w:firstLine="720"/>
        <w:jc w:val="both"/>
        <w:rPr>
          <w:rFonts w:ascii="Times New Roman" w:hAnsi="Times New Roman" w:cs="Times New Roman"/>
        </w:rPr>
      </w:pPr>
      <w:r>
        <w:rPr>
          <w:rFonts w:ascii="Times New Roman" w:hAnsi="Times New Roman" w:cs="Times New Roman"/>
        </w:rPr>
        <w:t>In this telling</w:t>
      </w:r>
      <w:r w:rsidR="00E104DE">
        <w:rPr>
          <w:rFonts w:ascii="Times New Roman" w:hAnsi="Times New Roman" w:cs="Times New Roman"/>
        </w:rPr>
        <w:t xml:space="preserve">, the idea of Pakistan as a territorial entity was capable of being incorporated within a loosely arranged federal union constituted by autonomous federating units. </w:t>
      </w:r>
      <w:r w:rsidR="00371F33">
        <w:rPr>
          <w:rFonts w:ascii="Times New Roman" w:hAnsi="Times New Roman" w:cs="Times New Roman"/>
        </w:rPr>
        <w:t xml:space="preserve">It helped, of course, </w:t>
      </w:r>
      <w:r w:rsidR="00875DBF">
        <w:rPr>
          <w:rFonts w:ascii="Times New Roman" w:hAnsi="Times New Roman" w:cs="Times New Roman"/>
        </w:rPr>
        <w:t xml:space="preserve">that the </w:t>
      </w:r>
      <w:r w:rsidR="006C08E8">
        <w:rPr>
          <w:rFonts w:ascii="Times New Roman" w:hAnsi="Times New Roman" w:cs="Times New Roman"/>
        </w:rPr>
        <w:t xml:space="preserve">abstract </w:t>
      </w:r>
      <w:r w:rsidR="00875DBF">
        <w:rPr>
          <w:rFonts w:ascii="Times New Roman" w:hAnsi="Times New Roman" w:cs="Times New Roman"/>
        </w:rPr>
        <w:t xml:space="preserve">idea of Pakistan was always, in and of itself, </w:t>
      </w:r>
      <w:r w:rsidR="006C08E8">
        <w:rPr>
          <w:rFonts w:ascii="Times New Roman" w:hAnsi="Times New Roman" w:cs="Times New Roman"/>
        </w:rPr>
        <w:t>somewhat</w:t>
      </w:r>
      <w:r w:rsidR="00875DBF">
        <w:rPr>
          <w:rFonts w:ascii="Times New Roman" w:hAnsi="Times New Roman" w:cs="Times New Roman"/>
        </w:rPr>
        <w:t xml:space="preserve"> ambiguous and </w:t>
      </w:r>
      <w:r w:rsidR="006C08E8">
        <w:rPr>
          <w:rFonts w:ascii="Times New Roman" w:hAnsi="Times New Roman" w:cs="Times New Roman"/>
        </w:rPr>
        <w:t>malleable, capable of being shaped according to the whims and exigencies of its various proponents.</w:t>
      </w:r>
      <w:r w:rsidR="00875DBF">
        <w:rPr>
          <w:rFonts w:ascii="Times New Roman" w:hAnsi="Times New Roman" w:cs="Times New Roman"/>
        </w:rPr>
        <w:t xml:space="preserve"> </w:t>
      </w:r>
      <w:r w:rsidR="00E40FFA">
        <w:rPr>
          <w:rFonts w:ascii="Times New Roman" w:hAnsi="Times New Roman" w:cs="Times New Roman"/>
        </w:rPr>
        <w:t>Noting such</w:t>
      </w:r>
      <w:r w:rsidR="002A2774">
        <w:rPr>
          <w:rFonts w:ascii="Times New Roman" w:hAnsi="Times New Roman" w:cs="Times New Roman"/>
        </w:rPr>
        <w:t xml:space="preserve"> </w:t>
      </w:r>
      <w:r w:rsidR="00E40FFA">
        <w:rPr>
          <w:rFonts w:ascii="Times New Roman" w:hAnsi="Times New Roman" w:cs="Times New Roman"/>
        </w:rPr>
        <w:t>ambiguity</w:t>
      </w:r>
      <w:r w:rsidR="002A2774">
        <w:rPr>
          <w:rFonts w:ascii="Times New Roman" w:hAnsi="Times New Roman" w:cs="Times New Roman"/>
        </w:rPr>
        <w:t xml:space="preserve"> has </w:t>
      </w:r>
      <w:r w:rsidR="00371F33">
        <w:rPr>
          <w:rFonts w:ascii="Times New Roman" w:hAnsi="Times New Roman" w:cs="Times New Roman"/>
        </w:rPr>
        <w:t xml:space="preserve">not only become </w:t>
      </w:r>
      <w:r w:rsidR="00216FA0">
        <w:rPr>
          <w:rFonts w:ascii="Times New Roman" w:hAnsi="Times New Roman" w:cs="Times New Roman"/>
        </w:rPr>
        <w:t xml:space="preserve">something of </w:t>
      </w:r>
      <w:r w:rsidR="00371F33">
        <w:rPr>
          <w:rFonts w:ascii="Times New Roman" w:hAnsi="Times New Roman" w:cs="Times New Roman"/>
        </w:rPr>
        <w:t>a historical axiom,</w:t>
      </w:r>
      <w:r w:rsidR="00BD05B8">
        <w:rPr>
          <w:rStyle w:val="FootnoteReference"/>
          <w:rFonts w:ascii="Times New Roman" w:hAnsi="Times New Roman" w:cs="Times New Roman"/>
        </w:rPr>
        <w:footnoteReference w:id="1"/>
      </w:r>
      <w:r w:rsidR="00371F33">
        <w:rPr>
          <w:rFonts w:ascii="Times New Roman" w:hAnsi="Times New Roman" w:cs="Times New Roman"/>
        </w:rPr>
        <w:t xml:space="preserve"> but has </w:t>
      </w:r>
      <w:r w:rsidR="002A2774">
        <w:rPr>
          <w:rFonts w:ascii="Times New Roman" w:hAnsi="Times New Roman" w:cs="Times New Roman"/>
        </w:rPr>
        <w:t>stimulated a great deal of historiographical debate, particularly since the publication of Ayesha Ja</w:t>
      </w:r>
      <w:r w:rsidR="004D189D">
        <w:rPr>
          <w:rFonts w:ascii="Times New Roman" w:hAnsi="Times New Roman" w:cs="Times New Roman"/>
        </w:rPr>
        <w:t>lal’s provocative</w:t>
      </w:r>
      <w:r w:rsidR="00371F33">
        <w:rPr>
          <w:rFonts w:ascii="Times New Roman" w:hAnsi="Times New Roman" w:cs="Times New Roman"/>
        </w:rPr>
        <w:t xml:space="preserve"> ‘revisionist’</w:t>
      </w:r>
      <w:r w:rsidR="004D189D">
        <w:rPr>
          <w:rFonts w:ascii="Times New Roman" w:hAnsi="Times New Roman" w:cs="Times New Roman"/>
        </w:rPr>
        <w:t xml:space="preserve"> thesis in 1985</w:t>
      </w:r>
      <w:r w:rsidR="002A2774">
        <w:rPr>
          <w:rFonts w:ascii="Times New Roman" w:hAnsi="Times New Roman" w:cs="Times New Roman"/>
        </w:rPr>
        <w:t>. An older scholarship</w:t>
      </w:r>
      <w:r w:rsidR="004D189D">
        <w:rPr>
          <w:rFonts w:ascii="Times New Roman" w:hAnsi="Times New Roman" w:cs="Times New Roman"/>
        </w:rPr>
        <w:t xml:space="preserve"> had</w:t>
      </w:r>
      <w:r w:rsidR="002A2774">
        <w:rPr>
          <w:rFonts w:ascii="Times New Roman" w:hAnsi="Times New Roman" w:cs="Times New Roman"/>
        </w:rPr>
        <w:t xml:space="preserve"> </w:t>
      </w:r>
      <w:r w:rsidR="00371F33">
        <w:rPr>
          <w:rFonts w:ascii="Times New Roman" w:hAnsi="Times New Roman" w:cs="Times New Roman"/>
        </w:rPr>
        <w:t xml:space="preserve">previously </w:t>
      </w:r>
      <w:r w:rsidR="004D189D">
        <w:rPr>
          <w:rFonts w:ascii="Times New Roman" w:hAnsi="Times New Roman" w:cs="Times New Roman"/>
        </w:rPr>
        <w:t>traced the demand for partition back to the Lahor</w:t>
      </w:r>
      <w:r w:rsidR="00371F33">
        <w:rPr>
          <w:rFonts w:ascii="Times New Roman" w:hAnsi="Times New Roman" w:cs="Times New Roman"/>
        </w:rPr>
        <w:t xml:space="preserve">e Resolution of March 1940, </w:t>
      </w:r>
      <w:r w:rsidR="00EF607A">
        <w:rPr>
          <w:rFonts w:ascii="Times New Roman" w:hAnsi="Times New Roman" w:cs="Times New Roman"/>
        </w:rPr>
        <w:t>through</w:t>
      </w:r>
      <w:r w:rsidR="00371F33">
        <w:rPr>
          <w:rFonts w:ascii="Times New Roman" w:hAnsi="Times New Roman" w:cs="Times New Roman"/>
        </w:rPr>
        <w:t xml:space="preserve"> which it was </w:t>
      </w:r>
      <w:r w:rsidR="004D189D">
        <w:rPr>
          <w:rFonts w:ascii="Times New Roman" w:hAnsi="Times New Roman" w:cs="Times New Roman"/>
        </w:rPr>
        <w:t xml:space="preserve">considered </w:t>
      </w:r>
      <w:r w:rsidR="00371F33">
        <w:rPr>
          <w:rFonts w:ascii="Times New Roman" w:hAnsi="Times New Roman" w:cs="Times New Roman"/>
        </w:rPr>
        <w:t xml:space="preserve">that </w:t>
      </w:r>
      <w:r w:rsidR="00EF607A">
        <w:rPr>
          <w:rFonts w:ascii="Times New Roman" w:hAnsi="Times New Roman" w:cs="Times New Roman"/>
        </w:rPr>
        <w:t xml:space="preserve">partition and </w:t>
      </w:r>
      <w:r w:rsidR="004D189D">
        <w:rPr>
          <w:rFonts w:ascii="Times New Roman" w:hAnsi="Times New Roman" w:cs="Times New Roman"/>
        </w:rPr>
        <w:t xml:space="preserve">the creation of </w:t>
      </w:r>
      <w:r w:rsidR="00EF607A">
        <w:rPr>
          <w:rFonts w:ascii="Times New Roman" w:hAnsi="Times New Roman" w:cs="Times New Roman"/>
        </w:rPr>
        <w:t xml:space="preserve">a separate nation-state of </w:t>
      </w:r>
      <w:r w:rsidR="004D189D">
        <w:rPr>
          <w:rFonts w:ascii="Times New Roman" w:hAnsi="Times New Roman" w:cs="Times New Roman"/>
        </w:rPr>
        <w:t xml:space="preserve">Pakistan in August 1947 </w:t>
      </w:r>
      <w:r w:rsidR="00371F33">
        <w:rPr>
          <w:rFonts w:ascii="Times New Roman" w:hAnsi="Times New Roman" w:cs="Times New Roman"/>
        </w:rPr>
        <w:t>w</w:t>
      </w:r>
      <w:r w:rsidR="004D189D">
        <w:rPr>
          <w:rFonts w:ascii="Times New Roman" w:hAnsi="Times New Roman" w:cs="Times New Roman"/>
        </w:rPr>
        <w:t>as the logical culmination of the politics of ‘Muslim separatism’.</w:t>
      </w:r>
      <w:r w:rsidR="004D189D">
        <w:rPr>
          <w:rStyle w:val="FootnoteReference"/>
          <w:rFonts w:ascii="Times New Roman" w:hAnsi="Times New Roman" w:cs="Times New Roman"/>
        </w:rPr>
        <w:footnoteReference w:id="2"/>
      </w:r>
      <w:r w:rsidR="004D189D">
        <w:rPr>
          <w:rFonts w:ascii="Times New Roman" w:hAnsi="Times New Roman" w:cs="Times New Roman"/>
        </w:rPr>
        <w:t xml:space="preserve"> For Jalal, by contrast, Muhammad Ali Jinnah, the leader of the Muslim League and Pakistan’s founding father, did not necessarily seek a separate sovereign Muslim nation-state, and might actually have ultimately desired to secure Muslim interests within India in a loose</w:t>
      </w:r>
      <w:r w:rsidR="00371F33">
        <w:rPr>
          <w:rFonts w:ascii="Times New Roman" w:hAnsi="Times New Roman" w:cs="Times New Roman"/>
        </w:rPr>
        <w:t xml:space="preserve">, </w:t>
      </w:r>
      <w:r w:rsidR="00EF607A">
        <w:rPr>
          <w:rFonts w:ascii="Times New Roman" w:hAnsi="Times New Roman" w:cs="Times New Roman"/>
        </w:rPr>
        <w:t>con</w:t>
      </w:r>
      <w:r w:rsidR="00371F33">
        <w:rPr>
          <w:rFonts w:ascii="Times New Roman" w:hAnsi="Times New Roman" w:cs="Times New Roman"/>
        </w:rPr>
        <w:t>federal</w:t>
      </w:r>
      <w:r w:rsidR="004D189D">
        <w:rPr>
          <w:rFonts w:ascii="Times New Roman" w:hAnsi="Times New Roman" w:cs="Times New Roman"/>
        </w:rPr>
        <w:t xml:space="preserve"> arrangement</w:t>
      </w:r>
      <w:r w:rsidR="00EF607A">
        <w:rPr>
          <w:rFonts w:ascii="Times New Roman" w:hAnsi="Times New Roman" w:cs="Times New Roman"/>
        </w:rPr>
        <w:t>.</w:t>
      </w:r>
      <w:r w:rsidR="00EF607A">
        <w:rPr>
          <w:rStyle w:val="FootnoteReference"/>
          <w:rFonts w:ascii="Times New Roman" w:hAnsi="Times New Roman" w:cs="Times New Roman"/>
        </w:rPr>
        <w:footnoteReference w:id="3"/>
      </w:r>
      <w:r w:rsidR="00EF607A">
        <w:rPr>
          <w:rFonts w:ascii="Times New Roman" w:hAnsi="Times New Roman" w:cs="Times New Roman"/>
        </w:rPr>
        <w:t xml:space="preserve"> </w:t>
      </w:r>
      <w:r w:rsidR="0027224B">
        <w:rPr>
          <w:rFonts w:ascii="Times New Roman" w:hAnsi="Times New Roman" w:cs="Times New Roman"/>
        </w:rPr>
        <w:t>Such an</w:t>
      </w:r>
      <w:r w:rsidR="00EF607A">
        <w:rPr>
          <w:rFonts w:ascii="Times New Roman" w:hAnsi="Times New Roman" w:cs="Times New Roman"/>
        </w:rPr>
        <w:t xml:space="preserve"> arrangement would be</w:t>
      </w:r>
      <w:r w:rsidR="004D189D">
        <w:rPr>
          <w:rFonts w:ascii="Times New Roman" w:hAnsi="Times New Roman" w:cs="Times New Roman"/>
        </w:rPr>
        <w:t xml:space="preserve"> based upon</w:t>
      </w:r>
      <w:r w:rsidR="00EF607A">
        <w:rPr>
          <w:rFonts w:ascii="Times New Roman" w:hAnsi="Times New Roman" w:cs="Times New Roman"/>
        </w:rPr>
        <w:t xml:space="preserve"> two powerful federations (one </w:t>
      </w:r>
      <w:r w:rsidR="00E807A6">
        <w:rPr>
          <w:rFonts w:ascii="Times New Roman" w:hAnsi="Times New Roman" w:cs="Times New Roman"/>
        </w:rPr>
        <w:t xml:space="preserve">bringing together </w:t>
      </w:r>
      <w:r w:rsidR="00EF607A">
        <w:rPr>
          <w:rFonts w:ascii="Times New Roman" w:hAnsi="Times New Roman" w:cs="Times New Roman"/>
        </w:rPr>
        <w:t>Muslim</w:t>
      </w:r>
      <w:r w:rsidR="00E807A6">
        <w:rPr>
          <w:rFonts w:ascii="Times New Roman" w:hAnsi="Times New Roman" w:cs="Times New Roman"/>
        </w:rPr>
        <w:t xml:space="preserve"> majority provinces</w:t>
      </w:r>
      <w:r w:rsidR="00EF607A">
        <w:rPr>
          <w:rFonts w:ascii="Times New Roman" w:hAnsi="Times New Roman" w:cs="Times New Roman"/>
        </w:rPr>
        <w:t>, one Hindu</w:t>
      </w:r>
      <w:r w:rsidR="00E807A6">
        <w:rPr>
          <w:rFonts w:ascii="Times New Roman" w:hAnsi="Times New Roman" w:cs="Times New Roman"/>
        </w:rPr>
        <w:t xml:space="preserve"> majority provinces</w:t>
      </w:r>
      <w:r w:rsidR="00EF607A">
        <w:rPr>
          <w:rFonts w:ascii="Times New Roman" w:hAnsi="Times New Roman" w:cs="Times New Roman"/>
        </w:rPr>
        <w:t>)</w:t>
      </w:r>
      <w:r w:rsidR="001934A7">
        <w:rPr>
          <w:rFonts w:ascii="Times New Roman" w:hAnsi="Times New Roman" w:cs="Times New Roman"/>
        </w:rPr>
        <w:t>,</w:t>
      </w:r>
      <w:r w:rsidR="00EF607A">
        <w:rPr>
          <w:rFonts w:ascii="Times New Roman" w:hAnsi="Times New Roman" w:cs="Times New Roman"/>
        </w:rPr>
        <w:t xml:space="preserve"> and a weak centre defined by a commitment to parity</w:t>
      </w:r>
      <w:r w:rsidR="001934A7">
        <w:rPr>
          <w:rFonts w:ascii="Times New Roman" w:hAnsi="Times New Roman" w:cs="Times New Roman"/>
        </w:rPr>
        <w:t xml:space="preserve"> between these two federations</w:t>
      </w:r>
      <w:r w:rsidR="00EF607A">
        <w:rPr>
          <w:rFonts w:ascii="Times New Roman" w:hAnsi="Times New Roman" w:cs="Times New Roman"/>
        </w:rPr>
        <w:t xml:space="preserve">. </w:t>
      </w:r>
      <w:r w:rsidR="004D189D">
        <w:rPr>
          <w:rFonts w:ascii="Times New Roman" w:hAnsi="Times New Roman" w:cs="Times New Roman"/>
        </w:rPr>
        <w:t xml:space="preserve">More recently, Christophe Jaffrelot has criticised </w:t>
      </w:r>
      <w:r w:rsidR="00526DED">
        <w:rPr>
          <w:rFonts w:ascii="Times New Roman" w:hAnsi="Times New Roman" w:cs="Times New Roman"/>
        </w:rPr>
        <w:t>Jalal</w:t>
      </w:r>
      <w:r w:rsidR="00EF607A">
        <w:rPr>
          <w:rFonts w:ascii="Times New Roman" w:hAnsi="Times New Roman" w:cs="Times New Roman"/>
        </w:rPr>
        <w:t>’s thesis</w:t>
      </w:r>
      <w:r w:rsidR="004D189D">
        <w:rPr>
          <w:rFonts w:ascii="Times New Roman" w:hAnsi="Times New Roman" w:cs="Times New Roman"/>
        </w:rPr>
        <w:t xml:space="preserve"> for ‘suppos[ing] that Jinnah had a well-defined political agenda’</w:t>
      </w:r>
      <w:r w:rsidR="00371F33">
        <w:rPr>
          <w:rFonts w:ascii="Times New Roman" w:hAnsi="Times New Roman" w:cs="Times New Roman"/>
        </w:rPr>
        <w:t>, arguing instead that his thinking was confused by ‘major contradictions that resulted in counterproductive decisions’</w:t>
      </w:r>
      <w:r w:rsidR="004D189D">
        <w:rPr>
          <w:rFonts w:ascii="Times New Roman" w:hAnsi="Times New Roman" w:cs="Times New Roman"/>
        </w:rPr>
        <w:t>.</w:t>
      </w:r>
      <w:r w:rsidR="00E807A6">
        <w:rPr>
          <w:rStyle w:val="FootnoteReference"/>
          <w:rFonts w:ascii="Times New Roman" w:hAnsi="Times New Roman" w:cs="Times New Roman"/>
        </w:rPr>
        <w:footnoteReference w:id="4"/>
      </w:r>
      <w:r w:rsidR="004D189D">
        <w:rPr>
          <w:rFonts w:ascii="Times New Roman" w:hAnsi="Times New Roman" w:cs="Times New Roman"/>
        </w:rPr>
        <w:t xml:space="preserve"> </w:t>
      </w:r>
      <w:r w:rsidR="002A2774">
        <w:rPr>
          <w:rFonts w:ascii="Times New Roman" w:hAnsi="Times New Roman" w:cs="Times New Roman"/>
        </w:rPr>
        <w:t>Yet</w:t>
      </w:r>
      <w:r w:rsidR="004D189D">
        <w:rPr>
          <w:rFonts w:ascii="Times New Roman" w:hAnsi="Times New Roman" w:cs="Times New Roman"/>
        </w:rPr>
        <w:t xml:space="preserve"> Jaffrelot does not </w:t>
      </w:r>
      <w:r w:rsidR="00EF607A">
        <w:rPr>
          <w:rFonts w:ascii="Times New Roman" w:hAnsi="Times New Roman" w:cs="Times New Roman"/>
        </w:rPr>
        <w:t xml:space="preserve">completely </w:t>
      </w:r>
      <w:r w:rsidR="00670269">
        <w:rPr>
          <w:rFonts w:ascii="Times New Roman" w:hAnsi="Times New Roman" w:cs="Times New Roman"/>
        </w:rPr>
        <w:t>disregard</w:t>
      </w:r>
      <w:r w:rsidR="004D189D">
        <w:rPr>
          <w:rFonts w:ascii="Times New Roman" w:hAnsi="Times New Roman" w:cs="Times New Roman"/>
        </w:rPr>
        <w:t xml:space="preserve"> </w:t>
      </w:r>
      <w:r w:rsidR="00EF607A">
        <w:rPr>
          <w:rFonts w:ascii="Times New Roman" w:hAnsi="Times New Roman" w:cs="Times New Roman"/>
        </w:rPr>
        <w:t>Jalal’s</w:t>
      </w:r>
      <w:r w:rsidR="004D189D">
        <w:rPr>
          <w:rFonts w:ascii="Times New Roman" w:hAnsi="Times New Roman" w:cs="Times New Roman"/>
        </w:rPr>
        <w:t xml:space="preserve"> most provocative idea</w:t>
      </w:r>
      <w:r w:rsidR="00670269">
        <w:rPr>
          <w:rFonts w:ascii="Times New Roman" w:hAnsi="Times New Roman" w:cs="Times New Roman"/>
        </w:rPr>
        <w:t>,</w:t>
      </w:r>
      <w:r w:rsidR="00371F33">
        <w:rPr>
          <w:rFonts w:ascii="Times New Roman" w:hAnsi="Times New Roman" w:cs="Times New Roman"/>
        </w:rPr>
        <w:t xml:space="preserve"> namely</w:t>
      </w:r>
      <w:r w:rsidR="004D189D">
        <w:rPr>
          <w:rFonts w:ascii="Times New Roman" w:hAnsi="Times New Roman" w:cs="Times New Roman"/>
        </w:rPr>
        <w:t xml:space="preserve"> that Jinnah and other leading League representatives did not </w:t>
      </w:r>
      <w:r w:rsidR="00371F33">
        <w:rPr>
          <w:rFonts w:ascii="Times New Roman" w:hAnsi="Times New Roman" w:cs="Times New Roman"/>
        </w:rPr>
        <w:t xml:space="preserve">initially </w:t>
      </w:r>
      <w:r w:rsidR="00216FA0">
        <w:rPr>
          <w:rFonts w:ascii="Times New Roman" w:hAnsi="Times New Roman" w:cs="Times New Roman"/>
        </w:rPr>
        <w:t xml:space="preserve">nor necessarily </w:t>
      </w:r>
      <w:r w:rsidR="00670269">
        <w:rPr>
          <w:rFonts w:ascii="Times New Roman" w:hAnsi="Times New Roman" w:cs="Times New Roman"/>
        </w:rPr>
        <w:t xml:space="preserve">desire a separate nation-state: </w:t>
      </w:r>
      <w:r w:rsidR="002A2774">
        <w:rPr>
          <w:rFonts w:ascii="Times New Roman" w:hAnsi="Times New Roman" w:cs="Times New Roman"/>
        </w:rPr>
        <w:t>‘Jinnah may have put his quest for parity in his program</w:t>
      </w:r>
      <w:r w:rsidR="005E4CEC">
        <w:rPr>
          <w:rFonts w:ascii="Times New Roman" w:hAnsi="Times New Roman" w:cs="Times New Roman"/>
        </w:rPr>
        <w:t>me</w:t>
      </w:r>
      <w:r w:rsidR="002A2774">
        <w:rPr>
          <w:rFonts w:ascii="Times New Roman" w:hAnsi="Times New Roman" w:cs="Times New Roman"/>
        </w:rPr>
        <w:t xml:space="preserve"> as a basis for negotiation in the hopes simply of obtaining a greater share than what the Muslims actually represented</w:t>
      </w:r>
      <w:r w:rsidR="00371F33">
        <w:rPr>
          <w:rFonts w:ascii="Times New Roman" w:hAnsi="Times New Roman" w:cs="Times New Roman"/>
        </w:rPr>
        <w:t xml:space="preserve"> [i.e. within an Indian Union]</w:t>
      </w:r>
      <w:r w:rsidR="002A2774">
        <w:rPr>
          <w:rFonts w:ascii="Times New Roman" w:hAnsi="Times New Roman" w:cs="Times New Roman"/>
        </w:rPr>
        <w:t>’.</w:t>
      </w:r>
      <w:r w:rsidR="00E807A6">
        <w:rPr>
          <w:rStyle w:val="FootnoteReference"/>
          <w:rFonts w:ascii="Times New Roman" w:hAnsi="Times New Roman" w:cs="Times New Roman"/>
        </w:rPr>
        <w:footnoteReference w:id="5"/>
      </w:r>
    </w:p>
    <w:p w14:paraId="132566AF" w14:textId="3E00C596" w:rsidR="007A5DA4" w:rsidRDefault="00BD05B8" w:rsidP="00756032">
      <w:pPr>
        <w:spacing w:after="200" w:line="480" w:lineRule="auto"/>
        <w:ind w:firstLine="720"/>
        <w:jc w:val="both"/>
        <w:rPr>
          <w:rFonts w:ascii="Times New Roman" w:hAnsi="Times New Roman" w:cs="Times New Roman"/>
        </w:rPr>
      </w:pPr>
      <w:r>
        <w:rPr>
          <w:rFonts w:ascii="Times New Roman" w:hAnsi="Times New Roman" w:cs="Times New Roman"/>
        </w:rPr>
        <w:t>O</w:t>
      </w:r>
      <w:r w:rsidR="007A5DA4">
        <w:rPr>
          <w:rFonts w:ascii="Times New Roman" w:hAnsi="Times New Roman" w:cs="Times New Roman"/>
        </w:rPr>
        <w:t xml:space="preserve">thers have argued that Jalal’s interpretation is too heavily focused on </w:t>
      </w:r>
      <w:r>
        <w:rPr>
          <w:rFonts w:ascii="Times New Roman" w:hAnsi="Times New Roman" w:cs="Times New Roman"/>
        </w:rPr>
        <w:t xml:space="preserve">political </w:t>
      </w:r>
      <w:r w:rsidR="007A5DA4">
        <w:rPr>
          <w:rFonts w:ascii="Times New Roman" w:hAnsi="Times New Roman" w:cs="Times New Roman"/>
        </w:rPr>
        <w:t>calculations and</w:t>
      </w:r>
      <w:r>
        <w:rPr>
          <w:rFonts w:ascii="Times New Roman" w:hAnsi="Times New Roman" w:cs="Times New Roman"/>
        </w:rPr>
        <w:t xml:space="preserve"> individual</w:t>
      </w:r>
      <w:r w:rsidR="007A5DA4">
        <w:rPr>
          <w:rFonts w:ascii="Times New Roman" w:hAnsi="Times New Roman" w:cs="Times New Roman"/>
        </w:rPr>
        <w:t xml:space="preserve"> motivations, at the expense of </w:t>
      </w:r>
      <w:r>
        <w:rPr>
          <w:rFonts w:ascii="Times New Roman" w:hAnsi="Times New Roman" w:cs="Times New Roman"/>
        </w:rPr>
        <w:t xml:space="preserve">the importance of </w:t>
      </w:r>
      <w:r w:rsidR="007A5DA4">
        <w:rPr>
          <w:rFonts w:ascii="Times New Roman" w:hAnsi="Times New Roman" w:cs="Times New Roman"/>
        </w:rPr>
        <w:t>cultural and religious ideals.</w:t>
      </w:r>
      <w:r>
        <w:rPr>
          <w:rStyle w:val="FootnoteReference"/>
          <w:rFonts w:ascii="Times New Roman" w:hAnsi="Times New Roman" w:cs="Times New Roman"/>
        </w:rPr>
        <w:footnoteReference w:id="6"/>
      </w:r>
      <w:r w:rsidR="007A5DA4">
        <w:rPr>
          <w:rFonts w:ascii="Times New Roman" w:hAnsi="Times New Roman" w:cs="Times New Roman"/>
        </w:rPr>
        <w:t xml:space="preserve"> Faisal Devji, who has instead endeavoured to focus on</w:t>
      </w:r>
      <w:r w:rsidR="002C6F50">
        <w:rPr>
          <w:rFonts w:ascii="Times New Roman" w:hAnsi="Times New Roman" w:cs="Times New Roman"/>
        </w:rPr>
        <w:t xml:space="preserve"> ideas</w:t>
      </w:r>
      <w:r w:rsidR="007A5DA4">
        <w:rPr>
          <w:rFonts w:ascii="Times New Roman" w:hAnsi="Times New Roman" w:cs="Times New Roman"/>
        </w:rPr>
        <w:t xml:space="preserve"> </w:t>
      </w:r>
      <w:r w:rsidR="002C6F50">
        <w:rPr>
          <w:rFonts w:ascii="Times New Roman" w:hAnsi="Times New Roman" w:cs="Times New Roman"/>
        </w:rPr>
        <w:t>(</w:t>
      </w:r>
      <w:r w:rsidR="007A5DA4">
        <w:rPr>
          <w:rFonts w:ascii="Times New Roman" w:hAnsi="Times New Roman" w:cs="Times New Roman"/>
        </w:rPr>
        <w:t>‘the forms of argumentation and lines of reasoning that both transcend and survive such intentionality to shape the prose of history’</w:t>
      </w:r>
      <w:r w:rsidR="002C6F50">
        <w:rPr>
          <w:rFonts w:ascii="Times New Roman" w:hAnsi="Times New Roman" w:cs="Times New Roman"/>
        </w:rPr>
        <w:t>)</w:t>
      </w:r>
      <w:r w:rsidR="007A5DA4">
        <w:rPr>
          <w:rFonts w:ascii="Times New Roman" w:hAnsi="Times New Roman" w:cs="Times New Roman"/>
        </w:rPr>
        <w:t xml:space="preserve">, has made </w:t>
      </w:r>
      <w:r w:rsidR="002C6F50">
        <w:rPr>
          <w:rFonts w:ascii="Times New Roman" w:hAnsi="Times New Roman" w:cs="Times New Roman"/>
        </w:rPr>
        <w:t xml:space="preserve">one of </w:t>
      </w:r>
      <w:r w:rsidR="007A5DA4">
        <w:rPr>
          <w:rFonts w:ascii="Times New Roman" w:hAnsi="Times New Roman" w:cs="Times New Roman"/>
        </w:rPr>
        <w:t>the most eloquent and thoughtful of these critiques.</w:t>
      </w:r>
      <w:r>
        <w:rPr>
          <w:rStyle w:val="FootnoteReference"/>
          <w:rFonts w:ascii="Times New Roman" w:hAnsi="Times New Roman" w:cs="Times New Roman"/>
        </w:rPr>
        <w:footnoteReference w:id="7"/>
      </w:r>
      <w:r w:rsidR="007A5DA4">
        <w:rPr>
          <w:rFonts w:ascii="Times New Roman" w:hAnsi="Times New Roman" w:cs="Times New Roman"/>
        </w:rPr>
        <w:t xml:space="preserve"> </w:t>
      </w:r>
      <w:r w:rsidR="002C6F50">
        <w:rPr>
          <w:rFonts w:ascii="Times New Roman" w:hAnsi="Times New Roman" w:cs="Times New Roman"/>
        </w:rPr>
        <w:t xml:space="preserve">In </w:t>
      </w:r>
      <w:r w:rsidR="002C6F50">
        <w:rPr>
          <w:rFonts w:ascii="Times New Roman" w:hAnsi="Times New Roman" w:cs="Times New Roman"/>
          <w:i/>
        </w:rPr>
        <w:t>Muslim Zion</w:t>
      </w:r>
      <w:r w:rsidR="002C6F50">
        <w:rPr>
          <w:rFonts w:ascii="Times New Roman" w:hAnsi="Times New Roman" w:cs="Times New Roman"/>
        </w:rPr>
        <w:t xml:space="preserve">, which makes explicit the connections behind the creation of both Israel and Pakistan, </w:t>
      </w:r>
      <w:r>
        <w:rPr>
          <w:rFonts w:ascii="Times New Roman" w:hAnsi="Times New Roman" w:cs="Times New Roman"/>
        </w:rPr>
        <w:t xml:space="preserve">Devji focuses upon </w:t>
      </w:r>
      <w:r w:rsidR="002C6F50">
        <w:rPr>
          <w:rFonts w:ascii="Times New Roman" w:hAnsi="Times New Roman" w:cs="Times New Roman"/>
        </w:rPr>
        <w:t xml:space="preserve">‘religion [as] </w:t>
      </w:r>
      <w:r>
        <w:rPr>
          <w:rFonts w:ascii="Times New Roman" w:hAnsi="Times New Roman" w:cs="Times New Roman"/>
        </w:rPr>
        <w:t xml:space="preserve">the sole basis of </w:t>
      </w:r>
      <w:r w:rsidR="002C6F50">
        <w:rPr>
          <w:rFonts w:ascii="Times New Roman" w:hAnsi="Times New Roman" w:cs="Times New Roman"/>
        </w:rPr>
        <w:t>Muslim nationality’, at the expense of ‘other forms of collective belonging, such as blood and soil…’.</w:t>
      </w:r>
      <w:r w:rsidR="002C6F50">
        <w:rPr>
          <w:rStyle w:val="FootnoteReference"/>
          <w:rFonts w:ascii="Times New Roman" w:hAnsi="Times New Roman" w:cs="Times New Roman"/>
        </w:rPr>
        <w:footnoteReference w:id="8"/>
      </w:r>
      <w:r w:rsidR="006D7F7F">
        <w:rPr>
          <w:rFonts w:ascii="Times New Roman" w:hAnsi="Times New Roman" w:cs="Times New Roman"/>
        </w:rPr>
        <w:t xml:space="preserve"> Like Jaffrelot, Devji also goes on to argue that ever since the emergence of the conception of ‘Hindu majority, Muslim minority’ in</w:t>
      </w:r>
      <w:r w:rsidR="006835E6">
        <w:rPr>
          <w:rFonts w:ascii="Times New Roman" w:hAnsi="Times New Roman" w:cs="Times New Roman"/>
        </w:rPr>
        <w:t xml:space="preserve"> the legislative formulations of</w:t>
      </w:r>
      <w:r w:rsidR="006D7F7F">
        <w:rPr>
          <w:rFonts w:ascii="Times New Roman" w:hAnsi="Times New Roman" w:cs="Times New Roman"/>
        </w:rPr>
        <w:t xml:space="preserve"> the nineteenth century, Muslim representatives had sought ways and means to move beyond this distinction and to promote parity between the two communities.</w:t>
      </w:r>
      <w:r w:rsidR="006D7F7F">
        <w:rPr>
          <w:rStyle w:val="FootnoteReference"/>
          <w:rFonts w:ascii="Times New Roman" w:hAnsi="Times New Roman" w:cs="Times New Roman"/>
        </w:rPr>
        <w:footnoteReference w:id="9"/>
      </w:r>
      <w:r w:rsidR="006D7F7F">
        <w:rPr>
          <w:rFonts w:ascii="Times New Roman" w:hAnsi="Times New Roman" w:cs="Times New Roman"/>
        </w:rPr>
        <w:t xml:space="preserve"> However, even if Muslims in Hindu-majority areas were Pakistan’s strongest supporters, and the idea of Pakistan (whether manifested as a separate sovereign entity or an autonomous unit within India) was theoretically </w:t>
      </w:r>
      <w:r w:rsidR="006835E6">
        <w:rPr>
          <w:rFonts w:ascii="Times New Roman" w:hAnsi="Times New Roman" w:cs="Times New Roman"/>
        </w:rPr>
        <w:t>imagined</w:t>
      </w:r>
      <w:r w:rsidR="006D7F7F">
        <w:rPr>
          <w:rFonts w:ascii="Times New Roman" w:hAnsi="Times New Roman" w:cs="Times New Roman"/>
        </w:rPr>
        <w:t xml:space="preserve"> to include all</w:t>
      </w:r>
      <w:r w:rsidR="006835E6">
        <w:rPr>
          <w:rFonts w:ascii="Times New Roman" w:hAnsi="Times New Roman" w:cs="Times New Roman"/>
        </w:rPr>
        <w:t xml:space="preserve"> of</w:t>
      </w:r>
      <w:r w:rsidR="006D7F7F">
        <w:rPr>
          <w:rFonts w:ascii="Times New Roman" w:hAnsi="Times New Roman" w:cs="Times New Roman"/>
        </w:rPr>
        <w:t xml:space="preserve"> India’s Muslims, </w:t>
      </w:r>
      <w:r w:rsidR="00756032">
        <w:rPr>
          <w:rFonts w:ascii="Times New Roman" w:hAnsi="Times New Roman" w:cs="Times New Roman"/>
        </w:rPr>
        <w:t xml:space="preserve">beyond the abstract ideal </w:t>
      </w:r>
      <w:r w:rsidR="006D7F7F">
        <w:rPr>
          <w:rFonts w:ascii="Times New Roman" w:hAnsi="Times New Roman" w:cs="Times New Roman"/>
        </w:rPr>
        <w:t>it ultimately required some basis in</w:t>
      </w:r>
      <w:r w:rsidR="00BB029D">
        <w:rPr>
          <w:rFonts w:ascii="Times New Roman" w:hAnsi="Times New Roman" w:cs="Times New Roman"/>
        </w:rPr>
        <w:t xml:space="preserve"> territorial and demographic</w:t>
      </w:r>
      <w:r w:rsidR="006D7F7F">
        <w:rPr>
          <w:rFonts w:ascii="Times New Roman" w:hAnsi="Times New Roman" w:cs="Times New Roman"/>
        </w:rPr>
        <w:t xml:space="preserve"> </w:t>
      </w:r>
      <w:r w:rsidR="00BB029D">
        <w:rPr>
          <w:rFonts w:ascii="Times New Roman" w:hAnsi="Times New Roman" w:cs="Times New Roman"/>
        </w:rPr>
        <w:t xml:space="preserve">reality. Venkat Dhulipala has pointed to contemporary maps contained within the growing body of works on Pakistan during the 1940s as evidence of </w:t>
      </w:r>
      <w:r w:rsidR="006835E6">
        <w:rPr>
          <w:rFonts w:ascii="Times New Roman" w:hAnsi="Times New Roman" w:cs="Times New Roman"/>
        </w:rPr>
        <w:t xml:space="preserve">an increase in </w:t>
      </w:r>
      <w:r w:rsidR="00BB029D">
        <w:rPr>
          <w:rFonts w:ascii="Times New Roman" w:hAnsi="Times New Roman" w:cs="Times New Roman"/>
        </w:rPr>
        <w:t>territoriality.</w:t>
      </w:r>
      <w:r w:rsidR="00756032">
        <w:rPr>
          <w:rStyle w:val="FootnoteReference"/>
          <w:rFonts w:ascii="Times New Roman" w:hAnsi="Times New Roman" w:cs="Times New Roman"/>
        </w:rPr>
        <w:footnoteReference w:id="10"/>
      </w:r>
      <w:r w:rsidR="00BB029D">
        <w:rPr>
          <w:rFonts w:ascii="Times New Roman" w:hAnsi="Times New Roman" w:cs="Times New Roman"/>
        </w:rPr>
        <w:t xml:space="preserve"> </w:t>
      </w:r>
      <w:r w:rsidR="006835E6">
        <w:rPr>
          <w:rFonts w:ascii="Times New Roman" w:hAnsi="Times New Roman" w:cs="Times New Roman"/>
        </w:rPr>
        <w:t>Equally,</w:t>
      </w:r>
      <w:r w:rsidR="00BB029D">
        <w:rPr>
          <w:rFonts w:ascii="Times New Roman" w:hAnsi="Times New Roman" w:cs="Times New Roman"/>
        </w:rPr>
        <w:t xml:space="preserve"> all of </w:t>
      </w:r>
      <w:r w:rsidR="006835E6">
        <w:rPr>
          <w:rFonts w:ascii="Times New Roman" w:hAnsi="Times New Roman" w:cs="Times New Roman"/>
        </w:rPr>
        <w:t>the lines on these</w:t>
      </w:r>
      <w:r w:rsidR="00BB029D">
        <w:rPr>
          <w:rFonts w:ascii="Times New Roman" w:hAnsi="Times New Roman" w:cs="Times New Roman"/>
        </w:rPr>
        <w:t xml:space="preserve"> maps, whether</w:t>
      </w:r>
      <w:r w:rsidR="006835E6">
        <w:rPr>
          <w:rFonts w:ascii="Times New Roman" w:hAnsi="Times New Roman" w:cs="Times New Roman"/>
        </w:rPr>
        <w:t xml:space="preserve"> </w:t>
      </w:r>
      <w:r w:rsidR="00BB029D">
        <w:rPr>
          <w:rFonts w:ascii="Times New Roman" w:hAnsi="Times New Roman" w:cs="Times New Roman"/>
        </w:rPr>
        <w:t>premised on</w:t>
      </w:r>
      <w:r w:rsidR="006835E6">
        <w:rPr>
          <w:rFonts w:ascii="Times New Roman" w:hAnsi="Times New Roman" w:cs="Times New Roman"/>
        </w:rPr>
        <w:t xml:space="preserve"> the Muslim League’s claims to the entirety of Bengal and Punjab</w:t>
      </w:r>
      <w:r w:rsidR="005104AA">
        <w:rPr>
          <w:rStyle w:val="FootnoteReference"/>
          <w:rFonts w:ascii="Times New Roman" w:hAnsi="Times New Roman" w:cs="Times New Roman"/>
        </w:rPr>
        <w:footnoteReference w:id="11"/>
      </w:r>
      <w:r w:rsidR="006835E6">
        <w:rPr>
          <w:rFonts w:ascii="Times New Roman" w:hAnsi="Times New Roman" w:cs="Times New Roman"/>
        </w:rPr>
        <w:t>, or on Ambedkar’s idea to partition these provinces as taken up in the Rajaji formula</w:t>
      </w:r>
      <w:r w:rsidR="008D2253">
        <w:rPr>
          <w:rStyle w:val="FootnoteReference"/>
          <w:rFonts w:ascii="Times New Roman" w:hAnsi="Times New Roman" w:cs="Times New Roman"/>
        </w:rPr>
        <w:footnoteReference w:id="12"/>
      </w:r>
      <w:r w:rsidR="006835E6">
        <w:rPr>
          <w:rFonts w:ascii="Times New Roman" w:hAnsi="Times New Roman" w:cs="Times New Roman"/>
        </w:rPr>
        <w:t>, were delineated on the basis of the majority numerical status of Hindu and Muslim communities in particular pockets of territory</w:t>
      </w:r>
      <w:r w:rsidR="008D2253">
        <w:rPr>
          <w:rFonts w:ascii="Times New Roman" w:hAnsi="Times New Roman" w:cs="Times New Roman"/>
        </w:rPr>
        <w:t>, something we might refer to in shorthand as the ‘territorialisation of number’.</w:t>
      </w:r>
      <w:r w:rsidR="000953E6">
        <w:rPr>
          <w:rStyle w:val="FootnoteReference"/>
          <w:rFonts w:ascii="Times New Roman" w:hAnsi="Times New Roman" w:cs="Times New Roman"/>
        </w:rPr>
        <w:footnoteReference w:id="13"/>
      </w:r>
      <w:r w:rsidR="006835E6">
        <w:rPr>
          <w:rFonts w:ascii="Times New Roman" w:hAnsi="Times New Roman" w:cs="Times New Roman"/>
        </w:rPr>
        <w:t xml:space="preserve"> Rather than escaping the growing significance of number as a consequence of interwar democratisation, contained within </w:t>
      </w:r>
      <w:r w:rsidR="00756032">
        <w:rPr>
          <w:rFonts w:ascii="Times New Roman" w:hAnsi="Times New Roman" w:cs="Times New Roman"/>
        </w:rPr>
        <w:t>certain</w:t>
      </w:r>
      <w:r w:rsidR="006835E6">
        <w:rPr>
          <w:rFonts w:ascii="Times New Roman" w:hAnsi="Times New Roman" w:cs="Times New Roman"/>
        </w:rPr>
        <w:t xml:space="preserve"> iterations of the Pakistan demand was recognition of the significance of number at the provincial</w:t>
      </w:r>
      <w:r w:rsidR="00756032">
        <w:rPr>
          <w:rFonts w:ascii="Times New Roman" w:hAnsi="Times New Roman" w:cs="Times New Roman"/>
        </w:rPr>
        <w:t xml:space="preserve"> (and district)</w:t>
      </w:r>
      <w:r w:rsidR="006835E6">
        <w:rPr>
          <w:rFonts w:ascii="Times New Roman" w:hAnsi="Times New Roman" w:cs="Times New Roman"/>
        </w:rPr>
        <w:t xml:space="preserve"> level.</w:t>
      </w:r>
    </w:p>
    <w:p w14:paraId="23126C03" w14:textId="2993B4AF" w:rsidR="00244261" w:rsidRDefault="00756032" w:rsidP="00044539">
      <w:pPr>
        <w:spacing w:after="200" w:line="480" w:lineRule="auto"/>
        <w:ind w:firstLine="720"/>
        <w:jc w:val="both"/>
        <w:rPr>
          <w:rFonts w:ascii="Times New Roman" w:hAnsi="Times New Roman" w:cs="Times New Roman"/>
        </w:rPr>
      </w:pPr>
      <w:r>
        <w:rPr>
          <w:rFonts w:ascii="Times New Roman" w:hAnsi="Times New Roman" w:cs="Times New Roman"/>
        </w:rPr>
        <w:t>These elite proposals</w:t>
      </w:r>
      <w:r w:rsidR="009E64A6">
        <w:rPr>
          <w:rFonts w:ascii="Times New Roman" w:hAnsi="Times New Roman" w:cs="Times New Roman"/>
        </w:rPr>
        <w:t xml:space="preserve"> aligned with at least some of the ideas being articulated by </w:t>
      </w:r>
      <w:r>
        <w:rPr>
          <w:rFonts w:ascii="Times New Roman" w:hAnsi="Times New Roman" w:cs="Times New Roman"/>
        </w:rPr>
        <w:t xml:space="preserve">popular </w:t>
      </w:r>
      <w:r w:rsidR="009E64A6">
        <w:rPr>
          <w:rFonts w:ascii="Times New Roman" w:hAnsi="Times New Roman" w:cs="Times New Roman"/>
        </w:rPr>
        <w:t xml:space="preserve">sympathisers </w:t>
      </w:r>
      <w:r>
        <w:rPr>
          <w:rFonts w:ascii="Times New Roman" w:hAnsi="Times New Roman" w:cs="Times New Roman"/>
        </w:rPr>
        <w:t>with</w:t>
      </w:r>
      <w:r w:rsidR="009E64A6">
        <w:rPr>
          <w:rFonts w:ascii="Times New Roman" w:hAnsi="Times New Roman" w:cs="Times New Roman"/>
        </w:rPr>
        <w:t xml:space="preserve"> the Pakistan demand.</w:t>
      </w:r>
      <w:r w:rsidR="00800499" w:rsidRPr="00800499">
        <w:rPr>
          <w:rFonts w:ascii="Times New Roman" w:hAnsi="Times New Roman" w:cs="Times New Roman"/>
        </w:rPr>
        <w:t xml:space="preserve"> </w:t>
      </w:r>
      <w:r w:rsidR="00800499">
        <w:rPr>
          <w:rFonts w:ascii="Times New Roman" w:hAnsi="Times New Roman" w:cs="Times New Roman"/>
        </w:rPr>
        <w:t>In fact, Jinnah and the League had garnered support amongst Muslims in Muslim-majority provinces by suggesting that Pakistan (whether it was to be a federation within a confederal formula or separate nation-state) was to be ‘a loose structure in which each province would enjoy considerable autonomy’.</w:t>
      </w:r>
      <w:r w:rsidR="00800499">
        <w:rPr>
          <w:rStyle w:val="FootnoteReference"/>
          <w:rFonts w:ascii="Times New Roman" w:hAnsi="Times New Roman" w:cs="Times New Roman"/>
        </w:rPr>
        <w:footnoteReference w:id="14"/>
      </w:r>
      <w:r w:rsidR="004452D3">
        <w:rPr>
          <w:rFonts w:ascii="Times New Roman" w:hAnsi="Times New Roman" w:cs="Times New Roman"/>
        </w:rPr>
        <w:t xml:space="preserve"> In the </w:t>
      </w:r>
      <w:r w:rsidR="00800499">
        <w:rPr>
          <w:rFonts w:ascii="Times New Roman" w:hAnsi="Times New Roman" w:cs="Times New Roman"/>
        </w:rPr>
        <w:t xml:space="preserve">Muslim-minority </w:t>
      </w:r>
      <w:r w:rsidR="004452D3">
        <w:rPr>
          <w:rFonts w:ascii="Times New Roman" w:hAnsi="Times New Roman" w:cs="Times New Roman"/>
        </w:rPr>
        <w:t xml:space="preserve">United Provinces, popular enthusiasm for the idea of a separate and territorially distinctive Pakistan amongst Muslims was frequently framed around cultural and theological arguments articulated by the province’s </w:t>
      </w:r>
      <w:r w:rsidR="004452D3">
        <w:rPr>
          <w:rFonts w:ascii="Times New Roman" w:hAnsi="Times New Roman" w:cs="Times New Roman"/>
          <w:i/>
        </w:rPr>
        <w:t>ulama</w:t>
      </w:r>
      <w:r w:rsidR="004452D3">
        <w:rPr>
          <w:rFonts w:ascii="Times New Roman" w:hAnsi="Times New Roman" w:cs="Times New Roman"/>
        </w:rPr>
        <w:t xml:space="preserve"> (Islamic scholars). </w:t>
      </w:r>
      <w:r w:rsidR="00FD4311">
        <w:rPr>
          <w:rFonts w:ascii="Times New Roman" w:hAnsi="Times New Roman" w:cs="Times New Roman"/>
        </w:rPr>
        <w:t>But whilst</w:t>
      </w:r>
      <w:r w:rsidR="00244261">
        <w:rPr>
          <w:rFonts w:ascii="Times New Roman" w:hAnsi="Times New Roman" w:cs="Times New Roman"/>
        </w:rPr>
        <w:t xml:space="preserve"> Dhulipala therefore argues that the idea of Pakistan assumed greater ‘clarity, substance and popularity in late-colonial north India’, ambiguity in popular conceptions between provinces still remained.</w:t>
      </w:r>
      <w:r w:rsidR="00244261">
        <w:rPr>
          <w:rStyle w:val="FootnoteReference"/>
          <w:rFonts w:ascii="Times New Roman" w:hAnsi="Times New Roman" w:cs="Times New Roman"/>
        </w:rPr>
        <w:footnoteReference w:id="15"/>
      </w:r>
      <w:r w:rsidR="00244261">
        <w:rPr>
          <w:rFonts w:ascii="Times New Roman" w:hAnsi="Times New Roman" w:cs="Times New Roman"/>
        </w:rPr>
        <w:t xml:space="preserve"> I</w:t>
      </w:r>
      <w:r>
        <w:rPr>
          <w:rFonts w:ascii="Times New Roman" w:hAnsi="Times New Roman" w:cs="Times New Roman"/>
        </w:rPr>
        <w:t>n</w:t>
      </w:r>
      <w:r w:rsidR="004452D3">
        <w:rPr>
          <w:rFonts w:ascii="Times New Roman" w:hAnsi="Times New Roman" w:cs="Times New Roman"/>
        </w:rPr>
        <w:t xml:space="preserve"> </w:t>
      </w:r>
      <w:r w:rsidR="00244261">
        <w:rPr>
          <w:rFonts w:ascii="Times New Roman" w:hAnsi="Times New Roman" w:cs="Times New Roman"/>
        </w:rPr>
        <w:t xml:space="preserve">fact, in </w:t>
      </w:r>
      <w:r w:rsidR="004452D3">
        <w:rPr>
          <w:rFonts w:ascii="Times New Roman" w:hAnsi="Times New Roman" w:cs="Times New Roman"/>
        </w:rPr>
        <w:t xml:space="preserve">Muslim Bengal </w:t>
      </w:r>
      <w:r w:rsidR="00244261">
        <w:rPr>
          <w:rFonts w:ascii="Times New Roman" w:hAnsi="Times New Roman" w:cs="Times New Roman"/>
        </w:rPr>
        <w:t>the idea of Pakistan</w:t>
      </w:r>
      <w:r w:rsidR="004452D3">
        <w:rPr>
          <w:rFonts w:ascii="Times New Roman" w:hAnsi="Times New Roman" w:cs="Times New Roman"/>
        </w:rPr>
        <w:t xml:space="preserve"> came to mean something notably different. As Neilesh Bose has pointed out in this context, Pakistan could also mean ‘a struggle for freedom not just for one </w:t>
      </w:r>
      <w:r w:rsidR="004452D3">
        <w:rPr>
          <w:rFonts w:ascii="Times New Roman" w:hAnsi="Times New Roman" w:cs="Times New Roman"/>
          <w:i/>
        </w:rPr>
        <w:t>desh</w:t>
      </w:r>
      <w:r w:rsidR="004452D3">
        <w:rPr>
          <w:rFonts w:ascii="Times New Roman" w:hAnsi="Times New Roman" w:cs="Times New Roman"/>
        </w:rPr>
        <w:t xml:space="preserve"> [nation], but for many </w:t>
      </w:r>
      <w:r w:rsidR="004452D3">
        <w:rPr>
          <w:rFonts w:ascii="Times New Roman" w:hAnsi="Times New Roman" w:cs="Times New Roman"/>
          <w:i/>
        </w:rPr>
        <w:t>deshes</w:t>
      </w:r>
      <w:r w:rsidR="004452D3">
        <w:rPr>
          <w:rFonts w:ascii="Times New Roman" w:hAnsi="Times New Roman" w:cs="Times New Roman"/>
        </w:rPr>
        <w:t xml:space="preserve">, many </w:t>
      </w:r>
      <w:r w:rsidR="004452D3">
        <w:rPr>
          <w:rFonts w:ascii="Times New Roman" w:hAnsi="Times New Roman" w:cs="Times New Roman"/>
          <w:i/>
        </w:rPr>
        <w:t>jatis</w:t>
      </w:r>
      <w:r w:rsidR="004452D3">
        <w:rPr>
          <w:rFonts w:ascii="Times New Roman" w:hAnsi="Times New Roman" w:cs="Times New Roman"/>
        </w:rPr>
        <w:t xml:space="preserve"> [castes], as India is a large federation of </w:t>
      </w:r>
      <w:r w:rsidR="004452D3">
        <w:rPr>
          <w:rFonts w:ascii="Times New Roman" w:hAnsi="Times New Roman" w:cs="Times New Roman"/>
          <w:i/>
        </w:rPr>
        <w:t>jatis</w:t>
      </w:r>
      <w:r w:rsidR="004452D3">
        <w:rPr>
          <w:rFonts w:ascii="Times New Roman" w:hAnsi="Times New Roman" w:cs="Times New Roman"/>
        </w:rPr>
        <w:t>’.</w:t>
      </w:r>
      <w:r w:rsidR="004452D3">
        <w:rPr>
          <w:rStyle w:val="FootnoteReference"/>
          <w:rFonts w:ascii="Times New Roman" w:hAnsi="Times New Roman" w:cs="Times New Roman"/>
        </w:rPr>
        <w:footnoteReference w:id="16"/>
      </w:r>
      <w:r w:rsidR="004452D3">
        <w:rPr>
          <w:rFonts w:ascii="Times New Roman" w:hAnsi="Times New Roman" w:cs="Times New Roman"/>
        </w:rPr>
        <w:t xml:space="preserve"> In this telling, Pakistan, as an idea or concept that prioritised a federal solution composed of autonomous units, could be equally applicable to other territories</w:t>
      </w:r>
      <w:r w:rsidR="00371F33">
        <w:rPr>
          <w:rFonts w:ascii="Times New Roman" w:hAnsi="Times New Roman" w:cs="Times New Roman"/>
        </w:rPr>
        <w:t xml:space="preserve"> beyond the northeast and northwest</w:t>
      </w:r>
      <w:r w:rsidR="00800499">
        <w:rPr>
          <w:rFonts w:ascii="Times New Roman" w:hAnsi="Times New Roman" w:cs="Times New Roman"/>
        </w:rPr>
        <w:t>,</w:t>
      </w:r>
      <w:r w:rsidR="004452D3">
        <w:rPr>
          <w:rFonts w:ascii="Times New Roman" w:hAnsi="Times New Roman" w:cs="Times New Roman"/>
        </w:rPr>
        <w:t xml:space="preserve"> and </w:t>
      </w:r>
      <w:r w:rsidR="00800499">
        <w:rPr>
          <w:rFonts w:ascii="Times New Roman" w:hAnsi="Times New Roman" w:cs="Times New Roman"/>
        </w:rPr>
        <w:t xml:space="preserve">to </w:t>
      </w:r>
      <w:r w:rsidR="004452D3">
        <w:rPr>
          <w:rFonts w:ascii="Times New Roman" w:hAnsi="Times New Roman" w:cs="Times New Roman"/>
        </w:rPr>
        <w:t>communities</w:t>
      </w:r>
      <w:r w:rsidR="00371F33">
        <w:rPr>
          <w:rFonts w:ascii="Times New Roman" w:hAnsi="Times New Roman" w:cs="Times New Roman"/>
        </w:rPr>
        <w:t xml:space="preserve"> beyond the religious</w:t>
      </w:r>
      <w:r w:rsidR="00244261">
        <w:rPr>
          <w:rFonts w:ascii="Times New Roman" w:hAnsi="Times New Roman" w:cs="Times New Roman"/>
        </w:rPr>
        <w:t>.</w:t>
      </w:r>
    </w:p>
    <w:p w14:paraId="64039FBD" w14:textId="699EDCF8" w:rsidR="008C341F" w:rsidRDefault="004452D3" w:rsidP="00244261">
      <w:pPr>
        <w:spacing w:after="200" w:line="480" w:lineRule="auto"/>
        <w:ind w:firstLine="720"/>
        <w:jc w:val="both"/>
        <w:rPr>
          <w:rFonts w:ascii="Times New Roman" w:hAnsi="Times New Roman" w:cs="Times New Roman"/>
        </w:rPr>
      </w:pPr>
      <w:r>
        <w:rPr>
          <w:rFonts w:ascii="Times New Roman" w:hAnsi="Times New Roman" w:cs="Times New Roman"/>
        </w:rPr>
        <w:t xml:space="preserve">Indeed, other communities that were equally conscious of the potential threat of caste Hindu </w:t>
      </w:r>
      <w:r w:rsidR="00044539">
        <w:rPr>
          <w:rFonts w:ascii="Times New Roman" w:hAnsi="Times New Roman" w:cs="Times New Roman"/>
        </w:rPr>
        <w:t>and</w:t>
      </w:r>
      <w:r>
        <w:rPr>
          <w:rFonts w:ascii="Times New Roman" w:hAnsi="Times New Roman" w:cs="Times New Roman"/>
        </w:rPr>
        <w:t xml:space="preserve"> north Indian majoritarianism took up similar demands for autonomy, evident, for example, in the albeit ephemeral demands for Dalitstan and Dr</w:t>
      </w:r>
      <w:r w:rsidR="004F43B4">
        <w:rPr>
          <w:rFonts w:ascii="Times New Roman" w:hAnsi="Times New Roman" w:cs="Times New Roman"/>
        </w:rPr>
        <w:t>avidi</w:t>
      </w:r>
      <w:r>
        <w:rPr>
          <w:rFonts w:ascii="Times New Roman" w:hAnsi="Times New Roman" w:cs="Times New Roman"/>
        </w:rPr>
        <w:t xml:space="preserve">stan. </w:t>
      </w:r>
      <w:r w:rsidR="00044539">
        <w:rPr>
          <w:rFonts w:ascii="Times New Roman" w:hAnsi="Times New Roman" w:cs="Times New Roman"/>
        </w:rPr>
        <w:t>Such</w:t>
      </w:r>
      <w:r>
        <w:rPr>
          <w:rFonts w:ascii="Times New Roman" w:hAnsi="Times New Roman" w:cs="Times New Roman"/>
        </w:rPr>
        <w:t xml:space="preserve"> claims, </w:t>
      </w:r>
      <w:r w:rsidR="00756032">
        <w:rPr>
          <w:rFonts w:ascii="Times New Roman" w:hAnsi="Times New Roman" w:cs="Times New Roman"/>
        </w:rPr>
        <w:t xml:space="preserve">also </w:t>
      </w:r>
      <w:r>
        <w:rPr>
          <w:rFonts w:ascii="Times New Roman" w:hAnsi="Times New Roman" w:cs="Times New Roman"/>
        </w:rPr>
        <w:t xml:space="preserve">often constituted on the basis of a distinct ‘nationhood’, </w:t>
      </w:r>
      <w:r w:rsidR="00244261">
        <w:rPr>
          <w:rFonts w:ascii="Times New Roman" w:hAnsi="Times New Roman" w:cs="Times New Roman"/>
        </w:rPr>
        <w:t>were not necessarily framed as demands for separation from the Indian union, but were considered viable techniques through which to gain better recognition within it. Rather than sharing political power in a wider deliberative body in Bombay, the proponents of Samyukta Mahrashtra were concerned with domination, albeit in a more limited political arena. In this sense, their demands for political autonomy reflected certain iterations of the Pakistan demand</w:t>
      </w:r>
      <w:r w:rsidR="00556918">
        <w:rPr>
          <w:rFonts w:ascii="Times New Roman" w:hAnsi="Times New Roman" w:cs="Times New Roman"/>
        </w:rPr>
        <w:t>, albeit reframed in the context of communal demographic equations related to caste and language, rather than religion</w:t>
      </w:r>
      <w:r w:rsidR="00244261">
        <w:rPr>
          <w:rFonts w:ascii="Times New Roman" w:hAnsi="Times New Roman" w:cs="Times New Roman"/>
        </w:rPr>
        <w:t xml:space="preserve">. </w:t>
      </w:r>
      <w:r>
        <w:rPr>
          <w:rFonts w:ascii="Times New Roman" w:hAnsi="Times New Roman" w:cs="Times New Roman"/>
        </w:rPr>
        <w:t>This paper therefore examines how certain understandings of what both Pakistan and Samyukta Maharashtra entailed up to May 1946 emerged out of a related process, in which both Muslim and Maratha representatives increasingly equated democracy with majority rule at the provincial scale during the late colonial period.</w:t>
      </w:r>
    </w:p>
    <w:p w14:paraId="0A80D0D2" w14:textId="77777777" w:rsidR="00ED4617" w:rsidRDefault="00ED4617" w:rsidP="00ED4617">
      <w:pPr>
        <w:pStyle w:val="Heading2"/>
        <w:spacing w:after="24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The Making of a Muslim Majority</w:t>
      </w:r>
    </w:p>
    <w:p w14:paraId="0AD7B64C" w14:textId="77777777" w:rsidR="00ED4617" w:rsidRDefault="00ED4617" w:rsidP="00ED4617">
      <w:pPr>
        <w:spacing w:after="200" w:line="480" w:lineRule="auto"/>
        <w:jc w:val="both"/>
        <w:rPr>
          <w:rFonts w:ascii="Times New Roman" w:hAnsi="Times New Roman" w:cs="Times New Roman"/>
        </w:rPr>
      </w:pPr>
      <w:r>
        <w:rPr>
          <w:rFonts w:ascii="Times New Roman" w:hAnsi="Times New Roman" w:cs="Times New Roman"/>
        </w:rPr>
        <w:t>Although, as we have already noted, the Pakistan demand remained somewhat ambiguous and vague</w:t>
      </w:r>
      <w:r>
        <w:rPr>
          <w:rStyle w:val="FootnoteReference"/>
          <w:rFonts w:ascii="Times New Roman" w:hAnsi="Times New Roman" w:cs="Times New Roman"/>
        </w:rPr>
        <w:footnoteReference w:id="17"/>
      </w:r>
      <w:r>
        <w:rPr>
          <w:rFonts w:ascii="Times New Roman" w:hAnsi="Times New Roman" w:cs="Times New Roman"/>
        </w:rPr>
        <w:t xml:space="preserve">, it was frequently interpreted on the basis that Muslims, whilst forming a minority of the total population, constituted a majority community in certain large and recognisable areas of the subcontinent. In </w:t>
      </w:r>
      <w:r>
        <w:rPr>
          <w:rFonts w:ascii="Times New Roman" w:hAnsi="Times New Roman" w:cs="Times New Roman"/>
          <w:i/>
        </w:rPr>
        <w:t>India Divided</w:t>
      </w:r>
      <w:r>
        <w:rPr>
          <w:rFonts w:ascii="Times New Roman" w:hAnsi="Times New Roman" w:cs="Times New Roman"/>
        </w:rPr>
        <w:t xml:space="preserve">, published in 1946, the prominent Congressman Rajendra Prasad recognised as much, when, ruminating on the scheme for ‘Muslim zones’ set out in the Lahore Resolution, he wrote, </w:t>
      </w:r>
    </w:p>
    <w:p w14:paraId="10794952" w14:textId="77777777" w:rsidR="00ED4617" w:rsidRDefault="00ED4617" w:rsidP="00ED4617">
      <w:pPr>
        <w:spacing w:after="200" w:line="480" w:lineRule="auto"/>
        <w:ind w:left="720" w:right="369"/>
        <w:jc w:val="both"/>
        <w:rPr>
          <w:rFonts w:ascii="Times New Roman" w:hAnsi="Times New Roman" w:cs="Times New Roman"/>
        </w:rPr>
      </w:pPr>
      <w:r>
        <w:rPr>
          <w:rFonts w:ascii="Times New Roman" w:hAnsi="Times New Roman" w:cs="Times New Roman"/>
        </w:rPr>
        <w:t>One idea was that the Muslim zones should be a compact one and should have as large a proportion of Muslims in its population as possible by excluding all those areas from it where the Muslims were in a minority, so that a large Muslim majority with a small non-Muslim minority could manage the affairs of the zone much as the Muslims desired … The other school was in favour of taking as large a portion of India as was possible within the Muslim zone, if only a Muslim majority, no matter if it was a small majority, could be secured.</w:t>
      </w:r>
      <w:r>
        <w:rPr>
          <w:rStyle w:val="FootnoteReference"/>
          <w:rFonts w:ascii="Times New Roman" w:hAnsi="Times New Roman" w:cs="Times New Roman"/>
        </w:rPr>
        <w:footnoteReference w:id="18"/>
      </w:r>
    </w:p>
    <w:p w14:paraId="17FE7BC0" w14:textId="77777777" w:rsidR="00ED4617" w:rsidRDefault="00ED4617" w:rsidP="00ED4617">
      <w:pPr>
        <w:spacing w:after="200" w:line="480" w:lineRule="auto"/>
        <w:jc w:val="both"/>
        <w:rPr>
          <w:rFonts w:ascii="Times New Roman" w:hAnsi="Times New Roman" w:cs="Times New Roman"/>
        </w:rPr>
      </w:pPr>
      <w:r>
        <w:rPr>
          <w:rFonts w:ascii="Times New Roman" w:hAnsi="Times New Roman" w:cs="Times New Roman"/>
        </w:rPr>
        <w:t>The League’s attempts to resolve the ‘Hindu-Muslim question’, then, were not only premised on an abstract demand for self-determination, but also involved the practical delineation of territory on the basis of communal demographics. Prasad continued to criticise the ‘reluctance on the part of the President of the League to disclose the scheme in its entirety’, describing Jinnah’s attempts as tending towards ‘obscurity, vagueness and ambiguity’.</w:t>
      </w:r>
      <w:r>
        <w:rPr>
          <w:rStyle w:val="FootnoteReference"/>
          <w:rFonts w:ascii="Times New Roman" w:hAnsi="Times New Roman" w:cs="Times New Roman"/>
        </w:rPr>
        <w:footnoteReference w:id="19"/>
      </w:r>
      <w:r>
        <w:rPr>
          <w:rFonts w:ascii="Times New Roman" w:hAnsi="Times New Roman" w:cs="Times New Roman"/>
        </w:rPr>
        <w:t xml:space="preserve"> But whilst Jinnah, primarily because of the political posturing he deemed necessary to garner support, may have been reluctant to clarify aspects of what exactly was meant by Pakistan, he did recognise that the linkages between community and territory were of critical significance to any iteration of this demand. After 1940, Jinnah regularly made reference to the Muslim-majority provinces of Bengal, Northwest Frontier, Punjab and Sind to support his claim that Pakistan was already in existence within India.</w:t>
      </w:r>
      <w:r>
        <w:rPr>
          <w:rStyle w:val="FootnoteReference"/>
          <w:rFonts w:ascii="Times New Roman" w:hAnsi="Times New Roman" w:cs="Times New Roman"/>
        </w:rPr>
        <w:footnoteReference w:id="20"/>
      </w:r>
      <w:r>
        <w:rPr>
          <w:rFonts w:ascii="Times New Roman" w:hAnsi="Times New Roman" w:cs="Times New Roman"/>
        </w:rPr>
        <w:t xml:space="preserve"> By situating Pakistan as a specific entity within a particular sub-continental space, Jinnah replicated earlier references to the geographical rootedness of a South Asian Muslim homeland, whether in Muhammad Iqbal’s presidential address to the Muslim League in 1930, or in the 1933 anagram through which Pakistan first came to be named.</w:t>
      </w:r>
      <w:r>
        <w:rPr>
          <w:rStyle w:val="FootnoteReference"/>
          <w:rFonts w:ascii="Times New Roman" w:hAnsi="Times New Roman" w:cs="Times New Roman"/>
        </w:rPr>
        <w:footnoteReference w:id="21"/>
      </w:r>
    </w:p>
    <w:p w14:paraId="18DE27A1" w14:textId="77777777" w:rsidR="00ED4617"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In one sense, the demand for Pakistan marked a radical departure from earlier League policy, in which Muslims came to be presented as constituting a nation, rather than a community. In this formulation, claiming the status of the former provided an opportunity to escape the strictures of the latter, in which a Muslim minority would otherwise be at the mercy of a perpetual Hindu majority. Yet, in another sense, Pakistan as an idea also reflected older efforts by Muslim politicians to territorialise number, by which political capital could be made out of the communal demographics of particular administrative spaces. By focusing on these earlier efforts during the interwar years, we are better placed to track the synergies between the demands for Pakistan and Samyukta Maharashtra in the 1940s, particularly with regards to the creation of communal majority constituencies at the provincial level. And critical to the emergence of such constituencies was the measured introduction of democratic forms of governance during the 1920s and 1930s.</w:t>
      </w:r>
    </w:p>
    <w:p w14:paraId="1DA30BC7" w14:textId="77777777" w:rsidR="00ED4617"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 xml:space="preserve">Rather than focusing on some of the other significant implications of a gradual process of democratisation in British India, both contemporaries and historians have often been quick to apportion responsibility for ‘Muslim separatism’ to the creation of communal electorates from 1909 on. Writing in his book </w:t>
      </w:r>
      <w:r>
        <w:rPr>
          <w:rFonts w:ascii="Times New Roman" w:hAnsi="Times New Roman" w:cs="Times New Roman"/>
          <w:i/>
        </w:rPr>
        <w:t>The Discovery of India</w:t>
      </w:r>
      <w:r>
        <w:rPr>
          <w:rFonts w:ascii="Times New Roman" w:hAnsi="Times New Roman" w:cs="Times New Roman"/>
        </w:rPr>
        <w:t xml:space="preserve"> whilst in jail during the Second World War, the prominent Congressman Jawaharlal Nehru, who would go on to be the first Prime Minister of an independent India, described them as ‘encourag[ing] separatist tendencies and prevent[ing] the growth of national unity … Out of them have grown … the demand for a splitting up of India’.</w:t>
      </w:r>
      <w:r>
        <w:rPr>
          <w:rStyle w:val="FootnoteReference"/>
          <w:rFonts w:ascii="Times New Roman" w:hAnsi="Times New Roman" w:cs="Times New Roman"/>
        </w:rPr>
        <w:footnoteReference w:id="22"/>
      </w:r>
      <w:r>
        <w:rPr>
          <w:rFonts w:ascii="Times New Roman" w:hAnsi="Times New Roman" w:cs="Times New Roman"/>
        </w:rPr>
        <w:t xml:space="preserve"> More vocal still were many members of the Constituent Assembly of India, a body tasked with establishing India’s first constitution, which eventually came to the majority decision to abolish separate electorates entirely.</w:t>
      </w:r>
      <w:r>
        <w:rPr>
          <w:rStyle w:val="FootnoteReference"/>
          <w:rFonts w:ascii="Times New Roman" w:hAnsi="Times New Roman" w:cs="Times New Roman"/>
        </w:rPr>
        <w:footnoteReference w:id="23"/>
      </w:r>
      <w:r>
        <w:rPr>
          <w:rFonts w:ascii="Times New Roman" w:hAnsi="Times New Roman" w:cs="Times New Roman"/>
        </w:rPr>
        <w:t xml:space="preserve"> Equally, when historians have considered these ‘communal’ demands, Muslim representatives are likewise most frequently perceived to engage with democratic forms through communalised strategies of commensuration. By commensuration, borrowing from Anupama Rao’s reading of the work of Ernesto Laclau, I refer here to attempts within a liberal democratic order to manufacture equivalence between groups or communities that are otherwise dissimilar, or incommensurable.</w:t>
      </w:r>
      <w:r>
        <w:rPr>
          <w:rStyle w:val="FootnoteReference"/>
          <w:rFonts w:ascii="Times New Roman" w:hAnsi="Times New Roman" w:cs="Times New Roman"/>
        </w:rPr>
        <w:footnoteReference w:id="24"/>
      </w:r>
      <w:r>
        <w:rPr>
          <w:rFonts w:ascii="Times New Roman" w:hAnsi="Times New Roman" w:cs="Times New Roman"/>
        </w:rPr>
        <w:t xml:space="preserve"> Such strategies are evident in the demands for separate electorates for India’s Muslims, which came to be perceived as mechanisms through which to potentially equalise their minority status vis-à-vis the Hindu majority. This was perceived as particularly pressing in the context of the threats posed by the gradual process of democratisation within provincial spaces initiated during the interwar years.</w:t>
      </w:r>
    </w:p>
    <w:p w14:paraId="1307A54A" w14:textId="77777777" w:rsidR="00ED4617"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Accordingly, because such commensurative practices were most often substantiated in opposition to a generalised Hindu majority, it became common amongst both colonial policymakers and Congress nationalists (regardless of whether they professed supposedly ‘secular’ or ‘Hindu’ persuasions</w:t>
      </w:r>
      <w:r>
        <w:rPr>
          <w:rStyle w:val="FootnoteReference"/>
          <w:rFonts w:ascii="Times New Roman" w:hAnsi="Times New Roman" w:cs="Times New Roman"/>
        </w:rPr>
        <w:footnoteReference w:id="25"/>
      </w:r>
      <w:r>
        <w:rPr>
          <w:rFonts w:ascii="Times New Roman" w:hAnsi="Times New Roman" w:cs="Times New Roman"/>
        </w:rPr>
        <w:t>) to equate the language of universal rights with a Hindu constituency. Mrinalini Sinha and Eleanor Newbigin, for example, have carefully demonstrated the ways in which emerging notions of democratic governance in late colonial India were often conflated with the idea of a ‘natural’ Hindu majority, in which ‘one man, one vote’ perpetuated a system of Hindu dominance.</w:t>
      </w:r>
      <w:r>
        <w:rPr>
          <w:rStyle w:val="FootnoteReference"/>
          <w:rFonts w:ascii="Times New Roman" w:hAnsi="Times New Roman" w:cs="Times New Roman"/>
        </w:rPr>
        <w:footnoteReference w:id="26"/>
      </w:r>
      <w:r>
        <w:rPr>
          <w:rFonts w:ascii="Times New Roman" w:hAnsi="Times New Roman" w:cs="Times New Roman"/>
        </w:rPr>
        <w:t xml:space="preserve"> However, claiming the status of a numerical minority in need of democratic equalisation through separate electorates did not exhaust all of the possible political avenues for Muslims during the interwar years. And equally, majoritarian democratic models could also be related to other communities in alternative spaces. In this regard, until recently little attention has been paid to the significant implications of the British devolution of power to the provinces after 1919.</w:t>
      </w:r>
      <w:r>
        <w:rPr>
          <w:rStyle w:val="FootnoteReference"/>
          <w:rFonts w:ascii="Times New Roman" w:hAnsi="Times New Roman" w:cs="Times New Roman"/>
        </w:rPr>
        <w:footnoteReference w:id="27"/>
      </w:r>
    </w:p>
    <w:p w14:paraId="275CD31D" w14:textId="77777777" w:rsidR="00ED4617"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British administrators had long understood Indian society as being primarily ordered on the basis of distinct caste, linguistic and religious communities, rather than the individual. As each specific community was understood to adhere to a particular uniform set of values and behavioural traits, the complexities of ordinary peoples’ everyday identities were frequently glossed over and ignored.</w:t>
      </w:r>
      <w:r>
        <w:rPr>
          <w:rStyle w:val="FootnoteReference"/>
          <w:rFonts w:ascii="Times New Roman" w:hAnsi="Times New Roman" w:cs="Times New Roman"/>
        </w:rPr>
        <w:footnoteReference w:id="28"/>
      </w:r>
      <w:r>
        <w:rPr>
          <w:rFonts w:ascii="Times New Roman" w:hAnsi="Times New Roman" w:cs="Times New Roman"/>
        </w:rPr>
        <w:t xml:space="preserve"> During the decades after the First World War, however, these ideas were now politicised in a completely novel manner. In a new milieu exemplified by a growing franchise and the democratisation of representative government, older colonial practices that sought to count and classify different communities, such as the decennial census and gazetteers, now became caught up in questions about electoral weight and adequate political representation. As a consequence, majority and minority communities within India, whether defined on the basis of caste, language, or religion, came to be newly considered as political constituencies.</w:t>
      </w:r>
    </w:p>
    <w:p w14:paraId="2F1BC119" w14:textId="77777777" w:rsidR="00ED4617"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Equally significant to these developments were questions about territory and space.</w:t>
      </w:r>
      <w:r>
        <w:rPr>
          <w:rStyle w:val="FootnoteReference"/>
          <w:rFonts w:ascii="Times New Roman" w:hAnsi="Times New Roman" w:cs="Times New Roman"/>
        </w:rPr>
        <w:footnoteReference w:id="29"/>
      </w:r>
      <w:r>
        <w:rPr>
          <w:rFonts w:ascii="Times New Roman" w:hAnsi="Times New Roman" w:cs="Times New Roman"/>
        </w:rPr>
        <w:t xml:space="preserve"> Whilst often taken as a pre-determined given, the process through which British India’s administrative boundaries were formed had important implications upon whether an individual residing in a certain village or town constituted part of a majority or minority community in a particular electoral constituency, administrative district, or province, as well as at the all-India level. The interwar period also encouraged the ‘provincialisation’ of Indian politics, in which the provinces of British India emerged as an alternative scale and (semi-) autonomous spaces with some limited forms of political responsibility. Within this changing political environment, we might see provincial boundaries as emerging as a new kind of institutional framework, in which different communities now entered into competition with one another over the distribution of state patronage and resources and governmental representation.</w:t>
      </w:r>
      <w:r>
        <w:rPr>
          <w:rStyle w:val="FootnoteReference"/>
          <w:rFonts w:ascii="Times New Roman" w:hAnsi="Times New Roman" w:cs="Times New Roman"/>
        </w:rPr>
        <w:footnoteReference w:id="30"/>
      </w:r>
      <w:r>
        <w:rPr>
          <w:rFonts w:ascii="Times New Roman" w:hAnsi="Times New Roman" w:cs="Times New Roman"/>
        </w:rPr>
        <w:t xml:space="preserve"> Rather than just dwelling on the creation of separate electorates for Muslims across India, then, we might think about the way interwar provincialisation recast whole communities as majorities and minorities within the provinces, territorialising number in ways which often departed from the archetype of ‘Hindu majority, Muslim minority’ at the centre. As such, struggles to redraw provincial boundaries can be understood as attempts to recalibrate the advantages being conferred upon certain communities at the expense of others.</w:t>
      </w:r>
    </w:p>
    <w:p w14:paraId="56CBB373" w14:textId="77777777" w:rsidR="00ED4617"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For our purposes, this context is particularly significant when considering the debates leading up to the publication of the Nehru Report in August 1928. At this juncture, Jinnah undertook to give up the aforementioned separate electorates, which Muslims had first received under the Morley-Minto Reforms of 1909. In return, Jinnah and thirty other prominent Muslim politicians made a number of relatively new demands that came to be known as the Delhi Muslim Proposals, three of which are indicative of the importance of ‘provincialisation’, and the way in which these proposals might be seen as an antecedent to certain iterations of the Pakistan demand. First, they maintained that the Muslim-majority area of Sind should be separated from the rest of Bombay Presidency, of which it had been a part since 1847, shortly after its annexation by British forces. Second, they suggested that Baluchistan and the Northwest Frontier, again Muslim-majority areas, should be accorded full provincial status, rather than being ruled directly by the British from the centre as part of a chief commissionership. Finally, they recommended that a system of proportional representation on communal lines be introduced in the Muslim-majority provinces of Bengal and Punjab.</w:t>
      </w:r>
      <w:r>
        <w:rPr>
          <w:rStyle w:val="FootnoteReference"/>
          <w:rFonts w:ascii="Times New Roman" w:hAnsi="Times New Roman" w:cs="Times New Roman"/>
        </w:rPr>
        <w:footnoteReference w:id="31"/>
      </w:r>
    </w:p>
    <w:p w14:paraId="5FB014AC" w14:textId="77777777" w:rsidR="00ED4617" w:rsidRPr="00F63D91"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The Delhi Muslim Proposals suggest that at least some members of the League were already attempting to escape the strictures of minority status, which they argued placed them in perpetual subordination to the Hindu majority. Instead, they claimed the status of a communal majority themselves in the provinces of the northeast and northwest by the late 1920s. The creation of Sind, Baluchistan and Northwest Frontier as distinct provinces in their own right would take the number of Muslim-majority provinces to five, counterbalanced against the seven Hindu-majority provinces of British India. Equally, proportional representation would perpetuate Muslim dominance within the provincial legislatures in Punjab and Bengal. Significantly, the Proposals also abandoned the principle of ‘weightage’, which had been created by the British in 1909 to acknowledge the community’s political influence and as compensation for their demographic status.</w:t>
      </w:r>
      <w:r>
        <w:rPr>
          <w:rStyle w:val="FootnoteReference"/>
          <w:rFonts w:ascii="Times New Roman" w:hAnsi="Times New Roman" w:cs="Times New Roman"/>
        </w:rPr>
        <w:footnoteReference w:id="32"/>
      </w:r>
      <w:r>
        <w:rPr>
          <w:rFonts w:ascii="Times New Roman" w:hAnsi="Times New Roman" w:cs="Times New Roman"/>
        </w:rPr>
        <w:t xml:space="preserve"> Weightage had previously served to particularly enhance Muslim representation in the councils and legislatures of Muslim-minority provinces. Its proposed abolition, then, was part of a broader shift towards acknowledging the significance of territorial claims on the basis of their majority status as a means to better secure Muslim representation. Although ultimately rejected by the authors of the Nehru Report, who also raised concerns about the devolution of power to the provinces, elements of the proposals did find their way into the new Government of India Act of 1935. Under its instruction, the new Muslim-majority province of Sind was separated from Bombay Presidency on 1 April 1936, despite protestations from both Hindu nationalist parties and local Sindhi-speaking Hindus.</w:t>
      </w:r>
    </w:p>
    <w:p w14:paraId="3693A9B8" w14:textId="77777777" w:rsidR="00ED4617" w:rsidRPr="004A3FC9" w:rsidRDefault="00ED4617" w:rsidP="00ED4617">
      <w:pPr>
        <w:pStyle w:val="Heading2"/>
        <w:spacing w:after="240" w:line="480" w:lineRule="auto"/>
        <w:jc w:val="both"/>
        <w:rPr>
          <w:rFonts w:ascii="Times New Roman" w:hAnsi="Times New Roman" w:cs="Times New Roman"/>
          <w:color w:val="auto"/>
          <w:sz w:val="24"/>
          <w:szCs w:val="24"/>
        </w:rPr>
      </w:pPr>
      <w:r w:rsidRPr="004A3FC9">
        <w:rPr>
          <w:rFonts w:ascii="Times New Roman" w:hAnsi="Times New Roman" w:cs="Times New Roman"/>
          <w:color w:val="auto"/>
          <w:sz w:val="24"/>
          <w:szCs w:val="24"/>
        </w:rPr>
        <w:t xml:space="preserve">The Making of a </w:t>
      </w:r>
      <w:r>
        <w:rPr>
          <w:rFonts w:ascii="Times New Roman" w:hAnsi="Times New Roman" w:cs="Times New Roman"/>
          <w:color w:val="auto"/>
          <w:sz w:val="24"/>
          <w:szCs w:val="24"/>
        </w:rPr>
        <w:t>Maratha Majority</w:t>
      </w:r>
    </w:p>
    <w:p w14:paraId="59E2D0C8" w14:textId="4EC7F1FE" w:rsidR="00ED4617" w:rsidRDefault="00ED4617" w:rsidP="00ED4617">
      <w:pPr>
        <w:spacing w:after="200" w:line="480" w:lineRule="auto"/>
        <w:jc w:val="both"/>
        <w:rPr>
          <w:rFonts w:ascii="Times New Roman" w:hAnsi="Times New Roman" w:cs="Times New Roman"/>
        </w:rPr>
      </w:pPr>
      <w:r>
        <w:rPr>
          <w:rFonts w:ascii="Times New Roman" w:hAnsi="Times New Roman" w:cs="Times New Roman"/>
        </w:rPr>
        <w:t>The decision to separate Sind makes it clear that number was being territorialised in the apparent democratic interests of different religious communities under the new constitutional arrangements.</w:t>
      </w:r>
      <w:r>
        <w:rPr>
          <w:rStyle w:val="FootnoteReference"/>
          <w:rFonts w:ascii="Times New Roman" w:hAnsi="Times New Roman" w:cs="Times New Roman"/>
        </w:rPr>
        <w:footnoteReference w:id="33"/>
      </w:r>
      <w:r>
        <w:rPr>
          <w:rFonts w:ascii="Times New Roman" w:hAnsi="Times New Roman" w:cs="Times New Roman"/>
        </w:rPr>
        <w:t xml:space="preserve"> However, the decision to separate Sind was always just one illustration of a broader discussion about the wholesale reorganisation of provincial administrative boundaries both within Bombay and elsewhere in India, which was capable of taking into consideration caste and linguistic demographics, too. This was most palpably evident in the decision to simultaneously bifurcate the province of Bihar and Orissa on linguistic lines under the 1935 Government of India Act.</w:t>
      </w:r>
      <w:r>
        <w:rPr>
          <w:rStyle w:val="FootnoteReference"/>
          <w:rFonts w:ascii="Times New Roman" w:hAnsi="Times New Roman" w:cs="Times New Roman"/>
        </w:rPr>
        <w:footnoteReference w:id="34"/>
      </w:r>
      <w:r>
        <w:rPr>
          <w:rFonts w:ascii="Times New Roman" w:hAnsi="Times New Roman" w:cs="Times New Roman"/>
        </w:rPr>
        <w:t xml:space="preserve"> But it was also apparent in the same period in the demand for the creation of Samyukta Karnatak in western India, which would bring together Kannada-speaking communities residing in the provinces of Bombay and Madras, as well as the princely states of Hyderabad and Mysore. Proponents of a unitary Kannada-speaking province had petitioned the British Raj for a new province where Kannada speakers would constitute the majority of the population since the constitutional negotiations of the late 1920s. However, they remained unsuccessful in their demands until the wholesale reorganisation of provincial administrative boundaries in southern and western India under the recommendations of the States Reorganisation Commission in 1956. Throughout this thirty-year period, they engaged with a nascent democracy as a form of majoritarian rule, in which reorganisation would be linked to protecting the interests of the majority community within the new province. As much was apparent in a letter from H.S. Kaujalgi to the </w:t>
      </w:r>
      <w:r>
        <w:rPr>
          <w:rFonts w:ascii="Times New Roman" w:hAnsi="Times New Roman" w:cs="Times New Roman"/>
          <w:i/>
        </w:rPr>
        <w:t>Bombay Chronicle</w:t>
      </w:r>
      <w:r>
        <w:rPr>
          <w:rFonts w:ascii="Times New Roman" w:hAnsi="Times New Roman" w:cs="Times New Roman"/>
        </w:rPr>
        <w:t xml:space="preserve"> anticipating the Karnatak Unification Conference in November 1936, </w:t>
      </w:r>
      <w:r w:rsidR="00616130">
        <w:rPr>
          <w:rFonts w:ascii="Times New Roman" w:hAnsi="Times New Roman" w:cs="Times New Roman"/>
        </w:rPr>
        <w:t>during</w:t>
      </w:r>
      <w:r>
        <w:rPr>
          <w:rFonts w:ascii="Times New Roman" w:hAnsi="Times New Roman" w:cs="Times New Roman"/>
        </w:rPr>
        <w:t xml:space="preserve"> which </w:t>
      </w:r>
      <w:r w:rsidR="00FD4311">
        <w:rPr>
          <w:rFonts w:ascii="Times New Roman" w:hAnsi="Times New Roman" w:cs="Times New Roman"/>
        </w:rPr>
        <w:t>he</w:t>
      </w:r>
      <w:r>
        <w:rPr>
          <w:rFonts w:ascii="Times New Roman" w:hAnsi="Times New Roman" w:cs="Times New Roman"/>
        </w:rPr>
        <w:t xml:space="preserve"> argued that, at present,</w:t>
      </w:r>
    </w:p>
    <w:p w14:paraId="6D7079CC" w14:textId="77777777" w:rsidR="00ED4617" w:rsidRDefault="00ED4617" w:rsidP="00ED4617">
      <w:pPr>
        <w:spacing w:after="200" w:line="480" w:lineRule="auto"/>
        <w:ind w:left="720" w:right="369"/>
        <w:jc w:val="both"/>
        <w:rPr>
          <w:rFonts w:ascii="Times New Roman" w:hAnsi="Times New Roman" w:cs="Times New Roman"/>
        </w:rPr>
      </w:pPr>
      <w:r>
        <w:rPr>
          <w:rFonts w:ascii="Times New Roman" w:hAnsi="Times New Roman" w:cs="Times New Roman"/>
        </w:rPr>
        <w:t>In Karnatak we have to keep the non-Kannada groups satisfied even at the sacrifice of our rights and principles. Some of them claim rights and privileges which they would never dream of conceding to the Kannada people in their own non-Kannada provinces. This successful tyranny of the minorities … will have to be extirpated for the good of the province as well as the whole nation.</w:t>
      </w:r>
      <w:r>
        <w:rPr>
          <w:rStyle w:val="FootnoteReference"/>
          <w:rFonts w:ascii="Times New Roman" w:hAnsi="Times New Roman" w:cs="Times New Roman"/>
        </w:rPr>
        <w:footnoteReference w:id="35"/>
      </w:r>
    </w:p>
    <w:p w14:paraId="0EFD6B97" w14:textId="780E17CB" w:rsidR="00ED4617" w:rsidRDefault="00ED4617" w:rsidP="00ED4617">
      <w:pPr>
        <w:spacing w:after="200" w:line="480" w:lineRule="auto"/>
        <w:jc w:val="both"/>
        <w:rPr>
          <w:rFonts w:ascii="Times New Roman" w:hAnsi="Times New Roman" w:cs="Times New Roman"/>
        </w:rPr>
      </w:pPr>
      <w:r>
        <w:rPr>
          <w:rFonts w:ascii="Times New Roman" w:hAnsi="Times New Roman" w:cs="Times New Roman"/>
        </w:rPr>
        <w:t xml:space="preserve">The majority status of Kannada speakers within these districts was here juxtaposed to the minority status of non-Kannada groups, particularly Marathi and Telugu speakers. As the letter to the </w:t>
      </w:r>
      <w:r>
        <w:rPr>
          <w:rFonts w:ascii="Times New Roman" w:hAnsi="Times New Roman" w:cs="Times New Roman"/>
          <w:i/>
        </w:rPr>
        <w:t>Bombay Chronicle</w:t>
      </w:r>
      <w:r>
        <w:rPr>
          <w:rFonts w:ascii="Times New Roman" w:hAnsi="Times New Roman" w:cs="Times New Roman"/>
        </w:rPr>
        <w:t xml:space="preserve"> therefore suggests, Muslim politicians and intellectuals were not the only community who strived to replace erstwhile commensurative practices as separate electorates and bureaucratic reservations. Such practices, constructed around the separate political representation of both demographic minorities and socially disadvantaged groups, were to be superseded in the democratic imagination of certain caste and linguistic groups in southern and western India by a majoritarian democratic logic linked to the axiom of ‘one man, one vote’. For those reimagining the provinces, such as the proponents of Samyukta Karnatak, the practical manifestation of universal suffrage actually prefigured the political dominance of a Kannada-speaking majority within this new territorial unit. For these groups, support for a new Kannada-speaking province would mean it was no longer necessary to draw upon their minority status in a larger, composite Bombay Province, as they would become a majority in the new province. At the same time, the redrawing of boundaries would inevitably create new provincial minorities, who would face hostility from the new majority, particularly if this new majority interpreted democracy at the provincial level as designed to work in their interests, as the above quote from Kaujalgi suggests.</w:t>
      </w:r>
    </w:p>
    <w:p w14:paraId="2B1549A9" w14:textId="263E5D38" w:rsidR="00ED4617"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Unlike the demand for Samyukta Karnatak, the desire for Samyukta Maharashtra was comparatively sluggish.</w:t>
      </w:r>
      <w:r w:rsidR="001A00C1">
        <w:rPr>
          <w:rStyle w:val="FootnoteReference"/>
          <w:rFonts w:ascii="Times New Roman" w:hAnsi="Times New Roman" w:cs="Times New Roman"/>
        </w:rPr>
        <w:footnoteReference w:id="36"/>
      </w:r>
      <w:r>
        <w:rPr>
          <w:rFonts w:ascii="Times New Roman" w:hAnsi="Times New Roman" w:cs="Times New Roman"/>
        </w:rPr>
        <w:t xml:space="preserve"> Although Marathi novelists, playwrights and filmmakers articulated the demand as early as the 1920s, it was not a conspicuous element of political sloganeering amongst Maharashtrian politicians until an impending independence during the early 1940s. Yet we can trace a similar pattern to that evident in the demands for Samyukta Karnatak and Muslim majority provinces as espoused by representatives of the Maratha caste of western India over the same period. Focusing on caste in the context of demands for linguistic reorganisation might seem counterintuitive, yet demands for new provinces in southern and western India (and more recently in the context of the creation Uttarakhand, Chhattisgarh and Jharkhand in the north</w:t>
      </w:r>
      <w:r>
        <w:rPr>
          <w:rStyle w:val="FootnoteReference"/>
          <w:rFonts w:ascii="Times New Roman" w:hAnsi="Times New Roman" w:cs="Times New Roman"/>
        </w:rPr>
        <w:footnoteReference w:id="37"/>
      </w:r>
      <w:r>
        <w:rPr>
          <w:rFonts w:ascii="Times New Roman" w:hAnsi="Times New Roman" w:cs="Times New Roman"/>
        </w:rPr>
        <w:t>) frequently came to be premised on politicised caste identities. In fact, the supposed homogeneity of particular districts in Bombay, and the later provinces of Gujarat, Karnataka and Maharashtra that in part emerged out of them, was not only premised on language, but was also reflected in terms of caste. Whilst the Maratha-Kunbi cluster made up the majority caste community of rural Maharashtra in central Bombay, the Patidar-Kanbi caste cluster predominated in the northern Gujarati-speaking districts of Bombay, and the Lingayat caste</w:t>
      </w:r>
      <w:r w:rsidR="00000D26">
        <w:rPr>
          <w:rFonts w:ascii="Times New Roman" w:hAnsi="Times New Roman" w:cs="Times New Roman"/>
        </w:rPr>
        <w:t xml:space="preserve"> was the largest</w:t>
      </w:r>
      <w:r>
        <w:rPr>
          <w:rFonts w:ascii="Times New Roman" w:hAnsi="Times New Roman" w:cs="Times New Roman"/>
        </w:rPr>
        <w:t xml:space="preserve"> in Kannada-speaking southern districts. In Maharashtra, maybe as an outcome of its comparative lack of linguistic and religious diversity, conflicts between social groups were principally organised on the basis of caste, and in particular, to counter the Brahman’s social and political dominance. These criticisms of caste hierarchy and Brahmanism date back to the </w:t>
      </w:r>
      <w:r>
        <w:rPr>
          <w:rFonts w:ascii="Times New Roman" w:hAnsi="Times New Roman" w:cs="Times New Roman"/>
          <w:i/>
        </w:rPr>
        <w:t>bhakti</w:t>
      </w:r>
      <w:r>
        <w:rPr>
          <w:rFonts w:ascii="Times New Roman" w:hAnsi="Times New Roman" w:cs="Times New Roman"/>
        </w:rPr>
        <w:t xml:space="preserve"> movements of medieval Maharashtra.</w:t>
      </w:r>
      <w:r>
        <w:rPr>
          <w:rStyle w:val="FootnoteReference"/>
          <w:rFonts w:ascii="Times New Roman" w:hAnsi="Times New Roman" w:cs="Times New Roman"/>
        </w:rPr>
        <w:footnoteReference w:id="38"/>
      </w:r>
      <w:r>
        <w:rPr>
          <w:rFonts w:ascii="Times New Roman" w:hAnsi="Times New Roman" w:cs="Times New Roman"/>
        </w:rPr>
        <w:t xml:space="preserve"> However, it was under Jotirao Phule (1827-1890), a British educated low caste social reformer, that it came to be related to demographics. Phule coined the term </w:t>
      </w:r>
      <w:r>
        <w:rPr>
          <w:rFonts w:ascii="Times New Roman" w:hAnsi="Times New Roman" w:cs="Times New Roman"/>
          <w:i/>
        </w:rPr>
        <w:t>bahujan samaj</w:t>
      </w:r>
      <w:r>
        <w:rPr>
          <w:rFonts w:ascii="Times New Roman" w:hAnsi="Times New Roman" w:cs="Times New Roman"/>
        </w:rPr>
        <w:t xml:space="preserve"> (‘people in the majority’), a term that not only shaped the shifting politics of non-Brahmanism in late colonial Maharashtra but also highlighted ‘the overrepresentation of the Brahmin minority in educational and bureaucratic contexts’.</w:t>
      </w:r>
      <w:r>
        <w:rPr>
          <w:rStyle w:val="FootnoteReference"/>
          <w:rFonts w:ascii="Times New Roman" w:hAnsi="Times New Roman" w:cs="Times New Roman"/>
        </w:rPr>
        <w:footnoteReference w:id="39"/>
      </w:r>
      <w:r>
        <w:rPr>
          <w:rFonts w:ascii="Times New Roman" w:hAnsi="Times New Roman" w:cs="Times New Roman"/>
        </w:rPr>
        <w:t xml:space="preserve"> Phule preferred this term to the more ambiguous ‘Maratha’, which could be understood to refer to</w:t>
      </w:r>
      <w:r w:rsidR="00000D26">
        <w:rPr>
          <w:rFonts w:ascii="Times New Roman" w:hAnsi="Times New Roman" w:cs="Times New Roman"/>
        </w:rPr>
        <w:t>: all Marathi speakers;</w:t>
      </w:r>
      <w:r>
        <w:rPr>
          <w:rFonts w:ascii="Times New Roman" w:hAnsi="Times New Roman" w:cs="Times New Roman"/>
        </w:rPr>
        <w:t xml:space="preserve"> all Marathi-speaking non-Brahma</w:t>
      </w:r>
      <w:r w:rsidR="00000D26">
        <w:rPr>
          <w:rFonts w:ascii="Times New Roman" w:hAnsi="Times New Roman" w:cs="Times New Roman"/>
        </w:rPr>
        <w:t>ns;</w:t>
      </w:r>
      <w:r>
        <w:rPr>
          <w:rFonts w:ascii="Times New Roman" w:hAnsi="Times New Roman" w:cs="Times New Roman"/>
        </w:rPr>
        <w:t xml:space="preserve"> Kshatriya</w:t>
      </w:r>
      <w:r w:rsidR="00000D26">
        <w:rPr>
          <w:rFonts w:ascii="Times New Roman" w:hAnsi="Times New Roman" w:cs="Times New Roman"/>
        </w:rPr>
        <w:t xml:space="preserve"> families with ‘princely blood’;</w:t>
      </w:r>
      <w:r>
        <w:rPr>
          <w:rFonts w:ascii="Times New Roman" w:hAnsi="Times New Roman" w:cs="Times New Roman"/>
        </w:rPr>
        <w:t xml:space="preserve"> or an amorphous agricultural caste cluster incorporating the Marathas and Kunbis. As a member of the low-caste Mali (gardener) community, Phule was concerned about latent schisms within the non-Brahman movement between other lower castes and the Maratha-Kunbis if the term ‘Maratha’ was employed.</w:t>
      </w:r>
    </w:p>
    <w:p w14:paraId="6AB7AF02" w14:textId="77777777" w:rsidR="00ED4617"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After Phule’s death, Shahu II, the Maharaja of Kolhapur (r. 1894-1922), became the preeminent leader of the non-Brahman movement. Shahu showed less concern about employing such terminology, and by the start of the interwar era, was protesting the decision not to award separate representation to his Maratha caste fellows in British India under the Montagu-Chelmsford Reforms of 1919. In a note to the Government of India in April 1920, he drew upon evidence of Maratha military participation in the Great War to complain, ‘We have fought for our Empire and Emperor even better than the Sikhs and the Mahomedans … Still the Sikhs and Mohamedans are given separate electorates which are denied to the Mahrattas’.</w:t>
      </w:r>
      <w:r>
        <w:rPr>
          <w:rStyle w:val="FootnoteReference"/>
          <w:rFonts w:ascii="Times New Roman" w:hAnsi="Times New Roman" w:cs="Times New Roman"/>
        </w:rPr>
        <w:footnoteReference w:id="40"/>
      </w:r>
      <w:r>
        <w:rPr>
          <w:rFonts w:ascii="Times New Roman" w:hAnsi="Times New Roman" w:cs="Times New Roman"/>
        </w:rPr>
        <w:t xml:space="preserve"> Shahu and other Maratha representatives, particularly as they coalesced around elite interests in a new Non-Brahman Party, believed separate representation was necessary to counter the dominance of Brahmans within the legislature and bureaucracy within Bombay.</w:t>
      </w:r>
    </w:p>
    <w:p w14:paraId="23C1DF08" w14:textId="77777777" w:rsidR="00ED4617"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During the nineteenth century, Brahman ascendancy had existed behind a smokescreen of British liberalism – seemingly providing equal access to education, whilst widening opportunities for administrative and political power amongst previously marginalised social groups, in reality British rule had created prospects primarily for those who could already read and write. The Bombay Government’s implicit stress on a Brahmanic Hinduism, coupled with ‘[t]he old association of the higher castes with the skills of literacy[,] gave them a much greater flexibility and readiness to exploit these new possibilities than was possessed of any of western India’s agricultural or urban lower castes’.</w:t>
      </w:r>
      <w:r>
        <w:rPr>
          <w:rStyle w:val="FootnoteReference"/>
          <w:rFonts w:ascii="Times New Roman" w:hAnsi="Times New Roman" w:cs="Times New Roman"/>
        </w:rPr>
        <w:footnoteReference w:id="41"/>
      </w:r>
      <w:r>
        <w:rPr>
          <w:rFonts w:ascii="Times New Roman" w:hAnsi="Times New Roman" w:cs="Times New Roman"/>
        </w:rPr>
        <w:t xml:space="preserve"> In 1884, for example, out of 109 students in the Deccan College at Poona, 107 were Brahmans, despite the fact that they constituted only four per cent of the population in the region.</w:t>
      </w:r>
      <w:r>
        <w:rPr>
          <w:rStyle w:val="FootnoteReference"/>
          <w:rFonts w:ascii="Times New Roman" w:hAnsi="Times New Roman" w:cs="Times New Roman"/>
        </w:rPr>
        <w:footnoteReference w:id="42"/>
      </w:r>
      <w:r>
        <w:rPr>
          <w:rFonts w:ascii="Times New Roman" w:hAnsi="Times New Roman" w:cs="Times New Roman"/>
        </w:rPr>
        <w:t xml:space="preserve"> Similar statistics reflected the composition of the provincial administrative services. In 1887 the Public Services Commission found that 41.25 per cent of the deputy collectors, 75.5 per cent of the mamlatdars (administrative heads of sub-districts) and 70 out of 104 subordinate judges were Brahmans in the Bombay Presidency.</w:t>
      </w:r>
      <w:r>
        <w:rPr>
          <w:rStyle w:val="FootnoteReference"/>
          <w:rFonts w:ascii="Times New Roman" w:hAnsi="Times New Roman" w:cs="Times New Roman"/>
        </w:rPr>
        <w:footnoteReference w:id="43"/>
      </w:r>
      <w:r>
        <w:rPr>
          <w:rFonts w:ascii="Times New Roman" w:hAnsi="Times New Roman" w:cs="Times New Roman"/>
        </w:rPr>
        <w:t xml:space="preserve"> However, by the early twentieth century, the prominence of Brahmans within Bombay’s administrative and educative apparatus had declined dramatically.</w:t>
      </w:r>
    </w:p>
    <w:p w14:paraId="5F9600AF" w14:textId="09D99334" w:rsidR="00ED4617"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Despite the ascendancy of Brahmans within nineteenth-century colonial Bombay, liberal forms and democratic language had encouraged the questioning of the continuation of such dominance amongst non-Brahman community leaders. We can place Shahu’s petition to the Government of India in this context. His petition failed to spark a shift in the official mind-set regarding separate electorates for Marathas. But it did lead to those responsible for the 1919 reforms creating seven reserved seats for a novel category of ‘Marathas and Allied Castes’ within the ‘General’ (i.e. Hindu) electorate in the Bombay provincial legislature. The reservations were justified not only as a consequence of the historic underrepresentation of Marathas at the hands of the Brahmans, but significantly, also on the basis of their ‘numbers and importance’.</w:t>
      </w:r>
      <w:r>
        <w:rPr>
          <w:rStyle w:val="FootnoteReference"/>
          <w:rFonts w:ascii="Times New Roman" w:hAnsi="Times New Roman" w:cs="Times New Roman"/>
        </w:rPr>
        <w:footnoteReference w:id="44"/>
      </w:r>
      <w:r>
        <w:rPr>
          <w:rFonts w:ascii="Times New Roman" w:hAnsi="Times New Roman" w:cs="Times New Roman"/>
        </w:rPr>
        <w:t xml:space="preserve"> During the 1920s, then, Marathas rapidly replaced Brahmans within district local boards, and increasingly employed these positions of authority to exert influence over civil service appointments, both within the bureaucracy and in education.</w:t>
      </w:r>
      <w:r>
        <w:rPr>
          <w:rStyle w:val="FootnoteReference"/>
          <w:rFonts w:ascii="Times New Roman" w:hAnsi="Times New Roman" w:cs="Times New Roman"/>
        </w:rPr>
        <w:footnoteReference w:id="45"/>
      </w:r>
      <w:r>
        <w:rPr>
          <w:rFonts w:ascii="Times New Roman" w:hAnsi="Times New Roman" w:cs="Times New Roman"/>
        </w:rPr>
        <w:t xml:space="preserve"> In February 1925, the Collector of Satara revealed that elections to the local board in Khanapur </w:t>
      </w:r>
      <w:r>
        <w:rPr>
          <w:rFonts w:ascii="Times New Roman" w:hAnsi="Times New Roman" w:cs="Times New Roman"/>
          <w:i/>
        </w:rPr>
        <w:t xml:space="preserve">taluka </w:t>
      </w:r>
      <w:r>
        <w:rPr>
          <w:rFonts w:ascii="Times New Roman" w:hAnsi="Times New Roman" w:cs="Times New Roman"/>
        </w:rPr>
        <w:t>(sub-district) had resulted ‘in a complete victory for the non-Brahmans who secured all the seats. Elated by their success they were carried beyond the bounds of discretion and commenced a campaign of abuse against the Brahmins, especially against the local officials’.</w:t>
      </w:r>
      <w:r>
        <w:rPr>
          <w:rStyle w:val="FootnoteReference"/>
          <w:rFonts w:ascii="Times New Roman" w:hAnsi="Times New Roman" w:cs="Times New Roman"/>
        </w:rPr>
        <w:footnoteReference w:id="46"/>
      </w:r>
      <w:r>
        <w:rPr>
          <w:rFonts w:ascii="Times New Roman" w:hAnsi="Times New Roman" w:cs="Times New Roman"/>
        </w:rPr>
        <w:t xml:space="preserve"> When some Brahman officers reacted to the insults, the Collector felt compelled to relocate the wayward administrators. The growing political clout of this community was not necessarily always a direct consequence of these rather limited reservations, but was instead frequently linked to the emergence of a Maratha demographic majority in the context of their gradual enfranchisement </w:t>
      </w:r>
      <w:r w:rsidR="00000D26">
        <w:rPr>
          <w:rFonts w:ascii="Times New Roman" w:hAnsi="Times New Roman" w:cs="Times New Roman"/>
        </w:rPr>
        <w:t>since</w:t>
      </w:r>
      <w:bookmarkStart w:id="0" w:name="_GoBack"/>
      <w:bookmarkEnd w:id="0"/>
      <w:r>
        <w:rPr>
          <w:rFonts w:ascii="Times New Roman" w:hAnsi="Times New Roman" w:cs="Times New Roman"/>
        </w:rPr>
        <w:t xml:space="preserve"> the 1919 reforms. It was in this context that the continuation of reserved seats for the Marathas and ‘Allied Castes’ was contemplated and considered by Maratha representatives ahead of the next round of constitution making in the late 1920s and early 1930s.</w:t>
      </w:r>
    </w:p>
    <w:p w14:paraId="18A51E0E" w14:textId="77777777" w:rsidR="00ED4617" w:rsidRPr="005C2849"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Interestingly, leading Maratha politicians expressed ambivalence when consulted about the continuation of reserved seats. This paralleled the aforementioned willingness of Jinnah and some other members of the League to give up separate electorates in the context of the Delhi Muslim Proposals. For example, Maratha representatives at the Bombay Provincial Non-Brahman Conference in May 1931 were prepared to support a resolution which read, ‘The Marathas have sufficiently organised themselves and being larger in number as a group than any individual caste of the Allied Castes group, do not require any more this protection, nor do they ask for it for the future’.</w:t>
      </w:r>
      <w:r>
        <w:rPr>
          <w:rStyle w:val="FootnoteReference"/>
          <w:rFonts w:ascii="Times New Roman" w:hAnsi="Times New Roman" w:cs="Times New Roman"/>
        </w:rPr>
        <w:footnoteReference w:id="47"/>
      </w:r>
      <w:r>
        <w:rPr>
          <w:rFonts w:ascii="Times New Roman" w:hAnsi="Times New Roman" w:cs="Times New Roman"/>
        </w:rPr>
        <w:t xml:space="preserve"> As the resolution suggests, many Marathas had come to recognise that democratisation could be considered a portent for a form of majoritarianism within Marathi-speaking districts and electoral wards, where their sheer numbers made it most likely that Maratha representatives would be hired or elected. As a result, commensurative practices to equalise their status based upon their apparent ‘backwardness’ in comparison with the Brahman were increasingly deemed unnecessary. Rather, the Marathas could rely upon their demographic weight to secure power in the district. From this position, it was but a small step to demanding provincial reorganisation on linguistic lines, in which these forms of more localised Maratha majoritarianism could be extrapolated out and territorialised at the provincial level.</w:t>
      </w:r>
    </w:p>
    <w:p w14:paraId="53903108" w14:textId="77777777" w:rsidR="00ED4617" w:rsidRDefault="00ED4617" w:rsidP="00ED4617">
      <w:pPr>
        <w:spacing w:after="200" w:line="480" w:lineRule="auto"/>
        <w:jc w:val="both"/>
        <w:rPr>
          <w:rFonts w:ascii="Times New Roman" w:hAnsi="Times New Roman" w:cs="Times New Roman"/>
          <w:b/>
        </w:rPr>
      </w:pPr>
      <w:r>
        <w:rPr>
          <w:rFonts w:ascii="Times New Roman" w:hAnsi="Times New Roman" w:cs="Times New Roman"/>
          <w:b/>
        </w:rPr>
        <w:t>A Federal Moment?</w:t>
      </w:r>
    </w:p>
    <w:p w14:paraId="5DB5DE2A" w14:textId="61203E16" w:rsidR="00ED4617" w:rsidRDefault="00ED4617" w:rsidP="00ED4617">
      <w:pPr>
        <w:spacing w:after="200" w:line="480" w:lineRule="auto"/>
        <w:jc w:val="both"/>
        <w:rPr>
          <w:rFonts w:ascii="Times New Roman" w:hAnsi="Times New Roman" w:cs="Times New Roman"/>
        </w:rPr>
      </w:pPr>
      <w:r>
        <w:rPr>
          <w:rFonts w:ascii="Times New Roman" w:hAnsi="Times New Roman" w:cs="Times New Roman"/>
        </w:rPr>
        <w:t>It was the changed circumstances of the 1940s that brought many Maratha politicians towards advocating provincial reorganisation. Much like the idea of Pakistan, demands for reorganisation in western India were considered by their proponents as now all the more pressing, particularly in the period after the Cripps Mission of 1942, which had committed Britain to the realisation of full self-government for India after the war. In the context of an impending independence, it was believed that autonomous administrative spheres for different communities would best represent the true meaning of political freedom. It was in this context that Maratha politicians who had carved out political opportunities for themselves at the district level now looked to exert greater influence over new provincial spaces.</w:t>
      </w:r>
      <w:r w:rsidR="001A00C1">
        <w:rPr>
          <w:rStyle w:val="FootnoteReference"/>
          <w:rFonts w:ascii="Times New Roman" w:hAnsi="Times New Roman" w:cs="Times New Roman"/>
        </w:rPr>
        <w:footnoteReference w:id="48"/>
      </w:r>
      <w:r>
        <w:rPr>
          <w:rFonts w:ascii="Times New Roman" w:hAnsi="Times New Roman" w:cs="Times New Roman"/>
        </w:rPr>
        <w:t xml:space="preserve"> In December 1945, for example, we find the Maratha politician D.A. Surve contacting Lord Scarborough, the former Governor of Bombay Province, on the following pretext:</w:t>
      </w:r>
    </w:p>
    <w:p w14:paraId="2518DE6E" w14:textId="77777777" w:rsidR="00ED4617" w:rsidRDefault="00ED4617" w:rsidP="00ED4617">
      <w:pPr>
        <w:spacing w:after="200" w:line="480" w:lineRule="auto"/>
        <w:ind w:left="720" w:right="369"/>
        <w:jc w:val="both"/>
        <w:rPr>
          <w:rFonts w:ascii="Times New Roman" w:hAnsi="Times New Roman" w:cs="Times New Roman"/>
        </w:rPr>
      </w:pPr>
      <w:r>
        <w:rPr>
          <w:rFonts w:ascii="Times New Roman" w:hAnsi="Times New Roman" w:cs="Times New Roman"/>
        </w:rPr>
        <w:t>I am venturing to seek your help towards advancing the claim of the Marathas and the Marathi Speaking peoples for the creation of a Province for the people speaking the Marathi language … It would be a political tragedy if the Marathas … are thrown to the wolves as it were and reduced to the position of serfdom for all time … I feel that the Marathas have a right to claim Your Lordship’s moral and political support to help them attain a political position in the map of future India.</w:t>
      </w:r>
      <w:r>
        <w:rPr>
          <w:rStyle w:val="FootnoteReference"/>
          <w:rFonts w:ascii="Times New Roman" w:hAnsi="Times New Roman" w:cs="Times New Roman"/>
        </w:rPr>
        <w:footnoteReference w:id="49"/>
      </w:r>
    </w:p>
    <w:p w14:paraId="4619EE63" w14:textId="77777777" w:rsidR="00ED4617" w:rsidRPr="007B46ED" w:rsidRDefault="00ED4617" w:rsidP="00ED4617">
      <w:pPr>
        <w:spacing w:after="200" w:line="480" w:lineRule="auto"/>
        <w:jc w:val="both"/>
        <w:rPr>
          <w:rFonts w:ascii="Times New Roman" w:hAnsi="Times New Roman" w:cs="Times New Roman"/>
        </w:rPr>
      </w:pPr>
      <w:r>
        <w:rPr>
          <w:rFonts w:ascii="Times New Roman" w:hAnsi="Times New Roman" w:cs="Times New Roman"/>
        </w:rPr>
        <w:t>By this date, then, the demand for separate electorates for the Marathas articulated by the Maharaja of Kolhapur a quarter of a century earlier had been abandoned, to be replaced by the new demand for an autonomous Marathi-speaking province. As well as marking the shift from commensurative to majoritarian democratic logic, the demand for reorganisation was framed on the basis that not only Marathas, but also Marathi speakers, made up a majority of the inhabitants within this particular part of western India. References to linguistic demographics reflected a relative thawing of relations between Maharashtrian Brahmans and non-Brahmans during the 1930s, which meant that the Samyukta Maharashtra movement was capable of encompassing both groups. This détente was a consequence of a number of factors, including a shift within the provincial Congress away from principally representing the interests of urban Maharashtrian Brahmans, as well as attempts to position the party at an all-India level as a more representative and accountable organisation under Gandhi’s leadership, capable of epitomising manifestations of regional sentiment.</w:t>
      </w:r>
      <w:r>
        <w:rPr>
          <w:rStyle w:val="FootnoteReference"/>
          <w:rFonts w:ascii="Times New Roman" w:hAnsi="Times New Roman" w:cs="Times New Roman"/>
        </w:rPr>
        <w:footnoteReference w:id="50"/>
      </w:r>
      <w:r>
        <w:rPr>
          <w:rFonts w:ascii="Times New Roman" w:hAnsi="Times New Roman" w:cs="Times New Roman"/>
        </w:rPr>
        <w:t xml:space="preserve"> As non-Brahmans (and particularly Marathas) increasingly joined the provincial Congress in this more relaxed and popular climate, a degree of consensus between Brahmans and Marathas over their regional identity emerged. This crystallised around the idea of the ‘Marathi </w:t>
      </w:r>
      <w:r>
        <w:rPr>
          <w:rFonts w:ascii="Times New Roman" w:hAnsi="Times New Roman" w:cs="Times New Roman"/>
          <w:i/>
        </w:rPr>
        <w:t>manus</w:t>
      </w:r>
      <w:r>
        <w:rPr>
          <w:rFonts w:ascii="Times New Roman" w:hAnsi="Times New Roman" w:cs="Times New Roman"/>
        </w:rPr>
        <w:t>’ (Marathi man), as ‘the modern incarnation of the historical Maratha’, a designation capable of encompassing both Maharashtrian Brahmans and non-Brahmans.</w:t>
      </w:r>
      <w:r>
        <w:rPr>
          <w:rStyle w:val="FootnoteReference"/>
          <w:rFonts w:ascii="Times New Roman" w:hAnsi="Times New Roman" w:cs="Times New Roman"/>
        </w:rPr>
        <w:footnoteReference w:id="51"/>
      </w:r>
    </w:p>
    <w:p w14:paraId="6BDB304B" w14:textId="77777777" w:rsidR="00ED4617" w:rsidRPr="007B46ED"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 xml:space="preserve">One such Maharashtrian Brahman who became one of the most vocal supporters of the demand for Samyukta Maharashtra was the noted Indian economist Dhananjay Ramchandra Gadgil. In the summer of 1947, Gadgil published a short book entitled </w:t>
      </w:r>
      <w:r>
        <w:rPr>
          <w:rFonts w:ascii="Times New Roman" w:hAnsi="Times New Roman" w:cs="Times New Roman"/>
          <w:i/>
        </w:rPr>
        <w:t>The Federal Problem in India</w:t>
      </w:r>
      <w:r>
        <w:rPr>
          <w:rFonts w:ascii="Times New Roman" w:hAnsi="Times New Roman" w:cs="Times New Roman"/>
        </w:rPr>
        <w:t xml:space="preserve">. Contained within this tract were his musings on the proposals of the Cabinet Mission Plan, which had travelled to India the previous year to discuss and broker an agreement between the Congress and the League for the transfer of power. By the time the tract was published, the course of events in India had seemingly rendered Gadgil’s ideas somewhat redundant. Between writing and publishing </w:t>
      </w:r>
      <w:r>
        <w:rPr>
          <w:rFonts w:ascii="Times New Roman" w:hAnsi="Times New Roman" w:cs="Times New Roman"/>
          <w:i/>
        </w:rPr>
        <w:t>The Federal Problem</w:t>
      </w:r>
      <w:r>
        <w:rPr>
          <w:rFonts w:ascii="Times New Roman" w:hAnsi="Times New Roman" w:cs="Times New Roman"/>
        </w:rPr>
        <w:t>, a decision had ultimately been reached to create two new separate and sovereign states out of British India, by as soon as August 1947. Despite this turn of events, Gadgil still hoped that his discussion of the Cabinet Mission’s proposals ‘may not be found entirely useless for an understanding of the continuing problems’.</w:t>
      </w:r>
      <w:r w:rsidRPr="007B46ED">
        <w:rPr>
          <w:rStyle w:val="FootnoteReference"/>
          <w:rFonts w:ascii="Times New Roman" w:hAnsi="Times New Roman" w:cs="Times New Roman"/>
        </w:rPr>
        <w:footnoteReference w:id="52"/>
      </w:r>
      <w:r>
        <w:rPr>
          <w:rFonts w:ascii="Times New Roman" w:hAnsi="Times New Roman" w:cs="Times New Roman"/>
        </w:rPr>
        <w:t xml:space="preserve"> Instead, he made reference to some of the other issues contained within his book, which he still deemed worthy of careful consideration for India’s future constitutional arrangements. ‘The problem of … the composition of federating units’, Gadgil argued, ‘now take the leading position’.</w:t>
      </w:r>
      <w:r w:rsidRPr="007B46ED">
        <w:rPr>
          <w:rStyle w:val="FootnoteReference"/>
          <w:rFonts w:ascii="Times New Roman" w:hAnsi="Times New Roman" w:cs="Times New Roman"/>
        </w:rPr>
        <w:footnoteReference w:id="53"/>
      </w:r>
    </w:p>
    <w:p w14:paraId="52D88F67" w14:textId="77777777" w:rsidR="00ED4617"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 xml:space="preserve">Within </w:t>
      </w:r>
      <w:r>
        <w:rPr>
          <w:rFonts w:ascii="Times New Roman" w:hAnsi="Times New Roman" w:cs="Times New Roman"/>
          <w:i/>
        </w:rPr>
        <w:t>The Federal Problem</w:t>
      </w:r>
      <w:r>
        <w:rPr>
          <w:rFonts w:ascii="Times New Roman" w:hAnsi="Times New Roman" w:cs="Times New Roman"/>
        </w:rPr>
        <w:t>, Gadgil had suggested that the existing provinces of British India had ‘no special relevance for the federating process’.</w:t>
      </w:r>
      <w:r>
        <w:rPr>
          <w:rStyle w:val="FootnoteReference"/>
          <w:rFonts w:ascii="Times New Roman" w:hAnsi="Times New Roman" w:cs="Times New Roman"/>
        </w:rPr>
        <w:footnoteReference w:id="54"/>
      </w:r>
      <w:r>
        <w:rPr>
          <w:rFonts w:ascii="Times New Roman" w:hAnsi="Times New Roman" w:cs="Times New Roman"/>
        </w:rPr>
        <w:t xml:space="preserve"> Created according to the whims and exigencies of colonial administrators during the slow expansion and consolidation of British authority in the late eighteenth and early nineteenth centuries, the current provincial units also skirted around ‘a panoply of exceptions’ to direct British rule (princely states, excluded and partially excluded areas, the territories of other European powers) and ultimately had no direct relevance to the wider public.</w:t>
      </w:r>
      <w:r>
        <w:rPr>
          <w:rStyle w:val="FootnoteReference"/>
          <w:rFonts w:ascii="Times New Roman" w:hAnsi="Times New Roman" w:cs="Times New Roman"/>
        </w:rPr>
        <w:footnoteReference w:id="55"/>
      </w:r>
      <w:r>
        <w:rPr>
          <w:rFonts w:ascii="Times New Roman" w:hAnsi="Times New Roman" w:cs="Times New Roman"/>
        </w:rPr>
        <w:t xml:space="preserve"> Gadgil argued that a new constitutional framework proposed by the Cabinet Mission, based around a federal scheme, provided a perfect opportunity through which to rethink the structure of the provinces, which would come to constitute independent India’s federating units. To have any sense of purchase, Gadgil reasoned, these units needed to be created on the basis ‘… of regions, the peoples of which are conscious of separate identity, i.e., as distinct from their neighbours and are conscious of a feeling of unity among themselves’.</w:t>
      </w:r>
      <w:r>
        <w:rPr>
          <w:rStyle w:val="FootnoteReference"/>
          <w:rFonts w:ascii="Times New Roman" w:hAnsi="Times New Roman" w:cs="Times New Roman"/>
        </w:rPr>
        <w:footnoteReference w:id="56"/>
      </w:r>
      <w:r>
        <w:rPr>
          <w:rFonts w:ascii="Times New Roman" w:hAnsi="Times New Roman" w:cs="Times New Roman"/>
        </w:rPr>
        <w:t xml:space="preserve"> In the context of the Cabinet Mission’s proposals, Gadgil adopted language and religion as the criteria around which the provinces within a federal India should be reorganised.</w:t>
      </w:r>
    </w:p>
    <w:p w14:paraId="59023A75" w14:textId="77777777" w:rsidR="00ED4617"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 xml:space="preserve">The majority status of Marathi speakers within what would become Maharashtra also had significant implications for Gadgil’s understanding of an independent India’s nascent democratic process. In another pamphlet, entitled </w:t>
      </w:r>
      <w:r>
        <w:rPr>
          <w:rFonts w:ascii="Times New Roman" w:hAnsi="Times New Roman" w:cs="Times New Roman"/>
          <w:i/>
        </w:rPr>
        <w:t>Federating India</w:t>
      </w:r>
      <w:r>
        <w:rPr>
          <w:rFonts w:ascii="Times New Roman" w:hAnsi="Times New Roman" w:cs="Times New Roman"/>
        </w:rPr>
        <w:t>, published slightly earlier in 1945, Gadgil had intimated that, ‘if, in the administrative unit constituted, the language of the bulk of the people is not also the language of all administration’, then democracy would be reduced to ‘a farce’. Conversely, if linguistic reorganisation were to be incorporated within the framing of independent India’s new constitution, Gadgil reasoned that this ‘handicap to the bulk of the people’ would be removed.</w:t>
      </w:r>
      <w:r>
        <w:rPr>
          <w:rStyle w:val="FootnoteReference"/>
          <w:rFonts w:ascii="Times New Roman" w:hAnsi="Times New Roman" w:cs="Times New Roman"/>
        </w:rPr>
        <w:footnoteReference w:id="57"/>
      </w:r>
      <w:r>
        <w:rPr>
          <w:rFonts w:ascii="Times New Roman" w:hAnsi="Times New Roman" w:cs="Times New Roman"/>
        </w:rPr>
        <w:t xml:space="preserve"> Accordingly, Gadgil believed that reorganisation provided security for standardised communities (caste, class, religion and other forms of difference amongst Marathi speakers were here elided) in their own semi-autonomous territorial entities, thereby privileging their particular claims and entitlements in a way that equated democratisation with a provincialized form of majority rule. As provided opportunities for particular communalised forms of majoritarian rule, the demand for Samyukta Maharashtra paralleled and overlapped with a similar understanding amongst some of its supporters of what Pakistan would entail, with ultimately significant consequences for minority communities residing in these spaces.</w:t>
      </w:r>
    </w:p>
    <w:p w14:paraId="458984C1" w14:textId="77777777" w:rsidR="00ED4617"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Drawing upon Frederick Cooper’s work on decolonisation in French West Africa, we might also see Gadgil’s musings on the Cabinet Mission proposals for an undivided India as part of a wider ‘federal moment’ in South Asia at this particular juncture, which captured the imaginations of European administrative personnel and a broad cross-section of educated Indian society.</w:t>
      </w:r>
      <w:r>
        <w:rPr>
          <w:rStyle w:val="FootnoteReference"/>
          <w:rFonts w:ascii="Times New Roman" w:hAnsi="Times New Roman" w:cs="Times New Roman"/>
        </w:rPr>
        <w:footnoteReference w:id="58"/>
      </w:r>
      <w:r>
        <w:rPr>
          <w:rFonts w:ascii="Times New Roman" w:hAnsi="Times New Roman" w:cs="Times New Roman"/>
        </w:rPr>
        <w:t xml:space="preserve"> By referring to this wider federal moment, I am not drawing a direct link to a longer history of federalism dating back to deliberations over the 1935 Government of India Act. Instead the focus here is on the broader ideas stimulated specifically in the context of the Cabinet Mission and its proposals, not just in relation to the demand for Pakistan, but encompassing ideas for federation and provincial reorganisation that took account of India’s social composition beyond the ‘Hindu-Muslim problem’. ‘It must be recognised’, argued Sir Frederick Burrows, the last British Governor of Bengal, writing in March 1946, ‘… that communal feelings, Provincial patriotism and, in their present set-up, the existence of the [Princely] States make anything but a rather loose federation, with the main functions of the administration located in the Provinces and States, impossible to contemplate’.</w:t>
      </w:r>
      <w:r>
        <w:rPr>
          <w:rStyle w:val="FootnoteReference"/>
          <w:rFonts w:ascii="Times New Roman" w:hAnsi="Times New Roman" w:cs="Times New Roman"/>
        </w:rPr>
        <w:footnoteReference w:id="59"/>
      </w:r>
      <w:r>
        <w:rPr>
          <w:rFonts w:ascii="Times New Roman" w:hAnsi="Times New Roman" w:cs="Times New Roman"/>
        </w:rPr>
        <w:t xml:space="preserve"> Like Gadgil, Burrows went on to argue ‘that there would have to be a very considerable alteration in Provincial boundaries if any such scheme were adopted …’.</w:t>
      </w:r>
      <w:r>
        <w:rPr>
          <w:rStyle w:val="FootnoteReference"/>
          <w:rFonts w:ascii="Times New Roman" w:hAnsi="Times New Roman" w:cs="Times New Roman"/>
        </w:rPr>
        <w:footnoteReference w:id="60"/>
      </w:r>
      <w:r>
        <w:rPr>
          <w:rFonts w:ascii="Times New Roman" w:hAnsi="Times New Roman" w:cs="Times New Roman"/>
        </w:rPr>
        <w:t xml:space="preserve"> Sir Francis Wylie, Governor of the United Provinces, summed up the conundrum succinctly: ‘The Indian problem is not therefore merely a matter of finding an accommodation between the Hindus and the Muslims … It involves, on the contrary, a reconstruction of the administrative fabric of the whole country to enable it to support the burden of independence’.</w:t>
      </w:r>
      <w:r>
        <w:rPr>
          <w:rStyle w:val="FootnoteReference"/>
          <w:rFonts w:ascii="Times New Roman" w:hAnsi="Times New Roman" w:cs="Times New Roman"/>
        </w:rPr>
        <w:footnoteReference w:id="61"/>
      </w:r>
      <w:r>
        <w:rPr>
          <w:rFonts w:ascii="Times New Roman" w:hAnsi="Times New Roman" w:cs="Times New Roman"/>
        </w:rPr>
        <w:t xml:space="preserve"> Representatives of other Indian communities were also articulating similarly federal solutions in the context of their own political interests. Master Tara Singh, leader of the Akali Dal and considered to be representative of Sikh interests, for example, argued ‘for [a] united India’ in April 1946, with ‘some form of autonomous Sikh State’.</w:t>
      </w:r>
      <w:r>
        <w:rPr>
          <w:rStyle w:val="FootnoteReference"/>
          <w:rFonts w:ascii="Times New Roman" w:hAnsi="Times New Roman" w:cs="Times New Roman"/>
        </w:rPr>
        <w:footnoteReference w:id="62"/>
      </w:r>
    </w:p>
    <w:p w14:paraId="47B6A951" w14:textId="77777777" w:rsidR="00ED4617"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 xml:space="preserve">Certain iterations of the idea of Pakistan might also be included in this wider federal moment. Of course, if we accept that the demand for Pakistan was entirely premised on the idea of partitioning India into two separate and sovereign nation-states, we cannot suggest that the idea of Pakistan can be included within this moment. Writing in </w:t>
      </w:r>
      <w:r w:rsidRPr="008C3A44">
        <w:rPr>
          <w:rFonts w:ascii="Times New Roman" w:hAnsi="Times New Roman" w:cs="Times New Roman"/>
          <w:i/>
        </w:rPr>
        <w:t>Harijan</w:t>
      </w:r>
      <w:r>
        <w:rPr>
          <w:rFonts w:ascii="Times New Roman" w:hAnsi="Times New Roman" w:cs="Times New Roman"/>
        </w:rPr>
        <w:t xml:space="preserve"> in </w:t>
      </w:r>
      <w:r w:rsidRPr="008C3A44">
        <w:rPr>
          <w:rFonts w:ascii="Times New Roman" w:hAnsi="Times New Roman" w:cs="Times New Roman"/>
        </w:rPr>
        <w:t>July</w:t>
      </w:r>
      <w:r>
        <w:rPr>
          <w:rFonts w:ascii="Times New Roman" w:hAnsi="Times New Roman" w:cs="Times New Roman"/>
        </w:rPr>
        <w:t xml:space="preserve"> 1942, for example, Gandhi had differentiated between the demand for Pakistan and the demand for Andhra, a linguistic province for Telugu speakers in southern India:</w:t>
      </w:r>
    </w:p>
    <w:p w14:paraId="458A7406" w14:textId="77777777" w:rsidR="00ED4617" w:rsidRDefault="00ED4617" w:rsidP="00ED4617">
      <w:pPr>
        <w:spacing w:after="200" w:line="480" w:lineRule="auto"/>
        <w:ind w:left="720" w:right="369"/>
        <w:jc w:val="both"/>
        <w:rPr>
          <w:rFonts w:ascii="Times New Roman" w:hAnsi="Times New Roman" w:cs="Times New Roman"/>
        </w:rPr>
      </w:pPr>
      <w:r>
        <w:rPr>
          <w:rFonts w:ascii="Times New Roman" w:hAnsi="Times New Roman" w:cs="Times New Roman"/>
        </w:rPr>
        <w:t>There can be no comparison between Pakistan and Andhra separation. The Andhra separation is a redistribution on a linguistic basis. The Andhras do not claim to be a separate nation having nothing in common with the rest of India. Pakistan on the other hand is a demand for carving out of India a portion to be treated as a wholly independent sovereign State. Thus there seems to be nothing common between the two.</w:t>
      </w:r>
      <w:r>
        <w:rPr>
          <w:rStyle w:val="FootnoteReference"/>
          <w:rFonts w:ascii="Times New Roman" w:hAnsi="Times New Roman" w:cs="Times New Roman"/>
        </w:rPr>
        <w:footnoteReference w:id="63"/>
      </w:r>
    </w:p>
    <w:p w14:paraId="6B91DDB9" w14:textId="77777777" w:rsidR="00ED4617" w:rsidRDefault="00ED4617" w:rsidP="00ED4617">
      <w:pPr>
        <w:spacing w:after="200" w:line="480" w:lineRule="auto"/>
        <w:jc w:val="both"/>
        <w:rPr>
          <w:rFonts w:ascii="Times New Roman" w:hAnsi="Times New Roman" w:cs="Times New Roman"/>
        </w:rPr>
      </w:pPr>
      <w:r>
        <w:rPr>
          <w:rFonts w:ascii="Times New Roman" w:hAnsi="Times New Roman" w:cs="Times New Roman"/>
        </w:rPr>
        <w:t>However, partition was not the only resolution to the Pakistan demand. Writing in his autobiography, Maulana Abul Kalam Azad, the leading Muslim representative within the Congress, claimed authorship of a federal solution to the Pakistan conundrum, which would ‘be so framed as to ensure complete autonomy to the provinces in as many subjects as possible’.</w:t>
      </w:r>
      <w:r>
        <w:rPr>
          <w:rStyle w:val="FootnoteReference"/>
          <w:rFonts w:ascii="Times New Roman" w:hAnsi="Times New Roman" w:cs="Times New Roman"/>
        </w:rPr>
        <w:footnoteReference w:id="64"/>
      </w:r>
      <w:r>
        <w:rPr>
          <w:rFonts w:ascii="Times New Roman" w:hAnsi="Times New Roman" w:cs="Times New Roman"/>
        </w:rPr>
        <w:t xml:space="preserve"> But Azad went further, reflecting that</w:t>
      </w:r>
    </w:p>
    <w:p w14:paraId="55F3F05A" w14:textId="77777777" w:rsidR="00ED4617" w:rsidRDefault="00ED4617" w:rsidP="00ED4617">
      <w:pPr>
        <w:spacing w:after="200" w:line="480" w:lineRule="auto"/>
        <w:ind w:left="720" w:right="369"/>
        <w:jc w:val="both"/>
        <w:rPr>
          <w:rFonts w:ascii="Times New Roman" w:hAnsi="Times New Roman" w:cs="Times New Roman"/>
        </w:rPr>
      </w:pPr>
      <w:r>
        <w:rPr>
          <w:rFonts w:ascii="Times New Roman" w:hAnsi="Times New Roman" w:cs="Times New Roman"/>
        </w:rPr>
        <w:t>I was also satisfied that even apart from communal considerations, this was the best political solution for a country like India. India is a vast country with a large population divided into more or less homogenous units which live in different provinces. It was necessary to assure to the provinces the largest possible measure of autonomy even on general considerations of constitutional propriety and practical administration.</w:t>
      </w:r>
      <w:r>
        <w:rPr>
          <w:rStyle w:val="FootnoteReference"/>
          <w:rFonts w:ascii="Times New Roman" w:hAnsi="Times New Roman" w:cs="Times New Roman"/>
        </w:rPr>
        <w:footnoteReference w:id="65"/>
      </w:r>
    </w:p>
    <w:p w14:paraId="0A588723" w14:textId="77777777" w:rsidR="00ED4617" w:rsidRDefault="00ED4617" w:rsidP="00ED4617">
      <w:pPr>
        <w:spacing w:after="200" w:line="480" w:lineRule="auto"/>
        <w:jc w:val="both"/>
        <w:rPr>
          <w:rFonts w:ascii="Times New Roman" w:hAnsi="Times New Roman" w:cs="Times New Roman"/>
        </w:rPr>
      </w:pPr>
      <w:r>
        <w:rPr>
          <w:rFonts w:ascii="Times New Roman" w:hAnsi="Times New Roman" w:cs="Times New Roman"/>
        </w:rPr>
        <w:t>According to Azad, it was the broad contours of his federal scheme that were eventually taken up and incorporated within the Cabinet Mission proposals, with the approval of Gandhi and the Congress. Azad claims only Vallabhbhai Patel objected to the scheme at the time, as he disliked the fact that ‘certain subjects like currency and finance’ would not ‘belong to the Central sphere’.</w:t>
      </w:r>
      <w:r>
        <w:rPr>
          <w:rStyle w:val="FootnoteReference"/>
          <w:rFonts w:ascii="Times New Roman" w:hAnsi="Times New Roman" w:cs="Times New Roman"/>
        </w:rPr>
        <w:footnoteReference w:id="66"/>
      </w:r>
      <w:r>
        <w:rPr>
          <w:rFonts w:ascii="Times New Roman" w:hAnsi="Times New Roman" w:cs="Times New Roman"/>
        </w:rPr>
        <w:t xml:space="preserve"> Equally, Jinnah himself accepted the Cabinet Mission proposals for a three-tiered formula based upon a confederal solution, and the Muslim League Council voted unanimously in its favour. This other possibility for Pakistan was part of a wider federal solution to the thorny issue of Indian independence that was imagined at this juncture, but which was not ultimately realised.</w:t>
      </w:r>
    </w:p>
    <w:p w14:paraId="01450669" w14:textId="2D26FA8C" w:rsidR="00ED4617" w:rsidRDefault="00ED4617" w:rsidP="00ED4617">
      <w:pPr>
        <w:spacing w:after="200" w:line="480" w:lineRule="auto"/>
        <w:ind w:firstLine="720"/>
        <w:jc w:val="both"/>
        <w:rPr>
          <w:rFonts w:ascii="Times New Roman" w:hAnsi="Times New Roman" w:cs="Times New Roman"/>
        </w:rPr>
      </w:pPr>
      <w:r>
        <w:rPr>
          <w:rFonts w:ascii="Times New Roman" w:hAnsi="Times New Roman" w:cs="Times New Roman"/>
        </w:rPr>
        <w:t>Gandhi’s claim that the Andhras (and by association other linguistic groups demanding provincial reorganisation) did not constitute a ‘separate nation’ was also contested by some of his contemporaries. We have already briefly noted how Jinnah and the Muslim League claimed the status of a nation for India’s Muslims, as a means to overcome their erstwhile position as a communal minority. But supporters of the demand for Samyukta Maharashtra were also articulating a similar claim to nationhood during this same period in the context of the Cabinet Mission’s proposals. Both claims to nationhood were not necessarily ultimatums for independent sovereignty, but could also be potentially considered as strategies through which to carve out autonomous spheres of influence within an imagined Indian union.</w:t>
      </w:r>
      <w:r>
        <w:rPr>
          <w:rStyle w:val="FootnoteReference"/>
          <w:rFonts w:ascii="Times New Roman" w:hAnsi="Times New Roman" w:cs="Times New Roman"/>
        </w:rPr>
        <w:footnoteReference w:id="67"/>
      </w:r>
      <w:r>
        <w:rPr>
          <w:rFonts w:ascii="Times New Roman" w:hAnsi="Times New Roman" w:cs="Times New Roman"/>
        </w:rPr>
        <w:t xml:space="preserve"> In </w:t>
      </w:r>
      <w:r>
        <w:rPr>
          <w:rFonts w:ascii="Times New Roman" w:hAnsi="Times New Roman" w:cs="Times New Roman"/>
          <w:i/>
        </w:rPr>
        <w:t>Federating India</w:t>
      </w:r>
      <w:r>
        <w:rPr>
          <w:rFonts w:ascii="Times New Roman" w:hAnsi="Times New Roman" w:cs="Times New Roman"/>
        </w:rPr>
        <w:t>, Gadgil argued that whilst religion formed the basis for the future territorial demarcation of such autonomous spheres within northern India, the south ‘consists of fairly well marked separate national groups who can easily be distinguished by their common language’.</w:t>
      </w:r>
      <w:r>
        <w:rPr>
          <w:rStyle w:val="FootnoteReference"/>
          <w:rFonts w:ascii="Times New Roman" w:hAnsi="Times New Roman" w:cs="Times New Roman"/>
        </w:rPr>
        <w:footnoteReference w:id="68"/>
      </w:r>
      <w:r>
        <w:rPr>
          <w:rFonts w:ascii="Times New Roman" w:hAnsi="Times New Roman" w:cs="Times New Roman"/>
        </w:rPr>
        <w:t xml:space="preserve"> Claiming the status of a nation here supported the articulation of an emotional attachment and supposedly </w:t>
      </w:r>
      <w:r>
        <w:rPr>
          <w:rFonts w:ascii="Times New Roman" w:hAnsi="Times New Roman" w:cs="Times New Roman"/>
          <w:i/>
        </w:rPr>
        <w:t xml:space="preserve">a priori </w:t>
      </w:r>
      <w:r>
        <w:rPr>
          <w:rFonts w:ascii="Times New Roman" w:hAnsi="Times New Roman" w:cs="Times New Roman"/>
        </w:rPr>
        <w:t>claim to a particular patch of territory within India, rather than displacing a wider sense of ‘Indianness’.</w:t>
      </w:r>
      <w:r>
        <w:rPr>
          <w:rStyle w:val="FootnoteReference"/>
          <w:rFonts w:ascii="Times New Roman" w:hAnsi="Times New Roman" w:cs="Times New Roman"/>
        </w:rPr>
        <w:footnoteReference w:id="69"/>
      </w:r>
      <w:r>
        <w:rPr>
          <w:rFonts w:ascii="Times New Roman" w:hAnsi="Times New Roman" w:cs="Times New Roman"/>
        </w:rPr>
        <w:t xml:space="preserve"> And this was frequently organised in juxtaposition to other communities residing within that territory or the wider Indian union. To illustrate this point, we can turn to another (albeit more ambivalent) supporter of the demand for Samyukta Maharashtra, the Dalit lawyer and politician B.R. Ambedkar, who made the following contentious comments in the context of his treatise on the Pakistan demand:</w:t>
      </w:r>
    </w:p>
    <w:p w14:paraId="5013A291" w14:textId="77777777" w:rsidR="00ED4617" w:rsidRDefault="00ED4617" w:rsidP="00ED4617">
      <w:pPr>
        <w:spacing w:after="200" w:line="480" w:lineRule="auto"/>
        <w:ind w:left="720" w:right="369"/>
        <w:jc w:val="both"/>
        <w:rPr>
          <w:rFonts w:ascii="Times New Roman" w:hAnsi="Times New Roman" w:cs="Times New Roman"/>
        </w:rPr>
      </w:pPr>
      <w:r>
        <w:rPr>
          <w:rFonts w:ascii="Times New Roman" w:hAnsi="Times New Roman" w:cs="Times New Roman"/>
        </w:rPr>
        <w:t>Are the Musalmans alone opposed to the existence of a Central Government? What about the Hindus? … The Hindu Provinces are by no means a happy family. It cannot be pretended that the Sikhs have any tenderness for the Bengalees or the Rajputs or the Madrasis … As to the Mahratta, who does not recall that the Mahrattas, who set out to destroy the Muslim Empire in India, became a menace to the rest of the Hindus whom they harassed and kept under their yoke for nearly a century. The Hindu Provinces have no common traditions and no interests to bind them.</w:t>
      </w:r>
      <w:r>
        <w:rPr>
          <w:rStyle w:val="FootnoteReference"/>
          <w:rFonts w:ascii="Times New Roman" w:hAnsi="Times New Roman" w:cs="Times New Roman"/>
        </w:rPr>
        <w:footnoteReference w:id="70"/>
      </w:r>
    </w:p>
    <w:p w14:paraId="1C5065E7" w14:textId="77777777" w:rsidR="00ED4617" w:rsidRPr="00D0272E" w:rsidRDefault="00ED4617" w:rsidP="00ED4617">
      <w:pPr>
        <w:spacing w:after="200" w:line="480" w:lineRule="auto"/>
        <w:ind w:right="369"/>
        <w:jc w:val="both"/>
        <w:rPr>
          <w:rFonts w:ascii="Times New Roman" w:hAnsi="Times New Roman" w:cs="Times New Roman"/>
        </w:rPr>
      </w:pPr>
      <w:r>
        <w:rPr>
          <w:rFonts w:ascii="Times New Roman" w:hAnsi="Times New Roman" w:cs="Times New Roman"/>
        </w:rPr>
        <w:t>As one of the most eminent theoreticians on both Pakistan and Samyukta Maharashtra, Ambedkar saw both demands as being premised around the emergence of distinct nationalities. He also argued that ‘[t]he use of the term “Constituent Units” [in the Lahore Resolution] indicates that what is contemplated [in the Pakistan demand] is a Federation’. And he supported both the claims to Pakistan and Samyukta Maharashtra on the basis that ‘they [i.e. Muslims in Pakistan and Marathi speakers in Maharashtra] should be allowed the freedom to grow to their fullest in nationhood’.</w:t>
      </w:r>
      <w:r>
        <w:rPr>
          <w:rStyle w:val="FootnoteReference"/>
          <w:rFonts w:ascii="Times New Roman" w:hAnsi="Times New Roman" w:cs="Times New Roman"/>
        </w:rPr>
        <w:footnoteReference w:id="71"/>
      </w:r>
      <w:r>
        <w:rPr>
          <w:rFonts w:ascii="Times New Roman" w:hAnsi="Times New Roman" w:cs="Times New Roman"/>
        </w:rPr>
        <w:t xml:space="preserve"> By bringing together the demands in this way, we are able to gain a more all-encompassing perspective on the Pakistan demand, as one paradigmatic example of a variety of ideas about post-independence India that were in contemporary circulation in the context of the Cabinet Mission.</w:t>
      </w:r>
    </w:p>
    <w:p w14:paraId="64E9126A" w14:textId="77777777" w:rsidR="00ED4617" w:rsidRDefault="00ED4617" w:rsidP="00ED4617">
      <w:pPr>
        <w:pStyle w:val="Heading2"/>
        <w:spacing w:after="24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Conclusion</w:t>
      </w:r>
    </w:p>
    <w:p w14:paraId="5C744B11" w14:textId="77777777" w:rsidR="00ED4617" w:rsidRDefault="00ED4617" w:rsidP="00ED4617">
      <w:pPr>
        <w:spacing w:after="200" w:line="480" w:lineRule="auto"/>
        <w:jc w:val="both"/>
        <w:rPr>
          <w:rFonts w:ascii="Times New Roman" w:hAnsi="Times New Roman" w:cs="Times New Roman"/>
        </w:rPr>
      </w:pPr>
      <w:r>
        <w:rPr>
          <w:rFonts w:ascii="Times New Roman" w:hAnsi="Times New Roman" w:cs="Times New Roman"/>
        </w:rPr>
        <w:t>This paper has gone beyond simply highlighting that demands for Pakistan and Samyukta Maharashtra were coeval to reflect on the nature of Muslims and Marathas/Marathi speakers engagement with democratic forms in the decades prior to their creation, noting the importance of territory, number and community to nascent democratic equations. The manner in which both shifted away from the politics of commensuration and towards support for majoritarianism within autonomous spaces during the interwar years is indicative of the related processes that lay behind certain iterations of the two movements. Both demonstrate how conceptions of majority rule materialised alongside the introduction of democratic institutions at the provincial scale in interwar South Asia. These ideas were not only far removed from the non-discriminatory, secular democratic practices that were elaborated by Nehru and his followers at the central level of the Congress in the interwar period, but also diverged from the emphasis upon separate electorates and reserved seats that had preoccupied Muslim and Maratha communal politics in the first few decades of the twentieth century. That the ideas of certain thinkers who supported the demands were both firmly concentrated upon the relationship between demography, territory, and provincial autonomy is also indicative of the ways in which certain understandings of the Pakistan demand might be perceived as one part of a broader move towards finding a federal solution for India’s social pluralism at the moment of colonial/postcolonial transition.</w:t>
      </w:r>
    </w:p>
    <w:p w14:paraId="57D110DD" w14:textId="5D4EFA99" w:rsidR="00ED4617" w:rsidRPr="00044539" w:rsidRDefault="00ED4617" w:rsidP="00ED4617">
      <w:pPr>
        <w:spacing w:after="200" w:line="480" w:lineRule="auto"/>
        <w:jc w:val="both"/>
        <w:rPr>
          <w:rFonts w:ascii="Times New Roman" w:hAnsi="Times New Roman" w:cs="Times New Roman"/>
        </w:rPr>
      </w:pPr>
      <w:r>
        <w:rPr>
          <w:rFonts w:ascii="Times New Roman" w:hAnsi="Times New Roman" w:cs="Times New Roman"/>
        </w:rPr>
        <w:t>In exploring these themes, this paper has therefore looked to contribute towards a wider reappraisal of the demand for Pakistan in both a spatial and temporal sense. By seeing certain elements of the call for Pakistan and the demand for Samyukta Maharashtra as emerging out of related processes by the 1940s and in the context of the transition to independence, this paper has also provided a novel space through which to analyse the Pakistan demand, providing a shift from the literature that still too often tends to treat it as a standalone event. By thinking about the Pakistan demand alongside the demand for Samyukta Maharashtra in the context of the Cabinet Mission proposals, we are able to gain a glimpse of the contingency and complexity of the proposals to rectify the constitutional problem that had emerged at this juncture. A broader pattern of demands for regional autonomy and federalism, as articulated by such Indian</w:t>
      </w:r>
      <w:r w:rsidR="000E40CB">
        <w:rPr>
          <w:rFonts w:ascii="Times New Roman" w:hAnsi="Times New Roman" w:cs="Times New Roman"/>
        </w:rPr>
        <w:t xml:space="preserve"> luminaries as Azad and Gadgil</w:t>
      </w:r>
      <w:r>
        <w:rPr>
          <w:rFonts w:ascii="Times New Roman" w:hAnsi="Times New Roman" w:cs="Times New Roman"/>
        </w:rPr>
        <w:t xml:space="preserve"> at least temporarily</w:t>
      </w:r>
      <w:r w:rsidR="000E40CB">
        <w:rPr>
          <w:rFonts w:ascii="Times New Roman" w:hAnsi="Times New Roman" w:cs="Times New Roman"/>
        </w:rPr>
        <w:t xml:space="preserve"> prevailed, before the events of partition that ultimately led to </w:t>
      </w:r>
      <w:r>
        <w:rPr>
          <w:rFonts w:ascii="Times New Roman" w:hAnsi="Times New Roman" w:cs="Times New Roman"/>
        </w:rPr>
        <w:t xml:space="preserve">two separate sovereign nation-states </w:t>
      </w:r>
      <w:r w:rsidR="000E40CB">
        <w:rPr>
          <w:rFonts w:ascii="Times New Roman" w:hAnsi="Times New Roman" w:cs="Times New Roman"/>
        </w:rPr>
        <w:t>being</w:t>
      </w:r>
      <w:r>
        <w:rPr>
          <w:rFonts w:ascii="Times New Roman" w:hAnsi="Times New Roman" w:cs="Times New Roman"/>
        </w:rPr>
        <w:t xml:space="preserve"> created.</w:t>
      </w:r>
    </w:p>
    <w:sectPr w:rsidR="00ED4617" w:rsidRPr="00044539" w:rsidSect="00F7722D">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83F0E" w14:textId="77777777" w:rsidR="001A00C1" w:rsidRDefault="001A00C1" w:rsidP="00720FA7">
      <w:r>
        <w:separator/>
      </w:r>
    </w:p>
  </w:endnote>
  <w:endnote w:type="continuationSeparator" w:id="0">
    <w:p w14:paraId="57FDF1CC" w14:textId="77777777" w:rsidR="001A00C1" w:rsidRDefault="001A00C1" w:rsidP="0072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483BA" w14:textId="77777777" w:rsidR="001A00C1" w:rsidRDefault="001A00C1" w:rsidP="00720FA7">
      <w:r>
        <w:separator/>
      </w:r>
    </w:p>
  </w:footnote>
  <w:footnote w:type="continuationSeparator" w:id="0">
    <w:p w14:paraId="7903D7DD" w14:textId="77777777" w:rsidR="001A00C1" w:rsidRDefault="001A00C1" w:rsidP="00720FA7">
      <w:r>
        <w:continuationSeparator/>
      </w:r>
    </w:p>
  </w:footnote>
  <w:footnote w:id="1">
    <w:p w14:paraId="499410A7" w14:textId="19F6A278" w:rsidR="001A00C1" w:rsidRPr="00BD05B8" w:rsidRDefault="001A00C1" w:rsidP="00BD05B8">
      <w:pPr>
        <w:pStyle w:val="FootnoteText"/>
        <w:jc w:val="both"/>
        <w:rPr>
          <w:rFonts w:ascii="Times New Roman" w:hAnsi="Times New Roman" w:cs="Times New Roman"/>
          <w:sz w:val="22"/>
          <w:szCs w:val="22"/>
          <w:lang w:val="en-US"/>
        </w:rPr>
      </w:pPr>
      <w:r w:rsidRPr="00BD05B8">
        <w:rPr>
          <w:rStyle w:val="FootnoteReference"/>
          <w:rFonts w:ascii="Times New Roman" w:hAnsi="Times New Roman" w:cs="Times New Roman"/>
          <w:sz w:val="22"/>
          <w:szCs w:val="22"/>
        </w:rPr>
        <w:footnoteRef/>
      </w:r>
      <w:r w:rsidRPr="00BD05B8">
        <w:rPr>
          <w:rFonts w:ascii="Times New Roman" w:hAnsi="Times New Roman" w:cs="Times New Roman"/>
          <w:sz w:val="22"/>
          <w:szCs w:val="22"/>
        </w:rPr>
        <w:t xml:space="preserve"> </w:t>
      </w:r>
      <w:r>
        <w:rPr>
          <w:rFonts w:ascii="Times New Roman" w:hAnsi="Times New Roman" w:cs="Times New Roman"/>
          <w:sz w:val="22"/>
          <w:szCs w:val="22"/>
          <w:lang w:val="en-US"/>
        </w:rPr>
        <w:t>However, this</w:t>
      </w:r>
      <w:r w:rsidRPr="00BD05B8">
        <w:rPr>
          <w:rFonts w:ascii="Times New Roman" w:hAnsi="Times New Roman" w:cs="Times New Roman"/>
          <w:sz w:val="22"/>
          <w:szCs w:val="22"/>
          <w:lang w:val="en-US"/>
        </w:rPr>
        <w:t xml:space="preserve"> axiom has been more recently contested </w:t>
      </w:r>
      <w:r>
        <w:rPr>
          <w:rFonts w:ascii="Times New Roman" w:hAnsi="Times New Roman" w:cs="Times New Roman"/>
          <w:sz w:val="22"/>
          <w:szCs w:val="22"/>
          <w:lang w:val="en-US"/>
        </w:rPr>
        <w:t>in the work of</w:t>
      </w:r>
      <w:r w:rsidRPr="00BD05B8">
        <w:rPr>
          <w:rFonts w:ascii="Times New Roman" w:hAnsi="Times New Roman" w:cs="Times New Roman"/>
          <w:sz w:val="22"/>
          <w:szCs w:val="22"/>
          <w:lang w:val="en-US"/>
        </w:rPr>
        <w:t xml:space="preserve"> Venkat Dhulipala. See Dhulipala, </w:t>
      </w:r>
      <w:r w:rsidRPr="00BD05B8">
        <w:rPr>
          <w:rFonts w:ascii="Times New Roman" w:hAnsi="Times New Roman" w:cs="Times New Roman"/>
          <w:i/>
          <w:sz w:val="22"/>
          <w:szCs w:val="22"/>
          <w:lang w:val="en-US"/>
        </w:rPr>
        <w:t>Creating a New Medina: State Power, Islam, and the Quest for Pakistan in Late Colonial North India</w:t>
      </w:r>
      <w:r w:rsidRPr="00BD05B8">
        <w:rPr>
          <w:rFonts w:ascii="Times New Roman" w:hAnsi="Times New Roman" w:cs="Times New Roman"/>
          <w:sz w:val="22"/>
          <w:szCs w:val="22"/>
          <w:lang w:val="en-US"/>
        </w:rPr>
        <w:t xml:space="preserve"> (Cambridge: Cambridge University Press, 2015), pp. 7-16.</w:t>
      </w:r>
    </w:p>
  </w:footnote>
  <w:footnote w:id="2">
    <w:p w14:paraId="6B53D475" w14:textId="7044A7D1" w:rsidR="001A00C1" w:rsidRPr="005E4CEC" w:rsidRDefault="001A00C1" w:rsidP="00EF607A">
      <w:pPr>
        <w:pStyle w:val="FootnoteText"/>
        <w:jc w:val="both"/>
        <w:rPr>
          <w:rFonts w:ascii="Times New Roman" w:hAnsi="Times New Roman" w:cs="Times New Roman"/>
          <w:sz w:val="22"/>
          <w:szCs w:val="22"/>
          <w:lang w:val="en-US"/>
        </w:rPr>
      </w:pPr>
      <w:r w:rsidRPr="009C2347">
        <w:rPr>
          <w:rStyle w:val="FootnoteReference"/>
          <w:rFonts w:ascii="Times New Roman" w:hAnsi="Times New Roman" w:cs="Times New Roman"/>
          <w:sz w:val="22"/>
          <w:szCs w:val="22"/>
        </w:rPr>
        <w:footnoteRef/>
      </w:r>
      <w:r w:rsidRPr="009C2347">
        <w:rPr>
          <w:rFonts w:ascii="Times New Roman" w:hAnsi="Times New Roman" w:cs="Times New Roman"/>
          <w:sz w:val="22"/>
          <w:szCs w:val="22"/>
        </w:rPr>
        <w:t xml:space="preserve"> </w:t>
      </w:r>
      <w:r w:rsidRPr="009C2347">
        <w:rPr>
          <w:rFonts w:ascii="Times New Roman" w:hAnsi="Times New Roman" w:cs="Times New Roman"/>
          <w:sz w:val="22"/>
          <w:szCs w:val="22"/>
          <w:lang w:val="en-US"/>
        </w:rPr>
        <w:t xml:space="preserve">R. J. Moore, ‘Jinnah and the Pakistan Demand’, </w:t>
      </w:r>
      <w:r w:rsidRPr="00EF607A">
        <w:rPr>
          <w:rFonts w:ascii="Times New Roman" w:hAnsi="Times New Roman" w:cs="Times New Roman"/>
          <w:i/>
          <w:sz w:val="22"/>
          <w:szCs w:val="22"/>
          <w:lang w:val="en-US"/>
        </w:rPr>
        <w:t>Modern Asian Studies</w:t>
      </w:r>
      <w:r w:rsidRPr="009C2347">
        <w:rPr>
          <w:rFonts w:ascii="Times New Roman" w:hAnsi="Times New Roman" w:cs="Times New Roman"/>
          <w:sz w:val="22"/>
          <w:szCs w:val="22"/>
          <w:lang w:val="en-US"/>
        </w:rPr>
        <w:t xml:space="preserve"> [henceforth </w:t>
      </w:r>
      <w:r w:rsidRPr="00EF607A">
        <w:rPr>
          <w:rFonts w:ascii="Times New Roman" w:hAnsi="Times New Roman" w:cs="Times New Roman"/>
          <w:i/>
          <w:sz w:val="22"/>
          <w:szCs w:val="22"/>
          <w:lang w:val="en-US"/>
        </w:rPr>
        <w:t>MAS</w:t>
      </w:r>
      <w:r w:rsidRPr="009C2347">
        <w:rPr>
          <w:rFonts w:ascii="Times New Roman" w:hAnsi="Times New Roman" w:cs="Times New Roman"/>
          <w:sz w:val="22"/>
          <w:szCs w:val="22"/>
          <w:lang w:val="en-US"/>
        </w:rPr>
        <w:t xml:space="preserve">], 17.4 (1983), 529-561; Stanley Wolpert, </w:t>
      </w:r>
      <w:r w:rsidRPr="00EF607A">
        <w:rPr>
          <w:rFonts w:ascii="Times New Roman" w:hAnsi="Times New Roman" w:cs="Times New Roman"/>
          <w:i/>
          <w:sz w:val="22"/>
          <w:szCs w:val="22"/>
          <w:lang w:val="en-US"/>
        </w:rPr>
        <w:t>Jinnah of Pakistan</w:t>
      </w:r>
      <w:r w:rsidRPr="009C2347">
        <w:rPr>
          <w:rFonts w:ascii="Times New Roman" w:hAnsi="Times New Roman" w:cs="Times New Roman"/>
          <w:sz w:val="22"/>
          <w:szCs w:val="22"/>
          <w:lang w:val="en-US"/>
        </w:rPr>
        <w:t xml:space="preserve"> (New York, NY: Oxford University Press, 1984); Anita Inder Singh, </w:t>
      </w:r>
      <w:r w:rsidRPr="00EF607A">
        <w:rPr>
          <w:rFonts w:ascii="Times New Roman" w:hAnsi="Times New Roman" w:cs="Times New Roman"/>
          <w:i/>
          <w:sz w:val="22"/>
          <w:szCs w:val="22"/>
          <w:lang w:val="en-US"/>
        </w:rPr>
        <w:t>The Origins of the Partition of India, 1936-1947</w:t>
      </w:r>
      <w:r w:rsidRPr="009C2347">
        <w:rPr>
          <w:rFonts w:ascii="Times New Roman" w:hAnsi="Times New Roman" w:cs="Times New Roman"/>
          <w:sz w:val="22"/>
          <w:szCs w:val="22"/>
          <w:lang w:val="en-US"/>
        </w:rPr>
        <w:t xml:space="preserve"> (Delhi:</w:t>
      </w:r>
      <w:r>
        <w:rPr>
          <w:rFonts w:ascii="Times New Roman" w:hAnsi="Times New Roman" w:cs="Times New Roman"/>
          <w:sz w:val="22"/>
          <w:szCs w:val="22"/>
          <w:lang w:val="en-US"/>
        </w:rPr>
        <w:t xml:space="preserve"> Oxford University Press, 1987); for a more recent and more partisan account along the same lines, see Sucheta Mahajan, </w:t>
      </w:r>
      <w:r>
        <w:rPr>
          <w:rFonts w:ascii="Times New Roman" w:hAnsi="Times New Roman" w:cs="Times New Roman"/>
          <w:i/>
          <w:sz w:val="22"/>
          <w:szCs w:val="22"/>
          <w:lang w:val="en-US"/>
        </w:rPr>
        <w:t>Independence and Partition: The Erosion of Colonial Power in India</w:t>
      </w:r>
      <w:r>
        <w:rPr>
          <w:rFonts w:ascii="Times New Roman" w:hAnsi="Times New Roman" w:cs="Times New Roman"/>
          <w:sz w:val="22"/>
          <w:szCs w:val="22"/>
          <w:lang w:val="en-US"/>
        </w:rPr>
        <w:t xml:space="preserve"> (New Delhi: Sage, 2000).</w:t>
      </w:r>
    </w:p>
  </w:footnote>
  <w:footnote w:id="3">
    <w:p w14:paraId="264D2D1A" w14:textId="77777777" w:rsidR="001A00C1" w:rsidRPr="009E64A6" w:rsidRDefault="001A00C1" w:rsidP="00EF607A">
      <w:pPr>
        <w:pStyle w:val="FootnoteText"/>
        <w:jc w:val="both"/>
        <w:rPr>
          <w:lang w:val="en-US"/>
        </w:rPr>
      </w:pPr>
      <w:r w:rsidRPr="009C2347">
        <w:rPr>
          <w:rStyle w:val="FootnoteReference"/>
          <w:rFonts w:ascii="Times New Roman" w:hAnsi="Times New Roman" w:cs="Times New Roman"/>
          <w:sz w:val="22"/>
          <w:szCs w:val="22"/>
        </w:rPr>
        <w:footnoteRef/>
      </w:r>
      <w:r w:rsidRPr="009C2347">
        <w:rPr>
          <w:rFonts w:ascii="Times New Roman" w:hAnsi="Times New Roman" w:cs="Times New Roman"/>
          <w:sz w:val="22"/>
          <w:szCs w:val="22"/>
        </w:rPr>
        <w:t xml:space="preserve"> </w:t>
      </w:r>
      <w:r w:rsidRPr="009E64A6">
        <w:rPr>
          <w:rFonts w:ascii="Times New Roman" w:hAnsi="Times New Roman" w:cs="Times New Roman"/>
          <w:sz w:val="22"/>
          <w:szCs w:val="22"/>
          <w:lang w:val="en-US"/>
        </w:rPr>
        <w:t>A</w:t>
      </w:r>
      <w:r>
        <w:rPr>
          <w:rFonts w:ascii="Times New Roman" w:hAnsi="Times New Roman" w:cs="Times New Roman"/>
          <w:sz w:val="22"/>
          <w:szCs w:val="22"/>
          <w:lang w:val="en-US"/>
        </w:rPr>
        <w:t xml:space="preserve">yesha Jalal, </w:t>
      </w:r>
      <w:r>
        <w:rPr>
          <w:rFonts w:ascii="Times New Roman" w:hAnsi="Times New Roman" w:cs="Times New Roman"/>
          <w:i/>
          <w:sz w:val="22"/>
          <w:szCs w:val="22"/>
          <w:lang w:val="en-US"/>
        </w:rPr>
        <w:t>The Sole Spokesman: Jinnah, the Muslim League and the Demand for Pakistan</w:t>
      </w:r>
      <w:r>
        <w:rPr>
          <w:rFonts w:ascii="Times New Roman" w:hAnsi="Times New Roman" w:cs="Times New Roman"/>
          <w:sz w:val="22"/>
          <w:szCs w:val="22"/>
          <w:lang w:val="en-US"/>
        </w:rPr>
        <w:t xml:space="preserve"> (Cambridge: Cambridge University Press, 1985).</w:t>
      </w:r>
    </w:p>
  </w:footnote>
  <w:footnote w:id="4">
    <w:p w14:paraId="2C3F1937" w14:textId="6554C58A" w:rsidR="001A00C1" w:rsidRPr="00E807A6" w:rsidRDefault="001A00C1" w:rsidP="00E807A6">
      <w:pPr>
        <w:pStyle w:val="FootnoteText"/>
        <w:jc w:val="both"/>
        <w:rPr>
          <w:rFonts w:ascii="Times New Roman" w:hAnsi="Times New Roman" w:cs="Times New Roman"/>
          <w:sz w:val="22"/>
          <w:szCs w:val="22"/>
          <w:lang w:val="en-US"/>
        </w:rPr>
      </w:pPr>
      <w:r w:rsidRPr="00E807A6">
        <w:rPr>
          <w:rStyle w:val="FootnoteReference"/>
          <w:rFonts w:ascii="Times New Roman" w:hAnsi="Times New Roman" w:cs="Times New Roman"/>
          <w:sz w:val="22"/>
          <w:szCs w:val="22"/>
        </w:rPr>
        <w:footnoteRef/>
      </w:r>
      <w:r w:rsidRPr="00E807A6">
        <w:rPr>
          <w:rFonts w:ascii="Times New Roman" w:hAnsi="Times New Roman" w:cs="Times New Roman"/>
          <w:sz w:val="22"/>
          <w:szCs w:val="22"/>
        </w:rPr>
        <w:t xml:space="preserve"> </w:t>
      </w:r>
      <w:r w:rsidRPr="00E807A6">
        <w:rPr>
          <w:rFonts w:ascii="Times New Roman" w:hAnsi="Times New Roman" w:cs="Times New Roman"/>
          <w:sz w:val="22"/>
          <w:szCs w:val="22"/>
          <w:lang w:val="en-US"/>
        </w:rPr>
        <w:t xml:space="preserve">Christophe Jaffrelot, </w:t>
      </w:r>
      <w:r w:rsidRPr="00E807A6">
        <w:rPr>
          <w:rFonts w:ascii="Times New Roman" w:hAnsi="Times New Roman" w:cs="Times New Roman"/>
          <w:i/>
          <w:sz w:val="22"/>
          <w:szCs w:val="22"/>
          <w:lang w:val="en-US"/>
        </w:rPr>
        <w:t>The Pakistan Paradox: Instability and Resilience</w:t>
      </w:r>
      <w:r w:rsidRPr="00E807A6">
        <w:rPr>
          <w:rFonts w:ascii="Times New Roman" w:hAnsi="Times New Roman" w:cs="Times New Roman"/>
          <w:sz w:val="22"/>
          <w:szCs w:val="22"/>
          <w:lang w:val="en-US"/>
        </w:rPr>
        <w:t xml:space="preserve"> (Oxford: Oxford University Press, 2015), p. 93.</w:t>
      </w:r>
    </w:p>
  </w:footnote>
  <w:footnote w:id="5">
    <w:p w14:paraId="65A76F59" w14:textId="709FFD48" w:rsidR="001A00C1" w:rsidRPr="00E807A6" w:rsidRDefault="001A00C1" w:rsidP="00E807A6">
      <w:pPr>
        <w:pStyle w:val="FootnoteText"/>
        <w:jc w:val="both"/>
        <w:rPr>
          <w:rFonts w:ascii="Times New Roman" w:hAnsi="Times New Roman" w:cs="Times New Roman"/>
          <w:sz w:val="22"/>
          <w:szCs w:val="22"/>
          <w:lang w:val="en-US"/>
        </w:rPr>
      </w:pPr>
      <w:r w:rsidRPr="00E807A6">
        <w:rPr>
          <w:rStyle w:val="FootnoteReference"/>
          <w:rFonts w:ascii="Times New Roman" w:hAnsi="Times New Roman" w:cs="Times New Roman"/>
          <w:sz w:val="22"/>
          <w:szCs w:val="22"/>
        </w:rPr>
        <w:footnoteRef/>
      </w:r>
      <w:r w:rsidRPr="00E807A6">
        <w:rPr>
          <w:rFonts w:ascii="Times New Roman" w:hAnsi="Times New Roman" w:cs="Times New Roman"/>
          <w:sz w:val="22"/>
          <w:szCs w:val="22"/>
        </w:rPr>
        <w:t xml:space="preserve"> </w:t>
      </w:r>
      <w:r w:rsidRPr="00E807A6">
        <w:rPr>
          <w:rFonts w:ascii="Times New Roman" w:hAnsi="Times New Roman" w:cs="Times New Roman"/>
          <w:i/>
          <w:sz w:val="22"/>
          <w:szCs w:val="22"/>
          <w:lang w:val="en-US"/>
        </w:rPr>
        <w:t>Ibid.</w:t>
      </w:r>
      <w:r w:rsidRPr="00E807A6">
        <w:rPr>
          <w:rFonts w:ascii="Times New Roman" w:hAnsi="Times New Roman" w:cs="Times New Roman"/>
          <w:sz w:val="22"/>
          <w:szCs w:val="22"/>
          <w:lang w:val="en-US"/>
        </w:rPr>
        <w:t>, p. 94.</w:t>
      </w:r>
    </w:p>
  </w:footnote>
  <w:footnote w:id="6">
    <w:p w14:paraId="64FE0BA9" w14:textId="764BB233" w:rsidR="001A00C1" w:rsidRPr="00BD05B8" w:rsidRDefault="001A00C1" w:rsidP="00BD05B8">
      <w:pPr>
        <w:pStyle w:val="FootnoteText"/>
        <w:jc w:val="both"/>
        <w:rPr>
          <w:rFonts w:ascii="Times New Roman" w:hAnsi="Times New Roman" w:cs="Times New Roman"/>
          <w:sz w:val="22"/>
          <w:szCs w:val="22"/>
          <w:lang w:val="en-US"/>
        </w:rPr>
      </w:pPr>
      <w:r w:rsidRPr="00BD05B8">
        <w:rPr>
          <w:rStyle w:val="FootnoteReference"/>
          <w:rFonts w:ascii="Times New Roman" w:hAnsi="Times New Roman" w:cs="Times New Roman"/>
          <w:sz w:val="22"/>
          <w:szCs w:val="22"/>
        </w:rPr>
        <w:footnoteRef/>
      </w:r>
      <w:r w:rsidRPr="00BD05B8">
        <w:rPr>
          <w:rFonts w:ascii="Times New Roman" w:hAnsi="Times New Roman" w:cs="Times New Roman"/>
          <w:sz w:val="22"/>
          <w:szCs w:val="22"/>
        </w:rPr>
        <w:t xml:space="preserve"> </w:t>
      </w:r>
      <w:r w:rsidRPr="00BD05B8">
        <w:rPr>
          <w:rFonts w:ascii="Times New Roman" w:hAnsi="Times New Roman" w:cs="Times New Roman"/>
          <w:sz w:val="22"/>
          <w:szCs w:val="22"/>
          <w:lang w:val="en-US"/>
        </w:rPr>
        <w:t xml:space="preserve">Akbar S. Ahmed, </w:t>
      </w:r>
      <w:r w:rsidRPr="00BD05B8">
        <w:rPr>
          <w:rFonts w:ascii="Times New Roman" w:hAnsi="Times New Roman" w:cs="Times New Roman"/>
          <w:i/>
          <w:sz w:val="22"/>
          <w:szCs w:val="22"/>
          <w:lang w:val="en-US"/>
        </w:rPr>
        <w:t>Jinnah, Pakistan and Islamic Identity: The Search for Saladin</w:t>
      </w:r>
      <w:r w:rsidRPr="00BD05B8">
        <w:rPr>
          <w:rFonts w:ascii="Times New Roman" w:hAnsi="Times New Roman" w:cs="Times New Roman"/>
          <w:sz w:val="22"/>
          <w:szCs w:val="22"/>
          <w:lang w:val="en-US"/>
        </w:rPr>
        <w:t xml:space="preserve"> (London: Routledge, 1997), p. 30; Dhulipala, </w:t>
      </w:r>
      <w:r w:rsidRPr="00BD05B8">
        <w:rPr>
          <w:rFonts w:ascii="Times New Roman" w:hAnsi="Times New Roman" w:cs="Times New Roman"/>
          <w:i/>
          <w:sz w:val="22"/>
          <w:szCs w:val="22"/>
          <w:lang w:val="en-US"/>
        </w:rPr>
        <w:t>Creating a New Medina</w:t>
      </w:r>
      <w:r w:rsidRPr="00BD05B8">
        <w:rPr>
          <w:rFonts w:ascii="Times New Roman" w:hAnsi="Times New Roman" w:cs="Times New Roman"/>
          <w:sz w:val="22"/>
          <w:szCs w:val="22"/>
          <w:lang w:val="en-US"/>
        </w:rPr>
        <w:t>.</w:t>
      </w:r>
    </w:p>
  </w:footnote>
  <w:footnote w:id="7">
    <w:p w14:paraId="3AC8EDB3" w14:textId="4972311A" w:rsidR="001A00C1" w:rsidRPr="002C6F50" w:rsidRDefault="001A00C1" w:rsidP="00756032">
      <w:pPr>
        <w:pStyle w:val="FootnoteText"/>
        <w:jc w:val="both"/>
        <w:rPr>
          <w:rFonts w:ascii="Times New Roman" w:hAnsi="Times New Roman" w:cs="Times New Roman"/>
          <w:sz w:val="22"/>
          <w:szCs w:val="22"/>
          <w:lang w:val="en-US"/>
        </w:rPr>
      </w:pPr>
      <w:r w:rsidRPr="002C6F50">
        <w:rPr>
          <w:rStyle w:val="FootnoteReference"/>
          <w:rFonts w:ascii="Times New Roman" w:hAnsi="Times New Roman" w:cs="Times New Roman"/>
          <w:sz w:val="22"/>
          <w:szCs w:val="22"/>
        </w:rPr>
        <w:footnoteRef/>
      </w:r>
      <w:r w:rsidRPr="002C6F50">
        <w:rPr>
          <w:rFonts w:ascii="Times New Roman" w:hAnsi="Times New Roman" w:cs="Times New Roman"/>
          <w:sz w:val="22"/>
          <w:szCs w:val="22"/>
        </w:rPr>
        <w:t xml:space="preserve"> </w:t>
      </w:r>
      <w:r w:rsidRPr="002C6F50">
        <w:rPr>
          <w:rFonts w:ascii="Times New Roman" w:hAnsi="Times New Roman" w:cs="Times New Roman"/>
          <w:sz w:val="22"/>
          <w:szCs w:val="22"/>
          <w:lang w:val="en-US"/>
        </w:rPr>
        <w:t xml:space="preserve">Faisal Devji, </w:t>
      </w:r>
      <w:r w:rsidRPr="002C6F50">
        <w:rPr>
          <w:rFonts w:ascii="Times New Roman" w:hAnsi="Times New Roman" w:cs="Times New Roman"/>
          <w:i/>
          <w:sz w:val="22"/>
          <w:szCs w:val="22"/>
          <w:lang w:val="en-US"/>
        </w:rPr>
        <w:t>Muslim Zion</w:t>
      </w:r>
      <w:r>
        <w:rPr>
          <w:rFonts w:ascii="Times New Roman" w:hAnsi="Times New Roman" w:cs="Times New Roman"/>
          <w:i/>
          <w:sz w:val="22"/>
          <w:szCs w:val="22"/>
          <w:lang w:val="en-US"/>
        </w:rPr>
        <w:t>: Pakistan as a Political Idea</w:t>
      </w:r>
      <w:r>
        <w:rPr>
          <w:rFonts w:ascii="Times New Roman" w:hAnsi="Times New Roman" w:cs="Times New Roman"/>
          <w:sz w:val="22"/>
          <w:szCs w:val="22"/>
          <w:lang w:val="en-US"/>
        </w:rPr>
        <w:t xml:space="preserve"> (Cambridge, MA: Harvard University Press, 2013), p. 9.</w:t>
      </w:r>
    </w:p>
  </w:footnote>
  <w:footnote w:id="8">
    <w:p w14:paraId="62F4D9F7" w14:textId="3387CF04" w:rsidR="001A00C1" w:rsidRPr="002C6F50" w:rsidRDefault="001A00C1" w:rsidP="00756032">
      <w:pPr>
        <w:pStyle w:val="FootnoteText"/>
        <w:jc w:val="both"/>
        <w:rPr>
          <w:rFonts w:ascii="Times New Roman" w:hAnsi="Times New Roman" w:cs="Times New Roman"/>
          <w:sz w:val="22"/>
          <w:szCs w:val="22"/>
          <w:lang w:val="en-US"/>
        </w:rPr>
      </w:pPr>
      <w:r w:rsidRPr="002C6F50">
        <w:rPr>
          <w:rStyle w:val="FootnoteReference"/>
          <w:rFonts w:ascii="Times New Roman" w:hAnsi="Times New Roman" w:cs="Times New Roman"/>
          <w:sz w:val="22"/>
          <w:szCs w:val="22"/>
        </w:rPr>
        <w:footnoteRef/>
      </w:r>
      <w:r w:rsidRPr="002C6F50">
        <w:rPr>
          <w:rFonts w:ascii="Times New Roman" w:hAnsi="Times New Roman" w:cs="Times New Roman"/>
          <w:sz w:val="22"/>
          <w:szCs w:val="22"/>
        </w:rPr>
        <w:t xml:space="preserve"> </w:t>
      </w:r>
      <w:r w:rsidRPr="002C6F50">
        <w:rPr>
          <w:rFonts w:ascii="Times New Roman" w:hAnsi="Times New Roman" w:cs="Times New Roman"/>
          <w:i/>
          <w:sz w:val="22"/>
          <w:szCs w:val="22"/>
          <w:lang w:val="en-US"/>
        </w:rPr>
        <w:t>Ibid.</w:t>
      </w:r>
      <w:r w:rsidRPr="002C6F50">
        <w:rPr>
          <w:rFonts w:ascii="Times New Roman" w:hAnsi="Times New Roman" w:cs="Times New Roman"/>
          <w:sz w:val="22"/>
          <w:szCs w:val="22"/>
          <w:lang w:val="en-US"/>
        </w:rPr>
        <w:t>, p. 5.</w:t>
      </w:r>
    </w:p>
  </w:footnote>
  <w:footnote w:id="9">
    <w:p w14:paraId="1726D3D4" w14:textId="48DB607C" w:rsidR="001A00C1" w:rsidRPr="006D7F7F" w:rsidRDefault="001A00C1" w:rsidP="00756032">
      <w:pPr>
        <w:pStyle w:val="FootnoteText"/>
        <w:jc w:val="both"/>
        <w:rPr>
          <w:rFonts w:ascii="Times New Roman" w:hAnsi="Times New Roman" w:cs="Times New Roman"/>
          <w:sz w:val="22"/>
          <w:szCs w:val="22"/>
          <w:lang w:val="en-US"/>
        </w:rPr>
      </w:pPr>
      <w:r w:rsidRPr="006D7F7F">
        <w:rPr>
          <w:rStyle w:val="FootnoteReference"/>
          <w:rFonts w:ascii="Times New Roman" w:hAnsi="Times New Roman" w:cs="Times New Roman"/>
          <w:sz w:val="22"/>
          <w:szCs w:val="22"/>
        </w:rPr>
        <w:footnoteRef/>
      </w:r>
      <w:r w:rsidRPr="006D7F7F">
        <w:rPr>
          <w:rFonts w:ascii="Times New Roman" w:hAnsi="Times New Roman" w:cs="Times New Roman"/>
          <w:sz w:val="22"/>
          <w:szCs w:val="22"/>
        </w:rPr>
        <w:t xml:space="preserve"> </w:t>
      </w:r>
      <w:r w:rsidRPr="006D7F7F">
        <w:rPr>
          <w:rFonts w:ascii="Times New Roman" w:hAnsi="Times New Roman" w:cs="Times New Roman"/>
          <w:i/>
          <w:sz w:val="22"/>
          <w:szCs w:val="22"/>
          <w:lang w:val="en-US"/>
        </w:rPr>
        <w:t>Ibid.</w:t>
      </w:r>
      <w:r>
        <w:rPr>
          <w:rFonts w:ascii="Times New Roman" w:hAnsi="Times New Roman" w:cs="Times New Roman"/>
          <w:sz w:val="22"/>
          <w:szCs w:val="22"/>
          <w:lang w:val="en-US"/>
        </w:rPr>
        <w:t>, p 51</w:t>
      </w:r>
      <w:r w:rsidRPr="006D7F7F">
        <w:rPr>
          <w:rFonts w:ascii="Times New Roman" w:hAnsi="Times New Roman" w:cs="Times New Roman"/>
          <w:sz w:val="22"/>
          <w:szCs w:val="22"/>
          <w:lang w:val="en-US"/>
        </w:rPr>
        <w:t>.</w:t>
      </w:r>
    </w:p>
  </w:footnote>
  <w:footnote w:id="10">
    <w:p w14:paraId="6AA15413" w14:textId="22587373" w:rsidR="001A00C1" w:rsidRPr="00756032" w:rsidRDefault="001A00C1" w:rsidP="00756032">
      <w:pPr>
        <w:pStyle w:val="FootnoteText"/>
        <w:jc w:val="both"/>
        <w:rPr>
          <w:rFonts w:ascii="Times New Roman" w:hAnsi="Times New Roman" w:cs="Times New Roman"/>
          <w:sz w:val="22"/>
          <w:szCs w:val="22"/>
          <w:lang w:val="en-US"/>
        </w:rPr>
      </w:pPr>
      <w:r w:rsidRPr="00756032">
        <w:rPr>
          <w:rStyle w:val="FootnoteReference"/>
          <w:rFonts w:ascii="Times New Roman" w:hAnsi="Times New Roman" w:cs="Times New Roman"/>
          <w:sz w:val="22"/>
          <w:szCs w:val="22"/>
        </w:rPr>
        <w:footnoteRef/>
      </w:r>
      <w:r w:rsidRPr="00756032">
        <w:rPr>
          <w:rFonts w:ascii="Times New Roman" w:hAnsi="Times New Roman" w:cs="Times New Roman"/>
          <w:sz w:val="22"/>
          <w:szCs w:val="22"/>
        </w:rPr>
        <w:t xml:space="preserve"> </w:t>
      </w:r>
      <w:r w:rsidRPr="00756032">
        <w:rPr>
          <w:rFonts w:ascii="Times New Roman" w:hAnsi="Times New Roman" w:cs="Times New Roman"/>
          <w:sz w:val="22"/>
          <w:szCs w:val="22"/>
          <w:lang w:val="en-US"/>
        </w:rPr>
        <w:t xml:space="preserve">Dhulipala, </w:t>
      </w:r>
      <w:r w:rsidRPr="00756032">
        <w:rPr>
          <w:rFonts w:ascii="Times New Roman" w:hAnsi="Times New Roman" w:cs="Times New Roman"/>
          <w:i/>
          <w:sz w:val="22"/>
          <w:szCs w:val="22"/>
          <w:lang w:val="en-US"/>
        </w:rPr>
        <w:t>Creating a New Medina</w:t>
      </w:r>
      <w:r w:rsidRPr="00756032">
        <w:rPr>
          <w:rFonts w:ascii="Times New Roman" w:hAnsi="Times New Roman" w:cs="Times New Roman"/>
          <w:sz w:val="22"/>
          <w:szCs w:val="22"/>
          <w:lang w:val="en-US"/>
        </w:rPr>
        <w:t>, pp. 5, 22.</w:t>
      </w:r>
    </w:p>
  </w:footnote>
  <w:footnote w:id="11">
    <w:p w14:paraId="290F074A" w14:textId="21EF6B61" w:rsidR="001A00C1" w:rsidRPr="005104AA" w:rsidRDefault="001A00C1">
      <w:pPr>
        <w:pStyle w:val="FootnoteText"/>
        <w:rPr>
          <w:lang w:val="en-US"/>
        </w:rPr>
      </w:pPr>
      <w:r>
        <w:rPr>
          <w:rStyle w:val="FootnoteReference"/>
        </w:rPr>
        <w:footnoteRef/>
      </w:r>
      <w:r>
        <w:t xml:space="preserve"> </w:t>
      </w:r>
      <w:r w:rsidRPr="00201F8F">
        <w:rPr>
          <w:rFonts w:ascii="Times New Roman" w:hAnsi="Times New Roman" w:cs="Times New Roman"/>
          <w:sz w:val="22"/>
          <w:szCs w:val="22"/>
        </w:rPr>
        <w:t xml:space="preserve">See, for example, </w:t>
      </w:r>
      <w:r w:rsidRPr="00201F8F">
        <w:rPr>
          <w:rFonts w:ascii="Times New Roman" w:hAnsi="Times New Roman" w:cs="Times New Roman"/>
          <w:sz w:val="22"/>
          <w:szCs w:val="22"/>
          <w:lang w:val="en-US"/>
        </w:rPr>
        <w:t>M.A. Jinnah, ‘Message to the Bombay Presidency Provincial Muslim League Conference held at Hubli on the 26</w:t>
      </w:r>
      <w:r w:rsidRPr="00201F8F">
        <w:rPr>
          <w:rFonts w:ascii="Times New Roman" w:hAnsi="Times New Roman" w:cs="Times New Roman"/>
          <w:sz w:val="22"/>
          <w:szCs w:val="22"/>
          <w:vertAlign w:val="superscript"/>
          <w:lang w:val="en-US"/>
        </w:rPr>
        <w:t>th</w:t>
      </w:r>
      <w:r w:rsidRPr="00201F8F">
        <w:rPr>
          <w:rFonts w:ascii="Times New Roman" w:hAnsi="Times New Roman" w:cs="Times New Roman"/>
          <w:sz w:val="22"/>
          <w:szCs w:val="22"/>
          <w:lang w:val="en-US"/>
        </w:rPr>
        <w:t xml:space="preserve"> and 27</w:t>
      </w:r>
      <w:r w:rsidRPr="00201F8F">
        <w:rPr>
          <w:rFonts w:ascii="Times New Roman" w:hAnsi="Times New Roman" w:cs="Times New Roman"/>
          <w:sz w:val="22"/>
          <w:szCs w:val="22"/>
          <w:vertAlign w:val="superscript"/>
          <w:lang w:val="en-US"/>
        </w:rPr>
        <w:t>th</w:t>
      </w:r>
      <w:r w:rsidRPr="00201F8F">
        <w:rPr>
          <w:rFonts w:ascii="Times New Roman" w:hAnsi="Times New Roman" w:cs="Times New Roman"/>
          <w:sz w:val="22"/>
          <w:szCs w:val="22"/>
          <w:lang w:val="en-US"/>
        </w:rPr>
        <w:t xml:space="preserve"> May, 1940’, in </w:t>
      </w:r>
      <w:r w:rsidRPr="00201F8F">
        <w:rPr>
          <w:rFonts w:ascii="Times New Roman" w:hAnsi="Times New Roman" w:cs="Times New Roman"/>
          <w:i/>
          <w:sz w:val="22"/>
          <w:szCs w:val="22"/>
          <w:lang w:val="en-US"/>
        </w:rPr>
        <w:t>Some Recent Speeches and Writings of Mr. Jinnah</w:t>
      </w:r>
      <w:r w:rsidRPr="00201F8F">
        <w:rPr>
          <w:rFonts w:ascii="Times New Roman" w:hAnsi="Times New Roman" w:cs="Times New Roman"/>
          <w:sz w:val="22"/>
          <w:szCs w:val="22"/>
          <w:lang w:val="en-US"/>
        </w:rPr>
        <w:t>, ed. by Jamil-ud-Din Ahmad (Lahore: Sh. Muhammad Ashraf, 1942), p. 163.</w:t>
      </w:r>
    </w:p>
  </w:footnote>
  <w:footnote w:id="12">
    <w:p w14:paraId="41ADE7ED" w14:textId="7C4F09DA" w:rsidR="001A00C1" w:rsidRPr="008D2253" w:rsidRDefault="001A00C1" w:rsidP="008D2253">
      <w:pPr>
        <w:pStyle w:val="FootnoteText"/>
        <w:jc w:val="both"/>
        <w:rPr>
          <w:rFonts w:ascii="Times New Roman" w:hAnsi="Times New Roman" w:cs="Times New Roman"/>
          <w:sz w:val="22"/>
          <w:szCs w:val="22"/>
          <w:lang w:val="en-US"/>
        </w:rPr>
      </w:pPr>
      <w:r w:rsidRPr="008D2253">
        <w:rPr>
          <w:rStyle w:val="FootnoteReference"/>
          <w:rFonts w:ascii="Times New Roman" w:hAnsi="Times New Roman" w:cs="Times New Roman"/>
          <w:sz w:val="22"/>
          <w:szCs w:val="22"/>
        </w:rPr>
        <w:footnoteRef/>
      </w:r>
      <w:r w:rsidRPr="008D2253">
        <w:rPr>
          <w:rFonts w:ascii="Times New Roman" w:hAnsi="Times New Roman" w:cs="Times New Roman"/>
          <w:sz w:val="22"/>
          <w:szCs w:val="22"/>
        </w:rPr>
        <w:t xml:space="preserve"> </w:t>
      </w:r>
      <w:r w:rsidRPr="008D2253">
        <w:rPr>
          <w:rFonts w:ascii="Times New Roman" w:hAnsi="Times New Roman" w:cs="Times New Roman"/>
          <w:sz w:val="22"/>
          <w:szCs w:val="22"/>
          <w:lang w:val="en-US"/>
        </w:rPr>
        <w:t xml:space="preserve">B.R. Ambedkar, </w:t>
      </w:r>
      <w:r w:rsidRPr="008D2253">
        <w:rPr>
          <w:rFonts w:ascii="Times New Roman" w:hAnsi="Times New Roman" w:cs="Times New Roman"/>
          <w:i/>
          <w:sz w:val="22"/>
          <w:szCs w:val="22"/>
          <w:lang w:val="en-US"/>
        </w:rPr>
        <w:t>Pakistan, or the Partition of India</w:t>
      </w:r>
      <w:r w:rsidRPr="008D2253">
        <w:rPr>
          <w:rFonts w:ascii="Times New Roman" w:hAnsi="Times New Roman" w:cs="Times New Roman"/>
          <w:sz w:val="22"/>
          <w:szCs w:val="22"/>
          <w:lang w:val="en-US"/>
        </w:rPr>
        <w:t xml:space="preserve"> (Bombay: Thacker and Company Limited, 1946), in </w:t>
      </w:r>
      <w:r w:rsidRPr="008D2253">
        <w:rPr>
          <w:rFonts w:ascii="Times New Roman" w:hAnsi="Times New Roman" w:cs="Times New Roman"/>
          <w:i/>
          <w:sz w:val="22"/>
          <w:szCs w:val="22"/>
          <w:lang w:val="en-US"/>
        </w:rPr>
        <w:t>Babasaheb Ambedkar Writings and Speeches</w:t>
      </w:r>
      <w:r w:rsidRPr="008D2253">
        <w:rPr>
          <w:rFonts w:ascii="Times New Roman" w:hAnsi="Times New Roman" w:cs="Times New Roman"/>
          <w:sz w:val="22"/>
          <w:szCs w:val="22"/>
          <w:lang w:val="en-US"/>
        </w:rPr>
        <w:t>, ed. by V. Moon (New Delhi: Dr. Ambedkar Foundation, 2014 [1990]), pp. 513-515.</w:t>
      </w:r>
    </w:p>
  </w:footnote>
  <w:footnote w:id="13">
    <w:p w14:paraId="3EA8ECF9" w14:textId="2F07BBC1" w:rsidR="001A00C1" w:rsidRPr="000953E6" w:rsidRDefault="001A00C1" w:rsidP="000953E6">
      <w:pPr>
        <w:pStyle w:val="FootnoteText"/>
        <w:jc w:val="both"/>
        <w:rPr>
          <w:rFonts w:ascii="Times New Roman" w:hAnsi="Times New Roman" w:cs="Times New Roman"/>
          <w:sz w:val="22"/>
          <w:szCs w:val="22"/>
          <w:lang w:val="en-US"/>
        </w:rPr>
      </w:pPr>
      <w:r w:rsidRPr="000953E6">
        <w:rPr>
          <w:rStyle w:val="FootnoteReference"/>
          <w:rFonts w:ascii="Times New Roman" w:hAnsi="Times New Roman" w:cs="Times New Roman"/>
          <w:sz w:val="22"/>
          <w:szCs w:val="22"/>
        </w:rPr>
        <w:footnoteRef/>
      </w:r>
      <w:r w:rsidRPr="000953E6">
        <w:rPr>
          <w:rFonts w:ascii="Times New Roman" w:hAnsi="Times New Roman" w:cs="Times New Roman"/>
          <w:sz w:val="22"/>
          <w:szCs w:val="22"/>
        </w:rPr>
        <w:t xml:space="preserve"> </w:t>
      </w:r>
      <w:r w:rsidRPr="000953E6">
        <w:rPr>
          <w:rFonts w:ascii="Times New Roman" w:hAnsi="Times New Roman" w:cs="Times New Roman"/>
          <w:sz w:val="22"/>
          <w:szCs w:val="22"/>
          <w:lang w:val="en-US"/>
        </w:rPr>
        <w:t xml:space="preserve">I borrow this phrase from Anupama Rao. See Rao, </w:t>
      </w:r>
      <w:r w:rsidRPr="000953E6">
        <w:rPr>
          <w:rFonts w:ascii="Times New Roman" w:hAnsi="Times New Roman" w:cs="Times New Roman"/>
          <w:i/>
          <w:sz w:val="22"/>
          <w:szCs w:val="22"/>
          <w:lang w:val="en-US"/>
        </w:rPr>
        <w:t>The Caste Question</w:t>
      </w:r>
      <w:r>
        <w:rPr>
          <w:rFonts w:ascii="Times New Roman" w:hAnsi="Times New Roman" w:cs="Times New Roman"/>
          <w:i/>
          <w:sz w:val="22"/>
          <w:szCs w:val="22"/>
          <w:lang w:val="en-US"/>
        </w:rPr>
        <w:t>: Dalits and the Politics of Modern India</w:t>
      </w:r>
      <w:r>
        <w:rPr>
          <w:rFonts w:ascii="Times New Roman" w:hAnsi="Times New Roman" w:cs="Times New Roman"/>
          <w:sz w:val="22"/>
          <w:szCs w:val="22"/>
          <w:lang w:val="en-US"/>
        </w:rPr>
        <w:t xml:space="preserve"> (Berkeley, CA: University of California Press, 2009)</w:t>
      </w:r>
      <w:r w:rsidRPr="000953E6">
        <w:rPr>
          <w:rFonts w:ascii="Times New Roman" w:hAnsi="Times New Roman" w:cs="Times New Roman"/>
          <w:sz w:val="22"/>
          <w:szCs w:val="22"/>
          <w:lang w:val="en-US"/>
        </w:rPr>
        <w:t>, p. 135.</w:t>
      </w:r>
    </w:p>
  </w:footnote>
  <w:footnote w:id="14">
    <w:p w14:paraId="6C909151" w14:textId="77777777" w:rsidR="001A00C1" w:rsidRPr="00E807A6" w:rsidRDefault="001A00C1" w:rsidP="00800499">
      <w:pPr>
        <w:pStyle w:val="FootnoteText"/>
        <w:jc w:val="both"/>
        <w:rPr>
          <w:rFonts w:ascii="Times New Roman" w:hAnsi="Times New Roman" w:cs="Times New Roman"/>
          <w:sz w:val="22"/>
          <w:szCs w:val="22"/>
          <w:lang w:val="en-US"/>
        </w:rPr>
      </w:pPr>
      <w:r w:rsidRPr="00E807A6">
        <w:rPr>
          <w:rStyle w:val="FootnoteReference"/>
          <w:rFonts w:ascii="Times New Roman" w:hAnsi="Times New Roman" w:cs="Times New Roman"/>
          <w:sz w:val="22"/>
          <w:szCs w:val="22"/>
        </w:rPr>
        <w:footnoteRef/>
      </w:r>
      <w:r w:rsidRPr="00E807A6">
        <w:rPr>
          <w:rFonts w:ascii="Times New Roman" w:hAnsi="Times New Roman" w:cs="Times New Roman"/>
          <w:sz w:val="22"/>
          <w:szCs w:val="22"/>
        </w:rPr>
        <w:t xml:space="preserve"> </w:t>
      </w:r>
      <w:r w:rsidRPr="00E807A6">
        <w:rPr>
          <w:rFonts w:ascii="Times New Roman" w:hAnsi="Times New Roman" w:cs="Times New Roman"/>
          <w:sz w:val="22"/>
          <w:szCs w:val="22"/>
          <w:lang w:val="en-US"/>
        </w:rPr>
        <w:t xml:space="preserve">Jaffrelot, </w:t>
      </w:r>
      <w:r w:rsidRPr="00E807A6">
        <w:rPr>
          <w:rFonts w:ascii="Times New Roman" w:hAnsi="Times New Roman" w:cs="Times New Roman"/>
          <w:i/>
          <w:sz w:val="22"/>
          <w:szCs w:val="22"/>
          <w:lang w:val="en-US"/>
        </w:rPr>
        <w:t>The Pakistan Paradox</w:t>
      </w:r>
      <w:r w:rsidRPr="00E807A6">
        <w:rPr>
          <w:rFonts w:ascii="Times New Roman" w:hAnsi="Times New Roman" w:cs="Times New Roman"/>
          <w:sz w:val="22"/>
          <w:szCs w:val="22"/>
          <w:lang w:val="en-US"/>
        </w:rPr>
        <w:t xml:space="preserve">, p. 96; see also Jalal, </w:t>
      </w:r>
      <w:r w:rsidRPr="00E807A6">
        <w:rPr>
          <w:rFonts w:ascii="Times New Roman" w:hAnsi="Times New Roman" w:cs="Times New Roman"/>
          <w:i/>
          <w:sz w:val="22"/>
          <w:szCs w:val="22"/>
          <w:lang w:val="en-US"/>
        </w:rPr>
        <w:t>The Sole Spokesman</w:t>
      </w:r>
      <w:r w:rsidRPr="00E807A6">
        <w:rPr>
          <w:rFonts w:ascii="Times New Roman" w:hAnsi="Times New Roman" w:cs="Times New Roman"/>
          <w:sz w:val="22"/>
          <w:szCs w:val="22"/>
          <w:lang w:val="en-US"/>
        </w:rPr>
        <w:t>.</w:t>
      </w:r>
    </w:p>
  </w:footnote>
  <w:footnote w:id="15">
    <w:p w14:paraId="7DF93351" w14:textId="2847E868" w:rsidR="001A00C1" w:rsidRPr="004004D8" w:rsidRDefault="001A00C1" w:rsidP="00244261">
      <w:pPr>
        <w:pStyle w:val="FootnoteText"/>
        <w:jc w:val="both"/>
        <w:rPr>
          <w:rFonts w:ascii="Times New Roman" w:hAnsi="Times New Roman" w:cs="Times New Roman"/>
          <w:sz w:val="22"/>
          <w:szCs w:val="22"/>
          <w:lang w:val="en-US"/>
        </w:rPr>
      </w:pPr>
      <w:r w:rsidRPr="004004D8">
        <w:rPr>
          <w:rStyle w:val="FootnoteReference"/>
          <w:rFonts w:ascii="Times New Roman" w:hAnsi="Times New Roman" w:cs="Times New Roman"/>
          <w:sz w:val="22"/>
          <w:szCs w:val="22"/>
        </w:rPr>
        <w:footnoteRef/>
      </w:r>
      <w:r w:rsidRPr="004004D8">
        <w:rPr>
          <w:rFonts w:ascii="Times New Roman" w:hAnsi="Times New Roman" w:cs="Times New Roman"/>
          <w:sz w:val="22"/>
          <w:szCs w:val="22"/>
        </w:rPr>
        <w:t xml:space="preserve"> </w:t>
      </w:r>
      <w:r w:rsidRPr="004004D8">
        <w:rPr>
          <w:rFonts w:ascii="Times New Roman" w:hAnsi="Times New Roman" w:cs="Times New Roman"/>
          <w:sz w:val="22"/>
          <w:szCs w:val="22"/>
          <w:lang w:val="en-US"/>
        </w:rPr>
        <w:t xml:space="preserve">Dhulipala, </w:t>
      </w:r>
      <w:r w:rsidRPr="004004D8">
        <w:rPr>
          <w:rFonts w:ascii="Times New Roman" w:hAnsi="Times New Roman" w:cs="Times New Roman"/>
          <w:i/>
          <w:sz w:val="22"/>
          <w:szCs w:val="22"/>
          <w:lang w:val="en-US"/>
        </w:rPr>
        <w:t>Creating a New Medina</w:t>
      </w:r>
      <w:r>
        <w:rPr>
          <w:rFonts w:ascii="Times New Roman" w:hAnsi="Times New Roman" w:cs="Times New Roman"/>
          <w:sz w:val="22"/>
          <w:szCs w:val="22"/>
          <w:lang w:val="en-US"/>
        </w:rPr>
        <w:t>, p. 18.</w:t>
      </w:r>
    </w:p>
  </w:footnote>
  <w:footnote w:id="16">
    <w:p w14:paraId="4C9C8D5D" w14:textId="3456E266" w:rsidR="001A00C1" w:rsidRPr="004004D8" w:rsidRDefault="001A00C1" w:rsidP="004452D3">
      <w:pPr>
        <w:pStyle w:val="FootnoteText"/>
        <w:jc w:val="both"/>
        <w:rPr>
          <w:rFonts w:ascii="Times New Roman" w:hAnsi="Times New Roman" w:cs="Times New Roman"/>
          <w:sz w:val="22"/>
          <w:szCs w:val="22"/>
          <w:lang w:val="en-US"/>
        </w:rPr>
      </w:pPr>
      <w:r w:rsidRPr="004004D8">
        <w:rPr>
          <w:rStyle w:val="FootnoteReference"/>
          <w:rFonts w:ascii="Times New Roman" w:hAnsi="Times New Roman" w:cs="Times New Roman"/>
          <w:sz w:val="22"/>
          <w:szCs w:val="22"/>
        </w:rPr>
        <w:footnoteRef/>
      </w:r>
      <w:r w:rsidRPr="004004D8">
        <w:rPr>
          <w:rFonts w:ascii="Times New Roman" w:hAnsi="Times New Roman" w:cs="Times New Roman"/>
          <w:sz w:val="22"/>
          <w:szCs w:val="22"/>
        </w:rPr>
        <w:t xml:space="preserve"> </w:t>
      </w:r>
      <w:r w:rsidRPr="004004D8">
        <w:rPr>
          <w:rFonts w:ascii="Times New Roman" w:hAnsi="Times New Roman" w:cs="Times New Roman"/>
          <w:sz w:val="22"/>
          <w:szCs w:val="22"/>
          <w:lang w:val="en-US"/>
        </w:rPr>
        <w:t xml:space="preserve">Neilesh Bose, ‘Purba Pakistan Zindabad: Bengali Visions of Pakistan, 1940-1947’, </w:t>
      </w:r>
      <w:r>
        <w:rPr>
          <w:rFonts w:ascii="Times New Roman" w:hAnsi="Times New Roman" w:cs="Times New Roman"/>
          <w:i/>
          <w:sz w:val="22"/>
          <w:szCs w:val="22"/>
          <w:lang w:val="en-US"/>
        </w:rPr>
        <w:t>MAS</w:t>
      </w:r>
      <w:r>
        <w:rPr>
          <w:rFonts w:ascii="Times New Roman" w:hAnsi="Times New Roman" w:cs="Times New Roman"/>
          <w:sz w:val="22"/>
          <w:szCs w:val="22"/>
          <w:lang w:val="en-US"/>
        </w:rPr>
        <w:t>,</w:t>
      </w:r>
      <w:r w:rsidRPr="004004D8">
        <w:rPr>
          <w:rFonts w:ascii="Times New Roman" w:hAnsi="Times New Roman" w:cs="Times New Roman"/>
          <w:sz w:val="22"/>
          <w:szCs w:val="22"/>
          <w:lang w:val="en-US"/>
        </w:rPr>
        <w:t xml:space="preserve"> 48</w:t>
      </w:r>
      <w:r>
        <w:rPr>
          <w:rFonts w:ascii="Times New Roman" w:hAnsi="Times New Roman" w:cs="Times New Roman"/>
          <w:sz w:val="22"/>
          <w:szCs w:val="22"/>
          <w:lang w:val="en-US"/>
        </w:rPr>
        <w:t>.1</w:t>
      </w:r>
      <w:r w:rsidRPr="004004D8">
        <w:rPr>
          <w:rFonts w:ascii="Times New Roman" w:hAnsi="Times New Roman" w:cs="Times New Roman"/>
          <w:sz w:val="22"/>
          <w:szCs w:val="22"/>
          <w:lang w:val="en-US"/>
        </w:rPr>
        <w:t xml:space="preserve"> (2014), 1-36 (p. 8).</w:t>
      </w:r>
    </w:p>
  </w:footnote>
  <w:footnote w:id="17">
    <w:p w14:paraId="0115F8C8" w14:textId="77777777" w:rsidR="001A00C1" w:rsidRPr="00B810C1" w:rsidRDefault="001A00C1" w:rsidP="00ED4617">
      <w:pPr>
        <w:pStyle w:val="FootnoteText"/>
        <w:rPr>
          <w:rFonts w:ascii="Times New Roman" w:hAnsi="Times New Roman" w:cs="Times New Roman"/>
          <w:sz w:val="22"/>
          <w:szCs w:val="22"/>
          <w:lang w:val="en-US"/>
        </w:rPr>
      </w:pPr>
      <w:r w:rsidRPr="00B810C1">
        <w:rPr>
          <w:rStyle w:val="FootnoteReference"/>
          <w:rFonts w:ascii="Times New Roman" w:hAnsi="Times New Roman" w:cs="Times New Roman"/>
          <w:sz w:val="22"/>
          <w:szCs w:val="22"/>
        </w:rPr>
        <w:footnoteRef/>
      </w:r>
      <w:r w:rsidRPr="00B810C1">
        <w:rPr>
          <w:rFonts w:ascii="Times New Roman" w:hAnsi="Times New Roman" w:cs="Times New Roman"/>
          <w:sz w:val="22"/>
          <w:szCs w:val="22"/>
        </w:rPr>
        <w:t xml:space="preserve"> See, for example, </w:t>
      </w:r>
      <w:r w:rsidRPr="00B810C1">
        <w:rPr>
          <w:rFonts w:ascii="Times New Roman" w:hAnsi="Times New Roman" w:cs="Times New Roman"/>
          <w:sz w:val="22"/>
          <w:szCs w:val="22"/>
          <w:lang w:val="en-US"/>
        </w:rPr>
        <w:t xml:space="preserve">Jaffrelot, </w:t>
      </w:r>
      <w:r w:rsidRPr="00B810C1">
        <w:rPr>
          <w:rFonts w:ascii="Times New Roman" w:hAnsi="Times New Roman" w:cs="Times New Roman"/>
          <w:i/>
          <w:sz w:val="22"/>
          <w:szCs w:val="22"/>
          <w:lang w:val="en-US"/>
        </w:rPr>
        <w:t>The Pakistan Paradox</w:t>
      </w:r>
      <w:r w:rsidRPr="00B810C1">
        <w:rPr>
          <w:rFonts w:ascii="Times New Roman" w:hAnsi="Times New Roman" w:cs="Times New Roman"/>
          <w:sz w:val="22"/>
          <w:szCs w:val="22"/>
          <w:lang w:val="en-US"/>
        </w:rPr>
        <w:t>, p. 96.</w:t>
      </w:r>
    </w:p>
  </w:footnote>
  <w:footnote w:id="18">
    <w:p w14:paraId="42F5D285" w14:textId="77777777" w:rsidR="001A00C1" w:rsidRPr="00644C5C" w:rsidRDefault="001A00C1" w:rsidP="00ED4617">
      <w:pPr>
        <w:pStyle w:val="FootnoteText"/>
        <w:jc w:val="both"/>
        <w:rPr>
          <w:rFonts w:ascii="Times New Roman" w:hAnsi="Times New Roman" w:cs="Times New Roman"/>
          <w:sz w:val="22"/>
          <w:szCs w:val="22"/>
          <w:lang w:val="en-US"/>
        </w:rPr>
      </w:pPr>
      <w:r w:rsidRPr="00644C5C">
        <w:rPr>
          <w:rStyle w:val="FootnoteReference"/>
          <w:rFonts w:ascii="Times New Roman" w:hAnsi="Times New Roman" w:cs="Times New Roman"/>
          <w:sz w:val="22"/>
          <w:szCs w:val="22"/>
        </w:rPr>
        <w:footnoteRef/>
      </w:r>
      <w:r w:rsidRPr="00644C5C">
        <w:rPr>
          <w:rFonts w:ascii="Times New Roman" w:hAnsi="Times New Roman" w:cs="Times New Roman"/>
          <w:sz w:val="22"/>
          <w:szCs w:val="22"/>
        </w:rPr>
        <w:t xml:space="preserve"> Rajendra Prasad, </w:t>
      </w:r>
      <w:r w:rsidRPr="00644C5C">
        <w:rPr>
          <w:rFonts w:ascii="Times New Roman" w:hAnsi="Times New Roman" w:cs="Times New Roman"/>
          <w:i/>
          <w:sz w:val="22"/>
          <w:szCs w:val="22"/>
        </w:rPr>
        <w:t>India Divided</w:t>
      </w:r>
      <w:r w:rsidRPr="00644C5C">
        <w:rPr>
          <w:rFonts w:ascii="Times New Roman" w:hAnsi="Times New Roman" w:cs="Times New Roman"/>
          <w:sz w:val="22"/>
          <w:szCs w:val="22"/>
        </w:rPr>
        <w:t xml:space="preserve"> (Bombay</w:t>
      </w:r>
      <w:r>
        <w:rPr>
          <w:rFonts w:ascii="Times New Roman" w:hAnsi="Times New Roman" w:cs="Times New Roman"/>
          <w:sz w:val="22"/>
          <w:szCs w:val="22"/>
        </w:rPr>
        <w:t>: Hind Kitabs Limited, 1947 [1946]</w:t>
      </w:r>
      <w:r w:rsidRPr="00644C5C">
        <w:rPr>
          <w:rFonts w:ascii="Times New Roman" w:hAnsi="Times New Roman" w:cs="Times New Roman"/>
          <w:sz w:val="22"/>
          <w:szCs w:val="22"/>
        </w:rPr>
        <w:t xml:space="preserve">), </w:t>
      </w:r>
      <w:r>
        <w:rPr>
          <w:rFonts w:ascii="Times New Roman" w:hAnsi="Times New Roman" w:cs="Times New Roman"/>
          <w:sz w:val="22"/>
          <w:szCs w:val="22"/>
        </w:rPr>
        <w:t>p. 220</w:t>
      </w:r>
      <w:r w:rsidRPr="00644C5C">
        <w:rPr>
          <w:rFonts w:ascii="Times New Roman" w:hAnsi="Times New Roman" w:cs="Times New Roman"/>
          <w:sz w:val="22"/>
          <w:szCs w:val="22"/>
        </w:rPr>
        <w:t>.</w:t>
      </w:r>
    </w:p>
  </w:footnote>
  <w:footnote w:id="19">
    <w:p w14:paraId="6B9A0531" w14:textId="77777777" w:rsidR="001A00C1" w:rsidRPr="00201F8F" w:rsidRDefault="001A00C1" w:rsidP="00ED4617">
      <w:pPr>
        <w:pStyle w:val="FootnoteText"/>
        <w:jc w:val="both"/>
        <w:rPr>
          <w:rFonts w:ascii="Times New Roman" w:hAnsi="Times New Roman" w:cs="Times New Roman"/>
          <w:sz w:val="22"/>
          <w:szCs w:val="22"/>
          <w:lang w:val="en-US"/>
        </w:rPr>
      </w:pPr>
      <w:r w:rsidRPr="00201F8F">
        <w:rPr>
          <w:rStyle w:val="FootnoteReference"/>
          <w:rFonts w:ascii="Times New Roman" w:hAnsi="Times New Roman" w:cs="Times New Roman"/>
          <w:sz w:val="22"/>
          <w:szCs w:val="22"/>
        </w:rPr>
        <w:footnoteRef/>
      </w:r>
      <w:r w:rsidRPr="00201F8F">
        <w:rPr>
          <w:rFonts w:ascii="Times New Roman" w:hAnsi="Times New Roman" w:cs="Times New Roman"/>
          <w:sz w:val="22"/>
          <w:szCs w:val="22"/>
        </w:rPr>
        <w:t xml:space="preserve"> </w:t>
      </w:r>
      <w:r w:rsidRPr="00201F8F">
        <w:rPr>
          <w:rFonts w:ascii="Times New Roman" w:hAnsi="Times New Roman" w:cs="Times New Roman"/>
          <w:i/>
          <w:sz w:val="22"/>
          <w:szCs w:val="22"/>
          <w:lang w:val="en-US"/>
        </w:rPr>
        <w:t>Ibid.</w:t>
      </w:r>
      <w:r w:rsidRPr="00201F8F">
        <w:rPr>
          <w:rFonts w:ascii="Times New Roman" w:hAnsi="Times New Roman" w:cs="Times New Roman"/>
          <w:sz w:val="22"/>
          <w:szCs w:val="22"/>
          <w:lang w:val="en-US"/>
        </w:rPr>
        <w:t>, pp. 213, 220.</w:t>
      </w:r>
    </w:p>
  </w:footnote>
  <w:footnote w:id="20">
    <w:p w14:paraId="0EC61C0B" w14:textId="77777777" w:rsidR="001A00C1" w:rsidRPr="00201F8F" w:rsidRDefault="001A00C1" w:rsidP="00ED4617">
      <w:pPr>
        <w:pStyle w:val="FootnoteText"/>
        <w:jc w:val="both"/>
        <w:rPr>
          <w:rFonts w:ascii="Times New Roman" w:hAnsi="Times New Roman" w:cs="Times New Roman"/>
          <w:sz w:val="22"/>
          <w:szCs w:val="22"/>
          <w:lang w:val="en-US"/>
        </w:rPr>
      </w:pPr>
      <w:r w:rsidRPr="00201F8F">
        <w:rPr>
          <w:rStyle w:val="FootnoteReference"/>
          <w:rFonts w:ascii="Times New Roman" w:hAnsi="Times New Roman" w:cs="Times New Roman"/>
          <w:sz w:val="22"/>
          <w:szCs w:val="22"/>
        </w:rPr>
        <w:footnoteRef/>
      </w:r>
      <w:r w:rsidRPr="00201F8F">
        <w:rPr>
          <w:rFonts w:ascii="Times New Roman" w:hAnsi="Times New Roman" w:cs="Times New Roman"/>
          <w:sz w:val="22"/>
          <w:szCs w:val="22"/>
        </w:rPr>
        <w:t xml:space="preserve"> </w:t>
      </w:r>
      <w:r w:rsidRPr="00201F8F">
        <w:rPr>
          <w:rFonts w:ascii="Times New Roman" w:hAnsi="Times New Roman" w:cs="Times New Roman"/>
          <w:sz w:val="22"/>
          <w:szCs w:val="22"/>
          <w:lang w:val="en-US"/>
        </w:rPr>
        <w:t>Jinnah, ‘Message to the Bombay Presidency Provincial Muslim League Conference</w:t>
      </w:r>
      <w:r>
        <w:rPr>
          <w:rFonts w:ascii="Times New Roman" w:hAnsi="Times New Roman" w:cs="Times New Roman"/>
          <w:sz w:val="22"/>
          <w:szCs w:val="22"/>
          <w:lang w:val="en-US"/>
        </w:rPr>
        <w:t>’</w:t>
      </w:r>
      <w:r w:rsidRPr="00201F8F">
        <w:rPr>
          <w:rFonts w:ascii="Times New Roman" w:hAnsi="Times New Roman" w:cs="Times New Roman"/>
          <w:sz w:val="22"/>
          <w:szCs w:val="22"/>
          <w:lang w:val="en-US"/>
        </w:rPr>
        <w:t>.</w:t>
      </w:r>
    </w:p>
  </w:footnote>
  <w:footnote w:id="21">
    <w:p w14:paraId="612E938F" w14:textId="77777777" w:rsidR="001A00C1" w:rsidRPr="0042635B" w:rsidRDefault="001A00C1" w:rsidP="00ED4617">
      <w:pPr>
        <w:pStyle w:val="FootnoteText"/>
        <w:jc w:val="both"/>
        <w:rPr>
          <w:rFonts w:ascii="Times New Roman" w:hAnsi="Times New Roman" w:cs="Times New Roman"/>
          <w:sz w:val="22"/>
          <w:szCs w:val="22"/>
          <w:lang w:val="en-US"/>
        </w:rPr>
      </w:pPr>
      <w:r w:rsidRPr="0042635B">
        <w:rPr>
          <w:rStyle w:val="FootnoteReference"/>
          <w:rFonts w:ascii="Times New Roman" w:hAnsi="Times New Roman" w:cs="Times New Roman"/>
          <w:sz w:val="22"/>
          <w:szCs w:val="22"/>
        </w:rPr>
        <w:footnoteRef/>
      </w:r>
      <w:r w:rsidRPr="0042635B">
        <w:rPr>
          <w:rFonts w:ascii="Times New Roman" w:hAnsi="Times New Roman" w:cs="Times New Roman"/>
          <w:sz w:val="22"/>
          <w:szCs w:val="22"/>
        </w:rPr>
        <w:t xml:space="preserve"> The anagram was the brainchild of Cambridge student Rehmat Ali, and literally meant ‘land of the pure’. Its geographical rootedness was evident in the meanings behind the letters that made up the </w:t>
      </w:r>
      <w:r>
        <w:rPr>
          <w:rFonts w:ascii="Times New Roman" w:hAnsi="Times New Roman" w:cs="Times New Roman"/>
          <w:sz w:val="22"/>
          <w:szCs w:val="22"/>
        </w:rPr>
        <w:t xml:space="preserve">actual </w:t>
      </w:r>
      <w:r w:rsidRPr="0042635B">
        <w:rPr>
          <w:rFonts w:ascii="Times New Roman" w:hAnsi="Times New Roman" w:cs="Times New Roman"/>
          <w:sz w:val="22"/>
          <w:szCs w:val="22"/>
        </w:rPr>
        <w:t xml:space="preserve">anagram: ‘P’ referred to Punjab; ‘A’ to the Afghans (or Pathans of North West Frontier Province); ‘K’ to Kashmir; ‘S’ to Sindh; and the ‘tan’ to Baluchistan. </w:t>
      </w:r>
      <w:r>
        <w:rPr>
          <w:rFonts w:ascii="Times New Roman" w:hAnsi="Times New Roman" w:cs="Times New Roman"/>
          <w:sz w:val="22"/>
          <w:szCs w:val="22"/>
        </w:rPr>
        <w:t>Significantly, this only applied to what came to constitute West Pakistan;</w:t>
      </w:r>
      <w:r w:rsidRPr="0042635B">
        <w:rPr>
          <w:rFonts w:ascii="Times New Roman" w:hAnsi="Times New Roman" w:cs="Times New Roman"/>
          <w:sz w:val="22"/>
          <w:szCs w:val="22"/>
        </w:rPr>
        <w:t xml:space="preserve"> Bengal</w:t>
      </w:r>
      <w:r>
        <w:rPr>
          <w:rFonts w:ascii="Times New Roman" w:hAnsi="Times New Roman" w:cs="Times New Roman"/>
          <w:sz w:val="22"/>
          <w:szCs w:val="22"/>
        </w:rPr>
        <w:t xml:space="preserve"> was missing from the equation</w:t>
      </w:r>
      <w:r w:rsidRPr="0042635B">
        <w:rPr>
          <w:rFonts w:ascii="Times New Roman" w:hAnsi="Times New Roman" w:cs="Times New Roman"/>
          <w:sz w:val="22"/>
          <w:szCs w:val="22"/>
        </w:rPr>
        <w:t>.</w:t>
      </w:r>
    </w:p>
  </w:footnote>
  <w:footnote w:id="22">
    <w:p w14:paraId="52DFAC51" w14:textId="77777777" w:rsidR="001A00C1" w:rsidRPr="00EF20C6" w:rsidRDefault="001A00C1" w:rsidP="00ED4617">
      <w:pPr>
        <w:pStyle w:val="FootnoteText"/>
        <w:jc w:val="both"/>
        <w:rPr>
          <w:rFonts w:ascii="Times New Roman" w:hAnsi="Times New Roman" w:cs="Times New Roman"/>
          <w:sz w:val="22"/>
          <w:szCs w:val="22"/>
          <w:lang w:val="en-US"/>
        </w:rPr>
      </w:pPr>
      <w:r w:rsidRPr="00EF20C6">
        <w:rPr>
          <w:rStyle w:val="FootnoteReference"/>
          <w:rFonts w:ascii="Times New Roman" w:hAnsi="Times New Roman" w:cs="Times New Roman"/>
          <w:sz w:val="22"/>
          <w:szCs w:val="22"/>
        </w:rPr>
        <w:footnoteRef/>
      </w:r>
      <w:r w:rsidRPr="00EF20C6">
        <w:rPr>
          <w:rFonts w:ascii="Times New Roman" w:hAnsi="Times New Roman" w:cs="Times New Roman"/>
          <w:sz w:val="22"/>
          <w:szCs w:val="22"/>
        </w:rPr>
        <w:t xml:space="preserve"> </w:t>
      </w:r>
      <w:r w:rsidRPr="00EF20C6">
        <w:rPr>
          <w:rFonts w:ascii="Times New Roman" w:hAnsi="Times New Roman" w:cs="Times New Roman"/>
          <w:sz w:val="22"/>
          <w:szCs w:val="22"/>
          <w:lang w:val="en-US"/>
        </w:rPr>
        <w:t xml:space="preserve">Jawaharlal Nehru, </w:t>
      </w:r>
      <w:r w:rsidRPr="00EF20C6">
        <w:rPr>
          <w:rFonts w:ascii="Times New Roman" w:hAnsi="Times New Roman" w:cs="Times New Roman"/>
          <w:i/>
          <w:sz w:val="22"/>
          <w:szCs w:val="22"/>
          <w:lang w:val="en-US"/>
        </w:rPr>
        <w:t>The Discovery of India</w:t>
      </w:r>
      <w:r w:rsidRPr="00EF20C6">
        <w:rPr>
          <w:rFonts w:ascii="Times New Roman" w:hAnsi="Times New Roman" w:cs="Times New Roman"/>
          <w:sz w:val="22"/>
          <w:szCs w:val="22"/>
          <w:lang w:val="en-US"/>
        </w:rPr>
        <w:t xml:space="preserve"> (New Delhi: Penguin, 2004 [1946]), p. 389.</w:t>
      </w:r>
    </w:p>
  </w:footnote>
  <w:footnote w:id="23">
    <w:p w14:paraId="69E27152" w14:textId="77777777" w:rsidR="001A00C1" w:rsidRPr="00F86E7D" w:rsidRDefault="001A00C1" w:rsidP="00ED4617">
      <w:pPr>
        <w:pStyle w:val="FootnoteText"/>
        <w:jc w:val="both"/>
        <w:rPr>
          <w:rFonts w:ascii="Times New Roman" w:hAnsi="Times New Roman" w:cs="Times New Roman"/>
          <w:sz w:val="22"/>
          <w:szCs w:val="22"/>
          <w:lang w:val="en-US"/>
        </w:rPr>
      </w:pPr>
      <w:r w:rsidRPr="00F86E7D">
        <w:rPr>
          <w:rStyle w:val="FootnoteReference"/>
          <w:rFonts w:ascii="Times New Roman" w:hAnsi="Times New Roman" w:cs="Times New Roman"/>
          <w:sz w:val="22"/>
          <w:szCs w:val="22"/>
        </w:rPr>
        <w:footnoteRef/>
      </w:r>
      <w:r w:rsidRPr="00F86E7D">
        <w:rPr>
          <w:rFonts w:ascii="Times New Roman" w:hAnsi="Times New Roman" w:cs="Times New Roman"/>
          <w:sz w:val="22"/>
          <w:szCs w:val="22"/>
        </w:rPr>
        <w:t xml:space="preserve"> </w:t>
      </w:r>
      <w:r w:rsidRPr="00F86E7D">
        <w:rPr>
          <w:rFonts w:ascii="Times New Roman" w:hAnsi="Times New Roman" w:cs="Times New Roman"/>
          <w:sz w:val="22"/>
          <w:szCs w:val="22"/>
          <w:lang w:val="en-US"/>
        </w:rPr>
        <w:t xml:space="preserve">Rochana Bajpai, </w:t>
      </w:r>
      <w:r w:rsidRPr="00F86E7D">
        <w:rPr>
          <w:rFonts w:ascii="Times New Roman" w:hAnsi="Times New Roman" w:cs="Times New Roman"/>
          <w:i/>
          <w:sz w:val="22"/>
          <w:szCs w:val="22"/>
          <w:lang w:val="en-US"/>
        </w:rPr>
        <w:t>Debating Difference: Group Rights and Liberal Democracy in India</w:t>
      </w:r>
      <w:r w:rsidRPr="00F86E7D">
        <w:rPr>
          <w:rFonts w:ascii="Times New Roman" w:hAnsi="Times New Roman" w:cs="Times New Roman"/>
          <w:sz w:val="22"/>
          <w:szCs w:val="22"/>
          <w:lang w:val="en-US"/>
        </w:rPr>
        <w:t xml:space="preserve"> (New Delhi: Oxford University Press, 2011).</w:t>
      </w:r>
    </w:p>
  </w:footnote>
  <w:footnote w:id="24">
    <w:p w14:paraId="2F224516" w14:textId="531F53B1" w:rsidR="001A00C1" w:rsidRPr="00BD2244" w:rsidRDefault="001A00C1" w:rsidP="00ED4617">
      <w:pPr>
        <w:pStyle w:val="FootnoteText"/>
        <w:jc w:val="both"/>
        <w:rPr>
          <w:rFonts w:ascii="Times New Roman" w:hAnsi="Times New Roman" w:cs="Times New Roman"/>
          <w:sz w:val="22"/>
          <w:szCs w:val="22"/>
          <w:lang w:val="en-US"/>
        </w:rPr>
      </w:pPr>
      <w:r w:rsidRPr="00BD2244">
        <w:rPr>
          <w:rStyle w:val="FootnoteReference"/>
          <w:rFonts w:ascii="Times New Roman" w:hAnsi="Times New Roman" w:cs="Times New Roman"/>
          <w:sz w:val="22"/>
          <w:szCs w:val="22"/>
        </w:rPr>
        <w:footnoteRef/>
      </w:r>
      <w:r w:rsidRPr="00BD2244">
        <w:rPr>
          <w:rFonts w:ascii="Times New Roman" w:hAnsi="Times New Roman" w:cs="Times New Roman"/>
          <w:sz w:val="22"/>
          <w:szCs w:val="22"/>
        </w:rPr>
        <w:t xml:space="preserve"> </w:t>
      </w:r>
      <w:r w:rsidRPr="00BD2244">
        <w:rPr>
          <w:rFonts w:ascii="Times New Roman" w:hAnsi="Times New Roman" w:cs="Times New Roman"/>
          <w:sz w:val="22"/>
          <w:szCs w:val="22"/>
          <w:lang w:val="en-US"/>
        </w:rPr>
        <w:t xml:space="preserve">Rao, </w:t>
      </w:r>
      <w:r w:rsidRPr="00BD2244">
        <w:rPr>
          <w:rFonts w:ascii="Times New Roman" w:hAnsi="Times New Roman" w:cs="Times New Roman"/>
          <w:i/>
          <w:sz w:val="22"/>
          <w:szCs w:val="22"/>
          <w:lang w:val="en-US"/>
        </w:rPr>
        <w:t>The Caste Question</w:t>
      </w:r>
      <w:r>
        <w:rPr>
          <w:rFonts w:ascii="Times New Roman" w:hAnsi="Times New Roman" w:cs="Times New Roman"/>
          <w:sz w:val="22"/>
          <w:szCs w:val="22"/>
          <w:lang w:val="en-US"/>
        </w:rPr>
        <w:t>,</w:t>
      </w:r>
      <w:r w:rsidRPr="00BD2244">
        <w:rPr>
          <w:rFonts w:ascii="Times New Roman" w:hAnsi="Times New Roman" w:cs="Times New Roman"/>
          <w:sz w:val="22"/>
          <w:szCs w:val="22"/>
          <w:lang w:val="en-US"/>
        </w:rPr>
        <w:t xml:space="preserve"> pp. 20, 131.</w:t>
      </w:r>
    </w:p>
  </w:footnote>
  <w:footnote w:id="25">
    <w:p w14:paraId="50C11EDA" w14:textId="77777777" w:rsidR="001A00C1" w:rsidRPr="00D24266" w:rsidRDefault="001A00C1" w:rsidP="00ED4617">
      <w:pPr>
        <w:pStyle w:val="FootnoteText"/>
        <w:jc w:val="both"/>
        <w:rPr>
          <w:rFonts w:ascii="Times New Roman" w:hAnsi="Times New Roman" w:cs="Times New Roman"/>
          <w:sz w:val="22"/>
          <w:szCs w:val="22"/>
          <w:lang w:val="en-US"/>
        </w:rPr>
      </w:pPr>
      <w:r w:rsidRPr="00D24266">
        <w:rPr>
          <w:rStyle w:val="FootnoteReference"/>
          <w:rFonts w:ascii="Times New Roman" w:hAnsi="Times New Roman" w:cs="Times New Roman"/>
          <w:sz w:val="22"/>
          <w:szCs w:val="22"/>
        </w:rPr>
        <w:footnoteRef/>
      </w:r>
      <w:r w:rsidRPr="00D24266">
        <w:rPr>
          <w:rFonts w:ascii="Times New Roman" w:hAnsi="Times New Roman" w:cs="Times New Roman"/>
          <w:sz w:val="22"/>
          <w:szCs w:val="22"/>
        </w:rPr>
        <w:t xml:space="preserve"> </w:t>
      </w:r>
      <w:r>
        <w:rPr>
          <w:rFonts w:ascii="Times New Roman" w:hAnsi="Times New Roman" w:cs="Times New Roman"/>
          <w:sz w:val="22"/>
          <w:szCs w:val="22"/>
        </w:rPr>
        <w:t xml:space="preserve">It is worth pointing out that this ‘secular’ versus ‘Hindu nationalism’ dichotomy within the Congress, with the former based on a Nehruvian form of secularism, itself does not stand up to concerted scrutiny. See, </w:t>
      </w:r>
      <w:r w:rsidRPr="00D24266">
        <w:rPr>
          <w:rFonts w:ascii="Times New Roman" w:hAnsi="Times New Roman" w:cs="Times New Roman"/>
          <w:sz w:val="22"/>
          <w:szCs w:val="22"/>
          <w:lang w:val="en-US"/>
        </w:rPr>
        <w:t xml:space="preserve">William Gould, ‘Contesting Secularism in Colonial and Postcolonial North India Between the 1930s and 1950s’, </w:t>
      </w:r>
      <w:r w:rsidRPr="00D24266">
        <w:rPr>
          <w:rFonts w:ascii="Times New Roman" w:hAnsi="Times New Roman" w:cs="Times New Roman"/>
          <w:i/>
          <w:sz w:val="22"/>
          <w:szCs w:val="22"/>
          <w:lang w:val="en-US"/>
        </w:rPr>
        <w:t>Contemporary South Asia</w:t>
      </w:r>
      <w:r w:rsidRPr="00D24266">
        <w:rPr>
          <w:rFonts w:ascii="Times New Roman" w:hAnsi="Times New Roman" w:cs="Times New Roman"/>
          <w:sz w:val="22"/>
          <w:szCs w:val="22"/>
          <w:lang w:val="en-US"/>
        </w:rPr>
        <w:t xml:space="preserve">, 14.4 (2005), pp. 481-494. </w:t>
      </w:r>
    </w:p>
  </w:footnote>
  <w:footnote w:id="26">
    <w:p w14:paraId="1BC98470" w14:textId="77777777" w:rsidR="001A00C1" w:rsidRPr="00AE7682" w:rsidRDefault="001A00C1" w:rsidP="00ED4617">
      <w:pPr>
        <w:pStyle w:val="FootnoteText"/>
        <w:jc w:val="both"/>
        <w:rPr>
          <w:rFonts w:ascii="Times New Roman" w:hAnsi="Times New Roman" w:cs="Times New Roman"/>
          <w:sz w:val="22"/>
          <w:szCs w:val="22"/>
          <w:lang w:val="en-US"/>
        </w:rPr>
      </w:pPr>
      <w:r w:rsidRPr="00AE7682">
        <w:rPr>
          <w:rStyle w:val="FootnoteReference"/>
          <w:rFonts w:ascii="Times New Roman" w:hAnsi="Times New Roman" w:cs="Times New Roman"/>
          <w:sz w:val="22"/>
          <w:szCs w:val="22"/>
        </w:rPr>
        <w:footnoteRef/>
      </w:r>
      <w:r w:rsidRPr="00AE7682">
        <w:rPr>
          <w:rFonts w:ascii="Times New Roman" w:hAnsi="Times New Roman" w:cs="Times New Roman"/>
          <w:sz w:val="22"/>
          <w:szCs w:val="22"/>
        </w:rPr>
        <w:t xml:space="preserve"> </w:t>
      </w:r>
      <w:r w:rsidRPr="00AE7682">
        <w:rPr>
          <w:rFonts w:ascii="Times New Roman" w:hAnsi="Times New Roman" w:cs="Times New Roman"/>
          <w:sz w:val="22"/>
          <w:szCs w:val="22"/>
          <w:lang w:val="en-US"/>
        </w:rPr>
        <w:t xml:space="preserve">Mrinalini Sinha, </w:t>
      </w:r>
      <w:r w:rsidRPr="00AE7682">
        <w:rPr>
          <w:rFonts w:ascii="Times New Roman" w:hAnsi="Times New Roman" w:cs="Times New Roman"/>
          <w:i/>
          <w:sz w:val="22"/>
          <w:szCs w:val="22"/>
          <w:lang w:val="en-US"/>
        </w:rPr>
        <w:t>Specters of Mother India: The Global Restructuring of an Empire</w:t>
      </w:r>
      <w:r w:rsidRPr="00AE7682">
        <w:rPr>
          <w:rFonts w:ascii="Times New Roman" w:hAnsi="Times New Roman" w:cs="Times New Roman"/>
          <w:sz w:val="22"/>
          <w:szCs w:val="22"/>
          <w:lang w:val="en-US"/>
        </w:rPr>
        <w:t xml:space="preserve"> (Durham, NC: Duke University Press, 2006), p. 14; Eleanor Newbigin, </w:t>
      </w:r>
      <w:r w:rsidRPr="00AE7682">
        <w:rPr>
          <w:rFonts w:ascii="Times New Roman" w:hAnsi="Times New Roman" w:cs="Times New Roman"/>
          <w:i/>
          <w:sz w:val="22"/>
          <w:szCs w:val="22"/>
          <w:lang w:val="en-US"/>
        </w:rPr>
        <w:t>The Hindu Family and the Emergence of Modern India: Law, Citizenship and Community</w:t>
      </w:r>
      <w:r w:rsidRPr="00AE7682">
        <w:rPr>
          <w:rFonts w:ascii="Times New Roman" w:hAnsi="Times New Roman" w:cs="Times New Roman"/>
          <w:sz w:val="22"/>
          <w:szCs w:val="22"/>
          <w:lang w:val="en-US"/>
        </w:rPr>
        <w:t xml:space="preserve"> (Cambridge: Cambridge University Press, 2013), pp. 8-9.</w:t>
      </w:r>
    </w:p>
  </w:footnote>
  <w:footnote w:id="27">
    <w:p w14:paraId="1CEA7E1A" w14:textId="675B72D4" w:rsidR="001A00C1" w:rsidRPr="009B5725" w:rsidRDefault="001A00C1" w:rsidP="00ED4617">
      <w:pPr>
        <w:pStyle w:val="FootnoteText"/>
        <w:jc w:val="both"/>
        <w:rPr>
          <w:rFonts w:ascii="Times New Roman" w:hAnsi="Times New Roman" w:cs="Times New Roman"/>
          <w:sz w:val="22"/>
          <w:szCs w:val="22"/>
          <w:lang w:val="en-US"/>
        </w:rPr>
      </w:pPr>
      <w:r w:rsidRPr="0089163A">
        <w:rPr>
          <w:rStyle w:val="FootnoteReference"/>
          <w:rFonts w:ascii="Times New Roman" w:hAnsi="Times New Roman" w:cs="Times New Roman"/>
          <w:sz w:val="22"/>
          <w:szCs w:val="22"/>
        </w:rPr>
        <w:footnoteRef/>
      </w:r>
      <w:r w:rsidRPr="0089163A">
        <w:rPr>
          <w:rFonts w:ascii="Times New Roman" w:hAnsi="Times New Roman" w:cs="Times New Roman"/>
          <w:sz w:val="22"/>
          <w:szCs w:val="22"/>
        </w:rPr>
        <w:t xml:space="preserve"> </w:t>
      </w:r>
      <w:r w:rsidRPr="0089163A">
        <w:rPr>
          <w:rFonts w:ascii="Times New Roman" w:hAnsi="Times New Roman" w:cs="Times New Roman"/>
          <w:sz w:val="22"/>
          <w:szCs w:val="22"/>
          <w:lang w:val="en-US"/>
        </w:rPr>
        <w:t xml:space="preserve">For a similar point, see, David Gilmartin, ‘Partition, Pakistan, and South Asian History: In Search of a Narrative’, </w:t>
      </w:r>
      <w:r w:rsidRPr="0089163A">
        <w:rPr>
          <w:rFonts w:ascii="Times New Roman" w:hAnsi="Times New Roman" w:cs="Times New Roman"/>
          <w:i/>
          <w:sz w:val="22"/>
          <w:szCs w:val="22"/>
          <w:lang w:val="en-US"/>
        </w:rPr>
        <w:t>The Journal of Asian Studies</w:t>
      </w:r>
      <w:r w:rsidRPr="0089163A">
        <w:rPr>
          <w:rFonts w:ascii="Times New Roman" w:hAnsi="Times New Roman" w:cs="Times New Roman"/>
          <w:sz w:val="22"/>
          <w:szCs w:val="22"/>
          <w:lang w:val="en-US"/>
        </w:rPr>
        <w:t>, 57.4 (19</w:t>
      </w:r>
      <w:r>
        <w:rPr>
          <w:rFonts w:ascii="Times New Roman" w:hAnsi="Times New Roman" w:cs="Times New Roman"/>
          <w:sz w:val="22"/>
          <w:szCs w:val="22"/>
          <w:lang w:val="en-US"/>
        </w:rPr>
        <w:t>98), 1068-1095 (p. 1073, fn. 3); the papers on Indian constitutionalism in a special issue of</w:t>
      </w:r>
      <w:r w:rsidRPr="00D23ADA">
        <w:rPr>
          <w:rFonts w:ascii="Times New Roman" w:hAnsi="Times New Roman" w:cs="Times New Roman"/>
          <w:i/>
          <w:sz w:val="22"/>
          <w:szCs w:val="22"/>
          <w:lang w:val="en-US"/>
        </w:rPr>
        <w:t xml:space="preserve"> </w:t>
      </w:r>
      <w:r>
        <w:rPr>
          <w:rFonts w:ascii="Times New Roman" w:hAnsi="Times New Roman" w:cs="Times New Roman"/>
          <w:i/>
          <w:sz w:val="22"/>
          <w:szCs w:val="22"/>
          <w:lang w:val="en-US"/>
        </w:rPr>
        <w:t>Comparative Studies of South Asia, Africa and the Middle East</w:t>
      </w:r>
      <w:r>
        <w:rPr>
          <w:rFonts w:ascii="Times New Roman" w:hAnsi="Times New Roman" w:cs="Times New Roman"/>
          <w:sz w:val="22"/>
          <w:szCs w:val="22"/>
          <w:lang w:val="en-US"/>
        </w:rPr>
        <w:t xml:space="preserve"> [henceforth </w:t>
      </w:r>
      <w:r>
        <w:rPr>
          <w:rFonts w:ascii="Times New Roman" w:hAnsi="Times New Roman" w:cs="Times New Roman"/>
          <w:i/>
          <w:sz w:val="22"/>
          <w:szCs w:val="22"/>
          <w:lang w:val="en-US"/>
        </w:rPr>
        <w:t>CSSAAME</w:t>
      </w:r>
      <w:r>
        <w:rPr>
          <w:rFonts w:ascii="Times New Roman" w:hAnsi="Times New Roman" w:cs="Times New Roman"/>
          <w:sz w:val="22"/>
          <w:szCs w:val="22"/>
          <w:lang w:val="en-US"/>
        </w:rPr>
        <w:t>], 36.1 (2016), 42-101, mark an initial attempt to contribute to greater understandings of this process of provincialisation.</w:t>
      </w:r>
    </w:p>
  </w:footnote>
  <w:footnote w:id="28">
    <w:p w14:paraId="6AF474DF" w14:textId="77777777" w:rsidR="001A00C1" w:rsidRPr="00B908D5" w:rsidRDefault="001A00C1" w:rsidP="00ED4617">
      <w:pPr>
        <w:pStyle w:val="FootnoteText"/>
        <w:jc w:val="both"/>
        <w:rPr>
          <w:rFonts w:ascii="Times New Roman" w:hAnsi="Times New Roman" w:cs="Times New Roman"/>
          <w:sz w:val="22"/>
          <w:szCs w:val="22"/>
          <w:lang w:val="en-US"/>
        </w:rPr>
      </w:pPr>
      <w:r w:rsidRPr="00B908D5">
        <w:rPr>
          <w:rStyle w:val="FootnoteReference"/>
          <w:rFonts w:ascii="Times New Roman" w:hAnsi="Times New Roman" w:cs="Times New Roman"/>
          <w:sz w:val="22"/>
          <w:szCs w:val="22"/>
        </w:rPr>
        <w:footnoteRef/>
      </w:r>
      <w:r w:rsidRPr="00B908D5">
        <w:rPr>
          <w:rFonts w:ascii="Times New Roman" w:hAnsi="Times New Roman" w:cs="Times New Roman"/>
          <w:sz w:val="22"/>
          <w:szCs w:val="22"/>
        </w:rPr>
        <w:t xml:space="preserve"> Gyanendra Pandey, </w:t>
      </w:r>
      <w:r w:rsidRPr="00B908D5">
        <w:rPr>
          <w:rFonts w:ascii="Times New Roman" w:hAnsi="Times New Roman" w:cs="Times New Roman"/>
          <w:i/>
          <w:sz w:val="22"/>
          <w:szCs w:val="22"/>
        </w:rPr>
        <w:t>The Construction of Communalism in Colonial North India</w:t>
      </w:r>
      <w:r w:rsidRPr="00B908D5">
        <w:rPr>
          <w:rFonts w:ascii="Times New Roman" w:hAnsi="Times New Roman" w:cs="Times New Roman"/>
          <w:sz w:val="22"/>
          <w:szCs w:val="22"/>
        </w:rPr>
        <w:t xml:space="preserve"> (New Delhi: Oxford University Press, 1990); </w:t>
      </w:r>
      <w:r w:rsidRPr="00B908D5">
        <w:rPr>
          <w:rFonts w:ascii="Times New Roman" w:hAnsi="Times New Roman" w:cs="Times New Roman"/>
          <w:sz w:val="22"/>
          <w:szCs w:val="22"/>
          <w:lang w:val="en-US"/>
        </w:rPr>
        <w:t xml:space="preserve">Susan Bayly, </w:t>
      </w:r>
      <w:r w:rsidRPr="00B908D5">
        <w:rPr>
          <w:rFonts w:ascii="Times New Roman" w:hAnsi="Times New Roman" w:cs="Times New Roman"/>
          <w:i/>
          <w:sz w:val="22"/>
          <w:szCs w:val="22"/>
          <w:lang w:val="en-US"/>
        </w:rPr>
        <w:t>Caste, Society and Politics in India from the Eighteenth Century to the Modern Age</w:t>
      </w:r>
      <w:r w:rsidRPr="00B908D5">
        <w:rPr>
          <w:rFonts w:ascii="Times New Roman" w:hAnsi="Times New Roman" w:cs="Times New Roman"/>
          <w:sz w:val="22"/>
          <w:szCs w:val="22"/>
          <w:lang w:val="en-US"/>
        </w:rPr>
        <w:t xml:space="preserve"> (Cambridge: Cambridge University Press, 1999); Nicholas Dirks, </w:t>
      </w:r>
      <w:r w:rsidRPr="00B908D5">
        <w:rPr>
          <w:rFonts w:ascii="Times New Roman" w:hAnsi="Times New Roman" w:cs="Times New Roman"/>
          <w:i/>
          <w:sz w:val="22"/>
          <w:szCs w:val="22"/>
          <w:lang w:val="en-US"/>
        </w:rPr>
        <w:t>Castes of Mind: Colonialism and the Making of Modern India</w:t>
      </w:r>
      <w:r w:rsidRPr="00B908D5">
        <w:rPr>
          <w:rFonts w:ascii="Times New Roman" w:hAnsi="Times New Roman" w:cs="Times New Roman"/>
          <w:sz w:val="22"/>
          <w:szCs w:val="22"/>
          <w:lang w:val="en-US"/>
        </w:rPr>
        <w:t xml:space="preserve"> (Princeton, NJ: Princeton University Press, 2001); Lisa Mitchell, </w:t>
      </w:r>
      <w:r w:rsidRPr="00B908D5">
        <w:rPr>
          <w:rFonts w:ascii="Times New Roman" w:hAnsi="Times New Roman" w:cs="Times New Roman"/>
          <w:i/>
          <w:sz w:val="22"/>
          <w:szCs w:val="22"/>
          <w:lang w:val="en-US"/>
        </w:rPr>
        <w:t>Language, Emotion and Politics in South India: The Making of a Mother Tongue</w:t>
      </w:r>
      <w:r w:rsidRPr="00B908D5">
        <w:rPr>
          <w:rFonts w:ascii="Times New Roman" w:hAnsi="Times New Roman" w:cs="Times New Roman"/>
          <w:sz w:val="22"/>
          <w:szCs w:val="22"/>
          <w:lang w:val="en-US"/>
        </w:rPr>
        <w:t xml:space="preserve"> (Bloomington, IN: Indiana University Press, 2009)</w:t>
      </w:r>
      <w:r>
        <w:rPr>
          <w:rFonts w:ascii="Times New Roman" w:hAnsi="Times New Roman" w:cs="Times New Roman"/>
          <w:sz w:val="22"/>
          <w:szCs w:val="22"/>
          <w:lang w:val="en-US"/>
        </w:rPr>
        <w:t>.</w:t>
      </w:r>
    </w:p>
  </w:footnote>
  <w:footnote w:id="29">
    <w:p w14:paraId="3F348F84" w14:textId="3F4403C5" w:rsidR="001A00C1" w:rsidRPr="00F54AC4" w:rsidRDefault="001A00C1" w:rsidP="00DC400A">
      <w:pPr>
        <w:pStyle w:val="FootnoteText"/>
        <w:jc w:val="both"/>
        <w:rPr>
          <w:rFonts w:ascii="Times New Roman" w:hAnsi="Times New Roman" w:cs="Times New Roman"/>
          <w:sz w:val="22"/>
          <w:szCs w:val="22"/>
          <w:lang w:val="en-US"/>
        </w:rPr>
      </w:pPr>
      <w:r w:rsidRPr="00F54AC4">
        <w:rPr>
          <w:rStyle w:val="FootnoteReference"/>
          <w:rFonts w:ascii="Times New Roman" w:hAnsi="Times New Roman" w:cs="Times New Roman"/>
          <w:sz w:val="22"/>
          <w:szCs w:val="22"/>
        </w:rPr>
        <w:footnoteRef/>
      </w:r>
      <w:r w:rsidRPr="00F54AC4">
        <w:rPr>
          <w:rFonts w:ascii="Times New Roman" w:hAnsi="Times New Roman" w:cs="Times New Roman"/>
          <w:sz w:val="22"/>
          <w:szCs w:val="22"/>
        </w:rPr>
        <w:t xml:space="preserve"> </w:t>
      </w:r>
      <w:r w:rsidRPr="00F54AC4">
        <w:rPr>
          <w:rFonts w:ascii="Times New Roman" w:hAnsi="Times New Roman" w:cs="Times New Roman"/>
          <w:sz w:val="22"/>
          <w:szCs w:val="22"/>
          <w:lang w:val="en-US"/>
        </w:rPr>
        <w:t xml:space="preserve">Ankush Agrawal and Vikas Kumar, ‘Cartographic Conflicts within a Union: Finding Land for Nagaland in India’, </w:t>
      </w:r>
      <w:r w:rsidRPr="00F54AC4">
        <w:rPr>
          <w:rFonts w:ascii="Times New Roman" w:hAnsi="Times New Roman" w:cs="Times New Roman"/>
          <w:i/>
          <w:sz w:val="22"/>
          <w:szCs w:val="22"/>
          <w:lang w:val="en-US"/>
        </w:rPr>
        <w:t>Political Geography</w:t>
      </w:r>
      <w:r w:rsidRPr="00F54AC4">
        <w:rPr>
          <w:rFonts w:ascii="Times New Roman" w:hAnsi="Times New Roman" w:cs="Times New Roman"/>
          <w:sz w:val="22"/>
          <w:szCs w:val="22"/>
          <w:lang w:val="en-US"/>
        </w:rPr>
        <w:t>, 61 (2017), 123-147.</w:t>
      </w:r>
    </w:p>
  </w:footnote>
  <w:footnote w:id="30">
    <w:p w14:paraId="5E728235" w14:textId="77777777" w:rsidR="001A00C1" w:rsidRPr="00F2153E" w:rsidRDefault="001A00C1" w:rsidP="00ED4617">
      <w:pPr>
        <w:pStyle w:val="FootnoteText"/>
        <w:jc w:val="both"/>
        <w:rPr>
          <w:rFonts w:ascii="Times New Roman" w:hAnsi="Times New Roman" w:cs="Times New Roman"/>
          <w:sz w:val="22"/>
          <w:szCs w:val="22"/>
          <w:lang w:val="en-US"/>
        </w:rPr>
      </w:pPr>
      <w:r w:rsidRPr="002B779E">
        <w:rPr>
          <w:rStyle w:val="FootnoteReference"/>
          <w:rFonts w:ascii="Times New Roman" w:hAnsi="Times New Roman" w:cs="Times New Roman"/>
          <w:sz w:val="22"/>
          <w:szCs w:val="22"/>
        </w:rPr>
        <w:footnoteRef/>
      </w:r>
      <w:r w:rsidRPr="002B779E">
        <w:rPr>
          <w:rFonts w:ascii="Times New Roman" w:hAnsi="Times New Roman" w:cs="Times New Roman"/>
          <w:sz w:val="22"/>
          <w:szCs w:val="22"/>
        </w:rPr>
        <w:t xml:space="preserve"> Louise Tillin, </w:t>
      </w:r>
      <w:r w:rsidRPr="002B779E">
        <w:rPr>
          <w:rFonts w:ascii="Times New Roman" w:hAnsi="Times New Roman" w:cs="Times New Roman"/>
          <w:i/>
          <w:sz w:val="22"/>
          <w:szCs w:val="22"/>
        </w:rPr>
        <w:t>Remapping India: New States and Their Political Origins</w:t>
      </w:r>
      <w:r>
        <w:rPr>
          <w:rFonts w:ascii="Times New Roman" w:hAnsi="Times New Roman" w:cs="Times New Roman"/>
          <w:sz w:val="22"/>
          <w:szCs w:val="22"/>
        </w:rPr>
        <w:t xml:space="preserve"> (London: Hurst, 2013), p. 21; cf. John Gallagher, Gordon Johnson, and Anil Seal, eds, </w:t>
      </w:r>
      <w:r>
        <w:rPr>
          <w:rFonts w:ascii="Times New Roman" w:hAnsi="Times New Roman" w:cs="Times New Roman"/>
          <w:i/>
          <w:sz w:val="22"/>
          <w:szCs w:val="22"/>
        </w:rPr>
        <w:t>Locality, Province and Nation: Essays on Indian Politics 1870 to 1940</w:t>
      </w:r>
      <w:r>
        <w:rPr>
          <w:rFonts w:ascii="Times New Roman" w:hAnsi="Times New Roman" w:cs="Times New Roman"/>
          <w:sz w:val="22"/>
          <w:szCs w:val="22"/>
        </w:rPr>
        <w:t xml:space="preserve"> (Cambridge: Cambridge University Press, 1973); Gordon Johnson, </w:t>
      </w:r>
      <w:r>
        <w:rPr>
          <w:rFonts w:ascii="Times New Roman" w:hAnsi="Times New Roman" w:cs="Times New Roman"/>
          <w:i/>
          <w:sz w:val="22"/>
          <w:szCs w:val="22"/>
        </w:rPr>
        <w:t>Provincial Politics and Indian Nationalism: Bombay and the Indian National Congress 1880-1915</w:t>
      </w:r>
      <w:r>
        <w:rPr>
          <w:rFonts w:ascii="Times New Roman" w:hAnsi="Times New Roman" w:cs="Times New Roman"/>
          <w:sz w:val="22"/>
          <w:szCs w:val="22"/>
        </w:rPr>
        <w:t xml:space="preserve"> (Cambridge: Cambridge University Press, 1973);</w:t>
      </w:r>
      <w:r>
        <w:rPr>
          <w:rFonts w:ascii="Times New Roman" w:hAnsi="Times New Roman" w:cs="Times New Roman"/>
          <w:i/>
          <w:sz w:val="22"/>
          <w:szCs w:val="22"/>
        </w:rPr>
        <w:t xml:space="preserve"> </w:t>
      </w:r>
      <w:r>
        <w:rPr>
          <w:rFonts w:ascii="Times New Roman" w:hAnsi="Times New Roman" w:cs="Times New Roman"/>
          <w:sz w:val="22"/>
          <w:szCs w:val="22"/>
        </w:rPr>
        <w:t xml:space="preserve">David Washbrook, </w:t>
      </w:r>
      <w:r>
        <w:rPr>
          <w:rFonts w:ascii="Times New Roman" w:hAnsi="Times New Roman" w:cs="Times New Roman"/>
          <w:i/>
          <w:sz w:val="22"/>
          <w:szCs w:val="22"/>
        </w:rPr>
        <w:t>The Emergence of Provincial Politics: The Madras Presidency 1870-1920</w:t>
      </w:r>
      <w:r>
        <w:rPr>
          <w:rFonts w:ascii="Times New Roman" w:hAnsi="Times New Roman" w:cs="Times New Roman"/>
          <w:sz w:val="22"/>
          <w:szCs w:val="22"/>
        </w:rPr>
        <w:t xml:space="preserve"> (Cambridge: Cambridge University Press, 2008 [1976]). </w:t>
      </w:r>
    </w:p>
  </w:footnote>
  <w:footnote w:id="31">
    <w:p w14:paraId="69FA217D" w14:textId="77777777" w:rsidR="001A00C1" w:rsidRPr="009C411D" w:rsidRDefault="001A00C1" w:rsidP="00ED4617">
      <w:pPr>
        <w:pStyle w:val="FootnoteText"/>
        <w:jc w:val="both"/>
        <w:rPr>
          <w:rFonts w:ascii="Times New Roman" w:hAnsi="Times New Roman" w:cs="Times New Roman"/>
          <w:sz w:val="22"/>
          <w:szCs w:val="22"/>
          <w:lang w:val="en-US"/>
        </w:rPr>
      </w:pPr>
      <w:r w:rsidRPr="009C411D">
        <w:rPr>
          <w:rStyle w:val="FootnoteReference"/>
          <w:rFonts w:ascii="Times New Roman" w:hAnsi="Times New Roman" w:cs="Times New Roman"/>
          <w:sz w:val="22"/>
          <w:szCs w:val="22"/>
        </w:rPr>
        <w:footnoteRef/>
      </w:r>
      <w:r w:rsidRPr="009C411D">
        <w:rPr>
          <w:rFonts w:ascii="Times New Roman" w:hAnsi="Times New Roman" w:cs="Times New Roman"/>
          <w:sz w:val="22"/>
          <w:szCs w:val="22"/>
        </w:rPr>
        <w:t xml:space="preserve"> </w:t>
      </w:r>
      <w:r w:rsidRPr="009C411D">
        <w:rPr>
          <w:rFonts w:ascii="Times New Roman" w:hAnsi="Times New Roman" w:cs="Times New Roman"/>
          <w:sz w:val="22"/>
          <w:szCs w:val="22"/>
          <w:lang w:val="en-US"/>
        </w:rPr>
        <w:t xml:space="preserve">Mushirul Hasan, ‘The Delhi Proposals: A Study in Communal Politics’, </w:t>
      </w:r>
      <w:r w:rsidRPr="009C411D">
        <w:rPr>
          <w:rFonts w:ascii="Times New Roman" w:hAnsi="Times New Roman" w:cs="Times New Roman"/>
          <w:i/>
          <w:sz w:val="22"/>
          <w:szCs w:val="22"/>
          <w:lang w:val="en-US"/>
        </w:rPr>
        <w:t>The Indian Economic and Social History Review</w:t>
      </w:r>
      <w:r w:rsidRPr="009C411D">
        <w:rPr>
          <w:rFonts w:ascii="Times New Roman" w:hAnsi="Times New Roman" w:cs="Times New Roman"/>
          <w:sz w:val="22"/>
          <w:szCs w:val="22"/>
          <w:lang w:val="en-US"/>
        </w:rPr>
        <w:t>, 17.4 (1980), 381-396.</w:t>
      </w:r>
    </w:p>
  </w:footnote>
  <w:footnote w:id="32">
    <w:p w14:paraId="3BE3AA60" w14:textId="77777777" w:rsidR="001A00C1" w:rsidRPr="0062257B" w:rsidRDefault="001A00C1" w:rsidP="00ED4617">
      <w:pPr>
        <w:pStyle w:val="FootnoteText"/>
        <w:jc w:val="both"/>
        <w:rPr>
          <w:rFonts w:ascii="Times New Roman" w:hAnsi="Times New Roman" w:cs="Times New Roman"/>
          <w:sz w:val="22"/>
          <w:szCs w:val="22"/>
          <w:lang w:val="en-US"/>
        </w:rPr>
      </w:pPr>
      <w:r w:rsidRPr="0062257B">
        <w:rPr>
          <w:rStyle w:val="FootnoteReference"/>
          <w:rFonts w:ascii="Times New Roman" w:hAnsi="Times New Roman" w:cs="Times New Roman"/>
          <w:sz w:val="22"/>
          <w:szCs w:val="22"/>
        </w:rPr>
        <w:footnoteRef/>
      </w:r>
      <w:r w:rsidRPr="0062257B">
        <w:rPr>
          <w:rFonts w:ascii="Times New Roman" w:hAnsi="Times New Roman" w:cs="Times New Roman"/>
          <w:sz w:val="22"/>
          <w:szCs w:val="22"/>
        </w:rPr>
        <w:t xml:space="preserve"> </w:t>
      </w:r>
      <w:r w:rsidRPr="0062257B">
        <w:rPr>
          <w:rFonts w:ascii="Times New Roman" w:hAnsi="Times New Roman" w:cs="Times New Roman"/>
          <w:sz w:val="22"/>
          <w:szCs w:val="22"/>
          <w:lang w:val="en-US"/>
        </w:rPr>
        <w:t xml:space="preserve">David Page, </w:t>
      </w:r>
      <w:r w:rsidRPr="0062257B">
        <w:rPr>
          <w:rFonts w:ascii="Times New Roman" w:hAnsi="Times New Roman" w:cs="Times New Roman"/>
          <w:i/>
          <w:sz w:val="22"/>
          <w:szCs w:val="22"/>
          <w:lang w:val="en-US"/>
        </w:rPr>
        <w:t>Prelude to Partition: The Indian Muslims and the Imperial System of Control 1920-1932</w:t>
      </w:r>
      <w:r w:rsidRPr="0062257B">
        <w:rPr>
          <w:rFonts w:ascii="Times New Roman" w:hAnsi="Times New Roman" w:cs="Times New Roman"/>
          <w:sz w:val="22"/>
          <w:szCs w:val="22"/>
          <w:lang w:val="en-US"/>
        </w:rPr>
        <w:t xml:space="preserve"> (Oxford: Oxford University Press, 1999 [1982]), pp. 144-150.</w:t>
      </w:r>
    </w:p>
  </w:footnote>
  <w:footnote w:id="33">
    <w:p w14:paraId="117EC8D2" w14:textId="77777777" w:rsidR="001A00C1" w:rsidRPr="00BD578C" w:rsidRDefault="001A00C1" w:rsidP="00ED4617">
      <w:pPr>
        <w:pStyle w:val="FootnoteText"/>
        <w:rPr>
          <w:rFonts w:ascii="Times New Roman" w:hAnsi="Times New Roman" w:cs="Times New Roman"/>
          <w:sz w:val="22"/>
          <w:szCs w:val="22"/>
          <w:lang w:val="en-US"/>
        </w:rPr>
      </w:pPr>
      <w:r w:rsidRPr="00BD578C">
        <w:rPr>
          <w:rStyle w:val="FootnoteReference"/>
          <w:rFonts w:ascii="Times New Roman" w:hAnsi="Times New Roman" w:cs="Times New Roman"/>
          <w:sz w:val="22"/>
          <w:szCs w:val="22"/>
        </w:rPr>
        <w:footnoteRef/>
      </w:r>
      <w:r w:rsidRPr="00BD578C">
        <w:rPr>
          <w:rFonts w:ascii="Times New Roman" w:hAnsi="Times New Roman" w:cs="Times New Roman"/>
          <w:sz w:val="22"/>
          <w:szCs w:val="22"/>
        </w:rPr>
        <w:t xml:space="preserve"> </w:t>
      </w:r>
      <w:r>
        <w:rPr>
          <w:rFonts w:ascii="Times New Roman" w:hAnsi="Times New Roman" w:cs="Times New Roman"/>
          <w:sz w:val="22"/>
          <w:szCs w:val="22"/>
          <w:lang w:val="en-US"/>
        </w:rPr>
        <w:t xml:space="preserve">Cf. </w:t>
      </w:r>
      <w:r w:rsidRPr="00BD578C">
        <w:rPr>
          <w:rFonts w:ascii="Times New Roman" w:hAnsi="Times New Roman" w:cs="Times New Roman"/>
          <w:sz w:val="22"/>
          <w:szCs w:val="22"/>
          <w:lang w:val="en-US"/>
        </w:rPr>
        <w:t>Appadurai</w:t>
      </w:r>
      <w:r>
        <w:rPr>
          <w:rFonts w:ascii="Times New Roman" w:hAnsi="Times New Roman" w:cs="Times New Roman"/>
          <w:sz w:val="22"/>
          <w:szCs w:val="22"/>
          <w:lang w:val="en-US"/>
        </w:rPr>
        <w:t>’s work on the synergies between an earlier form of cadastral surveying and the developing practice of human enumeration in nineteenth-century colonial India. Arjun Appadurai</w:t>
      </w:r>
      <w:r w:rsidRPr="00BD578C">
        <w:rPr>
          <w:rFonts w:ascii="Times New Roman" w:hAnsi="Times New Roman" w:cs="Times New Roman"/>
          <w:sz w:val="22"/>
          <w:szCs w:val="22"/>
          <w:lang w:val="en-US"/>
        </w:rPr>
        <w:t xml:space="preserve">, ‘Number in the Colonial Imagination’, in </w:t>
      </w:r>
      <w:r w:rsidRPr="00BD578C">
        <w:rPr>
          <w:rFonts w:ascii="Times New Roman" w:hAnsi="Times New Roman" w:cs="Times New Roman"/>
          <w:i/>
          <w:sz w:val="22"/>
          <w:szCs w:val="22"/>
          <w:lang w:val="en-US"/>
        </w:rPr>
        <w:t>Orientalism and the Postcolonial Predicament: Perspectives on South Asia</w:t>
      </w:r>
      <w:r w:rsidRPr="00BD578C">
        <w:rPr>
          <w:rFonts w:ascii="Times New Roman" w:hAnsi="Times New Roman" w:cs="Times New Roman"/>
          <w:sz w:val="22"/>
          <w:szCs w:val="22"/>
          <w:lang w:val="en-US"/>
        </w:rPr>
        <w:t>, ed. by C. Breckenridge and P. van der Veer (Philadelphia, PA: University of Pennsylvania Press, 1993), pp. 314-339 (pp. 321-326).</w:t>
      </w:r>
    </w:p>
  </w:footnote>
  <w:footnote w:id="34">
    <w:p w14:paraId="47EAC993" w14:textId="77777777" w:rsidR="001A00C1" w:rsidRPr="000A7684" w:rsidRDefault="001A00C1" w:rsidP="00ED4617">
      <w:pPr>
        <w:pStyle w:val="FootnoteText"/>
        <w:jc w:val="both"/>
        <w:rPr>
          <w:rFonts w:ascii="Times New Roman" w:hAnsi="Times New Roman" w:cs="Times New Roman"/>
          <w:sz w:val="22"/>
          <w:szCs w:val="22"/>
          <w:lang w:val="en-US"/>
        </w:rPr>
      </w:pPr>
      <w:r w:rsidRPr="000A7684">
        <w:rPr>
          <w:rStyle w:val="FootnoteReference"/>
          <w:rFonts w:ascii="Times New Roman" w:hAnsi="Times New Roman" w:cs="Times New Roman"/>
          <w:sz w:val="22"/>
          <w:szCs w:val="22"/>
        </w:rPr>
        <w:footnoteRef/>
      </w:r>
      <w:r w:rsidRPr="000A7684">
        <w:rPr>
          <w:rFonts w:ascii="Times New Roman" w:hAnsi="Times New Roman" w:cs="Times New Roman"/>
          <w:sz w:val="22"/>
          <w:szCs w:val="22"/>
        </w:rPr>
        <w:t xml:space="preserve"> </w:t>
      </w:r>
      <w:r w:rsidRPr="000A7684">
        <w:rPr>
          <w:rFonts w:ascii="Times New Roman" w:hAnsi="Times New Roman" w:cs="Times New Roman"/>
          <w:sz w:val="22"/>
          <w:szCs w:val="22"/>
          <w:lang w:val="en-US"/>
        </w:rPr>
        <w:t xml:space="preserve">New Delhi, National Archives of India [henceforth NAI], Government of India [henceforth GOI], Reforms Office File </w:t>
      </w:r>
      <w:r>
        <w:rPr>
          <w:rFonts w:ascii="Times New Roman" w:hAnsi="Times New Roman" w:cs="Times New Roman"/>
          <w:sz w:val="22"/>
          <w:szCs w:val="22"/>
          <w:lang w:val="en-US"/>
        </w:rPr>
        <w:t>47/</w:t>
      </w:r>
      <w:r w:rsidRPr="000A7684">
        <w:rPr>
          <w:rFonts w:ascii="Times New Roman" w:hAnsi="Times New Roman" w:cs="Times New Roman"/>
          <w:sz w:val="22"/>
          <w:szCs w:val="22"/>
          <w:lang w:val="en-US"/>
        </w:rPr>
        <w:t>33</w:t>
      </w:r>
      <w:r>
        <w:rPr>
          <w:rFonts w:ascii="Times New Roman" w:hAnsi="Times New Roman" w:cs="Times New Roman"/>
          <w:sz w:val="22"/>
          <w:szCs w:val="22"/>
          <w:lang w:val="en-US"/>
        </w:rPr>
        <w:t xml:space="preserve"> </w:t>
      </w:r>
      <w:r w:rsidRPr="000A7684">
        <w:rPr>
          <w:rFonts w:ascii="Times New Roman" w:hAnsi="Times New Roman" w:cs="Times New Roman"/>
          <w:sz w:val="22"/>
          <w:szCs w:val="22"/>
          <w:lang w:val="en-US"/>
        </w:rPr>
        <w:t>R, ‘Constitution of Orissa Administrative Committee’, 24 June 1</w:t>
      </w:r>
      <w:r>
        <w:rPr>
          <w:rFonts w:ascii="Times New Roman" w:hAnsi="Times New Roman" w:cs="Times New Roman"/>
          <w:sz w:val="22"/>
          <w:szCs w:val="22"/>
          <w:lang w:val="en-US"/>
        </w:rPr>
        <w:t xml:space="preserve">933; </w:t>
      </w:r>
      <w:r>
        <w:rPr>
          <w:rFonts w:ascii="Times New Roman" w:hAnsi="Times New Roman" w:cs="Times New Roman"/>
          <w:i/>
          <w:sz w:val="22"/>
          <w:szCs w:val="22"/>
          <w:lang w:val="en-US"/>
        </w:rPr>
        <w:t>Ibid.</w:t>
      </w:r>
      <w:r>
        <w:rPr>
          <w:rFonts w:ascii="Times New Roman" w:hAnsi="Times New Roman" w:cs="Times New Roman"/>
          <w:sz w:val="22"/>
          <w:szCs w:val="22"/>
          <w:lang w:val="en-US"/>
        </w:rPr>
        <w:t>, Reforms Office File 1/36 G (B), ‘Constitution of Orissa Order 1936’.</w:t>
      </w:r>
    </w:p>
  </w:footnote>
  <w:footnote w:id="35">
    <w:p w14:paraId="1543E977" w14:textId="1FB54E9B" w:rsidR="001A00C1" w:rsidRPr="004F3FF0" w:rsidRDefault="001A00C1" w:rsidP="00ED4617">
      <w:pPr>
        <w:pStyle w:val="FootnoteText"/>
        <w:jc w:val="both"/>
        <w:rPr>
          <w:rFonts w:ascii="Times New Roman" w:hAnsi="Times New Roman" w:cs="Times New Roman"/>
          <w:sz w:val="22"/>
          <w:szCs w:val="22"/>
          <w:lang w:val="en-US"/>
        </w:rPr>
      </w:pPr>
      <w:r w:rsidRPr="004F3FF0">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4F3FF0">
        <w:rPr>
          <w:rFonts w:ascii="Times New Roman" w:hAnsi="Times New Roman" w:cs="Times New Roman"/>
          <w:sz w:val="22"/>
          <w:szCs w:val="22"/>
          <w:lang w:val="en-US"/>
        </w:rPr>
        <w:t xml:space="preserve">‘The Unification of Karnatak: A Moral Necessity: By H.S. Kaujalgi’, </w:t>
      </w:r>
      <w:r w:rsidRPr="004F3FF0">
        <w:rPr>
          <w:rFonts w:ascii="Times New Roman" w:hAnsi="Times New Roman" w:cs="Times New Roman"/>
          <w:i/>
          <w:sz w:val="22"/>
          <w:szCs w:val="22"/>
          <w:lang w:val="en-US"/>
        </w:rPr>
        <w:t>Bombay Chronicle</w:t>
      </w:r>
      <w:r>
        <w:rPr>
          <w:rFonts w:ascii="Times New Roman" w:hAnsi="Times New Roman" w:cs="Times New Roman"/>
          <w:sz w:val="22"/>
          <w:szCs w:val="22"/>
          <w:lang w:val="en-US"/>
        </w:rPr>
        <w:t xml:space="preserve"> (Bombay)</w:t>
      </w:r>
      <w:r w:rsidRPr="004F3FF0">
        <w:rPr>
          <w:rFonts w:ascii="Times New Roman" w:hAnsi="Times New Roman" w:cs="Times New Roman"/>
          <w:sz w:val="22"/>
          <w:szCs w:val="22"/>
          <w:lang w:val="en-US"/>
        </w:rPr>
        <w:t>, 22 October 1936.</w:t>
      </w:r>
    </w:p>
  </w:footnote>
  <w:footnote w:id="36">
    <w:p w14:paraId="026838BA" w14:textId="6661DC9B" w:rsidR="001A00C1" w:rsidRPr="001A00C1" w:rsidRDefault="001A00C1" w:rsidP="001A00C1">
      <w:pPr>
        <w:pStyle w:val="FootnoteText"/>
        <w:jc w:val="both"/>
        <w:rPr>
          <w:rFonts w:ascii="Times New Roman" w:hAnsi="Times New Roman" w:cs="Times New Roman"/>
          <w:sz w:val="22"/>
          <w:szCs w:val="22"/>
          <w:lang w:val="en-US"/>
        </w:rPr>
      </w:pPr>
      <w:r w:rsidRPr="001A00C1">
        <w:rPr>
          <w:rStyle w:val="FootnoteReference"/>
          <w:rFonts w:ascii="Times New Roman" w:hAnsi="Times New Roman" w:cs="Times New Roman"/>
          <w:sz w:val="22"/>
          <w:szCs w:val="22"/>
        </w:rPr>
        <w:footnoteRef/>
      </w:r>
      <w:r w:rsidRPr="001A00C1">
        <w:rPr>
          <w:rFonts w:ascii="Times New Roman" w:hAnsi="Times New Roman" w:cs="Times New Roman"/>
          <w:sz w:val="22"/>
          <w:szCs w:val="22"/>
        </w:rPr>
        <w:t xml:space="preserve"> </w:t>
      </w:r>
      <w:r w:rsidRPr="001A00C1">
        <w:rPr>
          <w:rFonts w:ascii="Times New Roman" w:hAnsi="Times New Roman" w:cs="Times New Roman"/>
          <w:sz w:val="22"/>
          <w:szCs w:val="22"/>
          <w:lang w:val="en-US"/>
        </w:rPr>
        <w:t xml:space="preserve">For a more detailed discussion of the emergence of Maratha majoritarianism during the interwar period, see </w:t>
      </w:r>
      <w:r w:rsidR="007216F8">
        <w:rPr>
          <w:rFonts w:ascii="Times New Roman" w:hAnsi="Times New Roman" w:cs="Times New Roman"/>
          <w:sz w:val="22"/>
          <w:szCs w:val="22"/>
          <w:lang w:val="en-US"/>
        </w:rPr>
        <w:t xml:space="preserve">Oliver </w:t>
      </w:r>
      <w:r w:rsidR="007216F8" w:rsidRPr="00F54AC4">
        <w:rPr>
          <w:rFonts w:ascii="Times New Roman" w:hAnsi="Times New Roman" w:cs="Times New Roman"/>
          <w:sz w:val="22"/>
          <w:szCs w:val="22"/>
          <w:lang w:val="en-US"/>
        </w:rPr>
        <w:t xml:space="preserve">Godsmark, </w:t>
      </w:r>
      <w:r w:rsidR="007216F8" w:rsidRPr="00F54AC4">
        <w:rPr>
          <w:rFonts w:ascii="Times New Roman" w:hAnsi="Times New Roman" w:cs="Times New Roman"/>
          <w:i/>
          <w:sz w:val="22"/>
          <w:szCs w:val="22"/>
          <w:lang w:val="en-US"/>
        </w:rPr>
        <w:t>Citizenship, Community and Democracy</w:t>
      </w:r>
      <w:r w:rsidR="007216F8">
        <w:rPr>
          <w:rFonts w:ascii="Times New Roman" w:hAnsi="Times New Roman" w:cs="Times New Roman"/>
          <w:i/>
          <w:sz w:val="22"/>
          <w:szCs w:val="22"/>
          <w:lang w:val="en-US"/>
        </w:rPr>
        <w:t xml:space="preserve"> in India: From Bombay to Maharashtra, c. 1930-1960</w:t>
      </w:r>
      <w:r w:rsidR="007216F8">
        <w:rPr>
          <w:rFonts w:ascii="Times New Roman" w:hAnsi="Times New Roman" w:cs="Times New Roman"/>
          <w:sz w:val="22"/>
          <w:szCs w:val="22"/>
          <w:lang w:val="en-US"/>
        </w:rPr>
        <w:t xml:space="preserve"> (London: Routledge, 2018)</w:t>
      </w:r>
      <w:r w:rsidR="007216F8" w:rsidRPr="00F54AC4">
        <w:rPr>
          <w:rFonts w:ascii="Times New Roman" w:hAnsi="Times New Roman" w:cs="Times New Roman"/>
          <w:sz w:val="22"/>
          <w:szCs w:val="22"/>
          <w:lang w:val="en-US"/>
        </w:rPr>
        <w:t xml:space="preserve">, Chapter </w:t>
      </w:r>
      <w:r w:rsidR="007216F8">
        <w:rPr>
          <w:rFonts w:ascii="Times New Roman" w:hAnsi="Times New Roman" w:cs="Times New Roman"/>
          <w:sz w:val="22"/>
          <w:szCs w:val="22"/>
          <w:lang w:val="en-US"/>
        </w:rPr>
        <w:t>Two</w:t>
      </w:r>
      <w:r w:rsidRPr="001A00C1">
        <w:rPr>
          <w:rFonts w:ascii="Times New Roman" w:hAnsi="Times New Roman" w:cs="Times New Roman"/>
          <w:sz w:val="22"/>
          <w:szCs w:val="22"/>
          <w:lang w:val="en-US"/>
        </w:rPr>
        <w:t>.</w:t>
      </w:r>
    </w:p>
  </w:footnote>
  <w:footnote w:id="37">
    <w:p w14:paraId="696044A2" w14:textId="77777777" w:rsidR="001A00C1" w:rsidRPr="00CF426A" w:rsidRDefault="001A00C1" w:rsidP="00ED4617">
      <w:pPr>
        <w:pStyle w:val="FootnoteText"/>
        <w:jc w:val="both"/>
        <w:rPr>
          <w:rFonts w:ascii="Times New Roman" w:hAnsi="Times New Roman" w:cs="Times New Roman"/>
          <w:sz w:val="22"/>
          <w:szCs w:val="22"/>
          <w:lang w:val="en-US"/>
        </w:rPr>
      </w:pPr>
      <w:r w:rsidRPr="00CF426A">
        <w:rPr>
          <w:rStyle w:val="FootnoteReference"/>
          <w:rFonts w:ascii="Times New Roman" w:hAnsi="Times New Roman" w:cs="Times New Roman"/>
          <w:sz w:val="22"/>
          <w:szCs w:val="22"/>
        </w:rPr>
        <w:footnoteRef/>
      </w:r>
      <w:r w:rsidRPr="00CF426A">
        <w:rPr>
          <w:rFonts w:ascii="Times New Roman" w:hAnsi="Times New Roman" w:cs="Times New Roman"/>
          <w:sz w:val="22"/>
          <w:szCs w:val="22"/>
        </w:rPr>
        <w:t xml:space="preserve"> Louise Tillin, ‘Caste, Territory and Federalism’, </w:t>
      </w:r>
      <w:r w:rsidRPr="00CF426A">
        <w:rPr>
          <w:rFonts w:ascii="Times New Roman" w:hAnsi="Times New Roman" w:cs="Times New Roman"/>
          <w:i/>
          <w:sz w:val="22"/>
          <w:szCs w:val="22"/>
        </w:rPr>
        <w:t>Seminar</w:t>
      </w:r>
      <w:r w:rsidRPr="00CF426A">
        <w:rPr>
          <w:rFonts w:ascii="Times New Roman" w:hAnsi="Times New Roman" w:cs="Times New Roman"/>
          <w:sz w:val="22"/>
          <w:szCs w:val="22"/>
        </w:rPr>
        <w:t>, 633 (2012).</w:t>
      </w:r>
    </w:p>
  </w:footnote>
  <w:footnote w:id="38">
    <w:p w14:paraId="2D35E2DA" w14:textId="77777777" w:rsidR="001A00C1" w:rsidRPr="004D7482" w:rsidRDefault="001A00C1" w:rsidP="00ED4617">
      <w:pPr>
        <w:pStyle w:val="FootnoteText"/>
        <w:jc w:val="both"/>
        <w:rPr>
          <w:rFonts w:ascii="Times New Roman" w:hAnsi="Times New Roman" w:cs="Times New Roman"/>
          <w:sz w:val="22"/>
          <w:szCs w:val="22"/>
          <w:lang w:val="en-US"/>
        </w:rPr>
      </w:pPr>
      <w:r w:rsidRPr="004D7482">
        <w:rPr>
          <w:rStyle w:val="FootnoteReference"/>
          <w:rFonts w:ascii="Times New Roman" w:hAnsi="Times New Roman" w:cs="Times New Roman"/>
          <w:sz w:val="22"/>
          <w:szCs w:val="22"/>
        </w:rPr>
        <w:footnoteRef/>
      </w:r>
      <w:r w:rsidRPr="004D7482">
        <w:rPr>
          <w:rFonts w:ascii="Times New Roman" w:hAnsi="Times New Roman" w:cs="Times New Roman"/>
          <w:sz w:val="22"/>
          <w:szCs w:val="22"/>
        </w:rPr>
        <w:t xml:space="preserve"> </w:t>
      </w:r>
      <w:r w:rsidRPr="004D7482">
        <w:rPr>
          <w:rFonts w:ascii="Times New Roman" w:hAnsi="Times New Roman" w:cs="Times New Roman"/>
          <w:sz w:val="22"/>
          <w:szCs w:val="22"/>
          <w:lang w:val="en-US"/>
        </w:rPr>
        <w:t xml:space="preserve">Anne Feldhaus, </w:t>
      </w:r>
      <w:r w:rsidRPr="004D7482">
        <w:rPr>
          <w:rFonts w:ascii="Times New Roman" w:hAnsi="Times New Roman" w:cs="Times New Roman"/>
          <w:i/>
          <w:sz w:val="22"/>
          <w:szCs w:val="22"/>
          <w:lang w:val="en-US"/>
        </w:rPr>
        <w:t>The Religious System of the Mahanabhuva Sect: The Mahanabhuva Sutrapatha</w:t>
      </w:r>
      <w:r w:rsidRPr="004D7482">
        <w:rPr>
          <w:rFonts w:ascii="Times New Roman" w:hAnsi="Times New Roman" w:cs="Times New Roman"/>
          <w:sz w:val="22"/>
          <w:szCs w:val="22"/>
          <w:lang w:val="en-US"/>
        </w:rPr>
        <w:t xml:space="preserve"> (New Delhi: Romesh Jain, 1983), pp. 57-68.</w:t>
      </w:r>
    </w:p>
  </w:footnote>
  <w:footnote w:id="39">
    <w:p w14:paraId="074CA389" w14:textId="77777777" w:rsidR="001A00C1" w:rsidRPr="004D7482" w:rsidRDefault="001A00C1" w:rsidP="00ED4617">
      <w:pPr>
        <w:pStyle w:val="FootnoteText"/>
        <w:rPr>
          <w:rFonts w:ascii="Times New Roman" w:hAnsi="Times New Roman" w:cs="Times New Roman"/>
          <w:sz w:val="22"/>
          <w:szCs w:val="22"/>
          <w:lang w:val="en-US"/>
        </w:rPr>
      </w:pPr>
      <w:r w:rsidRPr="004D7482">
        <w:rPr>
          <w:rStyle w:val="FootnoteReference"/>
          <w:rFonts w:ascii="Times New Roman" w:hAnsi="Times New Roman" w:cs="Times New Roman"/>
          <w:sz w:val="22"/>
          <w:szCs w:val="22"/>
        </w:rPr>
        <w:footnoteRef/>
      </w:r>
      <w:r w:rsidRPr="004D7482">
        <w:rPr>
          <w:rFonts w:ascii="Times New Roman" w:hAnsi="Times New Roman" w:cs="Times New Roman"/>
          <w:sz w:val="22"/>
          <w:szCs w:val="22"/>
        </w:rPr>
        <w:t xml:space="preserve"> </w:t>
      </w:r>
      <w:r w:rsidRPr="004D7482">
        <w:rPr>
          <w:rFonts w:ascii="Times New Roman" w:hAnsi="Times New Roman" w:cs="Times New Roman"/>
          <w:sz w:val="22"/>
          <w:szCs w:val="22"/>
          <w:lang w:val="en-US"/>
        </w:rPr>
        <w:t xml:space="preserve">Rao, </w:t>
      </w:r>
      <w:r w:rsidRPr="004D7482">
        <w:rPr>
          <w:rFonts w:ascii="Times New Roman" w:hAnsi="Times New Roman" w:cs="Times New Roman"/>
          <w:i/>
          <w:sz w:val="22"/>
          <w:szCs w:val="22"/>
          <w:lang w:val="en-US"/>
        </w:rPr>
        <w:t>The Caste Question</w:t>
      </w:r>
      <w:r>
        <w:rPr>
          <w:rFonts w:ascii="Times New Roman" w:hAnsi="Times New Roman" w:cs="Times New Roman"/>
          <w:sz w:val="22"/>
          <w:szCs w:val="22"/>
          <w:lang w:val="en-US"/>
        </w:rPr>
        <w:t xml:space="preserve">, p. 13; see also Rosalind O’Hanlon, </w:t>
      </w:r>
      <w:r>
        <w:rPr>
          <w:rFonts w:ascii="Times New Roman" w:hAnsi="Times New Roman" w:cs="Times New Roman"/>
          <w:i/>
          <w:sz w:val="22"/>
          <w:szCs w:val="22"/>
          <w:lang w:val="en-US"/>
        </w:rPr>
        <w:t>Caste, Conflict and Ideology: Mahatma Jotirao Phule and Low Caste Protest in Nineteenth-Century Western India</w:t>
      </w:r>
      <w:r>
        <w:rPr>
          <w:rFonts w:ascii="Times New Roman" w:hAnsi="Times New Roman" w:cs="Times New Roman"/>
          <w:sz w:val="22"/>
          <w:szCs w:val="22"/>
          <w:lang w:val="en-US"/>
        </w:rPr>
        <w:t xml:space="preserve"> (Cambridge: Cambridge University Press, 1985); Gail Omvedt, </w:t>
      </w:r>
      <w:r>
        <w:rPr>
          <w:rFonts w:ascii="Times New Roman" w:hAnsi="Times New Roman" w:cs="Times New Roman"/>
          <w:i/>
          <w:sz w:val="22"/>
          <w:szCs w:val="22"/>
          <w:lang w:val="en-US"/>
        </w:rPr>
        <w:t>Cultural Revolt in a Colonial Society: The Non-Brahman Movement in Western India, 1873 to 1930</w:t>
      </w:r>
      <w:r>
        <w:rPr>
          <w:rFonts w:ascii="Times New Roman" w:hAnsi="Times New Roman" w:cs="Times New Roman"/>
          <w:sz w:val="22"/>
          <w:szCs w:val="22"/>
          <w:lang w:val="en-US"/>
        </w:rPr>
        <w:t xml:space="preserve"> (Bombay: Scientific Socialist Education Trust, 1976).</w:t>
      </w:r>
    </w:p>
  </w:footnote>
  <w:footnote w:id="40">
    <w:p w14:paraId="222A662F" w14:textId="77777777" w:rsidR="001A00C1" w:rsidRPr="00213F68" w:rsidRDefault="001A00C1" w:rsidP="00ED4617">
      <w:pPr>
        <w:pStyle w:val="FootnoteText"/>
        <w:jc w:val="both"/>
        <w:rPr>
          <w:rFonts w:ascii="Times New Roman" w:hAnsi="Times New Roman" w:cs="Times New Roman"/>
          <w:sz w:val="22"/>
          <w:szCs w:val="22"/>
          <w:lang w:val="en-US"/>
        </w:rPr>
      </w:pPr>
      <w:r w:rsidRPr="00213F68">
        <w:rPr>
          <w:rStyle w:val="FootnoteReference"/>
          <w:rFonts w:ascii="Times New Roman" w:hAnsi="Times New Roman" w:cs="Times New Roman"/>
          <w:sz w:val="22"/>
          <w:szCs w:val="22"/>
        </w:rPr>
        <w:footnoteRef/>
      </w:r>
      <w:r w:rsidRPr="00213F68">
        <w:rPr>
          <w:rFonts w:ascii="Times New Roman" w:hAnsi="Times New Roman" w:cs="Times New Roman"/>
          <w:sz w:val="22"/>
          <w:szCs w:val="22"/>
        </w:rPr>
        <w:t xml:space="preserve"> </w:t>
      </w:r>
      <w:r>
        <w:rPr>
          <w:rFonts w:ascii="Times New Roman" w:hAnsi="Times New Roman" w:cs="Times New Roman"/>
          <w:sz w:val="22"/>
          <w:szCs w:val="22"/>
          <w:lang w:val="en-US"/>
        </w:rPr>
        <w:t>NAI</w:t>
      </w:r>
      <w:r w:rsidRPr="00213F68">
        <w:rPr>
          <w:rFonts w:ascii="Times New Roman" w:hAnsi="Times New Roman" w:cs="Times New Roman"/>
          <w:sz w:val="22"/>
          <w:szCs w:val="22"/>
          <w:lang w:val="en-US"/>
        </w:rPr>
        <w:t xml:space="preserve">, </w:t>
      </w:r>
      <w:r>
        <w:rPr>
          <w:rFonts w:ascii="Times New Roman" w:hAnsi="Times New Roman" w:cs="Times New Roman"/>
          <w:sz w:val="22"/>
          <w:szCs w:val="22"/>
          <w:lang w:val="en-US"/>
        </w:rPr>
        <w:t>GOI</w:t>
      </w:r>
      <w:r w:rsidRPr="00213F68">
        <w:rPr>
          <w:rFonts w:ascii="Times New Roman" w:hAnsi="Times New Roman" w:cs="Times New Roman"/>
          <w:sz w:val="22"/>
          <w:szCs w:val="22"/>
          <w:lang w:val="en-US"/>
        </w:rPr>
        <w:t>, Reforms Office File 130-148(b), ‘Private. Note by His Highness the Maharaja of Kolhapur on the necessity of separate Communal Electorates for the Mahrattas, etc., for electing members to the new Councils under the Reforms Scheme’, n.d.</w:t>
      </w:r>
    </w:p>
  </w:footnote>
  <w:footnote w:id="41">
    <w:p w14:paraId="4F9EE161" w14:textId="474CAB15" w:rsidR="001A00C1" w:rsidRPr="00071823" w:rsidRDefault="001A00C1" w:rsidP="00ED4617">
      <w:pPr>
        <w:pStyle w:val="FootnoteText"/>
        <w:jc w:val="both"/>
        <w:rPr>
          <w:rFonts w:ascii="Times New Roman" w:hAnsi="Times New Roman" w:cs="Times New Roman"/>
          <w:sz w:val="22"/>
          <w:szCs w:val="22"/>
          <w:lang w:val="en-US"/>
        </w:rPr>
      </w:pPr>
      <w:r w:rsidRPr="00071823">
        <w:rPr>
          <w:rStyle w:val="FootnoteReference"/>
          <w:rFonts w:ascii="Times New Roman" w:hAnsi="Times New Roman" w:cs="Times New Roman"/>
          <w:sz w:val="22"/>
          <w:szCs w:val="22"/>
        </w:rPr>
        <w:footnoteRef/>
      </w:r>
      <w:r w:rsidRPr="00071823">
        <w:rPr>
          <w:rFonts w:ascii="Times New Roman" w:hAnsi="Times New Roman" w:cs="Times New Roman"/>
          <w:sz w:val="22"/>
          <w:szCs w:val="22"/>
        </w:rPr>
        <w:t xml:space="preserve"> </w:t>
      </w:r>
      <w:r w:rsidRPr="00071823">
        <w:rPr>
          <w:rFonts w:ascii="Times New Roman" w:hAnsi="Times New Roman" w:cs="Times New Roman"/>
          <w:sz w:val="22"/>
          <w:szCs w:val="22"/>
          <w:lang w:val="en-US"/>
        </w:rPr>
        <w:t xml:space="preserve">O’Hanlon, </w:t>
      </w:r>
      <w:r w:rsidRPr="00071823">
        <w:rPr>
          <w:rFonts w:ascii="Times New Roman" w:hAnsi="Times New Roman" w:cs="Times New Roman"/>
          <w:i/>
          <w:sz w:val="22"/>
          <w:szCs w:val="22"/>
          <w:lang w:val="en-US"/>
        </w:rPr>
        <w:t>Caste, Conflict and Ideology</w:t>
      </w:r>
      <w:r w:rsidRPr="00071823">
        <w:rPr>
          <w:rFonts w:ascii="Times New Roman" w:hAnsi="Times New Roman" w:cs="Times New Roman"/>
          <w:sz w:val="22"/>
          <w:szCs w:val="22"/>
          <w:lang w:val="en-US"/>
        </w:rPr>
        <w:t>, p. 7.</w:t>
      </w:r>
    </w:p>
  </w:footnote>
  <w:footnote w:id="42">
    <w:p w14:paraId="1D392AF2" w14:textId="77777777" w:rsidR="001A00C1" w:rsidRPr="003A116B" w:rsidRDefault="001A00C1" w:rsidP="00ED4617">
      <w:pPr>
        <w:pStyle w:val="FootnoteText"/>
        <w:jc w:val="both"/>
        <w:rPr>
          <w:rFonts w:ascii="Times New Roman" w:hAnsi="Times New Roman" w:cs="Times New Roman"/>
          <w:sz w:val="22"/>
          <w:szCs w:val="22"/>
          <w:lang w:val="en-US"/>
        </w:rPr>
      </w:pPr>
      <w:r w:rsidRPr="003A116B">
        <w:rPr>
          <w:rStyle w:val="FootnoteReference"/>
          <w:rFonts w:ascii="Times New Roman" w:hAnsi="Times New Roman" w:cs="Times New Roman"/>
          <w:sz w:val="22"/>
          <w:szCs w:val="22"/>
        </w:rPr>
        <w:footnoteRef/>
      </w:r>
      <w:r w:rsidRPr="003A116B">
        <w:rPr>
          <w:rFonts w:ascii="Times New Roman" w:hAnsi="Times New Roman" w:cs="Times New Roman"/>
          <w:sz w:val="22"/>
          <w:szCs w:val="22"/>
        </w:rPr>
        <w:t xml:space="preserve"> </w:t>
      </w:r>
      <w:r w:rsidRPr="003A116B">
        <w:rPr>
          <w:rFonts w:ascii="Times New Roman" w:hAnsi="Times New Roman" w:cs="Times New Roman"/>
          <w:sz w:val="22"/>
          <w:szCs w:val="22"/>
          <w:lang w:val="en-US"/>
        </w:rPr>
        <w:t xml:space="preserve">Ravinder Kumar, </w:t>
      </w:r>
      <w:r w:rsidRPr="003A116B">
        <w:rPr>
          <w:rFonts w:ascii="Times New Roman" w:hAnsi="Times New Roman" w:cs="Times New Roman"/>
          <w:i/>
          <w:sz w:val="22"/>
          <w:szCs w:val="22"/>
          <w:lang w:val="en-US"/>
        </w:rPr>
        <w:t>Western India in the Nineteenth Century: A Study in the Social History of Maharashtra</w:t>
      </w:r>
      <w:r w:rsidRPr="003A116B">
        <w:rPr>
          <w:rFonts w:ascii="Times New Roman" w:hAnsi="Times New Roman" w:cs="Times New Roman"/>
          <w:sz w:val="22"/>
          <w:szCs w:val="22"/>
          <w:lang w:val="en-US"/>
        </w:rPr>
        <w:t xml:space="preserve"> (London: Routledge and Kenan Paul, 1968), p. 283.</w:t>
      </w:r>
    </w:p>
  </w:footnote>
  <w:footnote w:id="43">
    <w:p w14:paraId="35313E30" w14:textId="77777777" w:rsidR="001A00C1" w:rsidRPr="003A116B" w:rsidRDefault="001A00C1" w:rsidP="00ED4617">
      <w:pPr>
        <w:pStyle w:val="FootnoteText"/>
        <w:jc w:val="both"/>
        <w:rPr>
          <w:rFonts w:ascii="Times New Roman" w:hAnsi="Times New Roman" w:cs="Times New Roman"/>
          <w:sz w:val="22"/>
          <w:szCs w:val="22"/>
          <w:lang w:val="en-US"/>
        </w:rPr>
      </w:pPr>
      <w:r w:rsidRPr="003A116B">
        <w:rPr>
          <w:rStyle w:val="FootnoteReference"/>
          <w:rFonts w:ascii="Times New Roman" w:hAnsi="Times New Roman" w:cs="Times New Roman"/>
          <w:sz w:val="22"/>
          <w:szCs w:val="22"/>
        </w:rPr>
        <w:footnoteRef/>
      </w:r>
      <w:r w:rsidRPr="003A116B">
        <w:rPr>
          <w:rFonts w:ascii="Times New Roman" w:hAnsi="Times New Roman" w:cs="Times New Roman"/>
          <w:sz w:val="22"/>
          <w:szCs w:val="22"/>
        </w:rPr>
        <w:t xml:space="preserve"> Quoted in Ian Copland, ‘The Maharaja of Kolhapur and the Non-Brahmin Movement, 1902-1910’, </w:t>
      </w:r>
      <w:r w:rsidRPr="003A116B">
        <w:rPr>
          <w:rFonts w:ascii="Times New Roman" w:hAnsi="Times New Roman" w:cs="Times New Roman"/>
          <w:i/>
          <w:sz w:val="22"/>
          <w:szCs w:val="22"/>
        </w:rPr>
        <w:t>Modern Asian Studies</w:t>
      </w:r>
      <w:r w:rsidRPr="003A116B">
        <w:rPr>
          <w:rFonts w:ascii="Times New Roman" w:hAnsi="Times New Roman" w:cs="Times New Roman"/>
          <w:sz w:val="22"/>
          <w:szCs w:val="22"/>
        </w:rPr>
        <w:t>, 7</w:t>
      </w:r>
      <w:r>
        <w:rPr>
          <w:rFonts w:ascii="Times New Roman" w:hAnsi="Times New Roman" w:cs="Times New Roman"/>
          <w:sz w:val="22"/>
          <w:szCs w:val="22"/>
        </w:rPr>
        <w:t>.2</w:t>
      </w:r>
      <w:r w:rsidRPr="003A116B">
        <w:rPr>
          <w:rFonts w:ascii="Times New Roman" w:hAnsi="Times New Roman" w:cs="Times New Roman"/>
          <w:sz w:val="22"/>
          <w:szCs w:val="22"/>
        </w:rPr>
        <w:t xml:space="preserve"> (1973), 209-225 (p. 214).</w:t>
      </w:r>
    </w:p>
  </w:footnote>
  <w:footnote w:id="44">
    <w:p w14:paraId="3D2B7AB9" w14:textId="6644B362" w:rsidR="001A00C1" w:rsidRPr="00405D10" w:rsidRDefault="001A00C1" w:rsidP="00ED4617">
      <w:pPr>
        <w:pStyle w:val="FootnoteText"/>
        <w:jc w:val="both"/>
        <w:rPr>
          <w:rFonts w:ascii="Times New Roman" w:hAnsi="Times New Roman" w:cs="Times New Roman"/>
          <w:sz w:val="22"/>
          <w:szCs w:val="22"/>
          <w:lang w:val="en-US"/>
        </w:rPr>
      </w:pPr>
      <w:r w:rsidRPr="00405D10">
        <w:rPr>
          <w:rStyle w:val="FootnoteReference"/>
          <w:rFonts w:ascii="Times New Roman" w:hAnsi="Times New Roman" w:cs="Times New Roman"/>
          <w:sz w:val="22"/>
          <w:szCs w:val="22"/>
        </w:rPr>
        <w:footnoteRef/>
      </w:r>
      <w:r w:rsidRPr="00405D10">
        <w:rPr>
          <w:rFonts w:ascii="Times New Roman" w:hAnsi="Times New Roman" w:cs="Times New Roman"/>
          <w:sz w:val="22"/>
          <w:szCs w:val="22"/>
        </w:rPr>
        <w:t xml:space="preserve"> </w:t>
      </w:r>
      <w:r>
        <w:rPr>
          <w:rFonts w:ascii="Times New Roman" w:hAnsi="Times New Roman" w:cs="Times New Roman"/>
          <w:sz w:val="22"/>
          <w:szCs w:val="22"/>
        </w:rPr>
        <w:t xml:space="preserve">The Reforms Committee (Franchise), </w:t>
      </w:r>
      <w:r>
        <w:rPr>
          <w:rFonts w:ascii="Times New Roman" w:hAnsi="Times New Roman" w:cs="Times New Roman"/>
          <w:i/>
          <w:sz w:val="22"/>
          <w:szCs w:val="22"/>
        </w:rPr>
        <w:t>Evidence taken before the Reforms Committee (Franchise), Volume II: Bengal, Madras, Bombay</w:t>
      </w:r>
      <w:r>
        <w:rPr>
          <w:rFonts w:ascii="Times New Roman" w:hAnsi="Times New Roman" w:cs="Times New Roman"/>
          <w:sz w:val="22"/>
          <w:szCs w:val="22"/>
        </w:rPr>
        <w:t xml:space="preserve"> (Calcutta: Superintendent Government Printing, 1919), p. 683; see also, NAI, GOI, Reforms Office File 130-148(b)</w:t>
      </w:r>
      <w:r w:rsidRPr="00405D10">
        <w:rPr>
          <w:rFonts w:ascii="Times New Roman" w:hAnsi="Times New Roman" w:cs="Times New Roman"/>
          <w:sz w:val="22"/>
          <w:szCs w:val="22"/>
          <w:lang w:val="en-US"/>
        </w:rPr>
        <w:t xml:space="preserve">, ‘Demi-official letter from the Hon’ble Mr. C.N. Seddon, Reforms Commissioner, Bombay, to S.P. O’Donnell, Esq., C.I.E., Secretary to the GOI, Reforms Department’, </w:t>
      </w:r>
      <w:r>
        <w:rPr>
          <w:rFonts w:ascii="Times New Roman" w:hAnsi="Times New Roman" w:cs="Times New Roman"/>
          <w:sz w:val="22"/>
          <w:szCs w:val="22"/>
          <w:lang w:val="en-US"/>
        </w:rPr>
        <w:t>23 March 1920; Mumbai, Maharashtra State Archives [henceforth MSA], Government of Bombay [henceforth GOB], Reforms Office File 42 I, ‘Sir John Heaton’s Award’, 28 April 1920.</w:t>
      </w:r>
    </w:p>
  </w:footnote>
  <w:footnote w:id="45">
    <w:p w14:paraId="480FE964" w14:textId="77777777" w:rsidR="001A00C1" w:rsidRPr="00512C20" w:rsidRDefault="001A00C1" w:rsidP="00ED4617">
      <w:pPr>
        <w:pStyle w:val="FootnoteText"/>
        <w:jc w:val="both"/>
        <w:rPr>
          <w:rFonts w:ascii="Times New Roman" w:hAnsi="Times New Roman" w:cs="Times New Roman"/>
          <w:sz w:val="22"/>
          <w:szCs w:val="22"/>
          <w:lang w:val="en-US"/>
        </w:rPr>
      </w:pPr>
      <w:r w:rsidRPr="00512C20">
        <w:rPr>
          <w:rStyle w:val="FootnoteReference"/>
          <w:rFonts w:ascii="Times New Roman" w:hAnsi="Times New Roman" w:cs="Times New Roman"/>
          <w:sz w:val="22"/>
          <w:szCs w:val="22"/>
        </w:rPr>
        <w:footnoteRef/>
      </w:r>
      <w:r w:rsidRPr="00512C20">
        <w:rPr>
          <w:rFonts w:ascii="Times New Roman" w:hAnsi="Times New Roman" w:cs="Times New Roman"/>
          <w:sz w:val="22"/>
          <w:szCs w:val="22"/>
        </w:rPr>
        <w:t xml:space="preserve"> </w:t>
      </w:r>
      <w:r>
        <w:rPr>
          <w:rFonts w:ascii="Times New Roman" w:hAnsi="Times New Roman" w:cs="Times New Roman"/>
          <w:sz w:val="22"/>
          <w:szCs w:val="22"/>
        </w:rPr>
        <w:t>MSA, GOB,</w:t>
      </w:r>
      <w:r w:rsidRPr="00512C20">
        <w:rPr>
          <w:rFonts w:ascii="Times New Roman" w:hAnsi="Times New Roman" w:cs="Times New Roman"/>
          <w:sz w:val="22"/>
          <w:szCs w:val="22"/>
          <w:lang w:val="en-US"/>
        </w:rPr>
        <w:t xml:space="preserve"> Home (Special) Department File 363(5), ‘Letter from Commissioner, Central Division, to Secretary to Government, Home Department’, 28 December 1927.</w:t>
      </w:r>
    </w:p>
  </w:footnote>
  <w:footnote w:id="46">
    <w:p w14:paraId="25798788" w14:textId="77777777" w:rsidR="001A00C1" w:rsidRPr="009E6C6A" w:rsidRDefault="001A00C1" w:rsidP="00ED4617">
      <w:pPr>
        <w:pStyle w:val="FootnoteText"/>
        <w:jc w:val="both"/>
        <w:rPr>
          <w:rFonts w:ascii="Times New Roman" w:hAnsi="Times New Roman" w:cs="Times New Roman"/>
          <w:sz w:val="22"/>
          <w:szCs w:val="22"/>
          <w:lang w:val="en-US"/>
        </w:rPr>
      </w:pPr>
      <w:r w:rsidRPr="009E6C6A">
        <w:rPr>
          <w:rStyle w:val="FootnoteReference"/>
          <w:rFonts w:ascii="Times New Roman" w:hAnsi="Times New Roman" w:cs="Times New Roman"/>
          <w:sz w:val="22"/>
          <w:szCs w:val="22"/>
        </w:rPr>
        <w:footnoteRef/>
      </w:r>
      <w:r w:rsidRPr="009E6C6A">
        <w:rPr>
          <w:rFonts w:ascii="Times New Roman" w:hAnsi="Times New Roman" w:cs="Times New Roman"/>
          <w:sz w:val="22"/>
          <w:szCs w:val="22"/>
        </w:rPr>
        <w:t xml:space="preserve"> </w:t>
      </w:r>
      <w:r w:rsidRPr="009E6C6A">
        <w:rPr>
          <w:rFonts w:ascii="Times New Roman" w:hAnsi="Times New Roman" w:cs="Times New Roman"/>
          <w:i/>
          <w:sz w:val="22"/>
          <w:szCs w:val="22"/>
          <w:lang w:val="en-US"/>
        </w:rPr>
        <w:t>Ibid.</w:t>
      </w:r>
      <w:r w:rsidRPr="009E6C6A">
        <w:rPr>
          <w:rFonts w:ascii="Times New Roman" w:hAnsi="Times New Roman" w:cs="Times New Roman"/>
          <w:sz w:val="22"/>
          <w:szCs w:val="22"/>
          <w:lang w:val="en-US"/>
        </w:rPr>
        <w:t>, File 363(3), ‘Letter from the Collector of Satara to the Secretary to the Government, Home Department’, “Special Report on Affairs at Vita”, 5 September 1925.</w:t>
      </w:r>
    </w:p>
  </w:footnote>
  <w:footnote w:id="47">
    <w:p w14:paraId="42513CF4" w14:textId="77777777" w:rsidR="001A00C1" w:rsidRPr="007B0A03" w:rsidRDefault="001A00C1" w:rsidP="00ED4617">
      <w:pPr>
        <w:pStyle w:val="FootnoteText"/>
        <w:jc w:val="both"/>
        <w:rPr>
          <w:rFonts w:ascii="Times New Roman" w:hAnsi="Times New Roman" w:cs="Times New Roman"/>
          <w:sz w:val="22"/>
          <w:szCs w:val="22"/>
          <w:lang w:val="en-US"/>
        </w:rPr>
      </w:pPr>
      <w:r w:rsidRPr="007B0A03">
        <w:rPr>
          <w:rStyle w:val="FootnoteReference"/>
          <w:rFonts w:ascii="Times New Roman" w:hAnsi="Times New Roman" w:cs="Times New Roman"/>
          <w:sz w:val="22"/>
          <w:szCs w:val="22"/>
        </w:rPr>
        <w:footnoteRef/>
      </w:r>
      <w:r w:rsidRPr="007B0A03">
        <w:rPr>
          <w:rFonts w:ascii="Times New Roman" w:hAnsi="Times New Roman" w:cs="Times New Roman"/>
          <w:sz w:val="22"/>
          <w:szCs w:val="22"/>
        </w:rPr>
        <w:t xml:space="preserve"> </w:t>
      </w:r>
      <w:r>
        <w:rPr>
          <w:rFonts w:ascii="Times New Roman" w:hAnsi="Times New Roman" w:cs="Times New Roman"/>
          <w:i/>
          <w:sz w:val="22"/>
          <w:szCs w:val="22"/>
        </w:rPr>
        <w:t>Ibid.</w:t>
      </w:r>
      <w:r w:rsidRPr="007B0A03">
        <w:rPr>
          <w:rFonts w:ascii="Times New Roman" w:hAnsi="Times New Roman" w:cs="Times New Roman"/>
          <w:sz w:val="22"/>
          <w:szCs w:val="22"/>
        </w:rPr>
        <w:t>, Reforms Office File 46/I, ‘Resolutions of Fourth Session of the Bombay Provincial Non-Brahman Conference held at Shahabai (Kolaba District), 2 May 1931.</w:t>
      </w:r>
    </w:p>
  </w:footnote>
  <w:footnote w:id="48">
    <w:p w14:paraId="2CFABCB1" w14:textId="1E5A3366" w:rsidR="001A00C1" w:rsidRPr="001A00C1" w:rsidRDefault="001A00C1" w:rsidP="001A00C1">
      <w:pPr>
        <w:pStyle w:val="FootnoteText"/>
        <w:jc w:val="both"/>
        <w:rPr>
          <w:rFonts w:ascii="Times New Roman" w:hAnsi="Times New Roman" w:cs="Times New Roman"/>
          <w:sz w:val="22"/>
          <w:szCs w:val="22"/>
          <w:lang w:val="en-US"/>
        </w:rPr>
      </w:pPr>
      <w:r w:rsidRPr="001A00C1">
        <w:rPr>
          <w:rStyle w:val="FootnoteReference"/>
          <w:rFonts w:ascii="Times New Roman" w:hAnsi="Times New Roman" w:cs="Times New Roman"/>
          <w:sz w:val="22"/>
          <w:szCs w:val="22"/>
        </w:rPr>
        <w:footnoteRef/>
      </w:r>
      <w:r w:rsidRPr="001A00C1">
        <w:rPr>
          <w:rFonts w:ascii="Times New Roman" w:hAnsi="Times New Roman" w:cs="Times New Roman"/>
          <w:sz w:val="22"/>
          <w:szCs w:val="22"/>
        </w:rPr>
        <w:t xml:space="preserve"> </w:t>
      </w:r>
      <w:r w:rsidRPr="001A00C1">
        <w:rPr>
          <w:rFonts w:ascii="Times New Roman" w:hAnsi="Times New Roman" w:cs="Times New Roman"/>
          <w:sz w:val="22"/>
          <w:szCs w:val="22"/>
          <w:lang w:val="en-US"/>
        </w:rPr>
        <w:t xml:space="preserve">For more on the ways in which the proponents of Samyukta Maharashtra articulated their demands for provincial reorganization, see Godsmark, </w:t>
      </w:r>
      <w:r w:rsidRPr="001A00C1">
        <w:rPr>
          <w:rFonts w:ascii="Times New Roman" w:hAnsi="Times New Roman" w:cs="Times New Roman"/>
          <w:i/>
          <w:sz w:val="22"/>
          <w:szCs w:val="22"/>
          <w:lang w:val="en-US"/>
        </w:rPr>
        <w:t>Citizenship, Community and Democracy</w:t>
      </w:r>
      <w:r w:rsidRPr="001A00C1">
        <w:rPr>
          <w:rFonts w:ascii="Times New Roman" w:hAnsi="Times New Roman" w:cs="Times New Roman"/>
          <w:sz w:val="22"/>
          <w:szCs w:val="22"/>
          <w:lang w:val="en-US"/>
        </w:rPr>
        <w:t>, Chapter Three.</w:t>
      </w:r>
    </w:p>
  </w:footnote>
  <w:footnote w:id="49">
    <w:p w14:paraId="536209F6" w14:textId="291CF2F4" w:rsidR="001A00C1" w:rsidRPr="008A632E" w:rsidRDefault="001A00C1" w:rsidP="00ED4617">
      <w:pPr>
        <w:pStyle w:val="FootnoteText"/>
        <w:jc w:val="both"/>
        <w:rPr>
          <w:rFonts w:ascii="Times New Roman" w:hAnsi="Times New Roman" w:cs="Times New Roman"/>
          <w:sz w:val="22"/>
          <w:szCs w:val="22"/>
          <w:lang w:val="en-US"/>
        </w:rPr>
      </w:pPr>
      <w:r w:rsidRPr="008A632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London, British Library [henceforth BL], India Office Library [henceforth IOL], Lumley Collection, MSS.Eur.</w:t>
      </w:r>
      <w:r w:rsidRPr="008A632E">
        <w:rPr>
          <w:rFonts w:ascii="Times New Roman" w:hAnsi="Times New Roman" w:cs="Times New Roman"/>
          <w:sz w:val="22"/>
          <w:szCs w:val="22"/>
        </w:rPr>
        <w:t>F.253/42, ‘Letter from Rao Bahadur D.A. Surve to Lord Scarborough’, 21 December 1945.</w:t>
      </w:r>
    </w:p>
  </w:footnote>
  <w:footnote w:id="50">
    <w:p w14:paraId="7325014C" w14:textId="77777777" w:rsidR="001A00C1" w:rsidRPr="009C6DB8" w:rsidRDefault="001A00C1" w:rsidP="00ED4617">
      <w:pPr>
        <w:pStyle w:val="FootnoteText"/>
        <w:jc w:val="both"/>
        <w:rPr>
          <w:rFonts w:ascii="Times New Roman" w:hAnsi="Times New Roman" w:cs="Times New Roman"/>
          <w:sz w:val="22"/>
          <w:szCs w:val="22"/>
        </w:rPr>
      </w:pPr>
      <w:r w:rsidRPr="009C6DB8">
        <w:rPr>
          <w:rStyle w:val="FootnoteReference"/>
          <w:rFonts w:ascii="Times New Roman" w:hAnsi="Times New Roman" w:cs="Times New Roman"/>
          <w:sz w:val="22"/>
          <w:szCs w:val="22"/>
        </w:rPr>
        <w:footnoteRef/>
      </w:r>
      <w:r w:rsidRPr="009C6DB8">
        <w:rPr>
          <w:rFonts w:ascii="Times New Roman" w:hAnsi="Times New Roman" w:cs="Times New Roman"/>
          <w:sz w:val="22"/>
          <w:szCs w:val="22"/>
        </w:rPr>
        <w:t xml:space="preserve"> </w:t>
      </w:r>
      <w:r>
        <w:rPr>
          <w:rFonts w:ascii="Times New Roman" w:hAnsi="Times New Roman" w:cs="Times New Roman"/>
          <w:sz w:val="22"/>
          <w:szCs w:val="22"/>
        </w:rPr>
        <w:t>For</w:t>
      </w:r>
      <w:r w:rsidRPr="009C6DB8">
        <w:rPr>
          <w:rFonts w:ascii="Times New Roman" w:hAnsi="Times New Roman" w:cs="Times New Roman"/>
          <w:sz w:val="22"/>
          <w:szCs w:val="22"/>
        </w:rPr>
        <w:t xml:space="preserve"> example, the decision to reorganise the Provincial/Pradesh Congress Committees on a linguistic basis at the Congress’s annual conference at Nagpur in 1920, under Gandhi’s influence.</w:t>
      </w:r>
      <w:r>
        <w:rPr>
          <w:rFonts w:ascii="Times New Roman" w:hAnsi="Times New Roman" w:cs="Times New Roman"/>
          <w:sz w:val="22"/>
          <w:szCs w:val="22"/>
        </w:rPr>
        <w:t xml:space="preserve"> See, Mohandas K. Gandhi, ‘The Congress Constitution’, 3 November 1920, in </w:t>
      </w:r>
      <w:r>
        <w:rPr>
          <w:rFonts w:ascii="Times New Roman" w:hAnsi="Times New Roman" w:cs="Times New Roman"/>
          <w:i/>
          <w:sz w:val="22"/>
          <w:szCs w:val="22"/>
        </w:rPr>
        <w:t>The Collected Works of Mahatma Gandhi (Electronic Book)</w:t>
      </w:r>
      <w:r>
        <w:rPr>
          <w:rFonts w:ascii="Times New Roman" w:hAnsi="Times New Roman" w:cs="Times New Roman"/>
          <w:sz w:val="22"/>
          <w:szCs w:val="22"/>
        </w:rPr>
        <w:t xml:space="preserve"> [henceforth </w:t>
      </w:r>
      <w:r>
        <w:rPr>
          <w:rFonts w:ascii="Times New Roman" w:hAnsi="Times New Roman" w:cs="Times New Roman"/>
          <w:i/>
          <w:sz w:val="22"/>
          <w:szCs w:val="22"/>
        </w:rPr>
        <w:t>CWMG</w:t>
      </w:r>
      <w:r>
        <w:rPr>
          <w:rFonts w:ascii="Times New Roman" w:hAnsi="Times New Roman" w:cs="Times New Roman"/>
          <w:sz w:val="22"/>
          <w:szCs w:val="22"/>
        </w:rPr>
        <w:t>]</w:t>
      </w:r>
      <w:r>
        <w:rPr>
          <w:rFonts w:ascii="Times New Roman" w:hAnsi="Times New Roman" w:cs="Times New Roman"/>
          <w:i/>
          <w:sz w:val="22"/>
          <w:szCs w:val="22"/>
        </w:rPr>
        <w:t>, Volume 21</w:t>
      </w:r>
      <w:r>
        <w:rPr>
          <w:rFonts w:ascii="Times New Roman" w:hAnsi="Times New Roman" w:cs="Times New Roman"/>
          <w:sz w:val="22"/>
          <w:szCs w:val="22"/>
        </w:rPr>
        <w:t xml:space="preserve"> (New Delhi: Publications Division, Government of India, 1999), p. 443.</w:t>
      </w:r>
    </w:p>
  </w:footnote>
  <w:footnote w:id="51">
    <w:p w14:paraId="6DAFC621" w14:textId="77777777" w:rsidR="001A00C1" w:rsidRPr="007B46ED" w:rsidRDefault="001A00C1" w:rsidP="00ED4617">
      <w:pPr>
        <w:pStyle w:val="FootnoteText"/>
        <w:jc w:val="both"/>
        <w:rPr>
          <w:rFonts w:ascii="Times New Roman" w:hAnsi="Times New Roman" w:cs="Times New Roman"/>
          <w:sz w:val="22"/>
          <w:szCs w:val="22"/>
          <w:lang w:val="en-US"/>
        </w:rPr>
      </w:pPr>
      <w:r w:rsidRPr="007B46ED">
        <w:rPr>
          <w:rStyle w:val="FootnoteReference"/>
          <w:rFonts w:ascii="Times New Roman" w:hAnsi="Times New Roman" w:cs="Times New Roman"/>
          <w:sz w:val="22"/>
          <w:szCs w:val="22"/>
        </w:rPr>
        <w:footnoteRef/>
      </w:r>
      <w:r w:rsidRPr="007B46ED">
        <w:rPr>
          <w:rFonts w:ascii="Times New Roman" w:hAnsi="Times New Roman" w:cs="Times New Roman"/>
          <w:sz w:val="22"/>
          <w:szCs w:val="22"/>
        </w:rPr>
        <w:t xml:space="preserve"> </w:t>
      </w:r>
      <w:r w:rsidRPr="007B46ED">
        <w:rPr>
          <w:rFonts w:ascii="Times New Roman" w:hAnsi="Times New Roman" w:cs="Times New Roman"/>
          <w:sz w:val="22"/>
          <w:szCs w:val="22"/>
          <w:lang w:val="en-US"/>
        </w:rPr>
        <w:t xml:space="preserve">Prachi Deshpande, </w:t>
      </w:r>
      <w:r w:rsidRPr="007B46ED">
        <w:rPr>
          <w:rFonts w:ascii="Times New Roman" w:hAnsi="Times New Roman" w:cs="Times New Roman"/>
          <w:i/>
          <w:sz w:val="22"/>
          <w:szCs w:val="22"/>
          <w:lang w:val="en-US"/>
        </w:rPr>
        <w:t>Creative Pasts: Historical Memory and Identity in Western India, 1700-1960</w:t>
      </w:r>
      <w:r w:rsidRPr="007B46ED">
        <w:rPr>
          <w:rFonts w:ascii="Times New Roman" w:hAnsi="Times New Roman" w:cs="Times New Roman"/>
          <w:sz w:val="22"/>
          <w:szCs w:val="22"/>
          <w:lang w:val="en-US"/>
        </w:rPr>
        <w:t xml:space="preserve"> (New York, NY: Columbia University Press, 2007), p. 188.</w:t>
      </w:r>
    </w:p>
  </w:footnote>
  <w:footnote w:id="52">
    <w:p w14:paraId="0B50D435" w14:textId="77777777" w:rsidR="001A00C1" w:rsidRPr="004D5B57" w:rsidRDefault="001A00C1" w:rsidP="00ED4617">
      <w:pPr>
        <w:pStyle w:val="FootnoteText"/>
        <w:jc w:val="both"/>
        <w:rPr>
          <w:rFonts w:ascii="Times New Roman" w:hAnsi="Times New Roman" w:cs="Times New Roman"/>
          <w:sz w:val="22"/>
          <w:szCs w:val="22"/>
          <w:lang w:val="en-US"/>
        </w:rPr>
      </w:pPr>
      <w:r w:rsidRPr="004D5B57">
        <w:rPr>
          <w:rStyle w:val="FootnoteReference"/>
          <w:rFonts w:ascii="Times New Roman" w:hAnsi="Times New Roman" w:cs="Times New Roman"/>
          <w:sz w:val="22"/>
          <w:szCs w:val="22"/>
        </w:rPr>
        <w:footnoteRef/>
      </w:r>
      <w:r w:rsidRPr="004D5B57">
        <w:rPr>
          <w:rFonts w:ascii="Times New Roman" w:hAnsi="Times New Roman" w:cs="Times New Roman"/>
          <w:sz w:val="22"/>
          <w:szCs w:val="22"/>
        </w:rPr>
        <w:t xml:space="preserve"> </w:t>
      </w:r>
      <w:r w:rsidRPr="004D5B57">
        <w:rPr>
          <w:rFonts w:ascii="Times New Roman" w:hAnsi="Times New Roman" w:cs="Times New Roman"/>
          <w:sz w:val="22"/>
          <w:szCs w:val="22"/>
          <w:lang w:val="en-US"/>
        </w:rPr>
        <w:t xml:space="preserve">D.R. Gadgil, </w:t>
      </w:r>
      <w:r w:rsidRPr="004D5B57">
        <w:rPr>
          <w:rFonts w:ascii="Times New Roman" w:hAnsi="Times New Roman" w:cs="Times New Roman"/>
          <w:i/>
          <w:sz w:val="22"/>
          <w:szCs w:val="22"/>
          <w:lang w:val="en-US"/>
        </w:rPr>
        <w:t>The Federal Problem in India</w:t>
      </w:r>
      <w:r w:rsidRPr="004D5B57">
        <w:rPr>
          <w:rFonts w:ascii="Times New Roman" w:hAnsi="Times New Roman" w:cs="Times New Roman"/>
          <w:sz w:val="22"/>
          <w:szCs w:val="22"/>
          <w:lang w:val="en-US"/>
        </w:rPr>
        <w:t xml:space="preserve"> (Poona: Gokhale Institute of Politics and Economics, 1947), p. vi.</w:t>
      </w:r>
    </w:p>
  </w:footnote>
  <w:footnote w:id="53">
    <w:p w14:paraId="36E99E3E" w14:textId="77777777" w:rsidR="001A00C1" w:rsidRPr="007A6E5F" w:rsidRDefault="001A00C1" w:rsidP="00ED4617">
      <w:pPr>
        <w:pStyle w:val="FootnoteText"/>
        <w:jc w:val="both"/>
        <w:rPr>
          <w:rFonts w:ascii="Times New Roman" w:hAnsi="Times New Roman" w:cs="Times New Roman"/>
          <w:sz w:val="22"/>
          <w:szCs w:val="22"/>
          <w:lang w:val="en-US"/>
        </w:rPr>
      </w:pPr>
      <w:r w:rsidRPr="007A6E5F">
        <w:rPr>
          <w:rStyle w:val="FootnoteReference"/>
          <w:rFonts w:ascii="Times New Roman" w:hAnsi="Times New Roman" w:cs="Times New Roman"/>
          <w:sz w:val="22"/>
          <w:szCs w:val="22"/>
        </w:rPr>
        <w:footnoteRef/>
      </w:r>
      <w:r w:rsidRPr="007A6E5F">
        <w:rPr>
          <w:rFonts w:ascii="Times New Roman" w:hAnsi="Times New Roman" w:cs="Times New Roman"/>
          <w:sz w:val="22"/>
          <w:szCs w:val="22"/>
        </w:rPr>
        <w:t xml:space="preserve"> </w:t>
      </w:r>
      <w:r w:rsidRPr="007A6E5F">
        <w:rPr>
          <w:rFonts w:ascii="Times New Roman" w:hAnsi="Times New Roman" w:cs="Times New Roman"/>
          <w:i/>
          <w:sz w:val="22"/>
          <w:szCs w:val="22"/>
          <w:lang w:val="en-US"/>
        </w:rPr>
        <w:t>Ibid.</w:t>
      </w:r>
    </w:p>
  </w:footnote>
  <w:footnote w:id="54">
    <w:p w14:paraId="3B6871B6" w14:textId="77777777" w:rsidR="001A00C1" w:rsidRPr="007A6E5F" w:rsidRDefault="001A00C1" w:rsidP="00ED4617">
      <w:pPr>
        <w:pStyle w:val="FootnoteText"/>
        <w:jc w:val="both"/>
        <w:rPr>
          <w:rFonts w:ascii="Times New Roman" w:hAnsi="Times New Roman" w:cs="Times New Roman"/>
          <w:sz w:val="22"/>
          <w:szCs w:val="22"/>
          <w:lang w:val="en-US"/>
        </w:rPr>
      </w:pPr>
      <w:r w:rsidRPr="007A6E5F">
        <w:rPr>
          <w:rStyle w:val="FootnoteReference"/>
          <w:rFonts w:ascii="Times New Roman" w:hAnsi="Times New Roman" w:cs="Times New Roman"/>
          <w:sz w:val="22"/>
          <w:szCs w:val="22"/>
        </w:rPr>
        <w:footnoteRef/>
      </w:r>
      <w:r w:rsidRPr="007A6E5F">
        <w:rPr>
          <w:rFonts w:ascii="Times New Roman" w:hAnsi="Times New Roman" w:cs="Times New Roman"/>
          <w:sz w:val="22"/>
          <w:szCs w:val="22"/>
        </w:rPr>
        <w:t xml:space="preserve"> </w:t>
      </w:r>
      <w:r w:rsidRPr="007A6E5F">
        <w:rPr>
          <w:rFonts w:ascii="Times New Roman" w:hAnsi="Times New Roman" w:cs="Times New Roman"/>
          <w:i/>
          <w:sz w:val="22"/>
          <w:szCs w:val="22"/>
          <w:lang w:val="en-US"/>
        </w:rPr>
        <w:t>Ibid.</w:t>
      </w:r>
      <w:r w:rsidRPr="007A6E5F">
        <w:rPr>
          <w:rFonts w:ascii="Times New Roman" w:hAnsi="Times New Roman" w:cs="Times New Roman"/>
          <w:sz w:val="22"/>
          <w:szCs w:val="22"/>
          <w:lang w:val="en-US"/>
        </w:rPr>
        <w:t>, p. 66.</w:t>
      </w:r>
    </w:p>
  </w:footnote>
  <w:footnote w:id="55">
    <w:p w14:paraId="30DF2E02" w14:textId="77777777" w:rsidR="001A00C1" w:rsidRPr="007A6E5F" w:rsidRDefault="001A00C1" w:rsidP="00ED4617">
      <w:pPr>
        <w:pStyle w:val="FootnoteText"/>
        <w:jc w:val="both"/>
        <w:rPr>
          <w:rFonts w:ascii="Times New Roman" w:hAnsi="Times New Roman" w:cs="Times New Roman"/>
          <w:sz w:val="22"/>
          <w:szCs w:val="22"/>
          <w:lang w:val="en-US"/>
        </w:rPr>
      </w:pPr>
      <w:r w:rsidRPr="007A6E5F">
        <w:rPr>
          <w:rStyle w:val="FootnoteReference"/>
          <w:rFonts w:ascii="Times New Roman" w:hAnsi="Times New Roman" w:cs="Times New Roman"/>
          <w:sz w:val="22"/>
          <w:szCs w:val="22"/>
        </w:rPr>
        <w:footnoteRef/>
      </w:r>
      <w:r w:rsidRPr="007A6E5F">
        <w:rPr>
          <w:rFonts w:ascii="Times New Roman" w:hAnsi="Times New Roman" w:cs="Times New Roman"/>
          <w:sz w:val="22"/>
          <w:szCs w:val="22"/>
        </w:rPr>
        <w:t xml:space="preserve"> </w:t>
      </w:r>
      <w:r w:rsidRPr="007A6E5F">
        <w:rPr>
          <w:rFonts w:ascii="Times New Roman" w:hAnsi="Times New Roman" w:cs="Times New Roman"/>
          <w:sz w:val="22"/>
          <w:szCs w:val="22"/>
          <w:lang w:val="en-US"/>
        </w:rPr>
        <w:t xml:space="preserve">The phrase ‘panoply of exceptions’ is borrowed directly from Peter Robb, ‘The Colonial State and Constructions of Indian Identity: An Example on the North-East Frontier in the 1880s’, </w:t>
      </w:r>
      <w:r w:rsidRPr="007A6E5F">
        <w:rPr>
          <w:rFonts w:ascii="Times New Roman" w:hAnsi="Times New Roman" w:cs="Times New Roman"/>
          <w:i/>
          <w:sz w:val="22"/>
          <w:szCs w:val="22"/>
          <w:lang w:val="en-US"/>
        </w:rPr>
        <w:t>Modern Asian Studies</w:t>
      </w:r>
      <w:r w:rsidRPr="007A6E5F">
        <w:rPr>
          <w:rFonts w:ascii="Times New Roman" w:hAnsi="Times New Roman" w:cs="Times New Roman"/>
          <w:sz w:val="22"/>
          <w:szCs w:val="22"/>
          <w:lang w:val="en-US"/>
        </w:rPr>
        <w:t>, 31.2 (1997), 245-283.</w:t>
      </w:r>
    </w:p>
  </w:footnote>
  <w:footnote w:id="56">
    <w:p w14:paraId="7CF4C2DD" w14:textId="2EE9D895" w:rsidR="001A00C1" w:rsidRPr="00A921B1" w:rsidRDefault="001A00C1" w:rsidP="00ED4617">
      <w:pPr>
        <w:pStyle w:val="FootnoteText"/>
        <w:jc w:val="both"/>
        <w:rPr>
          <w:rFonts w:ascii="Times New Roman" w:hAnsi="Times New Roman" w:cs="Times New Roman"/>
          <w:sz w:val="22"/>
          <w:szCs w:val="22"/>
          <w:lang w:val="en-US"/>
        </w:rPr>
      </w:pPr>
      <w:r w:rsidRPr="007A6E5F">
        <w:rPr>
          <w:rStyle w:val="FootnoteReference"/>
          <w:rFonts w:ascii="Times New Roman" w:hAnsi="Times New Roman" w:cs="Times New Roman"/>
          <w:sz w:val="22"/>
          <w:szCs w:val="22"/>
        </w:rPr>
        <w:footnoteRef/>
      </w:r>
      <w:r w:rsidRPr="007A6E5F">
        <w:rPr>
          <w:rFonts w:ascii="Times New Roman" w:hAnsi="Times New Roman" w:cs="Times New Roman"/>
          <w:sz w:val="22"/>
          <w:szCs w:val="22"/>
        </w:rPr>
        <w:t xml:space="preserve"> </w:t>
      </w:r>
      <w:r w:rsidRPr="007A6E5F">
        <w:rPr>
          <w:rFonts w:ascii="Times New Roman" w:hAnsi="Times New Roman" w:cs="Times New Roman"/>
          <w:sz w:val="22"/>
          <w:szCs w:val="22"/>
          <w:lang w:val="en-US"/>
        </w:rPr>
        <w:t xml:space="preserve">Gadgil, </w:t>
      </w:r>
      <w:r w:rsidRPr="007A6E5F">
        <w:rPr>
          <w:rFonts w:ascii="Times New Roman" w:hAnsi="Times New Roman" w:cs="Times New Roman"/>
          <w:i/>
          <w:sz w:val="22"/>
          <w:szCs w:val="22"/>
          <w:lang w:val="en-US"/>
        </w:rPr>
        <w:t>The Federal Problem</w:t>
      </w:r>
      <w:r>
        <w:rPr>
          <w:rFonts w:ascii="Times New Roman" w:hAnsi="Times New Roman" w:cs="Times New Roman"/>
          <w:sz w:val="22"/>
          <w:szCs w:val="22"/>
          <w:lang w:val="en-US"/>
        </w:rPr>
        <w:t xml:space="preserve">, p. 67; for an earlier articulation of such arguments about the significance of ‘vague moods and unvocal feelings’ in the context of interwar constitutionalism, see Kerala Putra, </w:t>
      </w:r>
      <w:r>
        <w:rPr>
          <w:rFonts w:ascii="Times New Roman" w:hAnsi="Times New Roman" w:cs="Times New Roman"/>
          <w:i/>
          <w:sz w:val="22"/>
          <w:szCs w:val="22"/>
          <w:lang w:val="en-US"/>
        </w:rPr>
        <w:t>The Working of Dyarchy in India, 1919-1928</w:t>
      </w:r>
      <w:r>
        <w:rPr>
          <w:rFonts w:ascii="Times New Roman" w:hAnsi="Times New Roman" w:cs="Times New Roman"/>
          <w:sz w:val="22"/>
          <w:szCs w:val="22"/>
          <w:lang w:val="en-US"/>
        </w:rPr>
        <w:t xml:space="preserve"> (Bombay: Taraporevala, 1928), p. 8. Quoted in Stephen Legg, ‘Dyarchy: Democracy, Autocracy, and the Scalar Sovereignty of Interwar India’, </w:t>
      </w:r>
      <w:r>
        <w:rPr>
          <w:rFonts w:ascii="Times New Roman" w:hAnsi="Times New Roman" w:cs="Times New Roman"/>
          <w:i/>
          <w:sz w:val="22"/>
          <w:szCs w:val="22"/>
          <w:lang w:val="en-US"/>
        </w:rPr>
        <w:t>CSSAAME</w:t>
      </w:r>
      <w:r>
        <w:rPr>
          <w:rFonts w:ascii="Times New Roman" w:hAnsi="Times New Roman" w:cs="Times New Roman"/>
          <w:sz w:val="22"/>
          <w:szCs w:val="22"/>
          <w:lang w:val="en-US"/>
        </w:rPr>
        <w:t>, 36.1 (2016), p. 46.</w:t>
      </w:r>
    </w:p>
  </w:footnote>
  <w:footnote w:id="57">
    <w:p w14:paraId="54E484B5" w14:textId="164DC7AF" w:rsidR="001A00C1" w:rsidRPr="00D23ADA" w:rsidRDefault="001A00C1" w:rsidP="00ED4617">
      <w:pPr>
        <w:pStyle w:val="FootnoteText"/>
        <w:jc w:val="both"/>
        <w:rPr>
          <w:rFonts w:ascii="Times New Roman" w:hAnsi="Times New Roman" w:cs="Times New Roman"/>
          <w:sz w:val="22"/>
          <w:szCs w:val="22"/>
          <w:lang w:val="en-US"/>
        </w:rPr>
      </w:pPr>
      <w:r w:rsidRPr="005E4FE1">
        <w:rPr>
          <w:rStyle w:val="FootnoteReference"/>
          <w:rFonts w:ascii="Times New Roman" w:hAnsi="Times New Roman" w:cs="Times New Roman"/>
          <w:sz w:val="22"/>
          <w:szCs w:val="22"/>
        </w:rPr>
        <w:footnoteRef/>
      </w:r>
      <w:r w:rsidRPr="005E4FE1">
        <w:rPr>
          <w:rFonts w:ascii="Times New Roman" w:hAnsi="Times New Roman" w:cs="Times New Roman"/>
          <w:sz w:val="22"/>
          <w:szCs w:val="22"/>
        </w:rPr>
        <w:t xml:space="preserve"> </w:t>
      </w:r>
      <w:r>
        <w:rPr>
          <w:rFonts w:ascii="Times New Roman" w:hAnsi="Times New Roman" w:cs="Times New Roman"/>
          <w:sz w:val="22"/>
          <w:szCs w:val="22"/>
        </w:rPr>
        <w:t xml:space="preserve">D.R. Gadgil, </w:t>
      </w:r>
      <w:r>
        <w:rPr>
          <w:rFonts w:ascii="Times New Roman" w:hAnsi="Times New Roman" w:cs="Times New Roman"/>
          <w:i/>
          <w:sz w:val="22"/>
          <w:szCs w:val="22"/>
        </w:rPr>
        <w:t>Federating India</w:t>
      </w:r>
      <w:r>
        <w:rPr>
          <w:rFonts w:ascii="Times New Roman" w:hAnsi="Times New Roman" w:cs="Times New Roman"/>
          <w:sz w:val="22"/>
          <w:szCs w:val="22"/>
        </w:rPr>
        <w:t xml:space="preserve"> (Poona: Gokhale Institute of Politics and Economics, 1945), p. 14.</w:t>
      </w:r>
    </w:p>
  </w:footnote>
  <w:footnote w:id="58">
    <w:p w14:paraId="5DC3E74C" w14:textId="77777777" w:rsidR="001A00C1" w:rsidRPr="00905433" w:rsidRDefault="001A00C1" w:rsidP="00ED4617">
      <w:pPr>
        <w:pStyle w:val="FootnoteText"/>
        <w:jc w:val="both"/>
        <w:rPr>
          <w:rFonts w:ascii="Times New Roman" w:hAnsi="Times New Roman" w:cs="Times New Roman"/>
          <w:sz w:val="22"/>
          <w:szCs w:val="22"/>
          <w:lang w:val="en-US"/>
        </w:rPr>
      </w:pPr>
      <w:r w:rsidRPr="00905433">
        <w:rPr>
          <w:rStyle w:val="FootnoteReference"/>
          <w:rFonts w:ascii="Times New Roman" w:hAnsi="Times New Roman" w:cs="Times New Roman"/>
          <w:sz w:val="22"/>
          <w:szCs w:val="22"/>
        </w:rPr>
        <w:footnoteRef/>
      </w:r>
      <w:r w:rsidRPr="00905433">
        <w:rPr>
          <w:rFonts w:ascii="Times New Roman" w:hAnsi="Times New Roman" w:cs="Times New Roman"/>
          <w:sz w:val="22"/>
          <w:szCs w:val="22"/>
        </w:rPr>
        <w:t xml:space="preserve"> </w:t>
      </w:r>
      <w:r w:rsidRPr="00905433">
        <w:rPr>
          <w:rFonts w:ascii="Times New Roman" w:hAnsi="Times New Roman" w:cs="Times New Roman"/>
          <w:sz w:val="22"/>
          <w:szCs w:val="22"/>
          <w:lang w:val="en-US"/>
        </w:rPr>
        <w:t xml:space="preserve">Frederick Cooper, </w:t>
      </w:r>
      <w:r w:rsidRPr="00905433">
        <w:rPr>
          <w:rFonts w:ascii="Times New Roman" w:hAnsi="Times New Roman" w:cs="Times New Roman"/>
          <w:i/>
          <w:sz w:val="22"/>
          <w:szCs w:val="22"/>
          <w:lang w:val="en-US"/>
        </w:rPr>
        <w:t>Citizenship between Empire and Nation: Remaking France and French Africa, 1945-1960</w:t>
      </w:r>
      <w:r>
        <w:rPr>
          <w:rFonts w:ascii="Times New Roman" w:hAnsi="Times New Roman" w:cs="Times New Roman"/>
          <w:sz w:val="22"/>
          <w:szCs w:val="22"/>
          <w:lang w:val="en-US"/>
        </w:rPr>
        <w:t xml:space="preserve"> (Princeton, NJ</w:t>
      </w:r>
      <w:r w:rsidRPr="00905433">
        <w:rPr>
          <w:rFonts w:ascii="Times New Roman" w:hAnsi="Times New Roman" w:cs="Times New Roman"/>
          <w:sz w:val="22"/>
          <w:szCs w:val="22"/>
          <w:lang w:val="en-US"/>
        </w:rPr>
        <w:t>: Princeton University Press, 2014).</w:t>
      </w:r>
    </w:p>
  </w:footnote>
  <w:footnote w:id="59">
    <w:p w14:paraId="3F8D3CC1" w14:textId="5750B91E" w:rsidR="001A00C1" w:rsidRPr="009B3D36" w:rsidRDefault="001A00C1" w:rsidP="00ED4617">
      <w:pPr>
        <w:pStyle w:val="FootnoteText"/>
        <w:jc w:val="both"/>
        <w:rPr>
          <w:rFonts w:ascii="Times New Roman" w:hAnsi="Times New Roman" w:cs="Times New Roman"/>
          <w:sz w:val="22"/>
          <w:szCs w:val="22"/>
          <w:lang w:val="en-US"/>
        </w:rPr>
      </w:pPr>
      <w:r w:rsidRPr="009B3D36">
        <w:rPr>
          <w:rStyle w:val="FootnoteReference"/>
          <w:rFonts w:ascii="Times New Roman" w:hAnsi="Times New Roman" w:cs="Times New Roman"/>
          <w:sz w:val="22"/>
          <w:szCs w:val="22"/>
        </w:rPr>
        <w:footnoteRef/>
      </w:r>
      <w:r w:rsidRPr="009B3D36">
        <w:rPr>
          <w:rFonts w:ascii="Times New Roman" w:hAnsi="Times New Roman" w:cs="Times New Roman"/>
          <w:sz w:val="22"/>
          <w:szCs w:val="22"/>
        </w:rPr>
        <w:t xml:space="preserve"> </w:t>
      </w:r>
      <w:r>
        <w:rPr>
          <w:rFonts w:ascii="Times New Roman" w:hAnsi="Times New Roman" w:cs="Times New Roman"/>
          <w:sz w:val="22"/>
          <w:szCs w:val="22"/>
          <w:lang w:val="en-US"/>
        </w:rPr>
        <w:t>BL.</w:t>
      </w:r>
      <w:r w:rsidRPr="009B3D36">
        <w:rPr>
          <w:rFonts w:ascii="Times New Roman" w:hAnsi="Times New Roman" w:cs="Times New Roman"/>
          <w:sz w:val="22"/>
          <w:szCs w:val="22"/>
          <w:lang w:val="en-US"/>
        </w:rPr>
        <w:t xml:space="preserve"> I</w:t>
      </w:r>
      <w:r>
        <w:rPr>
          <w:rFonts w:ascii="Times New Roman" w:hAnsi="Times New Roman" w:cs="Times New Roman"/>
          <w:sz w:val="22"/>
          <w:szCs w:val="22"/>
          <w:lang w:val="en-US"/>
        </w:rPr>
        <w:t xml:space="preserve">ndia </w:t>
      </w:r>
      <w:r w:rsidRPr="009B3D36">
        <w:rPr>
          <w:rFonts w:ascii="Times New Roman" w:hAnsi="Times New Roman" w:cs="Times New Roman"/>
          <w:sz w:val="22"/>
          <w:szCs w:val="22"/>
          <w:lang w:val="en-US"/>
        </w:rPr>
        <w:t>O</w:t>
      </w:r>
      <w:r>
        <w:rPr>
          <w:rFonts w:ascii="Times New Roman" w:hAnsi="Times New Roman" w:cs="Times New Roman"/>
          <w:sz w:val="22"/>
          <w:szCs w:val="22"/>
          <w:lang w:val="en-US"/>
        </w:rPr>
        <w:t xml:space="preserve">ffice </w:t>
      </w:r>
      <w:r w:rsidRPr="009B3D36">
        <w:rPr>
          <w:rFonts w:ascii="Times New Roman" w:hAnsi="Times New Roman" w:cs="Times New Roman"/>
          <w:sz w:val="22"/>
          <w:szCs w:val="22"/>
          <w:lang w:val="en-US"/>
        </w:rPr>
        <w:t>R</w:t>
      </w:r>
      <w:r>
        <w:rPr>
          <w:rFonts w:ascii="Times New Roman" w:hAnsi="Times New Roman" w:cs="Times New Roman"/>
          <w:sz w:val="22"/>
          <w:szCs w:val="22"/>
          <w:lang w:val="en-US"/>
        </w:rPr>
        <w:t>ecords [henceforth IOR]</w:t>
      </w:r>
      <w:r w:rsidRPr="009B3D36">
        <w:rPr>
          <w:rFonts w:ascii="Times New Roman" w:hAnsi="Times New Roman" w:cs="Times New Roman"/>
          <w:sz w:val="22"/>
          <w:szCs w:val="22"/>
          <w:lang w:val="en-US"/>
        </w:rPr>
        <w:t>, L/PJ/10/36, ‘Note by Sir F. Burrows’, undated [c. March 1946].</w:t>
      </w:r>
    </w:p>
  </w:footnote>
  <w:footnote w:id="60">
    <w:p w14:paraId="28609267" w14:textId="77777777" w:rsidR="001A00C1" w:rsidRPr="009B3D36" w:rsidRDefault="001A00C1" w:rsidP="00ED4617">
      <w:pPr>
        <w:pStyle w:val="FootnoteText"/>
        <w:jc w:val="both"/>
        <w:rPr>
          <w:rFonts w:ascii="Times New Roman" w:hAnsi="Times New Roman" w:cs="Times New Roman"/>
          <w:i/>
          <w:sz w:val="22"/>
          <w:szCs w:val="22"/>
          <w:lang w:val="en-US"/>
        </w:rPr>
      </w:pPr>
      <w:r w:rsidRPr="009B3D36">
        <w:rPr>
          <w:rStyle w:val="FootnoteReference"/>
          <w:rFonts w:ascii="Times New Roman" w:hAnsi="Times New Roman" w:cs="Times New Roman"/>
          <w:sz w:val="22"/>
          <w:szCs w:val="22"/>
        </w:rPr>
        <w:footnoteRef/>
      </w:r>
      <w:r w:rsidRPr="009B3D36">
        <w:rPr>
          <w:rFonts w:ascii="Times New Roman" w:hAnsi="Times New Roman" w:cs="Times New Roman"/>
          <w:sz w:val="22"/>
          <w:szCs w:val="22"/>
        </w:rPr>
        <w:t xml:space="preserve"> </w:t>
      </w:r>
      <w:r w:rsidRPr="009B3D36">
        <w:rPr>
          <w:rFonts w:ascii="Times New Roman" w:hAnsi="Times New Roman" w:cs="Times New Roman"/>
          <w:i/>
          <w:sz w:val="22"/>
          <w:szCs w:val="22"/>
          <w:lang w:val="en-US"/>
        </w:rPr>
        <w:t>Ibid.</w:t>
      </w:r>
    </w:p>
  </w:footnote>
  <w:footnote w:id="61">
    <w:p w14:paraId="1BDD4E8A" w14:textId="77777777" w:rsidR="001A00C1" w:rsidRPr="009B3D36" w:rsidRDefault="001A00C1" w:rsidP="00ED4617">
      <w:pPr>
        <w:pStyle w:val="FootnoteText"/>
        <w:jc w:val="both"/>
        <w:rPr>
          <w:rFonts w:ascii="Times New Roman" w:hAnsi="Times New Roman" w:cs="Times New Roman"/>
          <w:sz w:val="22"/>
          <w:szCs w:val="22"/>
          <w:lang w:val="en-US"/>
        </w:rPr>
      </w:pPr>
      <w:r w:rsidRPr="009B3D36">
        <w:rPr>
          <w:rStyle w:val="FootnoteReference"/>
          <w:rFonts w:ascii="Times New Roman" w:hAnsi="Times New Roman" w:cs="Times New Roman"/>
          <w:sz w:val="22"/>
          <w:szCs w:val="22"/>
        </w:rPr>
        <w:footnoteRef/>
      </w:r>
      <w:r w:rsidRPr="009B3D36">
        <w:rPr>
          <w:rFonts w:ascii="Times New Roman" w:hAnsi="Times New Roman" w:cs="Times New Roman"/>
          <w:sz w:val="22"/>
          <w:szCs w:val="22"/>
        </w:rPr>
        <w:t xml:space="preserve"> </w:t>
      </w:r>
      <w:r w:rsidRPr="009B3D36">
        <w:rPr>
          <w:rFonts w:ascii="Times New Roman" w:hAnsi="Times New Roman" w:cs="Times New Roman"/>
          <w:i/>
          <w:sz w:val="22"/>
          <w:szCs w:val="22"/>
          <w:lang w:val="en-US"/>
        </w:rPr>
        <w:t>Ibid.</w:t>
      </w:r>
      <w:r w:rsidRPr="009B3D36">
        <w:rPr>
          <w:rFonts w:ascii="Times New Roman" w:hAnsi="Times New Roman" w:cs="Times New Roman"/>
          <w:sz w:val="22"/>
          <w:szCs w:val="22"/>
          <w:lang w:val="en-US"/>
        </w:rPr>
        <w:t>, ‘Note by Sir F. Wylie’, undated [c. March 1946].</w:t>
      </w:r>
    </w:p>
  </w:footnote>
  <w:footnote w:id="62">
    <w:p w14:paraId="141AC4CD" w14:textId="718681B9" w:rsidR="001A00C1" w:rsidRPr="00004573" w:rsidRDefault="001A00C1" w:rsidP="00ED4617">
      <w:pPr>
        <w:pStyle w:val="FootnoteText"/>
        <w:jc w:val="both"/>
        <w:rPr>
          <w:rFonts w:ascii="Times New Roman" w:hAnsi="Times New Roman" w:cs="Times New Roman"/>
          <w:sz w:val="22"/>
          <w:szCs w:val="22"/>
          <w:lang w:val="en-US"/>
        </w:rPr>
      </w:pPr>
      <w:r w:rsidRPr="00004573">
        <w:rPr>
          <w:rStyle w:val="FootnoteReference"/>
          <w:rFonts w:ascii="Times New Roman" w:hAnsi="Times New Roman" w:cs="Times New Roman"/>
          <w:sz w:val="22"/>
          <w:szCs w:val="22"/>
        </w:rPr>
        <w:footnoteRef/>
      </w:r>
      <w:r w:rsidRPr="00004573">
        <w:rPr>
          <w:rFonts w:ascii="Times New Roman" w:hAnsi="Times New Roman" w:cs="Times New Roman"/>
          <w:sz w:val="22"/>
          <w:szCs w:val="22"/>
          <w:lang w:val="en-US"/>
        </w:rPr>
        <w:t xml:space="preserve"> </w:t>
      </w:r>
      <w:r>
        <w:rPr>
          <w:rFonts w:ascii="Times New Roman" w:hAnsi="Times New Roman" w:cs="Times New Roman"/>
          <w:i/>
          <w:sz w:val="22"/>
          <w:szCs w:val="22"/>
          <w:lang w:val="en-US"/>
        </w:rPr>
        <w:t>Ibid.</w:t>
      </w:r>
      <w:r>
        <w:rPr>
          <w:rFonts w:ascii="Times New Roman" w:hAnsi="Times New Roman" w:cs="Times New Roman"/>
          <w:sz w:val="22"/>
          <w:szCs w:val="22"/>
          <w:lang w:val="en-US"/>
        </w:rPr>
        <w:t xml:space="preserve">, </w:t>
      </w:r>
      <w:r w:rsidRPr="00004573">
        <w:rPr>
          <w:rFonts w:ascii="Times New Roman" w:hAnsi="Times New Roman" w:cs="Times New Roman"/>
          <w:sz w:val="22"/>
          <w:szCs w:val="22"/>
          <w:lang w:val="en-US"/>
        </w:rPr>
        <w:t>IOR, L/PJ/5/337, ‘Meeting between Cabinet Delegation, Field Marshall Viscount Wavell and Representatives of the Sikh Community’, 5 April 1946.</w:t>
      </w:r>
    </w:p>
  </w:footnote>
  <w:footnote w:id="63">
    <w:p w14:paraId="61FC9695" w14:textId="77777777" w:rsidR="001A00C1" w:rsidRPr="00C452B8" w:rsidRDefault="001A00C1" w:rsidP="00ED4617">
      <w:pPr>
        <w:pStyle w:val="FootnoteText"/>
        <w:jc w:val="both"/>
        <w:rPr>
          <w:rFonts w:ascii="Times New Roman" w:hAnsi="Times New Roman" w:cs="Times New Roman"/>
          <w:sz w:val="22"/>
          <w:szCs w:val="22"/>
          <w:lang w:val="en-US"/>
        </w:rPr>
      </w:pPr>
      <w:r w:rsidRPr="00C452B8">
        <w:rPr>
          <w:rStyle w:val="FootnoteReference"/>
          <w:rFonts w:ascii="Times New Roman" w:hAnsi="Times New Roman" w:cs="Times New Roman"/>
          <w:sz w:val="22"/>
          <w:szCs w:val="22"/>
        </w:rPr>
        <w:footnoteRef/>
      </w:r>
      <w:r w:rsidRPr="00C452B8">
        <w:rPr>
          <w:rFonts w:ascii="Times New Roman" w:hAnsi="Times New Roman" w:cs="Times New Roman"/>
          <w:sz w:val="22"/>
          <w:szCs w:val="22"/>
        </w:rPr>
        <w:t xml:space="preserve"> </w:t>
      </w:r>
      <w:r w:rsidRPr="00C452B8">
        <w:rPr>
          <w:rFonts w:ascii="Times New Roman" w:hAnsi="Times New Roman" w:cs="Times New Roman"/>
          <w:sz w:val="22"/>
          <w:szCs w:val="22"/>
          <w:lang w:val="en-US"/>
        </w:rPr>
        <w:t xml:space="preserve">Gandhi, ‘Question Box’, </w:t>
      </w:r>
      <w:r w:rsidRPr="00C452B8">
        <w:rPr>
          <w:rFonts w:ascii="Times New Roman" w:hAnsi="Times New Roman" w:cs="Times New Roman"/>
          <w:i/>
          <w:sz w:val="22"/>
          <w:szCs w:val="22"/>
          <w:lang w:val="en-US"/>
        </w:rPr>
        <w:t>Harijan</w:t>
      </w:r>
      <w:r>
        <w:rPr>
          <w:rFonts w:ascii="Times New Roman" w:hAnsi="Times New Roman" w:cs="Times New Roman"/>
          <w:sz w:val="22"/>
          <w:szCs w:val="22"/>
          <w:lang w:val="en-US"/>
        </w:rPr>
        <w:t xml:space="preserve"> (Sevagram)</w:t>
      </w:r>
      <w:r w:rsidRPr="00C452B8">
        <w:rPr>
          <w:rFonts w:ascii="Times New Roman" w:hAnsi="Times New Roman" w:cs="Times New Roman"/>
          <w:sz w:val="22"/>
          <w:szCs w:val="22"/>
          <w:lang w:val="en-US"/>
        </w:rPr>
        <w:t xml:space="preserve">, 3 July 1942, in </w:t>
      </w:r>
      <w:r w:rsidRPr="00C452B8">
        <w:rPr>
          <w:rFonts w:ascii="Times New Roman" w:hAnsi="Times New Roman" w:cs="Times New Roman"/>
          <w:i/>
          <w:sz w:val="22"/>
          <w:szCs w:val="22"/>
          <w:lang w:val="en-US"/>
        </w:rPr>
        <w:t>CWMG</w:t>
      </w:r>
      <w:r w:rsidRPr="00C452B8">
        <w:rPr>
          <w:rFonts w:ascii="Times New Roman" w:hAnsi="Times New Roman" w:cs="Times New Roman"/>
          <w:sz w:val="22"/>
          <w:szCs w:val="22"/>
          <w:lang w:val="en-US"/>
        </w:rPr>
        <w:t>, vol. 83, p. 78.</w:t>
      </w:r>
      <w:r>
        <w:rPr>
          <w:rFonts w:ascii="Times New Roman" w:hAnsi="Times New Roman" w:cs="Times New Roman"/>
          <w:sz w:val="22"/>
          <w:szCs w:val="22"/>
          <w:lang w:val="en-US"/>
        </w:rPr>
        <w:t xml:space="preserve"> Also quoted in Gandhi, </w:t>
      </w:r>
      <w:r>
        <w:rPr>
          <w:rFonts w:ascii="Times New Roman" w:hAnsi="Times New Roman" w:cs="Times New Roman"/>
          <w:i/>
          <w:sz w:val="22"/>
          <w:szCs w:val="22"/>
          <w:lang w:val="en-US"/>
        </w:rPr>
        <w:t>Linguistic Provinces</w:t>
      </w:r>
      <w:r>
        <w:rPr>
          <w:rFonts w:ascii="Times New Roman" w:hAnsi="Times New Roman" w:cs="Times New Roman"/>
          <w:sz w:val="22"/>
          <w:szCs w:val="22"/>
          <w:lang w:val="en-US"/>
        </w:rPr>
        <w:t xml:space="preserve">, ed. by Bharatan Kumarappa (Ahmedabad: Navajivan Press, 1954), p. 8; and Dhulipala, </w:t>
      </w:r>
      <w:r>
        <w:rPr>
          <w:rFonts w:ascii="Times New Roman" w:hAnsi="Times New Roman" w:cs="Times New Roman"/>
          <w:i/>
          <w:sz w:val="22"/>
          <w:szCs w:val="22"/>
          <w:lang w:val="en-US"/>
        </w:rPr>
        <w:t>Creating a New Medina</w:t>
      </w:r>
      <w:r>
        <w:rPr>
          <w:rFonts w:ascii="Times New Roman" w:hAnsi="Times New Roman" w:cs="Times New Roman"/>
          <w:sz w:val="22"/>
          <w:szCs w:val="22"/>
          <w:lang w:val="en-US"/>
        </w:rPr>
        <w:t>, p. 21.</w:t>
      </w:r>
    </w:p>
  </w:footnote>
  <w:footnote w:id="64">
    <w:p w14:paraId="3229AF1E" w14:textId="77777777" w:rsidR="001A00C1" w:rsidRPr="00F82756" w:rsidRDefault="001A00C1" w:rsidP="00ED4617">
      <w:pPr>
        <w:pStyle w:val="FootnoteText"/>
        <w:jc w:val="both"/>
        <w:rPr>
          <w:rFonts w:ascii="Times New Roman" w:hAnsi="Times New Roman" w:cs="Times New Roman"/>
          <w:sz w:val="22"/>
          <w:szCs w:val="22"/>
          <w:lang w:val="en-US"/>
        </w:rPr>
      </w:pPr>
      <w:r w:rsidRPr="00F82756">
        <w:rPr>
          <w:rStyle w:val="FootnoteReference"/>
          <w:rFonts w:ascii="Times New Roman" w:hAnsi="Times New Roman" w:cs="Times New Roman"/>
          <w:sz w:val="22"/>
          <w:szCs w:val="22"/>
        </w:rPr>
        <w:footnoteRef/>
      </w:r>
      <w:r w:rsidRPr="00F82756">
        <w:rPr>
          <w:rFonts w:ascii="Times New Roman" w:hAnsi="Times New Roman" w:cs="Times New Roman"/>
          <w:sz w:val="22"/>
          <w:szCs w:val="22"/>
        </w:rPr>
        <w:t xml:space="preserve"> </w:t>
      </w:r>
      <w:r w:rsidRPr="00F82756">
        <w:rPr>
          <w:rFonts w:ascii="Times New Roman" w:hAnsi="Times New Roman" w:cs="Times New Roman"/>
          <w:sz w:val="22"/>
          <w:szCs w:val="22"/>
          <w:lang w:val="en-US"/>
        </w:rPr>
        <w:t xml:space="preserve">Abul Kalam Azad, </w:t>
      </w:r>
      <w:r w:rsidRPr="00F82756">
        <w:rPr>
          <w:rFonts w:ascii="Times New Roman" w:hAnsi="Times New Roman" w:cs="Times New Roman"/>
          <w:i/>
          <w:sz w:val="22"/>
          <w:szCs w:val="22"/>
          <w:lang w:val="en-US"/>
        </w:rPr>
        <w:t>India Wins Freedom: The Complete Version</w:t>
      </w:r>
      <w:r w:rsidRPr="00F82756">
        <w:rPr>
          <w:rFonts w:ascii="Times New Roman" w:hAnsi="Times New Roman" w:cs="Times New Roman"/>
          <w:sz w:val="22"/>
          <w:szCs w:val="22"/>
          <w:lang w:val="en-US"/>
        </w:rPr>
        <w:t xml:space="preserve"> (Hyderabad: Orient Longman, 1988 [1959]), p. 147.</w:t>
      </w:r>
    </w:p>
  </w:footnote>
  <w:footnote w:id="65">
    <w:p w14:paraId="042FD556" w14:textId="77777777" w:rsidR="001A00C1" w:rsidRPr="00174DAB" w:rsidRDefault="001A00C1" w:rsidP="00ED4617">
      <w:pPr>
        <w:pStyle w:val="FootnoteText"/>
        <w:rPr>
          <w:rFonts w:ascii="Times New Roman" w:hAnsi="Times New Roman" w:cs="Times New Roman"/>
          <w:sz w:val="22"/>
          <w:szCs w:val="22"/>
          <w:lang w:val="en-US"/>
        </w:rPr>
      </w:pPr>
      <w:r w:rsidRPr="00174DAB">
        <w:rPr>
          <w:rStyle w:val="FootnoteReference"/>
          <w:rFonts w:ascii="Times New Roman" w:hAnsi="Times New Roman" w:cs="Times New Roman"/>
          <w:sz w:val="22"/>
          <w:szCs w:val="22"/>
        </w:rPr>
        <w:footnoteRef/>
      </w:r>
      <w:r w:rsidRPr="00174DAB">
        <w:rPr>
          <w:rFonts w:ascii="Times New Roman" w:hAnsi="Times New Roman" w:cs="Times New Roman"/>
          <w:sz w:val="22"/>
          <w:szCs w:val="22"/>
        </w:rPr>
        <w:t xml:space="preserve"> </w:t>
      </w:r>
      <w:r w:rsidRPr="00174DAB">
        <w:rPr>
          <w:rFonts w:ascii="Times New Roman" w:hAnsi="Times New Roman" w:cs="Times New Roman"/>
          <w:i/>
          <w:sz w:val="22"/>
          <w:szCs w:val="22"/>
          <w:lang w:val="en-US"/>
        </w:rPr>
        <w:t>Ibid.</w:t>
      </w:r>
      <w:r w:rsidRPr="00174DAB">
        <w:rPr>
          <w:rFonts w:ascii="Times New Roman" w:hAnsi="Times New Roman" w:cs="Times New Roman"/>
          <w:sz w:val="22"/>
          <w:szCs w:val="22"/>
          <w:lang w:val="en-US"/>
        </w:rPr>
        <w:t>, p. 148.</w:t>
      </w:r>
    </w:p>
  </w:footnote>
  <w:footnote w:id="66">
    <w:p w14:paraId="3A180A00" w14:textId="77777777" w:rsidR="001A00C1" w:rsidRPr="00174DAB" w:rsidRDefault="001A00C1" w:rsidP="00ED4617">
      <w:pPr>
        <w:pStyle w:val="FootnoteText"/>
        <w:rPr>
          <w:rFonts w:ascii="Times New Roman" w:hAnsi="Times New Roman" w:cs="Times New Roman"/>
          <w:sz w:val="22"/>
          <w:szCs w:val="22"/>
          <w:lang w:val="en-US"/>
        </w:rPr>
      </w:pPr>
      <w:r w:rsidRPr="00174DAB">
        <w:rPr>
          <w:rStyle w:val="FootnoteReference"/>
          <w:rFonts w:ascii="Times New Roman" w:hAnsi="Times New Roman" w:cs="Times New Roman"/>
          <w:sz w:val="22"/>
          <w:szCs w:val="22"/>
        </w:rPr>
        <w:footnoteRef/>
      </w:r>
      <w:r w:rsidRPr="00174DAB">
        <w:rPr>
          <w:rFonts w:ascii="Times New Roman" w:hAnsi="Times New Roman" w:cs="Times New Roman"/>
          <w:sz w:val="22"/>
          <w:szCs w:val="22"/>
        </w:rPr>
        <w:t xml:space="preserve"> </w:t>
      </w:r>
      <w:r w:rsidRPr="00174DAB">
        <w:rPr>
          <w:rFonts w:ascii="Times New Roman" w:hAnsi="Times New Roman" w:cs="Times New Roman"/>
          <w:i/>
          <w:sz w:val="22"/>
          <w:szCs w:val="22"/>
          <w:lang w:val="en-US"/>
        </w:rPr>
        <w:t>Ibid.</w:t>
      </w:r>
      <w:r w:rsidRPr="00174DAB">
        <w:rPr>
          <w:rFonts w:ascii="Times New Roman" w:hAnsi="Times New Roman" w:cs="Times New Roman"/>
          <w:sz w:val="22"/>
          <w:szCs w:val="22"/>
          <w:lang w:val="en-US"/>
        </w:rPr>
        <w:t>, p</w:t>
      </w:r>
      <w:r>
        <w:rPr>
          <w:rFonts w:ascii="Times New Roman" w:hAnsi="Times New Roman" w:cs="Times New Roman"/>
          <w:sz w:val="22"/>
          <w:szCs w:val="22"/>
          <w:lang w:val="en-US"/>
        </w:rPr>
        <w:t>p</w:t>
      </w:r>
      <w:r w:rsidRPr="00174DAB">
        <w:rPr>
          <w:rFonts w:ascii="Times New Roman" w:hAnsi="Times New Roman" w:cs="Times New Roman"/>
          <w:sz w:val="22"/>
          <w:szCs w:val="22"/>
          <w:lang w:val="en-US"/>
        </w:rPr>
        <w:t>. 149</w:t>
      </w:r>
      <w:r>
        <w:rPr>
          <w:rFonts w:ascii="Times New Roman" w:hAnsi="Times New Roman" w:cs="Times New Roman"/>
          <w:sz w:val="22"/>
          <w:szCs w:val="22"/>
          <w:lang w:val="en-US"/>
        </w:rPr>
        <w:t>. See also p. 156</w:t>
      </w:r>
      <w:r w:rsidRPr="00174DAB">
        <w:rPr>
          <w:rFonts w:ascii="Times New Roman" w:hAnsi="Times New Roman" w:cs="Times New Roman"/>
          <w:sz w:val="22"/>
          <w:szCs w:val="22"/>
          <w:lang w:val="en-US"/>
        </w:rPr>
        <w:t>.</w:t>
      </w:r>
    </w:p>
  </w:footnote>
  <w:footnote w:id="67">
    <w:p w14:paraId="47447FF6" w14:textId="77777777" w:rsidR="001A00C1" w:rsidRPr="002E0BC4" w:rsidRDefault="001A00C1" w:rsidP="00ED4617">
      <w:pPr>
        <w:pStyle w:val="FootnoteText"/>
        <w:jc w:val="both"/>
        <w:rPr>
          <w:rFonts w:ascii="Times New Roman" w:hAnsi="Times New Roman" w:cs="Times New Roman"/>
          <w:sz w:val="22"/>
          <w:szCs w:val="22"/>
          <w:lang w:val="en-US"/>
        </w:rPr>
      </w:pPr>
      <w:r w:rsidRPr="00675BA3">
        <w:rPr>
          <w:rStyle w:val="FootnoteReference"/>
          <w:rFonts w:ascii="Times New Roman" w:hAnsi="Times New Roman" w:cs="Times New Roman"/>
          <w:sz w:val="22"/>
          <w:szCs w:val="22"/>
        </w:rPr>
        <w:footnoteRef/>
      </w:r>
      <w:r w:rsidRPr="00675BA3">
        <w:rPr>
          <w:rFonts w:ascii="Times New Roman" w:hAnsi="Times New Roman" w:cs="Times New Roman"/>
          <w:sz w:val="22"/>
          <w:szCs w:val="22"/>
        </w:rPr>
        <w:t xml:space="preserve"> </w:t>
      </w:r>
      <w:r>
        <w:rPr>
          <w:rFonts w:ascii="Times New Roman" w:hAnsi="Times New Roman" w:cs="Times New Roman"/>
          <w:sz w:val="22"/>
          <w:szCs w:val="22"/>
        </w:rPr>
        <w:t xml:space="preserve">Arguments over whether this was or was not the case with regards to the Pakistan demand remain contentious. </w:t>
      </w:r>
      <w:r w:rsidRPr="00675BA3">
        <w:rPr>
          <w:rFonts w:ascii="Times New Roman" w:hAnsi="Times New Roman" w:cs="Times New Roman"/>
          <w:sz w:val="22"/>
          <w:szCs w:val="22"/>
          <w:lang w:val="en-US"/>
        </w:rPr>
        <w:t xml:space="preserve">For the aforementioned argument about the possibility of the Pakistan demand being just such a strategy, see Jalal, </w:t>
      </w:r>
      <w:r w:rsidRPr="00675BA3">
        <w:rPr>
          <w:rFonts w:ascii="Times New Roman" w:hAnsi="Times New Roman" w:cs="Times New Roman"/>
          <w:i/>
          <w:sz w:val="22"/>
          <w:szCs w:val="22"/>
          <w:lang w:val="en-US"/>
        </w:rPr>
        <w:t>The Sole Spokesman</w:t>
      </w:r>
      <w:r w:rsidRPr="00675BA3">
        <w:rPr>
          <w:rFonts w:ascii="Times New Roman" w:hAnsi="Times New Roman" w:cs="Times New Roman"/>
          <w:sz w:val="22"/>
          <w:szCs w:val="22"/>
          <w:lang w:val="en-US"/>
        </w:rPr>
        <w:t>.</w:t>
      </w:r>
      <w:r>
        <w:rPr>
          <w:rFonts w:ascii="Times New Roman" w:hAnsi="Times New Roman" w:cs="Times New Roman"/>
          <w:sz w:val="22"/>
          <w:szCs w:val="22"/>
          <w:lang w:val="en-US"/>
        </w:rPr>
        <w:t xml:space="preserve"> For a range of different kinds of critiques of Jalal’s position, see Ahmed, </w:t>
      </w:r>
      <w:r>
        <w:rPr>
          <w:rFonts w:ascii="Times New Roman" w:hAnsi="Times New Roman" w:cs="Times New Roman"/>
          <w:i/>
          <w:sz w:val="22"/>
          <w:szCs w:val="22"/>
          <w:lang w:val="en-US"/>
        </w:rPr>
        <w:t>Jinnah, Pakistan and Islamic Identity;</w:t>
      </w:r>
      <w:r>
        <w:rPr>
          <w:rFonts w:ascii="Times New Roman" w:hAnsi="Times New Roman" w:cs="Times New Roman"/>
          <w:sz w:val="22"/>
          <w:szCs w:val="22"/>
          <w:lang w:val="en-US"/>
        </w:rPr>
        <w:t xml:space="preserve"> Jaffrelot, </w:t>
      </w:r>
      <w:r>
        <w:rPr>
          <w:rFonts w:ascii="Times New Roman" w:hAnsi="Times New Roman" w:cs="Times New Roman"/>
          <w:i/>
          <w:sz w:val="22"/>
          <w:szCs w:val="22"/>
          <w:lang w:val="en-US"/>
        </w:rPr>
        <w:t>The Pakistan Paradox</w:t>
      </w:r>
      <w:r>
        <w:rPr>
          <w:rFonts w:ascii="Times New Roman" w:hAnsi="Times New Roman" w:cs="Times New Roman"/>
          <w:sz w:val="22"/>
          <w:szCs w:val="22"/>
          <w:lang w:val="en-US"/>
        </w:rPr>
        <w:t xml:space="preserve">; and Devji, </w:t>
      </w:r>
      <w:r>
        <w:rPr>
          <w:rFonts w:ascii="Times New Roman" w:hAnsi="Times New Roman" w:cs="Times New Roman"/>
          <w:i/>
          <w:sz w:val="22"/>
          <w:szCs w:val="22"/>
          <w:lang w:val="en-US"/>
        </w:rPr>
        <w:t>Muslim Zion</w:t>
      </w:r>
      <w:r>
        <w:rPr>
          <w:rFonts w:ascii="Times New Roman" w:hAnsi="Times New Roman" w:cs="Times New Roman"/>
          <w:sz w:val="22"/>
          <w:szCs w:val="22"/>
          <w:lang w:val="en-US"/>
        </w:rPr>
        <w:t>.</w:t>
      </w:r>
    </w:p>
  </w:footnote>
  <w:footnote w:id="68">
    <w:p w14:paraId="29EDD1AB" w14:textId="1BDF0174" w:rsidR="001A00C1" w:rsidRPr="00327B83" w:rsidRDefault="001A00C1" w:rsidP="00ED4617">
      <w:pPr>
        <w:pStyle w:val="FootnoteText"/>
        <w:jc w:val="both"/>
        <w:rPr>
          <w:rFonts w:ascii="Times New Roman" w:hAnsi="Times New Roman" w:cs="Times New Roman"/>
          <w:sz w:val="22"/>
          <w:szCs w:val="22"/>
          <w:lang w:val="en-US"/>
        </w:rPr>
      </w:pPr>
      <w:r w:rsidRPr="00327B83">
        <w:rPr>
          <w:rStyle w:val="FootnoteReference"/>
          <w:rFonts w:ascii="Times New Roman" w:hAnsi="Times New Roman" w:cs="Times New Roman"/>
          <w:sz w:val="22"/>
          <w:szCs w:val="22"/>
        </w:rPr>
        <w:footnoteRef/>
      </w:r>
      <w:r w:rsidRPr="00327B83">
        <w:rPr>
          <w:rFonts w:ascii="Times New Roman" w:hAnsi="Times New Roman" w:cs="Times New Roman"/>
          <w:sz w:val="22"/>
          <w:szCs w:val="22"/>
        </w:rPr>
        <w:t xml:space="preserve"> </w:t>
      </w:r>
      <w:r w:rsidRPr="00327B83">
        <w:rPr>
          <w:rFonts w:ascii="Times New Roman" w:hAnsi="Times New Roman" w:cs="Times New Roman"/>
          <w:sz w:val="22"/>
          <w:szCs w:val="22"/>
          <w:lang w:val="en-US"/>
        </w:rPr>
        <w:t xml:space="preserve">Gadgil, </w:t>
      </w:r>
      <w:r w:rsidRPr="00327B83">
        <w:rPr>
          <w:rFonts w:ascii="Times New Roman" w:hAnsi="Times New Roman" w:cs="Times New Roman"/>
          <w:i/>
          <w:sz w:val="22"/>
          <w:szCs w:val="22"/>
          <w:lang w:val="en-US"/>
        </w:rPr>
        <w:t>Federating India</w:t>
      </w:r>
      <w:r w:rsidRPr="00327B83">
        <w:rPr>
          <w:rFonts w:ascii="Times New Roman" w:hAnsi="Times New Roman" w:cs="Times New Roman"/>
          <w:sz w:val="22"/>
          <w:szCs w:val="22"/>
          <w:lang w:val="en-US"/>
        </w:rPr>
        <w:t>, p. 13.</w:t>
      </w:r>
    </w:p>
  </w:footnote>
  <w:footnote w:id="69">
    <w:p w14:paraId="239143AC" w14:textId="77777777" w:rsidR="001A00C1" w:rsidRPr="005D6AB8" w:rsidRDefault="001A00C1" w:rsidP="00ED4617">
      <w:pPr>
        <w:pStyle w:val="FootnoteText"/>
        <w:jc w:val="both"/>
        <w:rPr>
          <w:rFonts w:ascii="Times New Roman" w:hAnsi="Times New Roman" w:cs="Times New Roman"/>
          <w:sz w:val="22"/>
          <w:szCs w:val="22"/>
          <w:lang w:val="en-US"/>
        </w:rPr>
      </w:pPr>
      <w:r w:rsidRPr="005D6AB8">
        <w:rPr>
          <w:rStyle w:val="FootnoteReference"/>
          <w:rFonts w:ascii="Times New Roman" w:hAnsi="Times New Roman" w:cs="Times New Roman"/>
          <w:sz w:val="22"/>
          <w:szCs w:val="22"/>
        </w:rPr>
        <w:footnoteRef/>
      </w:r>
      <w:r w:rsidRPr="005D6AB8">
        <w:rPr>
          <w:rFonts w:ascii="Times New Roman" w:hAnsi="Times New Roman" w:cs="Times New Roman"/>
          <w:sz w:val="22"/>
          <w:szCs w:val="22"/>
        </w:rPr>
        <w:t xml:space="preserve"> </w:t>
      </w:r>
      <w:r>
        <w:rPr>
          <w:rFonts w:ascii="Times New Roman" w:hAnsi="Times New Roman" w:cs="Times New Roman"/>
          <w:sz w:val="22"/>
          <w:szCs w:val="22"/>
          <w:lang w:val="en-US"/>
        </w:rPr>
        <w:t>Cf. Véronique Bénéï</w:t>
      </w:r>
      <w:r w:rsidRPr="005D6AB8">
        <w:rPr>
          <w:rFonts w:ascii="Times New Roman" w:hAnsi="Times New Roman" w:cs="Times New Roman"/>
          <w:sz w:val="22"/>
          <w:szCs w:val="22"/>
          <w:lang w:val="en-US"/>
        </w:rPr>
        <w:t xml:space="preserve">, </w:t>
      </w:r>
      <w:r w:rsidRPr="005D6AB8">
        <w:rPr>
          <w:rFonts w:ascii="Times New Roman" w:hAnsi="Times New Roman" w:cs="Times New Roman"/>
          <w:i/>
          <w:sz w:val="22"/>
          <w:szCs w:val="22"/>
          <w:lang w:val="en-US"/>
        </w:rPr>
        <w:t>Schooling Passions: Nation, History, and Language in Contemporary Western India</w:t>
      </w:r>
      <w:r w:rsidRPr="005D6AB8">
        <w:rPr>
          <w:rFonts w:ascii="Times New Roman" w:hAnsi="Times New Roman" w:cs="Times New Roman"/>
          <w:sz w:val="22"/>
          <w:szCs w:val="22"/>
          <w:lang w:val="en-US"/>
        </w:rPr>
        <w:t xml:space="preserve"> (Stanford, CA: Stanford Unive</w:t>
      </w:r>
      <w:r>
        <w:rPr>
          <w:rFonts w:ascii="Times New Roman" w:hAnsi="Times New Roman" w:cs="Times New Roman"/>
          <w:sz w:val="22"/>
          <w:szCs w:val="22"/>
          <w:lang w:val="en-US"/>
        </w:rPr>
        <w:t>rsity Press, 2008), pp. 80, 136, 166.</w:t>
      </w:r>
    </w:p>
  </w:footnote>
  <w:footnote w:id="70">
    <w:p w14:paraId="16DDD9F4" w14:textId="77777777" w:rsidR="001A00C1" w:rsidRPr="00355F9D" w:rsidRDefault="001A00C1" w:rsidP="00ED4617">
      <w:pPr>
        <w:pStyle w:val="FootnoteText"/>
        <w:jc w:val="both"/>
        <w:rPr>
          <w:rFonts w:ascii="Times New Roman" w:hAnsi="Times New Roman" w:cs="Times New Roman"/>
          <w:sz w:val="22"/>
          <w:szCs w:val="22"/>
          <w:lang w:val="en-US"/>
        </w:rPr>
      </w:pPr>
      <w:r w:rsidRPr="00355F9D">
        <w:rPr>
          <w:rStyle w:val="FootnoteReference"/>
          <w:rFonts w:ascii="Times New Roman" w:hAnsi="Times New Roman" w:cs="Times New Roman"/>
          <w:sz w:val="22"/>
          <w:szCs w:val="22"/>
        </w:rPr>
        <w:footnoteRef/>
      </w:r>
      <w:r w:rsidRPr="00355F9D">
        <w:rPr>
          <w:rFonts w:ascii="Times New Roman" w:hAnsi="Times New Roman" w:cs="Times New Roman"/>
          <w:sz w:val="22"/>
          <w:szCs w:val="22"/>
        </w:rPr>
        <w:t xml:space="preserve"> </w:t>
      </w:r>
      <w:r w:rsidRPr="00355F9D">
        <w:rPr>
          <w:rFonts w:ascii="Times New Roman" w:hAnsi="Times New Roman" w:cs="Times New Roman"/>
          <w:sz w:val="22"/>
          <w:szCs w:val="22"/>
          <w:lang w:val="en-US"/>
        </w:rPr>
        <w:t xml:space="preserve">Ambedkar, </w:t>
      </w:r>
      <w:r w:rsidRPr="00355F9D">
        <w:rPr>
          <w:rFonts w:ascii="Times New Roman" w:hAnsi="Times New Roman" w:cs="Times New Roman"/>
          <w:i/>
          <w:sz w:val="22"/>
          <w:szCs w:val="22"/>
          <w:lang w:val="en-US"/>
        </w:rPr>
        <w:t>Pakistan, or the Partition of India</w:t>
      </w:r>
      <w:r w:rsidRPr="00355F9D">
        <w:rPr>
          <w:rFonts w:ascii="Times New Roman" w:hAnsi="Times New Roman" w:cs="Times New Roman"/>
          <w:sz w:val="22"/>
          <w:szCs w:val="22"/>
          <w:lang w:val="en-US"/>
        </w:rPr>
        <w:t>, pp. 12-13.</w:t>
      </w:r>
    </w:p>
  </w:footnote>
  <w:footnote w:id="71">
    <w:p w14:paraId="57FF2F85" w14:textId="1ED0A4C4" w:rsidR="001A00C1" w:rsidRPr="00DC400A" w:rsidRDefault="001A00C1" w:rsidP="00ED4617">
      <w:pPr>
        <w:pStyle w:val="FootnoteText"/>
        <w:jc w:val="both"/>
        <w:rPr>
          <w:rFonts w:ascii="Times New Roman" w:hAnsi="Times New Roman" w:cs="Times New Roman"/>
          <w:sz w:val="22"/>
          <w:szCs w:val="22"/>
          <w:lang w:val="en-US"/>
        </w:rPr>
      </w:pPr>
      <w:r w:rsidRPr="006E7A64">
        <w:rPr>
          <w:rStyle w:val="FootnoteReference"/>
          <w:rFonts w:ascii="Times New Roman" w:hAnsi="Times New Roman" w:cs="Times New Roman"/>
          <w:sz w:val="22"/>
          <w:szCs w:val="22"/>
        </w:rPr>
        <w:footnoteRef/>
      </w:r>
      <w:r w:rsidRPr="006E7A64">
        <w:rPr>
          <w:rFonts w:ascii="Times New Roman" w:hAnsi="Times New Roman" w:cs="Times New Roman"/>
          <w:sz w:val="22"/>
          <w:szCs w:val="22"/>
        </w:rPr>
        <w:t xml:space="preserve"> </w:t>
      </w:r>
      <w:r w:rsidRPr="006E7A64">
        <w:rPr>
          <w:rFonts w:ascii="Times New Roman" w:hAnsi="Times New Roman" w:cs="Times New Roman"/>
          <w:sz w:val="22"/>
          <w:szCs w:val="22"/>
          <w:lang w:val="en-US"/>
        </w:rPr>
        <w:t xml:space="preserve">See Ambedkar, </w:t>
      </w:r>
      <w:r w:rsidRPr="006E7A64">
        <w:rPr>
          <w:rFonts w:ascii="Times New Roman" w:hAnsi="Times New Roman" w:cs="Times New Roman"/>
          <w:i/>
          <w:sz w:val="22"/>
          <w:szCs w:val="22"/>
          <w:lang w:val="en-US"/>
        </w:rPr>
        <w:t>Pakistan, or the Partition of India</w:t>
      </w:r>
      <w:r w:rsidRPr="006E7A64">
        <w:rPr>
          <w:rFonts w:ascii="Times New Roman" w:hAnsi="Times New Roman" w:cs="Times New Roman"/>
          <w:sz w:val="22"/>
          <w:szCs w:val="22"/>
          <w:lang w:val="en-US"/>
        </w:rPr>
        <w:t xml:space="preserve">, p. 22; Ambedkar, </w:t>
      </w:r>
      <w:r w:rsidRPr="006E7A64">
        <w:rPr>
          <w:rFonts w:ascii="Times New Roman" w:hAnsi="Times New Roman" w:cs="Times New Roman"/>
          <w:i/>
          <w:sz w:val="22"/>
          <w:szCs w:val="22"/>
          <w:lang w:val="en-US"/>
        </w:rPr>
        <w:t>Maharashtra as a Linguistic Province: Statement Submitted to the Linguistic Provinces Commission</w:t>
      </w:r>
      <w:r w:rsidRPr="006E7A64">
        <w:rPr>
          <w:rFonts w:ascii="Times New Roman" w:hAnsi="Times New Roman" w:cs="Times New Roman"/>
          <w:sz w:val="22"/>
          <w:szCs w:val="22"/>
          <w:lang w:val="en-US"/>
        </w:rPr>
        <w:t xml:space="preserve"> (Bombay: Thacker a</w:t>
      </w:r>
      <w:r>
        <w:rPr>
          <w:rFonts w:ascii="Times New Roman" w:hAnsi="Times New Roman" w:cs="Times New Roman"/>
          <w:sz w:val="22"/>
          <w:szCs w:val="22"/>
          <w:lang w:val="en-US"/>
        </w:rPr>
        <w:t xml:space="preserve">nd Company Limited, 1948), p. 3; for more on Ambedkar’s approach to Pakistan and Samyukta Maharashtra, see </w:t>
      </w:r>
      <w:r w:rsidR="009C5EC9">
        <w:rPr>
          <w:rFonts w:ascii="Times New Roman" w:hAnsi="Times New Roman" w:cs="Times New Roman"/>
          <w:sz w:val="22"/>
          <w:szCs w:val="22"/>
          <w:lang w:val="en-US"/>
        </w:rPr>
        <w:t xml:space="preserve">Oliver </w:t>
      </w:r>
      <w:r>
        <w:rPr>
          <w:rFonts w:ascii="Times New Roman" w:hAnsi="Times New Roman" w:cs="Times New Roman"/>
          <w:sz w:val="22"/>
          <w:szCs w:val="22"/>
          <w:lang w:val="en-US"/>
        </w:rPr>
        <w:t>Godsmark, ‘“</w:t>
      </w:r>
      <w:r>
        <w:rPr>
          <w:rFonts w:ascii="Times New Roman" w:hAnsi="Times New Roman" w:cs="Times New Roman"/>
          <w:i/>
          <w:sz w:val="22"/>
          <w:szCs w:val="22"/>
          <w:lang w:val="en-US"/>
        </w:rPr>
        <w:t>Civis Indianus Sum</w:t>
      </w:r>
      <w:r>
        <w:rPr>
          <w:rFonts w:ascii="Times New Roman" w:hAnsi="Times New Roman" w:cs="Times New Roman"/>
          <w:sz w:val="22"/>
          <w:szCs w:val="22"/>
          <w:lang w:val="en-US"/>
        </w:rPr>
        <w:t xml:space="preserve">”? Ambedkar on Democracy and Territory during Linguistic Reorganisation (and Partition)’, </w:t>
      </w:r>
      <w:r>
        <w:rPr>
          <w:rFonts w:ascii="Times New Roman" w:hAnsi="Times New Roman" w:cs="Times New Roman"/>
          <w:i/>
          <w:sz w:val="22"/>
          <w:szCs w:val="22"/>
          <w:lang w:val="en-US"/>
        </w:rPr>
        <w:t>MAS</w:t>
      </w:r>
      <w:r>
        <w:rPr>
          <w:rFonts w:ascii="Times New Roman" w:hAnsi="Times New Roman" w:cs="Times New Roman"/>
          <w:sz w:val="22"/>
          <w:szCs w:val="22"/>
          <w:lang w:val="en-US"/>
        </w:rPr>
        <w:t>, 53.6 (forthcoming, 2019).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F16DA" w14:textId="77777777" w:rsidR="001A00C1" w:rsidRDefault="001A00C1" w:rsidP="00720F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0C7C11" w14:textId="77777777" w:rsidR="001A00C1" w:rsidRDefault="001A00C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79C1C" w14:textId="77777777" w:rsidR="001A00C1" w:rsidRPr="00720FA7" w:rsidRDefault="001A00C1" w:rsidP="00720FA7">
    <w:pPr>
      <w:pStyle w:val="Header"/>
      <w:framePr w:wrap="around" w:vAnchor="text" w:hAnchor="margin" w:xAlign="center" w:y="1"/>
      <w:rPr>
        <w:rStyle w:val="PageNumber"/>
        <w:rFonts w:asciiTheme="majorHAnsi" w:hAnsiTheme="majorHAnsi"/>
        <w:sz w:val="22"/>
        <w:szCs w:val="22"/>
      </w:rPr>
    </w:pPr>
    <w:r w:rsidRPr="00720FA7">
      <w:rPr>
        <w:rStyle w:val="PageNumber"/>
        <w:rFonts w:asciiTheme="majorHAnsi" w:hAnsiTheme="majorHAnsi"/>
        <w:sz w:val="22"/>
        <w:szCs w:val="22"/>
      </w:rPr>
      <w:fldChar w:fldCharType="begin"/>
    </w:r>
    <w:r w:rsidRPr="00720FA7">
      <w:rPr>
        <w:rStyle w:val="PageNumber"/>
        <w:rFonts w:asciiTheme="majorHAnsi" w:hAnsiTheme="majorHAnsi"/>
        <w:sz w:val="22"/>
        <w:szCs w:val="22"/>
      </w:rPr>
      <w:instrText xml:space="preserve">PAGE  </w:instrText>
    </w:r>
    <w:r w:rsidRPr="00720FA7">
      <w:rPr>
        <w:rStyle w:val="PageNumber"/>
        <w:rFonts w:asciiTheme="majorHAnsi" w:hAnsiTheme="majorHAnsi"/>
        <w:sz w:val="22"/>
        <w:szCs w:val="22"/>
      </w:rPr>
      <w:fldChar w:fldCharType="separate"/>
    </w:r>
    <w:r w:rsidR="00000D26">
      <w:rPr>
        <w:rStyle w:val="PageNumber"/>
        <w:rFonts w:asciiTheme="majorHAnsi" w:hAnsiTheme="majorHAnsi"/>
        <w:noProof/>
        <w:sz w:val="22"/>
        <w:szCs w:val="22"/>
      </w:rPr>
      <w:t>1</w:t>
    </w:r>
    <w:r w:rsidRPr="00720FA7">
      <w:rPr>
        <w:rStyle w:val="PageNumber"/>
        <w:rFonts w:asciiTheme="majorHAnsi" w:hAnsiTheme="majorHAnsi"/>
        <w:sz w:val="22"/>
        <w:szCs w:val="22"/>
      </w:rPr>
      <w:fldChar w:fldCharType="end"/>
    </w:r>
  </w:p>
  <w:p w14:paraId="3C7CAFEB" w14:textId="77777777" w:rsidR="001A00C1" w:rsidRDefault="001A00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A7"/>
    <w:rsid w:val="00000D26"/>
    <w:rsid w:val="00044539"/>
    <w:rsid w:val="000953E6"/>
    <w:rsid w:val="000E40CB"/>
    <w:rsid w:val="001321C5"/>
    <w:rsid w:val="001934A7"/>
    <w:rsid w:val="001A00C1"/>
    <w:rsid w:val="001B7808"/>
    <w:rsid w:val="00200ABE"/>
    <w:rsid w:val="00211D73"/>
    <w:rsid w:val="00216FA0"/>
    <w:rsid w:val="00244261"/>
    <w:rsid w:val="0027224B"/>
    <w:rsid w:val="002A2774"/>
    <w:rsid w:val="002C6F50"/>
    <w:rsid w:val="002E479E"/>
    <w:rsid w:val="00352A64"/>
    <w:rsid w:val="00371F33"/>
    <w:rsid w:val="003B6171"/>
    <w:rsid w:val="00411E78"/>
    <w:rsid w:val="00435594"/>
    <w:rsid w:val="004452D3"/>
    <w:rsid w:val="0045603F"/>
    <w:rsid w:val="004A6023"/>
    <w:rsid w:val="004D189D"/>
    <w:rsid w:val="004F43B4"/>
    <w:rsid w:val="005104AA"/>
    <w:rsid w:val="00526DED"/>
    <w:rsid w:val="00526EB3"/>
    <w:rsid w:val="00556918"/>
    <w:rsid w:val="0056219E"/>
    <w:rsid w:val="005621E5"/>
    <w:rsid w:val="005A73E7"/>
    <w:rsid w:val="005E4CEC"/>
    <w:rsid w:val="00600209"/>
    <w:rsid w:val="00616130"/>
    <w:rsid w:val="006168ED"/>
    <w:rsid w:val="0062350B"/>
    <w:rsid w:val="00670269"/>
    <w:rsid w:val="006835E6"/>
    <w:rsid w:val="006C08E8"/>
    <w:rsid w:val="006D7F7F"/>
    <w:rsid w:val="006E2A69"/>
    <w:rsid w:val="006E41E6"/>
    <w:rsid w:val="0070158B"/>
    <w:rsid w:val="00720FA7"/>
    <w:rsid w:val="007216F8"/>
    <w:rsid w:val="00756032"/>
    <w:rsid w:val="007A5DA4"/>
    <w:rsid w:val="007C219D"/>
    <w:rsid w:val="007D5359"/>
    <w:rsid w:val="007D5CC7"/>
    <w:rsid w:val="00800499"/>
    <w:rsid w:val="00806466"/>
    <w:rsid w:val="00875DBF"/>
    <w:rsid w:val="008C341F"/>
    <w:rsid w:val="008D2253"/>
    <w:rsid w:val="0092574C"/>
    <w:rsid w:val="009C2347"/>
    <w:rsid w:val="009C5EC9"/>
    <w:rsid w:val="009E64A6"/>
    <w:rsid w:val="00A01845"/>
    <w:rsid w:val="00A368F8"/>
    <w:rsid w:val="00AC3A0C"/>
    <w:rsid w:val="00B4191E"/>
    <w:rsid w:val="00B907CC"/>
    <w:rsid w:val="00B92847"/>
    <w:rsid w:val="00BB029D"/>
    <w:rsid w:val="00BB45E4"/>
    <w:rsid w:val="00BD05B8"/>
    <w:rsid w:val="00C66FE4"/>
    <w:rsid w:val="00D1227D"/>
    <w:rsid w:val="00D23ADA"/>
    <w:rsid w:val="00DC400A"/>
    <w:rsid w:val="00DE74F5"/>
    <w:rsid w:val="00E104DE"/>
    <w:rsid w:val="00E40FFA"/>
    <w:rsid w:val="00E807A6"/>
    <w:rsid w:val="00E84BD7"/>
    <w:rsid w:val="00ED4617"/>
    <w:rsid w:val="00EE5FF5"/>
    <w:rsid w:val="00EF607A"/>
    <w:rsid w:val="00F22A27"/>
    <w:rsid w:val="00F36709"/>
    <w:rsid w:val="00F7722D"/>
    <w:rsid w:val="00FD4311"/>
    <w:rsid w:val="00FF6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9714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A7"/>
    <w:rPr>
      <w:lang w:val="en-GB"/>
    </w:rPr>
  </w:style>
  <w:style w:type="paragraph" w:styleId="Heading1">
    <w:name w:val="heading 1"/>
    <w:basedOn w:val="Normal"/>
    <w:next w:val="Normal"/>
    <w:link w:val="Heading1Char"/>
    <w:uiPriority w:val="9"/>
    <w:qFormat/>
    <w:rsid w:val="00720F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20F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FA7"/>
    <w:pPr>
      <w:tabs>
        <w:tab w:val="center" w:pos="4320"/>
        <w:tab w:val="right" w:pos="8640"/>
      </w:tabs>
    </w:pPr>
  </w:style>
  <w:style w:type="character" w:customStyle="1" w:styleId="HeaderChar">
    <w:name w:val="Header Char"/>
    <w:basedOn w:val="DefaultParagraphFont"/>
    <w:link w:val="Header"/>
    <w:uiPriority w:val="99"/>
    <w:rsid w:val="00720FA7"/>
    <w:rPr>
      <w:lang w:val="en-GB"/>
    </w:rPr>
  </w:style>
  <w:style w:type="paragraph" w:styleId="Footer">
    <w:name w:val="footer"/>
    <w:basedOn w:val="Normal"/>
    <w:link w:val="FooterChar"/>
    <w:uiPriority w:val="99"/>
    <w:unhideWhenUsed/>
    <w:rsid w:val="00720FA7"/>
    <w:pPr>
      <w:tabs>
        <w:tab w:val="center" w:pos="4320"/>
        <w:tab w:val="right" w:pos="8640"/>
      </w:tabs>
    </w:pPr>
  </w:style>
  <w:style w:type="character" w:customStyle="1" w:styleId="FooterChar">
    <w:name w:val="Footer Char"/>
    <w:basedOn w:val="DefaultParagraphFont"/>
    <w:link w:val="Footer"/>
    <w:uiPriority w:val="99"/>
    <w:rsid w:val="00720FA7"/>
    <w:rPr>
      <w:lang w:val="en-GB"/>
    </w:rPr>
  </w:style>
  <w:style w:type="character" w:styleId="PageNumber">
    <w:name w:val="page number"/>
    <w:basedOn w:val="DefaultParagraphFont"/>
    <w:uiPriority w:val="99"/>
    <w:semiHidden/>
    <w:unhideWhenUsed/>
    <w:rsid w:val="00720FA7"/>
  </w:style>
  <w:style w:type="character" w:customStyle="1" w:styleId="Heading1Char">
    <w:name w:val="Heading 1 Char"/>
    <w:basedOn w:val="DefaultParagraphFont"/>
    <w:link w:val="Heading1"/>
    <w:uiPriority w:val="9"/>
    <w:rsid w:val="00720FA7"/>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720FA7"/>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unhideWhenUsed/>
    <w:rsid w:val="00720FA7"/>
    <w:rPr>
      <w:color w:val="0000FF" w:themeColor="hyperlink"/>
      <w:u w:val="single"/>
    </w:rPr>
  </w:style>
  <w:style w:type="paragraph" w:styleId="FootnoteText">
    <w:name w:val="footnote text"/>
    <w:basedOn w:val="Normal"/>
    <w:link w:val="FootnoteTextChar"/>
    <w:uiPriority w:val="99"/>
    <w:unhideWhenUsed/>
    <w:rsid w:val="00720FA7"/>
  </w:style>
  <w:style w:type="character" w:customStyle="1" w:styleId="FootnoteTextChar">
    <w:name w:val="Footnote Text Char"/>
    <w:basedOn w:val="DefaultParagraphFont"/>
    <w:link w:val="FootnoteText"/>
    <w:uiPriority w:val="99"/>
    <w:rsid w:val="00720FA7"/>
    <w:rPr>
      <w:lang w:val="en-GB"/>
    </w:rPr>
  </w:style>
  <w:style w:type="character" w:styleId="FootnoteReference">
    <w:name w:val="footnote reference"/>
    <w:basedOn w:val="DefaultParagraphFont"/>
    <w:uiPriority w:val="99"/>
    <w:unhideWhenUsed/>
    <w:rsid w:val="00720FA7"/>
    <w:rPr>
      <w:vertAlign w:val="superscript"/>
    </w:rPr>
  </w:style>
  <w:style w:type="character" w:styleId="CommentReference">
    <w:name w:val="annotation reference"/>
    <w:basedOn w:val="DefaultParagraphFont"/>
    <w:uiPriority w:val="99"/>
    <w:semiHidden/>
    <w:unhideWhenUsed/>
    <w:rsid w:val="00720FA7"/>
    <w:rPr>
      <w:sz w:val="18"/>
      <w:szCs w:val="18"/>
    </w:rPr>
  </w:style>
  <w:style w:type="paragraph" w:styleId="CommentText">
    <w:name w:val="annotation text"/>
    <w:basedOn w:val="Normal"/>
    <w:link w:val="CommentTextChar"/>
    <w:uiPriority w:val="99"/>
    <w:semiHidden/>
    <w:unhideWhenUsed/>
    <w:rsid w:val="00720FA7"/>
  </w:style>
  <w:style w:type="character" w:customStyle="1" w:styleId="CommentTextChar">
    <w:name w:val="Comment Text Char"/>
    <w:basedOn w:val="DefaultParagraphFont"/>
    <w:link w:val="CommentText"/>
    <w:uiPriority w:val="99"/>
    <w:semiHidden/>
    <w:rsid w:val="00720FA7"/>
    <w:rPr>
      <w:lang w:val="en-GB"/>
    </w:rPr>
  </w:style>
  <w:style w:type="paragraph" w:styleId="BalloonText">
    <w:name w:val="Balloon Text"/>
    <w:basedOn w:val="Normal"/>
    <w:link w:val="BalloonTextChar"/>
    <w:uiPriority w:val="99"/>
    <w:semiHidden/>
    <w:unhideWhenUsed/>
    <w:rsid w:val="00720F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0FA7"/>
    <w:rPr>
      <w:rFonts w:ascii="Lucida Grande" w:hAnsi="Lucida Grande" w:cs="Lucida Grande"/>
      <w:sz w:val="18"/>
      <w:szCs w:val="18"/>
      <w:lang w:val="en-GB"/>
    </w:rPr>
  </w:style>
  <w:style w:type="paragraph" w:styleId="CommentSubject">
    <w:name w:val="annotation subject"/>
    <w:basedOn w:val="CommentText"/>
    <w:next w:val="CommentText"/>
    <w:link w:val="CommentSubjectChar"/>
    <w:uiPriority w:val="99"/>
    <w:semiHidden/>
    <w:unhideWhenUsed/>
    <w:rsid w:val="006E2A69"/>
    <w:rPr>
      <w:b/>
      <w:bCs/>
      <w:sz w:val="20"/>
      <w:szCs w:val="20"/>
    </w:rPr>
  </w:style>
  <w:style w:type="character" w:customStyle="1" w:styleId="CommentSubjectChar">
    <w:name w:val="Comment Subject Char"/>
    <w:basedOn w:val="CommentTextChar"/>
    <w:link w:val="CommentSubject"/>
    <w:uiPriority w:val="99"/>
    <w:semiHidden/>
    <w:rsid w:val="006E2A69"/>
    <w:rP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A7"/>
    <w:rPr>
      <w:lang w:val="en-GB"/>
    </w:rPr>
  </w:style>
  <w:style w:type="paragraph" w:styleId="Heading1">
    <w:name w:val="heading 1"/>
    <w:basedOn w:val="Normal"/>
    <w:next w:val="Normal"/>
    <w:link w:val="Heading1Char"/>
    <w:uiPriority w:val="9"/>
    <w:qFormat/>
    <w:rsid w:val="00720F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20F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FA7"/>
    <w:pPr>
      <w:tabs>
        <w:tab w:val="center" w:pos="4320"/>
        <w:tab w:val="right" w:pos="8640"/>
      </w:tabs>
    </w:pPr>
  </w:style>
  <w:style w:type="character" w:customStyle="1" w:styleId="HeaderChar">
    <w:name w:val="Header Char"/>
    <w:basedOn w:val="DefaultParagraphFont"/>
    <w:link w:val="Header"/>
    <w:uiPriority w:val="99"/>
    <w:rsid w:val="00720FA7"/>
    <w:rPr>
      <w:lang w:val="en-GB"/>
    </w:rPr>
  </w:style>
  <w:style w:type="paragraph" w:styleId="Footer">
    <w:name w:val="footer"/>
    <w:basedOn w:val="Normal"/>
    <w:link w:val="FooterChar"/>
    <w:uiPriority w:val="99"/>
    <w:unhideWhenUsed/>
    <w:rsid w:val="00720FA7"/>
    <w:pPr>
      <w:tabs>
        <w:tab w:val="center" w:pos="4320"/>
        <w:tab w:val="right" w:pos="8640"/>
      </w:tabs>
    </w:pPr>
  </w:style>
  <w:style w:type="character" w:customStyle="1" w:styleId="FooterChar">
    <w:name w:val="Footer Char"/>
    <w:basedOn w:val="DefaultParagraphFont"/>
    <w:link w:val="Footer"/>
    <w:uiPriority w:val="99"/>
    <w:rsid w:val="00720FA7"/>
    <w:rPr>
      <w:lang w:val="en-GB"/>
    </w:rPr>
  </w:style>
  <w:style w:type="character" w:styleId="PageNumber">
    <w:name w:val="page number"/>
    <w:basedOn w:val="DefaultParagraphFont"/>
    <w:uiPriority w:val="99"/>
    <w:semiHidden/>
    <w:unhideWhenUsed/>
    <w:rsid w:val="00720FA7"/>
  </w:style>
  <w:style w:type="character" w:customStyle="1" w:styleId="Heading1Char">
    <w:name w:val="Heading 1 Char"/>
    <w:basedOn w:val="DefaultParagraphFont"/>
    <w:link w:val="Heading1"/>
    <w:uiPriority w:val="9"/>
    <w:rsid w:val="00720FA7"/>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720FA7"/>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unhideWhenUsed/>
    <w:rsid w:val="00720FA7"/>
    <w:rPr>
      <w:color w:val="0000FF" w:themeColor="hyperlink"/>
      <w:u w:val="single"/>
    </w:rPr>
  </w:style>
  <w:style w:type="paragraph" w:styleId="FootnoteText">
    <w:name w:val="footnote text"/>
    <w:basedOn w:val="Normal"/>
    <w:link w:val="FootnoteTextChar"/>
    <w:uiPriority w:val="99"/>
    <w:unhideWhenUsed/>
    <w:rsid w:val="00720FA7"/>
  </w:style>
  <w:style w:type="character" w:customStyle="1" w:styleId="FootnoteTextChar">
    <w:name w:val="Footnote Text Char"/>
    <w:basedOn w:val="DefaultParagraphFont"/>
    <w:link w:val="FootnoteText"/>
    <w:uiPriority w:val="99"/>
    <w:rsid w:val="00720FA7"/>
    <w:rPr>
      <w:lang w:val="en-GB"/>
    </w:rPr>
  </w:style>
  <w:style w:type="character" w:styleId="FootnoteReference">
    <w:name w:val="footnote reference"/>
    <w:basedOn w:val="DefaultParagraphFont"/>
    <w:uiPriority w:val="99"/>
    <w:unhideWhenUsed/>
    <w:rsid w:val="00720FA7"/>
    <w:rPr>
      <w:vertAlign w:val="superscript"/>
    </w:rPr>
  </w:style>
  <w:style w:type="character" w:styleId="CommentReference">
    <w:name w:val="annotation reference"/>
    <w:basedOn w:val="DefaultParagraphFont"/>
    <w:uiPriority w:val="99"/>
    <w:semiHidden/>
    <w:unhideWhenUsed/>
    <w:rsid w:val="00720FA7"/>
    <w:rPr>
      <w:sz w:val="18"/>
      <w:szCs w:val="18"/>
    </w:rPr>
  </w:style>
  <w:style w:type="paragraph" w:styleId="CommentText">
    <w:name w:val="annotation text"/>
    <w:basedOn w:val="Normal"/>
    <w:link w:val="CommentTextChar"/>
    <w:uiPriority w:val="99"/>
    <w:semiHidden/>
    <w:unhideWhenUsed/>
    <w:rsid w:val="00720FA7"/>
  </w:style>
  <w:style w:type="character" w:customStyle="1" w:styleId="CommentTextChar">
    <w:name w:val="Comment Text Char"/>
    <w:basedOn w:val="DefaultParagraphFont"/>
    <w:link w:val="CommentText"/>
    <w:uiPriority w:val="99"/>
    <w:semiHidden/>
    <w:rsid w:val="00720FA7"/>
    <w:rPr>
      <w:lang w:val="en-GB"/>
    </w:rPr>
  </w:style>
  <w:style w:type="paragraph" w:styleId="BalloonText">
    <w:name w:val="Balloon Text"/>
    <w:basedOn w:val="Normal"/>
    <w:link w:val="BalloonTextChar"/>
    <w:uiPriority w:val="99"/>
    <w:semiHidden/>
    <w:unhideWhenUsed/>
    <w:rsid w:val="00720F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0FA7"/>
    <w:rPr>
      <w:rFonts w:ascii="Lucida Grande" w:hAnsi="Lucida Grande" w:cs="Lucida Grande"/>
      <w:sz w:val="18"/>
      <w:szCs w:val="18"/>
      <w:lang w:val="en-GB"/>
    </w:rPr>
  </w:style>
  <w:style w:type="paragraph" w:styleId="CommentSubject">
    <w:name w:val="annotation subject"/>
    <w:basedOn w:val="CommentText"/>
    <w:next w:val="CommentText"/>
    <w:link w:val="CommentSubjectChar"/>
    <w:uiPriority w:val="99"/>
    <w:semiHidden/>
    <w:unhideWhenUsed/>
    <w:rsid w:val="006E2A69"/>
    <w:rPr>
      <w:b/>
      <w:bCs/>
      <w:sz w:val="20"/>
      <w:szCs w:val="20"/>
    </w:rPr>
  </w:style>
  <w:style w:type="character" w:customStyle="1" w:styleId="CommentSubjectChar">
    <w:name w:val="Comment Subject Char"/>
    <w:basedOn w:val="CommentTextChar"/>
    <w:link w:val="CommentSubject"/>
    <w:uiPriority w:val="99"/>
    <w:semiHidden/>
    <w:rsid w:val="006E2A6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O.Godsmark@sheffield.ac.u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32</Pages>
  <Words>7781</Words>
  <Characters>44354</Characters>
  <Application>Microsoft Macintosh Word</Application>
  <DocSecurity>0</DocSecurity>
  <Lines>369</Lines>
  <Paragraphs>104</Paragraphs>
  <ScaleCrop>false</ScaleCrop>
  <Company/>
  <LinksUpToDate>false</LinksUpToDate>
  <CharactersWithSpaces>52031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Godsmark</dc:creator>
  <cp:keywords/>
  <dc:description/>
  <cp:lastModifiedBy>Oliver Godsmark</cp:lastModifiedBy>
  <cp:revision>19</cp:revision>
  <dcterms:created xsi:type="dcterms:W3CDTF">2018-07-06T11:17:00Z</dcterms:created>
  <dcterms:modified xsi:type="dcterms:W3CDTF">2018-07-06T15:52:00Z</dcterms:modified>
</cp:coreProperties>
</file>