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FF4" w:rsidRDefault="00F85F87">
      <w:pPr>
        <w:spacing w:after="1011" w:line="259" w:lineRule="auto"/>
        <w:ind w:left="1649" w:firstLine="0"/>
        <w:jc w:val="center"/>
      </w:pPr>
      <w:r>
        <w:rPr>
          <w:b/>
        </w:rPr>
        <w:t>Highlights</w:t>
      </w:r>
    </w:p>
    <w:p w:rsidR="00A34FF4" w:rsidRDefault="00F85F87" w:rsidP="00F85F87">
      <w:pPr>
        <w:numPr>
          <w:ilvl w:val="0"/>
          <w:numId w:val="1"/>
        </w:numPr>
        <w:spacing w:after="360" w:line="296" w:lineRule="auto"/>
        <w:ind w:hanging="420"/>
        <w:jc w:val="left"/>
      </w:pPr>
      <w:r>
        <w:t>Reactive nitrogen accumulates at depth in the Red Soil Critical Zone.</w:t>
      </w:r>
    </w:p>
    <w:p w:rsidR="00A34FF4" w:rsidRDefault="00F85F87" w:rsidP="00F85F87">
      <w:pPr>
        <w:numPr>
          <w:ilvl w:val="0"/>
          <w:numId w:val="1"/>
        </w:numPr>
        <w:spacing w:after="360" w:line="296" w:lineRule="auto"/>
        <w:ind w:hanging="420"/>
        <w:jc w:val="left"/>
      </w:pPr>
      <w:r>
        <w:t>The majority of reactive nitrogen is stored below 1 m in the deep regolith.</w:t>
      </w:r>
    </w:p>
    <w:p w:rsidR="00A34FF4" w:rsidRDefault="00F85F87" w:rsidP="00F85F87">
      <w:pPr>
        <w:numPr>
          <w:ilvl w:val="0"/>
          <w:numId w:val="1"/>
        </w:numPr>
        <w:spacing w:after="360" w:line="296" w:lineRule="auto"/>
        <w:ind w:hanging="420"/>
        <w:jc w:val="left"/>
      </w:pPr>
      <w:r>
        <w:t>Land uses play a key role in determining reactive nitrogen accumulation.</w:t>
      </w:r>
    </w:p>
    <w:p w:rsidR="00A34FF4" w:rsidRDefault="00F85F87" w:rsidP="00F85F87">
      <w:pPr>
        <w:numPr>
          <w:ilvl w:val="0"/>
          <w:numId w:val="1"/>
        </w:numPr>
        <w:spacing w:after="10341" w:line="296" w:lineRule="auto"/>
        <w:ind w:hanging="420"/>
        <w:jc w:val="left"/>
      </w:pPr>
      <w:r>
        <w:t>Pattern</w:t>
      </w:r>
      <w:r>
        <w:t xml:space="preserve"> of nitrate accumulation negatively correlates with porosity variation.</w:t>
      </w:r>
    </w:p>
    <w:p w:rsidR="00A34FF4" w:rsidRDefault="00F85F87">
      <w:pPr>
        <w:spacing w:after="190" w:line="259" w:lineRule="auto"/>
        <w:ind w:left="1659"/>
        <w:jc w:val="center"/>
      </w:pPr>
      <w:r>
        <w:rPr>
          <w:rFonts w:ascii="Carlito" w:eastAsia="Carlito" w:hAnsi="Carlito" w:cs="Carlito"/>
          <w:sz w:val="18"/>
        </w:rPr>
        <w:lastRenderedPageBreak/>
        <w:t>1</w:t>
      </w:r>
    </w:p>
    <w:p w:rsidR="00A34FF4" w:rsidRDefault="00F85F87">
      <w:pPr>
        <w:pStyle w:val="Heading1"/>
        <w:tabs>
          <w:tab w:val="right" w:pos="7590"/>
        </w:tabs>
        <w:spacing w:after="176"/>
        <w:ind w:left="-15" w:firstLine="0"/>
      </w:pPr>
      <w:r>
        <w:rPr>
          <w:rFonts w:ascii="Carlito" w:eastAsia="Carlito" w:hAnsi="Carlito" w:cs="Carlito"/>
          <w:b w:val="0"/>
          <w:sz w:val="21"/>
        </w:rPr>
        <w:t>1</w:t>
      </w:r>
      <w:r>
        <w:rPr>
          <w:rFonts w:ascii="Carlito" w:eastAsia="Carlito" w:hAnsi="Carlito" w:cs="Carlito"/>
          <w:b w:val="0"/>
          <w:sz w:val="21"/>
        </w:rPr>
        <w:tab/>
      </w:r>
      <w:r>
        <w:t>Reactive nitrogen accumulates beneath 1 m depth</w:t>
      </w:r>
    </w:p>
    <w:p w:rsidR="00A34FF4" w:rsidRDefault="00F85F87">
      <w:pPr>
        <w:tabs>
          <w:tab w:val="right" w:pos="8331"/>
        </w:tabs>
        <w:spacing w:after="10255"/>
        <w:ind w:left="-15" w:right="-741" w:firstLine="0"/>
        <w:jc w:val="left"/>
      </w:pPr>
      <w:r>
        <w:rPr>
          <w:rFonts w:ascii="Carlito" w:eastAsia="Carlito" w:hAnsi="Carlito" w:cs="Carlito"/>
        </w:rPr>
        <w:t>2</w:t>
      </w:r>
      <w:r>
        <w:rPr>
          <w:rFonts w:ascii="Carlito" w:eastAsia="Carlito" w:hAnsi="Carlito" w:cs="Carlito"/>
        </w:rPr>
        <w:tab/>
      </w:r>
      <w:r>
        <w:rPr>
          <w:noProof/>
        </w:rPr>
        <w:drawing>
          <wp:inline distT="0" distB="0" distL="0" distR="0">
            <wp:extent cx="4714005" cy="1799382"/>
            <wp:effectExtent l="0" t="0" r="0" b="0"/>
            <wp:docPr id="22503" name="Picture 22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3" name="Picture 225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005" cy="17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spacing w:after="190" w:line="259" w:lineRule="auto"/>
        <w:ind w:left="1659"/>
        <w:jc w:val="center"/>
      </w:pPr>
      <w:r>
        <w:rPr>
          <w:rFonts w:ascii="Carlito" w:eastAsia="Carlito" w:hAnsi="Carlito" w:cs="Carlito"/>
          <w:sz w:val="18"/>
        </w:rPr>
        <w:lastRenderedPageBreak/>
        <w:t>1</w:t>
      </w:r>
    </w:p>
    <w:p w:rsidR="00A34FF4" w:rsidRDefault="00A34FF4">
      <w:pPr>
        <w:sectPr w:rsidR="00A34FF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663" w:right="2982" w:bottom="1212" w:left="1334" w:header="720" w:footer="720" w:gutter="0"/>
          <w:cols w:space="720"/>
        </w:sectPr>
      </w:pPr>
    </w:p>
    <w:p w:rsidR="00A34FF4" w:rsidRDefault="00F85F87" w:rsidP="00F85F87">
      <w:pPr>
        <w:numPr>
          <w:ilvl w:val="0"/>
          <w:numId w:val="2"/>
        </w:numPr>
        <w:spacing w:after="360" w:line="284" w:lineRule="auto"/>
        <w:ind w:hanging="4392"/>
        <w:jc w:val="left"/>
      </w:pPr>
      <w:r>
        <w:rPr>
          <w:b/>
        </w:rPr>
        <w:lastRenderedPageBreak/>
        <w:t xml:space="preserve">Accumulation of Nitrate and Dissolved Organic Nitrogen at Depth in a Red Soil Critical </w:t>
      </w:r>
    </w:p>
    <w:p w:rsidR="00A34FF4" w:rsidRDefault="00F85F87" w:rsidP="00F85F87">
      <w:pPr>
        <w:numPr>
          <w:ilvl w:val="0"/>
          <w:numId w:val="2"/>
        </w:numPr>
        <w:spacing w:after="333" w:line="284" w:lineRule="auto"/>
        <w:ind w:hanging="4392"/>
        <w:jc w:val="left"/>
      </w:pPr>
      <w:r>
        <w:rPr>
          <w:b/>
        </w:rPr>
        <w:t>Zone</w:t>
      </w:r>
    </w:p>
    <w:p w:rsidR="00A34FF4" w:rsidRDefault="00F85F87" w:rsidP="00F85F87">
      <w:pPr>
        <w:numPr>
          <w:ilvl w:val="0"/>
          <w:numId w:val="2"/>
        </w:numPr>
        <w:ind w:hanging="4392"/>
        <w:jc w:val="left"/>
      </w:pPr>
      <w:r>
        <w:t>Huayong Wu</w:t>
      </w:r>
      <w:r>
        <w:rPr>
          <w:vertAlign w:val="superscript"/>
        </w:rPr>
        <w:t>a</w:t>
      </w:r>
      <w:r>
        <w:t>, Xiaodong Song</w:t>
      </w:r>
      <w:r>
        <w:rPr>
          <w:vertAlign w:val="superscript"/>
        </w:rPr>
        <w:t>a</w:t>
      </w:r>
      <w:r>
        <w:t>, Xiaorui Zhao</w:t>
      </w:r>
      <w:r>
        <w:rPr>
          <w:vertAlign w:val="superscript"/>
        </w:rPr>
        <w:t>a,b</w:t>
      </w:r>
      <w:r>
        <w:t>, Xinhua Peng</w:t>
      </w:r>
      <w:r>
        <w:rPr>
          <w:vertAlign w:val="superscript"/>
        </w:rPr>
        <w:t>a</w:t>
      </w:r>
      <w:r>
        <w:t>, Hu Zhou</w:t>
      </w:r>
      <w:r>
        <w:rPr>
          <w:vertAlign w:val="superscript"/>
        </w:rPr>
        <w:t>a</w:t>
      </w:r>
      <w:r>
        <w:t>, Paul D. Hallett</w:t>
      </w:r>
      <w:r>
        <w:rPr>
          <w:vertAlign w:val="superscript"/>
        </w:rPr>
        <w:t>c</w:t>
      </w:r>
      <w:r>
        <w:t xml:space="preserve">, Mark </w:t>
      </w:r>
    </w:p>
    <w:p w:rsidR="00A34FF4" w:rsidRDefault="00F85F87" w:rsidP="00F85F87">
      <w:pPr>
        <w:numPr>
          <w:ilvl w:val="0"/>
          <w:numId w:val="2"/>
        </w:numPr>
        <w:ind w:hanging="4392"/>
        <w:jc w:val="left"/>
      </w:pPr>
      <w:r>
        <w:t>E. Hodson</w:t>
      </w:r>
      <w:r>
        <w:rPr>
          <w:vertAlign w:val="superscript"/>
        </w:rPr>
        <w:t>d</w:t>
      </w:r>
      <w:r>
        <w:t>, Gan-Lin Zhang</w:t>
      </w:r>
      <w:r>
        <w:rPr>
          <w:vertAlign w:val="superscript"/>
        </w:rPr>
        <w:t>a,b,</w:t>
      </w:r>
      <w:r>
        <w:t>*</w:t>
      </w:r>
    </w:p>
    <w:p w:rsidR="00A34FF4" w:rsidRDefault="00F85F87" w:rsidP="00F85F87">
      <w:pPr>
        <w:numPr>
          <w:ilvl w:val="0"/>
          <w:numId w:val="2"/>
        </w:numPr>
        <w:spacing w:after="360" w:line="286" w:lineRule="auto"/>
        <w:ind w:hanging="4392"/>
        <w:jc w:val="left"/>
      </w:pPr>
      <w:r>
        <w:rPr>
          <w:vertAlign w:val="superscript"/>
        </w:rPr>
        <w:t xml:space="preserve">a </w:t>
      </w:r>
      <w:r>
        <w:rPr>
          <w:i/>
        </w:rPr>
        <w:t xml:space="preserve">State Key Laboratory of Soil and Sustainable Agriculture, Institute of Soil Science, Chinese </w:t>
      </w:r>
    </w:p>
    <w:p w:rsidR="00A34FF4" w:rsidRDefault="00F85F87" w:rsidP="00F85F87">
      <w:pPr>
        <w:numPr>
          <w:ilvl w:val="0"/>
          <w:numId w:val="2"/>
        </w:numPr>
        <w:spacing w:after="360" w:line="286" w:lineRule="auto"/>
        <w:ind w:hanging="4392"/>
        <w:jc w:val="left"/>
      </w:pPr>
      <w:r>
        <w:rPr>
          <w:i/>
        </w:rPr>
        <w:t>Academy of Sciences, Nanjing 210008, China</w:t>
      </w:r>
    </w:p>
    <w:p w:rsidR="00A34FF4" w:rsidRDefault="00F85F87" w:rsidP="00F85F87">
      <w:pPr>
        <w:numPr>
          <w:ilvl w:val="0"/>
          <w:numId w:val="2"/>
        </w:numPr>
        <w:spacing w:after="360" w:line="286" w:lineRule="auto"/>
        <w:ind w:hanging="4392"/>
        <w:jc w:val="left"/>
      </w:pPr>
      <w:r>
        <w:rPr>
          <w:vertAlign w:val="superscript"/>
        </w:rPr>
        <w:t xml:space="preserve">b </w:t>
      </w:r>
      <w:r>
        <w:rPr>
          <w:i/>
        </w:rPr>
        <w:t>University of Chinese Academy of Sciences, Beijing 100049, China</w:t>
      </w:r>
    </w:p>
    <w:p w:rsidR="00A34FF4" w:rsidRDefault="00F85F87" w:rsidP="00F85F87">
      <w:pPr>
        <w:numPr>
          <w:ilvl w:val="0"/>
          <w:numId w:val="2"/>
        </w:numPr>
        <w:spacing w:after="14" w:line="619" w:lineRule="auto"/>
        <w:ind w:hanging="4392"/>
        <w:jc w:val="left"/>
      </w:pPr>
      <w:r>
        <w:rPr>
          <w:vertAlign w:val="superscript"/>
        </w:rPr>
        <w:t>c</w:t>
      </w:r>
      <w:r>
        <w:t xml:space="preserve"> </w:t>
      </w:r>
      <w:r>
        <w:rPr>
          <w:i/>
        </w:rPr>
        <w:t xml:space="preserve">School of Biological Sciences, University of Aberdeen, Aberdeen AB24 3UU, United Kingdom </w:t>
      </w:r>
      <w:r>
        <w:rPr>
          <w:rFonts w:ascii="Carlito" w:eastAsia="Carlito" w:hAnsi="Carlito" w:cs="Carlito"/>
        </w:rPr>
        <w:t>9</w:t>
      </w:r>
      <w:r>
        <w:rPr>
          <w:rFonts w:ascii="Carlito" w:eastAsia="Carlito" w:hAnsi="Carlito" w:cs="Carlito"/>
        </w:rPr>
        <w:tab/>
      </w:r>
      <w:r>
        <w:rPr>
          <w:vertAlign w:val="superscript"/>
        </w:rPr>
        <w:t>d</w:t>
      </w:r>
      <w:r>
        <w:t xml:space="preserve"> </w:t>
      </w:r>
      <w:r>
        <w:rPr>
          <w:i/>
        </w:rPr>
        <w:t>Environment Department, University of York, York YO10 5NG, United Kingdom</w:t>
      </w:r>
    </w:p>
    <w:p w:rsidR="00A34FF4" w:rsidRDefault="00F85F87" w:rsidP="00F85F87">
      <w:pPr>
        <w:numPr>
          <w:ilvl w:val="0"/>
          <w:numId w:val="3"/>
        </w:numPr>
        <w:spacing w:after="360" w:line="284" w:lineRule="auto"/>
        <w:ind w:hanging="783"/>
      </w:pPr>
      <w:r>
        <w:rPr>
          <w:b/>
        </w:rPr>
        <w:t>ABSTRACT</w:t>
      </w:r>
    </w:p>
    <w:p w:rsidR="00A34FF4" w:rsidRDefault="00F85F87" w:rsidP="00DD3D08">
      <w:pPr>
        <w:ind w:left="889" w:firstLine="0"/>
      </w:pPr>
      <w:bookmarkStart w:id="0" w:name="_GoBack"/>
      <w:r>
        <w:t>Nitrate accum</w:t>
      </w:r>
      <w:r>
        <w:t xml:space="preserve">ulation has been reported in the top 1 m and subsurface soil (&gt; 1 m) across arid to </w:t>
      </w:r>
      <w:r>
        <w:t xml:space="preserve">semi-humid regions, but not in humid regions. Nitrate inventories through the whole regolith, </w:t>
      </w:r>
      <w:r>
        <w:t>referred to collectively as soil and saprolite, in humid regions have receiv</w:t>
      </w:r>
      <w:r>
        <w:t xml:space="preserve">ed little attention to date, </w:t>
      </w:r>
      <w:r>
        <w:t xml:space="preserve">likely due to previously assumed low nitrification rates and large nitrogen (N) losses by severe </w:t>
      </w:r>
      <w:r>
        <w:t xml:space="preserve">surface runoff and erosion. In order to understand if and how reactive N exists in the below ground </w:t>
      </w:r>
      <w:r>
        <w:t>(soil and saprolite) in hum</w:t>
      </w:r>
      <w:r>
        <w:t>id environment, the amount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-N,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and dissolved organic N </w:t>
      </w:r>
      <w:r>
        <w:t xml:space="preserve">(DON) present in the regolith to a depth of 9 m in a typical red soil Critical Zone was investigated </w:t>
      </w:r>
      <w:r>
        <w:t xml:space="preserve">under different land uses (upland, woodland and paddy field). The Red Soil Critical </w:t>
      </w:r>
      <w:r>
        <w:t xml:space="preserve">Zone </w:t>
      </w:r>
      <w:r>
        <w:t xml:space="preserve">Observatory is located in the subtropical Jiangxi Province, China, with a mean annual precipitation </w:t>
      </w:r>
      <w:r>
        <w:t xml:space="preserve">of 1795 mm and mean annual potential evapotranspiration of 1229 mm. The examined regoliths </w:t>
      </w:r>
      <w:r>
        <w:t>were acidic, highly weathered, and mainly clay loam in te</w:t>
      </w:r>
      <w:r>
        <w:t xml:space="preserve">xture. Results showed that on average 92% </w:t>
      </w:r>
      <w:r>
        <w:t>(827 ± 97 kg N ha</w:t>
      </w:r>
      <w:r>
        <w:rPr>
          <w:vertAlign w:val="superscript"/>
        </w:rPr>
        <w:t>-1</w:t>
      </w:r>
      <w:r>
        <w:t>)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and 82% (521 ± 153 kg N ha</w:t>
      </w:r>
      <w:r>
        <w:rPr>
          <w:vertAlign w:val="superscript"/>
        </w:rPr>
        <w:t>-1</w:t>
      </w:r>
      <w:r>
        <w:t xml:space="preserve">) of DON were stored at depth (from </w:t>
      </w:r>
      <w:r>
        <w:t>a depth of 1 m to the bedrock surface) in the upland regolith, while 92% (283 kg N ha</w:t>
      </w:r>
      <w:r>
        <w:rPr>
          <w:vertAlign w:val="superscript"/>
        </w:rPr>
        <w:t>-1</w:t>
      </w:r>
      <w:r>
        <w:t>)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  <w:r>
        <w:t>and 78% (820 kg</w:t>
      </w:r>
      <w:r>
        <w:t xml:space="preserve"> N ha</w:t>
      </w:r>
      <w:r>
        <w:rPr>
          <w:vertAlign w:val="superscript"/>
        </w:rPr>
        <w:t>-1</w:t>
      </w:r>
      <w:r>
        <w:t xml:space="preserve">) of DON were stored at depth in the woodland regolith. Nitrate N </w:t>
      </w:r>
      <w:r>
        <w:t xml:space="preserve">significantly accumulated with depth in the upland regolith from the 1- to 4-m depth interval (p &lt; </w:t>
      </w:r>
      <w:r>
        <w:t>0.01), while the inventory (632 ± 75 kg N ha</w:t>
      </w:r>
      <w:r>
        <w:rPr>
          <w:vertAlign w:val="superscript"/>
        </w:rPr>
        <w:t>-1</w:t>
      </w:r>
      <w:r>
        <w:t xml:space="preserve">) in the top 3-m </w:t>
      </w:r>
      <w:r>
        <w:lastRenderedPageBreak/>
        <w:t xml:space="preserve">zone accounted for </w:t>
      </w:r>
      <w:r>
        <w:t xml:space="preserve">on average 71% </w:t>
      </w:r>
      <w:r>
        <w:t xml:space="preserve">of the total. Dissolved organic N significantly accumulated with depth in the upland regolith from </w:t>
      </w:r>
      <w:r>
        <w:t>the 0- to 3-m depth interval (p &lt; 0.01), while the inventory (408 ± 75 kg N ha</w:t>
      </w:r>
      <w:r>
        <w:rPr>
          <w:vertAlign w:val="superscript"/>
        </w:rPr>
        <w:t>-1</w:t>
      </w:r>
      <w:r>
        <w:t xml:space="preserve">) in the top 3-m zone </w:t>
      </w:r>
      <w:r>
        <w:t>accounted for on average 64% of the total. There was no significant accumulation for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</w:t>
      </w:r>
      <w:r>
        <w:t xml:space="preserve">throughout the upland regolith (p = 0.35). No substantial accumulation of dissolved N was measured </w:t>
      </w:r>
      <w:r>
        <w:t xml:space="preserve">at depth in paddy field regoliths with different cultivation ages. The finding that large reservoirs of </w:t>
      </w:r>
      <w:r>
        <w:t xml:space="preserve">reactive N can exist in deep regolith rather than in the routinely investigated solum of subtropical </w:t>
      </w:r>
      <w:r>
        <w:t>regions shows a missing part of the terrestrial N</w:t>
      </w:r>
      <w:r>
        <w:t xml:space="preserve"> budget and raises concerns about potential </w:t>
      </w:r>
      <w:r>
        <w:rPr>
          <w:rFonts w:ascii="Carlito" w:eastAsia="Carlito" w:hAnsi="Carlito" w:cs="Carlito"/>
        </w:rPr>
        <w:t xml:space="preserve">34 </w:t>
      </w:r>
      <w:r>
        <w:t>groundwater nitrate pollution.</w:t>
      </w:r>
    </w:p>
    <w:bookmarkEnd w:id="0"/>
    <w:p w:rsidR="00A34FF4" w:rsidRDefault="00F85F87" w:rsidP="00F85F87">
      <w:pPr>
        <w:numPr>
          <w:ilvl w:val="0"/>
          <w:numId w:val="4"/>
        </w:numPr>
        <w:ind w:hanging="573"/>
      </w:pPr>
      <w:r>
        <w:rPr>
          <w:b/>
        </w:rPr>
        <w:t>Keywords</w:t>
      </w:r>
      <w:r>
        <w:t xml:space="preserve">: Nitrate accumulation; Dissolved organic nitrogen; Porosity; Red soil; Critical Zone </w:t>
      </w:r>
    </w:p>
    <w:p w:rsidR="00A34FF4" w:rsidRDefault="00F85F87" w:rsidP="00F85F87">
      <w:pPr>
        <w:numPr>
          <w:ilvl w:val="0"/>
          <w:numId w:val="4"/>
        </w:numPr>
        <w:spacing w:after="351"/>
        <w:ind w:hanging="573"/>
      </w:pPr>
      <w:r>
        <w:t>Observatory</w:t>
      </w:r>
    </w:p>
    <w:p w:rsidR="00A34FF4" w:rsidRDefault="00F85F87">
      <w:pPr>
        <w:spacing w:after="367"/>
        <w:ind w:right="63"/>
        <w:jc w:val="left"/>
      </w:pPr>
      <w:r>
        <w:rPr>
          <w:rFonts w:ascii="Carlito" w:eastAsia="Carlito" w:hAnsi="Carlito" w:cs="Carlito"/>
        </w:rPr>
        <w:t>37</w:t>
      </w:r>
    </w:p>
    <w:p w:rsidR="00A34FF4" w:rsidRDefault="00F85F87" w:rsidP="00F85F87">
      <w:pPr>
        <w:numPr>
          <w:ilvl w:val="0"/>
          <w:numId w:val="5"/>
        </w:numPr>
        <w:spacing w:after="360" w:line="284" w:lineRule="auto"/>
        <w:ind w:hanging="783"/>
      </w:pPr>
      <w:r>
        <w:rPr>
          <w:b/>
        </w:rPr>
        <w:t>1.</w:t>
      </w:r>
      <w:r>
        <w:rPr>
          <w:b/>
        </w:rPr>
        <w:tab/>
        <w:t>Introduction</w:t>
      </w:r>
    </w:p>
    <w:p w:rsidR="00A34FF4" w:rsidRDefault="00F85F87" w:rsidP="00F85F87">
      <w:pPr>
        <w:numPr>
          <w:ilvl w:val="0"/>
          <w:numId w:val="5"/>
        </w:numPr>
        <w:ind w:hanging="783"/>
      </w:pPr>
      <w:r>
        <w:t>Overuse of nitrogen (N) fertilizers and increased de</w:t>
      </w:r>
      <w:r>
        <w:t xml:space="preserve">position of bioavailable N to land have </w:t>
      </w:r>
    </w:p>
    <w:p w:rsidR="00A34FF4" w:rsidRDefault="00F85F87" w:rsidP="00F85F87">
      <w:pPr>
        <w:numPr>
          <w:ilvl w:val="0"/>
          <w:numId w:val="5"/>
        </w:numPr>
        <w:ind w:hanging="783"/>
      </w:pPr>
      <w:r>
        <w:t xml:space="preserve">adversely affected soil ecosystem functions, water quality and biodiversity around the world </w:t>
      </w:r>
    </w:p>
    <w:p w:rsidR="00A34FF4" w:rsidRDefault="00F85F87" w:rsidP="00F85F87">
      <w:pPr>
        <w:numPr>
          <w:ilvl w:val="0"/>
          <w:numId w:val="5"/>
        </w:numPr>
        <w:ind w:hanging="783"/>
      </w:pPr>
      <w:r>
        <w:t xml:space="preserve">(Matson et al., 2002; Guo et al., 2010; Liu et al., 2011; Payne et al., 2017). Understanding such </w:t>
      </w:r>
    </w:p>
    <w:p w:rsidR="00A34FF4" w:rsidRDefault="00F85F87" w:rsidP="00F85F87">
      <w:pPr>
        <w:numPr>
          <w:ilvl w:val="0"/>
          <w:numId w:val="5"/>
        </w:numPr>
        <w:ind w:hanging="783"/>
      </w:pPr>
      <w:r>
        <w:t>effects requires quant</w:t>
      </w:r>
      <w:r>
        <w:t xml:space="preserve">ification of N sources, reservoirs and cycling rates in a holistic approach. Red </w:t>
      </w:r>
    </w:p>
    <w:p w:rsidR="00A34FF4" w:rsidRDefault="00F85F87" w:rsidP="00F85F87">
      <w:pPr>
        <w:numPr>
          <w:ilvl w:val="0"/>
          <w:numId w:val="5"/>
        </w:numPr>
        <w:ind w:hanging="783"/>
      </w:pPr>
      <w:r>
        <w:t xml:space="preserve">soils, mainly Acrisols, Alisols and Ferralsols according to the World Reference Base for Soil </w:t>
      </w:r>
    </w:p>
    <w:p w:rsidR="00A34FF4" w:rsidRDefault="00F85F87" w:rsidP="00F85F87">
      <w:pPr>
        <w:numPr>
          <w:ilvl w:val="0"/>
          <w:numId w:val="5"/>
        </w:numPr>
        <w:ind w:hanging="783"/>
      </w:pPr>
      <w:r>
        <w:t>Resources (IUSS Working Group WRB, 2015), which cover approximately 22.7% of Ch</w:t>
      </w:r>
      <w:r>
        <w:t xml:space="preserve">ina’s land </w:t>
      </w:r>
      <w:r>
        <w:rPr>
          <w:rFonts w:ascii="Carlito" w:eastAsia="Carlito" w:hAnsi="Carlito" w:cs="Carlito"/>
        </w:rPr>
        <w:t>45</w:t>
      </w:r>
      <w:r>
        <w:rPr>
          <w:rFonts w:ascii="Carlito" w:eastAsia="Carlito" w:hAnsi="Carlito" w:cs="Carlito"/>
        </w:rPr>
        <w:tab/>
      </w:r>
      <w:r>
        <w:t xml:space="preserve">surface (He et al., 1983) and about 16% of the world’s ice-free land surface (USDA, 2006) are </w:t>
      </w:r>
    </w:p>
    <w:p w:rsidR="00A34FF4" w:rsidRDefault="00F85F87" w:rsidP="00F85F87">
      <w:pPr>
        <w:numPr>
          <w:ilvl w:val="0"/>
          <w:numId w:val="6"/>
        </w:numPr>
        <w:ind w:hanging="573"/>
      </w:pPr>
      <w:r>
        <w:t xml:space="preserve">reported to receive large amounts of ammonium-based fertilizer and / or atmospheric N deposition, </w:t>
      </w:r>
    </w:p>
    <w:p w:rsidR="00A34FF4" w:rsidRDefault="00F85F87" w:rsidP="00F85F87">
      <w:pPr>
        <w:numPr>
          <w:ilvl w:val="0"/>
          <w:numId w:val="6"/>
        </w:numPr>
        <w:spacing w:after="0" w:line="618" w:lineRule="auto"/>
        <w:ind w:hanging="573"/>
      </w:pPr>
      <w:r>
        <w:t>due to intensive human activities in the tropica</w:t>
      </w:r>
      <w:r>
        <w:t xml:space="preserve">l and subtropical regions (Dentener et al., 2006; Guo </w:t>
      </w:r>
      <w:r>
        <w:rPr>
          <w:rFonts w:ascii="Carlito" w:eastAsia="Carlito" w:hAnsi="Carlito" w:cs="Carlito"/>
        </w:rPr>
        <w:t xml:space="preserve">48 </w:t>
      </w:r>
      <w:r>
        <w:t>et al., 2010; Wang et al., 2017).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Pathways of N removal from soils to other environments include leaching beyond the root zone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and potentially into groundwater, plant uptake, ammonia volatilization, denitrification, anaerobic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ammonium oxidation, and losses by runoff and erosion (Cui et al., 2013; Gu et al., 2015; Shan et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lastRenderedPageBreak/>
        <w:t>al., 2016; Xia et al., 2017). A literature analysis on 628</w:t>
      </w:r>
      <w:r>
        <w:t xml:space="preserve"> data points of groundwater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concentrations in China showed that about 15% of samples exceeded the Chinese drinking water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>standard of 20 mg N L</w:t>
      </w:r>
      <w:r>
        <w:rPr>
          <w:vertAlign w:val="superscript"/>
        </w:rPr>
        <w:t>-1</w:t>
      </w:r>
      <w:r>
        <w:t xml:space="preserve"> for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and more than 28% of samples exceeded the USA drinking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>water standard of 10 mg N L</w:t>
      </w:r>
      <w:r>
        <w:rPr>
          <w:vertAlign w:val="superscript"/>
        </w:rPr>
        <w:t>-1</w:t>
      </w:r>
      <w:r>
        <w:t xml:space="preserve"> for N</w:t>
      </w:r>
      <w:r>
        <w:t>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(Gu et al., 2013). With a few exceptions, dissolved organic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>N (DON) concentrations (0.2 to 3.5 mg N L</w:t>
      </w:r>
      <w:r>
        <w:rPr>
          <w:vertAlign w:val="superscript"/>
        </w:rPr>
        <w:t>-1</w:t>
      </w:r>
      <w:r>
        <w:t xml:space="preserve">) in leachate collected from various cropping systems </w:t>
      </w:r>
    </w:p>
    <w:p w:rsidR="00A34FF4" w:rsidRDefault="00F85F87" w:rsidP="00F85F87">
      <w:pPr>
        <w:numPr>
          <w:ilvl w:val="0"/>
          <w:numId w:val="7"/>
        </w:numPr>
        <w:spacing w:after="396"/>
        <w:ind w:hanging="783"/>
      </w:pPr>
      <w:r>
        <w:t>exceeded the allowable concentration of 1.0 mg N L</w:t>
      </w:r>
      <w:r>
        <w:rPr>
          <w:vertAlign w:val="superscript"/>
        </w:rPr>
        <w:t>-1</w:t>
      </w:r>
      <w:r>
        <w:t xml:space="preserve"> (organic N plus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>-N) in drinking wa</w:t>
      </w:r>
      <w:r>
        <w:t xml:space="preserve">ter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in the European Union (van Kessel et al., 2009). This suggests that consideration of soil nitrate and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DON at depths below the root zone is of vital importance for the quantification and mitigation of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>dissolved N leaching from soils to groundwater. S</w:t>
      </w:r>
      <w:r>
        <w:t xml:space="preserve">uch deep sampling to study whether or not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dissolved N accumulates in the deep regolith or leaches out of regolith into groundwater is rarely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>conducted.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>There is growing evidence of large accumulations of residual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at different depths in the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regolith of Chinese semi-arid and semi-humid croplands with calcareous soils, such as in the Loess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>Plateau and the North China Plain (Ju et al., 2006; Zhou et al., 2016). In these areas, total soil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</w:p>
    <w:p w:rsidR="00A34FF4" w:rsidRDefault="00F85F87" w:rsidP="00F85F87">
      <w:pPr>
        <w:numPr>
          <w:ilvl w:val="0"/>
          <w:numId w:val="7"/>
        </w:numPr>
        <w:ind w:hanging="783"/>
      </w:pPr>
      <w:r>
        <w:t xml:space="preserve">accumulation to a depth of 4 m ranged from about </w:t>
      </w:r>
      <w:r>
        <w:t>450 to &gt; 2000 kg N ha</w:t>
      </w:r>
      <w:r>
        <w:rPr>
          <w:vertAlign w:val="superscript"/>
        </w:rPr>
        <w:t>-1</w:t>
      </w:r>
      <w:r>
        <w:t xml:space="preserve"> in wheat (</w:t>
      </w:r>
      <w:r>
        <w:rPr>
          <w:i/>
        </w:rPr>
        <w:t xml:space="preserve">Triticum </w:t>
      </w:r>
      <w:r>
        <w:rPr>
          <w:rFonts w:ascii="Carlito" w:eastAsia="Carlito" w:hAnsi="Carlito" w:cs="Carlito"/>
        </w:rPr>
        <w:t>67</w:t>
      </w:r>
      <w:r>
        <w:rPr>
          <w:rFonts w:ascii="Carlito" w:eastAsia="Carlito" w:hAnsi="Carlito" w:cs="Carlito"/>
        </w:rPr>
        <w:tab/>
      </w:r>
      <w:r>
        <w:rPr>
          <w:i/>
        </w:rPr>
        <w:t>aestivum</w:t>
      </w:r>
      <w:r>
        <w:t xml:space="preserve"> L.), maize (</w:t>
      </w:r>
      <w:r>
        <w:rPr>
          <w:i/>
        </w:rPr>
        <w:t>Zea mays</w:t>
      </w:r>
      <w:r>
        <w:t xml:space="preserve"> L.), vegetable and orchard fields (Zhou et al., 2016). The </w:t>
      </w:r>
    </w:p>
    <w:p w:rsidR="00A34FF4" w:rsidRDefault="00F85F87" w:rsidP="00F85F87">
      <w:pPr>
        <w:numPr>
          <w:ilvl w:val="0"/>
          <w:numId w:val="8"/>
        </w:numPr>
        <w:ind w:hanging="573"/>
      </w:pPr>
      <w:r>
        <w:t>accumulation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at depth has been attributed to the overuse of N fertilizers and a declining </w:t>
      </w:r>
    </w:p>
    <w:p w:rsidR="00A34FF4" w:rsidRDefault="00F85F87" w:rsidP="00F85F87">
      <w:pPr>
        <w:numPr>
          <w:ilvl w:val="0"/>
          <w:numId w:val="8"/>
        </w:numPr>
        <w:ind w:hanging="573"/>
      </w:pPr>
      <w:r>
        <w:t xml:space="preserve">groundwater table, </w:t>
      </w:r>
      <w:r>
        <w:t xml:space="preserve">together with assumed low levels of denitrification due to the presence of oxygen </w:t>
      </w:r>
    </w:p>
    <w:p w:rsidR="00A34FF4" w:rsidRDefault="00F85F87" w:rsidP="00F85F87">
      <w:pPr>
        <w:numPr>
          <w:ilvl w:val="0"/>
          <w:numId w:val="8"/>
        </w:numPr>
        <w:ind w:hanging="573"/>
      </w:pPr>
      <w:r>
        <w:t xml:space="preserve">and absence of carbon sources that can act as reductants (Zhou et al., 2016). Nitrate N accumulation </w:t>
      </w:r>
    </w:p>
    <w:p w:rsidR="00A34FF4" w:rsidRDefault="00F85F87" w:rsidP="00F85F87">
      <w:pPr>
        <w:numPr>
          <w:ilvl w:val="0"/>
          <w:numId w:val="8"/>
        </w:numPr>
        <w:ind w:hanging="573"/>
      </w:pPr>
      <w:r>
        <w:t>has also been observed in subsoil zones of arid to semi-arid regions in</w:t>
      </w:r>
      <w:r>
        <w:t xml:space="preserve"> the western USA and is </w:t>
      </w:r>
    </w:p>
    <w:p w:rsidR="00A34FF4" w:rsidRDefault="00F85F87" w:rsidP="00F85F87">
      <w:pPr>
        <w:numPr>
          <w:ilvl w:val="0"/>
          <w:numId w:val="8"/>
        </w:numPr>
        <w:ind w:hanging="573"/>
      </w:pPr>
      <w:r>
        <w:lastRenderedPageBreak/>
        <w:t xml:space="preserve">presumed to have accumulated throughout the Holocene (Walvoord et al., 2003). In these regions, </w:t>
      </w:r>
    </w:p>
    <w:p w:rsidR="00A34FF4" w:rsidRDefault="00F85F87" w:rsidP="00F85F87">
      <w:pPr>
        <w:numPr>
          <w:ilvl w:val="0"/>
          <w:numId w:val="8"/>
        </w:numPr>
        <w:ind w:hanging="573"/>
      </w:pPr>
      <w:r>
        <w:t>integration of the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profiles from 1 m to the maximum depth sampled (10 to 30 m) yielded </w:t>
      </w:r>
    </w:p>
    <w:p w:rsidR="00A34FF4" w:rsidRDefault="00F85F87" w:rsidP="00F85F87">
      <w:pPr>
        <w:numPr>
          <w:ilvl w:val="0"/>
          <w:numId w:val="8"/>
        </w:numPr>
        <w:spacing w:after="395"/>
        <w:ind w:hanging="573"/>
      </w:pPr>
      <w:r>
        <w:t>subsoil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inventories varying from</w:t>
      </w:r>
      <w:r>
        <w:t xml:space="preserve"> 30 to 13600 kg N ha</w:t>
      </w:r>
      <w:r>
        <w:rPr>
          <w:vertAlign w:val="superscript"/>
        </w:rPr>
        <w:t>-1</w:t>
      </w:r>
      <w:r>
        <w:t>. The large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inventories were </w:t>
      </w:r>
    </w:p>
    <w:p w:rsidR="00A34FF4" w:rsidRDefault="00F85F87" w:rsidP="00F85F87">
      <w:pPr>
        <w:numPr>
          <w:ilvl w:val="0"/>
          <w:numId w:val="8"/>
        </w:numPr>
        <w:spacing w:after="12" w:line="616" w:lineRule="auto"/>
        <w:ind w:hanging="573"/>
      </w:pPr>
      <w:r>
        <w:t xml:space="preserve">ascribed to the environmental conditions of desert subsoils. The scarcities of organic matter, </w:t>
      </w:r>
      <w:r>
        <w:rPr>
          <w:rFonts w:ascii="Carlito" w:eastAsia="Carlito" w:hAnsi="Carlito" w:cs="Carlito"/>
        </w:rPr>
        <w:t xml:space="preserve">76 </w:t>
      </w:r>
      <w:r>
        <w:t xml:space="preserve">microbial populations and water content in desert subsoils produce aerobic conditions, promote </w:t>
      </w:r>
      <w:r>
        <w:rPr>
          <w:rFonts w:ascii="Carlito" w:eastAsia="Carlito" w:hAnsi="Carlito" w:cs="Carlito"/>
        </w:rPr>
        <w:t xml:space="preserve">77 </w:t>
      </w:r>
      <w:r>
        <w:t>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stability and inhibit denitrification.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 xml:space="preserve">In contrast, in humid regions (&gt; 800 mm of rainfall), where highly weathered soils are widely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 xml:space="preserve">distributed and often receive substantial N fertilizers and atmospheric deposition (Guo et al., 2010;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>Wang et al.,</w:t>
      </w:r>
      <w:r>
        <w:t xml:space="preserve"> 2017), the extent to which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accumulates in the deep regolith is seldom reported.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 xml:space="preserve">The previously assumed low nitrification rates (De Boer and Kowalchuk, 2001; Li et al., 2018;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>Zhang et al., 2018) and potentially large N losses by severe erosion and</w:t>
      </w:r>
      <w:r>
        <w:t xml:space="preserve"> runoff of acidic soils (Zhao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>et al., 2013; FAO and ITPS, 2015) suggest that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in minimal amounts accumulates in red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 xml:space="preserve">soils. However, a recent modelling study estimated a potentially large nitrate accumulation in the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>vadose zone across the world (As</w:t>
      </w:r>
      <w:r>
        <w:t xml:space="preserve">cott et al., 2017), though no model validation was given regarding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 xml:space="preserve">potential nitrate accumulation in specifically humid (sub)tropics. Furthermore, recent evidence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 xml:space="preserve">confirming that nitrification can occur in acidic soils (He et al., 2012; Li et al., 2018) </w:t>
      </w:r>
      <w:r>
        <w:t xml:space="preserve">implied that </w:t>
      </w:r>
    </w:p>
    <w:p w:rsidR="00A34FF4" w:rsidRDefault="00F85F87" w:rsidP="00F85F87">
      <w:pPr>
        <w:numPr>
          <w:ilvl w:val="0"/>
          <w:numId w:val="9"/>
        </w:numPr>
        <w:ind w:hanging="783"/>
      </w:pPr>
      <w:r>
        <w:t xml:space="preserve">nitrate accumulation may be present in these soil profiles. Therefore, quantification of nitrate storage </w:t>
      </w:r>
      <w:r>
        <w:rPr>
          <w:rFonts w:ascii="Carlito" w:eastAsia="Carlito" w:hAnsi="Carlito" w:cs="Carlito"/>
        </w:rPr>
        <w:t>89</w:t>
      </w:r>
      <w:r>
        <w:rPr>
          <w:rFonts w:ascii="Carlito" w:eastAsia="Carlito" w:hAnsi="Carlito" w:cs="Carlito"/>
        </w:rPr>
        <w:tab/>
      </w:r>
      <w:r>
        <w:t xml:space="preserve">in the deep regolith in such environment is important and could account for a missing part of the </w:t>
      </w:r>
    </w:p>
    <w:p w:rsidR="00A34FF4" w:rsidRDefault="00F85F87" w:rsidP="00F85F87">
      <w:pPr>
        <w:numPr>
          <w:ilvl w:val="0"/>
          <w:numId w:val="10"/>
        </w:numPr>
        <w:ind w:hanging="573"/>
      </w:pPr>
      <w:r>
        <w:t>terrestrial N budget (Ascott et al.</w:t>
      </w:r>
      <w:r>
        <w:t xml:space="preserve">, 2016). More experimental observations are needed to test whether </w:t>
      </w:r>
    </w:p>
    <w:p w:rsidR="00A34FF4" w:rsidRDefault="00F85F87" w:rsidP="00F85F87">
      <w:pPr>
        <w:numPr>
          <w:ilvl w:val="0"/>
          <w:numId w:val="10"/>
        </w:numPr>
        <w:ind w:hanging="573"/>
      </w:pPr>
      <w:r>
        <w:t>or not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accumulates in the regolith of highly weathered soils in humid regions. Although </w:t>
      </w:r>
    </w:p>
    <w:p w:rsidR="00A34FF4" w:rsidRDefault="00F85F87" w:rsidP="00F85F87">
      <w:pPr>
        <w:numPr>
          <w:ilvl w:val="0"/>
          <w:numId w:val="10"/>
        </w:numPr>
        <w:ind w:hanging="573"/>
      </w:pPr>
      <w:r>
        <w:lastRenderedPageBreak/>
        <w:t>rainfall, fertilization, land use and denitrification processes were shown to determine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</w:p>
    <w:p w:rsidR="00A34FF4" w:rsidRDefault="00F85F87" w:rsidP="00F85F87">
      <w:pPr>
        <w:numPr>
          <w:ilvl w:val="0"/>
          <w:numId w:val="10"/>
        </w:numPr>
        <w:ind w:hanging="573"/>
      </w:pPr>
      <w:r>
        <w:t>accumulation in arid to semi-humid regions, we still know little about how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moves </w:t>
      </w:r>
    </w:p>
    <w:p w:rsidR="00A34FF4" w:rsidRDefault="00F85F87" w:rsidP="00F85F87">
      <w:pPr>
        <w:numPr>
          <w:ilvl w:val="0"/>
          <w:numId w:val="10"/>
        </w:numPr>
        <w:ind w:hanging="573"/>
      </w:pPr>
      <w:r>
        <w:t xml:space="preserve">downward and accumulates in porous regolith, especially in a humid and warm environment. </w:t>
      </w:r>
    </w:p>
    <w:p w:rsidR="00A34FF4" w:rsidRDefault="00F85F87" w:rsidP="00F85F87">
      <w:pPr>
        <w:numPr>
          <w:ilvl w:val="0"/>
          <w:numId w:val="10"/>
        </w:numPr>
        <w:ind w:hanging="573"/>
      </w:pPr>
      <w:r>
        <w:t xml:space="preserve">Although the structure, especially pore structure, of the regolith plays </w:t>
      </w:r>
      <w:r>
        <w:t xml:space="preserve">a key role in determining </w:t>
      </w:r>
    </w:p>
    <w:p w:rsidR="00A34FF4" w:rsidRDefault="00F85F87" w:rsidP="00F85F87">
      <w:pPr>
        <w:numPr>
          <w:ilvl w:val="0"/>
          <w:numId w:val="10"/>
        </w:numPr>
        <w:spacing w:after="0" w:line="627" w:lineRule="auto"/>
        <w:ind w:hanging="573"/>
      </w:pPr>
      <w:r>
        <w:t>infiltration and redistribution of water and dissolved N, the relationship between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  <w:r>
        <w:rPr>
          <w:rFonts w:ascii="Carlito" w:eastAsia="Carlito" w:hAnsi="Carlito" w:cs="Carlito"/>
        </w:rPr>
        <w:t xml:space="preserve">97 </w:t>
      </w:r>
      <w:r>
        <w:t>accumulation and regolith porosity is largely unexplored.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>While DON leaching losses from agricultural systems have been studied for more</w:t>
      </w:r>
      <w:r>
        <w:t xml:space="preserve"> than a century, 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 xml:space="preserve">most studies have not determined leaching as a major cause of all N losses (van Kessel et al., 2009; 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 xml:space="preserve">Lawes et al., 1881). The DON fraction notably contributes to N leaching losses from forest 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 xml:space="preserve">ecosystems (Qualls et al., 2000; Perakis et </w:t>
      </w:r>
      <w:r>
        <w:t xml:space="preserve">al., 2002), and may be an important part of all N losses 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>from agricultural systems (Murphy et al., 2000). Compared to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-N, DON leaching in agricultural 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 xml:space="preserve">soils remains much less understood and has received scant attention. Loss of DON by leaching from 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 xml:space="preserve">a diverse set of agricultural systems with soil texture ranging from sandy to clay in Europe, USA, </w:t>
      </w:r>
    </w:p>
    <w:p w:rsidR="00A34FF4" w:rsidRDefault="00F85F87" w:rsidP="00F85F87">
      <w:pPr>
        <w:numPr>
          <w:ilvl w:val="0"/>
          <w:numId w:val="11"/>
        </w:numPr>
        <w:ind w:hanging="783"/>
      </w:pPr>
      <w:r>
        <w:t>Australia, Brazil and Thailand was 12.7 kg N ha</w:t>
      </w:r>
      <w:r>
        <w:rPr>
          <w:vertAlign w:val="superscript"/>
        </w:rPr>
        <w:t>-1</w:t>
      </w:r>
      <w:r>
        <w:t xml:space="preserve"> yr</w:t>
      </w:r>
      <w:r>
        <w:rPr>
          <w:vertAlign w:val="superscript"/>
        </w:rPr>
        <w:t>-1</w:t>
      </w:r>
      <w:r>
        <w:t xml:space="preserve"> on average and was estimated to be </w:t>
      </w:r>
    </w:p>
    <w:p w:rsidR="00A34FF4" w:rsidRDefault="00F85F87" w:rsidP="00F85F87">
      <w:pPr>
        <w:numPr>
          <w:ilvl w:val="0"/>
          <w:numId w:val="11"/>
        </w:numPr>
        <w:spacing w:after="0" w:line="627" w:lineRule="auto"/>
        <w:ind w:hanging="783"/>
      </w:pPr>
      <w:r>
        <w:t>approximately one-third of the losses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(van Kessel et al</w:t>
      </w:r>
      <w:r>
        <w:t xml:space="preserve">., 2009). To our knowledge, it is </w:t>
      </w:r>
      <w:r>
        <w:rPr>
          <w:rFonts w:ascii="Carlito" w:eastAsia="Carlito" w:hAnsi="Carlito" w:cs="Carlito"/>
        </w:rPr>
        <w:t xml:space="preserve">107 </w:t>
      </w:r>
      <w:r>
        <w:t>unclear how DON leaches and accumulates in the red-soil regoliths in China.</w:t>
      </w:r>
    </w:p>
    <w:p w:rsidR="00A34FF4" w:rsidRDefault="00F85F87" w:rsidP="00F85F87">
      <w:pPr>
        <w:numPr>
          <w:ilvl w:val="0"/>
          <w:numId w:val="12"/>
        </w:numPr>
        <w:ind w:hanging="889"/>
      </w:pPr>
      <w:r>
        <w:t xml:space="preserve">The aims of this study were to investigate whether or not dissolved N accumulates at depth in the </w:t>
      </w:r>
    </w:p>
    <w:p w:rsidR="00A34FF4" w:rsidRDefault="00F85F87" w:rsidP="00F85F87">
      <w:pPr>
        <w:numPr>
          <w:ilvl w:val="0"/>
          <w:numId w:val="12"/>
        </w:numPr>
        <w:ind w:hanging="889"/>
      </w:pPr>
      <w:r>
        <w:t>red-soil regolith under different land uses</w:t>
      </w:r>
      <w:r>
        <w:t xml:space="preserve"> in humid regions of China, and attempt to relate regolith </w:t>
      </w:r>
    </w:p>
    <w:p w:rsidR="00A34FF4" w:rsidRDefault="00F85F87" w:rsidP="00F85F87">
      <w:pPr>
        <w:numPr>
          <w:ilvl w:val="0"/>
          <w:numId w:val="12"/>
        </w:numPr>
        <w:spacing w:after="352"/>
        <w:ind w:hanging="889"/>
      </w:pPr>
      <w:r>
        <w:t xml:space="preserve">porosity to dissolved N accumulation. We hypothesized that dissolved N accumulation is present at </w:t>
      </w:r>
      <w:r>
        <w:rPr>
          <w:rFonts w:ascii="Carlito" w:eastAsia="Carlito" w:hAnsi="Carlito" w:cs="Carlito"/>
        </w:rPr>
        <w:t>111</w:t>
      </w:r>
      <w:r>
        <w:rPr>
          <w:rFonts w:ascii="Carlito" w:eastAsia="Carlito" w:hAnsi="Carlito" w:cs="Carlito"/>
        </w:rPr>
        <w:tab/>
      </w:r>
      <w:r>
        <w:t>depth in the regolith and differs among land uses in humid regions.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lastRenderedPageBreak/>
        <w:t>112</w:t>
      </w:r>
    </w:p>
    <w:p w:rsidR="00A34FF4" w:rsidRDefault="00F85F87" w:rsidP="00F85F87">
      <w:pPr>
        <w:numPr>
          <w:ilvl w:val="0"/>
          <w:numId w:val="13"/>
        </w:numPr>
        <w:spacing w:after="360" w:line="284" w:lineRule="auto"/>
        <w:ind w:hanging="889"/>
      </w:pPr>
      <w:r>
        <w:rPr>
          <w:b/>
        </w:rPr>
        <w:t>2.</w:t>
      </w:r>
      <w:r>
        <w:rPr>
          <w:b/>
        </w:rPr>
        <w:tab/>
        <w:t>Materials and metho</w:t>
      </w:r>
      <w:r>
        <w:rPr>
          <w:b/>
        </w:rPr>
        <w:t>ds</w:t>
      </w:r>
    </w:p>
    <w:p w:rsidR="00A34FF4" w:rsidRDefault="00F85F87" w:rsidP="00F85F87">
      <w:pPr>
        <w:numPr>
          <w:ilvl w:val="0"/>
          <w:numId w:val="13"/>
        </w:numPr>
        <w:spacing w:after="360" w:line="286" w:lineRule="auto"/>
        <w:ind w:hanging="889"/>
      </w:pPr>
      <w:r>
        <w:rPr>
          <w:i/>
        </w:rPr>
        <w:t>2.1. Field site description</w:t>
      </w:r>
    </w:p>
    <w:p w:rsidR="00A34FF4" w:rsidRDefault="00F85F87" w:rsidP="00F85F87">
      <w:pPr>
        <w:numPr>
          <w:ilvl w:val="0"/>
          <w:numId w:val="13"/>
        </w:numPr>
        <w:ind w:hanging="889"/>
      </w:pPr>
      <w:r>
        <w:t xml:space="preserve">The study sites were located in the Sunjia Red Soil Critical Zone Observatory (CZO), 4 km from </w:t>
      </w:r>
    </w:p>
    <w:p w:rsidR="00A34FF4" w:rsidRDefault="00F85F87" w:rsidP="00F85F87">
      <w:pPr>
        <w:numPr>
          <w:ilvl w:val="0"/>
          <w:numId w:val="13"/>
        </w:numPr>
        <w:ind w:hanging="889"/>
      </w:pPr>
      <w:r>
        <w:t xml:space="preserve">the Ecological Experimental Station of Red Soil, Chinese Academy of Sciences </w:t>
      </w:r>
      <w:r>
        <w:t>(28°15′N,</w:t>
      </w:r>
      <w:r>
        <w:t xml:space="preserve"> </w:t>
      </w:r>
    </w:p>
    <w:p w:rsidR="00A34FF4" w:rsidRDefault="00F85F87" w:rsidP="00F85F87">
      <w:pPr>
        <w:numPr>
          <w:ilvl w:val="0"/>
          <w:numId w:val="13"/>
        </w:numPr>
        <w:ind w:hanging="889"/>
      </w:pPr>
      <w:r>
        <w:t>116°55′E),</w:t>
      </w:r>
      <w:r>
        <w:t xml:space="preserve"> Jiangxi Province, China. The C</w:t>
      </w:r>
      <w:r>
        <w:t xml:space="preserve">ZO is a 50-ha watershed and has been established </w:t>
      </w:r>
    </w:p>
    <w:p w:rsidR="00A34FF4" w:rsidRDefault="00F85F87" w:rsidP="00F85F87">
      <w:pPr>
        <w:numPr>
          <w:ilvl w:val="0"/>
          <w:numId w:val="13"/>
        </w:numPr>
        <w:ind w:hanging="889"/>
      </w:pPr>
      <w:r>
        <w:t xml:space="preserve">according to CZO protocol (Chorover et al., 2015) by installing comprehensive field observation </w:t>
      </w:r>
    </w:p>
    <w:p w:rsidR="00A34FF4" w:rsidRDefault="00F85F87" w:rsidP="00F85F87">
      <w:pPr>
        <w:numPr>
          <w:ilvl w:val="0"/>
          <w:numId w:val="13"/>
        </w:numPr>
        <w:spacing w:after="0" w:line="618" w:lineRule="auto"/>
        <w:ind w:hanging="889"/>
      </w:pPr>
      <w:r>
        <w:t xml:space="preserve">instruments. The main land uses in the CZO includes upland (rain-fed crop land), paddy fields and </w:t>
      </w:r>
      <w:r>
        <w:rPr>
          <w:rFonts w:ascii="Carlito" w:eastAsia="Carlito" w:hAnsi="Carlito" w:cs="Carlito"/>
        </w:rPr>
        <w:t xml:space="preserve">120 </w:t>
      </w:r>
      <w:r>
        <w:t>woodland (Fig. 1a). Peanut (</w:t>
      </w:r>
      <w:r>
        <w:rPr>
          <w:i/>
        </w:rPr>
        <w:t>Arachis hypogaea</w:t>
      </w:r>
      <w:r>
        <w:t>) was the main crop in the upland except for the long</w:t>
      </w:r>
      <w:r>
        <w:rPr>
          <w:rFonts w:ascii="Carlito" w:eastAsia="Carlito" w:hAnsi="Carlito" w:cs="Carlito"/>
        </w:rPr>
        <w:t xml:space="preserve">121 </w:t>
      </w:r>
      <w:r>
        <w:t xml:space="preserve">abandoned upland area associated with drilling site #2 (Fig. 1a and Table 1) with grasses including </w:t>
      </w:r>
    </w:p>
    <w:p w:rsidR="00A34FF4" w:rsidRDefault="00F85F87" w:rsidP="00F85F87">
      <w:pPr>
        <w:numPr>
          <w:ilvl w:val="0"/>
          <w:numId w:val="14"/>
        </w:numPr>
        <w:ind w:hanging="679"/>
      </w:pPr>
      <w:r>
        <w:t>Bermuda grass (</w:t>
      </w:r>
      <w:r>
        <w:rPr>
          <w:i/>
        </w:rPr>
        <w:t>Cynodon dactylon</w:t>
      </w:r>
      <w:r>
        <w:t>), goosegrass (</w:t>
      </w:r>
      <w:r>
        <w:rPr>
          <w:i/>
        </w:rPr>
        <w:t>Eleusine indica</w:t>
      </w:r>
      <w:r>
        <w:t>), green spurge (</w:t>
      </w:r>
      <w:r>
        <w:rPr>
          <w:i/>
        </w:rPr>
        <w:t>Euphorbia esula</w:t>
      </w:r>
      <w:r>
        <w:t xml:space="preserve">) </w:t>
      </w:r>
    </w:p>
    <w:p w:rsidR="00A34FF4" w:rsidRDefault="00F85F87" w:rsidP="00F85F87">
      <w:pPr>
        <w:numPr>
          <w:ilvl w:val="0"/>
          <w:numId w:val="14"/>
        </w:numPr>
        <w:ind w:hanging="679"/>
      </w:pPr>
      <w:r>
        <w:t>and horseweed (</w:t>
      </w:r>
      <w:r>
        <w:rPr>
          <w:i/>
        </w:rPr>
        <w:t>Erigeron canadensis</w:t>
      </w:r>
      <w:r>
        <w:t>) present. The paddy fields had a double-rice (</w:t>
      </w:r>
      <w:r>
        <w:rPr>
          <w:i/>
        </w:rPr>
        <w:t>Oryza sativa</w:t>
      </w:r>
      <w:r>
        <w:t xml:space="preserve"> L.) </w:t>
      </w:r>
    </w:p>
    <w:p w:rsidR="00A34FF4" w:rsidRDefault="00F85F87" w:rsidP="00F85F87">
      <w:pPr>
        <w:numPr>
          <w:ilvl w:val="0"/>
          <w:numId w:val="14"/>
        </w:numPr>
        <w:ind w:hanging="679"/>
      </w:pPr>
      <w:r>
        <w:t xml:space="preserve">cropping system and were either young paddy fields that have been cultivated for about 20 years or </w:t>
      </w:r>
    </w:p>
    <w:p w:rsidR="00A34FF4" w:rsidRDefault="00F85F87" w:rsidP="00F85F87">
      <w:pPr>
        <w:numPr>
          <w:ilvl w:val="0"/>
          <w:numId w:val="14"/>
        </w:numPr>
        <w:ind w:hanging="679"/>
      </w:pPr>
      <w:r>
        <w:t>old pad</w:t>
      </w:r>
      <w:r>
        <w:t xml:space="preserve">dy fields that have been cultivated for more than 100 years. The main tree species in the </w:t>
      </w:r>
    </w:p>
    <w:p w:rsidR="00A34FF4" w:rsidRDefault="00F85F87" w:rsidP="00F85F87">
      <w:pPr>
        <w:numPr>
          <w:ilvl w:val="0"/>
          <w:numId w:val="14"/>
        </w:numPr>
        <w:ind w:hanging="679"/>
      </w:pPr>
      <w:r>
        <w:t>woodland area were camphor (</w:t>
      </w:r>
      <w:r>
        <w:rPr>
          <w:i/>
        </w:rPr>
        <w:t>Cinnamomum camphora</w:t>
      </w:r>
      <w:r>
        <w:t>) and masson pine (</w:t>
      </w:r>
      <w:r>
        <w:rPr>
          <w:i/>
        </w:rPr>
        <w:t>Pinus massoniana</w:t>
      </w:r>
      <w:r>
        <w:t xml:space="preserve">) that </w:t>
      </w:r>
    </w:p>
    <w:p w:rsidR="00A34FF4" w:rsidRDefault="00F85F87" w:rsidP="00F85F87">
      <w:pPr>
        <w:numPr>
          <w:ilvl w:val="0"/>
          <w:numId w:val="14"/>
        </w:numPr>
        <w:ind w:hanging="679"/>
      </w:pPr>
      <w:r>
        <w:t xml:space="preserve">were older than 30 years. The CZO has a subtropical monsoon climate with a </w:t>
      </w:r>
      <w:r>
        <w:t xml:space="preserve">mean annual </w:t>
      </w:r>
    </w:p>
    <w:p w:rsidR="00A34FF4" w:rsidRDefault="00F85F87" w:rsidP="00F85F87">
      <w:pPr>
        <w:numPr>
          <w:ilvl w:val="0"/>
          <w:numId w:val="14"/>
        </w:numPr>
        <w:ind w:hanging="679"/>
      </w:pPr>
      <w:r>
        <w:t xml:space="preserve">temperature of 17.8 </w:t>
      </w:r>
      <w:r>
        <w:rPr>
          <w:vertAlign w:val="superscript"/>
        </w:rPr>
        <w:t>o</w:t>
      </w:r>
      <w:r>
        <w:t xml:space="preserve">C, mean annual precipitation of 1795 mm and mean annual potential </w:t>
      </w:r>
    </w:p>
    <w:p w:rsidR="00A34FF4" w:rsidRDefault="00F85F87" w:rsidP="00F85F87">
      <w:pPr>
        <w:numPr>
          <w:ilvl w:val="0"/>
          <w:numId w:val="14"/>
        </w:numPr>
        <w:spacing w:after="0" w:line="618" w:lineRule="auto"/>
        <w:ind w:hanging="679"/>
      </w:pPr>
      <w:r>
        <w:t>evapotranspiration of 1229 mm (1954</w:t>
      </w:r>
      <w:r>
        <w:rPr>
          <w:color w:val="231F20"/>
        </w:rPr>
        <w:t>–</w:t>
      </w:r>
      <w:r>
        <w:t xml:space="preserve">1999) (Gao et al., 2016). The CZO is developed from </w:t>
      </w:r>
      <w:r>
        <w:rPr>
          <w:rFonts w:ascii="Carlito" w:eastAsia="Carlito" w:hAnsi="Carlito" w:cs="Carlito"/>
        </w:rPr>
        <w:t xml:space="preserve">130 </w:t>
      </w:r>
      <w:r>
        <w:t>Quaternary red clay and weathered Cretaceous sandstone underlai</w:t>
      </w:r>
      <w:r>
        <w:t>n by sandstone bedrock.</w:t>
      </w:r>
    </w:p>
    <w:p w:rsidR="00A34FF4" w:rsidRDefault="00F85F87" w:rsidP="00F85F87">
      <w:pPr>
        <w:numPr>
          <w:ilvl w:val="0"/>
          <w:numId w:val="15"/>
        </w:numPr>
        <w:spacing w:after="360" w:line="286" w:lineRule="auto"/>
        <w:ind w:hanging="679"/>
        <w:jc w:val="left"/>
      </w:pPr>
      <w:r>
        <w:rPr>
          <w:i/>
        </w:rPr>
        <w:t>2.2. Drilling, sampling and monitoring</w:t>
      </w:r>
    </w:p>
    <w:p w:rsidR="00A34FF4" w:rsidRDefault="00F85F87" w:rsidP="00F85F87">
      <w:pPr>
        <w:numPr>
          <w:ilvl w:val="0"/>
          <w:numId w:val="15"/>
        </w:numPr>
        <w:ind w:hanging="679"/>
        <w:jc w:val="left"/>
      </w:pPr>
      <w:r>
        <w:lastRenderedPageBreak/>
        <w:t xml:space="preserve">Drilling was conducted at the Red Soil CZO by the local geological survey group of Jiangxi using </w:t>
      </w:r>
      <w:r>
        <w:rPr>
          <w:rFonts w:ascii="Carlito" w:eastAsia="Carlito" w:hAnsi="Carlito" w:cs="Carlito"/>
        </w:rPr>
        <w:t>133</w:t>
      </w:r>
      <w:r>
        <w:rPr>
          <w:rFonts w:ascii="Carlito" w:eastAsia="Carlito" w:hAnsi="Carlito" w:cs="Carlito"/>
        </w:rPr>
        <w:tab/>
      </w:r>
      <w:r>
        <w:t>a hydraulic rotary drill fitted with diamond-impregnated drill bits (130 mm diameter). Eight</w:t>
      </w:r>
      <w:r>
        <w:t xml:space="preserve"> 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134 </w:t>
      </w:r>
      <w:r>
        <w:t>boreholes covered different land uses including cultivated upland (#1, #4, #5 and #8), long</w:t>
      </w:r>
      <w:r>
        <w:rPr>
          <w:rFonts w:ascii="Carlito" w:eastAsia="Carlito" w:hAnsi="Carlito" w:cs="Carlito"/>
        </w:rPr>
        <w:t xml:space="preserve">135 </w:t>
      </w:r>
      <w:r>
        <w:t xml:space="preserve">abandoned upland (#2), young paddy field (#3), old paddy field (#7) and woodland (#6) (Fig. 1a </w:t>
      </w:r>
    </w:p>
    <w:p w:rsidR="00A34FF4" w:rsidRDefault="00F85F87" w:rsidP="00F85F87">
      <w:pPr>
        <w:numPr>
          <w:ilvl w:val="0"/>
          <w:numId w:val="16"/>
        </w:numPr>
        <w:ind w:hanging="679"/>
      </w:pPr>
      <w:r>
        <w:t>and Table 1). The longitude and latitude data, slope positi</w:t>
      </w:r>
      <w:r>
        <w:t xml:space="preserve">ons, elevations and borehole depths of the </w:t>
      </w:r>
    </w:p>
    <w:p w:rsidR="00A34FF4" w:rsidRDefault="00F85F87" w:rsidP="00F85F87">
      <w:pPr>
        <w:numPr>
          <w:ilvl w:val="0"/>
          <w:numId w:val="16"/>
        </w:numPr>
        <w:ind w:hanging="679"/>
      </w:pPr>
      <w:r>
        <w:t xml:space="preserve">eight boreholes are listed in Table 1. Drilling for sites #1 to #5 and sites #6 to #8 was carried out in </w:t>
      </w:r>
    </w:p>
    <w:p w:rsidR="00A34FF4" w:rsidRDefault="00F85F87" w:rsidP="00F85F87">
      <w:pPr>
        <w:numPr>
          <w:ilvl w:val="0"/>
          <w:numId w:val="16"/>
        </w:numPr>
        <w:ind w:hanging="679"/>
      </w:pPr>
      <w:r>
        <w:t xml:space="preserve">April and November 2016, respectively. Due to expense, drilling was conducted in limited locations, </w:t>
      </w:r>
    </w:p>
    <w:p w:rsidR="00A34FF4" w:rsidRDefault="00F85F87" w:rsidP="00F85F87">
      <w:pPr>
        <w:numPr>
          <w:ilvl w:val="0"/>
          <w:numId w:val="16"/>
        </w:numPr>
        <w:ind w:hanging="679"/>
      </w:pPr>
      <w:r>
        <w:t>espec</w:t>
      </w:r>
      <w:r>
        <w:t xml:space="preserve">ially in the paddy field with the heavy equipment, and thus more drillings were conducted on </w:t>
      </w:r>
    </w:p>
    <w:p w:rsidR="00A34FF4" w:rsidRDefault="00F85F87" w:rsidP="00F85F87">
      <w:pPr>
        <w:numPr>
          <w:ilvl w:val="0"/>
          <w:numId w:val="16"/>
        </w:numPr>
        <w:ind w:hanging="679"/>
      </w:pPr>
      <w:r>
        <w:t xml:space="preserve">the upland accounting for 47% of the total area of the CZO. Nitrate N was expected to most greatly </w:t>
      </w:r>
    </w:p>
    <w:p w:rsidR="00A34FF4" w:rsidRDefault="00F85F87" w:rsidP="00F85F87">
      <w:pPr>
        <w:numPr>
          <w:ilvl w:val="0"/>
          <w:numId w:val="16"/>
        </w:numPr>
        <w:ind w:hanging="679"/>
      </w:pPr>
      <w:r>
        <w:t>accumulate in the upland among studied land uses when consider</w:t>
      </w:r>
      <w:r>
        <w:t xml:space="preserve">ing strong denitrification and </w:t>
      </w:r>
    </w:p>
    <w:p w:rsidR="00A34FF4" w:rsidRDefault="00F85F87" w:rsidP="00F85F87">
      <w:pPr>
        <w:numPr>
          <w:ilvl w:val="0"/>
          <w:numId w:val="16"/>
        </w:numPr>
        <w:spacing w:after="0" w:line="618" w:lineRule="auto"/>
        <w:ind w:hanging="679"/>
      </w:pPr>
      <w:r>
        <w:t xml:space="preserve">ammonia volatilization in the paddy field and no direct fertilizer N inputs in the woodland. Therefore, </w:t>
      </w:r>
      <w:r>
        <w:rPr>
          <w:rFonts w:ascii="Carlito" w:eastAsia="Carlito" w:hAnsi="Carlito" w:cs="Carlito"/>
        </w:rPr>
        <w:t xml:space="preserve">143 </w:t>
      </w:r>
      <w:r>
        <w:t xml:space="preserve">there were four replicate drillings for the upland and no replication in paddy field and woodland. </w:t>
      </w:r>
    </w:p>
    <w:p w:rsidR="00A34FF4" w:rsidRDefault="00F85F87" w:rsidP="00F85F87">
      <w:pPr>
        <w:numPr>
          <w:ilvl w:val="0"/>
          <w:numId w:val="17"/>
        </w:numPr>
        <w:ind w:hanging="679"/>
      </w:pPr>
      <w:r>
        <w:t xml:space="preserve">The drill core samples were collected from a depth of about 1 m to the depths of the underlying </w:t>
      </w:r>
    </w:p>
    <w:p w:rsidR="00A34FF4" w:rsidRDefault="00F85F87" w:rsidP="00F85F87">
      <w:pPr>
        <w:numPr>
          <w:ilvl w:val="0"/>
          <w:numId w:val="17"/>
        </w:numPr>
        <w:ind w:hanging="679"/>
      </w:pPr>
      <w:r>
        <w:t xml:space="preserve">bedrock. Core samples were divided into smaller intervals of about 20 cm in length. The drilling </w:t>
      </w:r>
    </w:p>
    <w:p w:rsidR="00A34FF4" w:rsidRDefault="00F85F87" w:rsidP="00F85F87">
      <w:pPr>
        <w:numPr>
          <w:ilvl w:val="0"/>
          <w:numId w:val="17"/>
        </w:numPr>
        <w:ind w:hanging="679"/>
      </w:pPr>
      <w:r>
        <w:t>sites and observations are summarized in Table 1. Samples fro</w:t>
      </w:r>
      <w:r>
        <w:t>m 0</w:t>
      </w:r>
      <w:r>
        <w:rPr>
          <w:color w:val="231F20"/>
        </w:rPr>
        <w:t xml:space="preserve"> to about </w:t>
      </w:r>
      <w:r>
        <w:t xml:space="preserve">1 m were collected from </w:t>
      </w:r>
    </w:p>
    <w:p w:rsidR="00A34FF4" w:rsidRDefault="00F85F87" w:rsidP="00F85F87">
      <w:pPr>
        <w:numPr>
          <w:ilvl w:val="0"/>
          <w:numId w:val="17"/>
        </w:numPr>
        <w:ind w:hanging="679"/>
      </w:pPr>
      <w:r>
        <w:t xml:space="preserve">hand-dug soil pits because the unconsolidated material at these depths was easily fractured and fell </w:t>
      </w:r>
    </w:p>
    <w:p w:rsidR="00A34FF4" w:rsidRDefault="00F85F87" w:rsidP="00F85F87">
      <w:pPr>
        <w:numPr>
          <w:ilvl w:val="0"/>
          <w:numId w:val="17"/>
        </w:numPr>
        <w:ind w:hanging="679"/>
      </w:pPr>
      <w:r>
        <w:t xml:space="preserve">out of the drill core tube. Samples from the soil pits were collected at approximately 10-cm intervals. </w:t>
      </w:r>
    </w:p>
    <w:p w:rsidR="00A34FF4" w:rsidRDefault="00F85F87" w:rsidP="00F85F87">
      <w:pPr>
        <w:numPr>
          <w:ilvl w:val="0"/>
          <w:numId w:val="17"/>
        </w:numPr>
        <w:ind w:hanging="679"/>
      </w:pPr>
      <w:r>
        <w:t>The Quatern</w:t>
      </w:r>
      <w:r>
        <w:t xml:space="preserve">ary red clay, weathered products of sandstone, and sandstone bedrock samples were </w:t>
      </w:r>
    </w:p>
    <w:p w:rsidR="00A34FF4" w:rsidRDefault="00F85F87" w:rsidP="00F85F87">
      <w:pPr>
        <w:numPr>
          <w:ilvl w:val="0"/>
          <w:numId w:val="17"/>
        </w:numPr>
        <w:ind w:hanging="679"/>
      </w:pPr>
      <w:r>
        <w:t xml:space="preserve">cleaned by removing the outer layer to a depth of 1 cm in order to prevent contamination during </w:t>
      </w:r>
    </w:p>
    <w:p w:rsidR="00A34FF4" w:rsidRDefault="00F85F87" w:rsidP="00F85F87">
      <w:pPr>
        <w:numPr>
          <w:ilvl w:val="0"/>
          <w:numId w:val="17"/>
        </w:numPr>
        <w:spacing w:after="0" w:line="618" w:lineRule="auto"/>
        <w:ind w:hanging="679"/>
      </w:pPr>
      <w:r>
        <w:lastRenderedPageBreak/>
        <w:t>drilling, and were kept in an ice-filled cooler after collection in the fiel</w:t>
      </w:r>
      <w:r>
        <w:t xml:space="preserve">d and during transportation </w:t>
      </w:r>
      <w:r>
        <w:rPr>
          <w:rFonts w:ascii="Carlito" w:eastAsia="Carlito" w:hAnsi="Carlito" w:cs="Carlito"/>
        </w:rPr>
        <w:t>152</w:t>
      </w:r>
      <w:r>
        <w:rPr>
          <w:rFonts w:ascii="Carlito" w:eastAsia="Carlito" w:hAnsi="Carlito" w:cs="Carlito"/>
        </w:rPr>
        <w:tab/>
      </w:r>
      <w:r>
        <w:t xml:space="preserve">to the laboratory. Photographs of undisturbed regolith core samples are presented in Fig. 1c to 1e. </w:t>
      </w:r>
    </w:p>
    <w:p w:rsidR="00A34FF4" w:rsidRDefault="00F85F87" w:rsidP="00F85F87">
      <w:pPr>
        <w:numPr>
          <w:ilvl w:val="0"/>
          <w:numId w:val="18"/>
        </w:numPr>
        <w:ind w:hanging="679"/>
      </w:pPr>
      <w:r>
        <w:t xml:space="preserve">Each sample was subsampled for air-dried and field-moist samples for different physicochemical </w:t>
      </w:r>
    </w:p>
    <w:p w:rsidR="00A34FF4" w:rsidRDefault="00F85F87" w:rsidP="00F85F87">
      <w:pPr>
        <w:numPr>
          <w:ilvl w:val="0"/>
          <w:numId w:val="18"/>
        </w:numPr>
        <w:ind w:hanging="679"/>
      </w:pPr>
      <w:r>
        <w:t xml:space="preserve">property measurements. For micro-Computed Tomography </w:t>
      </w:r>
      <w:r>
        <w:t>(μ-CT)</w:t>
      </w:r>
      <w:r>
        <w:t xml:space="preserve"> scanning and bulk density </w:t>
      </w:r>
      <w:r>
        <w:rPr>
          <w:rFonts w:ascii="Carlito" w:eastAsia="Carlito" w:hAnsi="Carlito" w:cs="Carlito"/>
        </w:rPr>
        <w:t>155</w:t>
      </w:r>
      <w:r>
        <w:rPr>
          <w:rFonts w:ascii="Carlito" w:eastAsia="Carlito" w:hAnsi="Carlito" w:cs="Carlito"/>
        </w:rPr>
        <w:tab/>
      </w:r>
      <w:r>
        <w:t xml:space="preserve">measurements, undisturbed regolith samples were obtained using polyvinyl chloride tubes, 5 cm in </w:t>
      </w:r>
    </w:p>
    <w:p w:rsidR="00A34FF4" w:rsidRDefault="00F85F87" w:rsidP="00F85F87">
      <w:pPr>
        <w:numPr>
          <w:ilvl w:val="0"/>
          <w:numId w:val="19"/>
        </w:numPr>
        <w:ind w:hanging="889"/>
      </w:pPr>
      <w:r>
        <w:t>diameter by 5 cm long, in the 1-m deep soil pits. Below 1 m, the reg</w:t>
      </w:r>
      <w:r>
        <w:t xml:space="preserve">olith core was cut into blocks </w:t>
      </w:r>
    </w:p>
    <w:p w:rsidR="00A34FF4" w:rsidRDefault="00F85F87" w:rsidP="00F85F87">
      <w:pPr>
        <w:numPr>
          <w:ilvl w:val="0"/>
          <w:numId w:val="19"/>
        </w:numPr>
        <w:ind w:hanging="889"/>
      </w:pPr>
      <w:r>
        <w:t xml:space="preserve">of size with a few centimetres in three dimensions (Table S1) for </w:t>
      </w:r>
      <w:r>
        <w:t>μ-CT</w:t>
      </w:r>
      <w:r>
        <w:t xml:space="preserve"> scanning and bulk density </w:t>
      </w:r>
    </w:p>
    <w:p w:rsidR="00A34FF4" w:rsidRDefault="00F85F87" w:rsidP="00F85F87">
      <w:pPr>
        <w:numPr>
          <w:ilvl w:val="0"/>
          <w:numId w:val="19"/>
        </w:numPr>
        <w:ind w:hanging="889"/>
      </w:pPr>
      <w:r>
        <w:t>measurements.</w:t>
      </w:r>
    </w:p>
    <w:p w:rsidR="00A34FF4" w:rsidRDefault="00F85F87" w:rsidP="00F85F87">
      <w:pPr>
        <w:numPr>
          <w:ilvl w:val="0"/>
          <w:numId w:val="19"/>
        </w:numPr>
        <w:ind w:hanging="889"/>
      </w:pPr>
      <w:r>
        <w:t xml:space="preserve">During January to December 2017, shallow groundwater samples in the 4- to 6-m depth range </w:t>
      </w:r>
    </w:p>
    <w:p w:rsidR="00A34FF4" w:rsidRDefault="00F85F87" w:rsidP="00F85F87">
      <w:pPr>
        <w:numPr>
          <w:ilvl w:val="0"/>
          <w:numId w:val="19"/>
        </w:numPr>
        <w:ind w:hanging="889"/>
      </w:pPr>
      <w:r>
        <w:t xml:space="preserve">were collected twice </w:t>
      </w:r>
      <w:r>
        <w:t xml:space="preserve">a month for nitrate N measurements from a well set near to drilling site #5, and </w:t>
      </w:r>
    </w:p>
    <w:p w:rsidR="00A34FF4" w:rsidRDefault="00F85F87" w:rsidP="00F85F87">
      <w:pPr>
        <w:numPr>
          <w:ilvl w:val="0"/>
          <w:numId w:val="19"/>
        </w:numPr>
        <w:spacing w:after="0" w:line="618" w:lineRule="auto"/>
        <w:ind w:hanging="889"/>
      </w:pPr>
      <w:r>
        <w:t xml:space="preserve">were frozen before nitrate analysis. At the well, the groundwater table was monitored by a HOBO </w:t>
      </w:r>
      <w:r>
        <w:rPr>
          <w:rFonts w:ascii="Carlito" w:eastAsia="Carlito" w:hAnsi="Carlito" w:cs="Carlito"/>
        </w:rPr>
        <w:t xml:space="preserve">162 </w:t>
      </w:r>
      <w:r>
        <w:t>water level data logger (Onset Computer Corporation, USA) at 30-min interv</w:t>
      </w:r>
      <w:r>
        <w:t>als.</w:t>
      </w:r>
    </w:p>
    <w:p w:rsidR="00A34FF4" w:rsidRDefault="00F85F87" w:rsidP="00F85F87">
      <w:pPr>
        <w:numPr>
          <w:ilvl w:val="0"/>
          <w:numId w:val="20"/>
        </w:numPr>
        <w:spacing w:after="360" w:line="286" w:lineRule="auto"/>
        <w:ind w:hanging="889"/>
      </w:pPr>
      <w:r>
        <w:rPr>
          <w:i/>
        </w:rPr>
        <w:t>2.3. Physicochemical analyses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 xml:space="preserve">Regolith samples were air-dried, ground in an agate mortar with a pestle, sieved through nylon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 xml:space="preserve">meshes with pore sizes of 2 mm and 0.15 mm, and used for pH, total organic carbon (TOC) and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>total N (TN) analyses. Field-moi</w:t>
      </w:r>
      <w:r>
        <w:t xml:space="preserve">st samples were used for measurements of moisture, dissolved </w:t>
      </w:r>
    </w:p>
    <w:p w:rsidR="00A34FF4" w:rsidRDefault="00F85F87" w:rsidP="00F85F87">
      <w:pPr>
        <w:numPr>
          <w:ilvl w:val="0"/>
          <w:numId w:val="20"/>
        </w:numPr>
        <w:spacing w:after="399"/>
        <w:ind w:hanging="889"/>
      </w:pPr>
      <w:r>
        <w:t>organic carbon (DOC), dissolved total N (DTN), nitrate N (NO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-N) and ammonium N (NH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-N).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>Sample pH</w:t>
      </w:r>
      <w:r>
        <w:rPr>
          <w:vertAlign w:val="subscript"/>
        </w:rPr>
        <w:t>H2O</w:t>
      </w:r>
      <w:r>
        <w:t xml:space="preserve"> was measured in an aqueous suspension (1:2.5 w/v). The TOC and TN analyses were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>conducted by titration after K</w:t>
      </w:r>
      <w:r>
        <w:rPr>
          <w:vertAlign w:val="subscript"/>
        </w:rPr>
        <w:t>2</w:t>
      </w:r>
      <w:r>
        <w:t>Cr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7</w:t>
      </w:r>
      <w:r>
        <w:t>-H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digestion and a correction factor of 1.08 was used for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lastRenderedPageBreak/>
        <w:t xml:space="preserve">TOC calculation. The C/N ratios were calculated based on measured TOC and TN concentrations. </w:t>
      </w:r>
    </w:p>
    <w:p w:rsidR="00A34FF4" w:rsidRDefault="00F85F87" w:rsidP="00F85F87">
      <w:pPr>
        <w:numPr>
          <w:ilvl w:val="0"/>
          <w:numId w:val="20"/>
        </w:numPr>
        <w:spacing w:after="401"/>
        <w:ind w:hanging="889"/>
      </w:pPr>
      <w:r>
        <w:t xml:space="preserve">Moisture was determined by drying at 105 </w:t>
      </w:r>
      <w:r>
        <w:rPr>
          <w:vertAlign w:val="superscript"/>
        </w:rPr>
        <w:t>o</w:t>
      </w:r>
      <w:r>
        <w:t>C for 8 h. The DOC c</w:t>
      </w:r>
      <w:r>
        <w:t xml:space="preserve">oncentration, extracted with 0.5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>M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(1:5 w/v), was measured with a TOC/TN analyzer (multi N/C® 3100, Analytik Jena,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>Germany) (Jones and Willett, 2006). The DTN,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and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concentrations, extracted with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>2 M KCl (1:10 w/v), were measured with</w:t>
      </w:r>
      <w:r>
        <w:t xml:space="preserve"> a Continuous Flow Analyzer (San</w:t>
      </w:r>
      <w:r>
        <w:rPr>
          <w:vertAlign w:val="superscript"/>
        </w:rPr>
        <w:t>++</w:t>
      </w:r>
      <w:r>
        <w:t xml:space="preserve"> System, Skalar, The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 xml:space="preserve">Netherlands) (Jones and Willett, 2006). The DON concentration was calculated as the difference </w:t>
      </w:r>
    </w:p>
    <w:p w:rsidR="00A34FF4" w:rsidRDefault="00F85F87" w:rsidP="00F85F87">
      <w:pPr>
        <w:numPr>
          <w:ilvl w:val="0"/>
          <w:numId w:val="20"/>
        </w:numPr>
        <w:ind w:hanging="889"/>
      </w:pPr>
      <w:r>
        <w:t>between the DTN and dissolved inorganic N (NO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and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-N) concentrations. The </w:t>
      </w:r>
      <w:r>
        <w:rPr>
          <w:rFonts w:ascii="Carlito" w:eastAsia="Carlito" w:hAnsi="Carlito" w:cs="Carlito"/>
        </w:rPr>
        <w:t>177</w:t>
      </w:r>
      <w:r>
        <w:rPr>
          <w:rFonts w:ascii="Carlito" w:eastAsia="Carlito" w:hAnsi="Carlito" w:cs="Carlito"/>
        </w:rPr>
        <w:tab/>
      </w:r>
      <w:r>
        <w:t xml:space="preserve">groundwater samples were filtered through quantitative filter paper and then nitrate N concentration </w:t>
      </w:r>
    </w:p>
    <w:p w:rsidR="00A34FF4" w:rsidRDefault="00F85F87" w:rsidP="00F85F87">
      <w:pPr>
        <w:numPr>
          <w:ilvl w:val="0"/>
          <w:numId w:val="21"/>
        </w:numPr>
        <w:ind w:hanging="679"/>
      </w:pPr>
      <w:r>
        <w:t xml:space="preserve">in the groundwater was measured with the Continuous Flow Analyzer. Bulk density of undisturbed </w:t>
      </w:r>
    </w:p>
    <w:p w:rsidR="00A34FF4" w:rsidRDefault="00F85F87" w:rsidP="00F85F87">
      <w:pPr>
        <w:numPr>
          <w:ilvl w:val="0"/>
          <w:numId w:val="21"/>
        </w:numPr>
        <w:ind w:hanging="679"/>
      </w:pPr>
      <w:r>
        <w:t>regolith samples was determined using an oven-drying metho</w:t>
      </w:r>
      <w:r>
        <w:t xml:space="preserve">d and a wax-coating method (Peng et </w:t>
      </w:r>
    </w:p>
    <w:p w:rsidR="00A34FF4" w:rsidRDefault="00F85F87" w:rsidP="00F85F87">
      <w:pPr>
        <w:numPr>
          <w:ilvl w:val="0"/>
          <w:numId w:val="21"/>
        </w:numPr>
        <w:spacing w:after="0" w:line="628" w:lineRule="auto"/>
        <w:ind w:hanging="679"/>
      </w:pPr>
      <w:r>
        <w:t>al., 2003)</w:t>
      </w:r>
      <w:r>
        <w:rPr>
          <w:vertAlign w:val="superscript"/>
        </w:rPr>
        <w:t xml:space="preserve"> </w:t>
      </w:r>
      <w:r>
        <w:t xml:space="preserve">and used to calculate the volumetric inventory of dissolved N. Bulk density results are </w:t>
      </w:r>
      <w:r>
        <w:rPr>
          <w:rFonts w:ascii="Carlito" w:eastAsia="Carlito" w:hAnsi="Carlito" w:cs="Carlito"/>
        </w:rPr>
        <w:t xml:space="preserve">181 </w:t>
      </w:r>
      <w:r>
        <w:t>shown in Fig. S1.</w:t>
      </w:r>
    </w:p>
    <w:p w:rsidR="00A34FF4" w:rsidRDefault="00F85F87" w:rsidP="00F85F87">
      <w:pPr>
        <w:numPr>
          <w:ilvl w:val="0"/>
          <w:numId w:val="22"/>
        </w:numPr>
        <w:ind w:hanging="889"/>
      </w:pPr>
      <w:r>
        <w:t xml:space="preserve">Quality control for TOC and TN measurements was through analysis of certified reference </w:t>
      </w:r>
    </w:p>
    <w:p w:rsidR="00A34FF4" w:rsidRDefault="00F85F87" w:rsidP="00F85F87">
      <w:pPr>
        <w:numPr>
          <w:ilvl w:val="0"/>
          <w:numId w:val="22"/>
        </w:numPr>
        <w:ind w:hanging="889"/>
      </w:pPr>
      <w:r>
        <w:t>materials</w:t>
      </w:r>
      <w:r>
        <w:t xml:space="preserve"> for agricultural soils (GBW07414 and GBW07415) (Institute of Geophysical and </w:t>
      </w:r>
    </w:p>
    <w:p w:rsidR="00A34FF4" w:rsidRDefault="00F85F87" w:rsidP="00F85F87">
      <w:pPr>
        <w:numPr>
          <w:ilvl w:val="0"/>
          <w:numId w:val="22"/>
        </w:numPr>
        <w:ind w:hanging="889"/>
      </w:pPr>
      <w:r>
        <w:t xml:space="preserve">Geochemical Exploration, Chinese Academy of Geological Sciences). Quality control for DTN, </w:t>
      </w:r>
    </w:p>
    <w:p w:rsidR="00A34FF4" w:rsidRDefault="00F85F87" w:rsidP="00F85F87">
      <w:pPr>
        <w:numPr>
          <w:ilvl w:val="0"/>
          <w:numId w:val="22"/>
        </w:numPr>
        <w:ind w:hanging="889"/>
      </w:pPr>
      <w:r>
        <w:t>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-N,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and DOC analyses was by analysis of certified reference materials for </w:t>
      </w:r>
      <w:r>
        <w:t xml:space="preserve">water (GSB </w:t>
      </w:r>
    </w:p>
    <w:p w:rsidR="00A34FF4" w:rsidRDefault="00F85F87" w:rsidP="00F85F87">
      <w:pPr>
        <w:numPr>
          <w:ilvl w:val="0"/>
          <w:numId w:val="22"/>
        </w:numPr>
        <w:ind w:hanging="889"/>
      </w:pPr>
      <w:r>
        <w:t xml:space="preserve">07-3168-2014, GSB 07-3166-2014, GSB 07-3164-2014, GSB 07-1967-2005) (Institute for </w:t>
      </w:r>
    </w:p>
    <w:p w:rsidR="00A34FF4" w:rsidRDefault="00F85F87" w:rsidP="00F85F87">
      <w:pPr>
        <w:numPr>
          <w:ilvl w:val="0"/>
          <w:numId w:val="22"/>
        </w:numPr>
        <w:ind w:hanging="889"/>
      </w:pPr>
      <w:r>
        <w:t xml:space="preserve">Environmental Reference Materials, Ministry of Environmental Protection of China). Measured </w:t>
      </w:r>
    </w:p>
    <w:p w:rsidR="00A34FF4" w:rsidRDefault="00F85F87" w:rsidP="00F85F87">
      <w:pPr>
        <w:numPr>
          <w:ilvl w:val="0"/>
          <w:numId w:val="22"/>
        </w:numPr>
        <w:spacing w:after="353"/>
        <w:ind w:hanging="889"/>
      </w:pPr>
      <w:r>
        <w:t>data from the reference materials were within 5% of the certified v</w:t>
      </w:r>
      <w:r>
        <w:t xml:space="preserve">alues. Detection limits of analyses </w:t>
      </w:r>
    </w:p>
    <w:p w:rsidR="00A34FF4" w:rsidRDefault="00F85F87" w:rsidP="00F85F87">
      <w:pPr>
        <w:numPr>
          <w:ilvl w:val="0"/>
          <w:numId w:val="22"/>
        </w:numPr>
        <w:spacing w:after="17" w:line="631" w:lineRule="auto"/>
        <w:ind w:hanging="889"/>
      </w:pPr>
      <w:r>
        <w:lastRenderedPageBreak/>
        <w:t>were 0.07 g kg</w:t>
      </w:r>
      <w:r>
        <w:rPr>
          <w:vertAlign w:val="superscript"/>
        </w:rPr>
        <w:t>-1</w:t>
      </w:r>
      <w:r>
        <w:t xml:space="preserve"> for TOC, 0.01 g kg</w:t>
      </w:r>
      <w:r>
        <w:rPr>
          <w:vertAlign w:val="superscript"/>
        </w:rPr>
        <w:t xml:space="preserve">-1 </w:t>
      </w:r>
      <w:r>
        <w:t>for TN, &lt; 0.04 mg L</w:t>
      </w:r>
      <w:r>
        <w:rPr>
          <w:vertAlign w:val="superscript"/>
        </w:rPr>
        <w:t>-1</w:t>
      </w:r>
      <w:r>
        <w:t xml:space="preserve"> for DTN, 0.015 mg L</w:t>
      </w:r>
      <w:r>
        <w:rPr>
          <w:vertAlign w:val="superscript"/>
        </w:rPr>
        <w:t xml:space="preserve">-1 </w:t>
      </w:r>
      <w:r>
        <w:t>for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-N, </w:t>
      </w:r>
      <w:r>
        <w:rPr>
          <w:rFonts w:ascii="Carlito" w:eastAsia="Carlito" w:hAnsi="Carlito" w:cs="Carlito"/>
        </w:rPr>
        <w:t xml:space="preserve">190 </w:t>
      </w:r>
      <w:r>
        <w:t>0.046 mg L</w:t>
      </w:r>
      <w:r>
        <w:rPr>
          <w:vertAlign w:val="superscript"/>
        </w:rPr>
        <w:t xml:space="preserve">-1 </w:t>
      </w:r>
      <w:r>
        <w:t>for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>-N, and 0.4 mg L</w:t>
      </w:r>
      <w:r>
        <w:rPr>
          <w:vertAlign w:val="superscript"/>
        </w:rPr>
        <w:t xml:space="preserve">-1 </w:t>
      </w:r>
      <w:r>
        <w:t>for DOC.</w:t>
      </w:r>
    </w:p>
    <w:p w:rsidR="00A34FF4" w:rsidRDefault="00F85F87" w:rsidP="00F85F87">
      <w:pPr>
        <w:numPr>
          <w:ilvl w:val="0"/>
          <w:numId w:val="23"/>
        </w:numPr>
        <w:spacing w:after="360" w:line="286" w:lineRule="auto"/>
        <w:ind w:hanging="889"/>
      </w:pPr>
      <w:r>
        <w:rPr>
          <w:i/>
        </w:rPr>
        <w:t>2.4. Quantification of total porosity and macroporosity of regolith</w:t>
      </w:r>
    </w:p>
    <w:p w:rsidR="00A34FF4" w:rsidRDefault="00F85F87" w:rsidP="00F85F87">
      <w:pPr>
        <w:numPr>
          <w:ilvl w:val="0"/>
          <w:numId w:val="23"/>
        </w:numPr>
        <w:ind w:hanging="889"/>
      </w:pPr>
      <w:r>
        <w:t xml:space="preserve">Total porosity was estimated from the measured bulk density and particle density of the regolith </w:t>
      </w:r>
    </w:p>
    <w:p w:rsidR="00A34FF4" w:rsidRDefault="00F85F87" w:rsidP="00F85F87">
      <w:pPr>
        <w:numPr>
          <w:ilvl w:val="0"/>
          <w:numId w:val="23"/>
        </w:numPr>
        <w:ind w:hanging="889"/>
      </w:pPr>
      <w:r>
        <w:t>using the equation below: total porosity (%) = (1 - BD</w:t>
      </w:r>
      <w:r>
        <w:rPr>
          <w:vertAlign w:val="subscript"/>
        </w:rPr>
        <w:t xml:space="preserve"> </w:t>
      </w:r>
      <w:r>
        <w:t xml:space="preserve">/ </w:t>
      </w:r>
      <w:r>
        <w:t>ρ)</w:t>
      </w:r>
      <w:r>
        <w:t xml:space="preserve"> × 100, where BD</w:t>
      </w:r>
      <w:r>
        <w:rPr>
          <w:vertAlign w:val="subscript"/>
        </w:rPr>
        <w:t xml:space="preserve"> </w:t>
      </w:r>
      <w:r>
        <w:t xml:space="preserve">was the measured bulk </w:t>
      </w:r>
    </w:p>
    <w:p w:rsidR="00A34FF4" w:rsidRDefault="00F85F87" w:rsidP="00F85F87">
      <w:pPr>
        <w:numPr>
          <w:ilvl w:val="0"/>
          <w:numId w:val="23"/>
        </w:numPr>
        <w:ind w:hanging="889"/>
      </w:pPr>
      <w:r>
        <w:t xml:space="preserve">density (Fig. S1) and </w:t>
      </w:r>
      <w:r>
        <w:t>ρ</w:t>
      </w:r>
      <w:r>
        <w:t xml:space="preserve"> was the particle density of the reg</w:t>
      </w:r>
      <w:r>
        <w:t xml:space="preserve">olith solids which was assumed to be 2.65 </w:t>
      </w:r>
    </w:p>
    <w:p w:rsidR="00A34FF4" w:rsidRDefault="00F85F87" w:rsidP="00F85F87">
      <w:pPr>
        <w:numPr>
          <w:ilvl w:val="0"/>
          <w:numId w:val="23"/>
        </w:numPr>
        <w:spacing w:after="397"/>
        <w:ind w:hanging="889"/>
      </w:pPr>
      <w:r>
        <w:t>g cm</w:t>
      </w:r>
      <w:r>
        <w:rPr>
          <w:vertAlign w:val="superscript"/>
        </w:rPr>
        <w:t>-3</w:t>
      </w:r>
      <w:r>
        <w:t>.</w:t>
      </w:r>
    </w:p>
    <w:p w:rsidR="00A34FF4" w:rsidRDefault="00F85F87" w:rsidP="00F85F87">
      <w:pPr>
        <w:numPr>
          <w:ilvl w:val="0"/>
          <w:numId w:val="23"/>
        </w:numPr>
        <w:ind w:hanging="889"/>
      </w:pPr>
      <w:r>
        <w:t xml:space="preserve">Macroporosity of the regolith was quantified using </w:t>
      </w:r>
      <w:r>
        <w:t>μ-CT</w:t>
      </w:r>
      <w:r>
        <w:t xml:space="preserve"> by the following procedure. Undisturbed </w:t>
      </w:r>
    </w:p>
    <w:p w:rsidR="00A34FF4" w:rsidRDefault="00F85F87" w:rsidP="00F85F87">
      <w:pPr>
        <w:numPr>
          <w:ilvl w:val="0"/>
          <w:numId w:val="23"/>
        </w:numPr>
        <w:ind w:hanging="889"/>
      </w:pPr>
      <w:r>
        <w:t xml:space="preserve">regolith samples were scanned using an industrial Phoenix Nanotom X-ray </w:t>
      </w:r>
      <w:r>
        <w:t>μ-CT</w:t>
      </w:r>
      <w:r>
        <w:t xml:space="preserve"> (GE, Sensing and </w:t>
      </w:r>
    </w:p>
    <w:p w:rsidR="00A34FF4" w:rsidRDefault="00F85F87" w:rsidP="00F85F87">
      <w:pPr>
        <w:numPr>
          <w:ilvl w:val="0"/>
          <w:numId w:val="23"/>
        </w:numPr>
        <w:ind w:hanging="889"/>
      </w:pPr>
      <w:r>
        <w:t>Inspection Te</w:t>
      </w:r>
      <w:r>
        <w:t xml:space="preserve">chnologies, GmbH, Wunstorf, Germany). Samples were scanned at a voltage of 110 </w:t>
      </w:r>
      <w:r>
        <w:rPr>
          <w:rFonts w:ascii="Carlito" w:eastAsia="Carlito" w:hAnsi="Carlito" w:cs="Carlito"/>
        </w:rPr>
        <w:t>199</w:t>
      </w:r>
      <w:r>
        <w:rPr>
          <w:rFonts w:ascii="Carlito" w:eastAsia="Carlito" w:hAnsi="Carlito" w:cs="Carlito"/>
        </w:rPr>
        <w:tab/>
      </w:r>
      <w:r>
        <w:t xml:space="preserve">kV and a current of 100 </w:t>
      </w:r>
      <w:r>
        <w:t>μA,</w:t>
      </w:r>
      <w:r>
        <w:t xml:space="preserve"> and the beam-hardening effect was reduced with a 0.2-mm Cu filter.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 xml:space="preserve">Reconstruction was performed using the Datos|x 2.0 software (GE, Sensing and Inspection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 xml:space="preserve">Technologies, GmbH, Wunstorf, Germany) using the filtered back-projection algorithm. Each voxel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 xml:space="preserve">in the generated slices represented a volume of 25 × 25 × 25 </w:t>
      </w:r>
      <w:r>
        <w:t>μm</w:t>
      </w:r>
      <w:r>
        <w:rPr>
          <w:vertAlign w:val="superscript"/>
        </w:rPr>
        <w:t>3</w:t>
      </w:r>
      <w:r>
        <w:t>. Imag</w:t>
      </w:r>
      <w:r>
        <w:t xml:space="preserve">e processing and visualization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 xml:space="preserve">were performed using the open-source software ImageJ 1.50i (Rasband, 2013). A representative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 xml:space="preserve">region was selected from the central part of the samples to avoid artefacts at the boundary region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>caused by sampling. A three-di</w:t>
      </w:r>
      <w:r>
        <w:t xml:space="preserve">mensional median filter was used to reduce noise before image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 xml:space="preserve">segmentation. The global threshold method was used to segment regolith pores and solids and the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 xml:space="preserve">threshold values were chosen based on visual observation. Macroporosity was calculated as the </w:t>
      </w:r>
    </w:p>
    <w:p w:rsidR="00A34FF4" w:rsidRDefault="00F85F87" w:rsidP="00F85F87">
      <w:pPr>
        <w:numPr>
          <w:ilvl w:val="0"/>
          <w:numId w:val="24"/>
        </w:numPr>
        <w:ind w:hanging="679"/>
      </w:pPr>
      <w:r>
        <w:t>p</w:t>
      </w:r>
      <w:r>
        <w:t xml:space="preserve">ercentage of macropore (&gt; 25 </w:t>
      </w:r>
      <w:r>
        <w:t>μm)</w:t>
      </w:r>
      <w:r>
        <w:t xml:space="preserve"> volume in the total volume of the selected representative region. </w:t>
      </w:r>
    </w:p>
    <w:p w:rsidR="00A34FF4" w:rsidRDefault="00F85F87" w:rsidP="00F85F87">
      <w:pPr>
        <w:numPr>
          <w:ilvl w:val="0"/>
          <w:numId w:val="24"/>
        </w:numPr>
        <w:spacing w:after="0" w:line="618" w:lineRule="auto"/>
        <w:ind w:hanging="679"/>
      </w:pPr>
      <w:r>
        <w:lastRenderedPageBreak/>
        <w:t xml:space="preserve">The sample sizes of the selected representative region are listed in the supplementary data (Table </w:t>
      </w:r>
      <w:r>
        <w:rPr>
          <w:rFonts w:ascii="Carlito" w:eastAsia="Carlito" w:hAnsi="Carlito" w:cs="Carlito"/>
        </w:rPr>
        <w:t xml:space="preserve">210 </w:t>
      </w:r>
      <w:r>
        <w:t xml:space="preserve">S1). Pore-size distribution was calculated using the </w:t>
      </w:r>
      <w:r>
        <w:t>BoneJ Thickness in ImageJ (Doube et al., 2010).</w:t>
      </w:r>
    </w:p>
    <w:p w:rsidR="00A34FF4" w:rsidRDefault="00F85F87" w:rsidP="00F85F87">
      <w:pPr>
        <w:numPr>
          <w:ilvl w:val="0"/>
          <w:numId w:val="25"/>
        </w:numPr>
        <w:spacing w:after="360" w:line="286" w:lineRule="auto"/>
        <w:ind w:hanging="889"/>
      </w:pPr>
      <w:r>
        <w:rPr>
          <w:i/>
        </w:rPr>
        <w:t>2.5. Statistical analyses</w:t>
      </w:r>
    </w:p>
    <w:p w:rsidR="00A34FF4" w:rsidRDefault="00F85F87" w:rsidP="00F85F87">
      <w:pPr>
        <w:numPr>
          <w:ilvl w:val="0"/>
          <w:numId w:val="25"/>
        </w:numPr>
        <w:ind w:hanging="889"/>
      </w:pPr>
      <w:r>
        <w:t xml:space="preserve">Analysis of variance was employed to analyze the statistical significance of physicochemical </w:t>
      </w:r>
    </w:p>
    <w:p w:rsidR="00A34FF4" w:rsidRDefault="00F85F87" w:rsidP="00F85F87">
      <w:pPr>
        <w:numPr>
          <w:ilvl w:val="0"/>
          <w:numId w:val="25"/>
        </w:numPr>
        <w:ind w:hanging="889"/>
      </w:pPr>
      <w:r>
        <w:t xml:space="preserve">properties, dissolved N concentrations, total porosity, macroporosity, and the upland soil N </w:t>
      </w:r>
    </w:p>
    <w:p w:rsidR="00A34FF4" w:rsidRDefault="00F85F87" w:rsidP="00F85F87">
      <w:pPr>
        <w:numPr>
          <w:ilvl w:val="0"/>
          <w:numId w:val="25"/>
        </w:numPr>
        <w:spacing w:after="0" w:line="618" w:lineRule="auto"/>
        <w:ind w:hanging="889"/>
      </w:pPr>
      <w:r>
        <w:t xml:space="preserve">inventories. Multiple comparisons of the mean from the above data were performed using Duncan's </w:t>
      </w:r>
      <w:r>
        <w:rPr>
          <w:rFonts w:ascii="Carlito" w:eastAsia="Carlito" w:hAnsi="Carlito" w:cs="Carlito"/>
        </w:rPr>
        <w:t xml:space="preserve">215 </w:t>
      </w:r>
      <w:r>
        <w:t>multiple range test, and differences were considered significa</w:t>
      </w:r>
      <w:r>
        <w:t>nt at p &lt; 0.05.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216</w:t>
      </w:r>
    </w:p>
    <w:p w:rsidR="00A34FF4" w:rsidRDefault="00F85F87" w:rsidP="00F85F87">
      <w:pPr>
        <w:numPr>
          <w:ilvl w:val="0"/>
          <w:numId w:val="26"/>
        </w:numPr>
        <w:spacing w:after="360" w:line="284" w:lineRule="auto"/>
        <w:ind w:hanging="889"/>
        <w:jc w:val="left"/>
      </w:pPr>
      <w:r>
        <w:rPr>
          <w:b/>
        </w:rPr>
        <w:t>3.</w:t>
      </w:r>
      <w:r>
        <w:rPr>
          <w:b/>
        </w:rPr>
        <w:tab/>
        <w:t>Results</w:t>
      </w:r>
    </w:p>
    <w:p w:rsidR="00A34FF4" w:rsidRDefault="00F85F87" w:rsidP="00F85F87">
      <w:pPr>
        <w:numPr>
          <w:ilvl w:val="0"/>
          <w:numId w:val="26"/>
        </w:numPr>
        <w:spacing w:after="360" w:line="286" w:lineRule="auto"/>
        <w:ind w:hanging="889"/>
        <w:jc w:val="left"/>
      </w:pPr>
      <w:r>
        <w:rPr>
          <w:i/>
        </w:rPr>
        <w:t>3.1. Stratigraphy of the Red Soil Critical Zone</w:t>
      </w:r>
    </w:p>
    <w:p w:rsidR="00A34FF4" w:rsidRDefault="00F85F87" w:rsidP="00F85F87">
      <w:pPr>
        <w:numPr>
          <w:ilvl w:val="0"/>
          <w:numId w:val="26"/>
        </w:numPr>
        <w:ind w:hanging="889"/>
        <w:jc w:val="left"/>
      </w:pPr>
      <w:r>
        <w:t xml:space="preserve">The stratigraphy of the Critical Zone consisted of reticulate red clay between uniform red clay </w:t>
      </w:r>
    </w:p>
    <w:p w:rsidR="00A34FF4" w:rsidRDefault="00F85F87" w:rsidP="00F85F87">
      <w:pPr>
        <w:numPr>
          <w:ilvl w:val="0"/>
          <w:numId w:val="26"/>
        </w:numPr>
        <w:ind w:hanging="889"/>
        <w:jc w:val="left"/>
      </w:pPr>
      <w:r>
        <w:t>and weathered sandstone (Fig. 1b), with the regolith thickness as a whole varyin</w:t>
      </w:r>
      <w:r>
        <w:t xml:space="preserve">g between 3.5 and </w:t>
      </w:r>
      <w:r>
        <w:rPr>
          <w:rFonts w:ascii="Carlito" w:eastAsia="Carlito" w:hAnsi="Carlito" w:cs="Carlito"/>
        </w:rPr>
        <w:t>221</w:t>
      </w:r>
      <w:r>
        <w:rPr>
          <w:rFonts w:ascii="Carlito" w:eastAsia="Carlito" w:hAnsi="Carlito" w:cs="Carlito"/>
        </w:rPr>
        <w:tab/>
      </w:r>
      <w:r>
        <w:t>9.0 m depending on slope position within different land uses (Table 1). The uniform (0.12</w:t>
      </w:r>
      <w:r>
        <w:rPr>
          <w:color w:val="231F20"/>
        </w:rPr>
        <w:t xml:space="preserve"> to </w:t>
      </w:r>
      <w:r>
        <w:t xml:space="preserve">1.95 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222 </w:t>
      </w:r>
      <w:r>
        <w:t>m) and reticulate (1.68</w:t>
      </w:r>
      <w:r>
        <w:rPr>
          <w:color w:val="231F20"/>
        </w:rPr>
        <w:t xml:space="preserve"> to </w:t>
      </w:r>
      <w:r>
        <w:t xml:space="preserve">6.25 m) red clay together comprised the Quaternary red clay with a </w:t>
      </w:r>
      <w:r>
        <w:rPr>
          <w:rFonts w:ascii="Carlito" w:eastAsia="Carlito" w:hAnsi="Carlito" w:cs="Carlito"/>
        </w:rPr>
        <w:t xml:space="preserve">223 </w:t>
      </w:r>
      <w:r>
        <w:t>thickness of 1.8 to 8.2 m. The we</w:t>
      </w:r>
      <w:r>
        <w:t xml:space="preserve">athered sandstone formed a 1.0- to 2.1-m thick layer.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t xml:space="preserve">Variations in TOC, TN, C/N, DOC, pH and moisture content with depth are summarised in Fig.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t xml:space="preserve">2. Under the different land uses (upland, woodland, and young and old paddy fields), TOC and TN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t>concentratio</w:t>
      </w:r>
      <w:r>
        <w:t>ns significantly decreased to less than 2.0 and 0.4 g kg</w:t>
      </w:r>
      <w:r>
        <w:rPr>
          <w:vertAlign w:val="superscript"/>
        </w:rPr>
        <w:t xml:space="preserve"> -1</w:t>
      </w:r>
      <w:r>
        <w:t xml:space="preserve">, respectively, at depths greater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t xml:space="preserve">than 1.0 m (p &lt; 0.01). The C/N ratios changed from 12.4 to 2.0 with depth. The DOC concentration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lastRenderedPageBreak/>
        <w:t xml:space="preserve">showed a similar pattern to that of TOC, but DOC concentrations </w:t>
      </w:r>
      <w:r>
        <w:t xml:space="preserve">were two orders of magnitude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t xml:space="preserve">smaller than those of TOC. The regolith pH varied from 4.1 to 5.8 with depth under different land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t xml:space="preserve">uses. The pH significantly differed in the order of old paddy field &gt; young paddy field &gt; woodland &gt; </w:t>
      </w:r>
    </w:p>
    <w:p w:rsidR="00A34FF4" w:rsidRDefault="00F85F87" w:rsidP="00F85F87">
      <w:pPr>
        <w:numPr>
          <w:ilvl w:val="0"/>
          <w:numId w:val="27"/>
        </w:numPr>
        <w:ind w:hanging="889"/>
      </w:pPr>
      <w:r>
        <w:t xml:space="preserve">upland in the 0- to 4-m depth interval (p &lt; 0.01), and in the order of old paddy field &gt; woodland &gt; </w:t>
      </w:r>
    </w:p>
    <w:p w:rsidR="00A34FF4" w:rsidRDefault="00F85F87" w:rsidP="00F85F87">
      <w:pPr>
        <w:numPr>
          <w:ilvl w:val="0"/>
          <w:numId w:val="27"/>
        </w:numPr>
        <w:spacing w:after="0" w:line="616" w:lineRule="auto"/>
        <w:ind w:hanging="889"/>
      </w:pPr>
      <w:r>
        <w:t xml:space="preserve">young paddy field or upland beneath 4 m (p &lt; 0.01). Moisture content was greater than 20% at </w:t>
      </w:r>
      <w:r>
        <w:rPr>
          <w:rFonts w:ascii="Carlito" w:eastAsia="Carlito" w:hAnsi="Carlito" w:cs="Carlito"/>
        </w:rPr>
        <w:t xml:space="preserve">233 </w:t>
      </w:r>
      <w:r>
        <w:t>almost all depths.</w:t>
      </w:r>
    </w:p>
    <w:p w:rsidR="00A34FF4" w:rsidRDefault="00F85F87" w:rsidP="00F85F87">
      <w:pPr>
        <w:numPr>
          <w:ilvl w:val="0"/>
          <w:numId w:val="28"/>
        </w:numPr>
        <w:spacing w:after="360" w:line="286" w:lineRule="auto"/>
        <w:ind w:hanging="889"/>
      </w:pPr>
      <w:r>
        <w:rPr>
          <w:i/>
        </w:rPr>
        <w:t>3.2. Dissolved N concentrations through the regolith among land uses</w:t>
      </w:r>
    </w:p>
    <w:p w:rsidR="00A34FF4" w:rsidRDefault="00F85F87" w:rsidP="00F85F87">
      <w:pPr>
        <w:numPr>
          <w:ilvl w:val="0"/>
          <w:numId w:val="28"/>
        </w:numPr>
        <w:ind w:hanging="889"/>
      </w:pPr>
      <w:r>
        <w:t>Different depth patterns for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-N,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and DON concentrations in the upland, woodland </w:t>
      </w:r>
    </w:p>
    <w:p w:rsidR="00A34FF4" w:rsidRDefault="00F85F87" w:rsidP="00F85F87">
      <w:pPr>
        <w:numPr>
          <w:ilvl w:val="0"/>
          <w:numId w:val="28"/>
        </w:numPr>
        <w:ind w:hanging="889"/>
      </w:pPr>
      <w:r>
        <w:t>and paddy field regoliths are shown in Fig. 3. For upland regoliths, the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concentration w</w:t>
      </w:r>
      <w:r>
        <w:t xml:space="preserve">as </w:t>
      </w:r>
    </w:p>
    <w:p w:rsidR="00A34FF4" w:rsidRDefault="00F85F87" w:rsidP="00F85F87">
      <w:pPr>
        <w:numPr>
          <w:ilvl w:val="0"/>
          <w:numId w:val="28"/>
        </w:numPr>
        <w:ind w:hanging="889"/>
      </w:pPr>
      <w:r>
        <w:t>nearly constant with depth in most cases in the top 1 m, whereas the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concentration </w:t>
      </w:r>
    </w:p>
    <w:p w:rsidR="00A34FF4" w:rsidRDefault="00F85F87" w:rsidP="00F85F87">
      <w:pPr>
        <w:numPr>
          <w:ilvl w:val="0"/>
          <w:numId w:val="28"/>
        </w:numPr>
        <w:spacing w:after="19" w:line="618" w:lineRule="auto"/>
        <w:ind w:hanging="889"/>
      </w:pPr>
      <w:r>
        <w:t>significantly increased in the 1- to 3- or 4-m depth interval (p &lt; 0.01). The maximum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  <w:r>
        <w:rPr>
          <w:rFonts w:ascii="Carlito" w:eastAsia="Carlito" w:hAnsi="Carlito" w:cs="Carlito"/>
        </w:rPr>
        <w:t xml:space="preserve">239 </w:t>
      </w:r>
      <w:r>
        <w:t>concentration was 26 mg kg</w:t>
      </w:r>
      <w:r>
        <w:rPr>
          <w:vertAlign w:val="superscript"/>
        </w:rPr>
        <w:t xml:space="preserve">-1 </w:t>
      </w:r>
      <w:r>
        <w:t>at a depth of 1.9 m in the upland r</w:t>
      </w:r>
      <w:r>
        <w:t>egolith. Unlike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-N, the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rPr>
          <w:rFonts w:ascii="Carlito" w:eastAsia="Carlito" w:hAnsi="Carlito" w:cs="Carlito"/>
        </w:rPr>
        <w:t xml:space="preserve">240 </w:t>
      </w:r>
      <w:r>
        <w:t>N concentration quickly reduced to 1.9 ± 0.9 mg kg</w:t>
      </w:r>
      <w:r>
        <w:rPr>
          <w:vertAlign w:val="superscript"/>
        </w:rPr>
        <w:t xml:space="preserve">-1 </w:t>
      </w:r>
      <w:r>
        <w:t xml:space="preserve">(mean ± standard deviation) with depth or </w:t>
      </w:r>
    </w:p>
    <w:p w:rsidR="00A34FF4" w:rsidRDefault="00F85F87" w:rsidP="00F85F87">
      <w:pPr>
        <w:numPr>
          <w:ilvl w:val="0"/>
          <w:numId w:val="29"/>
        </w:numPr>
        <w:ind w:hanging="679"/>
      </w:pPr>
      <w:r>
        <w:t xml:space="preserve">remained almost invariable in the upland regoliths. The trends of inorganic dissolved N with depth </w:t>
      </w:r>
    </w:p>
    <w:p w:rsidR="00A34FF4" w:rsidRDefault="00F85F87" w:rsidP="00F85F87">
      <w:pPr>
        <w:numPr>
          <w:ilvl w:val="0"/>
          <w:numId w:val="29"/>
        </w:numPr>
        <w:ind w:hanging="679"/>
      </w:pPr>
      <w:r>
        <w:t>were similar between the</w:t>
      </w:r>
      <w:r>
        <w:t xml:space="preserve"> upland and woodland regoliths. In the upland regoliths (#1, #4, #5 and </w:t>
      </w:r>
      <w:r>
        <w:rPr>
          <w:rFonts w:ascii="Carlito" w:eastAsia="Carlito" w:hAnsi="Carlito" w:cs="Carlito"/>
        </w:rPr>
        <w:t>243</w:t>
      </w:r>
      <w:r>
        <w:rPr>
          <w:rFonts w:ascii="Carlito" w:eastAsia="Carlito" w:hAnsi="Carlito" w:cs="Carlito"/>
        </w:rPr>
        <w:tab/>
      </w:r>
      <w:r>
        <w:t xml:space="preserve">#8), DON concentration significantly decreased in the top 1 m (p &lt; 0.01) then increased, whereas </w:t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244 </w:t>
      </w:r>
      <w:r>
        <w:t>in the woodland regolith, DON concentration significantly decreased from the 0</w:t>
      </w:r>
      <w:r>
        <w:t xml:space="preserve">- to 4-m depth to </w:t>
      </w:r>
      <w:r>
        <w:rPr>
          <w:rFonts w:ascii="Carlito" w:eastAsia="Carlito" w:hAnsi="Carlito" w:cs="Carlito"/>
        </w:rPr>
        <w:t xml:space="preserve">245 </w:t>
      </w:r>
      <w:r>
        <w:t>below 4 m (p &lt; 0.01).</w:t>
      </w:r>
    </w:p>
    <w:p w:rsidR="00A34FF4" w:rsidRDefault="00F85F87" w:rsidP="00F85F87">
      <w:pPr>
        <w:numPr>
          <w:ilvl w:val="0"/>
          <w:numId w:val="30"/>
        </w:numPr>
        <w:ind w:hanging="889"/>
      </w:pPr>
      <w:r>
        <w:t xml:space="preserve">The paddy field regoliths had different profiles of dissolved N compared to those in the upland </w:t>
      </w:r>
    </w:p>
    <w:p w:rsidR="00A34FF4" w:rsidRDefault="00F85F87" w:rsidP="00F85F87">
      <w:pPr>
        <w:numPr>
          <w:ilvl w:val="0"/>
          <w:numId w:val="30"/>
        </w:numPr>
        <w:ind w:hanging="889"/>
      </w:pPr>
      <w:r>
        <w:t>and woodland regoliths (Fig. 3). In the young paddy fields,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and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concentrations </w:t>
      </w:r>
    </w:p>
    <w:p w:rsidR="00A34FF4" w:rsidRDefault="00F85F87" w:rsidP="00F85F87">
      <w:pPr>
        <w:numPr>
          <w:ilvl w:val="0"/>
          <w:numId w:val="30"/>
        </w:numPr>
        <w:spacing w:after="400"/>
        <w:ind w:hanging="889"/>
      </w:pPr>
      <w:r>
        <w:lastRenderedPageBreak/>
        <w:t>were relatively const</w:t>
      </w:r>
      <w:r>
        <w:t>ant at 1.6 ± 0.8 mg kg</w:t>
      </w:r>
      <w:r>
        <w:rPr>
          <w:vertAlign w:val="superscript"/>
        </w:rPr>
        <w:t xml:space="preserve">-1 </w:t>
      </w:r>
      <w:r>
        <w:t>and 1.5 ± 0.5 mg kg</w:t>
      </w:r>
      <w:r>
        <w:rPr>
          <w:vertAlign w:val="superscript"/>
        </w:rPr>
        <w:t>-1</w:t>
      </w:r>
      <w:r>
        <w:t xml:space="preserve">, respectively, whereas the DON </w:t>
      </w:r>
    </w:p>
    <w:p w:rsidR="00A34FF4" w:rsidRDefault="00F85F87" w:rsidP="00F85F87">
      <w:pPr>
        <w:numPr>
          <w:ilvl w:val="0"/>
          <w:numId w:val="30"/>
        </w:numPr>
        <w:ind w:hanging="889"/>
      </w:pPr>
      <w:r>
        <w:t>concentration significantly decreased with depth (p &lt; 0.01). In the old paddy fields,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</w:p>
    <w:p w:rsidR="00A34FF4" w:rsidRDefault="00F85F87" w:rsidP="00F85F87">
      <w:pPr>
        <w:numPr>
          <w:ilvl w:val="0"/>
          <w:numId w:val="30"/>
        </w:numPr>
        <w:ind w:hanging="889"/>
      </w:pPr>
      <w:r>
        <w:t>concentrations significantly decreased to below the detection limit with depth (p &lt;</w:t>
      </w:r>
      <w:r>
        <w:t xml:space="preserve"> 0.01). In contrast, </w:t>
      </w:r>
    </w:p>
    <w:p w:rsidR="00A34FF4" w:rsidRDefault="00F85F87" w:rsidP="00F85F87">
      <w:pPr>
        <w:numPr>
          <w:ilvl w:val="0"/>
          <w:numId w:val="30"/>
        </w:numPr>
        <w:ind w:hanging="889"/>
      </w:pPr>
      <w:r>
        <w:t>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and DON concentrations in the old paddy fields significantly decreased in the 0- to 0.7-m </w:t>
      </w:r>
    </w:p>
    <w:p w:rsidR="00A34FF4" w:rsidRDefault="00F85F87" w:rsidP="00F85F87">
      <w:pPr>
        <w:numPr>
          <w:ilvl w:val="0"/>
          <w:numId w:val="30"/>
        </w:numPr>
        <w:spacing w:after="353"/>
        <w:ind w:hanging="889"/>
      </w:pPr>
      <w:r>
        <w:t xml:space="preserve">depth interval (p &lt; 0.01), significantly increased in the 0.7- to 0.9-m depth interval (p &lt; 0.01), and </w:t>
      </w:r>
    </w:p>
    <w:p w:rsidR="00A34FF4" w:rsidRDefault="00F85F87" w:rsidP="00F85F87">
      <w:pPr>
        <w:numPr>
          <w:ilvl w:val="0"/>
          <w:numId w:val="30"/>
        </w:numPr>
        <w:spacing w:after="0" w:line="642" w:lineRule="auto"/>
        <w:ind w:hanging="889"/>
      </w:pPr>
      <w:r>
        <w:t>then significantly decreased to be relatively constant at 0.4 ± 0.3 mg kg</w:t>
      </w:r>
      <w:r>
        <w:rPr>
          <w:vertAlign w:val="superscript"/>
        </w:rPr>
        <w:t>-1</w:t>
      </w:r>
      <w:r>
        <w:t xml:space="preserve"> and 2.3 ± 1.6 mg kg</w:t>
      </w:r>
      <w:r>
        <w:rPr>
          <w:vertAlign w:val="superscript"/>
        </w:rPr>
        <w:t>-1</w:t>
      </w:r>
      <w:r>
        <w:t>,</w:t>
      </w:r>
      <w:r>
        <w:rPr>
          <w:vertAlign w:val="superscript"/>
        </w:rPr>
        <w:t xml:space="preserve"> </w:t>
      </w:r>
      <w:r>
        <w:rPr>
          <w:rFonts w:ascii="Carlito" w:eastAsia="Carlito" w:hAnsi="Carlito" w:cs="Carlito"/>
        </w:rPr>
        <w:t xml:space="preserve">254 </w:t>
      </w:r>
      <w:r>
        <w:t>respectively, in the 0.9- to 5.0-m depth interval (p &lt; 0.01).</w:t>
      </w:r>
    </w:p>
    <w:p w:rsidR="00A34FF4" w:rsidRDefault="00F85F87" w:rsidP="00F85F87">
      <w:pPr>
        <w:numPr>
          <w:ilvl w:val="0"/>
          <w:numId w:val="31"/>
        </w:numPr>
        <w:ind w:hanging="889"/>
      </w:pPr>
      <w:r>
        <w:t xml:space="preserve">Nitrate N concentrations on average in the upland regoliths (#1, #4, #5 and #8) in the 1- to 4-m </w:t>
      </w:r>
    </w:p>
    <w:p w:rsidR="00A34FF4" w:rsidRDefault="00F85F87" w:rsidP="00F85F87">
      <w:pPr>
        <w:numPr>
          <w:ilvl w:val="0"/>
          <w:numId w:val="31"/>
        </w:numPr>
        <w:ind w:hanging="889"/>
      </w:pPr>
      <w:r>
        <w:t xml:space="preserve">depth were significantly greater than those in the other land uses (p &lt; 0.01). Nitrate N concentrations </w:t>
      </w:r>
    </w:p>
    <w:p w:rsidR="00A34FF4" w:rsidRDefault="00F85F87" w:rsidP="00F85F87">
      <w:pPr>
        <w:numPr>
          <w:ilvl w:val="0"/>
          <w:numId w:val="31"/>
        </w:numPr>
        <w:ind w:hanging="889"/>
      </w:pPr>
      <w:r>
        <w:t xml:space="preserve">on average in the woodland regolith in the 1- to 4-m </w:t>
      </w:r>
      <w:r>
        <w:t xml:space="preserve">depth were significantly greater than those in </w:t>
      </w:r>
    </w:p>
    <w:p w:rsidR="00A34FF4" w:rsidRDefault="00F85F87" w:rsidP="00F85F87">
      <w:pPr>
        <w:numPr>
          <w:ilvl w:val="0"/>
          <w:numId w:val="31"/>
        </w:numPr>
        <w:ind w:hanging="889"/>
      </w:pPr>
      <w:r>
        <w:t xml:space="preserve">the paddy field (p &lt; 0.01). Dissolved organic N concentrations on average under woodland and old </w:t>
      </w:r>
    </w:p>
    <w:p w:rsidR="00A34FF4" w:rsidRDefault="00F85F87" w:rsidP="00F85F87">
      <w:pPr>
        <w:numPr>
          <w:ilvl w:val="0"/>
          <w:numId w:val="31"/>
        </w:numPr>
        <w:ind w:hanging="889"/>
      </w:pPr>
      <w:r>
        <w:t xml:space="preserve">paddy field in the 0- to 4-m depth were significantly greater than those of upland and young paddy </w:t>
      </w:r>
    </w:p>
    <w:p w:rsidR="00A34FF4" w:rsidRDefault="00F85F87" w:rsidP="00F85F87">
      <w:pPr>
        <w:numPr>
          <w:ilvl w:val="0"/>
          <w:numId w:val="31"/>
        </w:numPr>
        <w:spacing w:after="0" w:line="627" w:lineRule="auto"/>
        <w:ind w:hanging="889"/>
      </w:pPr>
      <w:r>
        <w:t xml:space="preserve">fields (p </w:t>
      </w:r>
      <w:r>
        <w:t>&lt; 0.01). There was no difference in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concentration among land uses except the </w:t>
      </w:r>
      <w:r>
        <w:rPr>
          <w:rFonts w:ascii="Carlito" w:eastAsia="Carlito" w:hAnsi="Carlito" w:cs="Carlito"/>
        </w:rPr>
        <w:t xml:space="preserve">261 </w:t>
      </w:r>
      <w:r>
        <w:t>difference between old paddy field and woodland.</w:t>
      </w:r>
    </w:p>
    <w:p w:rsidR="00A34FF4" w:rsidRDefault="00F85F87" w:rsidP="00F85F87">
      <w:pPr>
        <w:numPr>
          <w:ilvl w:val="0"/>
          <w:numId w:val="32"/>
        </w:numPr>
        <w:spacing w:after="360" w:line="286" w:lineRule="auto"/>
        <w:ind w:hanging="889"/>
      </w:pPr>
      <w:r>
        <w:rPr>
          <w:i/>
        </w:rPr>
        <w:t>3.3. Dissolved N inventories through the regolith among land uses</w:t>
      </w:r>
    </w:p>
    <w:p w:rsidR="00A34FF4" w:rsidRDefault="00F85F87" w:rsidP="00F85F87">
      <w:pPr>
        <w:numPr>
          <w:ilvl w:val="0"/>
          <w:numId w:val="32"/>
        </w:numPr>
        <w:ind w:hanging="889"/>
      </w:pPr>
      <w:r>
        <w:t>Integration of the dissolved N profiles from soil sur</w:t>
      </w:r>
      <w:r>
        <w:t>face to the bedrock allowed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-N,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</w:t>
      </w:r>
    </w:p>
    <w:p w:rsidR="00A34FF4" w:rsidRDefault="00F85F87" w:rsidP="00F85F87">
      <w:pPr>
        <w:numPr>
          <w:ilvl w:val="0"/>
          <w:numId w:val="32"/>
        </w:numPr>
        <w:ind w:hanging="889"/>
      </w:pPr>
      <w:r>
        <w:t xml:space="preserve">and DON inventories to be calculated (Fig. 4a). In upland regoliths (#1, #4, #5 and 8#), the soil </w:t>
      </w:r>
      <w:r>
        <w:rPr>
          <w:rFonts w:ascii="Carlito" w:eastAsia="Carlito" w:hAnsi="Carlito" w:cs="Carlito"/>
        </w:rPr>
        <w:t>265</w:t>
      </w:r>
      <w:r>
        <w:rPr>
          <w:rFonts w:ascii="Carlito" w:eastAsia="Carlito" w:hAnsi="Carlito" w:cs="Carlito"/>
        </w:rPr>
        <w:tab/>
      </w:r>
      <w:r>
        <w:t>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inventory significantly increased from 67 ± 52 kg N ha</w:t>
      </w:r>
      <w:r>
        <w:rPr>
          <w:vertAlign w:val="superscript"/>
        </w:rPr>
        <w:t>-1</w:t>
      </w:r>
      <w:r>
        <w:t xml:space="preserve"> for the top 1 m to 827 ± 97 kg N </w:t>
      </w:r>
    </w:p>
    <w:p w:rsidR="00A34FF4" w:rsidRDefault="00F85F87" w:rsidP="00F85F87">
      <w:pPr>
        <w:numPr>
          <w:ilvl w:val="0"/>
          <w:numId w:val="33"/>
        </w:numPr>
        <w:ind w:hanging="679"/>
      </w:pPr>
      <w:r>
        <w:t>ha</w:t>
      </w:r>
      <w:r>
        <w:rPr>
          <w:vertAlign w:val="superscript"/>
        </w:rPr>
        <w:t>-1</w:t>
      </w:r>
      <w:r>
        <w:t xml:space="preserve"> for &gt; 1</w:t>
      </w:r>
      <w:r>
        <w:t xml:space="preserve"> m (p &lt; 0.01). The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inventory beneath 1 m accounted for 92%, on average, of the </w:t>
      </w:r>
    </w:p>
    <w:p w:rsidR="00A34FF4" w:rsidRDefault="00F85F87" w:rsidP="00F85F87">
      <w:pPr>
        <w:numPr>
          <w:ilvl w:val="0"/>
          <w:numId w:val="33"/>
        </w:numPr>
        <w:ind w:hanging="679"/>
      </w:pPr>
      <w:r>
        <w:lastRenderedPageBreak/>
        <w:t>entire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inventory, except for the long-abandoned upland (#2). The soil DON inventory </w:t>
      </w:r>
    </w:p>
    <w:p w:rsidR="00A34FF4" w:rsidRDefault="00F85F87" w:rsidP="00F85F87">
      <w:pPr>
        <w:numPr>
          <w:ilvl w:val="0"/>
          <w:numId w:val="33"/>
        </w:numPr>
        <w:spacing w:after="22" w:line="622" w:lineRule="auto"/>
        <w:ind w:hanging="679"/>
      </w:pPr>
      <w:r>
        <w:t>significantly increased from 119 ± 58 kg N ha</w:t>
      </w:r>
      <w:r>
        <w:rPr>
          <w:vertAlign w:val="superscript"/>
        </w:rPr>
        <w:t>-1</w:t>
      </w:r>
      <w:r>
        <w:t xml:space="preserve"> for the top 1 m to 521 ± 153 </w:t>
      </w:r>
      <w:r>
        <w:t>kg N ha</w:t>
      </w:r>
      <w:r>
        <w:rPr>
          <w:vertAlign w:val="superscript"/>
        </w:rPr>
        <w:t xml:space="preserve">-1 </w:t>
      </w:r>
      <w:r>
        <w:t xml:space="preserve">for &gt; 1 m, </w:t>
      </w:r>
      <w:r>
        <w:rPr>
          <w:rFonts w:ascii="Carlito" w:eastAsia="Carlito" w:hAnsi="Carlito" w:cs="Carlito"/>
        </w:rPr>
        <w:t xml:space="preserve">269 </w:t>
      </w:r>
      <w:r>
        <w:t>and the inventory beneath 1 m accounted for 82%, on average, of the total (p &lt; 0.01). The soil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rPr>
          <w:rFonts w:ascii="Carlito" w:eastAsia="Carlito" w:hAnsi="Carlito" w:cs="Carlito"/>
        </w:rPr>
        <w:t xml:space="preserve">270 </w:t>
      </w:r>
      <w:r>
        <w:t>N inventory significantly increased from 49 ± 31 kg N ha</w:t>
      </w:r>
      <w:r>
        <w:rPr>
          <w:vertAlign w:val="superscript"/>
        </w:rPr>
        <w:t>-1</w:t>
      </w:r>
      <w:r>
        <w:t xml:space="preserve"> for the top 1 m to 158 ± 77 kg N ha</w:t>
      </w:r>
      <w:r>
        <w:rPr>
          <w:vertAlign w:val="superscript"/>
        </w:rPr>
        <w:t xml:space="preserve">-1 </w:t>
      </w:r>
      <w:r>
        <w:t xml:space="preserve">for </w:t>
      </w:r>
    </w:p>
    <w:p w:rsidR="00A34FF4" w:rsidRDefault="00F85F87" w:rsidP="00F85F87">
      <w:pPr>
        <w:numPr>
          <w:ilvl w:val="0"/>
          <w:numId w:val="34"/>
        </w:numPr>
        <w:ind w:hanging="679"/>
      </w:pPr>
      <w:r>
        <w:t>&gt; 1 m, and the inventory b</w:t>
      </w:r>
      <w:r>
        <w:t xml:space="preserve">eneath 1 m accounted for 76%, on average, of the total (p = 0.04). There </w:t>
      </w:r>
    </w:p>
    <w:p w:rsidR="00A34FF4" w:rsidRDefault="00F85F87" w:rsidP="00F85F87">
      <w:pPr>
        <w:numPr>
          <w:ilvl w:val="0"/>
          <w:numId w:val="34"/>
        </w:numPr>
        <w:ind w:hanging="679"/>
      </w:pPr>
      <w:r>
        <w:t xml:space="preserve">was no difference among the three dissolved N inventories for the top 1 m (p = 0.16), whereas </w:t>
      </w:r>
    </w:p>
    <w:p w:rsidR="00A34FF4" w:rsidRDefault="00F85F87" w:rsidP="00F85F87">
      <w:pPr>
        <w:numPr>
          <w:ilvl w:val="0"/>
          <w:numId w:val="34"/>
        </w:numPr>
        <w:ind w:hanging="679"/>
      </w:pPr>
      <w:r>
        <w:t>dissolved N inventories significantly decreased in the order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&gt; DON &gt;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>-N f</w:t>
      </w:r>
      <w:r>
        <w:t xml:space="preserve">or &gt; 1 m </w:t>
      </w:r>
    </w:p>
    <w:p w:rsidR="00A34FF4" w:rsidRDefault="00F85F87" w:rsidP="00F85F87">
      <w:pPr>
        <w:numPr>
          <w:ilvl w:val="0"/>
          <w:numId w:val="34"/>
        </w:numPr>
        <w:ind w:hanging="679"/>
      </w:pPr>
      <w:r>
        <w:t>(p &lt; 0.01). Soil inventories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-N, DON and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accounted for 56, 34 and 10%, </w:t>
      </w:r>
    </w:p>
    <w:p w:rsidR="00A34FF4" w:rsidRDefault="00F85F87" w:rsidP="00F85F87">
      <w:pPr>
        <w:numPr>
          <w:ilvl w:val="0"/>
          <w:numId w:val="34"/>
        </w:numPr>
        <w:spacing w:after="0" w:line="617" w:lineRule="auto"/>
        <w:ind w:hanging="679"/>
      </w:pPr>
      <w:r>
        <w:t xml:space="preserve">respectively, of the total beneath 1 m, and accounted for 52, 36 and 12%, respectively, of the total </w:t>
      </w:r>
      <w:r>
        <w:rPr>
          <w:rFonts w:ascii="Carlito" w:eastAsia="Carlito" w:hAnsi="Carlito" w:cs="Carlito"/>
        </w:rPr>
        <w:t xml:space="preserve">276 </w:t>
      </w:r>
      <w:r>
        <w:t>throughout the regolith.</w:t>
      </w:r>
    </w:p>
    <w:p w:rsidR="00A34FF4" w:rsidRDefault="00F85F87" w:rsidP="00F85F87">
      <w:pPr>
        <w:numPr>
          <w:ilvl w:val="0"/>
          <w:numId w:val="35"/>
        </w:numPr>
        <w:ind w:hanging="889"/>
      </w:pPr>
      <w:r>
        <w:t>In woodland regolith, the soil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inventory numerically increased from 23 kg N ha</w:t>
      </w:r>
      <w:r>
        <w:rPr>
          <w:vertAlign w:val="superscript"/>
        </w:rPr>
        <w:t>-1</w:t>
      </w:r>
      <w:r>
        <w:t xml:space="preserve"> for the </w:t>
      </w:r>
    </w:p>
    <w:p w:rsidR="00A34FF4" w:rsidRDefault="00F85F87" w:rsidP="00F85F87">
      <w:pPr>
        <w:numPr>
          <w:ilvl w:val="0"/>
          <w:numId w:val="35"/>
        </w:numPr>
        <w:ind w:hanging="889"/>
      </w:pPr>
      <w:r>
        <w:t>top 1 m to 283 kg N ha</w:t>
      </w:r>
      <w:r>
        <w:rPr>
          <w:vertAlign w:val="superscript"/>
        </w:rPr>
        <w:t xml:space="preserve">-1 </w:t>
      </w:r>
      <w:r>
        <w:t xml:space="preserve">for &gt; 1 m, and the inventory below 1 m accounted for 92% of the total. The </w:t>
      </w:r>
    </w:p>
    <w:p w:rsidR="00A34FF4" w:rsidRDefault="00F85F87" w:rsidP="00F85F87">
      <w:pPr>
        <w:numPr>
          <w:ilvl w:val="0"/>
          <w:numId w:val="35"/>
        </w:numPr>
        <w:spacing w:after="405"/>
        <w:ind w:hanging="889"/>
      </w:pPr>
      <w:r>
        <w:t>soil DON inventory numerically increased from 228 kg N ha</w:t>
      </w:r>
      <w:r>
        <w:rPr>
          <w:vertAlign w:val="superscript"/>
        </w:rPr>
        <w:t xml:space="preserve">-1 </w:t>
      </w:r>
      <w:r>
        <w:t>for the top 1 m to 820 kg N ha</w:t>
      </w:r>
      <w:r>
        <w:rPr>
          <w:vertAlign w:val="superscript"/>
        </w:rPr>
        <w:t xml:space="preserve">-1 </w:t>
      </w:r>
      <w:r>
        <w:t xml:space="preserve">for &gt; </w:t>
      </w:r>
    </w:p>
    <w:p w:rsidR="00A34FF4" w:rsidRDefault="00F85F87" w:rsidP="00F85F87">
      <w:pPr>
        <w:numPr>
          <w:ilvl w:val="0"/>
          <w:numId w:val="35"/>
        </w:numPr>
        <w:ind w:hanging="889"/>
      </w:pPr>
      <w:r>
        <w:t>1 m, and the inventory beneath 1 m accounted for 78% of the total. The soil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inventory </w:t>
      </w:r>
    </w:p>
    <w:p w:rsidR="00A34FF4" w:rsidRDefault="00F85F87" w:rsidP="00F85F87">
      <w:pPr>
        <w:numPr>
          <w:ilvl w:val="0"/>
          <w:numId w:val="35"/>
        </w:numPr>
        <w:spacing w:after="0" w:line="646" w:lineRule="auto"/>
        <w:ind w:hanging="889"/>
      </w:pPr>
      <w:r>
        <w:t>numerically increased from 19 kg N ha</w:t>
      </w:r>
      <w:r>
        <w:rPr>
          <w:vertAlign w:val="superscript"/>
        </w:rPr>
        <w:t xml:space="preserve">-1 </w:t>
      </w:r>
      <w:r>
        <w:t>for the top 1 m to 93 kg N ha</w:t>
      </w:r>
      <w:r>
        <w:rPr>
          <w:vertAlign w:val="superscript"/>
        </w:rPr>
        <w:t xml:space="preserve">-1 </w:t>
      </w:r>
      <w:r>
        <w:t xml:space="preserve">for &gt; 1 m, and the inventory </w:t>
      </w:r>
      <w:r>
        <w:rPr>
          <w:rFonts w:ascii="Carlito" w:eastAsia="Carlito" w:hAnsi="Carlito" w:cs="Carlito"/>
        </w:rPr>
        <w:t xml:space="preserve">282 </w:t>
      </w:r>
      <w:r>
        <w:t>beneath 1 m ac</w:t>
      </w:r>
      <w:r>
        <w:t>counted for 92% of the total.</w:t>
      </w:r>
    </w:p>
    <w:p w:rsidR="00A34FF4" w:rsidRDefault="00F85F87" w:rsidP="00F85F87">
      <w:pPr>
        <w:numPr>
          <w:ilvl w:val="0"/>
          <w:numId w:val="36"/>
        </w:numPr>
        <w:ind w:hanging="889"/>
      </w:pPr>
      <w:r>
        <w:t>A similar pattern to that of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in the woodland regolith in the top 1 m and beneath 1 m </w:t>
      </w:r>
    </w:p>
    <w:p w:rsidR="00A34FF4" w:rsidRDefault="00F85F87" w:rsidP="00F85F87">
      <w:pPr>
        <w:numPr>
          <w:ilvl w:val="0"/>
          <w:numId w:val="36"/>
        </w:numPr>
        <w:ind w:hanging="889"/>
      </w:pPr>
      <w:r>
        <w:t xml:space="preserve">occurred for the three types of dissolved N in the young paddy field regolith. In the old paddy field </w:t>
      </w:r>
    </w:p>
    <w:p w:rsidR="00A34FF4" w:rsidRDefault="00F85F87" w:rsidP="00F85F87">
      <w:pPr>
        <w:numPr>
          <w:ilvl w:val="0"/>
          <w:numId w:val="36"/>
        </w:numPr>
        <w:ind w:hanging="889"/>
      </w:pPr>
      <w:r>
        <w:lastRenderedPageBreak/>
        <w:t>regolith, the soil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inve</w:t>
      </w:r>
      <w:r>
        <w:t>ntory was 18 kg N ha</w:t>
      </w:r>
      <w:r>
        <w:rPr>
          <w:vertAlign w:val="superscript"/>
        </w:rPr>
        <w:t>-1</w:t>
      </w:r>
      <w:r>
        <w:t xml:space="preserve"> for the top 1 m and less than the detection limit </w:t>
      </w:r>
    </w:p>
    <w:p w:rsidR="00A34FF4" w:rsidRDefault="00F85F87" w:rsidP="00F85F87">
      <w:pPr>
        <w:numPr>
          <w:ilvl w:val="0"/>
          <w:numId w:val="36"/>
        </w:numPr>
        <w:spacing w:after="0" w:line="628" w:lineRule="auto"/>
        <w:ind w:hanging="889"/>
      </w:pPr>
      <w:r>
        <w:t>for &gt; 1 m. The soil DON inventory numerically decreased from 339 kg N ha</w:t>
      </w:r>
      <w:r>
        <w:rPr>
          <w:vertAlign w:val="superscript"/>
        </w:rPr>
        <w:t>-1</w:t>
      </w:r>
      <w:r>
        <w:t xml:space="preserve"> for the top 1 m to 168 </w:t>
      </w:r>
      <w:r>
        <w:rPr>
          <w:rFonts w:ascii="Carlito" w:eastAsia="Carlito" w:hAnsi="Carlito" w:cs="Carlito"/>
        </w:rPr>
        <w:t xml:space="preserve">287 </w:t>
      </w:r>
      <w:r>
        <w:t>kg N ha</w:t>
      </w:r>
      <w:r>
        <w:rPr>
          <w:vertAlign w:val="superscript"/>
        </w:rPr>
        <w:t>-1</w:t>
      </w:r>
      <w:r>
        <w:t xml:space="preserve"> for &gt; 1 m. The soil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inventory numerically decreased from 68 kg </w:t>
      </w:r>
      <w:r>
        <w:t>N ha</w:t>
      </w:r>
      <w:r>
        <w:rPr>
          <w:vertAlign w:val="superscript"/>
        </w:rPr>
        <w:t>-1</w:t>
      </w:r>
      <w:r>
        <w:t xml:space="preserve"> for the top </w:t>
      </w:r>
      <w:r>
        <w:rPr>
          <w:rFonts w:ascii="Carlito" w:eastAsia="Carlito" w:hAnsi="Carlito" w:cs="Carlito"/>
        </w:rPr>
        <w:t xml:space="preserve">288 </w:t>
      </w:r>
      <w:r>
        <w:t>1 m to 36 kg N ha</w:t>
      </w:r>
      <w:r>
        <w:rPr>
          <w:vertAlign w:val="superscript"/>
        </w:rPr>
        <w:t>-1</w:t>
      </w:r>
      <w:r>
        <w:t xml:space="preserve"> for &gt; 1 m.</w:t>
      </w:r>
    </w:p>
    <w:p w:rsidR="00A34FF4" w:rsidRDefault="00F85F87" w:rsidP="00F85F87">
      <w:pPr>
        <w:numPr>
          <w:ilvl w:val="0"/>
          <w:numId w:val="37"/>
        </w:numPr>
        <w:ind w:hanging="889"/>
      </w:pPr>
      <w:r>
        <w:t>Different depth patterns for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-N,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and DON inventories at 1-m depth intervals of </w:t>
      </w:r>
    </w:p>
    <w:p w:rsidR="00A34FF4" w:rsidRDefault="00F85F87" w:rsidP="00F85F87">
      <w:pPr>
        <w:numPr>
          <w:ilvl w:val="0"/>
          <w:numId w:val="37"/>
        </w:numPr>
        <w:ind w:hanging="889"/>
      </w:pPr>
      <w:r>
        <w:t xml:space="preserve">upland regoliths (#1, #4, #5 and #8) were presented in Fig. 4b. Nitrate N significantly accumulated </w:t>
      </w:r>
    </w:p>
    <w:p w:rsidR="00A34FF4" w:rsidRDefault="00F85F87" w:rsidP="00F85F87">
      <w:pPr>
        <w:numPr>
          <w:ilvl w:val="0"/>
          <w:numId w:val="37"/>
        </w:numPr>
        <w:ind w:hanging="889"/>
      </w:pPr>
      <w:r>
        <w:t>in the sub</w:t>
      </w:r>
      <w:r>
        <w:t>soil in the 1- to 4-m depth (p &lt; 0.01), while the inventory (632 ± 75 kg N ha</w:t>
      </w:r>
      <w:r>
        <w:rPr>
          <w:vertAlign w:val="superscript"/>
        </w:rPr>
        <w:t>-1</w:t>
      </w:r>
      <w:r>
        <w:t xml:space="preserve">) in the 3-m </w:t>
      </w:r>
    </w:p>
    <w:p w:rsidR="00A34FF4" w:rsidRDefault="00F85F87" w:rsidP="00F85F87">
      <w:pPr>
        <w:numPr>
          <w:ilvl w:val="0"/>
          <w:numId w:val="37"/>
        </w:numPr>
        <w:ind w:hanging="889"/>
      </w:pPr>
      <w:r>
        <w:t xml:space="preserve">zone accounted for 71% of the total. Dissolved organic N significantly accumulated in the subsoil </w:t>
      </w:r>
    </w:p>
    <w:p w:rsidR="00A34FF4" w:rsidRDefault="00F85F87" w:rsidP="00F85F87">
      <w:pPr>
        <w:numPr>
          <w:ilvl w:val="0"/>
          <w:numId w:val="37"/>
        </w:numPr>
        <w:ind w:hanging="889"/>
      </w:pPr>
      <w:r>
        <w:t>in the 0- to 3-m depth (p &lt; 0.01), while the inventory (408 ± 75</w:t>
      </w:r>
      <w:r>
        <w:t xml:space="preserve"> kg N ha</w:t>
      </w:r>
      <w:r>
        <w:rPr>
          <w:vertAlign w:val="superscript"/>
        </w:rPr>
        <w:t>-1</w:t>
      </w:r>
      <w:r>
        <w:t xml:space="preserve">) in the 3-m zone accounted </w:t>
      </w:r>
    </w:p>
    <w:p w:rsidR="00A34FF4" w:rsidRDefault="00F85F87" w:rsidP="00F85F87">
      <w:pPr>
        <w:numPr>
          <w:ilvl w:val="0"/>
          <w:numId w:val="37"/>
        </w:numPr>
        <w:spacing w:after="0" w:line="626" w:lineRule="auto"/>
        <w:ind w:hanging="889"/>
      </w:pPr>
      <w:r>
        <w:t>for 64% of the total. There was no significant accumulation of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at depth in the upland </w:t>
      </w:r>
      <w:r>
        <w:rPr>
          <w:rFonts w:ascii="Carlito" w:eastAsia="Carlito" w:hAnsi="Carlito" w:cs="Carlito"/>
        </w:rPr>
        <w:t xml:space="preserve">295 </w:t>
      </w:r>
      <w:r>
        <w:t>regolith (p = 0.35).</w:t>
      </w:r>
    </w:p>
    <w:p w:rsidR="00A34FF4" w:rsidRDefault="00F85F87" w:rsidP="00F85F87">
      <w:pPr>
        <w:numPr>
          <w:ilvl w:val="0"/>
          <w:numId w:val="38"/>
        </w:numPr>
        <w:spacing w:after="360" w:line="286" w:lineRule="auto"/>
        <w:ind w:hanging="889"/>
      </w:pPr>
      <w:r>
        <w:rPr>
          <w:i/>
        </w:rPr>
        <w:t>3.4. Porosity through the regolith among land uses</w:t>
      </w:r>
    </w:p>
    <w:p w:rsidR="00A34FF4" w:rsidRDefault="00F85F87" w:rsidP="00F85F87">
      <w:pPr>
        <w:numPr>
          <w:ilvl w:val="0"/>
          <w:numId w:val="38"/>
        </w:numPr>
        <w:ind w:hanging="889"/>
      </w:pPr>
      <w:r>
        <w:t xml:space="preserve">In general, total porosity showed a sigmoid curve with depth among land use regoliths (Fig. 5). </w:t>
      </w:r>
    </w:p>
    <w:p w:rsidR="00A34FF4" w:rsidRDefault="00F85F87" w:rsidP="00F85F87">
      <w:pPr>
        <w:numPr>
          <w:ilvl w:val="0"/>
          <w:numId w:val="38"/>
        </w:numPr>
        <w:ind w:hanging="889"/>
      </w:pPr>
      <w:r>
        <w:t xml:space="preserve">Total porosity varied from 34 to 64% among land use regoliths. Total porosity significantly </w:t>
      </w:r>
    </w:p>
    <w:p w:rsidR="00A34FF4" w:rsidRDefault="00F85F87" w:rsidP="00F85F87">
      <w:pPr>
        <w:numPr>
          <w:ilvl w:val="0"/>
          <w:numId w:val="38"/>
        </w:numPr>
        <w:ind w:hanging="889"/>
      </w:pPr>
      <w:r>
        <w:t xml:space="preserve">decreased with depth when the zone changed from uniform to reticulate red clay, significantly </w:t>
      </w:r>
    </w:p>
    <w:p w:rsidR="00A34FF4" w:rsidRDefault="00F85F87" w:rsidP="00F85F87">
      <w:pPr>
        <w:numPr>
          <w:ilvl w:val="0"/>
          <w:numId w:val="38"/>
        </w:numPr>
        <w:ind w:hanging="889"/>
      </w:pPr>
      <w:r>
        <w:t xml:space="preserve">increased with depth at the transition zone from reticulate red clay to weathered sandstone, and then </w:t>
      </w:r>
    </w:p>
    <w:p w:rsidR="00A34FF4" w:rsidRDefault="00F85F87" w:rsidP="00F85F87">
      <w:pPr>
        <w:numPr>
          <w:ilvl w:val="0"/>
          <w:numId w:val="38"/>
        </w:numPr>
        <w:spacing w:after="0" w:line="616" w:lineRule="auto"/>
        <w:ind w:hanging="889"/>
      </w:pPr>
      <w:r>
        <w:t xml:space="preserve">significantly decreased with depth at the transition zone </w:t>
      </w:r>
      <w:r>
        <w:t xml:space="preserve">from weathered sandstone to sandstone </w:t>
      </w:r>
      <w:r>
        <w:rPr>
          <w:rFonts w:ascii="Carlito" w:eastAsia="Carlito" w:hAnsi="Carlito" w:cs="Carlito"/>
        </w:rPr>
        <w:t xml:space="preserve">302 </w:t>
      </w:r>
      <w:r>
        <w:t xml:space="preserve">bedrock (p &lt; 0.01). 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lastRenderedPageBreak/>
        <w:t xml:space="preserve">303 </w:t>
      </w:r>
      <w:r>
        <w:t xml:space="preserve">Macroporosity in the woodland regolith was significantly greater than that in the upland and old </w:t>
      </w:r>
      <w:r>
        <w:rPr>
          <w:rFonts w:ascii="Carlito" w:eastAsia="Carlito" w:hAnsi="Carlito" w:cs="Carlito"/>
        </w:rPr>
        <w:t xml:space="preserve">304 </w:t>
      </w:r>
      <w:r>
        <w:t>paddy field regoliths at depths shallower than 3.1 m (p &lt; 0.01) (Fig. 6a and Fig. S2-S5)</w:t>
      </w:r>
      <w:r>
        <w:t xml:space="preserve">. </w:t>
      </w:r>
    </w:p>
    <w:p w:rsidR="00A34FF4" w:rsidRDefault="00F85F87" w:rsidP="00F85F87">
      <w:pPr>
        <w:numPr>
          <w:ilvl w:val="0"/>
          <w:numId w:val="39"/>
        </w:numPr>
        <w:ind w:hanging="679"/>
      </w:pPr>
      <w:r>
        <w:t xml:space="preserve">Macroporosity for the different regoliths was typically less than 0.2% at depths below 3.1 m. The </w:t>
      </w:r>
    </w:p>
    <w:p w:rsidR="00A34FF4" w:rsidRDefault="00F85F87" w:rsidP="00F85F87">
      <w:pPr>
        <w:numPr>
          <w:ilvl w:val="0"/>
          <w:numId w:val="39"/>
        </w:numPr>
        <w:ind w:hanging="679"/>
      </w:pPr>
      <w:r>
        <w:t xml:space="preserve">macroporosity of the upland regolith increased at depths of 2.5 to 3.1 m and 5.6 to 7.0 m due to </w:t>
      </w:r>
    </w:p>
    <w:p w:rsidR="00A34FF4" w:rsidRDefault="00F85F87" w:rsidP="00F85F87">
      <w:pPr>
        <w:numPr>
          <w:ilvl w:val="0"/>
          <w:numId w:val="39"/>
        </w:numPr>
        <w:ind w:hanging="679"/>
      </w:pPr>
      <w:r>
        <w:t>either the presence of root-like cylindrical pores or th</w:t>
      </w:r>
      <w:r>
        <w:t xml:space="preserve">e change of parent materials from Quaternary </w:t>
      </w:r>
    </w:p>
    <w:p w:rsidR="00A34FF4" w:rsidRDefault="00F85F87" w:rsidP="00F85F87">
      <w:pPr>
        <w:numPr>
          <w:ilvl w:val="0"/>
          <w:numId w:val="39"/>
        </w:numPr>
        <w:ind w:hanging="679"/>
      </w:pPr>
      <w:r>
        <w:t xml:space="preserve">red clay to the loose weathered sandstone material (Fig. S2-S3). The macroporosity of the woodland </w:t>
      </w:r>
      <w:r>
        <w:rPr>
          <w:rFonts w:ascii="Carlito" w:eastAsia="Carlito" w:hAnsi="Carlito" w:cs="Carlito"/>
        </w:rPr>
        <w:t>309</w:t>
      </w:r>
      <w:r>
        <w:rPr>
          <w:rFonts w:ascii="Carlito" w:eastAsia="Carlito" w:hAnsi="Carlito" w:cs="Carlito"/>
        </w:rPr>
        <w:tab/>
      </w:r>
      <w:r>
        <w:t xml:space="preserve">regolith varied from 2.0 to 4.7% in the top 2.4 m then significantly decreased at greater depths to an </w:t>
      </w:r>
    </w:p>
    <w:p w:rsidR="00A34FF4" w:rsidRDefault="00F85F87" w:rsidP="00F85F87">
      <w:pPr>
        <w:numPr>
          <w:ilvl w:val="0"/>
          <w:numId w:val="40"/>
        </w:numPr>
        <w:ind w:hanging="679"/>
      </w:pPr>
      <w:r>
        <w:t>ave</w:t>
      </w:r>
      <w:r>
        <w:t xml:space="preserve">rage of 0.14% (p &lt; 0.01). The macroporosity of the old paddy field regolith significantly </w:t>
      </w:r>
    </w:p>
    <w:p w:rsidR="00A34FF4" w:rsidRDefault="00F85F87" w:rsidP="00F85F87">
      <w:pPr>
        <w:numPr>
          <w:ilvl w:val="0"/>
          <w:numId w:val="40"/>
        </w:numPr>
        <w:ind w:hanging="679"/>
      </w:pPr>
      <w:r>
        <w:t xml:space="preserve">decreased to approximately zero from the surface to a depth of 0.7 m (p &lt; 0.01). Pore-size </w:t>
      </w:r>
    </w:p>
    <w:p w:rsidR="00A34FF4" w:rsidRDefault="00F85F87" w:rsidP="00F85F87">
      <w:pPr>
        <w:numPr>
          <w:ilvl w:val="0"/>
          <w:numId w:val="40"/>
        </w:numPr>
        <w:ind w:hanging="679"/>
      </w:pPr>
      <w:r>
        <w:t>distributions were only calculated when macroporosity was greater than 0.</w:t>
      </w:r>
      <w:r>
        <w:t xml:space="preserve">4% (Fig. 6b-d). More </w:t>
      </w:r>
    </w:p>
    <w:p w:rsidR="00A34FF4" w:rsidRDefault="00F85F87" w:rsidP="00F85F87">
      <w:pPr>
        <w:numPr>
          <w:ilvl w:val="0"/>
          <w:numId w:val="40"/>
        </w:numPr>
        <w:ind w:hanging="679"/>
      </w:pPr>
      <w:r>
        <w:t xml:space="preserve">than 86% of the macroporosity was present as pores &lt; 0.425 mm in the upland regolith, and &lt; 0.525 </w:t>
      </w:r>
    </w:p>
    <w:p w:rsidR="00A34FF4" w:rsidRDefault="00F85F87" w:rsidP="00F85F87">
      <w:pPr>
        <w:numPr>
          <w:ilvl w:val="0"/>
          <w:numId w:val="40"/>
        </w:numPr>
        <w:ind w:hanging="679"/>
      </w:pPr>
      <w:r>
        <w:t xml:space="preserve">mm for the surface and &lt; 0.325 mm for the subsurface samples in the woodland regolith. More than </w:t>
      </w:r>
    </w:p>
    <w:p w:rsidR="00A34FF4" w:rsidRDefault="00F85F87" w:rsidP="00F85F87">
      <w:pPr>
        <w:numPr>
          <w:ilvl w:val="0"/>
          <w:numId w:val="40"/>
        </w:numPr>
        <w:ind w:hanging="679"/>
      </w:pPr>
      <w:r>
        <w:t xml:space="preserve">91% of the macroporosity was present </w:t>
      </w:r>
      <w:r>
        <w:t xml:space="preserve">as pores &lt; 0.225 mm for the two surface samples in the old </w:t>
      </w:r>
    </w:p>
    <w:p w:rsidR="00A34FF4" w:rsidRDefault="00F85F87" w:rsidP="00F85F87">
      <w:pPr>
        <w:numPr>
          <w:ilvl w:val="0"/>
          <w:numId w:val="40"/>
        </w:numPr>
        <w:spacing w:after="0" w:line="616" w:lineRule="auto"/>
        <w:ind w:hanging="679"/>
      </w:pPr>
      <w:r>
        <w:t xml:space="preserve">paddy field, while more than 80% of the macroporosity was present as pores &lt; 0.325 mm for the </w:t>
      </w:r>
      <w:r>
        <w:rPr>
          <w:rFonts w:ascii="Carlito" w:eastAsia="Carlito" w:hAnsi="Carlito" w:cs="Carlito"/>
        </w:rPr>
        <w:t xml:space="preserve">317 </w:t>
      </w:r>
      <w:r>
        <w:t>subsurface samples.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318</w:t>
      </w:r>
    </w:p>
    <w:p w:rsidR="00A34FF4" w:rsidRDefault="00F85F87" w:rsidP="00F85F87">
      <w:pPr>
        <w:numPr>
          <w:ilvl w:val="0"/>
          <w:numId w:val="41"/>
        </w:numPr>
        <w:spacing w:after="360" w:line="284" w:lineRule="auto"/>
        <w:ind w:hanging="889"/>
      </w:pPr>
      <w:r>
        <w:rPr>
          <w:b/>
        </w:rPr>
        <w:t>4.</w:t>
      </w:r>
      <w:r>
        <w:rPr>
          <w:b/>
        </w:rPr>
        <w:tab/>
        <w:t>Discussion</w:t>
      </w:r>
    </w:p>
    <w:p w:rsidR="00A34FF4" w:rsidRDefault="00F85F87" w:rsidP="00F85F87">
      <w:pPr>
        <w:numPr>
          <w:ilvl w:val="0"/>
          <w:numId w:val="41"/>
        </w:numPr>
        <w:spacing w:after="360" w:line="286" w:lineRule="auto"/>
        <w:ind w:hanging="889"/>
      </w:pPr>
      <w:r>
        <w:rPr>
          <w:i/>
        </w:rPr>
        <w:t>4.1. Differences in NO</w:t>
      </w:r>
      <w:r>
        <w:rPr>
          <w:i/>
          <w:vertAlign w:val="subscript"/>
        </w:rPr>
        <w:t>3</w:t>
      </w:r>
      <w:r>
        <w:rPr>
          <w:i/>
          <w:vertAlign w:val="superscript"/>
        </w:rPr>
        <w:t>-</w:t>
      </w:r>
      <w:r>
        <w:rPr>
          <w:i/>
        </w:rPr>
        <w:t>-N accumulation mechanisms among land uses</w:t>
      </w:r>
    </w:p>
    <w:p w:rsidR="00A34FF4" w:rsidRDefault="00F85F87" w:rsidP="00F85F87">
      <w:pPr>
        <w:numPr>
          <w:ilvl w:val="0"/>
          <w:numId w:val="41"/>
        </w:numPr>
        <w:ind w:hanging="889"/>
      </w:pPr>
      <w:r>
        <w:t>Whereas 67 ± 52 kg ha</w:t>
      </w:r>
      <w:r>
        <w:rPr>
          <w:vertAlign w:val="superscript"/>
        </w:rPr>
        <w:t>-1</w:t>
      </w:r>
      <w:r>
        <w:t xml:space="preserve">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was determined in the upland regolith in the top 1 m in the Red </w:t>
      </w:r>
    </w:p>
    <w:p w:rsidR="00A34FF4" w:rsidRDefault="00F85F87" w:rsidP="00F85F87">
      <w:pPr>
        <w:numPr>
          <w:ilvl w:val="0"/>
          <w:numId w:val="41"/>
        </w:numPr>
        <w:ind w:hanging="889"/>
      </w:pPr>
      <w:r>
        <w:t>Soil CZO, below 1 m the inventory was 827 ± 97 kg N ha</w:t>
      </w:r>
      <w:r>
        <w:rPr>
          <w:vertAlign w:val="superscript"/>
        </w:rPr>
        <w:t>-1</w:t>
      </w:r>
      <w:r>
        <w:t>. Up to 12 times more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may be </w:t>
      </w:r>
    </w:p>
    <w:p w:rsidR="00A34FF4" w:rsidRDefault="00F85F87" w:rsidP="00F85F87">
      <w:pPr>
        <w:numPr>
          <w:ilvl w:val="0"/>
          <w:numId w:val="41"/>
        </w:numPr>
        <w:spacing w:after="0" w:line="626" w:lineRule="auto"/>
        <w:ind w:hanging="889"/>
      </w:pPr>
      <w:r>
        <w:lastRenderedPageBreak/>
        <w:t>present below 1 than abo</w:t>
      </w:r>
      <w:r>
        <w:t>ve 1 m. This study provided evidence of significant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accumulation </w:t>
      </w:r>
      <w:r>
        <w:rPr>
          <w:rFonts w:ascii="Carlito" w:eastAsia="Carlito" w:hAnsi="Carlito" w:cs="Carlito"/>
        </w:rPr>
        <w:t xml:space="preserve">324 </w:t>
      </w:r>
      <w:r>
        <w:t>in upland regoliths (#1, #4, #5 and #8) in the 1- to 4-m depth interval (p &lt; 0.01). The similar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rFonts w:ascii="Carlito" w:eastAsia="Carlito" w:hAnsi="Carlito" w:cs="Carlito"/>
        </w:rPr>
        <w:t xml:space="preserve">325 </w:t>
      </w:r>
      <w:r>
        <w:t>N accumulation pattern between the deep sampling in April (#1, #4, and #5) a</w:t>
      </w:r>
      <w:r>
        <w:t xml:space="preserve">nd November (#8) </w:t>
      </w:r>
    </w:p>
    <w:p w:rsidR="00A34FF4" w:rsidRDefault="00F85F87" w:rsidP="00F85F87">
      <w:pPr>
        <w:numPr>
          <w:ilvl w:val="0"/>
          <w:numId w:val="42"/>
        </w:numPr>
        <w:ind w:hanging="679"/>
      </w:pPr>
      <w:r>
        <w:t>2016 indicated that the accumulated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was not transient over at least seven months. Nitrate N </w:t>
      </w:r>
    </w:p>
    <w:p w:rsidR="00A34FF4" w:rsidRDefault="00F85F87" w:rsidP="00F85F87">
      <w:pPr>
        <w:numPr>
          <w:ilvl w:val="0"/>
          <w:numId w:val="42"/>
        </w:numPr>
        <w:ind w:hanging="679"/>
      </w:pPr>
      <w:r>
        <w:t xml:space="preserve">accumulation in humid regions has previously been ignored, possibly due to formerly assumed low </w:t>
      </w:r>
    </w:p>
    <w:p w:rsidR="00A34FF4" w:rsidRDefault="00F85F87" w:rsidP="00F85F87">
      <w:pPr>
        <w:numPr>
          <w:ilvl w:val="0"/>
          <w:numId w:val="42"/>
        </w:numPr>
        <w:ind w:hanging="679"/>
      </w:pPr>
      <w:r>
        <w:t xml:space="preserve">nitrification rates (Li et al., 2018; Zhang et al., 2018) and the potentially large N losses by severe </w:t>
      </w:r>
    </w:p>
    <w:p w:rsidR="00A34FF4" w:rsidRDefault="00F85F87" w:rsidP="00F85F87">
      <w:pPr>
        <w:numPr>
          <w:ilvl w:val="0"/>
          <w:numId w:val="42"/>
        </w:numPr>
        <w:ind w:hanging="679"/>
      </w:pPr>
      <w:r>
        <w:t xml:space="preserve">erosion and surface runoff (Zhao et al., 2013) from red soils with pH less than 5.5 and where urea </w:t>
      </w:r>
    </w:p>
    <w:p w:rsidR="00A34FF4" w:rsidRDefault="00F85F87" w:rsidP="00F85F87">
      <w:pPr>
        <w:numPr>
          <w:ilvl w:val="0"/>
          <w:numId w:val="42"/>
        </w:numPr>
        <w:ind w:hanging="679"/>
      </w:pPr>
      <w:r>
        <w:t>was the main N fertilizer. The 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-N concentration </w:t>
      </w:r>
      <w:r>
        <w:t xml:space="preserve">in the upland regolith was small and was 1.9 </w:t>
      </w:r>
      <w:r>
        <w:rPr>
          <w:rFonts w:ascii="Carlito" w:eastAsia="Carlito" w:hAnsi="Carlito" w:cs="Carlito"/>
        </w:rPr>
        <w:t>331</w:t>
      </w:r>
      <w:r>
        <w:rPr>
          <w:rFonts w:ascii="Carlito" w:eastAsia="Carlito" w:hAnsi="Carlito" w:cs="Carlito"/>
        </w:rPr>
        <w:tab/>
      </w:r>
      <w:r>
        <w:t>± 0.9 mg kg</w:t>
      </w:r>
      <w:r>
        <w:rPr>
          <w:vertAlign w:val="superscript"/>
        </w:rPr>
        <w:t>-1</w:t>
      </w:r>
      <w:r>
        <w:t>, with a few exceptions (Fig. 3). Nitrogen losses from ammonia volatilization</w:t>
      </w:r>
      <w:r>
        <w:rPr>
          <w:vertAlign w:val="subscript"/>
        </w:rPr>
        <w:t xml:space="preserve"> </w:t>
      </w:r>
      <w:r>
        <w:t xml:space="preserve">and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 xml:space="preserve">denitrification from an upland red soil in Hunan Province, which is adjacent to Jiangxi Province,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>were shown t</w:t>
      </w:r>
      <w:r>
        <w:t xml:space="preserve">o be 1.1 to 4.2% and 0.5 to 1.0% of applied synthetic N fertilizer, respectively (Huang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 xml:space="preserve">et al., 2017). It was previously assumed that nitrification rates were low in acidic soils since the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>availability of the ammonia substrate for ammonia monoxygenase en</w:t>
      </w:r>
      <w:r>
        <w:t xml:space="preserve">zyme of ammonia-oxidizing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 xml:space="preserve">bacteria (AOB) would be limited and AOB were unable to oxidize ammonium in an inorganic liquid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 xml:space="preserve">medium with pH less than 5.5 (De Boer and Kowalchuk, 2001; Li et al., 2018). However, more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>recent studies have confirmed that nitrif</w:t>
      </w:r>
      <w:r>
        <w:t xml:space="preserve">ication can occur in soils at pH as low as 3.0 (De Boer and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 xml:space="preserve">Kowalchuk, 2001; He et al., 2012). The discovery of ammonia monooxygenase in uncultured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 xml:space="preserve">archaea that were functionally active at low pH pointed to ammonia-oxidizing archaea (AOA) that </w:t>
      </w:r>
    </w:p>
    <w:p w:rsidR="00A34FF4" w:rsidRDefault="00F85F87" w:rsidP="00F85F87">
      <w:pPr>
        <w:numPr>
          <w:ilvl w:val="0"/>
          <w:numId w:val="43"/>
        </w:numPr>
        <w:ind w:hanging="679"/>
      </w:pPr>
      <w:r>
        <w:t xml:space="preserve">might be responsible for nitrification in the wider range of acidic soils (He et al., 2012; Li et al., </w:t>
      </w:r>
    </w:p>
    <w:p w:rsidR="00A34FF4" w:rsidRDefault="00F85F87" w:rsidP="00F85F87">
      <w:pPr>
        <w:numPr>
          <w:ilvl w:val="0"/>
          <w:numId w:val="43"/>
        </w:numPr>
        <w:spacing w:after="10" w:line="614" w:lineRule="auto"/>
        <w:ind w:hanging="679"/>
      </w:pPr>
      <w:r>
        <w:lastRenderedPageBreak/>
        <w:t xml:space="preserve">2018). Therefore, in this study, overuse of N fertilizer could result in continuous formation and </w:t>
      </w:r>
      <w:r>
        <w:rPr>
          <w:rFonts w:ascii="Carlito" w:eastAsia="Carlito" w:hAnsi="Carlito" w:cs="Carlito"/>
        </w:rPr>
        <w:t xml:space="preserve">343 </w:t>
      </w:r>
      <w:r>
        <w:t>accumulation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in upland red soils.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>In the</w:t>
      </w:r>
      <w:r>
        <w:t xml:space="preserve"> Red Soil CZO, the accumulated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is easily leachable to the subsoil because of 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 xml:space="preserve">intensive rainfall, which often exceeds 200 mm per month in the wet season (March to June) and </w:t>
      </w:r>
    </w:p>
    <w:p w:rsidR="00A34FF4" w:rsidRDefault="00F85F87" w:rsidP="00F85F87">
      <w:pPr>
        <w:numPr>
          <w:ilvl w:val="0"/>
          <w:numId w:val="44"/>
        </w:numPr>
        <w:spacing w:after="395"/>
        <w:ind w:hanging="889"/>
      </w:pPr>
      <w:r>
        <w:t>accounts for about 50% of the annual total rainfall (Zepp et al., 2005; Tah</w:t>
      </w:r>
      <w:r>
        <w:t>ir et al., 2016).</w:t>
      </w:r>
      <w:r>
        <w:rPr>
          <w:vertAlign w:val="superscript"/>
        </w:rPr>
        <w:t xml:space="preserve"> </w:t>
      </w:r>
      <w:r>
        <w:t>This partly</w:t>
      </w:r>
      <w:r>
        <w:rPr>
          <w:vertAlign w:val="superscript"/>
        </w:rPr>
        <w:t xml:space="preserve"> 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>explains how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has accumulated at depth in the upland regolith. However,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also 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 xml:space="preserve">accumulated at depth in the woodland regolith, though to a lesser extent than for the cultivated 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>upland, except for upland drill site</w:t>
      </w:r>
      <w:r>
        <w:t xml:space="preserve"> #2 at the top slope, which received N mainly from natural sources 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 xml:space="preserve">according to a survey of local farmers. The natural sources of N that the woodland receives include 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>atmospheric deposition and biological N fixation. The woodland receives no direct ferti</w:t>
      </w:r>
      <w:r>
        <w:t xml:space="preserve">lizer N </w:t>
      </w:r>
    </w:p>
    <w:p w:rsidR="00A34FF4" w:rsidRDefault="00F85F87" w:rsidP="00F85F87">
      <w:pPr>
        <w:numPr>
          <w:ilvl w:val="0"/>
          <w:numId w:val="44"/>
        </w:numPr>
        <w:ind w:hanging="889"/>
      </w:pPr>
      <w:r>
        <w:t xml:space="preserve">inputs, but the woodland at the toe slope is located at an elevation several metres lower than the </w:t>
      </w:r>
      <w:r>
        <w:rPr>
          <w:rFonts w:ascii="Carlito" w:eastAsia="Carlito" w:hAnsi="Carlito" w:cs="Carlito"/>
        </w:rPr>
        <w:t>353</w:t>
      </w:r>
      <w:r>
        <w:rPr>
          <w:rFonts w:ascii="Carlito" w:eastAsia="Carlito" w:hAnsi="Carlito" w:cs="Carlito"/>
        </w:rPr>
        <w:tab/>
      </w:r>
      <w:r>
        <w:t xml:space="preserve">surrounding cultivated uplands (Table 1 and Fig. 1), and thus likely receives fertilizer-sourced N </w:t>
      </w:r>
    </w:p>
    <w:p w:rsidR="00A34FF4" w:rsidRDefault="00F85F87">
      <w:pPr>
        <w:spacing w:after="0" w:line="627" w:lineRule="auto"/>
        <w:ind w:left="-5"/>
      </w:pPr>
      <w:r>
        <w:rPr>
          <w:rFonts w:ascii="Carlito" w:eastAsia="Carlito" w:hAnsi="Carlito" w:cs="Carlito"/>
        </w:rPr>
        <w:t xml:space="preserve">354 </w:t>
      </w:r>
      <w:r>
        <w:t>through runoff. Consequently, the N comi</w:t>
      </w:r>
      <w:r>
        <w:t>ng from surrounding uplands could intensify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  <w:r>
        <w:rPr>
          <w:rFonts w:ascii="Carlito" w:eastAsia="Carlito" w:hAnsi="Carlito" w:cs="Carlito"/>
        </w:rPr>
        <w:t xml:space="preserve">355 </w:t>
      </w:r>
      <w:r>
        <w:t>accumulation at depth in the woodland regolith.</w:t>
      </w:r>
    </w:p>
    <w:p w:rsidR="00A34FF4" w:rsidRDefault="00F85F87" w:rsidP="00F85F87">
      <w:pPr>
        <w:numPr>
          <w:ilvl w:val="0"/>
          <w:numId w:val="45"/>
        </w:numPr>
        <w:ind w:hanging="889"/>
      </w:pPr>
      <w:r>
        <w:t>Compared with upland red soils, denitrification in paddy soils was intensive, whereas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</w:p>
    <w:p w:rsidR="00A34FF4" w:rsidRDefault="00F85F87" w:rsidP="00F85F87">
      <w:pPr>
        <w:numPr>
          <w:ilvl w:val="0"/>
          <w:numId w:val="45"/>
        </w:numPr>
        <w:ind w:hanging="889"/>
      </w:pPr>
      <w:r>
        <w:t>leaching was minimal (Ju et al., 2009). In paddy soils in t</w:t>
      </w:r>
      <w:r>
        <w:t xml:space="preserve">he Taihu region where the climate is humid, </w:t>
      </w:r>
    </w:p>
    <w:p w:rsidR="00A34FF4" w:rsidRDefault="00F85F87" w:rsidP="00F85F87">
      <w:pPr>
        <w:numPr>
          <w:ilvl w:val="0"/>
          <w:numId w:val="45"/>
        </w:numPr>
        <w:ind w:hanging="889"/>
      </w:pPr>
      <w:r>
        <w:t xml:space="preserve">N fates of applied fertilizer N in soils over the rice-growing season were reported to be about 36% </w:t>
      </w:r>
    </w:p>
    <w:p w:rsidR="00A34FF4" w:rsidRDefault="00F85F87" w:rsidP="00F85F87">
      <w:pPr>
        <w:numPr>
          <w:ilvl w:val="0"/>
          <w:numId w:val="45"/>
        </w:numPr>
        <w:ind w:hanging="889"/>
      </w:pPr>
      <w:r>
        <w:t xml:space="preserve">of applied fertilizer N by denitrification, 12% by ammonia volatilization, 0.3% by leaching, 30% by </w:t>
      </w:r>
    </w:p>
    <w:p w:rsidR="00A34FF4" w:rsidRDefault="00F85F87" w:rsidP="00F85F87">
      <w:pPr>
        <w:numPr>
          <w:ilvl w:val="0"/>
          <w:numId w:val="45"/>
        </w:numPr>
        <w:ind w:hanging="889"/>
      </w:pPr>
      <w:r>
        <w:t xml:space="preserve">plant uptake and 22% by soil retention in the 1-m depth (Ju et al., 2009). Hence, strong </w:t>
      </w:r>
    </w:p>
    <w:p w:rsidR="00A34FF4" w:rsidRDefault="00F85F87" w:rsidP="00F85F87">
      <w:pPr>
        <w:numPr>
          <w:ilvl w:val="0"/>
          <w:numId w:val="45"/>
        </w:numPr>
        <w:spacing w:after="0" w:line="627" w:lineRule="auto"/>
        <w:ind w:hanging="889"/>
      </w:pPr>
      <w:r>
        <w:lastRenderedPageBreak/>
        <w:t>denitrification and ammonia volatilization in paddy soils may lead to less accumulation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  <w:r>
        <w:rPr>
          <w:rFonts w:ascii="Carlito" w:eastAsia="Carlito" w:hAnsi="Carlito" w:cs="Carlito"/>
        </w:rPr>
        <w:t xml:space="preserve">362 </w:t>
      </w:r>
      <w:r>
        <w:t>below paddy fields than below uplands.</w:t>
      </w:r>
    </w:p>
    <w:p w:rsidR="00A34FF4" w:rsidRDefault="00F85F87" w:rsidP="00F85F87">
      <w:pPr>
        <w:numPr>
          <w:ilvl w:val="0"/>
          <w:numId w:val="46"/>
        </w:numPr>
        <w:spacing w:after="360" w:line="286" w:lineRule="auto"/>
        <w:ind w:hanging="889"/>
      </w:pPr>
      <w:r>
        <w:rPr>
          <w:i/>
        </w:rPr>
        <w:t>4.2. Role of porosity in NO</w:t>
      </w:r>
      <w:r>
        <w:rPr>
          <w:i/>
          <w:vertAlign w:val="subscript"/>
        </w:rPr>
        <w:t>3</w:t>
      </w:r>
      <w:r>
        <w:rPr>
          <w:i/>
          <w:vertAlign w:val="superscript"/>
        </w:rPr>
        <w:t>-</w:t>
      </w:r>
      <w:r>
        <w:rPr>
          <w:i/>
        </w:rPr>
        <w:t>-N accumulation at depth in the regolith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 xml:space="preserve">Pores, including micropores and macropores, in the regolith are the spaces for storing water and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air, and macropores may result in preferential flow and thus are important pathways of w</w:t>
      </w:r>
      <w:r>
        <w:t xml:space="preserve">ater and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 xml:space="preserve">solute movement (Zhang et al., 2016). Fig. 6e and Fig. 6f present both total porosity, macroporosity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and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concentrations for typical upland (#1, #8) and woodland (#6) profiles, respectively.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Nitrate N accumulated at depth in the upland an</w:t>
      </w:r>
      <w:r>
        <w:t xml:space="preserve">d woodland regoliths likely due to the relatively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 xml:space="preserve">large abundance of water-conducting macroporosity at depths shallower than about 3 m, which was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 xml:space="preserve">then rapidly replaced by far lower macroporosity below 3 m, which limited water penetration. The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significan</w:t>
      </w:r>
      <w:r>
        <w:t xml:space="preserve">t decrease of total porosity with depth in the 0- to 3-m depth interval of the upland and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 xml:space="preserve">woodland regoliths may also limit nitrate N movement at depth. Although macroporosity was low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below 3 m for upland regoliths (#1 and #8), 464 ± 80 kg N ha</w:t>
      </w:r>
      <w:r>
        <w:rPr>
          <w:vertAlign w:val="superscript"/>
        </w:rPr>
        <w:t>-1</w:t>
      </w:r>
      <w:r>
        <w:t xml:space="preserve"> for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were still present,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suggesting that microporosity plays a role in slow, but steady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leaching.</w:t>
      </w:r>
    </w:p>
    <w:p w:rsidR="00A34FF4" w:rsidRDefault="00F85F87" w:rsidP="00F85F87">
      <w:pPr>
        <w:numPr>
          <w:ilvl w:val="0"/>
          <w:numId w:val="46"/>
        </w:numPr>
        <w:spacing w:after="360" w:line="286" w:lineRule="auto"/>
        <w:ind w:hanging="889"/>
      </w:pPr>
      <w:r>
        <w:rPr>
          <w:i/>
        </w:rPr>
        <w:t>4.3. Comparisons of NO</w:t>
      </w:r>
      <w:r>
        <w:rPr>
          <w:i/>
          <w:vertAlign w:val="subscript"/>
        </w:rPr>
        <w:t>3</w:t>
      </w:r>
      <w:r>
        <w:rPr>
          <w:i/>
          <w:vertAlign w:val="superscript"/>
        </w:rPr>
        <w:t>-</w:t>
      </w:r>
      <w:r>
        <w:rPr>
          <w:i/>
        </w:rPr>
        <w:t>-N inventories across arid to humid regions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Published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inventories in the top 1 m and subsurface (&lt; 1 m) soils of arid to</w:t>
      </w:r>
      <w:r>
        <w:t xml:space="preserve"> semi-humid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regions were compared with those from this study for a humid region in China. The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 xml:space="preserve">inventories on average for the top 4 m in four upland regoliths (#1, #4, #5 and #8) with the peanut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t>cropping system were measured to be 691 ± 19 kg N ha</w:t>
      </w:r>
      <w:r>
        <w:rPr>
          <w:vertAlign w:val="superscript"/>
        </w:rPr>
        <w:t>-1</w:t>
      </w:r>
      <w:r>
        <w:t xml:space="preserve">.This value was greater than that for wheat </w:t>
      </w:r>
    </w:p>
    <w:p w:rsidR="00A34FF4" w:rsidRDefault="00F85F87" w:rsidP="00F85F87">
      <w:pPr>
        <w:numPr>
          <w:ilvl w:val="0"/>
          <w:numId w:val="46"/>
        </w:numPr>
        <w:ind w:hanging="889"/>
      </w:pPr>
      <w:r>
        <w:lastRenderedPageBreak/>
        <w:t>croplands (453 ± 39 kg N ha</w:t>
      </w:r>
      <w:r>
        <w:rPr>
          <w:vertAlign w:val="superscript"/>
        </w:rPr>
        <w:t>-1</w:t>
      </w:r>
      <w:r>
        <w:t>), comparable to that of maize croplands (749 ± 39 kg N ha</w:t>
      </w:r>
      <w:r>
        <w:rPr>
          <w:vertAlign w:val="superscript"/>
        </w:rPr>
        <w:t>-1</w:t>
      </w:r>
      <w:r>
        <w:t xml:space="preserve">) and </w:t>
      </w:r>
    </w:p>
    <w:p w:rsidR="00A34FF4" w:rsidRDefault="00F85F87" w:rsidP="00F85F87">
      <w:pPr>
        <w:numPr>
          <w:ilvl w:val="0"/>
          <w:numId w:val="46"/>
        </w:numPr>
        <w:spacing w:after="3" w:line="624" w:lineRule="auto"/>
        <w:ind w:hanging="889"/>
      </w:pPr>
      <w:r>
        <w:t>lower than that for vegetables and orchards (1191 to 2155 kg N ha</w:t>
      </w:r>
      <w:r>
        <w:rPr>
          <w:vertAlign w:val="superscript"/>
        </w:rPr>
        <w:t>-1</w:t>
      </w:r>
      <w:r>
        <w:t xml:space="preserve">) for regoliths in semi-humid </w:t>
      </w:r>
      <w:r>
        <w:rPr>
          <w:rFonts w:ascii="Carlito" w:eastAsia="Carlito" w:hAnsi="Carlito" w:cs="Carlito"/>
        </w:rPr>
        <w:t xml:space="preserve">382 </w:t>
      </w:r>
      <w:r>
        <w:t>areas of China measured over the same depth (Zhou et al., 2016). These results suggest that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rFonts w:ascii="Carlito" w:eastAsia="Carlito" w:hAnsi="Carlito" w:cs="Carlito"/>
        </w:rPr>
        <w:t xml:space="preserve">383 </w:t>
      </w:r>
      <w:r>
        <w:t>N accumulation in these intensive croplands may be widespread. About 70%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was stored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>in the subsoils in the 1- to 4-m depth interval of the semi-h</w:t>
      </w:r>
      <w:r>
        <w:t xml:space="preserve">umid areas of China (Zhou et al., 2016),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>while 92%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was stored in the subsoils in the 1- to 8-m depth interval in this study. These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 xml:space="preserve">data indicate that the subsoil zone may be an important sink of nitrate globally. Nitrate N inventories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>from a d</w:t>
      </w:r>
      <w:r>
        <w:t>epth of 1 m to bedrock were 283 kg N ha</w:t>
      </w:r>
      <w:r>
        <w:rPr>
          <w:vertAlign w:val="superscript"/>
        </w:rPr>
        <w:t>-1</w:t>
      </w:r>
      <w:r>
        <w:t xml:space="preserve"> for woodland (#6) and 169 kg N ha</w:t>
      </w:r>
      <w:r>
        <w:rPr>
          <w:vertAlign w:val="superscript"/>
        </w:rPr>
        <w:t>-1</w:t>
      </w:r>
      <w:r>
        <w:t xml:space="preserve"> for upland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>(drill site #2) compared to the 30 to 13,600 kg N ha</w:t>
      </w:r>
      <w:r>
        <w:rPr>
          <w:vertAlign w:val="superscript"/>
        </w:rPr>
        <w:t>-1</w:t>
      </w:r>
      <w:r>
        <w:t xml:space="preserve"> reported for regolith from a depth of 1 m to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 xml:space="preserve">the maximum depth (10 to 30 m) sampled in semiarid-to-arid desert soil sites in the western United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>States. The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inventories in this study were smaller than those in the desert subsoils in most </w:t>
      </w:r>
    </w:p>
    <w:p w:rsidR="00A34FF4" w:rsidRDefault="00F85F87" w:rsidP="00F85F87">
      <w:pPr>
        <w:numPr>
          <w:ilvl w:val="0"/>
          <w:numId w:val="47"/>
        </w:numPr>
        <w:ind w:hanging="679"/>
      </w:pPr>
      <w:r>
        <w:t>cases. This may be due to the long-term accumulation of</w:t>
      </w:r>
      <w:r>
        <w:t xml:space="preserve"> naturally sourced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throughout the </w:t>
      </w:r>
    </w:p>
    <w:p w:rsidR="00A34FF4" w:rsidRDefault="00F85F87" w:rsidP="00F85F87">
      <w:pPr>
        <w:numPr>
          <w:ilvl w:val="0"/>
          <w:numId w:val="47"/>
        </w:numPr>
        <w:spacing w:after="0" w:line="627" w:lineRule="auto"/>
        <w:ind w:hanging="679"/>
      </w:pPr>
      <w:r>
        <w:t>Holocene and the slow leaching in the desert soils, together with the fast leaching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to </w:t>
      </w:r>
      <w:r>
        <w:rPr>
          <w:rFonts w:ascii="Carlito" w:eastAsia="Carlito" w:hAnsi="Carlito" w:cs="Carlito"/>
        </w:rPr>
        <w:t xml:space="preserve">393 </w:t>
      </w:r>
      <w:r>
        <w:t>shallow groundwater under the large rainfall experienced in our studied area.</w:t>
      </w:r>
    </w:p>
    <w:p w:rsidR="00A34FF4" w:rsidRDefault="00F85F87" w:rsidP="00F85F87">
      <w:pPr>
        <w:numPr>
          <w:ilvl w:val="0"/>
          <w:numId w:val="48"/>
        </w:numPr>
        <w:spacing w:after="360" w:line="286" w:lineRule="auto"/>
        <w:ind w:hanging="679"/>
        <w:jc w:val="left"/>
      </w:pPr>
      <w:r>
        <w:rPr>
          <w:i/>
        </w:rPr>
        <w:t>4.4. Threats of NO</w:t>
      </w:r>
      <w:r>
        <w:rPr>
          <w:i/>
          <w:vertAlign w:val="subscript"/>
        </w:rPr>
        <w:t>3</w:t>
      </w:r>
      <w:r>
        <w:rPr>
          <w:i/>
          <w:vertAlign w:val="superscript"/>
        </w:rPr>
        <w:t>-</w:t>
      </w:r>
      <w:r>
        <w:rPr>
          <w:i/>
        </w:rPr>
        <w:t>-N to groundwat</w:t>
      </w:r>
      <w:r>
        <w:rPr>
          <w:i/>
        </w:rPr>
        <w:t>er</w:t>
      </w:r>
    </w:p>
    <w:p w:rsidR="00A34FF4" w:rsidRDefault="00F85F87" w:rsidP="00F85F87">
      <w:pPr>
        <w:numPr>
          <w:ilvl w:val="0"/>
          <w:numId w:val="48"/>
        </w:numPr>
        <w:spacing w:line="627" w:lineRule="auto"/>
        <w:ind w:hanging="679"/>
        <w:jc w:val="left"/>
      </w:pPr>
      <w:r>
        <w:t>Subsoil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reservoirs may adversely affect groundwater quality due to leaching (Reynolds</w:t>
      </w:r>
      <w:r>
        <w:rPr>
          <w:rFonts w:ascii="Carlito" w:eastAsia="Carlito" w:hAnsi="Carlito" w:cs="Carlito"/>
        </w:rPr>
        <w:t xml:space="preserve">396 </w:t>
      </w:r>
      <w:r>
        <w:t xml:space="preserve">Vargas et al., 1994, 2006; Reynolds-Vargas and Richter, 1995). Large nitrate levels in drinking </w:t>
      </w:r>
      <w:r>
        <w:rPr>
          <w:rFonts w:ascii="Carlito" w:eastAsia="Carlito" w:hAnsi="Carlito" w:cs="Carlito"/>
        </w:rPr>
        <w:t>397</w:t>
      </w:r>
      <w:r>
        <w:rPr>
          <w:rFonts w:ascii="Carlito" w:eastAsia="Carlito" w:hAnsi="Carlito" w:cs="Carlito"/>
        </w:rPr>
        <w:tab/>
      </w:r>
      <w:r>
        <w:t>water can pose long-term threats to public health and inc</w:t>
      </w:r>
      <w:r>
        <w:t xml:space="preserve">rease risks for methemoglobinemia, birth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lastRenderedPageBreak/>
        <w:t xml:space="preserve">defects and certain cancers (Ward et al., 1996, 2005, 2010; Knobeloch et al., 2000; Brender et al.,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>2013). Based on groundwater observations in 2017, the median concentration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and the </w:t>
      </w:r>
    </w:p>
    <w:p w:rsidR="00A34FF4" w:rsidRDefault="00F85F87" w:rsidP="00F85F87">
      <w:pPr>
        <w:numPr>
          <w:ilvl w:val="0"/>
          <w:numId w:val="49"/>
        </w:numPr>
        <w:spacing w:after="399"/>
        <w:ind w:hanging="679"/>
      </w:pPr>
      <w:r>
        <w:t xml:space="preserve">depth of the water </w:t>
      </w:r>
      <w:r>
        <w:t>table of the Red Soil CZO groundwater were measured to be 6.5 mg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L</w:t>
      </w:r>
      <w:r>
        <w:rPr>
          <w:vertAlign w:val="superscript"/>
        </w:rPr>
        <w:t xml:space="preserve">-1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>and usually in the 4- to 6-m depth interval, respectively. When considering the large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 xml:space="preserve">inventories in the 1-to 4-m depth interval and shallow groundwater, it is important to integrate N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 xml:space="preserve">nutrient management for food security and environmental quality. Furthermore, nitrate can persist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 xml:space="preserve">in the groundwater and possibly in the deep regolith for </w:t>
      </w:r>
      <w:r>
        <w:t xml:space="preserve">decades, and risks of nitrate movement to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 xml:space="preserve">groundwater could exist for a long time even if N fertilizer is not over-applied to soils (Exner et al.,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 xml:space="preserve">2014). These issues may not only be serious in our studied CZO, in which the regolith is mainly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 xml:space="preserve">comprised </w:t>
      </w:r>
      <w:r>
        <w:t xml:space="preserve">of Quaternary red clay, but may also have a great significance in other humid regions </w:t>
      </w:r>
    </w:p>
    <w:p w:rsidR="00A34FF4" w:rsidRDefault="00F85F87" w:rsidP="00F85F87">
      <w:pPr>
        <w:numPr>
          <w:ilvl w:val="0"/>
          <w:numId w:val="49"/>
        </w:numPr>
        <w:ind w:hanging="679"/>
      </w:pPr>
      <w:r>
        <w:t xml:space="preserve">where similar parent material is widely distributed in the middle and lower reaches of the Yangtze </w:t>
      </w:r>
    </w:p>
    <w:p w:rsidR="00A34FF4" w:rsidRDefault="00F85F87" w:rsidP="00F85F87">
      <w:pPr>
        <w:numPr>
          <w:ilvl w:val="0"/>
          <w:numId w:val="49"/>
        </w:numPr>
        <w:spacing w:after="0" w:line="627" w:lineRule="auto"/>
        <w:ind w:hanging="679"/>
      </w:pPr>
      <w:r>
        <w:t>River (Hu et al., 2010). The possible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accumulation in the upla</w:t>
      </w:r>
      <w:r>
        <w:t xml:space="preserve">nd red soil regoliths derived </w:t>
      </w:r>
      <w:r>
        <w:rPr>
          <w:rFonts w:ascii="Carlito" w:eastAsia="Carlito" w:hAnsi="Carlito" w:cs="Carlito"/>
        </w:rPr>
        <w:t xml:space="preserve">410 </w:t>
      </w:r>
      <w:r>
        <w:t>from other bedrock types, including granite and basalt, in humid regions should also be investigated.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411</w:t>
      </w:r>
    </w:p>
    <w:p w:rsidR="00A34FF4" w:rsidRDefault="00F85F87" w:rsidP="00F85F87">
      <w:pPr>
        <w:numPr>
          <w:ilvl w:val="0"/>
          <w:numId w:val="50"/>
        </w:numPr>
        <w:spacing w:after="360" w:line="284" w:lineRule="auto"/>
        <w:ind w:hanging="889"/>
      </w:pPr>
      <w:r>
        <w:rPr>
          <w:b/>
        </w:rPr>
        <w:t>5.</w:t>
      </w:r>
      <w:r>
        <w:rPr>
          <w:b/>
        </w:rPr>
        <w:tab/>
        <w:t>Conclusions</w:t>
      </w:r>
    </w:p>
    <w:p w:rsidR="00A34FF4" w:rsidRDefault="00F85F87" w:rsidP="00F85F87">
      <w:pPr>
        <w:numPr>
          <w:ilvl w:val="0"/>
          <w:numId w:val="50"/>
        </w:numPr>
        <w:ind w:hanging="889"/>
      </w:pPr>
      <w:r>
        <w:t>For the first time,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-N and DON accumulation were reported in the deep regolith of red soil </w:t>
      </w:r>
    </w:p>
    <w:p w:rsidR="00A34FF4" w:rsidRDefault="00F85F87" w:rsidP="00F85F87">
      <w:pPr>
        <w:numPr>
          <w:ilvl w:val="0"/>
          <w:numId w:val="50"/>
        </w:numPr>
        <w:ind w:hanging="889"/>
      </w:pPr>
      <w:r>
        <w:t xml:space="preserve">under upland and woodland land uses in a humid region in China. Land use types under different </w:t>
      </w:r>
    </w:p>
    <w:p w:rsidR="00A34FF4" w:rsidRDefault="00F85F87" w:rsidP="00F85F87">
      <w:pPr>
        <w:numPr>
          <w:ilvl w:val="0"/>
          <w:numId w:val="50"/>
        </w:numPr>
        <w:ind w:hanging="889"/>
      </w:pPr>
      <w:r>
        <w:t xml:space="preserve">amounts of N inputs and water regimes strongly affected reactive N inventories at depth in the </w:t>
      </w:r>
    </w:p>
    <w:p w:rsidR="00A34FF4" w:rsidRDefault="00F85F87" w:rsidP="00F85F87">
      <w:pPr>
        <w:numPr>
          <w:ilvl w:val="0"/>
          <w:numId w:val="50"/>
        </w:numPr>
        <w:ind w:hanging="889"/>
      </w:pPr>
      <w:r>
        <w:t>typical red soil Critical Zone. Neglecting large stocks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</w:t>
      </w:r>
      <w:r>
        <w:t xml:space="preserve">N and DON at depth in the Critical </w:t>
      </w:r>
    </w:p>
    <w:p w:rsidR="00A34FF4" w:rsidRDefault="00F85F87" w:rsidP="00F85F87">
      <w:pPr>
        <w:numPr>
          <w:ilvl w:val="0"/>
          <w:numId w:val="50"/>
        </w:numPr>
        <w:ind w:hanging="889"/>
      </w:pPr>
      <w:r>
        <w:t xml:space="preserve">Zone may greatly underestimate N inventories and potential risks of reactive N to groundwater. </w:t>
      </w:r>
    </w:p>
    <w:p w:rsidR="00A34FF4" w:rsidRDefault="00F85F87" w:rsidP="00F85F87">
      <w:pPr>
        <w:numPr>
          <w:ilvl w:val="0"/>
          <w:numId w:val="50"/>
        </w:numPr>
        <w:spacing w:after="352"/>
        <w:ind w:hanging="889"/>
      </w:pPr>
      <w:r>
        <w:lastRenderedPageBreak/>
        <w:t xml:space="preserve">Regolith macropores (&gt; 25 </w:t>
      </w:r>
      <w:r>
        <w:t>μm)</w:t>
      </w:r>
      <w:r>
        <w:t xml:space="preserve"> most likely contributed to nitrate leaching through the regolith, </w:t>
      </w:r>
      <w:r>
        <w:rPr>
          <w:rFonts w:ascii="Carlito" w:eastAsia="Carlito" w:hAnsi="Carlito" w:cs="Carlito"/>
        </w:rPr>
        <w:t>419</w:t>
      </w:r>
      <w:r>
        <w:rPr>
          <w:rFonts w:ascii="Carlito" w:eastAsia="Carlito" w:hAnsi="Carlito" w:cs="Carlito"/>
        </w:rPr>
        <w:tab/>
      </w:r>
      <w:r>
        <w:t>while low permeability o</w:t>
      </w:r>
      <w:r>
        <w:t>f the deep regolith likely contributed to the accumulation of nitrate.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420</w:t>
      </w:r>
    </w:p>
    <w:p w:rsidR="00A34FF4" w:rsidRDefault="00F85F87" w:rsidP="00F85F87">
      <w:pPr>
        <w:numPr>
          <w:ilvl w:val="0"/>
          <w:numId w:val="51"/>
        </w:numPr>
        <w:spacing w:after="360" w:line="284" w:lineRule="auto"/>
        <w:ind w:hanging="679"/>
        <w:jc w:val="left"/>
      </w:pPr>
      <w:r>
        <w:rPr>
          <w:b/>
        </w:rPr>
        <w:t>Appendix A. Supplementary data</w:t>
      </w:r>
    </w:p>
    <w:p w:rsidR="00A34FF4" w:rsidRDefault="00F85F87" w:rsidP="00F85F87">
      <w:pPr>
        <w:numPr>
          <w:ilvl w:val="0"/>
          <w:numId w:val="51"/>
        </w:numPr>
        <w:spacing w:after="352"/>
        <w:ind w:hanging="679"/>
        <w:jc w:val="left"/>
      </w:pPr>
      <w:r>
        <w:t>Supplementary data related to this article can be found online.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423</w:t>
      </w:r>
    </w:p>
    <w:p w:rsidR="00A34FF4" w:rsidRDefault="00F85F87" w:rsidP="00F85F87">
      <w:pPr>
        <w:numPr>
          <w:ilvl w:val="0"/>
          <w:numId w:val="52"/>
        </w:numPr>
        <w:spacing w:after="360" w:line="284" w:lineRule="auto"/>
        <w:ind w:hanging="889"/>
      </w:pPr>
      <w:r>
        <w:rPr>
          <w:b/>
        </w:rPr>
        <w:t>Acknowledgements</w:t>
      </w:r>
    </w:p>
    <w:p w:rsidR="00A34FF4" w:rsidRDefault="00F85F87" w:rsidP="00F85F87">
      <w:pPr>
        <w:numPr>
          <w:ilvl w:val="0"/>
          <w:numId w:val="52"/>
        </w:numPr>
        <w:ind w:hanging="889"/>
      </w:pPr>
      <w:r>
        <w:t>This study was financially supported by the National Natural Scie</w:t>
      </w:r>
      <w:r>
        <w:t xml:space="preserve">nce Foundation of China </w:t>
      </w:r>
    </w:p>
    <w:p w:rsidR="00A34FF4" w:rsidRDefault="00F85F87" w:rsidP="00F85F87">
      <w:pPr>
        <w:numPr>
          <w:ilvl w:val="0"/>
          <w:numId w:val="52"/>
        </w:numPr>
        <w:ind w:hanging="889"/>
      </w:pPr>
      <w:r>
        <w:t xml:space="preserve">(41571130051; 41501228; 41771251) and by the Frontier Program of the Institute of Soil Science, </w:t>
      </w:r>
    </w:p>
    <w:p w:rsidR="00A34FF4" w:rsidRDefault="00F85F87" w:rsidP="00F85F87">
      <w:pPr>
        <w:numPr>
          <w:ilvl w:val="0"/>
          <w:numId w:val="52"/>
        </w:numPr>
        <w:spacing w:after="0" w:line="618" w:lineRule="auto"/>
        <w:ind w:hanging="889"/>
      </w:pPr>
      <w:r>
        <w:t xml:space="preserve">Chinese Academy of Sciences (ISSASIP1625). This research was part of the China-UK Red Soil </w:t>
      </w:r>
      <w:r>
        <w:rPr>
          <w:rFonts w:ascii="Carlito" w:eastAsia="Carlito" w:hAnsi="Carlito" w:cs="Carlito"/>
        </w:rPr>
        <w:t xml:space="preserve">428 </w:t>
      </w:r>
      <w:r>
        <w:t>Critical Zone project co-financed by th</w:t>
      </w:r>
      <w:r>
        <w:t xml:space="preserve">e Natural Environmental Research Council (NERC: 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429 </w:t>
      </w:r>
      <w:r>
        <w:t xml:space="preserve">NE/N007611/1; NE/N007484/1) under the Newton Fund scheme. We would like to thank the editor </w:t>
      </w:r>
      <w:r>
        <w:rPr>
          <w:rFonts w:ascii="Carlito" w:eastAsia="Carlito" w:hAnsi="Carlito" w:cs="Carlito"/>
        </w:rPr>
        <w:t xml:space="preserve">430 </w:t>
      </w:r>
      <w:r>
        <w:t>and anonymous reviewers for their thoughtful comments that have greatly improved our manuscript.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431</w:t>
      </w:r>
    </w:p>
    <w:p w:rsidR="00A34FF4" w:rsidRDefault="00F85F87" w:rsidP="00F85F87">
      <w:pPr>
        <w:numPr>
          <w:ilvl w:val="0"/>
          <w:numId w:val="53"/>
        </w:numPr>
        <w:spacing w:after="360" w:line="284" w:lineRule="auto"/>
        <w:ind w:hanging="679"/>
        <w:jc w:val="left"/>
      </w:pPr>
      <w:r>
        <w:rPr>
          <w:b/>
        </w:rPr>
        <w:t>References</w:t>
      </w:r>
    </w:p>
    <w:p w:rsidR="00A34FF4" w:rsidRDefault="00F85F87" w:rsidP="00F85F87">
      <w:pPr>
        <w:numPr>
          <w:ilvl w:val="0"/>
          <w:numId w:val="53"/>
        </w:numPr>
        <w:spacing w:after="0" w:line="618" w:lineRule="auto"/>
        <w:ind w:hanging="679"/>
        <w:jc w:val="left"/>
      </w:pPr>
      <w:r>
        <w:t xml:space="preserve">Ascott, M.J., Gooddy, D.C., Wang, L., Stuart, M.E., Lewis, M.A., Ward, R.S., Binley, A.M., 2017. </w:t>
      </w:r>
      <w:r>
        <w:rPr>
          <w:rFonts w:ascii="Carlito" w:eastAsia="Carlito" w:hAnsi="Carlito" w:cs="Carlito"/>
        </w:rPr>
        <w:t>434</w:t>
      </w:r>
      <w:r>
        <w:rPr>
          <w:rFonts w:ascii="Carlito" w:eastAsia="Carlito" w:hAnsi="Carlito" w:cs="Carlito"/>
        </w:rPr>
        <w:tab/>
      </w:r>
      <w:r>
        <w:t>Global patterns of nitrate storage in the vadose zone. Nat. Commun. 8, 1416.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435 </w:t>
      </w:r>
      <w:r>
        <w:t>Ascott, M.J., Wang, L., Stuart, M.E., Ward, R.S., Hart, A., 201</w:t>
      </w:r>
      <w:r>
        <w:t xml:space="preserve">6. Quantification of nitrate storage </w:t>
      </w:r>
      <w:r>
        <w:rPr>
          <w:rFonts w:ascii="Carlito" w:eastAsia="Carlito" w:hAnsi="Carlito" w:cs="Carlito"/>
        </w:rPr>
        <w:t xml:space="preserve">436 </w:t>
      </w:r>
      <w:r>
        <w:t xml:space="preserve">in the vadose (unsaturated) zone: a missing component of terrestrial N budgets. Hydrol. Process. </w:t>
      </w:r>
    </w:p>
    <w:p w:rsidR="00A34FF4" w:rsidRDefault="00F85F87" w:rsidP="00F85F87">
      <w:pPr>
        <w:numPr>
          <w:ilvl w:val="0"/>
          <w:numId w:val="54"/>
        </w:numPr>
        <w:ind w:hanging="1099"/>
      </w:pPr>
      <w:r>
        <w:t>30, 1903–1915.</w:t>
      </w:r>
    </w:p>
    <w:p w:rsidR="00A34FF4" w:rsidRDefault="00F85F87" w:rsidP="00F85F87">
      <w:pPr>
        <w:numPr>
          <w:ilvl w:val="0"/>
          <w:numId w:val="54"/>
        </w:numPr>
        <w:ind w:hanging="1099"/>
      </w:pPr>
      <w:r>
        <w:t xml:space="preserve">Brender, J.D., Weyer, P.J., Romitti, P.A., Mohanty, B.P., Shinde, M.U., Vuong, A.M., Sharkey, J.R., </w:t>
      </w:r>
    </w:p>
    <w:p w:rsidR="00A34FF4" w:rsidRDefault="00F85F87" w:rsidP="00F85F87">
      <w:pPr>
        <w:numPr>
          <w:ilvl w:val="0"/>
          <w:numId w:val="54"/>
        </w:numPr>
        <w:ind w:hanging="1099"/>
      </w:pPr>
      <w:r>
        <w:lastRenderedPageBreak/>
        <w:t xml:space="preserve">Dwivedi, D., Horel, S.A., Kantamneni, J., Huber, J.C. Jr., Zheng, Q., Werler, M.M., Kelley, </w:t>
      </w:r>
    </w:p>
    <w:p w:rsidR="00A34FF4" w:rsidRDefault="00F85F87" w:rsidP="00F85F87">
      <w:pPr>
        <w:numPr>
          <w:ilvl w:val="0"/>
          <w:numId w:val="54"/>
        </w:numPr>
        <w:spacing w:after="0" w:line="618" w:lineRule="auto"/>
        <w:ind w:hanging="1099"/>
      </w:pPr>
      <w:r>
        <w:t xml:space="preserve">K.E., Griesenbeck, J.S., Zhan, F.B., Langlois, P.H., Suarez, L., Canfield, M.A., 2013. Prenatal </w:t>
      </w:r>
      <w:r>
        <w:rPr>
          <w:rFonts w:ascii="Carlito" w:eastAsia="Carlito" w:hAnsi="Carlito" w:cs="Carlito"/>
        </w:rPr>
        <w:t xml:space="preserve">441 </w:t>
      </w:r>
      <w:r>
        <w:t>nitrate intake from drinking water and selected birth defects i</w:t>
      </w:r>
      <w:r>
        <w:t xml:space="preserve">n offspring of participants in the </w:t>
      </w:r>
      <w:r>
        <w:rPr>
          <w:rFonts w:ascii="Carlito" w:eastAsia="Carlito" w:hAnsi="Carlito" w:cs="Carlito"/>
        </w:rPr>
        <w:t xml:space="preserve">442 </w:t>
      </w:r>
      <w:r>
        <w:t xml:space="preserve">National Birth Defects Prevention Study. Environ. Health Perspect. 121, </w:t>
      </w:r>
      <w:r>
        <w:t>1083−1089.</w:t>
      </w:r>
    </w:p>
    <w:p w:rsidR="00A34FF4" w:rsidRDefault="00F85F87" w:rsidP="00F85F87">
      <w:pPr>
        <w:numPr>
          <w:ilvl w:val="0"/>
          <w:numId w:val="55"/>
        </w:numPr>
        <w:ind w:hanging="679"/>
      </w:pPr>
      <w:r>
        <w:t xml:space="preserve">Chorover, J., Anderson, S., Aufdenkampe, A.K., Bales, R.C., Brantley, S.L., Dietrich, W., Kumar, </w:t>
      </w:r>
    </w:p>
    <w:p w:rsidR="00A34FF4" w:rsidRDefault="00F85F87" w:rsidP="00F85F87">
      <w:pPr>
        <w:numPr>
          <w:ilvl w:val="0"/>
          <w:numId w:val="55"/>
        </w:numPr>
        <w:spacing w:after="0" w:line="618" w:lineRule="auto"/>
        <w:ind w:hanging="679"/>
      </w:pPr>
      <w:r>
        <w:t>P., Lohse, K.A., McDowell, W., Richt</w:t>
      </w:r>
      <w:r>
        <w:t xml:space="preserve">er, D., White, T., 2015. Common Critical Zone </w:t>
      </w:r>
      <w:r>
        <w:rPr>
          <w:rFonts w:ascii="Carlito" w:eastAsia="Carlito" w:hAnsi="Carlito" w:cs="Carlito"/>
        </w:rPr>
        <w:t xml:space="preserve">445 </w:t>
      </w:r>
      <w:r>
        <w:t xml:space="preserve">Observatory (CZO) Infrastructure and Measurements. A Guide Prepared By CZO PIs, May 05, </w:t>
      </w:r>
    </w:p>
    <w:p w:rsidR="00A34FF4" w:rsidRDefault="00F85F87" w:rsidP="00F85F87">
      <w:pPr>
        <w:numPr>
          <w:ilvl w:val="0"/>
          <w:numId w:val="56"/>
        </w:numPr>
        <w:ind w:hanging="1099"/>
      </w:pPr>
      <w:r>
        <w:t>2015.</w:t>
      </w:r>
    </w:p>
    <w:p w:rsidR="00A34FF4" w:rsidRDefault="00F85F87" w:rsidP="00F85F87">
      <w:pPr>
        <w:numPr>
          <w:ilvl w:val="0"/>
          <w:numId w:val="56"/>
        </w:numPr>
        <w:ind w:hanging="1099"/>
      </w:pPr>
      <w:r>
        <w:t xml:space="preserve">Cui, S., Shi, Y., Groffman, P.M., Schlesinger, W.H., Zhu, Y., 2013. Centennial-scale analysis of the </w:t>
      </w:r>
    </w:p>
    <w:p w:rsidR="00A34FF4" w:rsidRDefault="00F85F87" w:rsidP="00F85F87">
      <w:pPr>
        <w:numPr>
          <w:ilvl w:val="0"/>
          <w:numId w:val="56"/>
        </w:numPr>
        <w:ind w:hanging="1099"/>
      </w:pPr>
      <w:r>
        <w:t xml:space="preserve">creation </w:t>
      </w:r>
      <w:r>
        <w:t>and fate of reactive nitrogen in China (1910-2010). Proc. Natl. Acad. Sci.</w:t>
      </w:r>
      <w:r>
        <w:rPr>
          <w:i/>
        </w:rPr>
        <w:t xml:space="preserve"> </w:t>
      </w:r>
      <w:r>
        <w:t xml:space="preserve">U. S. A. </w:t>
      </w:r>
    </w:p>
    <w:p w:rsidR="00A34FF4" w:rsidRDefault="00F85F87" w:rsidP="00F85F87">
      <w:pPr>
        <w:numPr>
          <w:ilvl w:val="0"/>
          <w:numId w:val="56"/>
        </w:numPr>
        <w:ind w:hanging="1099"/>
      </w:pPr>
      <w:r>
        <w:t>110, 2052–2057.</w:t>
      </w:r>
    </w:p>
    <w:p w:rsidR="00A34FF4" w:rsidRDefault="00F85F87" w:rsidP="00F85F87">
      <w:pPr>
        <w:numPr>
          <w:ilvl w:val="0"/>
          <w:numId w:val="56"/>
        </w:numPr>
        <w:spacing w:after="0" w:line="617" w:lineRule="auto"/>
        <w:ind w:hanging="1099"/>
      </w:pPr>
      <w:r>
        <w:t xml:space="preserve">De Boer, W., Kowalchuk, G.A., 2001. Nitrification in acid soils: micro-organisms and mechanisms. </w:t>
      </w:r>
      <w:r>
        <w:rPr>
          <w:rFonts w:ascii="Carlito" w:eastAsia="Carlito" w:hAnsi="Carlito" w:cs="Carlito"/>
        </w:rPr>
        <w:t xml:space="preserve">451 </w:t>
      </w:r>
      <w:r>
        <w:t>Soil Biol. Biochem. 33, 853–866.</w:t>
      </w:r>
    </w:p>
    <w:p w:rsidR="00A34FF4" w:rsidRDefault="00F85F87" w:rsidP="00F85F87">
      <w:pPr>
        <w:numPr>
          <w:ilvl w:val="0"/>
          <w:numId w:val="57"/>
        </w:numPr>
        <w:ind w:hanging="1099"/>
      </w:pPr>
      <w:r>
        <w:t xml:space="preserve">Dentener, F., Stevenson, D., Ellingsen, K., van Noije, T., Schultz, M., Amann, M., Atherton, C., </w:t>
      </w:r>
    </w:p>
    <w:p w:rsidR="00A34FF4" w:rsidRDefault="00F85F87" w:rsidP="00F85F87">
      <w:pPr>
        <w:numPr>
          <w:ilvl w:val="0"/>
          <w:numId w:val="57"/>
        </w:numPr>
        <w:ind w:hanging="1099"/>
      </w:pPr>
      <w:r>
        <w:t xml:space="preserve">Bell, N., Bergmann, D., Bey, I., Bouwman, L., Butler, T., Cofala, J., Collins, B., Drevet, J., </w:t>
      </w:r>
    </w:p>
    <w:p w:rsidR="00A34FF4" w:rsidRDefault="00F85F87" w:rsidP="00F85F87">
      <w:pPr>
        <w:numPr>
          <w:ilvl w:val="0"/>
          <w:numId w:val="57"/>
        </w:numPr>
        <w:ind w:hanging="1099"/>
      </w:pPr>
      <w:r>
        <w:t>Doherty, R., Eickhout, B., Eskes, H., Fiore, A., Gauss, M., Ha</w:t>
      </w:r>
      <w:r>
        <w:t xml:space="preserve">uglustaine, D., Horowitz, L. </w:t>
      </w:r>
    </w:p>
    <w:p w:rsidR="00A34FF4" w:rsidRDefault="00F85F87" w:rsidP="00F85F87">
      <w:pPr>
        <w:numPr>
          <w:ilvl w:val="0"/>
          <w:numId w:val="57"/>
        </w:numPr>
        <w:ind w:hanging="1099"/>
      </w:pPr>
      <w:r>
        <w:t xml:space="preserve">Isaksen, I.S.A., Josse, B., Lawrence, M., Krol, M., Lamarque, J.F., Montanaro, V., Müller, J.F., </w:t>
      </w:r>
    </w:p>
    <w:p w:rsidR="00A34FF4" w:rsidRDefault="00F85F87" w:rsidP="00F85F87">
      <w:pPr>
        <w:numPr>
          <w:ilvl w:val="0"/>
          <w:numId w:val="57"/>
        </w:numPr>
        <w:ind w:hanging="1099"/>
      </w:pPr>
      <w:r>
        <w:t xml:space="preserve">Peuch, V.H., Pitari, G., Pyle, J., Rast, S., Rodriguez, J., Sanderson, M., Savage, N.H., Shindell, </w:t>
      </w:r>
    </w:p>
    <w:p w:rsidR="00A34FF4" w:rsidRDefault="00F85F87" w:rsidP="00F85F87">
      <w:pPr>
        <w:numPr>
          <w:ilvl w:val="0"/>
          <w:numId w:val="57"/>
        </w:numPr>
        <w:spacing w:after="0" w:line="618" w:lineRule="auto"/>
        <w:ind w:hanging="1099"/>
      </w:pPr>
      <w:r>
        <w:t xml:space="preserve">D., Strahan, S., Szopa, S., </w:t>
      </w:r>
      <w:r>
        <w:t xml:space="preserve">Sudo, K., van Dingenen, R., Wild, O., Zeng, G., 2006. The global </w:t>
      </w:r>
      <w:r>
        <w:rPr>
          <w:rFonts w:ascii="Carlito" w:eastAsia="Carlito" w:hAnsi="Carlito" w:cs="Carlito"/>
        </w:rPr>
        <w:t xml:space="preserve">458 </w:t>
      </w:r>
      <w:r>
        <w:t>atmospheric environment for the next generation. Environ. Sci. Technol. 40, 3586–3594.</w:t>
      </w:r>
    </w:p>
    <w:p w:rsidR="00A34FF4" w:rsidRDefault="00F85F87" w:rsidP="00F85F87">
      <w:pPr>
        <w:numPr>
          <w:ilvl w:val="0"/>
          <w:numId w:val="58"/>
        </w:numPr>
        <w:ind w:hanging="679"/>
      </w:pPr>
      <w:r>
        <w:lastRenderedPageBreak/>
        <w:t xml:space="preserve">Doube, M., Klosowski, M.M., Arganda-Carreras, I., Cordelières, F.P., Dougherty, R.P., Jackson, </w:t>
      </w:r>
    </w:p>
    <w:p w:rsidR="00A34FF4" w:rsidRDefault="00F85F87" w:rsidP="00F85F87">
      <w:pPr>
        <w:numPr>
          <w:ilvl w:val="0"/>
          <w:numId w:val="58"/>
        </w:numPr>
        <w:spacing w:after="0" w:line="617" w:lineRule="auto"/>
        <w:ind w:hanging="679"/>
      </w:pPr>
      <w:r>
        <w:t>J.S.</w:t>
      </w:r>
      <w:r>
        <w:t xml:space="preserve">, Schmid, B., Hutchinson, J.R., Shefelbine, S.J., 2010. BoneJ: free and extensible bone </w:t>
      </w:r>
      <w:r>
        <w:rPr>
          <w:rFonts w:ascii="Carlito" w:eastAsia="Carlito" w:hAnsi="Carlito" w:cs="Carlito"/>
        </w:rPr>
        <w:t xml:space="preserve">461 </w:t>
      </w:r>
      <w:r>
        <w:t>image analysis in ImageJ. Bone 47, 1076–1079.</w:t>
      </w:r>
    </w:p>
    <w:p w:rsidR="00A34FF4" w:rsidRDefault="00F85F87">
      <w:pPr>
        <w:ind w:left="-5"/>
      </w:pPr>
      <w:r>
        <w:rPr>
          <w:rFonts w:ascii="Carlito" w:eastAsia="Carlito" w:hAnsi="Carlito" w:cs="Carlito"/>
        </w:rPr>
        <w:t>462</w:t>
      </w:r>
      <w:r>
        <w:rPr>
          <w:rFonts w:ascii="Carlito" w:eastAsia="Carlito" w:hAnsi="Carlito" w:cs="Carlito"/>
        </w:rPr>
        <w:tab/>
      </w:r>
      <w:r>
        <w:t xml:space="preserve">Exner, M.E., Hirsh, A.J., Spalding, R.F., 2014. Nebraska’s groundwater legacy: nitrate </w:t>
      </w:r>
      <w:r>
        <w:rPr>
          <w:rFonts w:ascii="Carlito" w:eastAsia="Carlito" w:hAnsi="Carlito" w:cs="Carlito"/>
        </w:rPr>
        <w:t>463</w:t>
      </w:r>
      <w:r>
        <w:rPr>
          <w:rFonts w:ascii="Carlito" w:eastAsia="Carlito" w:hAnsi="Carlito" w:cs="Carlito"/>
        </w:rPr>
        <w:tab/>
      </w:r>
      <w:r>
        <w:t>contamination beneath i</w:t>
      </w:r>
      <w:r>
        <w:t>rrigated cropland. Water Resour. Res. 50, 4474–4489.</w:t>
      </w:r>
    </w:p>
    <w:p w:rsidR="00A34FF4" w:rsidRDefault="00F85F87" w:rsidP="00F85F87">
      <w:pPr>
        <w:numPr>
          <w:ilvl w:val="0"/>
          <w:numId w:val="59"/>
        </w:numPr>
        <w:ind w:hanging="679"/>
      </w:pPr>
      <w:r>
        <w:t xml:space="preserve">FAO, ITPS, 2015. Status of the World’s Soil Resources (SWSR)-Main Report, Food and </w:t>
      </w:r>
    </w:p>
    <w:p w:rsidR="00A34FF4" w:rsidRDefault="00F85F87" w:rsidP="00F85F87">
      <w:pPr>
        <w:numPr>
          <w:ilvl w:val="0"/>
          <w:numId w:val="59"/>
        </w:numPr>
        <w:spacing w:after="0" w:line="616" w:lineRule="auto"/>
        <w:ind w:hanging="679"/>
      </w:pPr>
      <w:r>
        <w:t xml:space="preserve">Agriculture Organization of the United Nations and Intergovernmental Technical Panel on </w:t>
      </w:r>
      <w:r>
        <w:rPr>
          <w:rFonts w:ascii="Carlito" w:eastAsia="Carlito" w:hAnsi="Carlito" w:cs="Carlito"/>
        </w:rPr>
        <w:t xml:space="preserve">466 </w:t>
      </w:r>
      <w:r>
        <w:t>Soils, Rome, Italy.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467 </w:t>
      </w:r>
      <w:r>
        <w:t>Gao</w:t>
      </w:r>
      <w:r>
        <w:t xml:space="preserve">, L., Lv, Y., Wang, D., Muhammad, T., Biswas, A., Peng, X., 2016. Soil water storage prediction </w:t>
      </w:r>
      <w:r>
        <w:rPr>
          <w:rFonts w:ascii="Carlito" w:eastAsia="Carlito" w:hAnsi="Carlito" w:cs="Carlito"/>
        </w:rPr>
        <w:t xml:space="preserve">468 </w:t>
      </w:r>
      <w:r>
        <w:t xml:space="preserve">at high space-time resolution along an agricultural hillslope. Agr. Water Manag. 165, 122–130. </w:t>
      </w:r>
      <w:r>
        <w:rPr>
          <w:rFonts w:ascii="Carlito" w:eastAsia="Carlito" w:hAnsi="Carlito" w:cs="Carlito"/>
        </w:rPr>
        <w:t xml:space="preserve">469 </w:t>
      </w:r>
      <w:r>
        <w:t>Gu, B., Ge, Y., Chang, S.X., Luo, W., Chang, J., 2013. Ni</w:t>
      </w:r>
      <w:r>
        <w:t xml:space="preserve">trate in groundwater of China: sources </w:t>
      </w:r>
      <w:r>
        <w:rPr>
          <w:rFonts w:ascii="Carlito" w:eastAsia="Carlito" w:hAnsi="Carlito" w:cs="Carlito"/>
        </w:rPr>
        <w:t xml:space="preserve">470 </w:t>
      </w:r>
      <w:r>
        <w:t>and driving forces. Global Environ. Change 23, 1112–1121.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471 </w:t>
      </w:r>
      <w:r>
        <w:t xml:space="preserve">Gu, B., Ju, X., Chang, J., Ge, Y., Vitousek, P.M., 2015. Integrated reactive nitrogen budgets and </w:t>
      </w:r>
      <w:r>
        <w:rPr>
          <w:rFonts w:ascii="Carlito" w:eastAsia="Carlito" w:hAnsi="Carlito" w:cs="Carlito"/>
        </w:rPr>
        <w:t xml:space="preserve">472 </w:t>
      </w:r>
      <w:r>
        <w:t>future trends in China. Proc. Natl. Acad. Sci. U.</w:t>
      </w:r>
      <w:r>
        <w:t xml:space="preserve"> S. A. 112, 8792–8797.</w:t>
      </w:r>
    </w:p>
    <w:p w:rsidR="00A34FF4" w:rsidRDefault="00F85F87" w:rsidP="00F85F87">
      <w:pPr>
        <w:numPr>
          <w:ilvl w:val="0"/>
          <w:numId w:val="60"/>
        </w:numPr>
        <w:ind w:hanging="1099"/>
      </w:pPr>
      <w:r>
        <w:t xml:space="preserve">Guo, J., Liu, X., Shen, J., Han, W., Zhang, W., Christie, P., Goulding, K.W.T., Vitousek, P.M., </w:t>
      </w:r>
    </w:p>
    <w:p w:rsidR="00A34FF4" w:rsidRDefault="00F85F87" w:rsidP="00F85F87">
      <w:pPr>
        <w:numPr>
          <w:ilvl w:val="0"/>
          <w:numId w:val="60"/>
        </w:numPr>
        <w:ind w:hanging="1099"/>
      </w:pPr>
      <w:r>
        <w:t>Zhang, F., 2010. Significant acidification in major Chinese croplands.</w:t>
      </w:r>
      <w:r>
        <w:rPr>
          <w:i/>
        </w:rPr>
        <w:t xml:space="preserve"> </w:t>
      </w:r>
      <w:r>
        <w:t>Science 327, 1008–1010.</w:t>
      </w:r>
    </w:p>
    <w:p w:rsidR="00A34FF4" w:rsidRDefault="00F85F87" w:rsidP="00F85F87">
      <w:pPr>
        <w:numPr>
          <w:ilvl w:val="0"/>
          <w:numId w:val="60"/>
        </w:numPr>
        <w:spacing w:after="0" w:line="618" w:lineRule="auto"/>
        <w:ind w:hanging="1099"/>
      </w:pPr>
      <w:r>
        <w:t xml:space="preserve">He, J.-Z., Hu, H.-W., Zhang, L.-M., 2012. Current insights into the autotrophic thaumarchaeal </w:t>
      </w:r>
      <w:r>
        <w:rPr>
          <w:rFonts w:ascii="Carlito" w:eastAsia="Carlito" w:hAnsi="Carlito" w:cs="Carlito"/>
        </w:rPr>
        <w:t xml:space="preserve">476 </w:t>
      </w:r>
      <w:r>
        <w:t>ammonia oxidation in acidic soils. Soil Biol. Biochem. 55, 146–154.</w:t>
      </w:r>
    </w:p>
    <w:p w:rsidR="00A34FF4" w:rsidRDefault="00F85F87" w:rsidP="00F85F87">
      <w:pPr>
        <w:numPr>
          <w:ilvl w:val="0"/>
          <w:numId w:val="61"/>
        </w:numPr>
        <w:ind w:hanging="1099"/>
      </w:pPr>
      <w:r>
        <w:t>He, X., Xie, W., Deng, S., Lu, S., 1983. The problems and achievements about improving use</w:t>
      </w:r>
      <w:r>
        <w:t xml:space="preserve"> red-</w:t>
      </w:r>
    </w:p>
    <w:p w:rsidR="00A34FF4" w:rsidRDefault="00F85F87" w:rsidP="00F85F87">
      <w:pPr>
        <w:numPr>
          <w:ilvl w:val="0"/>
          <w:numId w:val="61"/>
        </w:numPr>
        <w:ind w:hanging="1099"/>
      </w:pPr>
      <w:r>
        <w:t>yellow soil in China. Chin. J. Soil Sci. (2), 1–4. (In Chinese)</w:t>
      </w:r>
    </w:p>
    <w:p w:rsidR="00A34FF4" w:rsidRDefault="00F85F87" w:rsidP="00F85F87">
      <w:pPr>
        <w:numPr>
          <w:ilvl w:val="0"/>
          <w:numId w:val="61"/>
        </w:numPr>
        <w:ind w:hanging="1099"/>
      </w:pPr>
      <w:r>
        <w:t xml:space="preserve">Hu, X., Wei, J., Du, Y., Xu, L., Wang, H., Zhang, G., Ye, W., Zhu, L., 2010. Regional distribution </w:t>
      </w:r>
    </w:p>
    <w:p w:rsidR="00A34FF4" w:rsidRDefault="00F85F87" w:rsidP="00F85F87">
      <w:pPr>
        <w:numPr>
          <w:ilvl w:val="0"/>
          <w:numId w:val="61"/>
        </w:numPr>
        <w:spacing w:after="0" w:line="617" w:lineRule="auto"/>
        <w:ind w:hanging="1099"/>
      </w:pPr>
      <w:r>
        <w:lastRenderedPageBreak/>
        <w:t xml:space="preserve">of the Quaternary Red Clay with aeolian dust characteristics in subtropical China and its </w:t>
      </w:r>
      <w:r>
        <w:rPr>
          <w:rFonts w:ascii="Carlito" w:eastAsia="Carlito" w:hAnsi="Carlito" w:cs="Carlito"/>
        </w:rPr>
        <w:t>481</w:t>
      </w:r>
      <w:r>
        <w:rPr>
          <w:rFonts w:ascii="Carlito" w:eastAsia="Carlito" w:hAnsi="Carlito" w:cs="Carlito"/>
        </w:rPr>
        <w:tab/>
      </w:r>
      <w:r>
        <w:t>paleoclimatic implications. Geoderma 159, 317–334.</w:t>
      </w:r>
    </w:p>
    <w:p w:rsidR="00A34FF4" w:rsidRDefault="00F85F87" w:rsidP="00F85F87">
      <w:pPr>
        <w:numPr>
          <w:ilvl w:val="0"/>
          <w:numId w:val="62"/>
        </w:numPr>
        <w:ind w:hanging="1099"/>
      </w:pPr>
      <w:r>
        <w:t xml:space="preserve">Huang, J., Duan,Y., Xu, M., Zhai, L., Zhang, X., Wang, B., Zhang, Y., Gao, S., Sun, N., 2017. </w:t>
      </w:r>
    </w:p>
    <w:p w:rsidR="00A34FF4" w:rsidRDefault="00F85F87" w:rsidP="00F85F87">
      <w:pPr>
        <w:numPr>
          <w:ilvl w:val="0"/>
          <w:numId w:val="62"/>
        </w:numPr>
        <w:ind w:hanging="1099"/>
      </w:pPr>
      <w:r>
        <w:t>Nitrogen mobilit</w:t>
      </w:r>
      <w:r>
        <w:t xml:space="preserve">y, ammonia volatilization, and estimated leaching loss from long-term manure </w:t>
      </w:r>
    </w:p>
    <w:p w:rsidR="00A34FF4" w:rsidRDefault="00F85F87" w:rsidP="00F85F87">
      <w:pPr>
        <w:numPr>
          <w:ilvl w:val="0"/>
          <w:numId w:val="62"/>
        </w:numPr>
        <w:ind w:hanging="1099"/>
      </w:pPr>
      <w:r>
        <w:t>incorporation in red soil. J. Integr. Agr. 16, 2082–2092.</w:t>
      </w:r>
    </w:p>
    <w:p w:rsidR="00A34FF4" w:rsidRDefault="00F85F87" w:rsidP="00F85F87">
      <w:pPr>
        <w:numPr>
          <w:ilvl w:val="0"/>
          <w:numId w:val="62"/>
        </w:numPr>
        <w:ind w:hanging="1099"/>
      </w:pPr>
      <w:r>
        <w:t xml:space="preserve">IUSS Working Group WRB, 2015. World Reference Base for Soil Resources 2014, update 2015, </w:t>
      </w:r>
    </w:p>
    <w:p w:rsidR="00A34FF4" w:rsidRDefault="00F85F87" w:rsidP="00F85F87">
      <w:pPr>
        <w:numPr>
          <w:ilvl w:val="0"/>
          <w:numId w:val="62"/>
        </w:numPr>
        <w:ind w:hanging="1099"/>
      </w:pPr>
      <w:r>
        <w:t>International soil classificat</w:t>
      </w:r>
      <w:r>
        <w:t xml:space="preserve">ion system for naming soils and creating legends for soil maps. </w:t>
      </w:r>
    </w:p>
    <w:p w:rsidR="00A34FF4" w:rsidRDefault="00F85F87" w:rsidP="00F85F87">
      <w:pPr>
        <w:numPr>
          <w:ilvl w:val="0"/>
          <w:numId w:val="62"/>
        </w:numPr>
        <w:spacing w:after="0" w:line="617" w:lineRule="auto"/>
        <w:ind w:hanging="1099"/>
      </w:pPr>
      <w:r>
        <w:t xml:space="preserve">World Soil Resources Reports No. 106, Food and Agriculture Organization of the United </w:t>
      </w:r>
      <w:r>
        <w:rPr>
          <w:rFonts w:ascii="Carlito" w:eastAsia="Carlito" w:hAnsi="Carlito" w:cs="Carlito"/>
        </w:rPr>
        <w:t xml:space="preserve">488 </w:t>
      </w:r>
      <w:r>
        <w:t>Nations, Rome, Italy.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489 </w:t>
      </w:r>
      <w:r>
        <w:t>Jones, D.L., Willett, V.B., 2006. Experimental evaluation of methods to qua</w:t>
      </w:r>
      <w:r>
        <w:t xml:space="preserve">ntify dissolved organic </w:t>
      </w:r>
      <w:r>
        <w:rPr>
          <w:rFonts w:ascii="Carlito" w:eastAsia="Carlito" w:hAnsi="Carlito" w:cs="Carlito"/>
        </w:rPr>
        <w:t xml:space="preserve">490 </w:t>
      </w:r>
      <w:r>
        <w:t>nitrogen (DON) and dissolved organic carbon (DOC) in soil. Soil Biol. Biochem. 38, 991–999.</w:t>
      </w:r>
    </w:p>
    <w:p w:rsidR="00A34FF4" w:rsidRDefault="00F85F87" w:rsidP="00F85F87">
      <w:pPr>
        <w:numPr>
          <w:ilvl w:val="0"/>
          <w:numId w:val="63"/>
        </w:numPr>
        <w:ind w:hanging="679"/>
      </w:pPr>
      <w:r>
        <w:t xml:space="preserve">Ju, X., Kou, C., Zhang, F., Christie, P., 2006. Nitrogen balance and groundwater nitrate </w:t>
      </w:r>
    </w:p>
    <w:p w:rsidR="00A34FF4" w:rsidRDefault="00F85F87" w:rsidP="00F85F87">
      <w:pPr>
        <w:numPr>
          <w:ilvl w:val="0"/>
          <w:numId w:val="63"/>
        </w:numPr>
        <w:spacing w:after="0" w:line="617" w:lineRule="auto"/>
        <w:ind w:hanging="679"/>
      </w:pPr>
      <w:r>
        <w:t>contamination: comparison among three intensiv</w:t>
      </w:r>
      <w:r>
        <w:t xml:space="preserve">e cropping systems on the North China Plain. </w:t>
      </w:r>
      <w:r>
        <w:rPr>
          <w:rFonts w:ascii="Carlito" w:eastAsia="Carlito" w:hAnsi="Carlito" w:cs="Carlito"/>
        </w:rPr>
        <w:t xml:space="preserve">493 </w:t>
      </w:r>
      <w:r>
        <w:t>Environ. Pollut. 143, 117–125.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494 </w:t>
      </w:r>
      <w:r>
        <w:t xml:space="preserve">Ju, X., Xing, G., Chen, X., Zhang, S., Zhang, L., Liu, X., Cui, Z., Yin, B., Christie, P., Zhu, Z., </w:t>
      </w:r>
      <w:r>
        <w:rPr>
          <w:rFonts w:ascii="Carlito" w:eastAsia="Carlito" w:hAnsi="Carlito" w:cs="Carlito"/>
        </w:rPr>
        <w:t xml:space="preserve">495 </w:t>
      </w:r>
      <w:r>
        <w:t>Zhang, F., 2009. Reducing environmental risk by improving N manageme</w:t>
      </w:r>
      <w:r>
        <w:t xml:space="preserve">nt in intensive </w:t>
      </w:r>
      <w:r>
        <w:rPr>
          <w:rFonts w:ascii="Carlito" w:eastAsia="Carlito" w:hAnsi="Carlito" w:cs="Carlito"/>
        </w:rPr>
        <w:t xml:space="preserve">496 </w:t>
      </w:r>
      <w:r>
        <w:t>Chinese agricultural systems. Proc. Natl. Acad. Sci. U. S. A. 106, 3041–3046.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497 </w:t>
      </w:r>
      <w:r>
        <w:t>Knobeloch, L., Salna, B., Hogan, A., Postle, J., Anderson, H., 2000. Blue babies and nitrate</w:t>
      </w:r>
      <w:r>
        <w:rPr>
          <w:rFonts w:ascii="Carlito" w:eastAsia="Carlito" w:hAnsi="Carlito" w:cs="Carlito"/>
        </w:rPr>
        <w:t xml:space="preserve">498 </w:t>
      </w:r>
      <w:r>
        <w:t>contaminated well water. Environ. Health Perspect. 108, 67</w:t>
      </w:r>
      <w:r>
        <w:t>5–678.</w:t>
      </w:r>
    </w:p>
    <w:p w:rsidR="00A34FF4" w:rsidRDefault="00F85F87" w:rsidP="00F85F87">
      <w:pPr>
        <w:numPr>
          <w:ilvl w:val="0"/>
          <w:numId w:val="64"/>
        </w:numPr>
        <w:ind w:hanging="679"/>
      </w:pPr>
      <w:r>
        <w:t xml:space="preserve">Lawes, J.B., Gilbert, J.H., Warington, R., 1881. On the amount and composition of the rain and </w:t>
      </w:r>
    </w:p>
    <w:p w:rsidR="00A34FF4" w:rsidRDefault="00F85F87" w:rsidP="00F85F87">
      <w:pPr>
        <w:numPr>
          <w:ilvl w:val="0"/>
          <w:numId w:val="64"/>
        </w:numPr>
        <w:spacing w:after="0" w:line="618" w:lineRule="auto"/>
        <w:ind w:hanging="679"/>
      </w:pPr>
      <w:r>
        <w:lastRenderedPageBreak/>
        <w:t xml:space="preserve">drainage-waters collected at Rothamsted: Part II. The amount and composition of the drainage </w:t>
      </w:r>
      <w:r>
        <w:rPr>
          <w:rFonts w:ascii="Carlito" w:eastAsia="Carlito" w:hAnsi="Carlito" w:cs="Carlito"/>
        </w:rPr>
        <w:t xml:space="preserve">501 </w:t>
      </w:r>
      <w:r>
        <w:t>waters from unmanured fallow land. J. Royal Agric. Soc. Engl. 17, 311–350.</w:t>
      </w:r>
    </w:p>
    <w:p w:rsidR="00A34FF4" w:rsidRDefault="00F85F87" w:rsidP="00F85F87">
      <w:pPr>
        <w:numPr>
          <w:ilvl w:val="0"/>
          <w:numId w:val="65"/>
        </w:numPr>
        <w:ind w:hanging="1099"/>
      </w:pPr>
      <w:r>
        <w:t xml:space="preserve">Li, Y., Chapman, S.J., Nicol, G.W., Yao, H., 2018. Nitrification and nitrifiers in acidic soils. Soil </w:t>
      </w:r>
    </w:p>
    <w:p w:rsidR="00A34FF4" w:rsidRDefault="00F85F87" w:rsidP="00F85F87">
      <w:pPr>
        <w:numPr>
          <w:ilvl w:val="0"/>
          <w:numId w:val="65"/>
        </w:numPr>
        <w:ind w:hanging="1099"/>
      </w:pPr>
      <w:r>
        <w:t>Biol. Biochem. 116, 290–301.</w:t>
      </w:r>
    </w:p>
    <w:p w:rsidR="00A34FF4" w:rsidRDefault="00F85F87" w:rsidP="00F85F87">
      <w:pPr>
        <w:numPr>
          <w:ilvl w:val="0"/>
          <w:numId w:val="65"/>
        </w:numPr>
        <w:ind w:hanging="1099"/>
      </w:pPr>
      <w:r>
        <w:t xml:space="preserve">Liu, X., Duan, L., Mo, J., Du, E., Shen, J., Lu, </w:t>
      </w:r>
      <w:r>
        <w:t xml:space="preserve">X., Zhang, Y., Zhou, X., He, C., Zhang, F., 2011. </w:t>
      </w:r>
    </w:p>
    <w:p w:rsidR="00A34FF4" w:rsidRDefault="00F85F87" w:rsidP="00F85F87">
      <w:pPr>
        <w:numPr>
          <w:ilvl w:val="0"/>
          <w:numId w:val="65"/>
        </w:numPr>
        <w:ind w:hanging="1099"/>
      </w:pPr>
      <w:r>
        <w:t xml:space="preserve">Nitrogen deposition and its ecological impact in China: an overview. Environ. Pollut. 159, </w:t>
      </w:r>
    </w:p>
    <w:p w:rsidR="00A34FF4" w:rsidRDefault="00F85F87" w:rsidP="00F85F87">
      <w:pPr>
        <w:numPr>
          <w:ilvl w:val="0"/>
          <w:numId w:val="65"/>
        </w:numPr>
        <w:ind w:hanging="1099"/>
      </w:pPr>
      <w:r>
        <w:t>2251–2264.</w:t>
      </w:r>
    </w:p>
    <w:p w:rsidR="00A34FF4" w:rsidRDefault="00F85F87" w:rsidP="00F85F87">
      <w:pPr>
        <w:numPr>
          <w:ilvl w:val="0"/>
          <w:numId w:val="65"/>
        </w:numPr>
        <w:spacing w:after="0" w:line="617" w:lineRule="auto"/>
        <w:ind w:hanging="1099"/>
      </w:pPr>
      <w:r>
        <w:t xml:space="preserve">Matson, P., Lohse, K.A., Hall, S.J., 2002. The globalization of nitrogen deposition: consequences </w:t>
      </w:r>
      <w:r>
        <w:rPr>
          <w:rFonts w:ascii="Carlito" w:eastAsia="Carlito" w:hAnsi="Carlito" w:cs="Carlito"/>
        </w:rPr>
        <w:t xml:space="preserve">508 </w:t>
      </w:r>
      <w:r>
        <w:t>for terrestrial ecosystems. Ambio 31, 113–119.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509 </w:t>
      </w:r>
      <w:r>
        <w:t xml:space="preserve">Murphy, D.V., Macdonald. A.J., Stockdale, E.A., Goulding, K.W.T., Fortune, S., Gaunt, J.L., </w:t>
      </w:r>
      <w:r>
        <w:rPr>
          <w:rFonts w:ascii="Carlito" w:eastAsia="Carlito" w:hAnsi="Carlito" w:cs="Carlito"/>
        </w:rPr>
        <w:t xml:space="preserve">510 </w:t>
      </w:r>
      <w:r>
        <w:t xml:space="preserve">Poulton, P.R., Wakefield, J.A., Webster, C.P., Wilmer, W.S., 2000. Soluble organic nitrogen </w:t>
      </w:r>
      <w:r>
        <w:rPr>
          <w:rFonts w:ascii="Carlito" w:eastAsia="Carlito" w:hAnsi="Carlito" w:cs="Carlito"/>
        </w:rPr>
        <w:t xml:space="preserve">511 </w:t>
      </w:r>
      <w:r>
        <w:t>in agricultur</w:t>
      </w:r>
      <w:r>
        <w:t>al soils. Biol. Fert. Soils 30, 374–387.</w:t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512 </w:t>
      </w:r>
      <w:r>
        <w:t xml:space="preserve">Payne, R.J., Dise, N.B., Field, C.D., 2017. Nitrogen deposition and plant biodiversity: past, present, </w:t>
      </w:r>
      <w:r>
        <w:rPr>
          <w:rFonts w:ascii="Carlito" w:eastAsia="Carlito" w:hAnsi="Carlito" w:cs="Carlito"/>
        </w:rPr>
        <w:t xml:space="preserve">513 </w:t>
      </w:r>
      <w:r>
        <w:t>and future. Front. Ecol. Environ. 15, 431–436.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514 </w:t>
      </w:r>
      <w:r>
        <w:t>Peng, X., Zhang, B., Li, J., Zhao, Q., 2003. Investig</w:t>
      </w:r>
      <w:r>
        <w:t xml:space="preserve">ation on improving porous medium’s porosity </w:t>
      </w:r>
      <w:r>
        <w:rPr>
          <w:rFonts w:ascii="Carlito" w:eastAsia="Carlito" w:hAnsi="Carlito" w:cs="Carlito"/>
        </w:rPr>
        <w:t xml:space="preserve">515 </w:t>
      </w:r>
      <w:r>
        <w:t>in wax-coated method. Chin. J. Soil Sci. 34, 19–20. (In Chinese)</w:t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>516</w:t>
      </w:r>
      <w:r>
        <w:rPr>
          <w:rFonts w:ascii="Carlito" w:eastAsia="Carlito" w:hAnsi="Carlito" w:cs="Carlito"/>
        </w:rPr>
        <w:tab/>
      </w:r>
      <w:r>
        <w:t xml:space="preserve">Perakis, S.S., Hedin, L.O., 2002. Nitrogen loss from unpolluted South American forests mainly via </w:t>
      </w:r>
      <w:r>
        <w:rPr>
          <w:rFonts w:ascii="Carlito" w:eastAsia="Carlito" w:hAnsi="Carlito" w:cs="Carlito"/>
        </w:rPr>
        <w:t>517</w:t>
      </w:r>
      <w:r>
        <w:rPr>
          <w:rFonts w:ascii="Carlito" w:eastAsia="Carlito" w:hAnsi="Carlito" w:cs="Carlito"/>
        </w:rPr>
        <w:tab/>
      </w:r>
      <w:r>
        <w:t>dissolved organic compounds. Nature 4</w:t>
      </w:r>
      <w:r>
        <w:t>15, 416–419.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518 </w:t>
      </w:r>
      <w:r>
        <w:t xml:space="preserve">Qualls, R.G., Haines, B.L., Swank, W.T., Tyler, S.W., 2000. Soluble organic and inorganic nutrient </w:t>
      </w:r>
      <w:r>
        <w:rPr>
          <w:rFonts w:ascii="Carlito" w:eastAsia="Carlito" w:hAnsi="Carlito" w:cs="Carlito"/>
        </w:rPr>
        <w:t xml:space="preserve">519 </w:t>
      </w:r>
      <w:r>
        <w:t xml:space="preserve">fluxes in clearcut and mature deciduous forests. Soil Sci. Soc. Am. J. 64, 1068–1077. </w:t>
      </w:r>
      <w:r>
        <w:rPr>
          <w:rFonts w:ascii="Carlito" w:eastAsia="Carlito" w:hAnsi="Carlito" w:cs="Carlito"/>
        </w:rPr>
        <w:t xml:space="preserve">520 </w:t>
      </w:r>
      <w:r>
        <w:t xml:space="preserve">Rasban, W.S., </w:t>
      </w:r>
      <w:r>
        <w:lastRenderedPageBreak/>
        <w:t>2013. ImageJ Version 1.50i, US N</w:t>
      </w:r>
      <w:r>
        <w:t xml:space="preserve">ational Institutes of Health, Bethesda, Maryland, </w:t>
      </w:r>
      <w:r>
        <w:rPr>
          <w:rFonts w:ascii="Carlito" w:eastAsia="Carlito" w:hAnsi="Carlito" w:cs="Carlito"/>
        </w:rPr>
        <w:t xml:space="preserve">521 </w:t>
      </w:r>
      <w:r>
        <w:t>USA, https://imagej.nih.gov/ij/ (accessed on 26 March 2016).</w:t>
      </w:r>
    </w:p>
    <w:p w:rsidR="00A34FF4" w:rsidRDefault="00F85F87" w:rsidP="00F85F87">
      <w:pPr>
        <w:numPr>
          <w:ilvl w:val="0"/>
          <w:numId w:val="66"/>
        </w:numPr>
        <w:ind w:hanging="679"/>
      </w:pPr>
      <w:r>
        <w:t xml:space="preserve">Reynolds-Vargas, J., Fraile-Merino, J., Hirata, R., 2006. Trends in nitrate concentrations and </w:t>
      </w:r>
    </w:p>
    <w:p w:rsidR="00A34FF4" w:rsidRDefault="00F85F87" w:rsidP="00F85F87">
      <w:pPr>
        <w:numPr>
          <w:ilvl w:val="0"/>
          <w:numId w:val="66"/>
        </w:numPr>
        <w:spacing w:after="0" w:line="637" w:lineRule="auto"/>
        <w:ind w:hanging="679"/>
      </w:pPr>
      <w:r>
        <w:t>determination of its origin using stable isotopes (</w:t>
      </w:r>
      <w:r>
        <w:rPr>
          <w:vertAlign w:val="superscript"/>
        </w:rPr>
        <w:t>18</w:t>
      </w:r>
      <w:r>
        <w:t xml:space="preserve">O and </w:t>
      </w:r>
      <w:r>
        <w:rPr>
          <w:vertAlign w:val="superscript"/>
        </w:rPr>
        <w:t>15</w:t>
      </w:r>
      <w:r>
        <w:t xml:space="preserve">N) in groundwater of the Western </w:t>
      </w:r>
      <w:r>
        <w:rPr>
          <w:rFonts w:ascii="Carlito" w:eastAsia="Carlito" w:hAnsi="Carlito" w:cs="Carlito"/>
        </w:rPr>
        <w:t xml:space="preserve">524 </w:t>
      </w:r>
      <w:r>
        <w:t>Central Valley, Costa Rica. Ambio, 35, 229–236.</w:t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525 </w:t>
      </w:r>
      <w:r>
        <w:t xml:space="preserve">Reynolds-Vargas, J.S., Richter, D.D., 1995. Nitrate in groundwaters of the Central Valley, Costa </w:t>
      </w:r>
      <w:r>
        <w:rPr>
          <w:rFonts w:ascii="Carlito" w:eastAsia="Carlito" w:hAnsi="Carlito" w:cs="Carlito"/>
        </w:rPr>
        <w:t xml:space="preserve">526 </w:t>
      </w:r>
      <w:r>
        <w:t>Rica.</w:t>
      </w:r>
      <w:r>
        <w:t xml:space="preserve"> Environ. Int. 21, 71–79.</w:t>
      </w:r>
    </w:p>
    <w:p w:rsidR="00A34FF4" w:rsidRDefault="00F85F87" w:rsidP="00F85F87">
      <w:pPr>
        <w:numPr>
          <w:ilvl w:val="0"/>
          <w:numId w:val="67"/>
        </w:numPr>
        <w:ind w:hanging="679"/>
      </w:pPr>
      <w:r>
        <w:t xml:space="preserve">Reynolds-Vargas, J.S., Richter, D.D., Bornemisza, E., 1994. Environmental impacts of nitrification </w:t>
      </w:r>
    </w:p>
    <w:p w:rsidR="00A34FF4" w:rsidRDefault="00F85F87" w:rsidP="00F85F87">
      <w:pPr>
        <w:numPr>
          <w:ilvl w:val="0"/>
          <w:numId w:val="67"/>
        </w:numPr>
        <w:ind w:hanging="679"/>
      </w:pPr>
      <w:r>
        <w:t xml:space="preserve">and nitrate adsorption in fertilized Andisols in the Valle Central of Costa Rica. Soil Sci. 157, </w:t>
      </w:r>
      <w:r>
        <w:rPr>
          <w:rFonts w:ascii="Carlito" w:eastAsia="Carlito" w:hAnsi="Carlito" w:cs="Carlito"/>
        </w:rPr>
        <w:t>529</w:t>
      </w:r>
      <w:r>
        <w:rPr>
          <w:rFonts w:ascii="Carlito" w:eastAsia="Carlito" w:hAnsi="Carlito" w:cs="Carlito"/>
        </w:rPr>
        <w:tab/>
      </w:r>
      <w:r>
        <w:t>289–299.</w:t>
      </w:r>
    </w:p>
    <w:p w:rsidR="00A34FF4" w:rsidRDefault="00F85F87" w:rsidP="00F85F87">
      <w:pPr>
        <w:numPr>
          <w:ilvl w:val="0"/>
          <w:numId w:val="68"/>
        </w:numPr>
        <w:ind w:hanging="679"/>
      </w:pPr>
      <w:r>
        <w:t xml:space="preserve">Shan, J., Zhao, X., </w:t>
      </w:r>
      <w:r>
        <w:t xml:space="preserve">Sheng, R., Xia, Y., Ti, C., Quan, X., Wang, S., Wei, W., Yan, X., 2016. </w:t>
      </w:r>
    </w:p>
    <w:p w:rsidR="00A34FF4" w:rsidRDefault="00F85F87" w:rsidP="00F85F87">
      <w:pPr>
        <w:numPr>
          <w:ilvl w:val="0"/>
          <w:numId w:val="68"/>
        </w:numPr>
        <w:spacing w:after="0" w:line="618" w:lineRule="auto"/>
        <w:ind w:hanging="679"/>
      </w:pPr>
      <w:r>
        <w:t xml:space="preserve">Dissimilatory nitrate reduction processes in typical Chinese paddy soils: rates, relative </w:t>
      </w:r>
      <w:r>
        <w:rPr>
          <w:rFonts w:ascii="Carlito" w:eastAsia="Carlito" w:hAnsi="Carlito" w:cs="Carlito"/>
        </w:rPr>
        <w:t xml:space="preserve">532 </w:t>
      </w:r>
      <w:r>
        <w:t>contributions, and influencing factors. Environ. Sci. Technol. 50, 9972–9980.</w:t>
      </w:r>
    </w:p>
    <w:p w:rsidR="00A34FF4" w:rsidRDefault="00F85F87" w:rsidP="00F85F87">
      <w:pPr>
        <w:numPr>
          <w:ilvl w:val="0"/>
          <w:numId w:val="69"/>
        </w:numPr>
        <w:ind w:hanging="679"/>
      </w:pPr>
      <w:r>
        <w:t xml:space="preserve">Tahir, M., Lv, Y., Gao, L., Hallett, P. D., Peng, X., 2016. Soil water dynamics and availability for </w:t>
      </w:r>
    </w:p>
    <w:p w:rsidR="00A34FF4" w:rsidRDefault="00F85F87" w:rsidP="00F85F87">
      <w:pPr>
        <w:numPr>
          <w:ilvl w:val="0"/>
          <w:numId w:val="69"/>
        </w:numPr>
        <w:spacing w:after="0" w:line="617" w:lineRule="auto"/>
        <w:ind w:hanging="679"/>
      </w:pPr>
      <w:r>
        <w:t xml:space="preserve">citrus and peanut along a hillslope at the Sunjia Red Soil Critical Zone Observatory (CZO). </w:t>
      </w:r>
      <w:r>
        <w:rPr>
          <w:rFonts w:ascii="Carlito" w:eastAsia="Carlito" w:hAnsi="Carlito" w:cs="Carlito"/>
        </w:rPr>
        <w:t xml:space="preserve">535 </w:t>
      </w:r>
      <w:r>
        <w:t>Soil Till. Res. 163, 110–118.</w:t>
      </w:r>
    </w:p>
    <w:p w:rsidR="00A34FF4" w:rsidRDefault="00F85F87" w:rsidP="00F85F87">
      <w:pPr>
        <w:numPr>
          <w:ilvl w:val="0"/>
          <w:numId w:val="70"/>
        </w:numPr>
        <w:ind w:hanging="1099"/>
      </w:pPr>
      <w:r>
        <w:t xml:space="preserve">USDA, </w:t>
      </w:r>
      <w:r>
        <w:tab/>
        <w:t xml:space="preserve">2006. </w:t>
      </w:r>
      <w:r>
        <w:tab/>
        <w:t xml:space="preserve">USDA </w:t>
      </w:r>
      <w:r>
        <w:tab/>
        <w:t xml:space="preserve">Natural </w:t>
      </w:r>
      <w:r>
        <w:tab/>
        <w:t xml:space="preserve">Resources </w:t>
      </w:r>
      <w:r>
        <w:tab/>
        <w:t xml:space="preserve">Conservation </w:t>
      </w:r>
      <w:r>
        <w:tab/>
        <w:t xml:space="preserve">Service </w:t>
      </w:r>
      <w:r>
        <w:tab/>
        <w:t xml:space="preserve">Website, </w:t>
      </w:r>
    </w:p>
    <w:p w:rsidR="00A34FF4" w:rsidRDefault="00F85F87" w:rsidP="00F85F87">
      <w:pPr>
        <w:numPr>
          <w:ilvl w:val="0"/>
          <w:numId w:val="70"/>
        </w:numPr>
        <w:ind w:hanging="1099"/>
      </w:pPr>
      <w:r>
        <w:t>https://nrcspad.sc.egov.usda.gov/DistributionCenter/pdf.aspx?productID=587.</w:t>
      </w:r>
    </w:p>
    <w:p w:rsidR="00A34FF4" w:rsidRDefault="00F85F87" w:rsidP="00F85F87">
      <w:pPr>
        <w:numPr>
          <w:ilvl w:val="0"/>
          <w:numId w:val="70"/>
        </w:numPr>
        <w:spacing w:after="0" w:line="618" w:lineRule="auto"/>
        <w:ind w:hanging="1099"/>
      </w:pPr>
      <w:r>
        <w:t xml:space="preserve">van Kessel, C., Clough, T., van Groenigen, J.W., 2009. Dissolved organic nitrogen: an overlooked </w:t>
      </w:r>
      <w:r>
        <w:rPr>
          <w:rFonts w:ascii="Carlito" w:eastAsia="Carlito" w:hAnsi="Carlito" w:cs="Carlito"/>
        </w:rPr>
        <w:t xml:space="preserve">539 </w:t>
      </w:r>
      <w:r>
        <w:t>pathway of nitrogen loss from agri</w:t>
      </w:r>
      <w:r>
        <w:t>cultural systems? J. Environ. Qual. 38, 393–401.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lastRenderedPageBreak/>
        <w:t xml:space="preserve">540 </w:t>
      </w:r>
      <w:r>
        <w:t xml:space="preserve">Walvoord, M.A., Phillips, F.M., Stonestrom, D.A., Evans, R.D., Hartsough, P.C., Newman, B.D., </w:t>
      </w:r>
      <w:r>
        <w:rPr>
          <w:rFonts w:ascii="Carlito" w:eastAsia="Carlito" w:hAnsi="Carlito" w:cs="Carlito"/>
        </w:rPr>
        <w:t xml:space="preserve">541 </w:t>
      </w:r>
      <w:r>
        <w:t>Striegl, R.G., 2003. A reservoir of nitrate beneath desert soils. Science 302, 1021–1024.</w:t>
      </w:r>
    </w:p>
    <w:p w:rsidR="00A34FF4" w:rsidRDefault="00F85F87" w:rsidP="00F85F87">
      <w:pPr>
        <w:numPr>
          <w:ilvl w:val="0"/>
          <w:numId w:val="71"/>
        </w:numPr>
        <w:ind w:hanging="1099"/>
      </w:pPr>
      <w:r>
        <w:t>Wang, R., Goll,</w:t>
      </w:r>
      <w:r>
        <w:t xml:space="preserve"> D., Balkanski, Y., Hauglustaine, D., Boucher, O., Ciais, P., Janssens, I., Penuelas, </w:t>
      </w:r>
    </w:p>
    <w:p w:rsidR="00A34FF4" w:rsidRDefault="00F85F87" w:rsidP="00F85F87">
      <w:pPr>
        <w:numPr>
          <w:ilvl w:val="0"/>
          <w:numId w:val="71"/>
        </w:numPr>
        <w:ind w:hanging="1099"/>
      </w:pPr>
      <w:r>
        <w:t xml:space="preserve">J., Guenet, B., Sardans, J., Bopp, L., Vuichard, N., Zhou, F., Li, B., Piao, S., Peng, S., Huang, </w:t>
      </w:r>
    </w:p>
    <w:p w:rsidR="00A34FF4" w:rsidRDefault="00F85F87" w:rsidP="00F85F87">
      <w:pPr>
        <w:numPr>
          <w:ilvl w:val="0"/>
          <w:numId w:val="71"/>
        </w:numPr>
        <w:spacing w:after="0" w:line="617" w:lineRule="auto"/>
        <w:ind w:hanging="1099"/>
      </w:pPr>
      <w:r>
        <w:t>Y., Tao, S., 2017. Global forest carbon uptake due to nitrogen and pho</w:t>
      </w:r>
      <w:r>
        <w:t xml:space="preserve">sphorus deposition from </w:t>
      </w:r>
      <w:r>
        <w:rPr>
          <w:rFonts w:ascii="Carlito" w:eastAsia="Carlito" w:hAnsi="Carlito" w:cs="Carlito"/>
        </w:rPr>
        <w:t xml:space="preserve">545 </w:t>
      </w:r>
      <w:r>
        <w:t>1850-2100. Global Change Biol. 23, 4854–4872.</w:t>
      </w:r>
    </w:p>
    <w:p w:rsidR="00A34FF4" w:rsidRDefault="00F85F87" w:rsidP="00F85F87">
      <w:pPr>
        <w:numPr>
          <w:ilvl w:val="0"/>
          <w:numId w:val="72"/>
        </w:numPr>
        <w:ind w:hanging="679"/>
      </w:pPr>
      <w:r>
        <w:t xml:space="preserve">Ward, M.H., deKok, T.M., Levallois, P., Brender, J., Gulis, G., Nolan, B.T., VanDerslice, J., 2005. </w:t>
      </w:r>
    </w:p>
    <w:p w:rsidR="00A34FF4" w:rsidRDefault="00F85F87" w:rsidP="00F85F87">
      <w:pPr>
        <w:numPr>
          <w:ilvl w:val="0"/>
          <w:numId w:val="72"/>
        </w:numPr>
        <w:spacing w:after="0" w:line="617" w:lineRule="auto"/>
        <w:ind w:hanging="679"/>
      </w:pPr>
      <w:r>
        <w:t xml:space="preserve">Workgroup report: drinking-water nitrate and health-recent findings and research </w:t>
      </w:r>
      <w:r>
        <w:t xml:space="preserve">needs. </w:t>
      </w:r>
      <w:r>
        <w:rPr>
          <w:rFonts w:ascii="Carlito" w:eastAsia="Carlito" w:hAnsi="Carlito" w:cs="Carlito"/>
        </w:rPr>
        <w:t xml:space="preserve">548 </w:t>
      </w:r>
      <w:r>
        <w:t xml:space="preserve">Environ. Health Perspect. 113, </w:t>
      </w:r>
      <w:r>
        <w:t>1607−1614.</w:t>
      </w:r>
    </w:p>
    <w:p w:rsidR="00A34FF4" w:rsidRDefault="00F85F87" w:rsidP="00F85F87">
      <w:pPr>
        <w:numPr>
          <w:ilvl w:val="0"/>
          <w:numId w:val="73"/>
        </w:numPr>
        <w:ind w:hanging="1099"/>
      </w:pPr>
      <w:r>
        <w:t xml:space="preserve">Ward, M.H., Kilfoy, B.A., Weyer, P.J., Anderson, K.E., AFolsom, A.R., Cerhan, J.R., 2010. Nitrate </w:t>
      </w:r>
    </w:p>
    <w:p w:rsidR="00A34FF4" w:rsidRDefault="00F85F87" w:rsidP="00F85F87">
      <w:pPr>
        <w:numPr>
          <w:ilvl w:val="0"/>
          <w:numId w:val="73"/>
        </w:numPr>
        <w:ind w:hanging="1099"/>
      </w:pPr>
      <w:r>
        <w:t xml:space="preserve">intake and the risk of thyroid cancer and thyroid disease. Epidemiology 21, </w:t>
      </w:r>
      <w:r>
        <w:t>389−395.</w:t>
      </w:r>
    </w:p>
    <w:p w:rsidR="00A34FF4" w:rsidRDefault="00F85F87" w:rsidP="00F85F87">
      <w:pPr>
        <w:numPr>
          <w:ilvl w:val="0"/>
          <w:numId w:val="73"/>
        </w:numPr>
        <w:ind w:hanging="1099"/>
      </w:pPr>
      <w:r>
        <w:t xml:space="preserve">Ward, M.H., Mark, S.D., Cantor, K.P., Weisenburger, D.D., Correa-Villaseñor, A., Zahm, S.H., </w:t>
      </w:r>
    </w:p>
    <w:p w:rsidR="00A34FF4" w:rsidRDefault="00F85F87" w:rsidP="00F85F87">
      <w:pPr>
        <w:numPr>
          <w:ilvl w:val="0"/>
          <w:numId w:val="73"/>
        </w:numPr>
        <w:ind w:hanging="1099"/>
      </w:pPr>
      <w:r>
        <w:t xml:space="preserve">1996. Drinking water nitrate and the risk of non-Hodgkin’s lymphoma. Epidemiology 7, </w:t>
      </w:r>
    </w:p>
    <w:p w:rsidR="00A34FF4" w:rsidRDefault="00F85F87" w:rsidP="00F85F87">
      <w:pPr>
        <w:numPr>
          <w:ilvl w:val="0"/>
          <w:numId w:val="73"/>
        </w:numPr>
        <w:spacing w:after="358" w:line="284" w:lineRule="auto"/>
        <w:ind w:hanging="1099"/>
      </w:pPr>
      <w:r>
        <w:t>465−471.</w:t>
      </w:r>
    </w:p>
    <w:p w:rsidR="00A34FF4" w:rsidRDefault="00F85F87" w:rsidP="00F85F87">
      <w:pPr>
        <w:numPr>
          <w:ilvl w:val="0"/>
          <w:numId w:val="73"/>
        </w:numPr>
        <w:ind w:hanging="1099"/>
      </w:pPr>
      <w:r>
        <w:t xml:space="preserve">Xia, L., Lam, S.K., Yan, X., Chen, D., 2017. How does recycling of </w:t>
      </w:r>
      <w:r>
        <w:t xml:space="preserve">livestock manure in </w:t>
      </w:r>
    </w:p>
    <w:p w:rsidR="00A34FF4" w:rsidRDefault="00F85F87" w:rsidP="00F85F87">
      <w:pPr>
        <w:numPr>
          <w:ilvl w:val="0"/>
          <w:numId w:val="73"/>
        </w:numPr>
        <w:spacing w:after="0" w:line="617" w:lineRule="auto"/>
        <w:ind w:hanging="1099"/>
      </w:pPr>
      <w:r>
        <w:t xml:space="preserve">agroecosystems affect crop productivity, reactive nitrogen losses, and soil carbon balance? </w:t>
      </w:r>
      <w:r>
        <w:rPr>
          <w:rFonts w:ascii="Carlito" w:eastAsia="Carlito" w:hAnsi="Carlito" w:cs="Carlito"/>
        </w:rPr>
        <w:t xml:space="preserve">556 </w:t>
      </w:r>
      <w:r>
        <w:t>Environ. Sci. Technol. 51, 7450–7457.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557 </w:t>
      </w:r>
      <w:r>
        <w:t xml:space="preserve">Zepp, H., Tang, J., Zhang, B., 2005. Methodological framework for a multi-scale study on </w:t>
      </w:r>
      <w:r>
        <w:rPr>
          <w:rFonts w:ascii="Carlito" w:eastAsia="Carlito" w:hAnsi="Carlito" w:cs="Carlito"/>
        </w:rPr>
        <w:t xml:space="preserve">558 </w:t>
      </w:r>
      <w:r>
        <w:t>hydr</w:t>
      </w:r>
      <w:r>
        <w:t>ological processes and soil erosion in subtropical Southeast China. Pedosphere 15, 695–</w:t>
      </w:r>
    </w:p>
    <w:p w:rsidR="00A34FF4" w:rsidRDefault="00F85F87" w:rsidP="00F85F87">
      <w:pPr>
        <w:numPr>
          <w:ilvl w:val="0"/>
          <w:numId w:val="74"/>
        </w:numPr>
        <w:ind w:hanging="1099"/>
      </w:pPr>
      <w:r>
        <w:t>706.</w:t>
      </w:r>
    </w:p>
    <w:p w:rsidR="00A34FF4" w:rsidRDefault="00F85F87" w:rsidP="00F85F87">
      <w:pPr>
        <w:numPr>
          <w:ilvl w:val="0"/>
          <w:numId w:val="74"/>
        </w:numPr>
        <w:spacing w:after="0" w:line="617" w:lineRule="auto"/>
        <w:ind w:hanging="1099"/>
      </w:pPr>
      <w:r>
        <w:lastRenderedPageBreak/>
        <w:t xml:space="preserve">Zhang, J., Cai, Z., Müller, C., 2018. Terrestrial N cycling associated with climate and plant specific </w:t>
      </w:r>
      <w:r>
        <w:rPr>
          <w:rFonts w:ascii="Carlito" w:eastAsia="Carlito" w:hAnsi="Carlito" w:cs="Carlito"/>
        </w:rPr>
        <w:t xml:space="preserve">561 </w:t>
      </w:r>
      <w:r>
        <w:t>N preferences: a review. Eur. J. Soil Sci. 69, 488–501.</w:t>
      </w:r>
    </w:p>
    <w:p w:rsidR="00A34FF4" w:rsidRDefault="00F85F87" w:rsidP="00F85F87">
      <w:pPr>
        <w:numPr>
          <w:ilvl w:val="0"/>
          <w:numId w:val="75"/>
        </w:numPr>
        <w:ind w:hanging="1099"/>
      </w:pPr>
      <w:r>
        <w:t xml:space="preserve">Zhang, Z., Lin, L., Wang, Y., Peng, X., 2016. Temporal change in soil macropores measured using </w:t>
      </w:r>
    </w:p>
    <w:p w:rsidR="00A34FF4" w:rsidRDefault="00F85F87" w:rsidP="00F85F87">
      <w:pPr>
        <w:numPr>
          <w:ilvl w:val="0"/>
          <w:numId w:val="75"/>
        </w:numPr>
        <w:ind w:hanging="1099"/>
      </w:pPr>
      <w:r>
        <w:t xml:space="preserve">tension infiltrometer under different land uses and slope positions in subtropical China. J. Soil. </w:t>
      </w:r>
    </w:p>
    <w:p w:rsidR="00A34FF4" w:rsidRDefault="00F85F87" w:rsidP="00F85F87">
      <w:pPr>
        <w:numPr>
          <w:ilvl w:val="0"/>
          <w:numId w:val="75"/>
        </w:numPr>
        <w:ind w:hanging="1099"/>
      </w:pPr>
      <w:r>
        <w:t>Sediment. 16, 854–863.</w:t>
      </w:r>
    </w:p>
    <w:p w:rsidR="00A34FF4" w:rsidRDefault="00F85F87" w:rsidP="00F85F87">
      <w:pPr>
        <w:numPr>
          <w:ilvl w:val="0"/>
          <w:numId w:val="75"/>
        </w:numPr>
        <w:ind w:hanging="1099"/>
      </w:pPr>
      <w:r>
        <w:t xml:space="preserve">Zhao, Q., Huang, G., Ma, Y., 2013. The problems in red soil ecosystem in southern of China and </w:t>
      </w:r>
    </w:p>
    <w:p w:rsidR="00A34FF4" w:rsidRDefault="00F85F87" w:rsidP="00F85F87">
      <w:pPr>
        <w:numPr>
          <w:ilvl w:val="0"/>
          <w:numId w:val="75"/>
        </w:numPr>
        <w:ind w:hanging="1099"/>
      </w:pPr>
      <w:r>
        <w:t>its countermeasures. Acta Ecologica Sinica 33, 7615–7622. (In Chinese)</w:t>
      </w:r>
    </w:p>
    <w:p w:rsidR="00A34FF4" w:rsidRDefault="00F85F87" w:rsidP="00F85F87">
      <w:pPr>
        <w:numPr>
          <w:ilvl w:val="0"/>
          <w:numId w:val="75"/>
        </w:numPr>
        <w:ind w:hanging="1099"/>
      </w:pPr>
      <w:r>
        <w:t>Zhou, J., Gu, B., Schlesinger, W.H., Ju, X., 2016. Significant accumulation of nitrate in</w:t>
      </w:r>
      <w:r>
        <w:t xml:space="preserve"> Chinese </w:t>
      </w:r>
    </w:p>
    <w:p w:rsidR="00A34FF4" w:rsidRDefault="00F85F87" w:rsidP="00F85F87">
      <w:pPr>
        <w:numPr>
          <w:ilvl w:val="0"/>
          <w:numId w:val="75"/>
        </w:numPr>
        <w:spacing w:after="196"/>
        <w:ind w:hanging="1099"/>
      </w:pPr>
      <w:r>
        <w:t>semi-humid croplands. Sci. Rep. 6, 25088.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569</w:t>
      </w:r>
    </w:p>
    <w:p w:rsidR="00A34FF4" w:rsidRDefault="00F85F87" w:rsidP="00F85F87">
      <w:pPr>
        <w:numPr>
          <w:ilvl w:val="0"/>
          <w:numId w:val="76"/>
        </w:numPr>
        <w:spacing w:after="360" w:line="284" w:lineRule="auto"/>
        <w:ind w:hanging="679"/>
      </w:pPr>
      <w:r>
        <w:rPr>
          <w:b/>
        </w:rPr>
        <w:t>Table and Figure Captions</w:t>
      </w:r>
    </w:p>
    <w:p w:rsidR="00A34FF4" w:rsidRDefault="00F85F87" w:rsidP="00F85F87">
      <w:pPr>
        <w:numPr>
          <w:ilvl w:val="0"/>
          <w:numId w:val="76"/>
        </w:numPr>
        <w:ind w:hanging="679"/>
      </w:pPr>
      <w:r>
        <w:rPr>
          <w:b/>
        </w:rPr>
        <w:t xml:space="preserve">Table 1 </w:t>
      </w:r>
      <w:r>
        <w:t>Summary of drilling sites and observed horizons in the red soil Critical Zone.</w:t>
      </w:r>
    </w:p>
    <w:p w:rsidR="00A34FF4" w:rsidRDefault="00F85F87" w:rsidP="00F85F87">
      <w:pPr>
        <w:numPr>
          <w:ilvl w:val="0"/>
          <w:numId w:val="76"/>
        </w:numPr>
        <w:ind w:hanging="679"/>
      </w:pPr>
      <w:r>
        <w:rPr>
          <w:b/>
        </w:rPr>
        <w:t xml:space="preserve">Fig. 1. </w:t>
      </w:r>
      <w:r>
        <w:t xml:space="preserve">Land uses map of the Red Soil Critical Zone Observatory with eight drilling sites (a), digital </w:t>
      </w:r>
    </w:p>
    <w:p w:rsidR="00A34FF4" w:rsidRDefault="00F85F87" w:rsidP="00F85F87">
      <w:pPr>
        <w:numPr>
          <w:ilvl w:val="0"/>
          <w:numId w:val="76"/>
        </w:numPr>
        <w:ind w:hanging="679"/>
      </w:pPr>
      <w:r>
        <w:t xml:space="preserve">elevation model map with schematic diagram of the stratigraphy determined on drill core samples </w:t>
      </w:r>
    </w:p>
    <w:p w:rsidR="00A34FF4" w:rsidRDefault="00F85F87" w:rsidP="00F85F87">
      <w:pPr>
        <w:numPr>
          <w:ilvl w:val="0"/>
          <w:numId w:val="76"/>
        </w:numPr>
        <w:spacing w:after="0" w:line="616" w:lineRule="auto"/>
        <w:ind w:hanging="679"/>
      </w:pPr>
      <w:r>
        <w:t>(b), and photographs of undisturbed cores of #6 woodland (c), #</w:t>
      </w:r>
      <w:r>
        <w:t xml:space="preserve">8 upland (d) and #7 old paddy field </w:t>
      </w:r>
      <w:r>
        <w:rPr>
          <w:rFonts w:ascii="Carlito" w:eastAsia="Carlito" w:hAnsi="Carlito" w:cs="Carlito"/>
        </w:rPr>
        <w:t xml:space="preserve">575 </w:t>
      </w:r>
      <w:r>
        <w:t>(e) regoliths.</w:t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576 </w:t>
      </w:r>
      <w:r>
        <w:rPr>
          <w:b/>
        </w:rPr>
        <w:t xml:space="preserve">Fig. 2. </w:t>
      </w:r>
      <w:r>
        <w:t xml:space="preserve">Selected properties of the regoliths among land uses. Error bars represent the standard </w:t>
      </w:r>
      <w:r>
        <w:rPr>
          <w:rFonts w:ascii="Carlito" w:eastAsia="Carlito" w:hAnsi="Carlito" w:cs="Carlito"/>
        </w:rPr>
        <w:t xml:space="preserve">577 </w:t>
      </w:r>
      <w:r>
        <w:t>deviation of the mean.</w:t>
      </w:r>
    </w:p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t xml:space="preserve">578 </w:t>
      </w:r>
      <w:r>
        <w:rPr>
          <w:b/>
        </w:rPr>
        <w:t>Fig. 3.</w:t>
      </w:r>
      <w:r>
        <w:t xml:space="preserve"> Dissolved N concentrations through the whole regolith in the u</w:t>
      </w:r>
      <w:r>
        <w:t xml:space="preserve">pland, woodland and paddy </w:t>
      </w:r>
      <w:r>
        <w:rPr>
          <w:rFonts w:ascii="Carlito" w:eastAsia="Carlito" w:hAnsi="Carlito" w:cs="Carlito"/>
        </w:rPr>
        <w:t xml:space="preserve">579 </w:t>
      </w:r>
      <w:r>
        <w:t>field land uses. Error bars represent the standard deviation of the mean.</w:t>
      </w:r>
    </w:p>
    <w:p w:rsidR="00A34FF4" w:rsidRDefault="00F85F87" w:rsidP="00F85F87">
      <w:pPr>
        <w:numPr>
          <w:ilvl w:val="0"/>
          <w:numId w:val="77"/>
        </w:numPr>
        <w:ind w:hanging="679"/>
      </w:pPr>
      <w:r>
        <w:rPr>
          <w:b/>
        </w:rPr>
        <w:lastRenderedPageBreak/>
        <w:t xml:space="preserve">Fig. 4. </w:t>
      </w:r>
      <w:r>
        <w:t xml:space="preserve">Comparison of dissolved N inventories at depths between 0-1 m and below 1 m to bedrock </w:t>
      </w:r>
    </w:p>
    <w:p w:rsidR="00A34FF4" w:rsidRDefault="00F85F87" w:rsidP="00F85F87">
      <w:pPr>
        <w:numPr>
          <w:ilvl w:val="0"/>
          <w:numId w:val="77"/>
        </w:numPr>
        <w:spacing w:after="0" w:line="618" w:lineRule="auto"/>
        <w:ind w:hanging="679"/>
      </w:pPr>
      <w:r>
        <w:t>under different land uses (a), dissolved N inventories a</w:t>
      </w:r>
      <w:r>
        <w:t xml:space="preserve">t 1-m depth intervals of upland regoliths (#1, </w:t>
      </w:r>
      <w:r>
        <w:rPr>
          <w:rFonts w:ascii="Carlito" w:eastAsia="Carlito" w:hAnsi="Carlito" w:cs="Carlito"/>
        </w:rPr>
        <w:t xml:space="preserve">582 </w:t>
      </w:r>
      <w:r>
        <w:t>#4, #5 and #8) (b). Error bars represent the standard deviation of the mean.</w:t>
      </w:r>
    </w:p>
    <w:p w:rsidR="00A34FF4" w:rsidRDefault="00F85F87">
      <w:pPr>
        <w:spacing w:after="0" w:line="616" w:lineRule="auto"/>
        <w:ind w:left="-5"/>
      </w:pPr>
      <w:r>
        <w:rPr>
          <w:rFonts w:ascii="Carlito" w:eastAsia="Carlito" w:hAnsi="Carlito" w:cs="Carlito"/>
        </w:rPr>
        <w:t>583</w:t>
      </w:r>
      <w:r>
        <w:rPr>
          <w:rFonts w:ascii="Carlito" w:eastAsia="Carlito" w:hAnsi="Carlito" w:cs="Carlito"/>
        </w:rPr>
        <w:tab/>
      </w:r>
      <w:r>
        <w:rPr>
          <w:b/>
        </w:rPr>
        <w:t>Fig. 5.</w:t>
      </w:r>
      <w:r>
        <w:t xml:space="preserve"> Total porosity through the whole regoliths in the upland (a-e), woodland (f) and paddy field </w:t>
      </w:r>
      <w:r>
        <w:rPr>
          <w:rFonts w:ascii="Carlito" w:eastAsia="Carlito" w:hAnsi="Carlito" w:cs="Carlito"/>
        </w:rPr>
        <w:t>584</w:t>
      </w:r>
      <w:r>
        <w:rPr>
          <w:rFonts w:ascii="Carlito" w:eastAsia="Carlito" w:hAnsi="Carlito" w:cs="Carlito"/>
        </w:rPr>
        <w:tab/>
      </w:r>
      <w:r>
        <w:t>(g and h) land uses</w:t>
      </w:r>
      <w:r>
        <w:t>.</w:t>
      </w:r>
    </w:p>
    <w:p w:rsidR="00A34FF4" w:rsidRDefault="00F85F87" w:rsidP="00F85F87">
      <w:pPr>
        <w:numPr>
          <w:ilvl w:val="0"/>
          <w:numId w:val="78"/>
        </w:numPr>
        <w:ind w:hanging="679"/>
      </w:pPr>
      <w:r>
        <w:rPr>
          <w:b/>
        </w:rPr>
        <w:t xml:space="preserve">Fig. 6. </w:t>
      </w:r>
      <w:r>
        <w:t xml:space="preserve">Total macroporosity (a), pore-size distribution (b-d) and the relationship between porosity </w:t>
      </w:r>
    </w:p>
    <w:p w:rsidR="00A34FF4" w:rsidRDefault="00F85F87" w:rsidP="00F85F87">
      <w:pPr>
        <w:numPr>
          <w:ilvl w:val="0"/>
          <w:numId w:val="78"/>
        </w:numPr>
        <w:ind w:hanging="679"/>
      </w:pPr>
      <w:r>
        <w:t>and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concentrations (e and f) in the regolith among land uses.</w:t>
      </w:r>
    </w:p>
    <w:p w:rsidR="00A34FF4" w:rsidRDefault="00A34FF4">
      <w:pPr>
        <w:sectPr w:rsidR="00A34FF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678" w:right="1747" w:bottom="1859" w:left="1121" w:header="720" w:footer="1212" w:gutter="0"/>
          <w:pgNumType w:start="1"/>
          <w:cols w:space="720"/>
        </w:sectPr>
      </w:pPr>
    </w:p>
    <w:p w:rsidR="00A34FF4" w:rsidRDefault="00F85F87" w:rsidP="00F85F87">
      <w:pPr>
        <w:numPr>
          <w:ilvl w:val="0"/>
          <w:numId w:val="78"/>
        </w:numPr>
        <w:spacing w:after="360" w:line="284" w:lineRule="auto"/>
        <w:ind w:hanging="679"/>
      </w:pPr>
      <w:r>
        <w:rPr>
          <w:b/>
        </w:rPr>
        <w:lastRenderedPageBreak/>
        <w:t>Table 1</w:t>
      </w:r>
    </w:p>
    <w:p w:rsidR="00A34FF4" w:rsidRDefault="00F85F87" w:rsidP="00F85F87">
      <w:pPr>
        <w:numPr>
          <w:ilvl w:val="0"/>
          <w:numId w:val="78"/>
        </w:numPr>
        <w:spacing w:after="123"/>
        <w:ind w:hanging="679"/>
      </w:pPr>
      <w:r>
        <w:t>Summary of drilling sites and observed horizons in the red soil Critical Zone.</w:t>
      </w:r>
    </w:p>
    <w:p w:rsidR="00A34FF4" w:rsidRDefault="00F85F87">
      <w:pPr>
        <w:spacing w:after="185" w:line="259" w:lineRule="auto"/>
        <w:ind w:left="321" w:right="-9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317989" cy="19050"/>
                <wp:effectExtent l="0" t="0" r="0" b="0"/>
                <wp:docPr id="262142" name="Group 26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7989" cy="19050"/>
                          <a:chOff x="0" y="0"/>
                          <a:chExt cx="9317989" cy="19050"/>
                        </a:xfrm>
                      </wpg:grpSpPr>
                      <wps:wsp>
                        <wps:cNvPr id="24866" name="Shape 24866"/>
                        <wps:cNvSpPr/>
                        <wps:spPr>
                          <a:xfrm>
                            <a:off x="0" y="0"/>
                            <a:ext cx="931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7989">
                                <a:moveTo>
                                  <a:pt x="0" y="0"/>
                                </a:moveTo>
                                <a:lnTo>
                                  <a:pt x="9317989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142" style="width:733.7pt;height:1.5pt;mso-position-horizontal-relative:char;mso-position-vertical-relative:line" coordsize="93179,190">
                <v:shape id="Shape 24866" style="position:absolute;width:93179;height:0;left:0;top:0;" coordsize="9317989,0" path="m0,0l9317989,0">
                  <v:stroke weight="1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A34FF4" w:rsidRDefault="00F85F87">
      <w:pPr>
        <w:tabs>
          <w:tab w:val="center" w:pos="925"/>
          <w:tab w:val="center" w:pos="2024"/>
          <w:tab w:val="center" w:pos="3087"/>
          <w:tab w:val="center" w:pos="4505"/>
          <w:tab w:val="center" w:pos="5852"/>
          <w:tab w:val="center" w:pos="6845"/>
          <w:tab w:val="center" w:pos="7908"/>
          <w:tab w:val="center" w:pos="10105"/>
          <w:tab w:val="right" w:pos="14087"/>
        </w:tabs>
        <w:spacing w:after="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Boreholes</w:t>
      </w:r>
      <w:r>
        <w:rPr>
          <w:sz w:val="20"/>
        </w:rPr>
        <w:tab/>
        <w:t xml:space="preserve">Latitude </w:t>
      </w:r>
      <w:r>
        <w:rPr>
          <w:sz w:val="20"/>
        </w:rPr>
        <w:tab/>
        <w:t xml:space="preserve">Longitude </w:t>
      </w:r>
      <w:r>
        <w:rPr>
          <w:sz w:val="20"/>
        </w:rPr>
        <w:tab/>
        <w:t>Land uses</w:t>
      </w:r>
      <w:r>
        <w:rPr>
          <w:sz w:val="20"/>
        </w:rPr>
        <w:tab/>
        <w:t xml:space="preserve">Slope </w:t>
      </w:r>
      <w:r>
        <w:rPr>
          <w:sz w:val="20"/>
        </w:rPr>
        <w:tab/>
        <w:t xml:space="preserve">Elevation </w:t>
      </w:r>
      <w:r>
        <w:rPr>
          <w:sz w:val="20"/>
        </w:rPr>
        <w:tab/>
        <w:t xml:space="preserve">Borehole </w:t>
      </w:r>
      <w:r>
        <w:rPr>
          <w:sz w:val="20"/>
        </w:rPr>
        <w:tab/>
        <w:t>Quaternary red clay (m)</w:t>
      </w:r>
      <w:r>
        <w:rPr>
          <w:sz w:val="20"/>
        </w:rPr>
        <w:tab/>
        <w:t>Sandstone (m)</w:t>
      </w:r>
    </w:p>
    <w:tbl>
      <w:tblPr>
        <w:tblStyle w:val="TableGrid"/>
        <w:tblW w:w="14674" w:type="dxa"/>
        <w:tblInd w:w="321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46"/>
        <w:gridCol w:w="1009"/>
        <w:gridCol w:w="1101"/>
        <w:gridCol w:w="1752"/>
        <w:gridCol w:w="932"/>
        <w:gridCol w:w="1055"/>
        <w:gridCol w:w="1072"/>
        <w:gridCol w:w="1580"/>
        <w:gridCol w:w="1959"/>
        <w:gridCol w:w="1707"/>
        <w:gridCol w:w="1161"/>
      </w:tblGrid>
      <w:tr w:rsidR="00A34FF4">
        <w:trPr>
          <w:trHeight w:val="483"/>
        </w:trPr>
        <w:tc>
          <w:tcPr>
            <w:tcW w:w="13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19" w:firstLine="0"/>
              <w:jc w:val="left"/>
            </w:pPr>
            <w:r>
              <w:rPr>
                <w:sz w:val="20"/>
              </w:rPr>
              <w:t>(N)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83" w:firstLine="0"/>
              <w:jc w:val="left"/>
            </w:pPr>
            <w:r>
              <w:rPr>
                <w:sz w:val="20"/>
              </w:rPr>
              <w:t>(E)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position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39" w:firstLine="0"/>
              <w:jc w:val="left"/>
            </w:pPr>
            <w:r>
              <w:rPr>
                <w:sz w:val="20"/>
              </w:rPr>
              <w:t>(m)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depth (m)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uniform red clay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reticulate red clay</w:t>
            </w:r>
          </w:p>
        </w:tc>
        <w:tc>
          <w:tcPr>
            <w:tcW w:w="1707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weathered horizon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1" w:firstLine="0"/>
              <w:jc w:val="left"/>
            </w:pPr>
            <w:r>
              <w:rPr>
                <w:sz w:val="20"/>
              </w:rPr>
              <w:t>bedrock</w:t>
            </w:r>
          </w:p>
        </w:tc>
      </w:tr>
      <w:tr w:rsidR="00A34FF4">
        <w:trPr>
          <w:trHeight w:val="499"/>
        </w:trPr>
        <w:tc>
          <w:tcPr>
            <w:tcW w:w="134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#1</w:t>
            </w:r>
          </w:p>
        </w:tc>
        <w:tc>
          <w:tcPr>
            <w:tcW w:w="1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28.2364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116.8954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5" w:firstLine="0"/>
              <w:jc w:val="left"/>
            </w:pPr>
            <w:r>
              <w:rPr>
                <w:sz w:val="20"/>
              </w:rPr>
              <w:t>upland</w:t>
            </w:r>
          </w:p>
        </w:tc>
        <w:tc>
          <w:tcPr>
            <w:tcW w:w="93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" w:firstLine="0"/>
              <w:jc w:val="left"/>
            </w:pPr>
            <w:r>
              <w:rPr>
                <w:sz w:val="20"/>
              </w:rPr>
              <w:t>middle</w:t>
            </w:r>
          </w:p>
        </w:tc>
        <w:tc>
          <w:tcPr>
            <w:tcW w:w="105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50.3</w:t>
            </w:r>
          </w:p>
        </w:tc>
        <w:tc>
          <w:tcPr>
            <w:tcW w:w="107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67" w:firstLine="0"/>
              <w:jc w:val="left"/>
            </w:pPr>
            <w:r>
              <w:rPr>
                <w:sz w:val="20"/>
              </w:rPr>
              <w:t>10.40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0.70</w:t>
            </w:r>
          </w:p>
        </w:tc>
        <w:tc>
          <w:tcPr>
            <w:tcW w:w="195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0.70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6.20</w:t>
            </w:r>
          </w:p>
        </w:tc>
        <w:tc>
          <w:tcPr>
            <w:tcW w:w="170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6.20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8.00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8.00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&gt;10.40</w:t>
            </w:r>
          </w:p>
        </w:tc>
      </w:tr>
      <w:tr w:rsidR="00A34FF4">
        <w:trPr>
          <w:trHeight w:val="46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28.2377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116.8978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5" w:firstLine="0"/>
              <w:jc w:val="left"/>
            </w:pPr>
            <w:r>
              <w:rPr>
                <w:sz w:val="20"/>
              </w:rPr>
              <w:t>upland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95" w:firstLine="0"/>
              <w:jc w:val="left"/>
            </w:pPr>
            <w:r>
              <w:rPr>
                <w:sz w:val="20"/>
              </w:rPr>
              <w:t>top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50.7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17" w:firstLine="0"/>
              <w:jc w:val="left"/>
            </w:pPr>
            <w:r>
              <w:rPr>
                <w:sz w:val="20"/>
              </w:rPr>
              <w:t>4.20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0.12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0.12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1.80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1.80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3.49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64" w:firstLine="0"/>
              <w:jc w:val="left"/>
            </w:pPr>
            <w:r>
              <w:rPr>
                <w:sz w:val="20"/>
              </w:rPr>
              <w:t>3.49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&gt;4.20</w:t>
            </w:r>
          </w:p>
        </w:tc>
      </w:tr>
      <w:tr w:rsidR="00A34FF4">
        <w:trPr>
          <w:trHeight w:val="46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28.2339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116.9008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young paddy field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" w:firstLine="0"/>
              <w:jc w:val="left"/>
            </w:pPr>
            <w:r>
              <w:rPr>
                <w:sz w:val="20"/>
              </w:rPr>
              <w:t>middle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47.5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17" w:firstLine="0"/>
              <w:jc w:val="left"/>
            </w:pPr>
            <w:r>
              <w:rPr>
                <w:sz w:val="20"/>
              </w:rPr>
              <w:t>8.50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1.20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1.20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5.20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5.20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7.30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64" w:firstLine="0"/>
              <w:jc w:val="left"/>
            </w:pPr>
            <w:r>
              <w:rPr>
                <w:sz w:val="20"/>
              </w:rPr>
              <w:t>7.30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&gt;8.50</w:t>
            </w:r>
          </w:p>
        </w:tc>
      </w:tr>
      <w:tr w:rsidR="00A34FF4">
        <w:trPr>
          <w:trHeight w:val="46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28.2368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116.9014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5" w:firstLine="0"/>
              <w:jc w:val="left"/>
            </w:pPr>
            <w:r>
              <w:rPr>
                <w:sz w:val="20"/>
              </w:rPr>
              <w:t>upland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" w:firstLine="0"/>
              <w:jc w:val="left"/>
            </w:pPr>
            <w:r>
              <w:rPr>
                <w:sz w:val="20"/>
              </w:rPr>
              <w:t>middle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49.5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17" w:firstLine="0"/>
              <w:jc w:val="left"/>
            </w:pPr>
            <w:r>
              <w:rPr>
                <w:sz w:val="20"/>
              </w:rPr>
              <w:t>8.25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0.60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0.60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4.50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4.50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5.95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64" w:firstLine="0"/>
              <w:jc w:val="left"/>
            </w:pPr>
            <w:r>
              <w:rPr>
                <w:sz w:val="20"/>
              </w:rPr>
              <w:t>5.95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&gt;8.25</w:t>
            </w:r>
          </w:p>
        </w:tc>
      </w:tr>
      <w:tr w:rsidR="00A34FF4">
        <w:trPr>
          <w:trHeight w:val="46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28.2350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116.8992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5" w:firstLine="0"/>
              <w:jc w:val="left"/>
            </w:pPr>
            <w:r>
              <w:rPr>
                <w:sz w:val="20"/>
              </w:rPr>
              <w:t>upland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" w:firstLine="0"/>
              <w:jc w:val="left"/>
            </w:pPr>
            <w:r>
              <w:rPr>
                <w:sz w:val="20"/>
              </w:rPr>
              <w:t>middle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48.0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17" w:firstLine="0"/>
              <w:jc w:val="left"/>
            </w:pPr>
            <w:r>
              <w:rPr>
                <w:sz w:val="20"/>
              </w:rPr>
              <w:t>7.10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1.40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1.40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6.10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6.10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7.10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92" w:firstLine="0"/>
              <w:jc w:val="left"/>
            </w:pPr>
            <w:r>
              <w:rPr>
                <w:sz w:val="20"/>
              </w:rPr>
              <w:t>&gt;7.10</w:t>
            </w:r>
          </w:p>
        </w:tc>
      </w:tr>
      <w:tr w:rsidR="00A34FF4">
        <w:trPr>
          <w:trHeight w:val="46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28.2326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116.8971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3" w:firstLine="0"/>
              <w:jc w:val="left"/>
            </w:pPr>
            <w:r>
              <w:rPr>
                <w:sz w:val="20"/>
              </w:rPr>
              <w:t>woodland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0" w:firstLine="0"/>
              <w:jc w:val="left"/>
            </w:pPr>
            <w:r>
              <w:rPr>
                <w:sz w:val="20"/>
              </w:rPr>
              <w:t>toe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45.4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67" w:firstLine="0"/>
              <w:jc w:val="left"/>
            </w:pPr>
            <w:r>
              <w:rPr>
                <w:sz w:val="20"/>
              </w:rPr>
              <w:t>30.00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1.95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1.95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8.20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8.20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9.00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9.00</w:t>
            </w:r>
            <w:r>
              <w:rPr>
                <w:color w:val="231F20"/>
              </w:rPr>
              <w:t>–&gt;30.00</w:t>
            </w:r>
          </w:p>
        </w:tc>
      </w:tr>
      <w:tr w:rsidR="00A34FF4">
        <w:trPr>
          <w:trHeight w:val="468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28.2334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116.8983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22" w:firstLine="0"/>
              <w:jc w:val="left"/>
            </w:pPr>
            <w:r>
              <w:rPr>
                <w:sz w:val="20"/>
              </w:rPr>
              <w:t>old paddy field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0" w:firstLine="0"/>
              <w:jc w:val="left"/>
            </w:pPr>
            <w:r>
              <w:rPr>
                <w:sz w:val="20"/>
              </w:rPr>
              <w:t>toe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42.2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67" w:firstLine="0"/>
              <w:jc w:val="left"/>
            </w:pPr>
            <w:r>
              <w:rPr>
                <w:sz w:val="20"/>
              </w:rPr>
              <w:t>30.10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0.90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0.90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2.90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2.90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5.00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5.00</w:t>
            </w:r>
            <w:r>
              <w:rPr>
                <w:color w:val="231F20"/>
              </w:rPr>
              <w:t>–&gt;30.10</w:t>
            </w:r>
          </w:p>
        </w:tc>
      </w:tr>
      <w:tr w:rsidR="00A34FF4">
        <w:trPr>
          <w:trHeight w:val="462"/>
        </w:trPr>
        <w:tc>
          <w:tcPr>
            <w:tcW w:w="1346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#8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28.2362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116.8955</w:t>
            </w:r>
            <w:r>
              <w:rPr>
                <w:sz w:val="20"/>
                <w:vertAlign w:val="superscript"/>
              </w:rPr>
              <w:t>o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5" w:firstLine="0"/>
              <w:jc w:val="left"/>
            </w:pPr>
            <w:r>
              <w:rPr>
                <w:sz w:val="20"/>
              </w:rPr>
              <w:t>upland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45" w:firstLine="0"/>
              <w:jc w:val="left"/>
            </w:pPr>
            <w:r>
              <w:rPr>
                <w:sz w:val="20"/>
              </w:rPr>
              <w:t>middle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208" w:firstLine="0"/>
              <w:jc w:val="left"/>
            </w:pPr>
            <w:r>
              <w:rPr>
                <w:sz w:val="20"/>
              </w:rPr>
              <w:t>50.0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67" w:firstLine="0"/>
              <w:jc w:val="left"/>
            </w:pPr>
            <w:r>
              <w:rPr>
                <w:sz w:val="20"/>
              </w:rPr>
              <w:t>15.80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89" w:firstLine="0"/>
              <w:jc w:val="left"/>
            </w:pPr>
            <w:r>
              <w:rPr>
                <w:sz w:val="20"/>
              </w:rPr>
              <w:t>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0.70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14" w:firstLine="0"/>
              <w:jc w:val="left"/>
            </w:pPr>
            <w:r>
              <w:rPr>
                <w:sz w:val="20"/>
              </w:rPr>
              <w:t>0.70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6.00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339" w:firstLine="0"/>
              <w:jc w:val="left"/>
            </w:pPr>
            <w:r>
              <w:rPr>
                <w:sz w:val="20"/>
              </w:rPr>
              <w:t>6.00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7.60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A34FF4" w:rsidRDefault="00F85F87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7.60</w:t>
            </w:r>
            <w:r>
              <w:rPr>
                <w:color w:val="231F20"/>
              </w:rPr>
              <w:t>–</w:t>
            </w:r>
            <w:r>
              <w:rPr>
                <w:sz w:val="20"/>
              </w:rPr>
              <w:t>&gt;15.80</w:t>
            </w:r>
          </w:p>
        </w:tc>
      </w:tr>
    </w:tbl>
    <w:p w:rsidR="00A34FF4" w:rsidRDefault="00F85F87">
      <w:pPr>
        <w:spacing w:after="190" w:line="259" w:lineRule="auto"/>
        <w:ind w:left="1659" w:right="420"/>
        <w:jc w:val="center"/>
      </w:pPr>
      <w:r>
        <w:rPr>
          <w:rFonts w:ascii="Carlito" w:eastAsia="Carlito" w:hAnsi="Carlito" w:cs="Carlito"/>
          <w:sz w:val="18"/>
        </w:rPr>
        <w:t>28</w:t>
      </w:r>
    </w:p>
    <w:p w:rsidR="00A34FF4" w:rsidRDefault="00A34FF4">
      <w:pPr>
        <w:sectPr w:rsidR="00A34FF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440" w:right="1990" w:bottom="1440" w:left="761" w:header="720" w:footer="720" w:gutter="0"/>
          <w:cols w:space="720"/>
        </w:sectPr>
      </w:pPr>
    </w:p>
    <w:p w:rsidR="00A34FF4" w:rsidRDefault="00F85F87">
      <w:pPr>
        <w:spacing w:after="3419"/>
        <w:ind w:left="-5" w:right="63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529654</wp:posOffset>
                </wp:positionH>
                <wp:positionV relativeFrom="paragraph">
                  <wp:posOffset>-2419984</wp:posOffset>
                </wp:positionV>
                <wp:extent cx="5136109" cy="5702783"/>
                <wp:effectExtent l="0" t="0" r="0" b="0"/>
                <wp:wrapSquare wrapText="bothSides"/>
                <wp:docPr id="262218" name="Group 262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109" cy="5702783"/>
                          <a:chOff x="0" y="0"/>
                          <a:chExt cx="5136109" cy="5702783"/>
                        </a:xfrm>
                      </wpg:grpSpPr>
                      <pic:pic xmlns:pic="http://schemas.openxmlformats.org/drawingml/2006/picture">
                        <pic:nvPicPr>
                          <pic:cNvPr id="24885" name="Picture 2488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1780" y="0"/>
                            <a:ext cx="2340817" cy="25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7" name="Picture 248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15134" y="88"/>
                            <a:ext cx="2720975" cy="25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90" name="Picture 248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2497"/>
                            <a:ext cx="2374073" cy="22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91" name="Rectangle 24891"/>
                        <wps:cNvSpPr/>
                        <wps:spPr>
                          <a:xfrm>
                            <a:off x="2381695" y="4778042"/>
                            <a:ext cx="133017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FF4" w:rsidRDefault="00F85F8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93" name="Picture 2489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581720" y="2602497"/>
                            <a:ext cx="2489640" cy="22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96" name="Picture 248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159" y="4940148"/>
                            <a:ext cx="5019378" cy="76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218" style="width:404.418pt;height:449.038pt;position:absolute;mso-position-horizontal-relative:text;mso-position-horizontal:absolute;margin-left:41.705pt;mso-position-vertical-relative:text;margin-top:-190.55pt;" coordsize="51361,57027">
                <v:shape id="Picture 24885" style="position:absolute;width:23408;height:25200;left:717;top:0;" filled="f">
                  <v:imagedata r:id="rId74"/>
                </v:shape>
                <v:shape id="Picture 24887" style="position:absolute;width:27209;height:25199;left:24151;top:0;" filled="f">
                  <v:imagedata r:id="rId75"/>
                </v:shape>
                <v:shape id="Picture 24890" style="position:absolute;width:23740;height:22680;left:0;top:26024;" filled="f">
                  <v:imagedata r:id="rId76"/>
                </v:shape>
                <v:rect id="Rectangle 24891" style="position:absolute;width:1330;height:1613;left:23816;top:47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shape id="Picture 24893" style="position:absolute;width:24896;height:22680;left:25817;top:26024;" filled="f">
                  <v:imagedata r:id="rId77"/>
                </v:shape>
                <v:shape id="Picture 24896" style="position:absolute;width:50193;height:7626;left:291;top:49401;" filled="f">
                  <v:imagedata r:id="rId78"/>
                </v:shape>
                <w10:wrap type="square"/>
              </v:group>
            </w:pict>
          </mc:Fallback>
        </mc:AlternateContent>
      </w:r>
      <w:r>
        <w:rPr>
          <w:rFonts w:ascii="Carlito" w:eastAsia="Carlito" w:hAnsi="Carlito" w:cs="Carlito"/>
        </w:rPr>
        <w:t>590</w:t>
      </w:r>
    </w:p>
    <w:p w:rsidR="00A34FF4" w:rsidRDefault="00F85F87">
      <w:pPr>
        <w:spacing w:after="1029"/>
        <w:ind w:left="-5" w:right="63"/>
        <w:jc w:val="left"/>
      </w:pPr>
      <w:r>
        <w:rPr>
          <w:rFonts w:ascii="Carlito" w:eastAsia="Carlito" w:hAnsi="Carlito" w:cs="Carlito"/>
        </w:rPr>
        <w:t>591</w:t>
      </w:r>
    </w:p>
    <w:p w:rsidR="00A34FF4" w:rsidRDefault="00F85F87">
      <w:pPr>
        <w:spacing w:after="154"/>
        <w:ind w:left="-5" w:right="63"/>
        <w:jc w:val="left"/>
      </w:pPr>
      <w:r>
        <w:rPr>
          <w:rFonts w:ascii="Carlito" w:eastAsia="Carlito" w:hAnsi="Carlito" w:cs="Carlito"/>
        </w:rPr>
        <w:t>592</w:t>
      </w:r>
    </w:p>
    <w:p w:rsidR="00A34FF4" w:rsidRDefault="00F85F87" w:rsidP="00F85F87">
      <w:pPr>
        <w:numPr>
          <w:ilvl w:val="0"/>
          <w:numId w:val="79"/>
        </w:numPr>
        <w:ind w:hanging="679"/>
      </w:pPr>
      <w:r>
        <w:rPr>
          <w:b/>
        </w:rPr>
        <w:t xml:space="preserve">Fig. 1. </w:t>
      </w:r>
      <w:r>
        <w:t xml:space="preserve">Land uses map of the Red Soil Critical Zone Observatory with eight drilling sites (a), digital </w:t>
      </w:r>
    </w:p>
    <w:p w:rsidR="00A34FF4" w:rsidRDefault="00F85F87" w:rsidP="00F85F87">
      <w:pPr>
        <w:numPr>
          <w:ilvl w:val="0"/>
          <w:numId w:val="79"/>
        </w:numPr>
        <w:ind w:hanging="679"/>
      </w:pPr>
      <w:r>
        <w:t xml:space="preserve">elevation model map with schematic diagram of the stratigraphy determined on drill core samples </w:t>
      </w:r>
    </w:p>
    <w:p w:rsidR="00A34FF4" w:rsidRDefault="00F85F87" w:rsidP="00F85F87">
      <w:pPr>
        <w:numPr>
          <w:ilvl w:val="0"/>
          <w:numId w:val="79"/>
        </w:numPr>
        <w:ind w:hanging="679"/>
      </w:pPr>
      <w:r>
        <w:t xml:space="preserve">(b), and photographs of undisturbed cores of #6 woodland (c), #8 upland (d) and #7 old paddy field </w:t>
      </w:r>
    </w:p>
    <w:p w:rsidR="00A34FF4" w:rsidRDefault="00F85F87" w:rsidP="00F85F87">
      <w:pPr>
        <w:numPr>
          <w:ilvl w:val="0"/>
          <w:numId w:val="79"/>
        </w:numPr>
        <w:spacing w:after="194"/>
        <w:ind w:hanging="679"/>
      </w:pPr>
      <w:r>
        <w:t>(e) regoliths.</w:t>
      </w:r>
    </w:p>
    <w:p w:rsidR="00A34FF4" w:rsidRDefault="00F85F87">
      <w:pPr>
        <w:spacing w:after="367"/>
        <w:ind w:left="-5" w:right="63"/>
        <w:jc w:val="left"/>
      </w:pPr>
      <w:r>
        <w:rPr>
          <w:rFonts w:ascii="Carlito" w:eastAsia="Carlito" w:hAnsi="Carlito" w:cs="Carlito"/>
        </w:rPr>
        <w:t>597</w:t>
      </w:r>
    </w:p>
    <w:p w:rsidR="00A34FF4" w:rsidRDefault="00F85F87">
      <w:pPr>
        <w:spacing w:after="299" w:line="259" w:lineRule="auto"/>
        <w:ind w:left="3" w:firstLine="0"/>
        <w:jc w:val="left"/>
      </w:pPr>
      <w:r>
        <w:rPr>
          <w:noProof/>
        </w:rPr>
        <w:lastRenderedPageBreak/>
        <w:drawing>
          <wp:inline distT="0" distB="0" distL="0" distR="0">
            <wp:extent cx="5654040" cy="5882640"/>
            <wp:effectExtent l="0" t="0" r="0" b="0"/>
            <wp:docPr id="277047" name="Picture 277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47" name="Picture 27704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601 </w:t>
      </w:r>
      <w:r>
        <w:rPr>
          <w:b/>
        </w:rPr>
        <w:t xml:space="preserve">Fig. 2. </w:t>
      </w:r>
      <w:r>
        <w:t xml:space="preserve">Selected properties of the regoliths among land uses. Error bars represent the standard </w:t>
      </w:r>
      <w:r>
        <w:rPr>
          <w:rFonts w:ascii="Carlito" w:eastAsia="Carlito" w:hAnsi="Carlito" w:cs="Carlito"/>
        </w:rPr>
        <w:t xml:space="preserve">602 </w:t>
      </w:r>
      <w:r>
        <w:t>deviation of the mean.</w:t>
      </w:r>
    </w:p>
    <w:p w:rsidR="00A34FF4" w:rsidRDefault="00F85F87">
      <w:pPr>
        <w:spacing w:after="269" w:line="259" w:lineRule="auto"/>
        <w:ind w:left="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66232" cy="7620000"/>
                <wp:effectExtent l="0" t="0" r="0" b="0"/>
                <wp:docPr id="277336" name="Group 277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232" cy="7620000"/>
                          <a:chOff x="0" y="0"/>
                          <a:chExt cx="5666232" cy="7620000"/>
                        </a:xfrm>
                      </wpg:grpSpPr>
                      <pic:pic xmlns:pic="http://schemas.openxmlformats.org/drawingml/2006/picture">
                        <pic:nvPicPr>
                          <pic:cNvPr id="277049" name="Picture 27704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2996184" cy="761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051" name="Picture 27705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139440" y="0"/>
                            <a:ext cx="2526792" cy="7601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7336" style="width:446.16pt;height:600pt;mso-position-horizontal-relative:char;mso-position-vertical-relative:line" coordsize="56662,76200">
                <v:shape id="Picture 277049" style="position:absolute;width:29961;height:76169;left:0;top:30;" filled="f">
                  <v:imagedata r:id="rId94"/>
                </v:shape>
                <v:shape id="Picture 277051" style="position:absolute;width:25267;height:76017;left:31394;top:0;" filled="f">
                  <v:imagedata r:id="rId95"/>
                </v:shape>
              </v:group>
            </w:pict>
          </mc:Fallback>
        </mc:AlternateContent>
      </w:r>
    </w:p>
    <w:tbl>
      <w:tblPr>
        <w:tblStyle w:val="TableGrid"/>
        <w:tblpPr w:vertAnchor="page" w:horzAnchor="page" w:tblpX="1892" w:tblpY="1488"/>
        <w:tblOverlap w:val="never"/>
        <w:tblW w:w="8158" w:type="dxa"/>
        <w:tblInd w:w="0" w:type="dxa"/>
        <w:tblCellMar>
          <w:top w:w="3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68"/>
        <w:gridCol w:w="4205"/>
        <w:gridCol w:w="718"/>
        <w:gridCol w:w="167"/>
      </w:tblGrid>
      <w:tr w:rsidR="00A34FF4">
        <w:trPr>
          <w:trHeight w:val="390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tabs>
                <w:tab w:val="center" w:pos="2140"/>
              </w:tabs>
              <w:spacing w:after="90" w:line="259" w:lineRule="auto"/>
              <w:ind w:left="0" w:firstLine="0"/>
              <w:jc w:val="left"/>
            </w:pPr>
            <w:r>
              <w:rPr>
                <w:rFonts w:ascii="DejaVu Sans" w:eastAsia="DejaVu Sans" w:hAnsi="DejaVu Sans" w:cs="DejaVu Sans"/>
                <w:b/>
                <w:sz w:val="15"/>
              </w:rPr>
              <w:t>a</w:t>
            </w:r>
            <w:r>
              <w:rPr>
                <w:rFonts w:ascii="DejaVu Sans" w:eastAsia="DejaVu Sans" w:hAnsi="DejaVu Sans" w:cs="DejaVu Sans"/>
                <w:b/>
                <w:sz w:val="15"/>
              </w:rPr>
              <w:tab/>
            </w:r>
            <w:r>
              <w:rPr>
                <w:rFonts w:ascii="DejaVu Sans" w:eastAsia="DejaVu Sans" w:hAnsi="DejaVu Sans" w:cs="DejaVu Sans"/>
                <w:b/>
                <w:sz w:val="13"/>
              </w:rPr>
              <w:t>Diss</w:t>
            </w:r>
            <w:r>
              <w:rPr>
                <w:rFonts w:ascii="DejaVu Sans" w:eastAsia="DejaVu Sans" w:hAnsi="DejaVu Sans" w:cs="DejaVu Sans"/>
                <w:b/>
                <w:sz w:val="13"/>
              </w:rPr>
              <w:t>olved N (mg kg</w:t>
            </w:r>
            <w:r>
              <w:rPr>
                <w:rFonts w:ascii="DejaVu Sans" w:eastAsia="DejaVu Sans" w:hAnsi="DejaVu Sans" w:cs="DejaVu Sans"/>
                <w:b/>
                <w:sz w:val="12"/>
                <w:vertAlign w:val="superscript"/>
              </w:rPr>
              <w:t>-1</w:t>
            </w:r>
            <w:r>
              <w:rPr>
                <w:rFonts w:ascii="DejaVu Sans" w:eastAsia="DejaVu Sans" w:hAnsi="DejaVu Sans" w:cs="DejaVu Sans"/>
                <w:b/>
                <w:sz w:val="13"/>
              </w:rPr>
              <w:t>)</w:t>
            </w:r>
          </w:p>
          <w:p w:rsidR="00A34FF4" w:rsidRDefault="00F85F87">
            <w:pPr>
              <w:tabs>
                <w:tab w:val="center" w:pos="629"/>
                <w:tab w:val="center" w:pos="989"/>
                <w:tab w:val="center" w:pos="1350"/>
                <w:tab w:val="center" w:pos="1708"/>
                <w:tab w:val="center" w:pos="2068"/>
                <w:tab w:val="center" w:pos="2427"/>
                <w:tab w:val="center" w:pos="278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DejaVu Sans" w:eastAsia="DejaVu Sans" w:hAnsi="DejaVu Sans" w:cs="DejaVu Sans"/>
                <w:b/>
                <w:sz w:val="12"/>
              </w:rPr>
              <w:t>0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10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15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20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25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30</w:t>
            </w: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tabs>
                <w:tab w:val="center" w:pos="1153"/>
                <w:tab w:val="center" w:pos="3298"/>
              </w:tabs>
              <w:spacing w:after="10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DejaVu Sans" w:eastAsia="DejaVu Sans" w:hAnsi="DejaVu Sans" w:cs="DejaVu Sans"/>
                <w:b/>
                <w:sz w:val="15"/>
              </w:rPr>
              <w:t>b</w:t>
            </w:r>
            <w:r>
              <w:rPr>
                <w:rFonts w:ascii="DejaVu Sans" w:eastAsia="DejaVu Sans" w:hAnsi="DejaVu Sans" w:cs="DejaVu Sans"/>
                <w:b/>
                <w:sz w:val="15"/>
              </w:rPr>
              <w:tab/>
            </w:r>
            <w:r>
              <w:rPr>
                <w:rFonts w:ascii="DejaVu Sans" w:eastAsia="DejaVu Sans" w:hAnsi="DejaVu Sans" w:cs="DejaVu Sans"/>
                <w:b/>
                <w:sz w:val="13"/>
              </w:rPr>
              <w:t>Dissolved N (mg kg</w:t>
            </w:r>
            <w:r>
              <w:rPr>
                <w:rFonts w:ascii="DejaVu Sans" w:eastAsia="DejaVu Sans" w:hAnsi="DejaVu Sans" w:cs="DejaVu Sans"/>
                <w:b/>
                <w:sz w:val="12"/>
                <w:vertAlign w:val="superscript"/>
              </w:rPr>
              <w:t>-1</w:t>
            </w:r>
            <w:r>
              <w:rPr>
                <w:rFonts w:ascii="DejaVu Sans" w:eastAsia="DejaVu Sans" w:hAnsi="DejaVu Sans" w:cs="DejaVu Sans"/>
                <w:b/>
                <w:sz w:val="13"/>
              </w:rPr>
              <w:t>)</w:t>
            </w:r>
          </w:p>
          <w:p w:rsidR="00A34FF4" w:rsidRDefault="00F85F87">
            <w:pPr>
              <w:tabs>
                <w:tab w:val="center" w:pos="432"/>
                <w:tab w:val="center" w:pos="793"/>
                <w:tab w:val="center" w:pos="1767"/>
                <w:tab w:val="center" w:pos="2127"/>
                <w:tab w:val="center" w:pos="2488"/>
                <w:tab w:val="center" w:pos="2848"/>
                <w:tab w:val="center" w:pos="3209"/>
                <w:tab w:val="center" w:pos="3568"/>
                <w:tab w:val="center" w:pos="392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DejaVu Sans" w:eastAsia="DejaVu Sans" w:hAnsi="DejaVu Sans" w:cs="DejaVu Sans"/>
                <w:b/>
                <w:sz w:val="12"/>
              </w:rPr>
              <w:t>35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40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45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0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10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15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20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25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FF4" w:rsidRDefault="00F85F87">
            <w:pPr>
              <w:tabs>
                <w:tab w:val="center" w:pos="43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DejaVu Sans" w:eastAsia="DejaVu Sans" w:hAnsi="DejaVu Sans" w:cs="DejaVu Sans"/>
                <w:b/>
                <w:sz w:val="12"/>
              </w:rPr>
              <w:t>35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ab/>
              <w:t>40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FF4" w:rsidRDefault="00F85F87">
            <w:pPr>
              <w:spacing w:after="0" w:line="259" w:lineRule="auto"/>
              <w:ind w:left="0" w:firstLine="0"/>
            </w:pPr>
            <w:r>
              <w:rPr>
                <w:rFonts w:ascii="DejaVu Sans" w:eastAsia="DejaVu Sans" w:hAnsi="DejaVu Sans" w:cs="DejaVu Sans"/>
                <w:b/>
                <w:sz w:val="12"/>
              </w:rPr>
              <w:t>45</w:t>
            </w:r>
          </w:p>
        </w:tc>
      </w:tr>
    </w:tbl>
    <w:p w:rsidR="00A34FF4" w:rsidRDefault="00F85F87">
      <w:pPr>
        <w:spacing w:after="0" w:line="618" w:lineRule="auto"/>
        <w:ind w:left="-5"/>
      </w:pPr>
      <w:r>
        <w:rPr>
          <w:rFonts w:ascii="Carlito" w:eastAsia="Carlito" w:hAnsi="Carlito" w:cs="Carlito"/>
        </w:rPr>
        <w:lastRenderedPageBreak/>
        <w:t xml:space="preserve">607 </w:t>
      </w:r>
      <w:r>
        <w:rPr>
          <w:b/>
        </w:rPr>
        <w:t>Fig. 3.</w:t>
      </w:r>
      <w:r>
        <w:t xml:space="preserve"> Dissolved N concentrations through the whole regolith in the upland, woodland and paddy </w:t>
      </w:r>
      <w:r>
        <w:rPr>
          <w:rFonts w:ascii="Carlito" w:eastAsia="Carlito" w:hAnsi="Carlito" w:cs="Carlito"/>
        </w:rPr>
        <w:t xml:space="preserve">608 </w:t>
      </w:r>
      <w:r>
        <w:t>field land uses. Error bars represent the standard deviation of the mean.</w:t>
      </w:r>
    </w:p>
    <w:p w:rsidR="00A34FF4" w:rsidRDefault="00F85F87">
      <w:pPr>
        <w:spacing w:after="117" w:line="259" w:lineRule="auto"/>
        <w:ind w:left="2358" w:firstLine="0"/>
        <w:jc w:val="left"/>
      </w:pPr>
      <w:r>
        <w:rPr>
          <w:noProof/>
        </w:rPr>
        <w:drawing>
          <wp:inline distT="0" distB="0" distL="0" distR="0">
            <wp:extent cx="3206496" cy="2505456"/>
            <wp:effectExtent l="0" t="0" r="0" b="0"/>
            <wp:docPr id="277053" name="Picture 277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53" name="Picture 27705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tabs>
          <w:tab w:val="center" w:pos="2229"/>
          <w:tab w:val="center" w:pos="4930"/>
        </w:tabs>
        <w:spacing w:after="78" w:line="259" w:lineRule="auto"/>
        <w:ind w:left="-15" w:firstLine="0"/>
        <w:jc w:val="left"/>
      </w:pPr>
      <w:r>
        <w:rPr>
          <w:rFonts w:ascii="Carlito" w:eastAsia="Carlito" w:hAnsi="Carlito" w:cs="Carlito"/>
        </w:rPr>
        <w:t>609</w:t>
      </w:r>
      <w:r>
        <w:rPr>
          <w:rFonts w:ascii="Carlito" w:eastAsia="Carlito" w:hAnsi="Carlito" w:cs="Carlito"/>
        </w:rPr>
        <w:tab/>
      </w:r>
      <w:r>
        <w:rPr>
          <w:b/>
          <w:sz w:val="32"/>
          <w:vertAlign w:val="subscript"/>
        </w:rPr>
        <w:t xml:space="preserve"> </w:t>
      </w:r>
      <w:r>
        <w:rPr>
          <w:b/>
          <w:sz w:val="32"/>
          <w:vertAlign w:val="subscript"/>
        </w:rPr>
        <w:tab/>
      </w:r>
      <w:r>
        <w:rPr>
          <w:rFonts w:ascii="DejaVu Sans" w:eastAsia="DejaVu Sans" w:hAnsi="DejaVu Sans" w:cs="DejaVu Sans"/>
          <w:b/>
          <w:sz w:val="18"/>
        </w:rPr>
        <w:t>Inventory (kg N ha</w:t>
      </w:r>
      <w:r>
        <w:rPr>
          <w:rFonts w:ascii="DejaVu Sans" w:eastAsia="DejaVu Sans" w:hAnsi="DejaVu Sans" w:cs="DejaVu Sans"/>
          <w:b/>
          <w:sz w:val="18"/>
          <w:vertAlign w:val="superscript"/>
        </w:rPr>
        <w:t>-1</w:t>
      </w:r>
      <w:r>
        <w:rPr>
          <w:rFonts w:ascii="DejaVu Sans" w:eastAsia="DejaVu Sans" w:hAnsi="DejaVu Sans" w:cs="DejaVu Sans"/>
          <w:b/>
          <w:sz w:val="18"/>
        </w:rPr>
        <w:t>)</w:t>
      </w:r>
    </w:p>
    <w:p w:rsidR="00A34FF4" w:rsidRDefault="00F85F87">
      <w:pPr>
        <w:spacing w:after="0" w:line="216" w:lineRule="auto"/>
        <w:ind w:left="2292" w:right="2970" w:firstLine="1972"/>
        <w:jc w:val="left"/>
      </w:pPr>
      <w:r>
        <w:rPr>
          <w:rFonts w:ascii="DejaVu Sans" w:eastAsia="DejaVu Sans" w:hAnsi="DejaVu Sans" w:cs="DejaVu Sans"/>
          <w:b/>
          <w:sz w:val="16"/>
        </w:rPr>
        <w:t xml:space="preserve">Inventory </w:t>
      </w:r>
      <w:r>
        <w:rPr>
          <w:rFonts w:ascii="DejaVu Sans" w:eastAsia="DejaVu Sans" w:hAnsi="DejaVu Sans" w:cs="DejaVu Sans"/>
          <w:b/>
          <w:sz w:val="15"/>
        </w:rPr>
        <w:t>(</w:t>
      </w:r>
      <w:r>
        <w:rPr>
          <w:rFonts w:ascii="DejaVu Sans" w:eastAsia="DejaVu Sans" w:hAnsi="DejaVu Sans" w:cs="DejaVu Sans"/>
          <w:b/>
          <w:sz w:val="16"/>
        </w:rPr>
        <w:t>kg N ha</w:t>
      </w:r>
      <w:r>
        <w:rPr>
          <w:rFonts w:ascii="DejaVu Sans" w:eastAsia="DejaVu Sans" w:hAnsi="DejaVu Sans" w:cs="DejaVu Sans"/>
          <w:b/>
          <w:sz w:val="15"/>
          <w:vertAlign w:val="superscript"/>
        </w:rPr>
        <w:t>-1</w:t>
      </w:r>
      <w:r>
        <w:rPr>
          <w:rFonts w:ascii="DejaVu Sans" w:eastAsia="DejaVu Sans" w:hAnsi="DejaVu Sans" w:cs="DejaVu Sans"/>
          <w:b/>
          <w:sz w:val="15"/>
        </w:rPr>
        <w:t xml:space="preserve">) </w:t>
      </w:r>
      <w:r>
        <w:rPr>
          <w:rFonts w:ascii="DejaVu Sans" w:eastAsia="DejaVu Sans" w:hAnsi="DejaVu Sans" w:cs="DejaVu Sans"/>
          <w:b/>
          <w:sz w:val="19"/>
        </w:rPr>
        <w:t>b</w:t>
      </w:r>
    </w:p>
    <w:p w:rsidR="00A34FF4" w:rsidRDefault="00F85F87">
      <w:pPr>
        <w:spacing w:after="333" w:line="259" w:lineRule="auto"/>
        <w:ind w:left="3" w:firstLine="0"/>
        <w:jc w:val="left"/>
      </w:pPr>
      <w:r>
        <w:rPr>
          <w:noProof/>
        </w:rPr>
        <w:drawing>
          <wp:inline distT="0" distB="0" distL="0" distR="0">
            <wp:extent cx="4684776" cy="2243328"/>
            <wp:effectExtent l="0" t="0" r="0" b="0"/>
            <wp:docPr id="277055" name="Picture 277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55" name="Picture 27705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 w:rsidP="00F85F87">
      <w:pPr>
        <w:numPr>
          <w:ilvl w:val="0"/>
          <w:numId w:val="80"/>
        </w:numPr>
        <w:ind w:hanging="679"/>
      </w:pPr>
      <w:r>
        <w:rPr>
          <w:b/>
        </w:rPr>
        <w:t xml:space="preserve">Fig. 4. </w:t>
      </w:r>
      <w:r>
        <w:t xml:space="preserve">Comparison of dissolved N inventories at depths between 0-1 m and below 1 m to bedrock </w:t>
      </w:r>
    </w:p>
    <w:p w:rsidR="00A34FF4" w:rsidRDefault="00F85F87" w:rsidP="00F85F87">
      <w:pPr>
        <w:numPr>
          <w:ilvl w:val="0"/>
          <w:numId w:val="80"/>
        </w:numPr>
        <w:ind w:hanging="679"/>
      </w:pPr>
      <w:r>
        <w:t xml:space="preserve">under different land uses (a), dissolved N inventories at 1-m depth intervals of upland regoliths (#1, </w:t>
      </w:r>
    </w:p>
    <w:p w:rsidR="00A34FF4" w:rsidRDefault="00F85F87" w:rsidP="00F85F87">
      <w:pPr>
        <w:numPr>
          <w:ilvl w:val="0"/>
          <w:numId w:val="80"/>
        </w:numPr>
        <w:ind w:hanging="679"/>
      </w:pPr>
      <w:r>
        <w:t>#4, #5 and #8) (b). Error bars represent the standard deviation of the mean.</w:t>
      </w:r>
    </w:p>
    <w:p w:rsidR="00A34FF4" w:rsidRDefault="00A34FF4">
      <w:pPr>
        <w:sectPr w:rsidR="00A34FF4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1906" w:h="16838"/>
          <w:pgMar w:top="1478" w:right="1800" w:bottom="1861" w:left="1121" w:header="720" w:footer="1212" w:gutter="0"/>
          <w:cols w:space="720"/>
          <w:titlePg/>
        </w:sectPr>
      </w:pPr>
    </w:p>
    <w:p w:rsidR="00A34FF4" w:rsidRDefault="00F85F87">
      <w:pPr>
        <w:tabs>
          <w:tab w:val="center" w:pos="2137"/>
        </w:tabs>
        <w:spacing w:after="0" w:line="259" w:lineRule="auto"/>
        <w:ind w:left="-15" w:firstLine="0"/>
        <w:jc w:val="left"/>
      </w:pPr>
      <w:r>
        <w:rPr>
          <w:rFonts w:ascii="DejaVu Sans" w:eastAsia="DejaVu Sans" w:hAnsi="DejaVu Sans" w:cs="DejaVu Sans"/>
          <w:b/>
          <w:sz w:val="15"/>
        </w:rPr>
        <w:t>a</w:t>
      </w:r>
      <w:r>
        <w:rPr>
          <w:rFonts w:ascii="DejaVu Sans" w:eastAsia="DejaVu Sans" w:hAnsi="DejaVu Sans" w:cs="DejaVu Sans"/>
          <w:b/>
          <w:sz w:val="15"/>
        </w:rPr>
        <w:tab/>
      </w:r>
      <w:r>
        <w:rPr>
          <w:rFonts w:ascii="DejaVu Sans" w:eastAsia="DejaVu Sans" w:hAnsi="DejaVu Sans" w:cs="DejaVu Sans"/>
          <w:b/>
          <w:sz w:val="12"/>
        </w:rPr>
        <w:t>Total porosity (%)</w:t>
      </w:r>
    </w:p>
    <w:p w:rsidR="00A34FF4" w:rsidRDefault="00F85F87">
      <w:pPr>
        <w:spacing w:after="0" w:line="259" w:lineRule="auto"/>
        <w:ind w:left="0" w:right="507" w:firstLine="0"/>
        <w:jc w:val="right"/>
      </w:pPr>
      <w:r>
        <w:rPr>
          <w:rFonts w:ascii="DejaVu Sans" w:eastAsia="DejaVu Sans" w:hAnsi="DejaVu Sans" w:cs="DejaVu Sans"/>
          <w:b/>
          <w:sz w:val="15"/>
        </w:rPr>
        <w:t>b</w:t>
      </w:r>
    </w:p>
    <w:p w:rsidR="00A34FF4" w:rsidRDefault="00F85F87">
      <w:pPr>
        <w:tabs>
          <w:tab w:val="center" w:pos="424"/>
          <w:tab w:val="center" w:pos="913"/>
          <w:tab w:val="center" w:pos="1403"/>
          <w:tab w:val="center" w:pos="1892"/>
          <w:tab w:val="center" w:pos="2382"/>
          <w:tab w:val="center" w:pos="2872"/>
          <w:tab w:val="center" w:pos="3361"/>
          <w:tab w:val="center" w:pos="3851"/>
          <w:tab w:val="right" w:pos="4668"/>
        </w:tabs>
        <w:spacing w:after="0" w:line="259" w:lineRule="auto"/>
        <w:ind w:left="0" w:right="-1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0">
            <wp:simplePos x="0" y="0"/>
            <wp:positionH relativeFrom="column">
              <wp:posOffset>-541891</wp:posOffset>
            </wp:positionH>
            <wp:positionV relativeFrom="paragraph">
              <wp:posOffset>80720</wp:posOffset>
            </wp:positionV>
            <wp:extent cx="3361944" cy="7629145"/>
            <wp:effectExtent l="0" t="0" r="0" b="0"/>
            <wp:wrapTopAndBottom/>
            <wp:docPr id="277057" name="Picture 277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57" name="Picture 27705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762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rPr>
          <w:rFonts w:ascii="DejaVu Sans" w:eastAsia="DejaVu Sans" w:hAnsi="DejaVu Sans" w:cs="DejaVu Sans"/>
          <w:b/>
          <w:sz w:val="11"/>
        </w:rPr>
        <w:t>40</w:t>
      </w:r>
      <w:r>
        <w:rPr>
          <w:rFonts w:ascii="DejaVu Sans" w:eastAsia="DejaVu Sans" w:hAnsi="DejaVu Sans" w:cs="DejaVu Sans"/>
          <w:b/>
          <w:sz w:val="11"/>
        </w:rPr>
        <w:tab/>
        <w:t>42</w:t>
      </w:r>
      <w:r>
        <w:rPr>
          <w:rFonts w:ascii="DejaVu Sans" w:eastAsia="DejaVu Sans" w:hAnsi="DejaVu Sans" w:cs="DejaVu Sans"/>
          <w:b/>
          <w:sz w:val="11"/>
        </w:rPr>
        <w:tab/>
        <w:t>44</w:t>
      </w:r>
      <w:r>
        <w:rPr>
          <w:rFonts w:ascii="DejaVu Sans" w:eastAsia="DejaVu Sans" w:hAnsi="DejaVu Sans" w:cs="DejaVu Sans"/>
          <w:b/>
          <w:sz w:val="11"/>
        </w:rPr>
        <w:tab/>
        <w:t>46</w:t>
      </w:r>
      <w:r>
        <w:rPr>
          <w:rFonts w:ascii="DejaVu Sans" w:eastAsia="DejaVu Sans" w:hAnsi="DejaVu Sans" w:cs="DejaVu Sans"/>
          <w:b/>
          <w:sz w:val="11"/>
        </w:rPr>
        <w:tab/>
        <w:t>48</w:t>
      </w:r>
      <w:r>
        <w:rPr>
          <w:rFonts w:ascii="DejaVu Sans" w:eastAsia="DejaVu Sans" w:hAnsi="DejaVu Sans" w:cs="DejaVu Sans"/>
          <w:b/>
          <w:sz w:val="11"/>
        </w:rPr>
        <w:tab/>
        <w:t>50</w:t>
      </w:r>
      <w:r>
        <w:rPr>
          <w:rFonts w:ascii="DejaVu Sans" w:eastAsia="DejaVu Sans" w:hAnsi="DejaVu Sans" w:cs="DejaVu Sans"/>
          <w:b/>
          <w:sz w:val="11"/>
        </w:rPr>
        <w:tab/>
        <w:t>52</w:t>
      </w:r>
      <w:r>
        <w:rPr>
          <w:rFonts w:ascii="DejaVu Sans" w:eastAsia="DejaVu Sans" w:hAnsi="DejaVu Sans" w:cs="DejaVu Sans"/>
          <w:b/>
          <w:sz w:val="11"/>
        </w:rPr>
        <w:tab/>
        <w:t>54</w:t>
      </w:r>
      <w:r>
        <w:rPr>
          <w:rFonts w:ascii="DejaVu Sans" w:eastAsia="DejaVu Sans" w:hAnsi="DejaVu Sans" w:cs="DejaVu Sans"/>
          <w:b/>
          <w:sz w:val="11"/>
        </w:rPr>
        <w:tab/>
        <w:t>16</w:t>
      </w:r>
    </w:p>
    <w:p w:rsidR="00A34FF4" w:rsidRDefault="00F85F87">
      <w:pPr>
        <w:spacing w:after="64" w:line="259" w:lineRule="auto"/>
        <w:ind w:left="827"/>
        <w:jc w:val="left"/>
      </w:pPr>
      <w:r>
        <w:rPr>
          <w:rFonts w:ascii="DejaVu Sans" w:eastAsia="DejaVu Sans" w:hAnsi="DejaVu Sans" w:cs="DejaVu Sans"/>
          <w:b/>
          <w:sz w:val="12"/>
        </w:rPr>
        <w:t>Total porosity (%)</w:t>
      </w:r>
    </w:p>
    <w:p w:rsidR="00A34FF4" w:rsidRDefault="00F85F87">
      <w:pPr>
        <w:tabs>
          <w:tab w:val="center" w:pos="438"/>
          <w:tab w:val="center" w:pos="810"/>
          <w:tab w:val="center" w:pos="1180"/>
          <w:tab w:val="center" w:pos="1550"/>
          <w:tab w:val="center" w:pos="1920"/>
          <w:tab w:val="center" w:pos="2291"/>
          <w:tab w:val="center" w:pos="2661"/>
          <w:tab w:val="right" w:pos="3099"/>
        </w:tabs>
        <w:spacing w:after="20"/>
        <w:ind w:left="0" w:firstLine="0"/>
        <w:jc w:val="left"/>
      </w:pPr>
      <w:r>
        <w:rPr>
          <w:rFonts w:ascii="DejaVu Sans" w:eastAsia="DejaVu Sans" w:hAnsi="DejaVu Sans" w:cs="DejaVu Sans"/>
          <w:b/>
          <w:sz w:val="11"/>
        </w:rPr>
        <w:t>20</w:t>
      </w:r>
      <w:r>
        <w:rPr>
          <w:rFonts w:ascii="DejaVu Sans" w:eastAsia="DejaVu Sans" w:hAnsi="DejaVu Sans" w:cs="DejaVu Sans"/>
          <w:b/>
          <w:sz w:val="11"/>
        </w:rPr>
        <w:tab/>
        <w:t>24</w:t>
      </w:r>
      <w:r>
        <w:rPr>
          <w:rFonts w:ascii="DejaVu Sans" w:eastAsia="DejaVu Sans" w:hAnsi="DejaVu Sans" w:cs="DejaVu Sans"/>
          <w:b/>
          <w:sz w:val="11"/>
        </w:rPr>
        <w:tab/>
        <w:t>28</w:t>
      </w:r>
      <w:r>
        <w:rPr>
          <w:rFonts w:ascii="DejaVu Sans" w:eastAsia="DejaVu Sans" w:hAnsi="DejaVu Sans" w:cs="DejaVu Sans"/>
          <w:b/>
          <w:sz w:val="11"/>
        </w:rPr>
        <w:tab/>
        <w:t>32</w:t>
      </w:r>
      <w:r>
        <w:rPr>
          <w:rFonts w:ascii="DejaVu Sans" w:eastAsia="DejaVu Sans" w:hAnsi="DejaVu Sans" w:cs="DejaVu Sans"/>
          <w:b/>
          <w:sz w:val="11"/>
        </w:rPr>
        <w:tab/>
        <w:t>36</w:t>
      </w:r>
      <w:r>
        <w:rPr>
          <w:rFonts w:ascii="DejaVu Sans" w:eastAsia="DejaVu Sans" w:hAnsi="DejaVu Sans" w:cs="DejaVu Sans"/>
          <w:b/>
          <w:sz w:val="11"/>
        </w:rPr>
        <w:tab/>
        <w:t>40</w:t>
      </w:r>
      <w:r>
        <w:rPr>
          <w:rFonts w:ascii="DejaVu Sans" w:eastAsia="DejaVu Sans" w:hAnsi="DejaVu Sans" w:cs="DejaVu Sans"/>
          <w:b/>
          <w:sz w:val="11"/>
        </w:rPr>
        <w:tab/>
        <w:t>44</w:t>
      </w:r>
      <w:r>
        <w:rPr>
          <w:rFonts w:ascii="DejaVu Sans" w:eastAsia="DejaVu Sans" w:hAnsi="DejaVu Sans" w:cs="DejaVu Sans"/>
          <w:b/>
          <w:sz w:val="11"/>
        </w:rPr>
        <w:tab/>
        <w:t>48</w:t>
      </w:r>
      <w:r>
        <w:rPr>
          <w:rFonts w:ascii="DejaVu Sans" w:eastAsia="DejaVu Sans" w:hAnsi="DejaVu Sans" w:cs="DejaVu Sans"/>
          <w:b/>
          <w:sz w:val="11"/>
        </w:rPr>
        <w:tab/>
        <w:t>52</w:t>
      </w:r>
    </w:p>
    <w:p w:rsidR="00A34FF4" w:rsidRDefault="00A34FF4">
      <w:pPr>
        <w:sectPr w:rsidR="00A34FF4">
          <w:type w:val="continuous"/>
          <w:pgSz w:w="11906" w:h="16838"/>
          <w:pgMar w:top="1440" w:right="1928" w:bottom="1440" w:left="1977" w:header="720" w:footer="720" w:gutter="0"/>
          <w:cols w:num="2" w:space="720" w:equalWidth="0">
            <w:col w:w="4668" w:space="234"/>
            <w:col w:w="3099"/>
          </w:cols>
        </w:sectPr>
      </w:pPr>
    </w:p>
    <w:p w:rsidR="00A34FF4" w:rsidRDefault="00F85F87">
      <w:pPr>
        <w:spacing w:after="365" w:line="259" w:lineRule="auto"/>
        <w:ind w:left="5292" w:firstLine="0"/>
        <w:jc w:val="left"/>
      </w:pPr>
      <w:r>
        <w:rPr>
          <w:noProof/>
        </w:rPr>
        <w:lastRenderedPageBreak/>
        <w:drawing>
          <wp:inline distT="0" distB="0" distL="0" distR="0">
            <wp:extent cx="2258568" cy="7565137"/>
            <wp:effectExtent l="0" t="0" r="0" b="0"/>
            <wp:docPr id="277059" name="Picture 277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59" name="Picture 277059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75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spacing w:line="616" w:lineRule="auto"/>
        <w:ind w:left="-5"/>
      </w:pPr>
      <w:r>
        <w:rPr>
          <w:rFonts w:ascii="Carlito" w:eastAsia="Carlito" w:hAnsi="Carlito" w:cs="Carlito"/>
        </w:rPr>
        <w:lastRenderedPageBreak/>
        <w:t>618</w:t>
      </w:r>
      <w:r>
        <w:rPr>
          <w:rFonts w:ascii="Carlito" w:eastAsia="Carlito" w:hAnsi="Carlito" w:cs="Carlito"/>
        </w:rPr>
        <w:tab/>
      </w:r>
      <w:r>
        <w:rPr>
          <w:b/>
        </w:rPr>
        <w:t>Fig. 5.</w:t>
      </w:r>
      <w:r>
        <w:t xml:space="preserve"> Total porosity through the whole regoliths in the upland (a-e), woodland (f) and paddy field </w:t>
      </w:r>
      <w:r>
        <w:rPr>
          <w:rFonts w:ascii="Carlito" w:eastAsia="Carlito" w:hAnsi="Carlito" w:cs="Carlito"/>
        </w:rPr>
        <w:t>619</w:t>
      </w:r>
      <w:r>
        <w:rPr>
          <w:rFonts w:ascii="Carlito" w:eastAsia="Carlito" w:hAnsi="Carlito" w:cs="Carlito"/>
        </w:rPr>
        <w:tab/>
      </w:r>
      <w:r>
        <w:t>(g and h) land uses.</w:t>
      </w:r>
    </w:p>
    <w:p w:rsidR="00A34FF4" w:rsidRDefault="00A34FF4">
      <w:pPr>
        <w:sectPr w:rsidR="00A34FF4">
          <w:type w:val="continuous"/>
          <w:pgSz w:w="11906" w:h="16838"/>
          <w:pgMar w:top="1440" w:right="1800" w:bottom="1859" w:left="1121" w:header="720" w:footer="720" w:gutter="0"/>
          <w:cols w:space="720"/>
        </w:sectPr>
      </w:pPr>
    </w:p>
    <w:p w:rsidR="00A34FF4" w:rsidRDefault="00F85F87">
      <w:pPr>
        <w:spacing w:after="67" w:line="259" w:lineRule="auto"/>
        <w:ind w:left="3" w:firstLine="0"/>
        <w:jc w:val="left"/>
      </w:pPr>
      <w:r>
        <w:rPr>
          <w:noProof/>
        </w:rPr>
        <w:lastRenderedPageBreak/>
        <w:drawing>
          <wp:inline distT="0" distB="0" distL="0" distR="0">
            <wp:extent cx="5678425" cy="3916680"/>
            <wp:effectExtent l="0" t="0" r="0" b="0"/>
            <wp:docPr id="277061" name="Picture 277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1" name="Picture 277061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7842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spacing w:after="256" w:line="259" w:lineRule="auto"/>
        <w:ind w:left="3" w:firstLine="0"/>
        <w:jc w:val="left"/>
      </w:pPr>
      <w:r>
        <w:rPr>
          <w:noProof/>
        </w:rPr>
        <w:drawing>
          <wp:inline distT="0" distB="0" distL="0" distR="0">
            <wp:extent cx="5614416" cy="1947672"/>
            <wp:effectExtent l="0" t="0" r="0" b="0"/>
            <wp:docPr id="277063" name="Picture 27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3" name="Picture 27706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spacing w:after="0" w:line="614" w:lineRule="auto"/>
        <w:ind w:left="-5"/>
      </w:pPr>
      <w:r>
        <w:rPr>
          <w:rFonts w:ascii="Carlito" w:eastAsia="Carlito" w:hAnsi="Carlito" w:cs="Carlito"/>
        </w:rPr>
        <w:t xml:space="preserve">623 </w:t>
      </w:r>
      <w:r>
        <w:rPr>
          <w:b/>
        </w:rPr>
        <w:t xml:space="preserve">Fig. 6. </w:t>
      </w:r>
      <w:r>
        <w:t xml:space="preserve">Total macroporosity (a), pore-size distribution (b-d) and the relationship between porosity </w:t>
      </w:r>
      <w:r>
        <w:rPr>
          <w:rFonts w:ascii="Carlito" w:eastAsia="Carlito" w:hAnsi="Carlito" w:cs="Carlito"/>
        </w:rPr>
        <w:t xml:space="preserve">624 </w:t>
      </w:r>
      <w:r>
        <w:t>and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-N concentrations (e and f) in the regolith among land uses.</w:t>
      </w:r>
    </w:p>
    <w:p w:rsidR="00A34FF4" w:rsidRDefault="00F85F87">
      <w:pPr>
        <w:pStyle w:val="Heading1"/>
        <w:tabs>
          <w:tab w:val="center" w:pos="4832"/>
        </w:tabs>
        <w:ind w:left="-15" w:firstLine="0"/>
      </w:pPr>
      <w:r>
        <w:rPr>
          <w:rFonts w:ascii="Carlito" w:eastAsia="Carlito" w:hAnsi="Carlito" w:cs="Carlito"/>
          <w:b w:val="0"/>
          <w:sz w:val="21"/>
        </w:rPr>
        <w:t>625</w:t>
      </w:r>
      <w:r>
        <w:rPr>
          <w:rFonts w:ascii="Carlito" w:eastAsia="Carlito" w:hAnsi="Carlito" w:cs="Carlito"/>
          <w:b w:val="0"/>
          <w:sz w:val="21"/>
        </w:rPr>
        <w:tab/>
      </w:r>
      <w:r>
        <w:t>Supplementary data</w:t>
      </w:r>
    </w:p>
    <w:p w:rsidR="00A34FF4" w:rsidRDefault="00F85F87" w:rsidP="00F85F87">
      <w:pPr>
        <w:numPr>
          <w:ilvl w:val="0"/>
          <w:numId w:val="81"/>
        </w:numPr>
        <w:spacing w:after="335" w:line="284" w:lineRule="auto"/>
        <w:ind w:hanging="679"/>
        <w:jc w:val="left"/>
      </w:pPr>
      <w:r>
        <w:rPr>
          <w:b/>
        </w:rPr>
        <w:t>Accumulation of Nitrate and Dissolved Organic Nitrogen at Depth in a Red Soil Critical Zone</w:t>
      </w:r>
    </w:p>
    <w:p w:rsidR="00A34FF4" w:rsidRDefault="00F85F87" w:rsidP="00F85F87">
      <w:pPr>
        <w:numPr>
          <w:ilvl w:val="0"/>
          <w:numId w:val="81"/>
        </w:numPr>
        <w:spacing w:after="0" w:line="627" w:lineRule="auto"/>
        <w:ind w:hanging="679"/>
        <w:jc w:val="left"/>
      </w:pPr>
      <w:r>
        <w:t>Huayong Wu</w:t>
      </w:r>
      <w:r>
        <w:rPr>
          <w:vertAlign w:val="superscript"/>
        </w:rPr>
        <w:t>a</w:t>
      </w:r>
      <w:r>
        <w:t>, Xiaodong Song</w:t>
      </w:r>
      <w:r>
        <w:rPr>
          <w:vertAlign w:val="superscript"/>
        </w:rPr>
        <w:t>a</w:t>
      </w:r>
      <w:r>
        <w:t>, Xiaorui Zhao</w:t>
      </w:r>
      <w:r>
        <w:rPr>
          <w:vertAlign w:val="superscript"/>
        </w:rPr>
        <w:t>a,b</w:t>
      </w:r>
      <w:r>
        <w:t>, Xinhua Peng</w:t>
      </w:r>
      <w:r>
        <w:rPr>
          <w:vertAlign w:val="superscript"/>
        </w:rPr>
        <w:t>a</w:t>
      </w:r>
      <w:r>
        <w:t>, Hu Zhou</w:t>
      </w:r>
      <w:r>
        <w:rPr>
          <w:vertAlign w:val="superscript"/>
        </w:rPr>
        <w:t>a</w:t>
      </w:r>
      <w:r>
        <w:t>, Paul D. Ha</w:t>
      </w:r>
      <w:r>
        <w:t>llett</w:t>
      </w:r>
      <w:r>
        <w:rPr>
          <w:vertAlign w:val="superscript"/>
        </w:rPr>
        <w:t>c</w:t>
      </w:r>
      <w:r>
        <w:t xml:space="preserve">, Mark </w:t>
      </w:r>
      <w:r>
        <w:rPr>
          <w:rFonts w:ascii="Carlito" w:eastAsia="Carlito" w:hAnsi="Carlito" w:cs="Carlito"/>
        </w:rPr>
        <w:t xml:space="preserve">628 </w:t>
      </w:r>
      <w:r>
        <w:t>E. Hodson</w:t>
      </w:r>
      <w:r>
        <w:rPr>
          <w:vertAlign w:val="superscript"/>
        </w:rPr>
        <w:t>d</w:t>
      </w:r>
      <w:r>
        <w:t>, Gan-Lin Zhang</w:t>
      </w:r>
      <w:r>
        <w:rPr>
          <w:vertAlign w:val="superscript"/>
        </w:rPr>
        <w:t>a,b,</w:t>
      </w:r>
      <w:r>
        <w:t>*</w:t>
      </w:r>
    </w:p>
    <w:p w:rsidR="00A34FF4" w:rsidRDefault="00F85F87" w:rsidP="00F85F87">
      <w:pPr>
        <w:numPr>
          <w:ilvl w:val="0"/>
          <w:numId w:val="82"/>
        </w:numPr>
        <w:spacing w:after="360" w:line="286" w:lineRule="auto"/>
        <w:ind w:hanging="679"/>
        <w:jc w:val="left"/>
      </w:pPr>
      <w:r>
        <w:rPr>
          <w:vertAlign w:val="superscript"/>
        </w:rPr>
        <w:lastRenderedPageBreak/>
        <w:t xml:space="preserve">a </w:t>
      </w:r>
      <w:r>
        <w:rPr>
          <w:i/>
        </w:rPr>
        <w:t xml:space="preserve">State Key Laboratory of Soil and Sustainable Agriculture, Institute of Soil Science, Chinese </w:t>
      </w:r>
    </w:p>
    <w:p w:rsidR="00A34FF4" w:rsidRDefault="00F85F87" w:rsidP="00F85F87">
      <w:pPr>
        <w:numPr>
          <w:ilvl w:val="0"/>
          <w:numId w:val="82"/>
        </w:numPr>
        <w:spacing w:after="360" w:line="286" w:lineRule="auto"/>
        <w:ind w:hanging="679"/>
        <w:jc w:val="left"/>
      </w:pPr>
      <w:r>
        <w:rPr>
          <w:i/>
        </w:rPr>
        <w:t>Academy of Sciences, Nanjing 210008, China</w:t>
      </w:r>
    </w:p>
    <w:p w:rsidR="00A34FF4" w:rsidRDefault="00F85F87" w:rsidP="00F85F87">
      <w:pPr>
        <w:numPr>
          <w:ilvl w:val="0"/>
          <w:numId w:val="82"/>
        </w:numPr>
        <w:spacing w:after="360" w:line="286" w:lineRule="auto"/>
        <w:ind w:hanging="679"/>
        <w:jc w:val="left"/>
      </w:pPr>
      <w:r>
        <w:rPr>
          <w:vertAlign w:val="superscript"/>
        </w:rPr>
        <w:t xml:space="preserve">b </w:t>
      </w:r>
      <w:r>
        <w:rPr>
          <w:i/>
        </w:rPr>
        <w:t>University of Chinese Academy of Sciences, Beijing 100049, China</w:t>
      </w:r>
    </w:p>
    <w:p w:rsidR="00A34FF4" w:rsidRDefault="00F85F87" w:rsidP="00F85F87">
      <w:pPr>
        <w:numPr>
          <w:ilvl w:val="0"/>
          <w:numId w:val="82"/>
        </w:numPr>
        <w:spacing w:after="360" w:line="286" w:lineRule="auto"/>
        <w:ind w:hanging="679"/>
        <w:jc w:val="left"/>
      </w:pPr>
      <w:r>
        <w:rPr>
          <w:vertAlign w:val="superscript"/>
        </w:rPr>
        <w:t>c</w:t>
      </w:r>
      <w:r>
        <w:t xml:space="preserve"> </w:t>
      </w:r>
      <w:r>
        <w:rPr>
          <w:i/>
        </w:rPr>
        <w:t>School of Biological Sciences, University of Aberdeen, Aberdeen AB24 3UU, United Kingdom</w:t>
      </w:r>
    </w:p>
    <w:p w:rsidR="00A34FF4" w:rsidRDefault="00F85F87" w:rsidP="00F85F87">
      <w:pPr>
        <w:numPr>
          <w:ilvl w:val="0"/>
          <w:numId w:val="82"/>
        </w:numPr>
        <w:spacing w:after="360" w:line="286" w:lineRule="auto"/>
        <w:ind w:hanging="679"/>
        <w:jc w:val="left"/>
      </w:pPr>
      <w:r>
        <w:rPr>
          <w:vertAlign w:val="superscript"/>
        </w:rPr>
        <w:t>d</w:t>
      </w:r>
      <w:r>
        <w:t xml:space="preserve"> </w:t>
      </w:r>
      <w:r>
        <w:rPr>
          <w:i/>
        </w:rPr>
        <w:t>Environment Department, University of York, York YO10 5NG, United Kingdom</w:t>
      </w:r>
    </w:p>
    <w:p w:rsidR="00A34FF4" w:rsidRDefault="00F85F87" w:rsidP="00F85F87">
      <w:pPr>
        <w:numPr>
          <w:ilvl w:val="0"/>
          <w:numId w:val="82"/>
        </w:numPr>
        <w:spacing w:after="360" w:line="284" w:lineRule="auto"/>
        <w:ind w:hanging="679"/>
        <w:jc w:val="left"/>
      </w:pPr>
      <w:r>
        <w:rPr>
          <w:b/>
        </w:rPr>
        <w:t>Description of supplementary data</w:t>
      </w:r>
    </w:p>
    <w:p w:rsidR="00A34FF4" w:rsidRDefault="00F85F87" w:rsidP="00F85F87">
      <w:pPr>
        <w:numPr>
          <w:ilvl w:val="0"/>
          <w:numId w:val="82"/>
        </w:numPr>
        <w:ind w:hanging="679"/>
        <w:jc w:val="left"/>
      </w:pPr>
      <w:r>
        <w:rPr>
          <w:b/>
        </w:rPr>
        <w:t>Table S1.</w:t>
      </w:r>
      <w:r>
        <w:t xml:space="preserve"> Sample sizes of the undisturbed regolith cores used for </w:t>
      </w:r>
      <w:r>
        <w:t>μ-CT</w:t>
      </w:r>
      <w:r>
        <w:t xml:space="preserve"> analysis.</w:t>
      </w:r>
    </w:p>
    <w:p w:rsidR="00A34FF4" w:rsidRDefault="00F85F87" w:rsidP="00F85F87">
      <w:pPr>
        <w:numPr>
          <w:ilvl w:val="0"/>
          <w:numId w:val="82"/>
        </w:numPr>
        <w:spacing w:after="0" w:line="617" w:lineRule="auto"/>
        <w:ind w:hanging="679"/>
        <w:jc w:val="left"/>
      </w:pPr>
      <w:r>
        <w:rPr>
          <w:b/>
        </w:rPr>
        <w:t>Fig. S1.</w:t>
      </w:r>
      <w:r>
        <w:t xml:space="preserve"> Bulk density through the whole regoliths with land uses of upland (a-e), woodland (f) and </w:t>
      </w:r>
      <w:r>
        <w:rPr>
          <w:rFonts w:ascii="Carlito" w:eastAsia="Carlito" w:hAnsi="Carlito" w:cs="Carlito"/>
        </w:rPr>
        <w:t xml:space="preserve">637 </w:t>
      </w:r>
      <w:r>
        <w:t>paddy field (g and h).</w:t>
      </w:r>
    </w:p>
    <w:p w:rsidR="00A34FF4" w:rsidRDefault="00F85F87">
      <w:pPr>
        <w:spacing w:after="0" w:line="616" w:lineRule="auto"/>
        <w:ind w:left="-5"/>
      </w:pPr>
      <w:r>
        <w:rPr>
          <w:rFonts w:ascii="Carlito" w:eastAsia="Carlito" w:hAnsi="Carlito" w:cs="Carlito"/>
        </w:rPr>
        <w:t xml:space="preserve">638 </w:t>
      </w:r>
      <w:r>
        <w:rPr>
          <w:b/>
        </w:rPr>
        <w:t>Fig. S2.</w:t>
      </w:r>
      <w:r>
        <w:t xml:space="preserve"> 3D morphology of undisturbed cores of upland </w:t>
      </w:r>
      <w:r>
        <w:t xml:space="preserve">regolith (#1). The white is the pores and the </w:t>
      </w:r>
      <w:r>
        <w:rPr>
          <w:rFonts w:ascii="Carlito" w:eastAsia="Carlito" w:hAnsi="Carlito" w:cs="Carlito"/>
        </w:rPr>
        <w:t xml:space="preserve">639 </w:t>
      </w:r>
      <w:r>
        <w:t>green is the solids.</w:t>
      </w:r>
    </w:p>
    <w:p w:rsidR="00A34FF4" w:rsidRDefault="00F85F87">
      <w:pPr>
        <w:spacing w:after="0" w:line="616" w:lineRule="auto"/>
        <w:ind w:left="-5"/>
      </w:pPr>
      <w:r>
        <w:rPr>
          <w:rFonts w:ascii="Carlito" w:eastAsia="Carlito" w:hAnsi="Carlito" w:cs="Carlito"/>
        </w:rPr>
        <w:t xml:space="preserve">640 </w:t>
      </w:r>
      <w:r>
        <w:rPr>
          <w:b/>
        </w:rPr>
        <w:t>Fig. S3.</w:t>
      </w:r>
      <w:r>
        <w:t xml:space="preserve"> 3D morphology of undisturbed cores of upland regolith (#8). The white is the pores and the </w:t>
      </w:r>
      <w:r>
        <w:rPr>
          <w:rFonts w:ascii="Carlito" w:eastAsia="Carlito" w:hAnsi="Carlito" w:cs="Carlito"/>
        </w:rPr>
        <w:t xml:space="preserve">641 </w:t>
      </w:r>
      <w:r>
        <w:t>green is the solids.</w:t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642 </w:t>
      </w:r>
      <w:r>
        <w:rPr>
          <w:b/>
        </w:rPr>
        <w:t>Fig. S4.</w:t>
      </w:r>
      <w:r>
        <w:t xml:space="preserve"> 3D morphology of undisturbed cores of woodl</w:t>
      </w:r>
      <w:r>
        <w:t xml:space="preserve">and regolith (#6). The white is the pores and </w:t>
      </w:r>
      <w:r>
        <w:rPr>
          <w:rFonts w:ascii="Carlito" w:eastAsia="Carlito" w:hAnsi="Carlito" w:cs="Carlito"/>
        </w:rPr>
        <w:t xml:space="preserve">643 </w:t>
      </w:r>
      <w:r>
        <w:t>the green is the solids.</w:t>
      </w:r>
    </w:p>
    <w:p w:rsidR="00A34FF4" w:rsidRDefault="00F85F87" w:rsidP="00F85F87">
      <w:pPr>
        <w:numPr>
          <w:ilvl w:val="0"/>
          <w:numId w:val="83"/>
        </w:numPr>
        <w:ind w:hanging="679"/>
      </w:pPr>
      <w:r>
        <w:rPr>
          <w:b/>
        </w:rPr>
        <w:t>Fig. S5.</w:t>
      </w:r>
      <w:r>
        <w:t xml:space="preserve"> 3D morphology of undisturbed cores of old paddy field regolith (#7). The white is the pores </w:t>
      </w:r>
    </w:p>
    <w:p w:rsidR="00A34FF4" w:rsidRDefault="00F85F87" w:rsidP="00F85F87">
      <w:pPr>
        <w:numPr>
          <w:ilvl w:val="0"/>
          <w:numId w:val="83"/>
        </w:numPr>
        <w:ind w:hanging="679"/>
      </w:pPr>
      <w:r>
        <w:t>and the green is the solids.</w:t>
      </w:r>
    </w:p>
    <w:p w:rsidR="00A34FF4" w:rsidRDefault="00F85F87">
      <w:pPr>
        <w:tabs>
          <w:tab w:val="center" w:pos="4072"/>
        </w:tabs>
        <w:spacing w:after="0"/>
        <w:ind w:left="-15" w:firstLine="0"/>
        <w:jc w:val="left"/>
      </w:pPr>
      <w:r>
        <w:rPr>
          <w:rFonts w:ascii="Carlito" w:eastAsia="Carlito" w:hAnsi="Carlito" w:cs="Carlito"/>
        </w:rPr>
        <w:t>647</w:t>
      </w:r>
      <w:r>
        <w:rPr>
          <w:rFonts w:ascii="Carlito" w:eastAsia="Carlito" w:hAnsi="Carlito" w:cs="Carlito"/>
        </w:rPr>
        <w:tab/>
      </w:r>
      <w:r>
        <w:rPr>
          <w:b/>
        </w:rPr>
        <w:t xml:space="preserve">Table S1. </w:t>
      </w:r>
      <w:r>
        <w:t xml:space="preserve">Sample sizes of the undisturbed regolith cores used for </w:t>
      </w:r>
      <w:r>
        <w:t>μ-CT</w:t>
      </w:r>
      <w:r>
        <w:t xml:space="preserve"> analysis.</w:t>
      </w:r>
    </w:p>
    <w:tbl>
      <w:tblPr>
        <w:tblStyle w:val="TableGrid"/>
        <w:tblW w:w="7667" w:type="dxa"/>
        <w:tblInd w:w="999" w:type="dxa"/>
        <w:tblCellMar>
          <w:top w:w="8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3"/>
        <w:gridCol w:w="1533"/>
        <w:gridCol w:w="1534"/>
        <w:gridCol w:w="1533"/>
        <w:gridCol w:w="1534"/>
      </w:tblGrid>
      <w:tr w:rsidR="00A34FF4">
        <w:trPr>
          <w:trHeight w:val="339"/>
        </w:trPr>
        <w:tc>
          <w:tcPr>
            <w:tcW w:w="1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Land uses</w:t>
            </w:r>
          </w:p>
        </w:tc>
        <w:tc>
          <w:tcPr>
            <w:tcW w:w="1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Depth (cm)</w:t>
            </w:r>
          </w:p>
        </w:tc>
        <w:tc>
          <w:tcPr>
            <w:tcW w:w="4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Sample sizes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x (mm)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y (mm)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z (mm)</w:t>
            </w:r>
          </w:p>
        </w:tc>
      </w:tr>
      <w:tr w:rsidR="00A34FF4">
        <w:trPr>
          <w:trHeight w:val="339"/>
        </w:trPr>
        <w:tc>
          <w:tcPr>
            <w:tcW w:w="1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upland #1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0-10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30.00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24.00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46.00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60-70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32.32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24.75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27.50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110-120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32.32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26.40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28.35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180-200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14.50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14.40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4.66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290-310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14.83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9.84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17.28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390-410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9.92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9.70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6.24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560-580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13.30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7.01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21.60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680-700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13.41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13.02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11.82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740-760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13.60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12.19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12.30 </w:t>
            </w:r>
          </w:p>
        </w:tc>
      </w:tr>
      <w:tr w:rsidR="00A34FF4">
        <w:trPr>
          <w:trHeight w:val="339"/>
        </w:trPr>
        <w:tc>
          <w:tcPr>
            <w:tcW w:w="1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upland #8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185-200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27.00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17.00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10.00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200-230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8.92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6.75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23.00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230-250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15.00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15.00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11.50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250-270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15.50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12.50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14.00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270-290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12.68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9.75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15.00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310-330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27.30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27.30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32.50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350-370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20.00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20.00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31.25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370-390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20.00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16.00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10.50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410-430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17.50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450-470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19.00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16.00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18.75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580-600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35.00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10.00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680-700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35.00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30.00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18.00 </w:t>
            </w:r>
          </w:p>
        </w:tc>
      </w:tr>
      <w:tr w:rsidR="00A34FF4">
        <w:trPr>
          <w:trHeight w:val="339"/>
        </w:trPr>
        <w:tc>
          <w:tcPr>
            <w:tcW w:w="1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woodland #6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5-20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25.88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22.58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28.00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30-40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25.88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21.90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25.00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60-70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24.75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20.03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25.00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110-120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28.42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24.53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43.75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153-170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26.72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24.75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25.00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170-180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24.08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30.00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26.50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215-240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26.62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23.40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43.23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380-400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11.62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8.33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5.40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400-450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21.30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20.33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15.40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450-475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21.60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21.83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30.50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475-500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18.45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23.62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6.25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600-625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21.53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21.00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12.50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713-740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29.03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25.58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30.35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800-820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15.23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14.40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14.00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880-900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30.75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27.30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20.50 </w:t>
            </w:r>
          </w:p>
        </w:tc>
      </w:tr>
      <w:tr w:rsidR="00A34FF4">
        <w:trPr>
          <w:trHeight w:val="339"/>
        </w:trPr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old paddy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>0-10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33.00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26.40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28.13 </w:t>
            </w:r>
          </w:p>
        </w:tc>
      </w:tr>
      <w:tr w:rsidR="00A34FF4">
        <w:trPr>
          <w:trHeight w:val="329"/>
        </w:trPr>
        <w:tc>
          <w:tcPr>
            <w:tcW w:w="1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field #7</w:t>
            </w:r>
          </w:p>
        </w:tc>
        <w:tc>
          <w:tcPr>
            <w:tcW w:w="1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10-20</w:t>
            </w:r>
          </w:p>
        </w:tc>
        <w:tc>
          <w:tcPr>
            <w:tcW w:w="1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29.50 </w:t>
            </w:r>
          </w:p>
        </w:tc>
        <w:tc>
          <w:tcPr>
            <w:tcW w:w="1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26.50 </w:t>
            </w:r>
          </w:p>
        </w:tc>
        <w:tc>
          <w:tcPr>
            <w:tcW w:w="1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39.50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20-30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30.50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30.50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41.25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30-40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34.00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30.00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42.50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40-50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34.50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28.00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36.75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50-60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32.00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32.00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37.50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60-70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26.00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23.00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28.00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70-80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14.48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19.28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7.50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150-180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23.03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20.40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45.50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180-210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23.94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30.15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59.40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210-240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20.33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20.03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10.50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240-270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24.60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23.03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15.00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270-290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24.98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12.60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7.50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310-330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15.00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15.00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10.00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330-360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10.20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11.95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11.00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360-400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26.62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25.12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18.25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400-450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20.70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25.05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20.00 </w:t>
            </w:r>
          </w:p>
        </w:tc>
      </w:tr>
      <w:tr w:rsidR="00A34FF4">
        <w:trPr>
          <w:trHeight w:val="3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450-500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28.88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28.88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FF4" w:rsidRDefault="00F85F8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30.00 </w:t>
            </w:r>
          </w:p>
        </w:tc>
      </w:tr>
    </w:tbl>
    <w:p w:rsidR="00A34FF4" w:rsidRDefault="00F85F87">
      <w:pPr>
        <w:spacing w:after="186"/>
        <w:ind w:left="-5" w:right="63"/>
        <w:jc w:val="left"/>
      </w:pPr>
      <w:r>
        <w:rPr>
          <w:rFonts w:ascii="Carlito" w:eastAsia="Carlito" w:hAnsi="Carlito" w:cs="Carlito"/>
        </w:rPr>
        <w:t>648</w:t>
      </w:r>
    </w:p>
    <w:p w:rsidR="00A34FF4" w:rsidRDefault="00F85F87">
      <w:pPr>
        <w:spacing w:after="0"/>
        <w:ind w:left="-5" w:right="63"/>
        <w:jc w:val="left"/>
      </w:pPr>
      <w:r>
        <w:rPr>
          <w:rFonts w:ascii="Carlito" w:eastAsia="Carlito" w:hAnsi="Carlito" w:cs="Carlito"/>
        </w:rPr>
        <w:t>649</w:t>
      </w:r>
      <w:r>
        <w:br w:type="page"/>
      </w:r>
    </w:p>
    <w:tbl>
      <w:tblPr>
        <w:tblStyle w:val="TableGrid"/>
        <w:tblpPr w:vertAnchor="text" w:tblpX="801" w:tblpYSpec="bottom"/>
        <w:tblOverlap w:val="never"/>
        <w:tblW w:w="426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5"/>
        <w:gridCol w:w="310"/>
        <w:gridCol w:w="715"/>
        <w:gridCol w:w="272"/>
        <w:gridCol w:w="1563"/>
        <w:gridCol w:w="572"/>
        <w:gridCol w:w="455"/>
        <w:gridCol w:w="108"/>
      </w:tblGrid>
      <w:tr w:rsidR="00A34FF4">
        <w:trPr>
          <w:trHeight w:val="222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rFonts w:ascii="DejaVu Sans" w:eastAsia="DejaVu Sans" w:hAnsi="DejaVu Sans" w:cs="DejaVu Sans"/>
                <w:b/>
                <w:sz w:val="15"/>
              </w:rPr>
              <w:lastRenderedPageBreak/>
              <w:t>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rFonts w:ascii="DejaVu Sans" w:eastAsia="DejaVu Sans" w:hAnsi="DejaVu Sans" w:cs="DejaVu Sans"/>
                <w:b/>
                <w:sz w:val="12"/>
              </w:rPr>
              <w:t>Bulk density (g cm</w:t>
            </w:r>
            <w:r>
              <w:rPr>
                <w:rFonts w:ascii="DejaVu Sans" w:eastAsia="DejaVu Sans" w:hAnsi="DejaVu Sans" w:cs="DejaVu Sans"/>
                <w:b/>
                <w:sz w:val="11"/>
                <w:vertAlign w:val="superscript"/>
              </w:rPr>
              <w:t>-3</w:t>
            </w:r>
            <w:r>
              <w:rPr>
                <w:rFonts w:ascii="DejaVu Sans" w:eastAsia="DejaVu Sans" w:hAnsi="DejaVu Sans" w:cs="DejaVu Sans"/>
                <w:b/>
                <w:sz w:val="12"/>
              </w:rPr>
              <w:t>)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0" w:firstLine="0"/>
            </w:pPr>
            <w:r>
              <w:rPr>
                <w:rFonts w:ascii="DejaVu Sans" w:eastAsia="DejaVu Sans" w:hAnsi="DejaVu Sans" w:cs="DejaVu Sans"/>
                <w:b/>
                <w:sz w:val="15"/>
              </w:rPr>
              <w:t>b</w:t>
            </w:r>
          </w:p>
        </w:tc>
      </w:tr>
      <w:tr w:rsidR="00A34FF4">
        <w:trPr>
          <w:trHeight w:val="129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38" w:firstLine="0"/>
            </w:pPr>
            <w:r>
              <w:rPr>
                <w:rFonts w:ascii="DejaVu Sans" w:eastAsia="DejaVu Sans" w:hAnsi="DejaVu Sans" w:cs="DejaVu Sans"/>
                <w:b/>
                <w:sz w:val="11"/>
              </w:rPr>
              <w:t>1.25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DejaVu Sans" w:eastAsia="DejaVu Sans" w:hAnsi="DejaVu Sans" w:cs="DejaVu Sans"/>
                <w:b/>
                <w:sz w:val="11"/>
              </w:rPr>
              <w:t>1.30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0" w:firstLine="0"/>
            </w:pPr>
            <w:r>
              <w:rPr>
                <w:rFonts w:ascii="DejaVu Sans" w:eastAsia="DejaVu Sans" w:hAnsi="DejaVu Sans" w:cs="DejaVu Sans"/>
                <w:b/>
                <w:sz w:val="11"/>
              </w:rPr>
              <w:t>1.35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tabs>
                <w:tab w:val="center" w:pos="331"/>
                <w:tab w:val="center" w:pos="815"/>
                <w:tab w:val="center" w:pos="129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DejaVu Sans" w:eastAsia="DejaVu Sans" w:hAnsi="DejaVu Sans" w:cs="DejaVu Sans"/>
                <w:b/>
                <w:sz w:val="11"/>
              </w:rPr>
              <w:t>1.40</w:t>
            </w:r>
            <w:r>
              <w:rPr>
                <w:rFonts w:ascii="DejaVu Sans" w:eastAsia="DejaVu Sans" w:hAnsi="DejaVu Sans" w:cs="DejaVu Sans"/>
                <w:b/>
                <w:sz w:val="11"/>
              </w:rPr>
              <w:tab/>
              <w:t>1.45</w:t>
            </w:r>
            <w:r>
              <w:rPr>
                <w:rFonts w:ascii="DejaVu Sans" w:eastAsia="DejaVu Sans" w:hAnsi="DejaVu Sans" w:cs="DejaVu Sans"/>
                <w:b/>
                <w:sz w:val="11"/>
              </w:rPr>
              <w:tab/>
              <w:t>1.50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90" w:firstLine="0"/>
              <w:jc w:val="left"/>
            </w:pPr>
            <w:r>
              <w:rPr>
                <w:rFonts w:ascii="DejaVu Sans" w:eastAsia="DejaVu Sans" w:hAnsi="DejaVu Sans" w:cs="DejaVu Sans"/>
                <w:b/>
                <w:sz w:val="11"/>
              </w:rPr>
              <w:t>1.55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F85F87">
            <w:pPr>
              <w:spacing w:after="0" w:line="259" w:lineRule="auto"/>
              <w:ind w:left="0" w:firstLine="0"/>
              <w:jc w:val="left"/>
            </w:pPr>
            <w:r>
              <w:rPr>
                <w:rFonts w:ascii="DejaVu Sans" w:eastAsia="DejaVu Sans" w:hAnsi="DejaVu Sans" w:cs="DejaVu Sans"/>
                <w:b/>
                <w:sz w:val="11"/>
              </w:rPr>
              <w:t>1.60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</w:tcPr>
          <w:p w:rsidR="00A34FF4" w:rsidRDefault="00A34FF4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A34FF4" w:rsidRDefault="00F85F87">
      <w:pPr>
        <w:spacing w:after="75" w:line="259" w:lineRule="auto"/>
        <w:ind w:left="811"/>
        <w:jc w:val="center"/>
      </w:pPr>
      <w:r>
        <w:rPr>
          <w:rFonts w:ascii="DejaVu Sans" w:eastAsia="DejaVu Sans" w:hAnsi="DejaVu Sans" w:cs="DejaVu Sans"/>
          <w:b/>
          <w:sz w:val="12"/>
        </w:rPr>
        <w:t>Bulk density (g cm</w:t>
      </w:r>
      <w:r>
        <w:rPr>
          <w:rFonts w:ascii="DejaVu Sans" w:eastAsia="DejaVu Sans" w:hAnsi="DejaVu Sans" w:cs="DejaVu Sans"/>
          <w:b/>
          <w:sz w:val="11"/>
          <w:vertAlign w:val="superscript"/>
        </w:rPr>
        <w:t>-3</w:t>
      </w:r>
      <w:r>
        <w:rPr>
          <w:rFonts w:ascii="DejaVu Sans" w:eastAsia="DejaVu Sans" w:hAnsi="DejaVu Sans" w:cs="DejaVu Sans"/>
          <w:b/>
          <w:sz w:val="12"/>
        </w:rPr>
        <w:t>)</w:t>
      </w:r>
    </w:p>
    <w:p w:rsidR="00A34FF4" w:rsidRDefault="00F85F87">
      <w:pPr>
        <w:tabs>
          <w:tab w:val="center" w:pos="5585"/>
          <w:tab w:val="center" w:pos="5944"/>
          <w:tab w:val="center" w:pos="6304"/>
          <w:tab w:val="center" w:pos="6662"/>
          <w:tab w:val="center" w:pos="7021"/>
          <w:tab w:val="center" w:pos="7379"/>
          <w:tab w:val="center" w:pos="7739"/>
          <w:tab w:val="center" w:pos="8098"/>
          <w:tab w:val="center" w:pos="8456"/>
          <w:tab w:val="right" w:pos="8985"/>
        </w:tabs>
        <w:spacing w:after="2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DejaVu Sans" w:eastAsia="DejaVu Sans" w:hAnsi="DejaVu Sans" w:cs="DejaVu Sans"/>
          <w:b/>
          <w:sz w:val="11"/>
        </w:rPr>
        <w:t>1.3</w:t>
      </w:r>
      <w:r>
        <w:rPr>
          <w:rFonts w:ascii="DejaVu Sans" w:eastAsia="DejaVu Sans" w:hAnsi="DejaVu Sans" w:cs="DejaVu Sans"/>
          <w:b/>
          <w:sz w:val="11"/>
        </w:rPr>
        <w:tab/>
        <w:t>1.4</w:t>
      </w:r>
      <w:r>
        <w:rPr>
          <w:rFonts w:ascii="DejaVu Sans" w:eastAsia="DejaVu Sans" w:hAnsi="DejaVu Sans" w:cs="DejaVu Sans"/>
          <w:b/>
          <w:sz w:val="11"/>
        </w:rPr>
        <w:tab/>
        <w:t>1.5</w:t>
      </w:r>
      <w:r>
        <w:rPr>
          <w:rFonts w:ascii="DejaVu Sans" w:eastAsia="DejaVu Sans" w:hAnsi="DejaVu Sans" w:cs="DejaVu Sans"/>
          <w:b/>
          <w:sz w:val="11"/>
        </w:rPr>
        <w:tab/>
        <w:t>1.6</w:t>
      </w:r>
      <w:r>
        <w:rPr>
          <w:rFonts w:ascii="DejaVu Sans" w:eastAsia="DejaVu Sans" w:hAnsi="DejaVu Sans" w:cs="DejaVu Sans"/>
          <w:b/>
          <w:sz w:val="11"/>
        </w:rPr>
        <w:tab/>
        <w:t>1.7</w:t>
      </w:r>
      <w:r>
        <w:rPr>
          <w:rFonts w:ascii="DejaVu Sans" w:eastAsia="DejaVu Sans" w:hAnsi="DejaVu Sans" w:cs="DejaVu Sans"/>
          <w:b/>
          <w:sz w:val="11"/>
        </w:rPr>
        <w:tab/>
        <w:t>1.8</w:t>
      </w:r>
      <w:r>
        <w:rPr>
          <w:rFonts w:ascii="DejaVu Sans" w:eastAsia="DejaVu Sans" w:hAnsi="DejaVu Sans" w:cs="DejaVu Sans"/>
          <w:b/>
          <w:sz w:val="11"/>
        </w:rPr>
        <w:tab/>
        <w:t>1.9</w:t>
      </w:r>
      <w:r>
        <w:rPr>
          <w:rFonts w:ascii="DejaVu Sans" w:eastAsia="DejaVu Sans" w:hAnsi="DejaVu Sans" w:cs="DejaVu Sans"/>
          <w:b/>
          <w:sz w:val="11"/>
        </w:rPr>
        <w:tab/>
        <w:t>2.0</w:t>
      </w:r>
      <w:r>
        <w:rPr>
          <w:rFonts w:ascii="DejaVu Sans" w:eastAsia="DejaVu Sans" w:hAnsi="DejaVu Sans" w:cs="DejaVu Sans"/>
          <w:b/>
          <w:sz w:val="11"/>
        </w:rPr>
        <w:tab/>
        <w:t>2.1</w:t>
      </w:r>
      <w:r>
        <w:rPr>
          <w:rFonts w:ascii="DejaVu Sans" w:eastAsia="DejaVu Sans" w:hAnsi="DejaVu Sans" w:cs="DejaVu Sans"/>
          <w:b/>
          <w:sz w:val="11"/>
        </w:rPr>
        <w:tab/>
        <w:t>2.2</w:t>
      </w:r>
    </w:p>
    <w:p w:rsidR="00A34FF4" w:rsidRDefault="00F85F87">
      <w:pPr>
        <w:spacing w:before="232" w:after="75" w:line="259" w:lineRule="auto"/>
        <w:ind w:left="811" w:right="798"/>
        <w:jc w:val="center"/>
      </w:pP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column">
              <wp:posOffset>3258884</wp:posOffset>
            </wp:positionH>
            <wp:positionV relativeFrom="paragraph">
              <wp:posOffset>-3768516</wp:posOffset>
            </wp:positionV>
            <wp:extent cx="2395728" cy="3621024"/>
            <wp:effectExtent l="0" t="0" r="0" b="0"/>
            <wp:wrapSquare wrapText="bothSides"/>
            <wp:docPr id="277067" name="Picture 277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7" name="Picture 27706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column">
              <wp:posOffset>1588</wp:posOffset>
            </wp:positionH>
            <wp:positionV relativeFrom="paragraph">
              <wp:posOffset>-3759373</wp:posOffset>
            </wp:positionV>
            <wp:extent cx="3227832" cy="7610857"/>
            <wp:effectExtent l="0" t="0" r="0" b="0"/>
            <wp:wrapSquare wrapText="bothSides"/>
            <wp:docPr id="277065" name="Picture 277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5" name="Picture 27706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27832" cy="761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column">
              <wp:posOffset>3261932</wp:posOffset>
            </wp:positionH>
            <wp:positionV relativeFrom="paragraph">
              <wp:posOffset>216234</wp:posOffset>
            </wp:positionV>
            <wp:extent cx="2392680" cy="3621025"/>
            <wp:effectExtent l="0" t="0" r="0" b="0"/>
            <wp:wrapSquare wrapText="bothSides"/>
            <wp:docPr id="277069" name="Picture 277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9" name="Picture 27706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6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eastAsia="DejaVu Sans" w:hAnsi="DejaVu Sans" w:cs="DejaVu Sans"/>
          <w:b/>
          <w:sz w:val="12"/>
        </w:rPr>
        <w:t>Bulk density (g cm</w:t>
      </w:r>
      <w:r>
        <w:rPr>
          <w:rFonts w:ascii="DejaVu Sans" w:eastAsia="DejaVu Sans" w:hAnsi="DejaVu Sans" w:cs="DejaVu Sans"/>
          <w:b/>
          <w:sz w:val="11"/>
          <w:vertAlign w:val="superscript"/>
        </w:rPr>
        <w:t>-3</w:t>
      </w:r>
      <w:r>
        <w:rPr>
          <w:rFonts w:ascii="DejaVu Sans" w:eastAsia="DejaVu Sans" w:hAnsi="DejaVu Sans" w:cs="DejaVu Sans"/>
          <w:b/>
          <w:sz w:val="12"/>
        </w:rPr>
        <w:t>)</w:t>
      </w:r>
    </w:p>
    <w:p w:rsidR="00A34FF4" w:rsidRDefault="00F85F87">
      <w:pPr>
        <w:tabs>
          <w:tab w:val="center" w:pos="5670"/>
          <w:tab w:val="center" w:pos="6190"/>
          <w:tab w:val="center" w:pos="6713"/>
          <w:tab w:val="center" w:pos="7233"/>
          <w:tab w:val="center" w:pos="7755"/>
          <w:tab w:val="center" w:pos="8276"/>
          <w:tab w:val="right" w:pos="8985"/>
        </w:tabs>
        <w:spacing w:after="2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DejaVu Sans" w:eastAsia="DejaVu Sans" w:hAnsi="DejaVu Sans" w:cs="DejaVu Sans"/>
          <w:b/>
          <w:sz w:val="11"/>
        </w:rPr>
        <w:t>1.30</w:t>
      </w:r>
      <w:r>
        <w:rPr>
          <w:rFonts w:ascii="DejaVu Sans" w:eastAsia="DejaVu Sans" w:hAnsi="DejaVu Sans" w:cs="DejaVu Sans"/>
          <w:b/>
          <w:sz w:val="11"/>
        </w:rPr>
        <w:tab/>
        <w:t>1.35</w:t>
      </w:r>
      <w:r>
        <w:rPr>
          <w:rFonts w:ascii="DejaVu Sans" w:eastAsia="DejaVu Sans" w:hAnsi="DejaVu Sans" w:cs="DejaVu Sans"/>
          <w:b/>
          <w:sz w:val="11"/>
        </w:rPr>
        <w:tab/>
        <w:t>1.40</w:t>
      </w:r>
      <w:r>
        <w:rPr>
          <w:rFonts w:ascii="DejaVu Sans" w:eastAsia="DejaVu Sans" w:hAnsi="DejaVu Sans" w:cs="DejaVu Sans"/>
          <w:b/>
          <w:sz w:val="11"/>
        </w:rPr>
        <w:tab/>
        <w:t>1.45</w:t>
      </w:r>
      <w:r>
        <w:rPr>
          <w:rFonts w:ascii="DejaVu Sans" w:eastAsia="DejaVu Sans" w:hAnsi="DejaVu Sans" w:cs="DejaVu Sans"/>
          <w:b/>
          <w:sz w:val="11"/>
        </w:rPr>
        <w:tab/>
        <w:t>1.50</w:t>
      </w:r>
      <w:r>
        <w:rPr>
          <w:rFonts w:ascii="DejaVu Sans" w:eastAsia="DejaVu Sans" w:hAnsi="DejaVu Sans" w:cs="DejaVu Sans"/>
          <w:b/>
          <w:sz w:val="11"/>
        </w:rPr>
        <w:tab/>
        <w:t>1.55</w:t>
      </w:r>
      <w:r>
        <w:rPr>
          <w:rFonts w:ascii="DejaVu Sans" w:eastAsia="DejaVu Sans" w:hAnsi="DejaVu Sans" w:cs="DejaVu Sans"/>
          <w:b/>
          <w:sz w:val="11"/>
        </w:rPr>
        <w:tab/>
        <w:t>1.60</w:t>
      </w:r>
    </w:p>
    <w:p w:rsidR="00A34FF4" w:rsidRDefault="00A34FF4">
      <w:pPr>
        <w:sectPr w:rsidR="00A34FF4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6" w:h="16838"/>
          <w:pgMar w:top="1440" w:right="1800" w:bottom="1543" w:left="1121" w:header="720" w:footer="1212" w:gutter="0"/>
          <w:cols w:space="720"/>
          <w:titlePg/>
        </w:sectPr>
      </w:pP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654 </w:t>
      </w:r>
      <w:r>
        <w:rPr>
          <w:b/>
        </w:rPr>
        <w:t>Fig. S1.</w:t>
      </w:r>
      <w:r>
        <w:t xml:space="preserve"> Bulk density through the whole regoliths with land uses of upland (a-e), woodland (f) and </w:t>
      </w:r>
      <w:r>
        <w:rPr>
          <w:rFonts w:ascii="Carlito" w:eastAsia="Carlito" w:hAnsi="Carlito" w:cs="Carlito"/>
        </w:rPr>
        <w:t xml:space="preserve">655 </w:t>
      </w:r>
      <w:r>
        <w:t>paddy field (g and h).</w:t>
      </w:r>
    </w:p>
    <w:p w:rsidR="00A34FF4" w:rsidRDefault="00F85F87">
      <w:pPr>
        <w:tabs>
          <w:tab w:val="center" w:pos="4825"/>
        </w:tabs>
        <w:spacing w:after="217"/>
        <w:ind w:left="-15" w:firstLine="0"/>
        <w:jc w:val="left"/>
      </w:pPr>
      <w:r>
        <w:rPr>
          <w:rFonts w:ascii="Carlito" w:eastAsia="Carlito" w:hAnsi="Carlito" w:cs="Carlito"/>
        </w:rPr>
        <w:lastRenderedPageBreak/>
        <w:t>657</w:t>
      </w:r>
      <w:r>
        <w:rPr>
          <w:rFonts w:ascii="Carlito" w:eastAsia="Carlito" w:hAnsi="Carlito" w:cs="Carlito"/>
        </w:rPr>
        <w:tab/>
      </w:r>
      <w:r>
        <w:rPr>
          <w:noProof/>
        </w:rPr>
        <w:drawing>
          <wp:inline distT="0" distB="0" distL="0" distR="0">
            <wp:extent cx="4392000" cy="4246810"/>
            <wp:effectExtent l="0" t="0" r="0" b="0"/>
            <wp:docPr id="41625" name="Picture 4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5" name="Picture 4162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42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 w:rsidP="00F85F87">
      <w:pPr>
        <w:numPr>
          <w:ilvl w:val="0"/>
          <w:numId w:val="84"/>
        </w:numPr>
        <w:ind w:hanging="679"/>
      </w:pPr>
      <w:r>
        <w:rPr>
          <w:b/>
        </w:rPr>
        <w:t xml:space="preserve">Fig. S2. </w:t>
      </w:r>
      <w:r>
        <w:t xml:space="preserve">3D morphology of undisturbed cores of upland regolith (#1). The white is the pores and the </w:t>
      </w:r>
    </w:p>
    <w:p w:rsidR="00A34FF4" w:rsidRDefault="00F85F87" w:rsidP="00F85F87">
      <w:pPr>
        <w:numPr>
          <w:ilvl w:val="0"/>
          <w:numId w:val="84"/>
        </w:numPr>
        <w:ind w:hanging="679"/>
      </w:pPr>
      <w:r>
        <w:t>green is the solids.</w:t>
      </w:r>
    </w:p>
    <w:p w:rsidR="00A34FF4" w:rsidRDefault="00F85F87">
      <w:pPr>
        <w:tabs>
          <w:tab w:val="center" w:pos="4825"/>
        </w:tabs>
        <w:spacing w:after="214"/>
        <w:ind w:left="-15" w:firstLine="0"/>
        <w:jc w:val="left"/>
      </w:pPr>
      <w:r>
        <w:rPr>
          <w:rFonts w:ascii="Carlito" w:eastAsia="Carlito" w:hAnsi="Carlito" w:cs="Carlito"/>
        </w:rPr>
        <w:lastRenderedPageBreak/>
        <w:t>661</w:t>
      </w:r>
      <w:r>
        <w:rPr>
          <w:rFonts w:ascii="Carlito" w:eastAsia="Carlito" w:hAnsi="Carlito" w:cs="Carlito"/>
        </w:rPr>
        <w:tab/>
      </w:r>
      <w:r>
        <w:rPr>
          <w:noProof/>
        </w:rPr>
        <w:drawing>
          <wp:inline distT="0" distB="0" distL="0" distR="0">
            <wp:extent cx="4392000" cy="5640198"/>
            <wp:effectExtent l="0" t="0" r="0" b="0"/>
            <wp:docPr id="41638" name="Picture 4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8" name="Picture 4163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564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spacing w:after="0" w:line="616" w:lineRule="auto"/>
        <w:ind w:left="-5"/>
      </w:pPr>
      <w:r>
        <w:rPr>
          <w:rFonts w:ascii="Carlito" w:eastAsia="Carlito" w:hAnsi="Carlito" w:cs="Carlito"/>
        </w:rPr>
        <w:t xml:space="preserve">662 </w:t>
      </w:r>
      <w:r>
        <w:rPr>
          <w:b/>
        </w:rPr>
        <w:t xml:space="preserve">Fig. S3. </w:t>
      </w:r>
      <w:r>
        <w:t xml:space="preserve">3D morphology of undisturbed cores of upland regolith (#8). The white is the pores and the </w:t>
      </w:r>
      <w:r>
        <w:rPr>
          <w:rFonts w:ascii="Carlito" w:eastAsia="Carlito" w:hAnsi="Carlito" w:cs="Carlito"/>
        </w:rPr>
        <w:t xml:space="preserve">663 </w:t>
      </w:r>
      <w:r>
        <w:t>green is the solids.</w:t>
      </w:r>
    </w:p>
    <w:p w:rsidR="00A34FF4" w:rsidRDefault="00F85F87">
      <w:pPr>
        <w:spacing w:after="0"/>
        <w:ind w:left="-5" w:right="63"/>
        <w:jc w:val="left"/>
      </w:pPr>
      <w:r>
        <w:rPr>
          <w:rFonts w:ascii="Carlito" w:eastAsia="Carlito" w:hAnsi="Carlito" w:cs="Carlito"/>
        </w:rPr>
        <w:t>664</w:t>
      </w:r>
    </w:p>
    <w:p w:rsidR="00A34FF4" w:rsidRDefault="00F85F87">
      <w:pPr>
        <w:tabs>
          <w:tab w:val="center" w:pos="4825"/>
        </w:tabs>
        <w:spacing w:after="212"/>
        <w:ind w:left="-15" w:firstLine="0"/>
        <w:jc w:val="left"/>
      </w:pPr>
      <w:r>
        <w:rPr>
          <w:rFonts w:ascii="Carlito" w:eastAsia="Carlito" w:hAnsi="Carlito" w:cs="Carlito"/>
        </w:rPr>
        <w:lastRenderedPageBreak/>
        <w:t>665</w:t>
      </w:r>
      <w:r>
        <w:rPr>
          <w:rFonts w:ascii="Carlito" w:eastAsia="Carlito" w:hAnsi="Carlito" w:cs="Carlito"/>
        </w:rPr>
        <w:tab/>
      </w:r>
      <w:r>
        <w:rPr>
          <w:noProof/>
        </w:rPr>
        <w:drawing>
          <wp:inline distT="0" distB="0" distL="0" distR="0">
            <wp:extent cx="4392000" cy="7023496"/>
            <wp:effectExtent l="0" t="0" r="0" b="0"/>
            <wp:docPr id="41652" name="Picture 4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2" name="Picture 4165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70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>
      <w:pPr>
        <w:spacing w:after="0" w:line="617" w:lineRule="auto"/>
        <w:ind w:left="-5"/>
      </w:pPr>
      <w:r>
        <w:rPr>
          <w:rFonts w:ascii="Carlito" w:eastAsia="Carlito" w:hAnsi="Carlito" w:cs="Carlito"/>
        </w:rPr>
        <w:t xml:space="preserve">666 </w:t>
      </w:r>
      <w:r>
        <w:rPr>
          <w:b/>
        </w:rPr>
        <w:t xml:space="preserve">Fig. S4. </w:t>
      </w:r>
      <w:r>
        <w:t xml:space="preserve">3D morphology of undisturbed cores of woodland regolith (#6). The white is the pores and </w:t>
      </w:r>
      <w:r>
        <w:rPr>
          <w:rFonts w:ascii="Carlito" w:eastAsia="Carlito" w:hAnsi="Carlito" w:cs="Carlito"/>
        </w:rPr>
        <w:t xml:space="preserve">667 </w:t>
      </w:r>
      <w:r>
        <w:t>the green is the solids.</w:t>
      </w:r>
    </w:p>
    <w:p w:rsidR="00A34FF4" w:rsidRDefault="00F85F87">
      <w:pPr>
        <w:spacing w:after="0"/>
        <w:ind w:left="-5" w:right="63"/>
        <w:jc w:val="left"/>
      </w:pPr>
      <w:r>
        <w:rPr>
          <w:rFonts w:ascii="Carlito" w:eastAsia="Carlito" w:hAnsi="Carlito" w:cs="Carlito"/>
        </w:rPr>
        <w:t>668</w:t>
      </w:r>
    </w:p>
    <w:p w:rsidR="00A34FF4" w:rsidRDefault="00F85F87">
      <w:pPr>
        <w:tabs>
          <w:tab w:val="center" w:pos="4832"/>
        </w:tabs>
        <w:spacing w:after="194"/>
        <w:ind w:left="-15" w:firstLine="0"/>
        <w:jc w:val="left"/>
      </w:pPr>
      <w:r>
        <w:rPr>
          <w:rFonts w:ascii="Carlito" w:eastAsia="Carlito" w:hAnsi="Carlito" w:cs="Carlito"/>
        </w:rPr>
        <w:lastRenderedPageBreak/>
        <w:t>669</w:t>
      </w:r>
      <w:r>
        <w:rPr>
          <w:rFonts w:ascii="Carlito" w:eastAsia="Carlito" w:hAnsi="Carlito" w:cs="Carlito"/>
        </w:rPr>
        <w:tab/>
      </w:r>
      <w:r>
        <w:rPr>
          <w:noProof/>
        </w:rPr>
        <w:drawing>
          <wp:inline distT="0" distB="0" distL="0" distR="0">
            <wp:extent cx="4179297" cy="8042399"/>
            <wp:effectExtent l="0" t="0" r="0" b="0"/>
            <wp:docPr id="41666" name="Picture 41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6" name="Picture 4166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179297" cy="80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F4" w:rsidRDefault="00F85F87" w:rsidP="00F85F87">
      <w:pPr>
        <w:numPr>
          <w:ilvl w:val="0"/>
          <w:numId w:val="85"/>
        </w:numPr>
        <w:ind w:hanging="679"/>
      </w:pPr>
      <w:r>
        <w:rPr>
          <w:b/>
        </w:rPr>
        <w:t xml:space="preserve">Fig. S5. </w:t>
      </w:r>
      <w:r>
        <w:t xml:space="preserve">3D morphology of undisturbed cores of old paddy field regolith (#7). The white is the pores </w:t>
      </w:r>
    </w:p>
    <w:p w:rsidR="00A34FF4" w:rsidRDefault="00F85F87" w:rsidP="00F85F87">
      <w:pPr>
        <w:numPr>
          <w:ilvl w:val="0"/>
          <w:numId w:val="85"/>
        </w:numPr>
        <w:ind w:hanging="679"/>
      </w:pPr>
      <w:r>
        <w:lastRenderedPageBreak/>
        <w:t>and the gre</w:t>
      </w:r>
      <w:r>
        <w:t>en is the solids.</w:t>
      </w:r>
    </w:p>
    <w:sectPr w:rsidR="00A34FF4">
      <w:type w:val="continuous"/>
      <w:pgSz w:w="11906" w:h="16838"/>
      <w:pgMar w:top="1503" w:right="1800" w:bottom="1548" w:left="11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F87" w:rsidRDefault="00F85F87">
      <w:pPr>
        <w:spacing w:after="0" w:line="240" w:lineRule="auto"/>
      </w:pPr>
      <w:r>
        <w:separator/>
      </w:r>
    </w:p>
  </w:endnote>
  <w:endnote w:type="continuationSeparator" w:id="0">
    <w:p w:rsidR="00F85F87" w:rsidRDefault="00F85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79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>
      <w:rPr>
        <w:rFonts w:ascii="Carlito" w:eastAsia="Carlito" w:hAnsi="Carlito" w:cs="Carlito"/>
        <w:sz w:val="18"/>
      </w:rPr>
      <w:t>1</w:t>
    </w:r>
    <w:r>
      <w:rPr>
        <w:rFonts w:ascii="Carlito" w:eastAsia="Carlito" w:hAnsi="Carlito" w:cs="Carlito"/>
        <w:sz w:val="18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79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 w:rsidR="00DD3D08">
      <w:rPr>
        <w:rFonts w:ascii="Carlito" w:eastAsia="Carlito" w:hAnsi="Carlito" w:cs="Carlito"/>
        <w:noProof/>
        <w:sz w:val="18"/>
      </w:rPr>
      <w:t>38</w:t>
    </w:r>
    <w:r>
      <w:rPr>
        <w:rFonts w:ascii="Carlito" w:eastAsia="Carlito" w:hAnsi="Carlito" w:cs="Carlito"/>
        <w:sz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79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 w:rsidR="00DD3D08">
      <w:rPr>
        <w:rFonts w:ascii="Carlito" w:eastAsia="Carlito" w:hAnsi="Carlito" w:cs="Carlito"/>
        <w:noProof/>
        <w:sz w:val="18"/>
      </w:rPr>
      <w:t>32</w:t>
    </w:r>
    <w:r>
      <w:rPr>
        <w:rFonts w:ascii="Carlito" w:eastAsia="Carlito" w:hAnsi="Carlito" w:cs="Carlito"/>
        <w:sz w:val="18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79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>
      <w:rPr>
        <w:rFonts w:ascii="Carlito" w:eastAsia="Carlito" w:hAnsi="Carlito" w:cs="Carlito"/>
        <w:sz w:val="18"/>
      </w:rPr>
      <w:t>1</w:t>
    </w:r>
    <w:r>
      <w:rPr>
        <w:rFonts w:ascii="Carlito" w:eastAsia="Carlito" w:hAnsi="Carlito" w:cs="Carlito"/>
        <w:sz w:val="18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79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 w:rsidR="00DD3D08">
      <w:rPr>
        <w:rFonts w:ascii="Carlito" w:eastAsia="Carlito" w:hAnsi="Carlito" w:cs="Carlito"/>
        <w:noProof/>
        <w:sz w:val="18"/>
      </w:rPr>
      <w:t>48</w:t>
    </w:r>
    <w:r>
      <w:rPr>
        <w:rFonts w:ascii="Carlito" w:eastAsia="Carlito" w:hAnsi="Carlito" w:cs="Carlito"/>
        <w:sz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79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 w:rsidR="00DD3D08">
      <w:rPr>
        <w:rFonts w:ascii="Carlito" w:eastAsia="Carlito" w:hAnsi="Carlito" w:cs="Carlito"/>
        <w:noProof/>
        <w:sz w:val="18"/>
      </w:rPr>
      <w:t>39</w:t>
    </w:r>
    <w:r>
      <w:rPr>
        <w:rFonts w:ascii="Carlito" w:eastAsia="Carlito" w:hAnsi="Carlito" w:cs="Carlito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27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>
      <w:rPr>
        <w:rFonts w:ascii="Carlito" w:eastAsia="Carlito" w:hAnsi="Carlito" w:cs="Carlito"/>
        <w:sz w:val="18"/>
      </w:rPr>
      <w:t>1</w:t>
    </w:r>
    <w:r>
      <w:rPr>
        <w:rFonts w:ascii="Carlito" w:eastAsia="Carlito" w:hAnsi="Carlito" w:cs="Carlito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27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 w:rsidR="00DD3D08">
      <w:rPr>
        <w:rFonts w:ascii="Carlito" w:eastAsia="Carlito" w:hAnsi="Carlito" w:cs="Carlito"/>
        <w:noProof/>
        <w:sz w:val="18"/>
      </w:rPr>
      <w:t>2</w:t>
    </w:r>
    <w:r>
      <w:rPr>
        <w:rFonts w:ascii="Carlito" w:eastAsia="Carlito" w:hAnsi="Carlito" w:cs="Carlito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627" w:firstLine="0"/>
      <w:jc w:val="center"/>
    </w:pPr>
    <w:r>
      <w:rPr>
        <w:rFonts w:ascii="Carlito" w:eastAsia="Carlito" w:hAnsi="Carlito" w:cs="Carlito"/>
        <w:sz w:val="18"/>
      </w:rPr>
      <w:fldChar w:fldCharType="begin"/>
    </w:r>
    <w:r>
      <w:rPr>
        <w:rFonts w:ascii="Carlito" w:eastAsia="Carlito" w:hAnsi="Carlito" w:cs="Carlito"/>
        <w:sz w:val="18"/>
      </w:rPr>
      <w:instrText xml:space="preserve"> PAGE   \* MERGEFORMAT </w:instrText>
    </w:r>
    <w:r>
      <w:rPr>
        <w:rFonts w:ascii="Carlito" w:eastAsia="Carlito" w:hAnsi="Carlito" w:cs="Carlito"/>
        <w:sz w:val="18"/>
      </w:rPr>
      <w:fldChar w:fldCharType="separate"/>
    </w:r>
    <w:r>
      <w:rPr>
        <w:rFonts w:ascii="Carlito" w:eastAsia="Carlito" w:hAnsi="Carlito" w:cs="Carlito"/>
        <w:sz w:val="18"/>
      </w:rPr>
      <w:t>1</w:t>
    </w:r>
    <w:r>
      <w:rPr>
        <w:rFonts w:ascii="Carlito" w:eastAsia="Carlito" w:hAnsi="Carlito" w:cs="Carlito"/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F87" w:rsidRDefault="00F85F87">
      <w:pPr>
        <w:spacing w:after="0" w:line="240" w:lineRule="auto"/>
      </w:pPr>
      <w:r>
        <w:separator/>
      </w:r>
    </w:p>
  </w:footnote>
  <w:footnote w:type="continuationSeparator" w:id="0">
    <w:p w:rsidR="00F85F87" w:rsidRDefault="00F85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-1121" w:right="1010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2736956</wp:posOffset>
              </wp:positionH>
              <wp:positionV relativeFrom="page">
                <wp:posOffset>1206272</wp:posOffset>
              </wp:positionV>
              <wp:extent cx="12076" cy="31618"/>
              <wp:effectExtent l="0" t="0" r="0" b="0"/>
              <wp:wrapSquare wrapText="bothSides"/>
              <wp:docPr id="277270" name="Group 277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76" cy="31618"/>
                        <a:chOff x="0" y="0"/>
                        <a:chExt cx="12076" cy="31618"/>
                      </a:xfrm>
                    </wpg:grpSpPr>
                    <wps:wsp>
                      <wps:cNvPr id="277271" name="Shape 277271"/>
                      <wps:cNvSpPr/>
                      <wps:spPr>
                        <a:xfrm>
                          <a:off x="0" y="0"/>
                          <a:ext cx="0" cy="31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618">
                              <a:moveTo>
                                <a:pt x="0" y="0"/>
                              </a:moveTo>
                              <a:lnTo>
                                <a:pt x="0" y="31618"/>
                              </a:lnTo>
                            </a:path>
                          </a:pathLst>
                        </a:custGeom>
                        <a:ln w="12076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70" style="width:0.950832pt;height:2.48963pt;position:absolute;mso-position-horizontal-relative:page;mso-position-horizontal:absolute;margin-left:215.508pt;mso-position-vertical-relative:page;margin-top:94.982pt;" coordsize="120,316">
              <v:shape id="Shape 277271" style="position:absolute;width:0;height:316;left:0;top:0;" coordsize="0,31618" path="m0,0l0,31618">
                <v:stroke weight="0.95083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4194141</wp:posOffset>
              </wp:positionH>
              <wp:positionV relativeFrom="page">
                <wp:posOffset>1209803</wp:posOffset>
              </wp:positionV>
              <wp:extent cx="12147" cy="31806"/>
              <wp:effectExtent l="0" t="0" r="0" b="0"/>
              <wp:wrapSquare wrapText="bothSides"/>
              <wp:docPr id="277272" name="Group 277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47" cy="31806"/>
                        <a:chOff x="0" y="0"/>
                        <a:chExt cx="12147" cy="31806"/>
                      </a:xfrm>
                    </wpg:grpSpPr>
                    <wps:wsp>
                      <wps:cNvPr id="277273" name="Shape 277273"/>
                      <wps:cNvSpPr/>
                      <wps:spPr>
                        <a:xfrm>
                          <a:off x="0" y="0"/>
                          <a:ext cx="0" cy="31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806">
                              <a:moveTo>
                                <a:pt x="0" y="0"/>
                              </a:moveTo>
                              <a:lnTo>
                                <a:pt x="0" y="31806"/>
                              </a:lnTo>
                            </a:path>
                          </a:pathLst>
                        </a:custGeom>
                        <a:ln w="12147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72" style="width:0.956457pt;height:2.50441pt;position:absolute;mso-position-horizontal-relative:page;mso-position-horizontal:absolute;margin-left:330.247pt;mso-position-vertical-relative:page;margin-top:95.2601pt;" coordsize="121,318">
              <v:shape id="Shape 277273" style="position:absolute;width:0;height:318;left:0;top:0;" coordsize="0,31806" path="m0,0l0,31806">
                <v:stroke weight="0.956457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5333157</wp:posOffset>
              </wp:positionH>
              <wp:positionV relativeFrom="page">
                <wp:posOffset>1209803</wp:posOffset>
              </wp:positionV>
              <wp:extent cx="12147" cy="31806"/>
              <wp:effectExtent l="0" t="0" r="0" b="0"/>
              <wp:wrapSquare wrapText="bothSides"/>
              <wp:docPr id="277274" name="Group 277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47" cy="31806"/>
                        <a:chOff x="0" y="0"/>
                        <a:chExt cx="12147" cy="31806"/>
                      </a:xfrm>
                    </wpg:grpSpPr>
                    <wps:wsp>
                      <wps:cNvPr id="277275" name="Shape 277275"/>
                      <wps:cNvSpPr/>
                      <wps:spPr>
                        <a:xfrm>
                          <a:off x="0" y="0"/>
                          <a:ext cx="0" cy="31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806">
                              <a:moveTo>
                                <a:pt x="0" y="0"/>
                              </a:moveTo>
                              <a:lnTo>
                                <a:pt x="0" y="31806"/>
                              </a:lnTo>
                            </a:path>
                          </a:pathLst>
                        </a:custGeom>
                        <a:ln w="12147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74" style="width:0.956457pt;height:2.50441pt;position:absolute;mso-position-horizontal-relative:page;mso-position-horizontal:absolute;margin-left:419.934pt;mso-position-vertical-relative:page;margin-top:95.2601pt;" coordsize="121,318">
              <v:shape id="Shape 277275" style="position:absolute;width:0;height:318;left:0;top:0;" coordsize="0,31806" path="m0,0l0,31806">
                <v:stroke weight="0.956457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-1121" w:right="1010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2736956</wp:posOffset>
              </wp:positionH>
              <wp:positionV relativeFrom="page">
                <wp:posOffset>1206272</wp:posOffset>
              </wp:positionV>
              <wp:extent cx="12076" cy="31618"/>
              <wp:effectExtent l="0" t="0" r="0" b="0"/>
              <wp:wrapSquare wrapText="bothSides"/>
              <wp:docPr id="277254" name="Group 277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76" cy="31618"/>
                        <a:chOff x="0" y="0"/>
                        <a:chExt cx="12076" cy="31618"/>
                      </a:xfrm>
                    </wpg:grpSpPr>
                    <wps:wsp>
                      <wps:cNvPr id="277255" name="Shape 277255"/>
                      <wps:cNvSpPr/>
                      <wps:spPr>
                        <a:xfrm>
                          <a:off x="0" y="0"/>
                          <a:ext cx="0" cy="31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618">
                              <a:moveTo>
                                <a:pt x="0" y="0"/>
                              </a:moveTo>
                              <a:lnTo>
                                <a:pt x="0" y="31618"/>
                              </a:lnTo>
                            </a:path>
                          </a:pathLst>
                        </a:custGeom>
                        <a:ln w="12076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54" style="width:0.950832pt;height:2.48963pt;position:absolute;mso-position-horizontal-relative:page;mso-position-horizontal:absolute;margin-left:215.508pt;mso-position-vertical-relative:page;margin-top:94.982pt;" coordsize="120,316">
              <v:shape id="Shape 277255" style="position:absolute;width:0;height:316;left:0;top:0;" coordsize="0,31618" path="m0,0l0,31618">
                <v:stroke weight="0.95083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4194141</wp:posOffset>
              </wp:positionH>
              <wp:positionV relativeFrom="page">
                <wp:posOffset>1209803</wp:posOffset>
              </wp:positionV>
              <wp:extent cx="12147" cy="31806"/>
              <wp:effectExtent l="0" t="0" r="0" b="0"/>
              <wp:wrapSquare wrapText="bothSides"/>
              <wp:docPr id="277256" name="Group 277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47" cy="31806"/>
                        <a:chOff x="0" y="0"/>
                        <a:chExt cx="12147" cy="31806"/>
                      </a:xfrm>
                    </wpg:grpSpPr>
                    <wps:wsp>
                      <wps:cNvPr id="277257" name="Shape 277257"/>
                      <wps:cNvSpPr/>
                      <wps:spPr>
                        <a:xfrm>
                          <a:off x="0" y="0"/>
                          <a:ext cx="0" cy="31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806">
                              <a:moveTo>
                                <a:pt x="0" y="0"/>
                              </a:moveTo>
                              <a:lnTo>
                                <a:pt x="0" y="31806"/>
                              </a:lnTo>
                            </a:path>
                          </a:pathLst>
                        </a:custGeom>
                        <a:ln w="12147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56" style="width:0.956457pt;height:2.50441pt;position:absolute;mso-position-horizontal-relative:page;mso-position-horizontal:absolute;margin-left:330.247pt;mso-position-vertical-relative:page;margin-top:95.2601pt;" coordsize="121,318">
              <v:shape id="Shape 277257" style="position:absolute;width:0;height:318;left:0;top:0;" coordsize="0,31806" path="m0,0l0,31806">
                <v:stroke weight="0.956457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5333157</wp:posOffset>
              </wp:positionH>
              <wp:positionV relativeFrom="page">
                <wp:posOffset>1209803</wp:posOffset>
              </wp:positionV>
              <wp:extent cx="12147" cy="31806"/>
              <wp:effectExtent l="0" t="0" r="0" b="0"/>
              <wp:wrapSquare wrapText="bothSides"/>
              <wp:docPr id="277258" name="Group 277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47" cy="31806"/>
                        <a:chOff x="0" y="0"/>
                        <a:chExt cx="12147" cy="31806"/>
                      </a:xfrm>
                    </wpg:grpSpPr>
                    <wps:wsp>
                      <wps:cNvPr id="277259" name="Shape 277259"/>
                      <wps:cNvSpPr/>
                      <wps:spPr>
                        <a:xfrm>
                          <a:off x="0" y="0"/>
                          <a:ext cx="0" cy="31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806">
                              <a:moveTo>
                                <a:pt x="0" y="0"/>
                              </a:moveTo>
                              <a:lnTo>
                                <a:pt x="0" y="31806"/>
                              </a:lnTo>
                            </a:path>
                          </a:pathLst>
                        </a:custGeom>
                        <a:ln w="12147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58" style="width:0.956457pt;height:2.50441pt;position:absolute;mso-position-horizontal-relative:page;mso-position-horizontal:absolute;margin-left:419.934pt;mso-position-vertical-relative:page;margin-top:95.2601pt;" coordsize="121,318">
              <v:shape id="Shape 277259" style="position:absolute;width:0;height:318;left:0;top:0;" coordsize="0,31806" path="m0,0l0,31806">
                <v:stroke weight="0.956457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F85F87">
    <w:pPr>
      <w:spacing w:after="0" w:line="259" w:lineRule="auto"/>
      <w:ind w:left="-1121" w:right="1010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2760741</wp:posOffset>
              </wp:positionH>
              <wp:positionV relativeFrom="page">
                <wp:posOffset>1208456</wp:posOffset>
              </wp:positionV>
              <wp:extent cx="12272" cy="16048"/>
              <wp:effectExtent l="0" t="0" r="0" b="0"/>
              <wp:wrapSquare wrapText="bothSides"/>
              <wp:docPr id="277289" name="Group 277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72" cy="16048"/>
                        <a:chOff x="0" y="0"/>
                        <a:chExt cx="12272" cy="16048"/>
                      </a:xfrm>
                    </wpg:grpSpPr>
                    <wps:wsp>
                      <wps:cNvPr id="277290" name="Shape 277290"/>
                      <wps:cNvSpPr/>
                      <wps:spPr>
                        <a:xfrm>
                          <a:off x="0" y="0"/>
                          <a:ext cx="0" cy="16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048">
                              <a:moveTo>
                                <a:pt x="0" y="0"/>
                              </a:moveTo>
                              <a:lnTo>
                                <a:pt x="0" y="16048"/>
                              </a:lnTo>
                            </a:path>
                          </a:pathLst>
                        </a:custGeom>
                        <a:ln w="122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89" style="width:0.966286pt;height:1.2636pt;position:absolute;mso-position-horizontal-relative:page;mso-position-horizontal:absolute;margin-left:217.381pt;mso-position-vertical-relative:page;margin-top:95.154pt;" coordsize="122,160">
              <v:shape id="Shape 277290" style="position:absolute;width:0;height:160;left:0;top:0;" coordsize="0,16048" path="m0,0l0,16048">
                <v:stroke weight="0.966286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F4" w:rsidRDefault="00A34FF4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45D5"/>
    <w:multiLevelType w:val="hybridMultilevel"/>
    <w:tmpl w:val="58BCA53C"/>
    <w:lvl w:ilvl="0" w:tplc="7C4ABF9C">
      <w:start w:val="191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2507E3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74C3FE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A00B11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80CD2E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8CE5B6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ECE2FB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88C4A1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ABCDC8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D357B5"/>
    <w:multiLevelType w:val="hybridMultilevel"/>
    <w:tmpl w:val="00644C2C"/>
    <w:lvl w:ilvl="0" w:tplc="C652BB3E">
      <w:start w:val="398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8B285A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FE01EF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EC6329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E7601F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F0056D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DEA4BC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DBC860C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DCC3A8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106AAE"/>
    <w:multiLevelType w:val="hybridMultilevel"/>
    <w:tmpl w:val="C7B4CB20"/>
    <w:lvl w:ilvl="0" w:tplc="0D56E6CE">
      <w:start w:val="271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944B11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1AE912A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C1A56E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86EBC0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C06F35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9A6EBC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CBC027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D72BBC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9E0999"/>
    <w:multiLevelType w:val="hybridMultilevel"/>
    <w:tmpl w:val="C4F0B5FA"/>
    <w:lvl w:ilvl="0" w:tplc="B7D61D16">
      <w:start w:val="305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34AA53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1AAAD4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ED4B0D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7D2C02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38C6F7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7E0992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FEE011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EC4633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4C77EC9"/>
    <w:multiLevelType w:val="hybridMultilevel"/>
    <w:tmpl w:val="7772BE4E"/>
    <w:lvl w:ilvl="0" w:tplc="5A6A1BA4">
      <w:start w:val="670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84437B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FB240C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B780A0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D4E766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0A00CA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092424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FEC3BE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1C6194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84D351C"/>
    <w:multiLevelType w:val="hybridMultilevel"/>
    <w:tmpl w:val="449CA48E"/>
    <w:lvl w:ilvl="0" w:tplc="5E7E93F0">
      <w:start w:val="356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A9E8F9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D16FD7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E0A79D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15A232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FB832D2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3E4B7B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0D6C96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4D6B15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D240CD"/>
    <w:multiLevelType w:val="hybridMultilevel"/>
    <w:tmpl w:val="60561FFE"/>
    <w:lvl w:ilvl="0" w:tplc="CE02D144">
      <w:start w:val="499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31ED34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5E0DE6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2EE74E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EE330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BA2A49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DF84E4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C24DE0C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6E80E5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AF92246"/>
    <w:multiLevelType w:val="hybridMultilevel"/>
    <w:tmpl w:val="35A0AD3A"/>
    <w:lvl w:ilvl="0" w:tplc="024202A8">
      <w:start w:val="432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CBE9A5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76E1A0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CAABFC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F768D1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D4AFCD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32A4AF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BAEF90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B2C75B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A96C5B"/>
    <w:multiLevelType w:val="hybridMultilevel"/>
    <w:tmpl w:val="7D06AF16"/>
    <w:lvl w:ilvl="0" w:tplc="766C7316">
      <w:start w:val="530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FDEDEB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DC44F0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8EC7E4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F66D6A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18E658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8A2041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B3410CC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5BAEA9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D5121C9"/>
    <w:multiLevelType w:val="hybridMultilevel"/>
    <w:tmpl w:val="C9DCB7E0"/>
    <w:lvl w:ilvl="0" w:tplc="7C24169E">
      <w:start w:val="491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41A695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49A496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F42152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23E16F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332947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458B3F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BC826F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BE2FFA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4967EB4"/>
    <w:multiLevelType w:val="hybridMultilevel"/>
    <w:tmpl w:val="4C0CDD46"/>
    <w:lvl w:ilvl="0" w:tplc="72D48796">
      <w:start w:val="156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3DA3D0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BB8C32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6D2A67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F24240A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9031E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2EA325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D12EA1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53AE6C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5407F59"/>
    <w:multiLevelType w:val="hybridMultilevel"/>
    <w:tmpl w:val="7534DDAC"/>
    <w:lvl w:ilvl="0" w:tplc="9EC45F28">
      <w:start w:val="580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BC1DE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C0C71E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85C69D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416A0D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00431B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0523AF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C4CE8D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DA8F21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903342B"/>
    <w:multiLevelType w:val="hybridMultilevel"/>
    <w:tmpl w:val="491C0386"/>
    <w:lvl w:ilvl="0" w:tplc="708C2F4A">
      <w:start w:val="241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0D6276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63C52A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BCD5E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3FE77D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CC2327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60E12B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52C2F92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588D22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AF313A9"/>
    <w:multiLevelType w:val="hybridMultilevel"/>
    <w:tmpl w:val="D8C4851E"/>
    <w:lvl w:ilvl="0" w:tplc="35CC59A4">
      <w:start w:val="277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1A20E0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494126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842C68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3F6179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E2205E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DC02E7C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4D2527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D14A51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C812480"/>
    <w:multiLevelType w:val="hybridMultilevel"/>
    <w:tmpl w:val="06A6484A"/>
    <w:lvl w:ilvl="0" w:tplc="CD4200F6">
      <w:start w:val="78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D18D7A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2AAC22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A94A5B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5B41B6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6B2343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1E27E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8709BB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692C5C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E5564D5"/>
    <w:multiLevelType w:val="hybridMultilevel"/>
    <w:tmpl w:val="07A0F9A2"/>
    <w:lvl w:ilvl="0" w:tplc="82E888E0">
      <w:start w:val="136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D1C0A2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F86A91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3EC111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C9E7E0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6E4CEF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8F80D0C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640B3B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79E6AA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F8B4512"/>
    <w:multiLevelType w:val="hybridMultilevel"/>
    <w:tmpl w:val="0672C014"/>
    <w:lvl w:ilvl="0" w:tplc="601C66B8">
      <w:start w:val="182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65CEB3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F4C1D6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E64150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0A8634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A746CF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8642F7C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728703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C06864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00D5650"/>
    <w:multiLevelType w:val="hybridMultilevel"/>
    <w:tmpl w:val="F6941CD6"/>
    <w:lvl w:ilvl="0" w:tplc="C2028250">
      <w:start w:val="1"/>
      <w:numFmt w:val="decimal"/>
      <w:lvlText w:val="%1"/>
      <w:lvlJc w:val="left"/>
      <w:pPr>
        <w:ind w:left="4605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594F5D6">
      <w:start w:val="1"/>
      <w:numFmt w:val="lowerLetter"/>
      <w:lvlText w:val="%2"/>
      <w:lvlJc w:val="left"/>
      <w:pPr>
        <w:ind w:left="118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EEA9648">
      <w:start w:val="1"/>
      <w:numFmt w:val="lowerRoman"/>
      <w:lvlText w:val="%3"/>
      <w:lvlJc w:val="left"/>
      <w:pPr>
        <w:ind w:left="190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13C7220">
      <w:start w:val="1"/>
      <w:numFmt w:val="decimal"/>
      <w:lvlText w:val="%4"/>
      <w:lvlJc w:val="left"/>
      <w:pPr>
        <w:ind w:left="262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136A584">
      <w:start w:val="1"/>
      <w:numFmt w:val="lowerLetter"/>
      <w:lvlText w:val="%5"/>
      <w:lvlJc w:val="left"/>
      <w:pPr>
        <w:ind w:left="334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4A80C74">
      <w:start w:val="1"/>
      <w:numFmt w:val="lowerRoman"/>
      <w:lvlText w:val="%6"/>
      <w:lvlJc w:val="left"/>
      <w:pPr>
        <w:ind w:left="406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3DAA9AC">
      <w:start w:val="1"/>
      <w:numFmt w:val="decimal"/>
      <w:lvlText w:val="%7"/>
      <w:lvlJc w:val="left"/>
      <w:pPr>
        <w:ind w:left="478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1D6A4C2">
      <w:start w:val="1"/>
      <w:numFmt w:val="lowerLetter"/>
      <w:lvlText w:val="%8"/>
      <w:lvlJc w:val="left"/>
      <w:pPr>
        <w:ind w:left="550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2765F5C">
      <w:start w:val="1"/>
      <w:numFmt w:val="lowerRoman"/>
      <w:lvlText w:val="%9"/>
      <w:lvlJc w:val="left"/>
      <w:pPr>
        <w:ind w:left="622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0504C55"/>
    <w:multiLevelType w:val="hybridMultilevel"/>
    <w:tmpl w:val="4B985882"/>
    <w:lvl w:ilvl="0" w:tplc="0CDEFBC4">
      <w:start w:val="522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0EECD3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F96D3C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90A7A7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BB2B02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F0699A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6B6850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94C4D2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DA84BD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1223B27"/>
    <w:multiLevelType w:val="hybridMultilevel"/>
    <w:tmpl w:val="F2FE9060"/>
    <w:lvl w:ilvl="0" w:tplc="357AD18E">
      <w:start w:val="122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19A56F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2D85EF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A8E86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1B4627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A780F6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A8AF552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02481F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9CC868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1F7432C"/>
    <w:multiLevelType w:val="hybridMultilevel"/>
    <w:tmpl w:val="4C109AFC"/>
    <w:lvl w:ilvl="0" w:tplc="45D8E7B6">
      <w:start w:val="326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7CC894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1C2C96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690A16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BF085BA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0F234FA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83A16B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CCC8CD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E18AD6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37C0239"/>
    <w:multiLevelType w:val="hybridMultilevel"/>
    <w:tmpl w:val="F326BFE0"/>
    <w:lvl w:ilvl="0" w:tplc="A70853D0">
      <w:start w:val="536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622F27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67C465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9D8FB52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5EF05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7A0ADCA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0045B42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D9AF99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4060E7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6F421FF"/>
    <w:multiLevelType w:val="hybridMultilevel"/>
    <w:tmpl w:val="DDB04654"/>
    <w:lvl w:ilvl="0" w:tplc="62920404">
      <w:start w:val="224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762B52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1383CAA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7A2A54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7C4DB8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7F6B86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AE2D17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9285D5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10E975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70E7B96"/>
    <w:multiLevelType w:val="hybridMultilevel"/>
    <w:tmpl w:val="09740788"/>
    <w:lvl w:ilvl="0" w:tplc="58C85332">
      <w:start w:val="49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4B4A23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ABC03C4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4DE413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D80D7D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5EE5FB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F66E98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0DE65C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C7AA20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7D13E36"/>
    <w:multiLevelType w:val="hybridMultilevel"/>
    <w:tmpl w:val="DBC24E9C"/>
    <w:lvl w:ilvl="0" w:tplc="33E2DE42">
      <w:start w:val="234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416D01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94689C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6C2FB4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9EE001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F7003C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59698A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B58579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3A026E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D5C6CC9"/>
    <w:multiLevelType w:val="hybridMultilevel"/>
    <w:tmpl w:val="2DB25922"/>
    <w:lvl w:ilvl="0" w:tplc="036EEA9C">
      <w:start w:val="217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5E0720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2CAF15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F22AE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356FC1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4948B7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DC8D63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8C92E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A48117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FB152DB"/>
    <w:multiLevelType w:val="hybridMultilevel"/>
    <w:tmpl w:val="BAD618B4"/>
    <w:lvl w:ilvl="0" w:tplc="FF4A73DE">
      <w:start w:val="546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5F8150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4C2050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BD2C6C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6084D7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F868BC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A001B6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FB24E7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F9677E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0502300"/>
    <w:multiLevelType w:val="hybridMultilevel"/>
    <w:tmpl w:val="E6644E08"/>
    <w:lvl w:ilvl="0" w:tplc="F72CE3F4">
      <w:start w:val="502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840120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67E622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26A19B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3FA078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E7A00C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5480CE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300FE6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9C2B9D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65228C6"/>
    <w:multiLevelType w:val="hybridMultilevel"/>
    <w:tmpl w:val="F04A0C76"/>
    <w:lvl w:ilvl="0" w:tplc="78528832">
      <w:start w:val="626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20CE80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314476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1A8FC8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C3C5AF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8EAF29A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9A0E37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1AE89C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D240A3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6F337F5"/>
    <w:multiLevelType w:val="hybridMultilevel"/>
    <w:tmpl w:val="E39672AC"/>
    <w:lvl w:ilvl="0" w:tplc="91C6BB42">
      <w:start w:val="266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132D85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80EE9B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8FEF06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A86B5B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D0CEAB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DE2060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41C6F3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2F0E6D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8D51478"/>
    <w:multiLevelType w:val="hybridMultilevel"/>
    <w:tmpl w:val="EFE606EC"/>
    <w:lvl w:ilvl="0" w:tplc="CF4E649C">
      <w:start w:val="562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898C43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636383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9AA021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B3469A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600113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622E37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B2224C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786D24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8E159BE"/>
    <w:multiLevelType w:val="hybridMultilevel"/>
    <w:tmpl w:val="2FA42354"/>
    <w:lvl w:ilvl="0" w:tplc="D3365646">
      <w:start w:val="644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962DC2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FF4337A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C141102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20A1E6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19651B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D4423A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D1E33B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0C0107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A951E81"/>
    <w:multiLevelType w:val="hybridMultilevel"/>
    <w:tmpl w:val="D5465852"/>
    <w:lvl w:ilvl="0" w:tplc="A2AC31CE">
      <w:start w:val="542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2B049D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D0A9C4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910F1F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7100AE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9BE63D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7B243B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50014F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EBC272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B75329F"/>
    <w:multiLevelType w:val="hybridMultilevel"/>
    <w:tmpl w:val="6F1E30F6"/>
    <w:lvl w:ilvl="0" w:tplc="D0BC50DA">
      <w:start w:val="332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C52A26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DF6034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400F96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A1AC3D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ECE165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DA8B2E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142D1E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5FEAC7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E43528A"/>
    <w:multiLevelType w:val="hybridMultilevel"/>
    <w:tmpl w:val="75D027C0"/>
    <w:lvl w:ilvl="0" w:tplc="766EBDCA">
      <w:start w:val="283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EF6648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D9C0B2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508AEE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9FC96B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F74C02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5CBFB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D5E849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AEC948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F55591F"/>
    <w:multiLevelType w:val="hybridMultilevel"/>
    <w:tmpl w:val="82F44FFE"/>
    <w:lvl w:ilvl="0" w:tplc="1DF81C74">
      <w:start w:val="153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2BE52F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BE0EB6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378BA3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58F6E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74E3F0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C4F2C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AF0DFC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998425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2876899"/>
    <w:multiLevelType w:val="hybridMultilevel"/>
    <w:tmpl w:val="F8847E1C"/>
    <w:lvl w:ilvl="0" w:tplc="965266B2">
      <w:start w:val="452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99C8EA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03492C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03ED03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7EE2E9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70ACA5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4CA0C1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D848AA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A18A0D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2C70A16"/>
    <w:multiLevelType w:val="hybridMultilevel"/>
    <w:tmpl w:val="516AB0A2"/>
    <w:lvl w:ilvl="0" w:tplc="CB121FA6">
      <w:start w:val="611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D9A9C3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FF8AF4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CB64A9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626661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83831AA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1A4A98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1A8913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994EAD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37F2F8B"/>
    <w:multiLevelType w:val="hybridMultilevel"/>
    <w:tmpl w:val="4588C896"/>
    <w:lvl w:ilvl="0" w:tplc="D5C6A1C6">
      <w:start w:val="211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740782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418789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6FC40A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37C7A1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6E0F46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C7844B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6B8ACC2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57ADF7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38B5DAA"/>
    <w:multiLevelType w:val="hybridMultilevel"/>
    <w:tmpl w:val="1B8637B4"/>
    <w:lvl w:ilvl="0" w:tplc="808043CC">
      <w:start w:val="255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E40E78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B4E75D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DA6D98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29EAA6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14CFCD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AB6F52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218365C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F3EF46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7BE7EF2"/>
    <w:multiLevelType w:val="hybridMultilevel"/>
    <w:tmpl w:val="CE90EBDA"/>
    <w:lvl w:ilvl="0" w:tplc="9240288E">
      <w:start w:val="178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6A28D1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64CDA3A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A0CEA9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46026B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870586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8B6147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FD41C4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8F81B2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9963F1E"/>
    <w:multiLevelType w:val="hybridMultilevel"/>
    <w:tmpl w:val="633A346C"/>
    <w:lvl w:ilvl="0" w:tplc="60A2BAF6">
      <w:start w:val="658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52424B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10E3AE4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E14CAE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21A202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8006BF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6FA788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5F4F43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FB8D53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67A84"/>
    <w:multiLevelType w:val="hybridMultilevel"/>
    <w:tmpl w:val="D570AC0C"/>
    <w:lvl w:ilvl="0" w:tplc="FA065924">
      <w:start w:val="289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5EE9C6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7BC086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0DCF5A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898745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7B0D89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8CA13E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87E100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F189A0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C7D16CD"/>
    <w:multiLevelType w:val="hybridMultilevel"/>
    <w:tmpl w:val="C5BAF52A"/>
    <w:lvl w:ilvl="0" w:tplc="EE0E1126">
      <w:start w:val="464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624CA6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4B4BE8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1C0188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94A57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11AE32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B70D9F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B28576C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144D57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CAE7919"/>
    <w:multiLevelType w:val="hybridMultilevel"/>
    <w:tmpl w:val="E9A85D22"/>
    <w:lvl w:ilvl="0" w:tplc="585E8372">
      <w:start w:val="459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7429AA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AC4226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53231D2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06AB9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2AA127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AB813D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1F64EC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BBC37B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0674C28"/>
    <w:multiLevelType w:val="hybridMultilevel"/>
    <w:tmpl w:val="DBDAB6AC"/>
    <w:lvl w:ilvl="0" w:tplc="85DA66CA">
      <w:start w:val="533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A9E72A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77A9EB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DB408D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296161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58EE9E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81E8C5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2C691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8CAC44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43D7E0C"/>
    <w:multiLevelType w:val="hybridMultilevel"/>
    <w:tmpl w:val="C36C8E4A"/>
    <w:lvl w:ilvl="0" w:tplc="1FD0F57C">
      <w:start w:val="68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16C8B8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85AE064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FFA381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590340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5F8B13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4C460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B54A62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8C2308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5F276F6"/>
    <w:multiLevelType w:val="hybridMultilevel"/>
    <w:tmpl w:val="FC26FD44"/>
    <w:lvl w:ilvl="0" w:tplc="A3AEE23E">
      <w:start w:val="296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73EFEC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C24F16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F42368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29408E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D04DF8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F822FF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402E422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D7EB97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6EC56CB"/>
    <w:multiLevelType w:val="hybridMultilevel"/>
    <w:tmpl w:val="DBA61F1A"/>
    <w:lvl w:ilvl="0" w:tplc="84A0881E">
      <w:start w:val="35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5AED83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7A003A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8F0DB0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D78E51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0EC59F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88C5E8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92A98B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B963EE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70776B5"/>
    <w:multiLevelType w:val="hybridMultilevel"/>
    <w:tmpl w:val="83CA8190"/>
    <w:lvl w:ilvl="0" w:tplc="F3BC050A">
      <w:start w:val="310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7921E2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59EA48A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D142CC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19AA5A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264C8A2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84A741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598DBA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BA45AB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7F9370F"/>
    <w:multiLevelType w:val="hybridMultilevel"/>
    <w:tmpl w:val="D2FCA8B8"/>
    <w:lvl w:ilvl="0" w:tplc="36387C32">
      <w:start w:val="163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AA0B66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D40BD34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A80EFA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7E2509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BAE09D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E32529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638E4A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388E1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A3A3D5C"/>
    <w:multiLevelType w:val="hybridMultilevel"/>
    <w:tmpl w:val="7534F0C8"/>
    <w:lvl w:ilvl="0" w:tplc="C42454DC">
      <w:start w:val="319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ABE173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5BC363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94F1A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27C099A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D604FAA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7E4847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2C826A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03C948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A99782B"/>
    <w:multiLevelType w:val="hybridMultilevel"/>
    <w:tmpl w:val="C576E678"/>
    <w:lvl w:ilvl="0" w:tplc="11BEFD76">
      <w:start w:val="246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142371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B14F90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D42C26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08CE0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A54B262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D7EA62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30136C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E282EB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BFC2674"/>
    <w:multiLevelType w:val="hybridMultilevel"/>
    <w:tmpl w:val="AEF46BD8"/>
    <w:lvl w:ilvl="0" w:tplc="ABD217A8">
      <w:start w:val="477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CE2688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2D48C4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6B08342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F10075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8CEC0F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A48D76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9E8BCD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C20307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D0715F8"/>
    <w:multiLevelType w:val="hybridMultilevel"/>
    <w:tmpl w:val="1018CFDC"/>
    <w:lvl w:ilvl="0" w:tplc="DB7A79A2">
      <w:start w:val="38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5F6558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F2E90F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C9CD55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48055A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50073F2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ED890B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7EEFAD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C16C242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0137E4C"/>
    <w:multiLevelType w:val="hybridMultilevel"/>
    <w:tmpl w:val="0C42B970"/>
    <w:lvl w:ilvl="0" w:tplc="83B2B5E2">
      <w:start w:val="262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AA80FF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566B79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B449E6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EEEFA7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7643D5A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F86CDC2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97023F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0A84C6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0643538"/>
    <w:multiLevelType w:val="hybridMultilevel"/>
    <w:tmpl w:val="CE7E57F8"/>
    <w:lvl w:ilvl="0" w:tplc="3C8AE04A">
      <w:start w:val="108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AD6F6C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E46C5B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EDE27A2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AB8D94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64E17D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AF68DE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1017FE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B72766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07005A7"/>
    <w:multiLevelType w:val="hybridMultilevel"/>
    <w:tmpl w:val="ED62841E"/>
    <w:lvl w:ilvl="0" w:tplc="DAD0ED74">
      <w:start w:val="10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F949FB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C04D7E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4C87E0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2F0C70A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E0EB99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D38206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FE8B29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D16B87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2BE585A"/>
    <w:multiLevelType w:val="hybridMultilevel"/>
    <w:tmpl w:val="6C4ADA86"/>
    <w:lvl w:ilvl="0" w:tplc="C9148B8E">
      <w:start w:val="570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A027F4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73A93F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EDEB99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B5CD85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ECEDCB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D4A84A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7027DE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8F03BD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2F64266"/>
    <w:multiLevelType w:val="hybridMultilevel"/>
    <w:tmpl w:val="0F8E3A86"/>
    <w:lvl w:ilvl="0" w:tplc="98E8928C">
      <w:start w:val="446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FDCE29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DA0C5C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88C2EE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56C36E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282A63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AE63B4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9BC96E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2046DB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5AF2AD1"/>
    <w:multiLevelType w:val="hybridMultilevel"/>
    <w:tmpl w:val="A29CE338"/>
    <w:lvl w:ilvl="0" w:tplc="970AD406">
      <w:start w:val="482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318CF8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85CCED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418861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1BC19D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43C6ED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4B218A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DA48E2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2F2592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74933AE"/>
    <w:multiLevelType w:val="hybridMultilevel"/>
    <w:tmpl w:val="C338ACA8"/>
    <w:lvl w:ilvl="0" w:tplc="1CF8A18A">
      <w:start w:val="412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B143C4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902B77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ABE5226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91A8C1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BA627D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27E0C8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388B7A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C821B2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7B84B23"/>
    <w:multiLevelType w:val="hybridMultilevel"/>
    <w:tmpl w:val="6BE47D2A"/>
    <w:lvl w:ilvl="0" w:tplc="31586610">
      <w:start w:val="585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F66FBF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876F44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0569C3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6E48A5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04058C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640A5B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F0204D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FFA0A5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7D761B3"/>
    <w:multiLevelType w:val="hybridMultilevel"/>
    <w:tmpl w:val="C910F31C"/>
    <w:lvl w:ilvl="0" w:tplc="3B4080CC">
      <w:start w:val="593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19A32F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4A057B4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156621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828515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D22B392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C6C6F3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1B8C8B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3A2875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A5516E3"/>
    <w:multiLevelType w:val="hybridMultilevel"/>
    <w:tmpl w:val="93C8CC2E"/>
    <w:lvl w:ilvl="0" w:tplc="803601C2">
      <w:start w:val="424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FC0A55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24CC45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F6C8B1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73A8CEA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E6EA63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EC4AF3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1DA492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0B6613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DF81FC8"/>
    <w:multiLevelType w:val="hybridMultilevel"/>
    <w:tmpl w:val="F3A6D120"/>
    <w:lvl w:ilvl="0" w:tplc="79B6CAEA">
      <w:start w:val="549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07254C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F92EC3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DF00B8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8BA8D6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7A6994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1AE507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2D8D09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5F41F0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E405B99"/>
    <w:multiLevelType w:val="hybridMultilevel"/>
    <w:tmpl w:val="82021B4A"/>
    <w:lvl w:ilvl="0" w:tplc="2CFAD6A8">
      <w:start w:val="90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13C8A7E">
      <w:start w:val="1"/>
      <w:numFmt w:val="lowerLetter"/>
      <w:lvlText w:val="%2"/>
      <w:lvlJc w:val="left"/>
      <w:pPr>
        <w:ind w:left="118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6309B22">
      <w:start w:val="1"/>
      <w:numFmt w:val="lowerRoman"/>
      <w:lvlText w:val="%3"/>
      <w:lvlJc w:val="left"/>
      <w:pPr>
        <w:ind w:left="190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0EEFE22">
      <w:start w:val="1"/>
      <w:numFmt w:val="decimal"/>
      <w:lvlText w:val="%4"/>
      <w:lvlJc w:val="left"/>
      <w:pPr>
        <w:ind w:left="262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BE8C49C">
      <w:start w:val="1"/>
      <w:numFmt w:val="lowerLetter"/>
      <w:lvlText w:val="%5"/>
      <w:lvlJc w:val="left"/>
      <w:pPr>
        <w:ind w:left="334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758ACE4">
      <w:start w:val="1"/>
      <w:numFmt w:val="lowerRoman"/>
      <w:lvlText w:val="%6"/>
      <w:lvlJc w:val="left"/>
      <w:pPr>
        <w:ind w:left="406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342BEB6">
      <w:start w:val="1"/>
      <w:numFmt w:val="decimal"/>
      <w:lvlText w:val="%7"/>
      <w:lvlJc w:val="left"/>
      <w:pPr>
        <w:ind w:left="478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15808C0">
      <w:start w:val="1"/>
      <w:numFmt w:val="lowerLetter"/>
      <w:lvlText w:val="%8"/>
      <w:lvlJc w:val="left"/>
      <w:pPr>
        <w:ind w:left="550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57E03BE">
      <w:start w:val="1"/>
      <w:numFmt w:val="lowerRoman"/>
      <w:lvlText w:val="%9"/>
      <w:lvlJc w:val="left"/>
      <w:pPr>
        <w:ind w:left="6226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25C70FD"/>
    <w:multiLevelType w:val="hybridMultilevel"/>
    <w:tmpl w:val="C29EBB56"/>
    <w:lvl w:ilvl="0" w:tplc="6A56E66A">
      <w:start w:val="437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796D2E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8C05BD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F24C39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23CB36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C52E22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7D0799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978ADA2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FA6DC1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3234E77"/>
    <w:multiLevelType w:val="hybridMultilevel"/>
    <w:tmpl w:val="D8142010"/>
    <w:lvl w:ilvl="0" w:tplc="8D624A50">
      <w:start w:val="527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E3EFA1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916FDD8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D0EB42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48CA62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29649F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71E1BE8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1F40B6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C16404C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737F19C6"/>
    <w:multiLevelType w:val="hybridMultilevel"/>
    <w:tmpl w:val="C7DCB6D6"/>
    <w:lvl w:ilvl="0" w:tplc="CB3EA9A2">
      <w:start w:val="559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E2ABBF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2C2F84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D2ECDC2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B16F30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AEC9B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384AE32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896A4D2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BE69CB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49E2ADB"/>
    <w:multiLevelType w:val="hybridMultilevel"/>
    <w:tmpl w:val="B84273AA"/>
    <w:lvl w:ilvl="0" w:tplc="D0F03A1E">
      <w:start w:val="394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03844A8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82AEDC0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C2CA9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06E726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A6201C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C2601A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0B6A4CC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574FA8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4F8242C"/>
    <w:multiLevelType w:val="hybridMultilevel"/>
    <w:tmpl w:val="B5EA8AA4"/>
    <w:lvl w:ilvl="0" w:tplc="40182E36">
      <w:start w:val="443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FE21A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AD84EE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75665B4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608F8A2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282613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A54662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D581D64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4D23DE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5080037"/>
    <w:multiLevelType w:val="hybridMultilevel"/>
    <w:tmpl w:val="F37A22A8"/>
    <w:lvl w:ilvl="0" w:tplc="F72C1F78">
      <w:start w:val="629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FB45904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0C81C3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EFE472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F4E7A86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7B60EA6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F16B3F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FCE74E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378319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62549C7"/>
    <w:multiLevelType w:val="hybridMultilevel"/>
    <w:tmpl w:val="55B6ACC8"/>
    <w:lvl w:ilvl="0" w:tplc="25687202">
      <w:start w:val="98"/>
      <w:numFmt w:val="decimal"/>
      <w:lvlText w:val="%1"/>
      <w:lvlJc w:val="left"/>
      <w:pPr>
        <w:ind w:left="783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48247F4">
      <w:start w:val="1"/>
      <w:numFmt w:val="lowerLetter"/>
      <w:lvlText w:val="%2"/>
      <w:lvlJc w:val="left"/>
      <w:pPr>
        <w:ind w:left="110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570EBB8">
      <w:start w:val="1"/>
      <w:numFmt w:val="lowerRoman"/>
      <w:lvlText w:val="%3"/>
      <w:lvlJc w:val="left"/>
      <w:pPr>
        <w:ind w:left="182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54621B2">
      <w:start w:val="1"/>
      <w:numFmt w:val="decimal"/>
      <w:lvlText w:val="%4"/>
      <w:lvlJc w:val="left"/>
      <w:pPr>
        <w:ind w:left="254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6803B6C">
      <w:start w:val="1"/>
      <w:numFmt w:val="lowerLetter"/>
      <w:lvlText w:val="%5"/>
      <w:lvlJc w:val="left"/>
      <w:pPr>
        <w:ind w:left="326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122372E">
      <w:start w:val="1"/>
      <w:numFmt w:val="lowerRoman"/>
      <w:lvlText w:val="%6"/>
      <w:lvlJc w:val="left"/>
      <w:pPr>
        <w:ind w:left="398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85CA54E">
      <w:start w:val="1"/>
      <w:numFmt w:val="decimal"/>
      <w:lvlText w:val="%7"/>
      <w:lvlJc w:val="left"/>
      <w:pPr>
        <w:ind w:left="470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53266DC">
      <w:start w:val="1"/>
      <w:numFmt w:val="lowerLetter"/>
      <w:lvlText w:val="%8"/>
      <w:lvlJc w:val="left"/>
      <w:pPr>
        <w:ind w:left="542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3826290">
      <w:start w:val="1"/>
      <w:numFmt w:val="lowerRoman"/>
      <w:lvlText w:val="%9"/>
      <w:lvlJc w:val="left"/>
      <w:pPr>
        <w:ind w:left="6144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8BD4B56"/>
    <w:multiLevelType w:val="hybridMultilevel"/>
    <w:tmpl w:val="E58A83CE"/>
    <w:lvl w:ilvl="0" w:tplc="E5709DBC">
      <w:start w:val="363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9D83EB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C4A929A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212D29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1E30B0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D322462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F12151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DEAD9E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D4A782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790E6EC3"/>
    <w:multiLevelType w:val="hybridMultilevel"/>
    <w:tmpl w:val="07D02536"/>
    <w:lvl w:ilvl="0" w:tplc="0096F3DE">
      <w:start w:val="1"/>
      <w:numFmt w:val="bullet"/>
      <w:lvlText w:val=""/>
      <w:lvlJc w:val="left"/>
      <w:pPr>
        <w:ind w:left="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9ECC38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D2427E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A025E4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FD6D55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9BC7BD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776D59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8B2B4B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424CBD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9C13AF9"/>
    <w:multiLevelType w:val="hybridMultilevel"/>
    <w:tmpl w:val="69DA33A4"/>
    <w:lvl w:ilvl="0" w:tplc="A8B0DDCC">
      <w:start w:val="384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E76A7F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67C42E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90AA67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45406F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8CE9260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1A0677C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B001360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9625DD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A8F1EF7"/>
    <w:multiLevelType w:val="hybridMultilevel"/>
    <w:tmpl w:val="5D4EE048"/>
    <w:lvl w:ilvl="0" w:tplc="D8B66F60">
      <w:start w:val="200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7CAA31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6067ED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268B80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462EAF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DFEF4A8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10A0314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EBA354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AB0C24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BDB581F"/>
    <w:multiLevelType w:val="hybridMultilevel"/>
    <w:tmpl w:val="B5702CDA"/>
    <w:lvl w:ilvl="0" w:tplc="1DF20DAC">
      <w:start w:val="46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006CC0E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B3C988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C1C73F0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6F8246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36A070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32CF95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A8A7282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ABE8C06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C5C215A"/>
    <w:multiLevelType w:val="hybridMultilevel"/>
    <w:tmpl w:val="8410F54A"/>
    <w:lvl w:ilvl="0" w:tplc="DD548888">
      <w:start w:val="344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CCA3BD6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9CAEAB6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FB00F38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226322E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A9A1B8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B4EC946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94E075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C8A0D64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D7F3698"/>
    <w:multiLevelType w:val="hybridMultilevel"/>
    <w:tmpl w:val="30B61C1C"/>
    <w:lvl w:ilvl="0" w:tplc="E4B2096C">
      <w:start w:val="473"/>
      <w:numFmt w:val="decimal"/>
      <w:lvlText w:val="%1"/>
      <w:lvlJc w:val="left"/>
      <w:pPr>
        <w:ind w:left="109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298E28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70EA43E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814454A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412614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5F8469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E7055CC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030862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C3230E8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7E111D98"/>
    <w:multiLevelType w:val="hybridMultilevel"/>
    <w:tmpl w:val="17F4644C"/>
    <w:lvl w:ilvl="0" w:tplc="2F728540">
      <w:start w:val="421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EE0CE60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6D87D52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2641F2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36E7C0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576D882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D6E83E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A8ADA7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F3C0DBA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F7F6EF2"/>
    <w:multiLevelType w:val="hybridMultilevel"/>
    <w:tmpl w:val="FC422A7C"/>
    <w:lvl w:ilvl="0" w:tplc="3ADEACAA">
      <w:start w:val="131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EA0500A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12CA68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8EC4C4C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B669EC8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0E4EE44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794392A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29AF798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0A46F6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7F9961A3"/>
    <w:multiLevelType w:val="hybridMultilevel"/>
    <w:tmpl w:val="F8046556"/>
    <w:lvl w:ilvl="0" w:tplc="25404B4E">
      <w:start w:val="144"/>
      <w:numFmt w:val="decimal"/>
      <w:lvlText w:val="%1"/>
      <w:lvlJc w:val="left"/>
      <w:pPr>
        <w:ind w:left="67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688F6BC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0769304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66090C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8029B24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6A157C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EBA5CBE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B4A2CAA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E525140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7FDE3594"/>
    <w:multiLevelType w:val="hybridMultilevel"/>
    <w:tmpl w:val="42865F2C"/>
    <w:lvl w:ilvl="0" w:tplc="7EC0FF18">
      <w:start w:val="113"/>
      <w:numFmt w:val="decimal"/>
      <w:lvlText w:val="%1"/>
      <w:lvlJc w:val="left"/>
      <w:pPr>
        <w:ind w:left="889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8268FB2">
      <w:start w:val="1"/>
      <w:numFmt w:val="lowerLetter"/>
      <w:lvlText w:val="%2"/>
      <w:lvlJc w:val="left"/>
      <w:pPr>
        <w:ind w:left="10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508F8CC">
      <w:start w:val="1"/>
      <w:numFmt w:val="lowerRoman"/>
      <w:lvlText w:val="%3"/>
      <w:lvlJc w:val="left"/>
      <w:pPr>
        <w:ind w:left="18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11C25DE">
      <w:start w:val="1"/>
      <w:numFmt w:val="decimal"/>
      <w:lvlText w:val="%4"/>
      <w:lvlJc w:val="left"/>
      <w:pPr>
        <w:ind w:left="25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0D28BDC">
      <w:start w:val="1"/>
      <w:numFmt w:val="lowerLetter"/>
      <w:lvlText w:val="%5"/>
      <w:lvlJc w:val="left"/>
      <w:pPr>
        <w:ind w:left="32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382636E">
      <w:start w:val="1"/>
      <w:numFmt w:val="lowerRoman"/>
      <w:lvlText w:val="%6"/>
      <w:lvlJc w:val="left"/>
      <w:pPr>
        <w:ind w:left="39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7A6D4E0">
      <w:start w:val="1"/>
      <w:numFmt w:val="decimal"/>
      <w:lvlText w:val="%7"/>
      <w:lvlJc w:val="left"/>
      <w:pPr>
        <w:ind w:left="46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E0E3136">
      <w:start w:val="1"/>
      <w:numFmt w:val="lowerLetter"/>
      <w:lvlText w:val="%8"/>
      <w:lvlJc w:val="left"/>
      <w:pPr>
        <w:ind w:left="54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864B75E">
      <w:start w:val="1"/>
      <w:numFmt w:val="lowerRoman"/>
      <w:lvlText w:val="%9"/>
      <w:lvlJc w:val="left"/>
      <w:pPr>
        <w:ind w:left="61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5"/>
  </w:num>
  <w:num w:numId="2">
    <w:abstractNumId w:val="17"/>
  </w:num>
  <w:num w:numId="3">
    <w:abstractNumId w:val="57"/>
  </w:num>
  <w:num w:numId="4">
    <w:abstractNumId w:val="48"/>
  </w:num>
  <w:num w:numId="5">
    <w:abstractNumId w:val="54"/>
  </w:num>
  <w:num w:numId="6">
    <w:abstractNumId w:val="78"/>
  </w:num>
  <w:num w:numId="7">
    <w:abstractNumId w:val="23"/>
  </w:num>
  <w:num w:numId="8">
    <w:abstractNumId w:val="46"/>
  </w:num>
  <w:num w:numId="9">
    <w:abstractNumId w:val="14"/>
  </w:num>
  <w:num w:numId="10">
    <w:abstractNumId w:val="66"/>
  </w:num>
  <w:num w:numId="11">
    <w:abstractNumId w:val="73"/>
  </w:num>
  <w:num w:numId="12">
    <w:abstractNumId w:val="56"/>
  </w:num>
  <w:num w:numId="13">
    <w:abstractNumId w:val="84"/>
  </w:num>
  <w:num w:numId="14">
    <w:abstractNumId w:val="19"/>
  </w:num>
  <w:num w:numId="15">
    <w:abstractNumId w:val="82"/>
  </w:num>
  <w:num w:numId="16">
    <w:abstractNumId w:val="15"/>
  </w:num>
  <w:num w:numId="17">
    <w:abstractNumId w:val="83"/>
  </w:num>
  <w:num w:numId="18">
    <w:abstractNumId w:val="35"/>
  </w:num>
  <w:num w:numId="19">
    <w:abstractNumId w:val="10"/>
  </w:num>
  <w:num w:numId="20">
    <w:abstractNumId w:val="50"/>
  </w:num>
  <w:num w:numId="21">
    <w:abstractNumId w:val="40"/>
  </w:num>
  <w:num w:numId="22">
    <w:abstractNumId w:val="16"/>
  </w:num>
  <w:num w:numId="23">
    <w:abstractNumId w:val="0"/>
  </w:num>
  <w:num w:numId="24">
    <w:abstractNumId w:val="77"/>
  </w:num>
  <w:num w:numId="25">
    <w:abstractNumId w:val="38"/>
  </w:num>
  <w:num w:numId="26">
    <w:abstractNumId w:val="25"/>
  </w:num>
  <w:num w:numId="27">
    <w:abstractNumId w:val="22"/>
  </w:num>
  <w:num w:numId="28">
    <w:abstractNumId w:val="24"/>
  </w:num>
  <w:num w:numId="29">
    <w:abstractNumId w:val="12"/>
  </w:num>
  <w:num w:numId="30">
    <w:abstractNumId w:val="52"/>
  </w:num>
  <w:num w:numId="31">
    <w:abstractNumId w:val="39"/>
  </w:num>
  <w:num w:numId="32">
    <w:abstractNumId w:val="55"/>
  </w:num>
  <w:num w:numId="33">
    <w:abstractNumId w:val="29"/>
  </w:num>
  <w:num w:numId="34">
    <w:abstractNumId w:val="2"/>
  </w:num>
  <w:num w:numId="35">
    <w:abstractNumId w:val="13"/>
  </w:num>
  <w:num w:numId="36">
    <w:abstractNumId w:val="34"/>
  </w:num>
  <w:num w:numId="37">
    <w:abstractNumId w:val="42"/>
  </w:num>
  <w:num w:numId="38">
    <w:abstractNumId w:val="47"/>
  </w:num>
  <w:num w:numId="39">
    <w:abstractNumId w:val="3"/>
  </w:num>
  <w:num w:numId="40">
    <w:abstractNumId w:val="49"/>
  </w:num>
  <w:num w:numId="41">
    <w:abstractNumId w:val="51"/>
  </w:num>
  <w:num w:numId="42">
    <w:abstractNumId w:val="20"/>
  </w:num>
  <w:num w:numId="43">
    <w:abstractNumId w:val="33"/>
  </w:num>
  <w:num w:numId="44">
    <w:abstractNumId w:val="79"/>
  </w:num>
  <w:num w:numId="45">
    <w:abstractNumId w:val="5"/>
  </w:num>
  <w:num w:numId="46">
    <w:abstractNumId w:val="74"/>
  </w:num>
  <w:num w:numId="47">
    <w:abstractNumId w:val="76"/>
  </w:num>
  <w:num w:numId="48">
    <w:abstractNumId w:val="70"/>
  </w:num>
  <w:num w:numId="49">
    <w:abstractNumId w:val="1"/>
  </w:num>
  <w:num w:numId="50">
    <w:abstractNumId w:val="61"/>
  </w:num>
  <w:num w:numId="51">
    <w:abstractNumId w:val="81"/>
  </w:num>
  <w:num w:numId="52">
    <w:abstractNumId w:val="64"/>
  </w:num>
  <w:num w:numId="53">
    <w:abstractNumId w:val="7"/>
  </w:num>
  <w:num w:numId="54">
    <w:abstractNumId w:val="67"/>
  </w:num>
  <w:num w:numId="55">
    <w:abstractNumId w:val="71"/>
  </w:num>
  <w:num w:numId="56">
    <w:abstractNumId w:val="59"/>
  </w:num>
  <w:num w:numId="57">
    <w:abstractNumId w:val="36"/>
  </w:num>
  <w:num w:numId="58">
    <w:abstractNumId w:val="44"/>
  </w:num>
  <w:num w:numId="59">
    <w:abstractNumId w:val="43"/>
  </w:num>
  <w:num w:numId="60">
    <w:abstractNumId w:val="80"/>
  </w:num>
  <w:num w:numId="61">
    <w:abstractNumId w:val="53"/>
  </w:num>
  <w:num w:numId="62">
    <w:abstractNumId w:val="60"/>
  </w:num>
  <w:num w:numId="63">
    <w:abstractNumId w:val="9"/>
  </w:num>
  <w:num w:numId="64">
    <w:abstractNumId w:val="6"/>
  </w:num>
  <w:num w:numId="65">
    <w:abstractNumId w:val="27"/>
  </w:num>
  <w:num w:numId="66">
    <w:abstractNumId w:val="18"/>
  </w:num>
  <w:num w:numId="67">
    <w:abstractNumId w:val="68"/>
  </w:num>
  <w:num w:numId="68">
    <w:abstractNumId w:val="8"/>
  </w:num>
  <w:num w:numId="69">
    <w:abstractNumId w:val="45"/>
  </w:num>
  <w:num w:numId="70">
    <w:abstractNumId w:val="21"/>
  </w:num>
  <w:num w:numId="71">
    <w:abstractNumId w:val="32"/>
  </w:num>
  <w:num w:numId="72">
    <w:abstractNumId w:val="26"/>
  </w:num>
  <w:num w:numId="73">
    <w:abstractNumId w:val="65"/>
  </w:num>
  <w:num w:numId="74">
    <w:abstractNumId w:val="69"/>
  </w:num>
  <w:num w:numId="75">
    <w:abstractNumId w:val="30"/>
  </w:num>
  <w:num w:numId="76">
    <w:abstractNumId w:val="58"/>
  </w:num>
  <w:num w:numId="77">
    <w:abstractNumId w:val="11"/>
  </w:num>
  <w:num w:numId="78">
    <w:abstractNumId w:val="62"/>
  </w:num>
  <w:num w:numId="79">
    <w:abstractNumId w:val="63"/>
  </w:num>
  <w:num w:numId="80">
    <w:abstractNumId w:val="37"/>
  </w:num>
  <w:num w:numId="81">
    <w:abstractNumId w:val="28"/>
  </w:num>
  <w:num w:numId="82">
    <w:abstractNumId w:val="72"/>
  </w:num>
  <w:num w:numId="83">
    <w:abstractNumId w:val="31"/>
  </w:num>
  <w:num w:numId="84">
    <w:abstractNumId w:val="41"/>
  </w:num>
  <w:num w:numId="85">
    <w:abstractNumId w:val="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FF4"/>
    <w:rsid w:val="00420980"/>
    <w:rsid w:val="00A34FF4"/>
    <w:rsid w:val="00DD3D08"/>
    <w:rsid w:val="00F8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AA938"/>
  <w15:docId w15:val="{4C72719B-0E0A-4345-B6F3-B8923FC2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74" w:line="265" w:lineRule="auto"/>
      <w:ind w:left="116" w:hanging="10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78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2.png"/><Relationship Id="rId109" Type="http://schemas.openxmlformats.org/officeDocument/2006/relationships/image" Target="media/image17.png"/><Relationship Id="rId117" Type="http://schemas.openxmlformats.org/officeDocument/2006/relationships/image" Target="media/image19.png"/><Relationship Id="rId21" Type="http://schemas.openxmlformats.org/officeDocument/2006/relationships/header" Target="header8.xml"/><Relationship Id="rId76" Type="http://schemas.openxmlformats.org/officeDocument/2006/relationships/image" Target="media/image30.png"/><Relationship Id="rId97" Type="http://schemas.openxmlformats.org/officeDocument/2006/relationships/image" Target="media/image11.png"/><Relationship Id="rId104" Type="http://schemas.openxmlformats.org/officeDocument/2006/relationships/image" Target="media/image12.png"/><Relationship Id="rId112" Type="http://schemas.openxmlformats.org/officeDocument/2006/relationships/header" Target="header14.xml"/><Relationship Id="rId120" Type="http://schemas.openxmlformats.org/officeDocument/2006/relationships/image" Target="media/image2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5.png"/><Relationship Id="rId107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74" Type="http://schemas.openxmlformats.org/officeDocument/2006/relationships/image" Target="media/image110.png"/><Relationship Id="rId79" Type="http://schemas.openxmlformats.org/officeDocument/2006/relationships/image" Target="media/image7.png"/><Relationship Id="rId102" Type="http://schemas.openxmlformats.org/officeDocument/2006/relationships/header" Target="header12.xml"/><Relationship Id="rId110" Type="http://schemas.openxmlformats.org/officeDocument/2006/relationships/image" Target="media/image18.png"/><Relationship Id="rId115" Type="http://schemas.openxmlformats.org/officeDocument/2006/relationships/header" Target="header15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4.png"/><Relationship Id="rId95" Type="http://schemas.openxmlformats.org/officeDocument/2006/relationships/image" Target="media/image22.png"/><Relationship Id="rId106" Type="http://schemas.openxmlformats.org/officeDocument/2006/relationships/image" Target="media/image14.png"/><Relationship Id="rId114" Type="http://schemas.openxmlformats.org/officeDocument/2006/relationships/footer" Target="footer14.xml"/><Relationship Id="rId119" Type="http://schemas.openxmlformats.org/officeDocument/2006/relationships/image" Target="media/image21.jp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78" Type="http://schemas.openxmlformats.org/officeDocument/2006/relationships/image" Target="media/image50.png"/><Relationship Id="rId81" Type="http://schemas.openxmlformats.org/officeDocument/2006/relationships/image" Target="media/image9.png"/><Relationship Id="rId94" Type="http://schemas.openxmlformats.org/officeDocument/2006/relationships/image" Target="media/image21.png"/><Relationship Id="rId99" Type="http://schemas.openxmlformats.org/officeDocument/2006/relationships/header" Target="header11.xml"/><Relationship Id="rId101" Type="http://schemas.openxmlformats.org/officeDocument/2006/relationships/footer" Target="footer11.xm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77" Type="http://schemas.openxmlformats.org/officeDocument/2006/relationships/image" Target="media/image40.png"/><Relationship Id="rId100" Type="http://schemas.openxmlformats.org/officeDocument/2006/relationships/footer" Target="footer10.xml"/><Relationship Id="rId105" Type="http://schemas.openxmlformats.org/officeDocument/2006/relationships/image" Target="media/image13.png"/><Relationship Id="rId113" Type="http://schemas.openxmlformats.org/officeDocument/2006/relationships/footer" Target="footer13.xml"/><Relationship Id="rId118" Type="http://schemas.openxmlformats.org/officeDocument/2006/relationships/image" Target="media/image20.png"/><Relationship Id="rId8" Type="http://schemas.openxmlformats.org/officeDocument/2006/relationships/header" Target="header1.xml"/><Relationship Id="rId80" Type="http://schemas.openxmlformats.org/officeDocument/2006/relationships/image" Target="media/image8.png"/><Relationship Id="rId98" Type="http://schemas.openxmlformats.org/officeDocument/2006/relationships/header" Target="header10.xm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103" Type="http://schemas.openxmlformats.org/officeDocument/2006/relationships/footer" Target="footer12.xml"/><Relationship Id="rId108" Type="http://schemas.openxmlformats.org/officeDocument/2006/relationships/image" Target="media/image16.png"/><Relationship Id="rId116" Type="http://schemas.openxmlformats.org/officeDocument/2006/relationships/footer" Target="footer15.xml"/><Relationship Id="rId20" Type="http://schemas.openxmlformats.org/officeDocument/2006/relationships/header" Target="header7.xml"/><Relationship Id="rId75" Type="http://schemas.openxmlformats.org/officeDocument/2006/relationships/image" Target="media/image24.png"/><Relationship Id="rId96" Type="http://schemas.openxmlformats.org/officeDocument/2006/relationships/image" Target="media/image10.png"/><Relationship Id="rId11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8575</Words>
  <Characters>48880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York</Company>
  <LinksUpToDate>false</LinksUpToDate>
  <CharactersWithSpaces>57341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meh519</dc:creator>
  <cp:keywords/>
  <cp:lastModifiedBy>meh519</cp:lastModifiedBy>
  <cp:revision>2</cp:revision>
  <dcterms:created xsi:type="dcterms:W3CDTF">2018-11-12T04:41:00Z</dcterms:created>
  <dcterms:modified xsi:type="dcterms:W3CDTF">2018-11-12T04:41:00Z</dcterms:modified>
</cp:coreProperties>
</file>