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877DE3" w14:textId="62D4ACA8" w:rsidR="00DC06F7" w:rsidRDefault="00DC06F7" w:rsidP="00BD30FE">
      <w:pPr>
        <w:spacing w:line="480" w:lineRule="auto"/>
        <w:ind w:left="-709"/>
        <w:jc w:val="both"/>
        <w:rPr>
          <w:rFonts w:ascii="Arial" w:hAnsi="Arial" w:cs="Arial"/>
          <w:b/>
          <w:sz w:val="36"/>
          <w:szCs w:val="32"/>
        </w:rPr>
      </w:pPr>
      <w:bookmarkStart w:id="0" w:name="OLE_LINK1"/>
      <w:r w:rsidRPr="00DC06F7">
        <w:rPr>
          <w:rFonts w:ascii="Arial" w:hAnsi="Arial" w:cs="Arial"/>
          <w:b/>
          <w:sz w:val="36"/>
          <w:szCs w:val="32"/>
        </w:rPr>
        <w:t xml:space="preserve">Quantifying single cell </w:t>
      </w:r>
      <w:r w:rsidR="00E55A55">
        <w:rPr>
          <w:rFonts w:ascii="Arial" w:hAnsi="Arial" w:cs="Arial"/>
          <w:b/>
          <w:sz w:val="36"/>
          <w:szCs w:val="32"/>
        </w:rPr>
        <w:t>secretion</w:t>
      </w:r>
      <w:r w:rsidR="00E55A55" w:rsidRPr="00DC06F7">
        <w:rPr>
          <w:rFonts w:ascii="Arial" w:hAnsi="Arial" w:cs="Arial"/>
          <w:b/>
          <w:sz w:val="36"/>
          <w:szCs w:val="32"/>
        </w:rPr>
        <w:t xml:space="preserve"> </w:t>
      </w:r>
      <w:r w:rsidRPr="00DC06F7">
        <w:rPr>
          <w:rFonts w:ascii="Arial" w:hAnsi="Arial" w:cs="Arial"/>
          <w:b/>
          <w:sz w:val="36"/>
          <w:szCs w:val="32"/>
        </w:rPr>
        <w:t xml:space="preserve">in real time using resonant hyperspectral imaging </w:t>
      </w:r>
    </w:p>
    <w:bookmarkEnd w:id="0"/>
    <w:p w14:paraId="0F5E842C" w14:textId="5D65C6C6" w:rsidR="007337A6" w:rsidRDefault="007337A6" w:rsidP="00BD30FE">
      <w:pPr>
        <w:spacing w:line="480" w:lineRule="auto"/>
        <w:ind w:left="-709"/>
        <w:jc w:val="both"/>
        <w:rPr>
          <w:rFonts w:ascii="Arial" w:hAnsi="Arial" w:cs="Arial"/>
          <w:sz w:val="28"/>
          <w:szCs w:val="32"/>
          <w:vertAlign w:val="superscript"/>
        </w:rPr>
      </w:pPr>
      <w:r w:rsidRPr="007337A6">
        <w:rPr>
          <w:rFonts w:ascii="Arial" w:hAnsi="Arial" w:cs="Arial"/>
          <w:sz w:val="28"/>
          <w:szCs w:val="32"/>
        </w:rPr>
        <w:t>José Juan-Colás</w:t>
      </w:r>
      <w:r w:rsidR="00F72832">
        <w:rPr>
          <w:rFonts w:ascii="Arial" w:hAnsi="Arial" w:cs="Arial"/>
          <w:sz w:val="28"/>
          <w:szCs w:val="32"/>
          <w:vertAlign w:val="superscript"/>
        </w:rPr>
        <w:t>1,2</w:t>
      </w:r>
      <w:r w:rsidR="005D42C8">
        <w:rPr>
          <w:rFonts w:ascii="Arial" w:hAnsi="Arial" w:cs="Arial"/>
          <w:sz w:val="28"/>
          <w:szCs w:val="32"/>
          <w:vertAlign w:val="superscript"/>
        </w:rPr>
        <w:t>*</w:t>
      </w:r>
      <w:r w:rsidRPr="007337A6">
        <w:rPr>
          <w:rFonts w:ascii="Arial" w:hAnsi="Arial" w:cs="Arial"/>
          <w:sz w:val="28"/>
          <w:szCs w:val="32"/>
        </w:rPr>
        <w:t xml:space="preserve">, Ian </w:t>
      </w:r>
      <w:r w:rsidR="0027181F">
        <w:rPr>
          <w:rFonts w:ascii="Arial" w:hAnsi="Arial" w:cs="Arial"/>
          <w:sz w:val="28"/>
          <w:szCs w:val="32"/>
        </w:rPr>
        <w:t xml:space="preserve">S. </w:t>
      </w:r>
      <w:r w:rsidRPr="007337A6">
        <w:rPr>
          <w:rFonts w:ascii="Arial" w:hAnsi="Arial" w:cs="Arial"/>
          <w:sz w:val="28"/>
          <w:szCs w:val="32"/>
        </w:rPr>
        <w:t>Hitchcock</w:t>
      </w:r>
      <w:r w:rsidR="00F72832">
        <w:rPr>
          <w:rFonts w:ascii="Arial" w:hAnsi="Arial" w:cs="Arial"/>
          <w:sz w:val="28"/>
          <w:szCs w:val="32"/>
          <w:vertAlign w:val="superscript"/>
        </w:rPr>
        <w:t>3</w:t>
      </w:r>
      <w:r w:rsidRPr="007337A6">
        <w:rPr>
          <w:rFonts w:ascii="Arial" w:hAnsi="Arial" w:cs="Arial"/>
          <w:sz w:val="28"/>
          <w:szCs w:val="32"/>
        </w:rPr>
        <w:t>, Mark Coles</w:t>
      </w:r>
      <w:r w:rsidR="00F72832">
        <w:rPr>
          <w:rFonts w:ascii="Arial" w:hAnsi="Arial" w:cs="Arial"/>
          <w:sz w:val="28"/>
          <w:szCs w:val="32"/>
          <w:vertAlign w:val="superscript"/>
        </w:rPr>
        <w:t>4</w:t>
      </w:r>
      <w:r w:rsidRPr="007337A6">
        <w:rPr>
          <w:rFonts w:ascii="Arial" w:hAnsi="Arial" w:cs="Arial"/>
          <w:sz w:val="28"/>
          <w:szCs w:val="32"/>
        </w:rPr>
        <w:t>,</w:t>
      </w:r>
      <w:r w:rsidR="00BD30FE">
        <w:rPr>
          <w:rFonts w:ascii="Arial" w:hAnsi="Arial" w:cs="Arial"/>
          <w:sz w:val="28"/>
          <w:szCs w:val="32"/>
        </w:rPr>
        <w:t xml:space="preserve"> </w:t>
      </w:r>
      <w:r w:rsidRPr="007337A6">
        <w:rPr>
          <w:rFonts w:ascii="Arial" w:hAnsi="Arial" w:cs="Arial"/>
          <w:sz w:val="28"/>
          <w:szCs w:val="32"/>
        </w:rPr>
        <w:t>Steven Johnson</w:t>
      </w:r>
      <w:r w:rsidR="00F72832">
        <w:rPr>
          <w:rFonts w:ascii="Arial" w:hAnsi="Arial" w:cs="Arial"/>
          <w:sz w:val="28"/>
          <w:szCs w:val="32"/>
          <w:vertAlign w:val="superscript"/>
        </w:rPr>
        <w:t>2</w:t>
      </w:r>
      <w:r w:rsidR="00BD30FE" w:rsidRPr="00BD30FE">
        <w:rPr>
          <w:rFonts w:ascii="Arial" w:hAnsi="Arial" w:cs="Arial"/>
          <w:sz w:val="28"/>
          <w:szCs w:val="32"/>
        </w:rPr>
        <w:t xml:space="preserve"> </w:t>
      </w:r>
      <w:r w:rsidR="00BD30FE" w:rsidRPr="007337A6">
        <w:rPr>
          <w:rFonts w:ascii="Arial" w:hAnsi="Arial" w:cs="Arial"/>
          <w:sz w:val="28"/>
          <w:szCs w:val="32"/>
        </w:rPr>
        <w:t xml:space="preserve">and Thomas </w:t>
      </w:r>
      <w:r w:rsidR="002378A7">
        <w:rPr>
          <w:rFonts w:ascii="Arial" w:hAnsi="Arial" w:cs="Arial"/>
          <w:sz w:val="28"/>
          <w:szCs w:val="32"/>
        </w:rPr>
        <w:t>F</w:t>
      </w:r>
      <w:r w:rsidR="0027181F">
        <w:rPr>
          <w:rFonts w:ascii="Arial" w:hAnsi="Arial" w:cs="Arial"/>
          <w:sz w:val="28"/>
          <w:szCs w:val="32"/>
        </w:rPr>
        <w:t>.</w:t>
      </w:r>
      <w:r w:rsidR="002378A7">
        <w:rPr>
          <w:rFonts w:ascii="Arial" w:hAnsi="Arial" w:cs="Arial"/>
          <w:sz w:val="28"/>
          <w:szCs w:val="32"/>
        </w:rPr>
        <w:t xml:space="preserve"> </w:t>
      </w:r>
      <w:r w:rsidR="00BD30FE" w:rsidRPr="007337A6">
        <w:rPr>
          <w:rFonts w:ascii="Arial" w:hAnsi="Arial" w:cs="Arial"/>
          <w:sz w:val="28"/>
          <w:szCs w:val="32"/>
        </w:rPr>
        <w:t>Krauss</w:t>
      </w:r>
      <w:r w:rsidR="00BD30FE">
        <w:rPr>
          <w:rFonts w:ascii="Arial" w:hAnsi="Arial" w:cs="Arial"/>
          <w:sz w:val="28"/>
          <w:szCs w:val="32"/>
          <w:vertAlign w:val="superscript"/>
        </w:rPr>
        <w:t>1</w:t>
      </w:r>
    </w:p>
    <w:p w14:paraId="38014109" w14:textId="77777777" w:rsidR="00F62662" w:rsidRPr="00F62662" w:rsidRDefault="00F62662" w:rsidP="00F62662">
      <w:pPr>
        <w:spacing w:after="0" w:line="240" w:lineRule="auto"/>
        <w:ind w:left="-709"/>
        <w:jc w:val="both"/>
        <w:rPr>
          <w:rFonts w:ascii="Arial" w:hAnsi="Arial" w:cs="Arial"/>
          <w:szCs w:val="32"/>
        </w:rPr>
      </w:pPr>
      <w:r w:rsidRPr="00F62662">
        <w:rPr>
          <w:rFonts w:ascii="Arial" w:hAnsi="Arial" w:cs="Arial"/>
          <w:vertAlign w:val="superscript"/>
        </w:rPr>
        <w:t>1</w:t>
      </w:r>
      <w:r>
        <w:rPr>
          <w:rFonts w:ascii="Arial" w:hAnsi="Arial" w:cs="Arial"/>
          <w:sz w:val="28"/>
          <w:szCs w:val="32"/>
          <w:vertAlign w:val="superscript"/>
        </w:rPr>
        <w:t xml:space="preserve"> </w:t>
      </w:r>
      <w:r w:rsidRPr="00F62662">
        <w:rPr>
          <w:rFonts w:ascii="Arial" w:hAnsi="Arial" w:cs="Arial"/>
          <w:szCs w:val="32"/>
        </w:rPr>
        <w:t xml:space="preserve">Department of Physics, University of York, </w:t>
      </w:r>
      <w:proofErr w:type="spellStart"/>
      <w:r w:rsidRPr="00F62662">
        <w:rPr>
          <w:rFonts w:ascii="Arial" w:hAnsi="Arial" w:cs="Arial"/>
          <w:szCs w:val="32"/>
        </w:rPr>
        <w:t>Heslington</w:t>
      </w:r>
      <w:proofErr w:type="spellEnd"/>
      <w:r w:rsidRPr="00F62662">
        <w:rPr>
          <w:rFonts w:ascii="Arial" w:hAnsi="Arial" w:cs="Arial"/>
          <w:szCs w:val="32"/>
        </w:rPr>
        <w:t>, York YO10 5DD, UK</w:t>
      </w:r>
    </w:p>
    <w:p w14:paraId="2328C0D3" w14:textId="77777777" w:rsidR="00F62662" w:rsidRDefault="00F62662" w:rsidP="00F62662">
      <w:pPr>
        <w:spacing w:after="0" w:line="240" w:lineRule="auto"/>
        <w:ind w:left="-709"/>
        <w:jc w:val="both"/>
        <w:rPr>
          <w:rFonts w:ascii="Arial" w:hAnsi="Arial" w:cs="Arial"/>
          <w:szCs w:val="32"/>
        </w:rPr>
      </w:pPr>
      <w:r w:rsidRPr="00F62662">
        <w:rPr>
          <w:rFonts w:ascii="Arial" w:hAnsi="Arial" w:cs="Arial"/>
          <w:szCs w:val="32"/>
          <w:vertAlign w:val="superscript"/>
        </w:rPr>
        <w:t>2</w:t>
      </w:r>
      <w:r>
        <w:rPr>
          <w:rFonts w:ascii="Arial" w:hAnsi="Arial" w:cs="Arial"/>
          <w:szCs w:val="32"/>
        </w:rPr>
        <w:t xml:space="preserve"> </w:t>
      </w:r>
      <w:r w:rsidRPr="00F62662">
        <w:rPr>
          <w:rFonts w:ascii="Arial" w:hAnsi="Arial" w:cs="Arial"/>
          <w:szCs w:val="32"/>
        </w:rPr>
        <w:t xml:space="preserve">Department of Electronic Engineering, University of York, </w:t>
      </w:r>
      <w:proofErr w:type="spellStart"/>
      <w:r w:rsidRPr="00F62662">
        <w:rPr>
          <w:rFonts w:ascii="Arial" w:hAnsi="Arial" w:cs="Arial"/>
          <w:szCs w:val="32"/>
        </w:rPr>
        <w:t>Heslington</w:t>
      </w:r>
      <w:proofErr w:type="spellEnd"/>
      <w:r w:rsidRPr="00F62662">
        <w:rPr>
          <w:rFonts w:ascii="Arial" w:hAnsi="Arial" w:cs="Arial"/>
          <w:szCs w:val="32"/>
        </w:rPr>
        <w:t>, York YO10 5DD, UK</w:t>
      </w:r>
    </w:p>
    <w:p w14:paraId="6D7A2E39" w14:textId="77777777" w:rsidR="00441F7E" w:rsidRDefault="00441F7E" w:rsidP="00441F7E">
      <w:pPr>
        <w:spacing w:after="0" w:line="240" w:lineRule="auto"/>
        <w:ind w:left="-709"/>
        <w:jc w:val="both"/>
        <w:rPr>
          <w:rFonts w:ascii="Arial" w:hAnsi="Arial" w:cs="Arial"/>
          <w:szCs w:val="32"/>
        </w:rPr>
      </w:pPr>
      <w:r w:rsidRPr="00441F7E">
        <w:rPr>
          <w:rFonts w:ascii="Arial" w:hAnsi="Arial" w:cs="Arial"/>
          <w:szCs w:val="32"/>
          <w:vertAlign w:val="superscript"/>
        </w:rPr>
        <w:t>3</w:t>
      </w:r>
      <w:r>
        <w:rPr>
          <w:rFonts w:ascii="Arial" w:hAnsi="Arial" w:cs="Arial"/>
          <w:szCs w:val="32"/>
        </w:rPr>
        <w:t xml:space="preserve"> </w:t>
      </w:r>
      <w:r w:rsidRPr="00F62662">
        <w:rPr>
          <w:rFonts w:ascii="Arial" w:hAnsi="Arial" w:cs="Arial"/>
          <w:szCs w:val="32"/>
        </w:rPr>
        <w:t xml:space="preserve">Department of </w:t>
      </w:r>
      <w:r>
        <w:rPr>
          <w:rFonts w:ascii="Arial" w:hAnsi="Arial" w:cs="Arial"/>
          <w:szCs w:val="32"/>
        </w:rPr>
        <w:t>Biology</w:t>
      </w:r>
      <w:r w:rsidRPr="00F62662">
        <w:rPr>
          <w:rFonts w:ascii="Arial" w:hAnsi="Arial" w:cs="Arial"/>
          <w:szCs w:val="32"/>
        </w:rPr>
        <w:t xml:space="preserve">, University of York, </w:t>
      </w:r>
      <w:proofErr w:type="spellStart"/>
      <w:r w:rsidRPr="00F62662">
        <w:rPr>
          <w:rFonts w:ascii="Arial" w:hAnsi="Arial" w:cs="Arial"/>
          <w:szCs w:val="32"/>
        </w:rPr>
        <w:t>Heslington</w:t>
      </w:r>
      <w:proofErr w:type="spellEnd"/>
      <w:r w:rsidRPr="00F62662">
        <w:rPr>
          <w:rFonts w:ascii="Arial" w:hAnsi="Arial" w:cs="Arial"/>
          <w:szCs w:val="32"/>
        </w:rPr>
        <w:t>, York YO10 5DD, UK</w:t>
      </w:r>
    </w:p>
    <w:p w14:paraId="034C3D2B" w14:textId="68D851D5" w:rsidR="00441F7E" w:rsidRDefault="00441F7E" w:rsidP="00441F7E">
      <w:pPr>
        <w:spacing w:after="0" w:line="240" w:lineRule="auto"/>
        <w:ind w:left="-709"/>
        <w:jc w:val="both"/>
        <w:rPr>
          <w:rFonts w:ascii="Arial" w:hAnsi="Arial" w:cs="Arial"/>
          <w:szCs w:val="32"/>
        </w:rPr>
      </w:pPr>
      <w:r>
        <w:rPr>
          <w:rFonts w:ascii="Arial" w:hAnsi="Arial" w:cs="Arial"/>
          <w:szCs w:val="32"/>
          <w:vertAlign w:val="superscript"/>
        </w:rPr>
        <w:t>4</w:t>
      </w:r>
      <w:r>
        <w:rPr>
          <w:rFonts w:ascii="Arial" w:hAnsi="Arial" w:cs="Arial"/>
          <w:szCs w:val="32"/>
        </w:rPr>
        <w:t xml:space="preserve"> </w:t>
      </w:r>
      <w:r w:rsidRPr="00441F7E">
        <w:rPr>
          <w:rFonts w:ascii="Arial" w:hAnsi="Arial" w:cs="Arial"/>
          <w:szCs w:val="32"/>
        </w:rPr>
        <w:t>Kennedy Institute of Rheumatology</w:t>
      </w:r>
      <w:r w:rsidRPr="00F62662">
        <w:rPr>
          <w:rFonts w:ascii="Arial" w:hAnsi="Arial" w:cs="Arial"/>
          <w:szCs w:val="32"/>
        </w:rPr>
        <w:t xml:space="preserve">, University of </w:t>
      </w:r>
      <w:r>
        <w:rPr>
          <w:rFonts w:ascii="Arial" w:hAnsi="Arial" w:cs="Arial"/>
          <w:szCs w:val="32"/>
        </w:rPr>
        <w:t>Oxford</w:t>
      </w:r>
      <w:r w:rsidRPr="00F62662">
        <w:rPr>
          <w:rFonts w:ascii="Arial" w:hAnsi="Arial" w:cs="Arial"/>
          <w:szCs w:val="32"/>
        </w:rPr>
        <w:t xml:space="preserve">, </w:t>
      </w:r>
      <w:r w:rsidRPr="00441F7E">
        <w:rPr>
          <w:rFonts w:ascii="Arial" w:hAnsi="Arial" w:cs="Arial"/>
          <w:szCs w:val="32"/>
        </w:rPr>
        <w:t>Headington</w:t>
      </w:r>
      <w:r>
        <w:rPr>
          <w:rFonts w:ascii="Arial" w:hAnsi="Arial" w:cs="Arial"/>
          <w:szCs w:val="32"/>
        </w:rPr>
        <w:t>, Oxford</w:t>
      </w:r>
      <w:r w:rsidRPr="00F62662">
        <w:rPr>
          <w:rFonts w:ascii="Arial" w:hAnsi="Arial" w:cs="Arial"/>
          <w:szCs w:val="32"/>
        </w:rPr>
        <w:t xml:space="preserve"> </w:t>
      </w:r>
      <w:r w:rsidRPr="00441F7E">
        <w:rPr>
          <w:rFonts w:ascii="Arial" w:hAnsi="Arial" w:cs="Arial"/>
          <w:szCs w:val="32"/>
        </w:rPr>
        <w:t>OX3 7FY</w:t>
      </w:r>
      <w:r w:rsidRPr="00F62662">
        <w:rPr>
          <w:rFonts w:ascii="Arial" w:hAnsi="Arial" w:cs="Arial"/>
          <w:szCs w:val="32"/>
        </w:rPr>
        <w:t>, UK</w:t>
      </w:r>
    </w:p>
    <w:p w14:paraId="4DC83630" w14:textId="14D3B92A" w:rsidR="005D42C8" w:rsidRDefault="005D42C8" w:rsidP="00441F7E">
      <w:pPr>
        <w:spacing w:after="0" w:line="240" w:lineRule="auto"/>
        <w:ind w:left="-709"/>
        <w:jc w:val="both"/>
        <w:rPr>
          <w:rFonts w:ascii="Arial" w:hAnsi="Arial" w:cs="Arial"/>
          <w:szCs w:val="32"/>
        </w:rPr>
      </w:pPr>
    </w:p>
    <w:p w14:paraId="0DECDA85" w14:textId="7C4624EC" w:rsidR="00974E1A" w:rsidRPr="000D3F52" w:rsidRDefault="00974E1A" w:rsidP="00974E1A">
      <w:pPr>
        <w:spacing w:after="0" w:line="240" w:lineRule="auto"/>
        <w:ind w:left="-709"/>
        <w:jc w:val="both"/>
        <w:rPr>
          <w:rStyle w:val="Hipervnculo"/>
          <w:rFonts w:ascii="Arial" w:hAnsi="Arial" w:cs="Arial"/>
        </w:rPr>
      </w:pPr>
      <w:r w:rsidRPr="000D3F52">
        <w:rPr>
          <w:rFonts w:ascii="Arial" w:hAnsi="Arial" w:cs="Arial"/>
        </w:rPr>
        <w:t xml:space="preserve">*Correspondence: (J.J-C) </w:t>
      </w:r>
      <w:hyperlink r:id="rId5" w:history="1">
        <w:r w:rsidRPr="000D3F52">
          <w:rPr>
            <w:rStyle w:val="Hipervnculo"/>
            <w:rFonts w:ascii="Arial" w:hAnsi="Arial" w:cs="Arial"/>
          </w:rPr>
          <w:t>jose.juancolas@york.ac.uk</w:t>
        </w:r>
      </w:hyperlink>
      <w:r w:rsidR="000D3F52" w:rsidRPr="000D3F52">
        <w:rPr>
          <w:rStyle w:val="Hipervnculo"/>
          <w:rFonts w:ascii="Arial" w:hAnsi="Arial" w:cs="Arial"/>
          <w:u w:val="none"/>
        </w:rPr>
        <w:t xml:space="preserve"> </w:t>
      </w:r>
      <w:r w:rsidR="000D3F52" w:rsidRPr="000D3F52">
        <w:rPr>
          <w:rFonts w:ascii="Arial" w:hAnsi="Arial" w:cs="Arial"/>
          <w:color w:val="222222"/>
          <w:shd w:val="clear" w:color="auto" w:fill="FFFFFF"/>
        </w:rPr>
        <w:t>ORCID ID: 0000-0002-1031-915X</w:t>
      </w:r>
    </w:p>
    <w:p w14:paraId="5B23D3C0" w14:textId="77777777" w:rsidR="000D3F52" w:rsidRDefault="000D3F52" w:rsidP="00974E1A">
      <w:pPr>
        <w:spacing w:after="0" w:line="240" w:lineRule="auto"/>
        <w:ind w:left="-709"/>
        <w:jc w:val="both"/>
        <w:rPr>
          <w:rFonts w:ascii="Arial" w:hAnsi="Arial" w:cs="Arial"/>
          <w:szCs w:val="32"/>
        </w:rPr>
      </w:pPr>
    </w:p>
    <w:p w14:paraId="38193846" w14:textId="77777777" w:rsidR="000D3F52" w:rsidRDefault="000D3F52" w:rsidP="000D3F52">
      <w:pPr>
        <w:spacing w:after="0" w:line="240" w:lineRule="auto"/>
        <w:ind w:left="-709"/>
        <w:jc w:val="both"/>
        <w:rPr>
          <w:rFonts w:ascii="Arial" w:hAnsi="Arial" w:cs="Arial"/>
          <w:szCs w:val="32"/>
        </w:rPr>
      </w:pPr>
    </w:p>
    <w:p w14:paraId="29B8BA28" w14:textId="77777777" w:rsidR="00441F7E" w:rsidRPr="00F62662" w:rsidRDefault="00441F7E" w:rsidP="00F62662">
      <w:pPr>
        <w:spacing w:after="0" w:line="240" w:lineRule="auto"/>
        <w:ind w:left="-709"/>
        <w:jc w:val="both"/>
        <w:rPr>
          <w:rFonts w:ascii="Arial" w:hAnsi="Arial" w:cs="Arial"/>
          <w:szCs w:val="32"/>
        </w:rPr>
      </w:pPr>
    </w:p>
    <w:p w14:paraId="2ECA5EE8" w14:textId="77777777" w:rsidR="00F62662" w:rsidRPr="00F72832" w:rsidRDefault="00F62662" w:rsidP="00F62662">
      <w:pPr>
        <w:spacing w:after="0" w:line="240" w:lineRule="auto"/>
        <w:ind w:left="-709"/>
        <w:jc w:val="both"/>
        <w:rPr>
          <w:rFonts w:ascii="Arial" w:hAnsi="Arial" w:cs="Arial"/>
          <w:sz w:val="28"/>
          <w:szCs w:val="32"/>
          <w:vertAlign w:val="superscript"/>
        </w:rPr>
      </w:pPr>
    </w:p>
    <w:p w14:paraId="534861A7" w14:textId="1AD72F45" w:rsidR="004371DA" w:rsidRDefault="004371DA" w:rsidP="004371DA">
      <w:pPr>
        <w:spacing w:after="0" w:line="360" w:lineRule="auto"/>
        <w:ind w:left="-709"/>
        <w:rPr>
          <w:rFonts w:ascii="Arial" w:hAnsi="Arial" w:cs="Arial"/>
          <w:b/>
          <w:bCs/>
        </w:rPr>
      </w:pPr>
    </w:p>
    <w:p w14:paraId="4C3D173F" w14:textId="77777777" w:rsidR="004371DA" w:rsidRPr="004371DA" w:rsidRDefault="004371DA" w:rsidP="004371DA">
      <w:pPr>
        <w:spacing w:after="0" w:line="360" w:lineRule="auto"/>
        <w:ind w:left="-709"/>
        <w:rPr>
          <w:rFonts w:ascii="Arial" w:hAnsi="Arial" w:cs="Arial"/>
          <w:b/>
          <w:bCs/>
        </w:rPr>
      </w:pPr>
    </w:p>
    <w:p w14:paraId="3BDEEE5D" w14:textId="77777777" w:rsidR="004371DA" w:rsidRDefault="004371DA" w:rsidP="0077601B">
      <w:pPr>
        <w:spacing w:after="0" w:line="360" w:lineRule="auto"/>
        <w:ind w:left="-709"/>
        <w:rPr>
          <w:rFonts w:ascii="Arial" w:hAnsi="Arial" w:cs="Arial"/>
          <w:b/>
          <w:bCs/>
        </w:rPr>
      </w:pPr>
    </w:p>
    <w:p w14:paraId="0F87F28F" w14:textId="77777777" w:rsidR="0077601B" w:rsidRDefault="0077601B" w:rsidP="0077601B">
      <w:pPr>
        <w:spacing w:after="0" w:line="360" w:lineRule="auto"/>
        <w:ind w:left="-709"/>
        <w:rPr>
          <w:rFonts w:ascii="Arial" w:hAnsi="Arial" w:cs="Arial"/>
          <w:b/>
          <w:bCs/>
        </w:rPr>
      </w:pPr>
    </w:p>
    <w:p w14:paraId="63A86860" w14:textId="77777777" w:rsidR="009D5C87" w:rsidRDefault="009D5C87" w:rsidP="00E70AF5">
      <w:pPr>
        <w:spacing w:after="0" w:line="480" w:lineRule="auto"/>
        <w:ind w:left="-709"/>
        <w:rPr>
          <w:rFonts w:ascii="Arial" w:hAnsi="Arial" w:cs="Arial"/>
          <w:b/>
          <w:bCs/>
          <w:sz w:val="36"/>
          <w:szCs w:val="32"/>
        </w:rPr>
      </w:pPr>
    </w:p>
    <w:p w14:paraId="65E6FEE1" w14:textId="77777777" w:rsidR="0077601B" w:rsidRDefault="0077601B" w:rsidP="00E70AF5">
      <w:pPr>
        <w:spacing w:after="0" w:line="480" w:lineRule="auto"/>
        <w:ind w:left="-709"/>
        <w:rPr>
          <w:rFonts w:ascii="Arial" w:hAnsi="Arial" w:cs="Arial"/>
          <w:b/>
          <w:bCs/>
          <w:sz w:val="36"/>
          <w:szCs w:val="32"/>
        </w:rPr>
      </w:pPr>
    </w:p>
    <w:p w14:paraId="79D3FD03" w14:textId="77777777" w:rsidR="00323BD6" w:rsidRDefault="00323BD6">
      <w:pPr>
        <w:rPr>
          <w:rFonts w:ascii="Arial" w:hAnsi="Arial" w:cs="Arial"/>
          <w:b/>
          <w:bCs/>
          <w:sz w:val="36"/>
          <w:szCs w:val="32"/>
        </w:rPr>
      </w:pPr>
      <w:r>
        <w:rPr>
          <w:rFonts w:ascii="Arial" w:hAnsi="Arial" w:cs="Arial"/>
          <w:b/>
          <w:bCs/>
          <w:sz w:val="36"/>
          <w:szCs w:val="32"/>
        </w:rPr>
        <w:br w:type="page"/>
      </w:r>
    </w:p>
    <w:p w14:paraId="24A7C3F9" w14:textId="092C0BF9" w:rsidR="00E70AF5" w:rsidRDefault="007B5D82" w:rsidP="00E70AF5">
      <w:pPr>
        <w:spacing w:after="0" w:line="480" w:lineRule="auto"/>
        <w:ind w:left="-709"/>
        <w:rPr>
          <w:rFonts w:ascii="Arial" w:hAnsi="Arial" w:cs="Arial"/>
          <w:b/>
          <w:bCs/>
          <w:sz w:val="36"/>
          <w:szCs w:val="32"/>
        </w:rPr>
      </w:pPr>
      <w:r w:rsidRPr="007B5D82">
        <w:rPr>
          <w:rFonts w:ascii="Arial" w:hAnsi="Arial" w:cs="Arial"/>
          <w:b/>
          <w:bCs/>
          <w:sz w:val="36"/>
          <w:szCs w:val="32"/>
        </w:rPr>
        <w:lastRenderedPageBreak/>
        <w:t>Abstract</w:t>
      </w:r>
    </w:p>
    <w:p w14:paraId="0872A123" w14:textId="34B929C7" w:rsidR="00834D2D" w:rsidRPr="00736B3A" w:rsidRDefault="00834D2D" w:rsidP="00736B3A">
      <w:pPr>
        <w:spacing w:after="0" w:line="360" w:lineRule="auto"/>
        <w:ind w:left="-709"/>
        <w:rPr>
          <w:rFonts w:ascii="Arial" w:hAnsi="Arial" w:cs="Arial"/>
          <w:b/>
          <w:bCs/>
        </w:rPr>
      </w:pPr>
      <w:bookmarkStart w:id="1" w:name="OLE_LINK2"/>
      <w:r w:rsidRPr="00736B3A">
        <w:rPr>
          <w:rFonts w:ascii="Arial" w:hAnsi="Arial" w:cs="Arial"/>
          <w:b/>
          <w:bCs/>
        </w:rPr>
        <w:t>Cell communication is primarily regulated by secreted proteins, whose inhomogeneous secretion often indicates physiological disorder. Parallel monitoring of innate protein secretion kinetics</w:t>
      </w:r>
      <w:r w:rsidR="00596916">
        <w:rPr>
          <w:rFonts w:ascii="Arial" w:hAnsi="Arial" w:cs="Arial"/>
          <w:b/>
          <w:bCs/>
        </w:rPr>
        <w:t xml:space="preserve"> from </w:t>
      </w:r>
      <w:r w:rsidR="00596916" w:rsidRPr="00736B3A">
        <w:rPr>
          <w:rFonts w:ascii="Arial" w:hAnsi="Arial" w:cs="Arial"/>
          <w:b/>
          <w:bCs/>
        </w:rPr>
        <w:t>individual cell</w:t>
      </w:r>
      <w:r w:rsidR="00596916">
        <w:rPr>
          <w:rFonts w:ascii="Arial" w:hAnsi="Arial" w:cs="Arial"/>
          <w:b/>
          <w:bCs/>
        </w:rPr>
        <w:t>s</w:t>
      </w:r>
      <w:r w:rsidRPr="00736B3A">
        <w:rPr>
          <w:rFonts w:ascii="Arial" w:hAnsi="Arial" w:cs="Arial"/>
          <w:b/>
          <w:bCs/>
        </w:rPr>
        <w:t xml:space="preserve"> is thus crucial to unravel systemic </w:t>
      </w:r>
      <w:r w:rsidR="002C205D" w:rsidRPr="00736B3A">
        <w:rPr>
          <w:rFonts w:ascii="Arial" w:hAnsi="Arial" w:cs="Arial"/>
          <w:b/>
          <w:bCs/>
        </w:rPr>
        <w:t>malfunctions</w:t>
      </w:r>
      <w:r w:rsidRPr="00736B3A">
        <w:rPr>
          <w:rFonts w:ascii="Arial" w:hAnsi="Arial" w:cs="Arial"/>
          <w:b/>
          <w:bCs/>
        </w:rPr>
        <w:t>. Here, we report a label-free, high-throughput method for parallel</w:t>
      </w:r>
      <w:r w:rsidR="00596916">
        <w:rPr>
          <w:rFonts w:ascii="Arial" w:hAnsi="Arial" w:cs="Arial"/>
          <w:b/>
          <w:bCs/>
        </w:rPr>
        <w:t>,</w:t>
      </w:r>
      <w:r w:rsidRPr="00736B3A">
        <w:rPr>
          <w:rFonts w:ascii="Arial" w:hAnsi="Arial" w:cs="Arial"/>
          <w:b/>
          <w:bCs/>
        </w:rPr>
        <w:t xml:space="preserve"> </w:t>
      </w:r>
      <w:r w:rsidRPr="00736B3A">
        <w:rPr>
          <w:rFonts w:ascii="Arial" w:hAnsi="Arial" w:cs="Arial"/>
          <w:b/>
          <w:bCs/>
          <w:i/>
        </w:rPr>
        <w:t>in vitro</w:t>
      </w:r>
      <w:r w:rsidRPr="00736B3A">
        <w:rPr>
          <w:rFonts w:ascii="Arial" w:hAnsi="Arial" w:cs="Arial"/>
          <w:b/>
          <w:bCs/>
        </w:rPr>
        <w:t xml:space="preserve"> </w:t>
      </w:r>
      <w:r w:rsidR="00596916">
        <w:rPr>
          <w:rFonts w:ascii="Arial" w:hAnsi="Arial" w:cs="Arial"/>
          <w:b/>
          <w:bCs/>
        </w:rPr>
        <w:t xml:space="preserve">and </w:t>
      </w:r>
      <w:r w:rsidRPr="00736B3A">
        <w:rPr>
          <w:rFonts w:ascii="Arial" w:hAnsi="Arial" w:cs="Arial"/>
          <w:b/>
          <w:bCs/>
        </w:rPr>
        <w:t xml:space="preserve">real-time analysis of specific single-cell signalling using hyperspectral photonic crystal resonant technology. Heterogeneity in physiological </w:t>
      </w:r>
      <w:r w:rsidR="0027181F" w:rsidRPr="00736B3A">
        <w:rPr>
          <w:rFonts w:ascii="Arial" w:hAnsi="Arial" w:cs="Arial"/>
          <w:b/>
          <w:bCs/>
        </w:rPr>
        <w:t>thrombopoietin</w:t>
      </w:r>
      <w:r w:rsidRPr="00736B3A">
        <w:rPr>
          <w:rFonts w:ascii="Arial" w:hAnsi="Arial" w:cs="Arial"/>
          <w:b/>
          <w:bCs/>
        </w:rPr>
        <w:t xml:space="preserve"> expression from</w:t>
      </w:r>
      <w:r w:rsidR="002D3271" w:rsidRPr="00736B3A">
        <w:rPr>
          <w:rFonts w:ascii="Arial" w:hAnsi="Arial" w:cs="Arial"/>
          <w:b/>
          <w:bCs/>
        </w:rPr>
        <w:t xml:space="preserve"> individual</w:t>
      </w:r>
      <w:r w:rsidRPr="00736B3A">
        <w:rPr>
          <w:rFonts w:ascii="Arial" w:hAnsi="Arial" w:cs="Arial"/>
          <w:b/>
          <w:bCs/>
        </w:rPr>
        <w:t xml:space="preserve"> HepG2 </w:t>
      </w:r>
      <w:r w:rsidR="00A10E6A" w:rsidRPr="00736B3A">
        <w:rPr>
          <w:rFonts w:ascii="Arial" w:hAnsi="Arial" w:cs="Arial"/>
          <w:b/>
          <w:bCs/>
        </w:rPr>
        <w:t xml:space="preserve">liver </w:t>
      </w:r>
      <w:r w:rsidRPr="00736B3A">
        <w:rPr>
          <w:rFonts w:ascii="Arial" w:hAnsi="Arial" w:cs="Arial"/>
          <w:b/>
          <w:bCs/>
        </w:rPr>
        <w:t xml:space="preserve">cells </w:t>
      </w:r>
      <w:r w:rsidR="00E6201F" w:rsidRPr="00736B3A">
        <w:rPr>
          <w:rFonts w:ascii="Arial" w:hAnsi="Arial" w:cs="Arial"/>
          <w:b/>
          <w:bCs/>
        </w:rPr>
        <w:t>in response to</w:t>
      </w:r>
      <w:r w:rsidR="00A10E6A" w:rsidRPr="00736B3A">
        <w:rPr>
          <w:rFonts w:ascii="Arial" w:hAnsi="Arial" w:cs="Arial"/>
          <w:b/>
          <w:bCs/>
        </w:rPr>
        <w:t xml:space="preserve"> platelet </w:t>
      </w:r>
      <w:r w:rsidR="00D20D2A" w:rsidRPr="00736B3A">
        <w:rPr>
          <w:rFonts w:ascii="Arial" w:hAnsi="Arial" w:cs="Arial"/>
          <w:b/>
          <w:bCs/>
        </w:rPr>
        <w:t>de-</w:t>
      </w:r>
      <w:r w:rsidR="00A10E6A" w:rsidRPr="00736B3A">
        <w:rPr>
          <w:rFonts w:ascii="Arial" w:hAnsi="Arial" w:cs="Arial"/>
          <w:b/>
          <w:bCs/>
        </w:rPr>
        <w:t xml:space="preserve">sialylation was quantified demonstrating </w:t>
      </w:r>
      <w:r w:rsidR="002D3271" w:rsidRPr="00736B3A">
        <w:rPr>
          <w:rFonts w:ascii="Arial" w:hAnsi="Arial" w:cs="Arial"/>
          <w:b/>
          <w:bCs/>
        </w:rPr>
        <w:t>how mapping real</w:t>
      </w:r>
      <w:r w:rsidR="00596916">
        <w:rPr>
          <w:rFonts w:ascii="Arial" w:hAnsi="Arial" w:cs="Arial"/>
          <w:b/>
          <w:bCs/>
        </w:rPr>
        <w:t>-</w:t>
      </w:r>
      <w:r w:rsidR="002D3271" w:rsidRPr="00736B3A">
        <w:rPr>
          <w:rFonts w:ascii="Arial" w:hAnsi="Arial" w:cs="Arial"/>
          <w:b/>
          <w:bCs/>
        </w:rPr>
        <w:t xml:space="preserve">time protein secretion can </w:t>
      </w:r>
      <w:r w:rsidR="00AB4557" w:rsidRPr="00736B3A">
        <w:rPr>
          <w:rFonts w:ascii="Arial" w:hAnsi="Arial" w:cs="Arial"/>
          <w:b/>
          <w:bCs/>
        </w:rPr>
        <w:t>provide a simple, yet powerful approach for studying complex physiological systems regulating protein production at single-cell resolution</w:t>
      </w:r>
      <w:r w:rsidR="00D20D2A" w:rsidRPr="00736B3A">
        <w:rPr>
          <w:rFonts w:ascii="Arial" w:hAnsi="Arial" w:cs="Arial"/>
          <w:b/>
          <w:bCs/>
        </w:rPr>
        <w:t>.</w:t>
      </w:r>
    </w:p>
    <w:bookmarkEnd w:id="1"/>
    <w:p w14:paraId="0AEC9870" w14:textId="77777777" w:rsidR="00AE5E21" w:rsidRDefault="00AE5E21" w:rsidP="00C05752">
      <w:pPr>
        <w:spacing w:after="0" w:line="360" w:lineRule="auto"/>
        <w:ind w:left="-709"/>
        <w:jc w:val="both"/>
        <w:rPr>
          <w:rFonts w:ascii="Arial" w:hAnsi="Arial" w:cs="Arial"/>
          <w:bCs/>
        </w:rPr>
      </w:pPr>
    </w:p>
    <w:p w14:paraId="049C9855" w14:textId="2F0DF2C7" w:rsidR="000D3F52" w:rsidRPr="00F62662" w:rsidRDefault="000D3F52" w:rsidP="000D3F52">
      <w:pPr>
        <w:spacing w:after="0" w:line="240" w:lineRule="auto"/>
        <w:ind w:left="-709"/>
        <w:jc w:val="both"/>
        <w:rPr>
          <w:rFonts w:ascii="Arial" w:hAnsi="Arial" w:cs="Arial"/>
          <w:szCs w:val="32"/>
        </w:rPr>
      </w:pPr>
      <w:r>
        <w:rPr>
          <w:rFonts w:ascii="Arial" w:hAnsi="Arial" w:cs="Arial"/>
          <w:szCs w:val="32"/>
        </w:rPr>
        <w:t>Keywords</w:t>
      </w:r>
      <w:r w:rsidRPr="00EE5FFF">
        <w:rPr>
          <w:rFonts w:ascii="Arial" w:hAnsi="Arial" w:cs="Arial"/>
          <w:szCs w:val="32"/>
        </w:rPr>
        <w:t>:</w:t>
      </w:r>
      <w:r>
        <w:rPr>
          <w:rFonts w:ascii="Arial" w:hAnsi="Arial" w:cs="Arial"/>
          <w:szCs w:val="32"/>
        </w:rPr>
        <w:t xml:space="preserve"> photonic biosensing</w:t>
      </w:r>
      <w:r w:rsidR="00AB0567">
        <w:rPr>
          <w:rFonts w:ascii="Arial" w:hAnsi="Arial" w:cs="Arial"/>
          <w:szCs w:val="32"/>
        </w:rPr>
        <w:t>, single-cell analysis, label-free</w:t>
      </w:r>
      <w:r>
        <w:rPr>
          <w:rFonts w:ascii="Arial" w:hAnsi="Arial" w:cs="Arial"/>
          <w:szCs w:val="32"/>
        </w:rPr>
        <w:t xml:space="preserve"> </w:t>
      </w:r>
      <w:r w:rsidRPr="00F62662">
        <w:rPr>
          <w:rFonts w:ascii="Arial" w:hAnsi="Arial" w:cs="Arial"/>
          <w:szCs w:val="32"/>
        </w:rPr>
        <w:t xml:space="preserve"> </w:t>
      </w:r>
    </w:p>
    <w:p w14:paraId="570BA03D" w14:textId="77777777" w:rsidR="00323BD6" w:rsidRDefault="00323BD6">
      <w:pPr>
        <w:rPr>
          <w:rFonts w:ascii="Arial" w:hAnsi="Arial" w:cs="Arial"/>
        </w:rPr>
      </w:pPr>
      <w:r>
        <w:rPr>
          <w:rFonts w:ascii="Arial" w:hAnsi="Arial" w:cs="Arial"/>
        </w:rPr>
        <w:br w:type="page"/>
      </w:r>
    </w:p>
    <w:p w14:paraId="740F221E" w14:textId="77777777" w:rsidR="00323BD6" w:rsidRDefault="00323BD6" w:rsidP="00323BD6">
      <w:pPr>
        <w:spacing w:after="0" w:line="480" w:lineRule="auto"/>
        <w:ind w:left="-709"/>
        <w:rPr>
          <w:rFonts w:ascii="Arial" w:hAnsi="Arial" w:cs="Arial"/>
          <w:b/>
          <w:bCs/>
          <w:sz w:val="36"/>
          <w:szCs w:val="32"/>
        </w:rPr>
      </w:pPr>
      <w:r>
        <w:rPr>
          <w:rFonts w:ascii="Arial" w:hAnsi="Arial" w:cs="Arial"/>
          <w:b/>
          <w:bCs/>
          <w:sz w:val="36"/>
          <w:szCs w:val="32"/>
        </w:rPr>
        <w:lastRenderedPageBreak/>
        <w:t>Significance</w:t>
      </w:r>
    </w:p>
    <w:p w14:paraId="039CD090" w14:textId="77777777" w:rsidR="00323BD6" w:rsidRDefault="00323BD6" w:rsidP="00323BD6">
      <w:pPr>
        <w:spacing w:after="0" w:line="360" w:lineRule="auto"/>
        <w:ind w:left="-709"/>
        <w:rPr>
          <w:rFonts w:ascii="Arial" w:hAnsi="Arial" w:cs="Arial"/>
          <w:b/>
          <w:bCs/>
        </w:rPr>
      </w:pPr>
      <w:r w:rsidRPr="00736B3A">
        <w:rPr>
          <w:rFonts w:ascii="Arial" w:hAnsi="Arial" w:cs="Arial"/>
          <w:b/>
          <w:bCs/>
        </w:rPr>
        <w:t>Cell communication is primarily regulated by secreted proteins</w:t>
      </w:r>
      <w:r>
        <w:rPr>
          <w:rFonts w:ascii="Arial" w:hAnsi="Arial" w:cs="Arial"/>
          <w:b/>
          <w:bCs/>
        </w:rPr>
        <w:t>.</w:t>
      </w:r>
      <w:r w:rsidRPr="0077601B">
        <w:rPr>
          <w:rFonts w:ascii="Arial" w:hAnsi="Arial" w:cs="Arial"/>
          <w:bCs/>
        </w:rPr>
        <w:t xml:space="preserve"> </w:t>
      </w:r>
      <w:r w:rsidRPr="0077601B">
        <w:rPr>
          <w:rFonts w:ascii="Arial" w:hAnsi="Arial" w:cs="Arial"/>
          <w:b/>
          <w:bCs/>
        </w:rPr>
        <w:t xml:space="preserve">However, </w:t>
      </w:r>
      <w:r>
        <w:rPr>
          <w:rFonts w:ascii="Arial" w:hAnsi="Arial" w:cs="Arial"/>
          <w:b/>
          <w:bCs/>
        </w:rPr>
        <w:t>i</w:t>
      </w:r>
      <w:r w:rsidRPr="0077601B">
        <w:rPr>
          <w:rFonts w:ascii="Arial" w:hAnsi="Arial" w:cs="Arial"/>
          <w:b/>
          <w:bCs/>
        </w:rPr>
        <w:t xml:space="preserve">nhomogeneous </w:t>
      </w:r>
      <w:r>
        <w:rPr>
          <w:rFonts w:ascii="Arial" w:hAnsi="Arial" w:cs="Arial"/>
          <w:b/>
          <w:bCs/>
        </w:rPr>
        <w:t>secretion</w:t>
      </w:r>
      <w:r w:rsidRPr="0077601B">
        <w:rPr>
          <w:rFonts w:ascii="Arial" w:hAnsi="Arial" w:cs="Arial"/>
          <w:b/>
          <w:bCs/>
        </w:rPr>
        <w:t xml:space="preserve"> may indicate commencement of disease</w:t>
      </w:r>
      <w:r>
        <w:rPr>
          <w:rFonts w:ascii="Arial" w:hAnsi="Arial" w:cs="Arial"/>
          <w:b/>
          <w:bCs/>
        </w:rPr>
        <w:t xml:space="preserve">. </w:t>
      </w:r>
      <w:r w:rsidRPr="0077601B">
        <w:rPr>
          <w:rFonts w:ascii="Arial" w:hAnsi="Arial" w:cs="Arial"/>
          <w:b/>
          <w:bCs/>
        </w:rPr>
        <w:t>Therefore, the ability to parallelly monitor innate individual cell secretion kinetics is crucial to understand systemic malfunctions</w:t>
      </w:r>
      <w:r>
        <w:rPr>
          <w:rFonts w:ascii="Arial" w:hAnsi="Arial" w:cs="Arial"/>
          <w:b/>
          <w:bCs/>
        </w:rPr>
        <w:t xml:space="preserve">. </w:t>
      </w:r>
      <w:r w:rsidRPr="00736B3A">
        <w:rPr>
          <w:rFonts w:ascii="Arial" w:hAnsi="Arial" w:cs="Arial"/>
          <w:b/>
          <w:bCs/>
        </w:rPr>
        <w:t>Here, we report a high-throughput method for parallel</w:t>
      </w:r>
      <w:r>
        <w:rPr>
          <w:rFonts w:ascii="Arial" w:hAnsi="Arial" w:cs="Arial"/>
          <w:b/>
          <w:bCs/>
        </w:rPr>
        <w:t>,</w:t>
      </w:r>
      <w:r w:rsidRPr="00736B3A">
        <w:rPr>
          <w:rFonts w:ascii="Arial" w:hAnsi="Arial" w:cs="Arial"/>
          <w:b/>
          <w:bCs/>
        </w:rPr>
        <w:t xml:space="preserve"> </w:t>
      </w:r>
      <w:r w:rsidRPr="00736B3A">
        <w:rPr>
          <w:rFonts w:ascii="Arial" w:hAnsi="Arial" w:cs="Arial"/>
          <w:b/>
          <w:bCs/>
          <w:i/>
        </w:rPr>
        <w:t>in vitro</w:t>
      </w:r>
      <w:r w:rsidRPr="00736B3A">
        <w:rPr>
          <w:rFonts w:ascii="Arial" w:hAnsi="Arial" w:cs="Arial"/>
          <w:b/>
          <w:bCs/>
        </w:rPr>
        <w:t xml:space="preserve"> </w:t>
      </w:r>
      <w:r>
        <w:rPr>
          <w:rFonts w:ascii="Arial" w:hAnsi="Arial" w:cs="Arial"/>
          <w:b/>
          <w:bCs/>
        </w:rPr>
        <w:t xml:space="preserve">and </w:t>
      </w:r>
      <w:r w:rsidRPr="00736B3A">
        <w:rPr>
          <w:rFonts w:ascii="Arial" w:hAnsi="Arial" w:cs="Arial"/>
          <w:b/>
          <w:bCs/>
        </w:rPr>
        <w:t>real-time analysis of specific single-cell signalling using hyperspectral photonic crystal resonant technology</w:t>
      </w:r>
      <w:r>
        <w:rPr>
          <w:rFonts w:ascii="Arial" w:hAnsi="Arial" w:cs="Arial"/>
          <w:b/>
          <w:bCs/>
        </w:rPr>
        <w:t xml:space="preserve"> without the need of adding any fluorescent label</w:t>
      </w:r>
      <w:r w:rsidRPr="00736B3A">
        <w:rPr>
          <w:rFonts w:ascii="Arial" w:hAnsi="Arial" w:cs="Arial"/>
          <w:b/>
          <w:bCs/>
        </w:rPr>
        <w:t xml:space="preserve">. </w:t>
      </w:r>
      <w:r>
        <w:rPr>
          <w:rFonts w:ascii="Arial" w:hAnsi="Arial" w:cs="Arial"/>
          <w:b/>
          <w:bCs/>
        </w:rPr>
        <w:t>W</w:t>
      </w:r>
      <w:r w:rsidRPr="0077601B">
        <w:rPr>
          <w:rFonts w:ascii="Arial" w:hAnsi="Arial" w:cs="Arial"/>
          <w:b/>
          <w:bCs/>
        </w:rPr>
        <w:t>e mapp</w:t>
      </w:r>
      <w:r>
        <w:rPr>
          <w:rFonts w:ascii="Arial" w:hAnsi="Arial" w:cs="Arial"/>
          <w:b/>
          <w:bCs/>
        </w:rPr>
        <w:t>ed the</w:t>
      </w:r>
      <w:r w:rsidRPr="0077601B">
        <w:rPr>
          <w:rFonts w:ascii="Arial" w:hAnsi="Arial" w:cs="Arial"/>
          <w:b/>
          <w:bCs/>
        </w:rPr>
        <w:t xml:space="preserve"> secretion of a signalling protein (TPO) from individual human HepG2 cells and for the first time quantify the heterogeneity </w:t>
      </w:r>
      <w:r w:rsidRPr="004371DA">
        <w:rPr>
          <w:rFonts w:ascii="Arial" w:hAnsi="Arial" w:cs="Arial"/>
          <w:b/>
          <w:bCs/>
        </w:rPr>
        <w:t>in TPO expression</w:t>
      </w:r>
      <w:r>
        <w:rPr>
          <w:rFonts w:ascii="Arial" w:hAnsi="Arial" w:cs="Arial"/>
          <w:b/>
          <w:bCs/>
        </w:rPr>
        <w:t xml:space="preserve"> </w:t>
      </w:r>
      <w:r w:rsidRPr="004371DA">
        <w:rPr>
          <w:rFonts w:ascii="Arial" w:hAnsi="Arial" w:cs="Arial"/>
          <w:b/>
          <w:bCs/>
        </w:rPr>
        <w:t xml:space="preserve">as a function of the desialylated </w:t>
      </w:r>
      <w:r>
        <w:rPr>
          <w:rFonts w:ascii="Arial" w:hAnsi="Arial" w:cs="Arial"/>
          <w:b/>
          <w:bCs/>
        </w:rPr>
        <w:t>(aged) p</w:t>
      </w:r>
      <w:r w:rsidRPr="004371DA">
        <w:rPr>
          <w:rFonts w:ascii="Arial" w:hAnsi="Arial" w:cs="Arial"/>
          <w:b/>
          <w:bCs/>
        </w:rPr>
        <w:t>latelet level concentration</w:t>
      </w:r>
      <w:r>
        <w:rPr>
          <w:rFonts w:ascii="Arial" w:hAnsi="Arial" w:cs="Arial"/>
          <w:b/>
          <w:bCs/>
        </w:rPr>
        <w:t>.</w:t>
      </w:r>
      <w:r w:rsidRPr="004371DA">
        <w:rPr>
          <w:rFonts w:ascii="Arial" w:hAnsi="Arial" w:cs="Arial"/>
        </w:rPr>
        <w:t xml:space="preserve"> </w:t>
      </w:r>
      <w:r w:rsidRPr="004371DA">
        <w:rPr>
          <w:rFonts w:ascii="Arial" w:hAnsi="Arial" w:cs="Arial"/>
          <w:b/>
          <w:bCs/>
        </w:rPr>
        <w:t>Given its ease of use and implementation, we anticipate that our technology will transform single-cell protein expression analysis for applications beyond basic research</w:t>
      </w:r>
      <w:r>
        <w:rPr>
          <w:rFonts w:ascii="Arial" w:hAnsi="Arial" w:cs="Arial"/>
          <w:b/>
          <w:bCs/>
        </w:rPr>
        <w:t>.</w:t>
      </w:r>
    </w:p>
    <w:p w14:paraId="6C8EEFF5" w14:textId="549E46B6" w:rsidR="00AB2C85" w:rsidRDefault="00AB2C85">
      <w:pPr>
        <w:rPr>
          <w:rFonts w:ascii="Arial" w:hAnsi="Arial" w:cs="Arial"/>
        </w:rPr>
      </w:pPr>
      <w:bookmarkStart w:id="2" w:name="_GoBack"/>
      <w:bookmarkEnd w:id="2"/>
      <w:r>
        <w:rPr>
          <w:rFonts w:ascii="Arial" w:hAnsi="Arial" w:cs="Arial"/>
        </w:rPr>
        <w:br w:type="page"/>
      </w:r>
    </w:p>
    <w:p w14:paraId="65DDB015" w14:textId="3E7C1696" w:rsidR="006361B6" w:rsidRDefault="006361B6" w:rsidP="00736B3A">
      <w:pPr>
        <w:spacing w:line="360" w:lineRule="auto"/>
        <w:ind w:left="-709"/>
        <w:rPr>
          <w:rFonts w:ascii="Arial" w:hAnsi="Arial" w:cs="Arial"/>
        </w:rPr>
      </w:pPr>
      <w:r w:rsidRPr="006361B6">
        <w:rPr>
          <w:rFonts w:ascii="Arial" w:hAnsi="Arial" w:cs="Arial"/>
        </w:rPr>
        <w:lastRenderedPageBreak/>
        <w:t>\body</w:t>
      </w:r>
    </w:p>
    <w:p w14:paraId="579DE94C" w14:textId="44F77F5B" w:rsidR="0027181F" w:rsidRDefault="00D20F24" w:rsidP="00736B3A">
      <w:pPr>
        <w:spacing w:line="360" w:lineRule="auto"/>
        <w:ind w:left="-709"/>
        <w:rPr>
          <w:rFonts w:ascii="Arial" w:hAnsi="Arial" w:cs="Arial"/>
        </w:rPr>
      </w:pPr>
      <w:r>
        <w:rPr>
          <w:rFonts w:ascii="Arial" w:hAnsi="Arial" w:cs="Arial"/>
        </w:rPr>
        <w:t>P</w:t>
      </w:r>
      <w:r w:rsidR="003A148B">
        <w:rPr>
          <w:rFonts w:ascii="Arial" w:hAnsi="Arial" w:cs="Arial"/>
        </w:rPr>
        <w:t xml:space="preserve">roteins </w:t>
      </w:r>
      <w:r>
        <w:rPr>
          <w:rFonts w:ascii="Arial" w:hAnsi="Arial" w:cs="Arial"/>
        </w:rPr>
        <w:t xml:space="preserve">that are secreted from cells into the extracellular matrix </w:t>
      </w:r>
      <w:r w:rsidR="003A148B">
        <w:rPr>
          <w:rFonts w:ascii="Arial" w:hAnsi="Arial" w:cs="Arial"/>
        </w:rPr>
        <w:t>make up 13-20% of the entire human proteome</w:t>
      </w:r>
      <w:r w:rsidR="00BD23D3">
        <w:rPr>
          <w:rFonts w:ascii="Arial" w:hAnsi="Arial" w:cs="Arial"/>
        </w:rPr>
        <w:fldChar w:fldCharType="begin" w:fldLock="1"/>
      </w:r>
      <w:r w:rsidR="00AB0567">
        <w:rPr>
          <w:rFonts w:ascii="Arial" w:hAnsi="Arial" w:cs="Arial"/>
        </w:rPr>
        <w:instrText>ADDIN CSL_CITATION { "citationItems" : [ { "id" : "ITEM-1", "itemData" : { "DOI" : "10.1016/J.BBAPAP.2013.01.022", "ISSN" : "1570-9639", "abstract" : "The cell secretome is a collection of proteins consisting of transmembrane proteins (TM) and proteins secreted by cells into the extracellular space. A significant portion (~13\u201320%) of the human proteome consists of secretory proteins. The secretory proteins play important roles in cell migration, cell signaling and communication. There is a plethora of methodologies available like Serial Analysis of Gene Expression (SAGE), DNA microarrays, antibody arrays and bead-based arrays, mass spectrometry, RNA sequencing and yeast, bacterial and mammalian secretion traps to identify the cell secretomes. There are many advantages and disadvantages in using any of the above methods. This review aims to discuss the methodologies available along with their potential advantages and disadvantages to identify secretory proteins. This review is a part of a Special issue on The Secretome. This article is part of a Special Issue entitled: An Updated Secretome.", "author" : [ { "dropping-particle" : "", "family" : "Mukherjee", "given" : "Paromita", "non-dropping-particle" : "", "parse-names" : false, "suffix" : "" }, { "dropping-particle" : "", "family" : "Mani", "given" : "Sridhar", "non-dropping-particle" : "", "parse-names" : false, "suffix" : "" } ], "container-title" : "Biochimica et Biophysica Acta (BBA) - Proteins and Proteomics", "id" : "ITEM-1", "issue" : "11", "issued" : { "date-parts" : [ [ "2013", "11", "1" ] ] }, "page" : "2226-2232", "publisher" : "Elsevier", "title" : "Methodologies to decipher the cell secretome", "type" : "article-journal", "volume" : "1834" }, "uris" : [ "http://www.mendeley.com/documents/?uuid=27d1b3d5-39cf-3f4b-8c4c-338878f07007" ] } ], "mendeley" : { "formattedCitation" : "(1)", "plainTextFormattedCitation" : "(1)", "previouslyFormattedCitation" : "&lt;sup&gt;1&lt;/sup&gt;" }, "properties" : { "noteIndex" : 0 }, "schema" : "https://github.com/citation-style-language/schema/raw/master/csl-citation.json" }</w:instrText>
      </w:r>
      <w:r w:rsidR="00BD23D3">
        <w:rPr>
          <w:rFonts w:ascii="Arial" w:hAnsi="Arial" w:cs="Arial"/>
        </w:rPr>
        <w:fldChar w:fldCharType="separate"/>
      </w:r>
      <w:r w:rsidR="00AB0567" w:rsidRPr="00AB0567">
        <w:rPr>
          <w:rFonts w:ascii="Arial" w:hAnsi="Arial" w:cs="Arial"/>
          <w:noProof/>
        </w:rPr>
        <w:t>(1)</w:t>
      </w:r>
      <w:r w:rsidR="00BD23D3">
        <w:rPr>
          <w:rFonts w:ascii="Arial" w:hAnsi="Arial" w:cs="Arial"/>
        </w:rPr>
        <w:fldChar w:fldCharType="end"/>
      </w:r>
      <w:r>
        <w:rPr>
          <w:rFonts w:ascii="Arial" w:hAnsi="Arial" w:cs="Arial"/>
        </w:rPr>
        <w:t>. These secreted proteins</w:t>
      </w:r>
      <w:r w:rsidR="00534F82">
        <w:rPr>
          <w:rFonts w:ascii="Arial" w:hAnsi="Arial" w:cs="Arial"/>
        </w:rPr>
        <w:t xml:space="preserve"> </w:t>
      </w:r>
      <w:r>
        <w:rPr>
          <w:rFonts w:ascii="Arial" w:hAnsi="Arial" w:cs="Arial"/>
        </w:rPr>
        <w:t>typically function as mediators of cell-cell signalling and cellular proliferation</w:t>
      </w:r>
      <w:r w:rsidDel="00D20F24">
        <w:rPr>
          <w:rFonts w:ascii="Arial" w:hAnsi="Arial" w:cs="Arial"/>
        </w:rPr>
        <w:t xml:space="preserve"> </w:t>
      </w:r>
      <w:r>
        <w:rPr>
          <w:rFonts w:ascii="Arial" w:hAnsi="Arial" w:cs="Arial"/>
        </w:rPr>
        <w:t xml:space="preserve">and thus </w:t>
      </w:r>
      <w:r w:rsidR="00913F26">
        <w:rPr>
          <w:rFonts w:ascii="Arial" w:hAnsi="Arial" w:cs="Arial"/>
        </w:rPr>
        <w:t xml:space="preserve">play an important role in a wide variety of </w:t>
      </w:r>
      <w:r w:rsidR="00450FB5">
        <w:rPr>
          <w:rFonts w:ascii="Arial" w:hAnsi="Arial" w:cs="Arial"/>
        </w:rPr>
        <w:t xml:space="preserve">important </w:t>
      </w:r>
      <w:r w:rsidR="00913F26">
        <w:rPr>
          <w:rFonts w:ascii="Arial" w:hAnsi="Arial" w:cs="Arial"/>
        </w:rPr>
        <w:t xml:space="preserve">physiological </w:t>
      </w:r>
      <w:r w:rsidR="0027181F">
        <w:rPr>
          <w:rFonts w:ascii="Arial" w:hAnsi="Arial" w:cs="Arial"/>
        </w:rPr>
        <w:t xml:space="preserve">and pathological </w:t>
      </w:r>
      <w:r w:rsidR="00913F26">
        <w:rPr>
          <w:rFonts w:ascii="Arial" w:hAnsi="Arial" w:cs="Arial"/>
        </w:rPr>
        <w:t>processes</w:t>
      </w:r>
      <w:r w:rsidR="002C205D">
        <w:rPr>
          <w:rFonts w:ascii="Arial" w:hAnsi="Arial" w:cs="Arial"/>
        </w:rPr>
        <w:t xml:space="preserve">. </w:t>
      </w:r>
      <w:r w:rsidR="0014094F">
        <w:rPr>
          <w:rFonts w:ascii="Arial" w:hAnsi="Arial" w:cs="Arial"/>
        </w:rPr>
        <w:t>A prime example of this is</w:t>
      </w:r>
      <w:r w:rsidR="0027181F">
        <w:rPr>
          <w:rFonts w:ascii="Arial" w:hAnsi="Arial" w:cs="Arial"/>
        </w:rPr>
        <w:t xml:space="preserve"> haematopoiesis</w:t>
      </w:r>
      <w:r w:rsidR="0014094F">
        <w:rPr>
          <w:rFonts w:ascii="Arial" w:hAnsi="Arial" w:cs="Arial"/>
        </w:rPr>
        <w:t>, which</w:t>
      </w:r>
      <w:r w:rsidR="0027181F">
        <w:rPr>
          <w:rFonts w:ascii="Arial" w:hAnsi="Arial" w:cs="Arial"/>
        </w:rPr>
        <w:t xml:space="preserve"> is </w:t>
      </w:r>
      <w:r w:rsidR="0014094F">
        <w:rPr>
          <w:rFonts w:ascii="Arial" w:hAnsi="Arial" w:cs="Arial"/>
        </w:rPr>
        <w:t xml:space="preserve">tightly regulated by the paracrine or endocrine secretion of cytokines and hormones to maintain haematopoietic stem cells and drive specific lineage differentiation. </w:t>
      </w:r>
      <w:r w:rsidR="00596916">
        <w:rPr>
          <w:rFonts w:ascii="Arial" w:hAnsi="Arial" w:cs="Arial"/>
        </w:rPr>
        <w:t>Impairment of this</w:t>
      </w:r>
      <w:r w:rsidR="0014094F">
        <w:rPr>
          <w:rFonts w:ascii="Arial" w:hAnsi="Arial" w:cs="Arial"/>
        </w:rPr>
        <w:t xml:space="preserve"> regulatory system, </w:t>
      </w:r>
      <w:r w:rsidR="002D3271">
        <w:rPr>
          <w:rFonts w:ascii="Arial" w:hAnsi="Arial" w:cs="Arial"/>
        </w:rPr>
        <w:t>through</w:t>
      </w:r>
      <w:r w:rsidR="0014094F">
        <w:rPr>
          <w:rFonts w:ascii="Arial" w:hAnsi="Arial" w:cs="Arial"/>
        </w:rPr>
        <w:t xml:space="preserve"> organ failure or deleterious mutations, can result in malignant overproduction of blood cells</w:t>
      </w:r>
      <w:r w:rsidR="00472D29">
        <w:rPr>
          <w:rFonts w:ascii="Arial" w:hAnsi="Arial" w:cs="Arial"/>
        </w:rPr>
        <w:t>, aberrant immune function</w:t>
      </w:r>
      <w:r w:rsidR="0014094F">
        <w:rPr>
          <w:rFonts w:ascii="Arial" w:hAnsi="Arial" w:cs="Arial"/>
        </w:rPr>
        <w:t xml:space="preserve"> or bone marrow failure.</w:t>
      </w:r>
      <w:r w:rsidR="0027181F">
        <w:rPr>
          <w:rFonts w:ascii="Arial" w:hAnsi="Arial" w:cs="Arial"/>
        </w:rPr>
        <w:t xml:space="preserve">  </w:t>
      </w:r>
    </w:p>
    <w:p w14:paraId="2D5E9F29" w14:textId="16A255B6" w:rsidR="001D587D" w:rsidRDefault="001D587D" w:rsidP="00736B3A">
      <w:pPr>
        <w:spacing w:line="360" w:lineRule="auto"/>
        <w:ind w:left="-709"/>
        <w:rPr>
          <w:rFonts w:ascii="Arial" w:hAnsi="Arial" w:cs="Arial"/>
        </w:rPr>
      </w:pPr>
      <w:r>
        <w:rPr>
          <w:rFonts w:ascii="Arial" w:hAnsi="Arial" w:cs="Arial"/>
        </w:rPr>
        <w:t xml:space="preserve">Current understanding of secreted proteins </w:t>
      </w:r>
      <w:r w:rsidR="0079573D">
        <w:rPr>
          <w:rFonts w:ascii="Arial" w:hAnsi="Arial" w:cs="Arial"/>
        </w:rPr>
        <w:t>is</w:t>
      </w:r>
      <w:r>
        <w:rPr>
          <w:rFonts w:ascii="Arial" w:hAnsi="Arial" w:cs="Arial"/>
        </w:rPr>
        <w:t xml:space="preserve"> </w:t>
      </w:r>
      <w:r w:rsidR="0079573D">
        <w:rPr>
          <w:rFonts w:ascii="Arial" w:hAnsi="Arial" w:cs="Arial"/>
        </w:rPr>
        <w:t>based largely</w:t>
      </w:r>
      <w:r>
        <w:rPr>
          <w:rFonts w:ascii="Arial" w:hAnsi="Arial" w:cs="Arial"/>
        </w:rPr>
        <w:t xml:space="preserve"> </w:t>
      </w:r>
      <w:r w:rsidR="0079573D">
        <w:rPr>
          <w:rFonts w:ascii="Arial" w:hAnsi="Arial" w:cs="Arial"/>
        </w:rPr>
        <w:t xml:space="preserve">on </w:t>
      </w:r>
      <w:r>
        <w:rPr>
          <w:rFonts w:ascii="Arial" w:hAnsi="Arial" w:cs="Arial"/>
        </w:rPr>
        <w:t xml:space="preserve">traditional proteomic analysis, </w:t>
      </w:r>
      <w:r>
        <w:rPr>
          <w:rFonts w:ascii="Arial" w:hAnsi="Arial" w:cs="Arial"/>
          <w:lang w:val="en-US"/>
        </w:rPr>
        <w:t xml:space="preserve">such as </w:t>
      </w:r>
      <w:r w:rsidRPr="000C4E57">
        <w:rPr>
          <w:rFonts w:ascii="Arial" w:hAnsi="Arial" w:cs="Arial"/>
        </w:rPr>
        <w:t>enzyme-linked immunosorbent assay</w:t>
      </w:r>
      <w:r>
        <w:rPr>
          <w:rFonts w:ascii="Arial" w:hAnsi="Arial" w:cs="Arial"/>
        </w:rPr>
        <w:t xml:space="preserve">s (ELISA) and mass spectrometry (MS), of </w:t>
      </w:r>
      <w:r w:rsidR="0079573D">
        <w:rPr>
          <w:rFonts w:ascii="Arial" w:hAnsi="Arial" w:cs="Arial"/>
        </w:rPr>
        <w:t xml:space="preserve">proteins in </w:t>
      </w:r>
      <w:r>
        <w:rPr>
          <w:rFonts w:ascii="Arial" w:hAnsi="Arial" w:cs="Arial"/>
        </w:rPr>
        <w:t>the extracellular medium.</w:t>
      </w:r>
      <w:r w:rsidR="0079573D">
        <w:rPr>
          <w:rFonts w:ascii="Arial" w:hAnsi="Arial" w:cs="Arial"/>
        </w:rPr>
        <w:t xml:space="preserve"> While these techniques provide the high sensitivity required to detect low concentrations of proteins secreted into the surrounding matrix, a comprehensive understanding of protein secretion also requires tools with </w:t>
      </w:r>
      <w:proofErr w:type="gramStart"/>
      <w:r w:rsidR="0079573D">
        <w:rPr>
          <w:rFonts w:ascii="Arial" w:hAnsi="Arial" w:cs="Arial"/>
        </w:rPr>
        <w:t>sufficient</w:t>
      </w:r>
      <w:proofErr w:type="gramEnd"/>
      <w:r w:rsidR="0079573D">
        <w:rPr>
          <w:rFonts w:ascii="Arial" w:hAnsi="Arial" w:cs="Arial"/>
        </w:rPr>
        <w:t xml:space="preserve"> resolution to map the temporal and spatial regulation of secretion</w:t>
      </w:r>
      <w:r w:rsidR="001016D0">
        <w:rPr>
          <w:rFonts w:ascii="Arial" w:hAnsi="Arial" w:cs="Arial"/>
        </w:rPr>
        <w:t>.</w:t>
      </w:r>
      <w:r w:rsidR="00C77E46">
        <w:rPr>
          <w:rFonts w:ascii="Arial" w:hAnsi="Arial" w:cs="Arial"/>
        </w:rPr>
        <w:t xml:space="preserve"> </w:t>
      </w:r>
      <w:r w:rsidR="00CF7A84">
        <w:rPr>
          <w:rFonts w:ascii="Arial" w:hAnsi="Arial" w:cs="Arial"/>
        </w:rPr>
        <w:t xml:space="preserve">For example, </w:t>
      </w:r>
      <w:r w:rsidR="00CF7A84">
        <w:rPr>
          <w:rFonts w:ascii="Arial" w:hAnsi="Arial" w:cs="Arial"/>
          <w:lang w:val="en-US"/>
        </w:rPr>
        <w:t>cytokine</w:t>
      </w:r>
      <w:r w:rsidR="00CF7A84" w:rsidRPr="00CF7A84">
        <w:rPr>
          <w:rFonts w:ascii="Arial" w:hAnsi="Arial" w:cs="Arial"/>
          <w:lang w:val="en-US"/>
        </w:rPr>
        <w:t xml:space="preserve"> </w:t>
      </w:r>
      <w:r w:rsidR="00CF7A84">
        <w:rPr>
          <w:rFonts w:ascii="Arial" w:hAnsi="Arial" w:cs="Arial"/>
          <w:lang w:val="en-US"/>
        </w:rPr>
        <w:t xml:space="preserve">secretion by </w:t>
      </w:r>
      <w:r w:rsidR="00CF7A84" w:rsidRPr="00CF7A84">
        <w:rPr>
          <w:rFonts w:ascii="Arial" w:hAnsi="Arial" w:cs="Arial"/>
          <w:lang w:val="en-US"/>
        </w:rPr>
        <w:t>innate immune cells</w:t>
      </w:r>
      <w:r w:rsidR="00CF7A84">
        <w:rPr>
          <w:rFonts w:ascii="Arial" w:hAnsi="Arial" w:cs="Arial"/>
          <w:lang w:val="en-US"/>
        </w:rPr>
        <w:t xml:space="preserve"> is</w:t>
      </w:r>
      <w:r w:rsidR="00CF7A84" w:rsidRPr="00CF7A84">
        <w:rPr>
          <w:rFonts w:ascii="Arial" w:hAnsi="Arial" w:cs="Arial"/>
          <w:lang w:val="en-US"/>
        </w:rPr>
        <w:t xml:space="preserve"> </w:t>
      </w:r>
      <w:r w:rsidR="00F86ADC">
        <w:rPr>
          <w:rFonts w:ascii="Arial" w:hAnsi="Arial" w:cs="Arial"/>
          <w:lang w:val="en-US"/>
        </w:rPr>
        <w:t xml:space="preserve">orchestrated between cells </w:t>
      </w:r>
      <w:r w:rsidR="00CF7A84">
        <w:rPr>
          <w:rFonts w:ascii="Arial" w:hAnsi="Arial" w:cs="Arial"/>
          <w:lang w:val="en-US"/>
        </w:rPr>
        <w:t>to provide an initial</w:t>
      </w:r>
      <w:r w:rsidR="00CF7A84" w:rsidRPr="00CF7A84">
        <w:rPr>
          <w:rFonts w:ascii="Arial" w:hAnsi="Arial" w:cs="Arial"/>
          <w:lang w:val="en-US"/>
        </w:rPr>
        <w:t xml:space="preserve"> inflammatory or allergic response and </w:t>
      </w:r>
      <w:r w:rsidR="002206A6">
        <w:rPr>
          <w:rFonts w:ascii="Arial" w:hAnsi="Arial" w:cs="Arial"/>
          <w:lang w:val="en-US"/>
        </w:rPr>
        <w:t>later to ensure this response</w:t>
      </w:r>
      <w:r w:rsidR="00CF7A84" w:rsidRPr="00CF7A84">
        <w:rPr>
          <w:rFonts w:ascii="Arial" w:hAnsi="Arial" w:cs="Arial"/>
          <w:lang w:val="en-US"/>
        </w:rPr>
        <w:t xml:space="preserve"> subside</w:t>
      </w:r>
      <w:r w:rsidR="002206A6">
        <w:rPr>
          <w:rFonts w:ascii="Arial" w:hAnsi="Arial" w:cs="Arial"/>
          <w:lang w:val="en-US"/>
        </w:rPr>
        <w:t>s</w:t>
      </w:r>
      <w:r w:rsidR="00CF7A84" w:rsidRPr="00CF7A84">
        <w:rPr>
          <w:rFonts w:ascii="Arial" w:hAnsi="Arial" w:cs="Arial"/>
          <w:lang w:val="en-US"/>
        </w:rPr>
        <w:t xml:space="preserve"> in a timely</w:t>
      </w:r>
      <w:r w:rsidR="00596916">
        <w:rPr>
          <w:rFonts w:ascii="Arial" w:hAnsi="Arial" w:cs="Arial"/>
          <w:lang w:val="en-US"/>
        </w:rPr>
        <w:t xml:space="preserve"> and coordinated</w:t>
      </w:r>
      <w:r w:rsidR="00CF7A84" w:rsidRPr="00CF7A84">
        <w:rPr>
          <w:rFonts w:ascii="Arial" w:hAnsi="Arial" w:cs="Arial"/>
          <w:lang w:val="en-US"/>
        </w:rPr>
        <w:t xml:space="preserve"> fashion</w:t>
      </w:r>
      <w:r w:rsidR="00CF7A84">
        <w:rPr>
          <w:rFonts w:ascii="Arial" w:hAnsi="Arial" w:cs="Arial"/>
          <w:lang w:val="en-US"/>
        </w:rPr>
        <w:t xml:space="preserve">. </w:t>
      </w:r>
      <w:r w:rsidR="00F86ADC">
        <w:rPr>
          <w:rFonts w:ascii="Arial" w:hAnsi="Arial" w:cs="Arial"/>
          <w:lang w:val="en-US"/>
        </w:rPr>
        <w:t xml:space="preserve">Traditional </w:t>
      </w:r>
      <w:r w:rsidR="00C77E46">
        <w:rPr>
          <w:rFonts w:ascii="Arial" w:hAnsi="Arial" w:cs="Arial"/>
        </w:rPr>
        <w:t>ELISA</w:t>
      </w:r>
      <w:r w:rsidR="00F86ADC">
        <w:rPr>
          <w:rFonts w:ascii="Arial" w:hAnsi="Arial" w:cs="Arial"/>
        </w:rPr>
        <w:t xml:space="preserve"> and MS</w:t>
      </w:r>
      <w:r>
        <w:rPr>
          <w:rFonts w:ascii="Arial" w:hAnsi="Arial" w:cs="Arial"/>
        </w:rPr>
        <w:t xml:space="preserve"> </w:t>
      </w:r>
      <w:r w:rsidR="00CF7A84">
        <w:rPr>
          <w:rFonts w:ascii="Arial" w:hAnsi="Arial" w:cs="Arial"/>
          <w:lang w:val="en-US"/>
        </w:rPr>
        <w:t xml:space="preserve">both lack the </w:t>
      </w:r>
      <w:r w:rsidR="00F86ADC">
        <w:rPr>
          <w:rFonts w:ascii="Arial" w:hAnsi="Arial" w:cs="Arial"/>
          <w:lang w:val="en-US"/>
        </w:rPr>
        <w:t xml:space="preserve">spatial and </w:t>
      </w:r>
      <w:r w:rsidR="00CF7A84">
        <w:rPr>
          <w:rFonts w:ascii="Arial" w:hAnsi="Arial" w:cs="Arial"/>
          <w:lang w:val="en-US"/>
        </w:rPr>
        <w:t>temporal resolution required</w:t>
      </w:r>
      <w:r w:rsidR="0047781F">
        <w:rPr>
          <w:rFonts w:ascii="Arial" w:hAnsi="Arial" w:cs="Arial"/>
          <w:lang w:val="en-US"/>
        </w:rPr>
        <w:t xml:space="preserve"> to map the kinetics of </w:t>
      </w:r>
      <w:r w:rsidR="00CF7A84">
        <w:rPr>
          <w:rFonts w:ascii="Arial" w:hAnsi="Arial" w:cs="Arial"/>
          <w:lang w:val="en-US"/>
        </w:rPr>
        <w:t xml:space="preserve">such </w:t>
      </w:r>
      <w:r w:rsidR="002206A6">
        <w:rPr>
          <w:rFonts w:ascii="Arial" w:hAnsi="Arial" w:cs="Arial"/>
          <w:lang w:val="en-US"/>
        </w:rPr>
        <w:t xml:space="preserve">tightly </w:t>
      </w:r>
      <w:r w:rsidR="00CF7A84">
        <w:rPr>
          <w:rFonts w:ascii="Arial" w:hAnsi="Arial" w:cs="Arial"/>
          <w:lang w:val="en-US"/>
        </w:rPr>
        <w:t xml:space="preserve">regulated </w:t>
      </w:r>
      <w:r w:rsidR="00F86ADC">
        <w:rPr>
          <w:rFonts w:ascii="Arial" w:hAnsi="Arial" w:cs="Arial"/>
          <w:lang w:val="en-US"/>
        </w:rPr>
        <w:t xml:space="preserve">and </w:t>
      </w:r>
      <w:r w:rsidR="00E05300">
        <w:rPr>
          <w:rFonts w:ascii="Arial" w:hAnsi="Arial" w:cs="Arial"/>
          <w:lang w:val="en-US"/>
        </w:rPr>
        <w:t>orchestrated</w:t>
      </w:r>
      <w:r w:rsidR="00F86ADC">
        <w:rPr>
          <w:rFonts w:ascii="Arial" w:hAnsi="Arial" w:cs="Arial"/>
          <w:lang w:val="en-US"/>
        </w:rPr>
        <w:t xml:space="preserve"> </w:t>
      </w:r>
      <w:r w:rsidR="00CF7A84">
        <w:rPr>
          <w:rFonts w:ascii="Arial" w:hAnsi="Arial" w:cs="Arial"/>
          <w:lang w:val="en-US"/>
        </w:rPr>
        <w:t>protein secretion.</w:t>
      </w:r>
      <w:r w:rsidR="00295D4F">
        <w:rPr>
          <w:rFonts w:ascii="Arial" w:hAnsi="Arial" w:cs="Arial"/>
          <w:lang w:val="en-US"/>
        </w:rPr>
        <w:t xml:space="preserve"> Furthermore, </w:t>
      </w:r>
      <w:r>
        <w:rPr>
          <w:rFonts w:ascii="Arial" w:hAnsi="Arial" w:cs="Arial"/>
          <w:lang w:val="en-US"/>
        </w:rPr>
        <w:t>single cell analytical techniques have</w:t>
      </w:r>
      <w:r w:rsidR="00295D4F">
        <w:rPr>
          <w:rFonts w:ascii="Arial" w:hAnsi="Arial" w:cs="Arial"/>
          <w:lang w:val="en-US"/>
        </w:rPr>
        <w:t xml:space="preserve"> shown that </w:t>
      </w:r>
      <w:r>
        <w:rPr>
          <w:rFonts w:ascii="Arial" w:hAnsi="Arial" w:cs="Arial"/>
          <w:lang w:val="en-US"/>
        </w:rPr>
        <w:t xml:space="preserve">individual </w:t>
      </w:r>
      <w:r w:rsidR="00295D4F">
        <w:rPr>
          <w:rFonts w:ascii="Arial" w:hAnsi="Arial" w:cs="Arial"/>
          <w:lang w:val="en-US"/>
        </w:rPr>
        <w:t xml:space="preserve">cells with </w:t>
      </w:r>
      <w:r w:rsidR="00B557D9">
        <w:rPr>
          <w:rFonts w:ascii="Arial" w:hAnsi="Arial" w:cs="Arial"/>
          <w:lang w:val="en-US"/>
        </w:rPr>
        <w:t>apparently</w:t>
      </w:r>
      <w:r w:rsidR="00295D4F">
        <w:rPr>
          <w:rFonts w:ascii="Arial" w:hAnsi="Arial" w:cs="Arial"/>
          <w:lang w:val="en-US"/>
        </w:rPr>
        <w:t xml:space="preserve"> identical phenotype, exhibit heterogeneity in protein secretion.</w:t>
      </w:r>
      <w:r>
        <w:rPr>
          <w:rFonts w:ascii="Arial" w:hAnsi="Arial" w:cs="Arial"/>
          <w:lang w:val="en-US"/>
        </w:rPr>
        <w:t xml:space="preserve"> </w:t>
      </w:r>
      <w:r w:rsidR="00A97A9C">
        <w:rPr>
          <w:rFonts w:ascii="Arial" w:hAnsi="Arial" w:cs="Arial"/>
          <w:lang w:val="en-US"/>
        </w:rPr>
        <w:t>T</w:t>
      </w:r>
      <w:r w:rsidR="00A97A9C" w:rsidRPr="000F6C54">
        <w:rPr>
          <w:rFonts w:ascii="Arial" w:hAnsi="Arial" w:cs="Arial"/>
          <w:lang w:val="en-US"/>
        </w:rPr>
        <w:t>hus,</w:t>
      </w:r>
      <w:r w:rsidR="000F6C54" w:rsidRPr="000F6C54">
        <w:rPr>
          <w:rFonts w:ascii="Arial" w:hAnsi="Arial" w:cs="Arial"/>
          <w:lang w:val="en-US"/>
        </w:rPr>
        <w:t xml:space="preserve"> the ability to interrogate and monitor biological systems at the single-cell level provides a precise route for determining which variation is random and which is meaningful, and for building better model</w:t>
      </w:r>
      <w:r w:rsidR="00596916">
        <w:rPr>
          <w:rFonts w:ascii="Arial" w:hAnsi="Arial" w:cs="Arial"/>
          <w:lang w:val="en-US"/>
        </w:rPr>
        <w:t>s</w:t>
      </w:r>
      <w:r w:rsidR="000F6C54" w:rsidRPr="000F6C54">
        <w:rPr>
          <w:rFonts w:ascii="Arial" w:hAnsi="Arial" w:cs="Arial"/>
          <w:lang w:val="en-US"/>
        </w:rPr>
        <w:t xml:space="preserve"> </w:t>
      </w:r>
      <w:r w:rsidR="00596916">
        <w:rPr>
          <w:rFonts w:ascii="Arial" w:hAnsi="Arial" w:cs="Arial"/>
          <w:lang w:val="en-US"/>
        </w:rPr>
        <w:t>of</w:t>
      </w:r>
      <w:r w:rsidR="00596916" w:rsidRPr="000F6C54">
        <w:rPr>
          <w:rFonts w:ascii="Arial" w:hAnsi="Arial" w:cs="Arial"/>
          <w:lang w:val="en-US"/>
        </w:rPr>
        <w:t xml:space="preserve"> </w:t>
      </w:r>
      <w:r w:rsidR="000F6C54" w:rsidRPr="000F6C54">
        <w:rPr>
          <w:rFonts w:ascii="Arial" w:hAnsi="Arial" w:cs="Arial"/>
          <w:lang w:val="en-US"/>
        </w:rPr>
        <w:t>the behavior of individual cells</w:t>
      </w:r>
      <w:r w:rsidR="000F6C54">
        <w:rPr>
          <w:rFonts w:ascii="Arial" w:hAnsi="Arial" w:cs="Arial"/>
          <w:lang w:val="en-US"/>
        </w:rPr>
        <w:t xml:space="preserve">. </w:t>
      </w:r>
      <w:r w:rsidR="00F86ADC">
        <w:rPr>
          <w:rFonts w:ascii="Arial" w:hAnsi="Arial" w:cs="Arial"/>
          <w:lang w:val="en-US"/>
        </w:rPr>
        <w:t xml:space="preserve">Again, ELISA and MS </w:t>
      </w:r>
      <w:r w:rsidR="00596916">
        <w:rPr>
          <w:rFonts w:ascii="Arial" w:hAnsi="Arial" w:cs="Arial"/>
          <w:lang w:val="en-US"/>
        </w:rPr>
        <w:t>typically</w:t>
      </w:r>
      <w:r w:rsidR="00596916" w:rsidRPr="001D587D">
        <w:rPr>
          <w:rFonts w:ascii="Arial" w:hAnsi="Arial" w:cs="Arial"/>
          <w:lang w:val="en-US"/>
        </w:rPr>
        <w:t xml:space="preserve"> </w:t>
      </w:r>
      <w:r w:rsidRPr="001D587D">
        <w:rPr>
          <w:rFonts w:ascii="Arial" w:hAnsi="Arial" w:cs="Arial"/>
          <w:lang w:val="en-US"/>
        </w:rPr>
        <w:t>measure the average response of a cell-population at a fixed time point and are thus unable to screen the “hidden world” beneath population averages</w:t>
      </w:r>
      <w:r w:rsidRPr="001D587D">
        <w:rPr>
          <w:rFonts w:ascii="Arial" w:hAnsi="Arial" w:cs="Arial"/>
          <w:lang w:val="en-US"/>
        </w:rPr>
        <w:fldChar w:fldCharType="begin" w:fldLock="1"/>
      </w:r>
      <w:r w:rsidR="00AB0567">
        <w:rPr>
          <w:rFonts w:ascii="Arial" w:hAnsi="Arial" w:cs="Arial"/>
          <w:lang w:val="en-US"/>
        </w:rPr>
        <w:instrText>ADDIN CSL_CITATION { "citationItems" : [ { "id" : "ITEM-1", "itemData" : { "DOI" : "10.1016/j.cell.2010.04.033", "ISBN" : "1097-4172 (Electronic)\\r0092-8674 (Linking)", "ISSN" : "00928674", "PMID" : "20478246", "abstract" : "A central challenge of biology is to understand how individual cells process information and respond to perturbations. Much of our knowledge is based on ensemble measurements. However, cell-to-cell differences are always present to some degree in any cell population, and the ensemble behaviors of a population may not represent the behaviors of any individual cell. Here, we discuss examples of when heterogeneity cannot be ignored and describe practical strategies for analyzing and interpreting cellular heterogeneity. \u00a9 2010 Elsevier Inc.", "author" : [ { "dropping-particle" : "", "family" : "Altschuler", "given" : "Steven J.", "non-dropping-particle" : "", "parse-names" : false, "suffix" : "" }, { "dropping-particle" : "", "family" : "Wu", "given" : "Lani F.", "non-dropping-particle" : "", "parse-names" : false, "suffix" : "" } ], "container-title" : "Cell", "id" : "ITEM-1", "issue" : "4", "issued" : { "date-parts" : [ [ "2010" ] ] }, "page" : "559-563", "title" : "Cellular Heterogeneity: Do Differences Make a Difference?", "type" : "article-journal", "volume" : "141" }, "uris" : [ "http://www.mendeley.com/documents/?uuid=21385e0a-3144-4da2-9edf-c040ec2d1a43" ] } ], "mendeley" : { "formattedCitation" : "(2)", "plainTextFormattedCitation" : "(2)", "previouslyFormattedCitation" : "&lt;sup&gt;2&lt;/sup&gt;" }, "properties" : { "noteIndex" : 0 }, "schema" : "https://github.com/citation-style-language/schema/raw/master/csl-citation.json" }</w:instrText>
      </w:r>
      <w:r w:rsidRPr="001D587D">
        <w:rPr>
          <w:rFonts w:ascii="Arial" w:hAnsi="Arial" w:cs="Arial"/>
          <w:lang w:val="en-US"/>
        </w:rPr>
        <w:fldChar w:fldCharType="separate"/>
      </w:r>
      <w:r w:rsidR="00AB0567" w:rsidRPr="00AB0567">
        <w:rPr>
          <w:rFonts w:ascii="Arial" w:hAnsi="Arial" w:cs="Arial"/>
          <w:noProof/>
          <w:lang w:val="en-US"/>
        </w:rPr>
        <w:t>(2)</w:t>
      </w:r>
      <w:r w:rsidRPr="001D587D">
        <w:rPr>
          <w:rFonts w:ascii="Arial" w:hAnsi="Arial" w:cs="Arial"/>
          <w:lang w:val="en-US"/>
        </w:rPr>
        <w:fldChar w:fldCharType="end"/>
      </w:r>
      <w:r w:rsidRPr="001D587D">
        <w:rPr>
          <w:rFonts w:ascii="Arial" w:hAnsi="Arial" w:cs="Arial"/>
          <w:lang w:val="en-US"/>
        </w:rPr>
        <w:t xml:space="preserve">. </w:t>
      </w:r>
      <w:r>
        <w:rPr>
          <w:rFonts w:ascii="Arial" w:hAnsi="Arial" w:cs="Arial"/>
        </w:rPr>
        <w:t>Robust and non-disruptive methodologies to profile protein secret</w:t>
      </w:r>
      <w:r w:rsidR="002206A6">
        <w:rPr>
          <w:rFonts w:ascii="Arial" w:hAnsi="Arial" w:cs="Arial"/>
        </w:rPr>
        <w:t xml:space="preserve">ion at the single cell level and to map </w:t>
      </w:r>
      <w:r>
        <w:rPr>
          <w:rFonts w:ascii="Arial" w:hAnsi="Arial" w:cs="Arial"/>
        </w:rPr>
        <w:t xml:space="preserve">changes in secretion </w:t>
      </w:r>
      <w:r w:rsidR="002206A6">
        <w:rPr>
          <w:rFonts w:ascii="Arial" w:hAnsi="Arial" w:cs="Arial"/>
        </w:rPr>
        <w:t xml:space="preserve">due to cooperative interactions or </w:t>
      </w:r>
      <w:r>
        <w:rPr>
          <w:rFonts w:ascii="Arial" w:hAnsi="Arial" w:cs="Arial"/>
        </w:rPr>
        <w:t xml:space="preserve">exposure to </w:t>
      </w:r>
      <w:r w:rsidR="002206A6">
        <w:rPr>
          <w:rFonts w:ascii="Arial" w:hAnsi="Arial" w:cs="Arial"/>
          <w:lang w:val="en-US"/>
        </w:rPr>
        <w:t>therapeutics</w:t>
      </w:r>
      <w:r w:rsidRPr="0076518E">
        <w:rPr>
          <w:rFonts w:ascii="Arial" w:hAnsi="Arial" w:cs="Arial"/>
          <w:lang w:val="en-US"/>
        </w:rPr>
        <w:t xml:space="preserve"> </w:t>
      </w:r>
      <w:r>
        <w:rPr>
          <w:rFonts w:ascii="Arial" w:hAnsi="Arial" w:cs="Arial"/>
        </w:rPr>
        <w:t>are critical if we are to fully understand their role in both healthy and diseased states.</w:t>
      </w:r>
    </w:p>
    <w:p w14:paraId="57E5F4E9" w14:textId="29C05761" w:rsidR="001956F4" w:rsidRDefault="00456D8E" w:rsidP="00736B3A">
      <w:pPr>
        <w:spacing w:line="360" w:lineRule="auto"/>
        <w:ind w:left="-709"/>
        <w:rPr>
          <w:rFonts w:ascii="Arial" w:hAnsi="Arial" w:cs="Arial"/>
        </w:rPr>
      </w:pPr>
      <w:r>
        <w:rPr>
          <w:rFonts w:ascii="Arial" w:hAnsi="Arial" w:cs="Arial"/>
        </w:rPr>
        <w:t xml:space="preserve">Spatial confinement provided by microfluidic systems have been exploited </w:t>
      </w:r>
      <w:r w:rsidR="00D24B86">
        <w:rPr>
          <w:rFonts w:ascii="Arial" w:hAnsi="Arial" w:cs="Arial"/>
        </w:rPr>
        <w:t xml:space="preserve">for molecular analysis and the single cell </w:t>
      </w:r>
      <w:r w:rsidR="004F732D">
        <w:rPr>
          <w:rFonts w:ascii="Arial" w:hAnsi="Arial" w:cs="Arial"/>
        </w:rPr>
        <w:t>level and s</w:t>
      </w:r>
      <w:r w:rsidR="00D24B86">
        <w:rPr>
          <w:rFonts w:ascii="Arial" w:hAnsi="Arial" w:cs="Arial"/>
        </w:rPr>
        <w:t xml:space="preserve">ub-nanolitre microwell arrays have recently been employed to analyse </w:t>
      </w:r>
      <w:r w:rsidR="00D24B86" w:rsidRPr="00D24B86">
        <w:rPr>
          <w:rFonts w:ascii="Arial" w:hAnsi="Arial" w:cs="Arial"/>
          <w:lang w:val="en-US"/>
        </w:rPr>
        <w:t>protein secretion at single-cell resolution</w:t>
      </w:r>
      <w:r w:rsidR="00D24B86">
        <w:rPr>
          <w:rFonts w:ascii="Arial" w:hAnsi="Arial" w:cs="Arial"/>
          <w:lang w:val="en-US"/>
        </w:rPr>
        <w:t>.</w:t>
      </w:r>
      <w:r w:rsidR="004F732D">
        <w:rPr>
          <w:rFonts w:ascii="Arial" w:hAnsi="Arial" w:cs="Arial"/>
        </w:rPr>
        <w:fldChar w:fldCharType="begin" w:fldLock="1"/>
      </w:r>
      <w:r w:rsidR="00AB0567">
        <w:rPr>
          <w:rFonts w:ascii="Arial" w:hAnsi="Arial" w:cs="Arial"/>
        </w:rPr>
        <w:instrText>ADDIN CSL_CITATION { "citationItems" : [ { "id" : "ITEM-1", "itemData" : { "DOI" : "10.1038/srep04736", "ISSN" : "20452322", "PMID" : "24751898", "abstract" : "Protein secretion, a key intercellular event for transducing cellular signals, is thought to be strictly regulated. However, secretion dynamics at the single-cell level have not yet been clarified because intercellular heterogeneity results in an averaging response from the bulk cell population. To address this issue, we developed a novel assay platform for real-time imaging of protein secretion at single-cell resolution by a sandwich immunoassay monitored by total internal reflection microscopy in sub-nanolitre-sized microwell arrays. Real-time secretion imaging on the platform at 1-min time intervals allowed successful detection of the heterogeneous onset time of nonclassical IL-1\u03b2 secretion from monocytes after external stimulation. The platform also helped in elucidating the chronological relationship between loss of membrane integrity and IL-1\u03b2 secretion. The study results indicate that this unique monitoring platform will serve as a new and powerful tool for analysing protein secretion dynamics with simultaneous monitoring of intracellular events by live-cell imaging.", "author" : [ { "dropping-particle" : "", "family" : "Shirasaki", "given" : "Yoshitaka", "non-dropping-particle" : "", "parse-names" : false, "suffix" : "" }, { "dropping-particle" : "", "family" : "Yamagishi", "given" : "Mai", "non-dropping-particle" : "", "parse-names" : false, "suffix" : "" }, { "dropping-particle" : "", "family" : "Suzuki", "given" : "Nobutake", "non-dropping-particle" : "", "parse-names" : false, "suffix" : "" }, { "dropping-particle" : "", "family" : "Izawa", "given" : "Kazushi", "non-dropping-particle" : "", "parse-names" : false, "suffix" : "" }, { "dropping-particle" : "", "family" : "Nakahara", "given" : "Asahi", "non-dropping-particle" : "", "parse-names" : false, "suffix" : "" }, { "dropping-particle" : "", "family" : "Mizuno", "given" : "Jun", "non-dropping-particle" : "", "parse-names" : false, "suffix" : "" }, { "dropping-particle" : "", "family" : "Shoji", "given" : "Shuichi", "non-dropping-particle" : "", "parse-names" : false, "suffix" : "" }, { "dropping-particle" : "", "family" : "Heike", "given" : "Toshio", "non-dropping-particle" : "", "parse-names" : false, "suffix" : "" }, { "dropping-particle" : "", "family" : "Harada", "given" : "Yoshie", "non-dropping-particle" : "", "parse-names" : false, "suffix" : "" }, { "dropping-particle" : "", "family" : "Nishikomori", "given" : "Ryuta", "non-dropping-particle" : "", "parse-names" : false, "suffix" : "" }, { "dropping-particle" : "", "family" : "Ohara", "given" : "Osamu", "non-dropping-particle" : "", "parse-names" : false, "suffix" : "" } ], "container-title" : "Scientific Reports", "id" : "ITEM-1", "issued" : { "date-parts" : [ [ "2014" ] ] }, "title" : "Real-time single-cell imaging of protein secretion", "type" : "article-journal", "volume" : "4" }, "uris" : [ "http://www.mendeley.com/documents/?uuid=4f13cf02-cf56-4c3f-8f3d-91473a8f74bf" ] } ], "mendeley" : { "formattedCitation" : "(3)", "plainTextFormattedCitation" : "(3)", "previouslyFormattedCitation" : "&lt;sup&gt;3&lt;/sup&gt;" }, "properties" : { "noteIndex" : 0 }, "schema" : "https://github.com/citation-style-language/schema/raw/master/csl-citation.json" }</w:instrText>
      </w:r>
      <w:r w:rsidR="004F732D">
        <w:rPr>
          <w:rFonts w:ascii="Arial" w:hAnsi="Arial" w:cs="Arial"/>
        </w:rPr>
        <w:fldChar w:fldCharType="separate"/>
      </w:r>
      <w:r w:rsidR="00AB0567" w:rsidRPr="00AB0567">
        <w:rPr>
          <w:rFonts w:ascii="Arial" w:hAnsi="Arial" w:cs="Arial"/>
          <w:noProof/>
        </w:rPr>
        <w:t>(3)</w:t>
      </w:r>
      <w:r w:rsidR="004F732D">
        <w:rPr>
          <w:rFonts w:ascii="Arial" w:hAnsi="Arial" w:cs="Arial"/>
        </w:rPr>
        <w:fldChar w:fldCharType="end"/>
      </w:r>
      <w:r w:rsidR="00D24B86">
        <w:rPr>
          <w:rFonts w:ascii="Arial" w:hAnsi="Arial" w:cs="Arial"/>
          <w:lang w:val="en-US"/>
        </w:rPr>
        <w:t xml:space="preserve"> Here, protein detection was achieved using a sandwich immunoassay with a fluorescently labelled </w:t>
      </w:r>
      <w:r w:rsidR="006F4713">
        <w:rPr>
          <w:rFonts w:ascii="Arial" w:hAnsi="Arial" w:cs="Arial"/>
          <w:lang w:val="en-US"/>
        </w:rPr>
        <w:t>detection</w:t>
      </w:r>
      <w:r w:rsidR="00D24B86">
        <w:rPr>
          <w:rFonts w:ascii="Arial" w:hAnsi="Arial" w:cs="Arial"/>
          <w:lang w:val="en-US"/>
        </w:rPr>
        <w:t xml:space="preserve"> antibody in which the fluorophore was excited </w:t>
      </w:r>
      <w:r w:rsidR="00D24B86" w:rsidRPr="00D24B86">
        <w:rPr>
          <w:rFonts w:ascii="Arial" w:hAnsi="Arial" w:cs="Arial"/>
          <w:lang w:val="en-US"/>
        </w:rPr>
        <w:t>by total</w:t>
      </w:r>
      <w:r w:rsidR="00D24B86">
        <w:rPr>
          <w:rFonts w:ascii="Arial" w:hAnsi="Arial" w:cs="Arial"/>
          <w:lang w:val="en-US"/>
        </w:rPr>
        <w:t xml:space="preserve"> internal reflection microscopy. While </w:t>
      </w:r>
      <w:r w:rsidR="00E345E8">
        <w:rPr>
          <w:rFonts w:ascii="Arial" w:hAnsi="Arial" w:cs="Arial"/>
          <w:lang w:val="en-US"/>
        </w:rPr>
        <w:t xml:space="preserve">providing insight into the kinetics of protein secretion from single cells, the </w:t>
      </w:r>
      <w:r w:rsidR="00E345E8" w:rsidRPr="00E345E8">
        <w:rPr>
          <w:rFonts w:ascii="Arial" w:hAnsi="Arial" w:cs="Arial"/>
          <w:lang w:val="en-US"/>
        </w:rPr>
        <w:t xml:space="preserve">binding of the detection </w:t>
      </w:r>
      <w:r w:rsidR="00E345E8" w:rsidRPr="00E345E8">
        <w:rPr>
          <w:rFonts w:ascii="Arial" w:hAnsi="Arial" w:cs="Arial"/>
          <w:lang w:val="en-US"/>
        </w:rPr>
        <w:lastRenderedPageBreak/>
        <w:t>antibody t</w:t>
      </w:r>
      <w:r w:rsidR="00E345E8">
        <w:rPr>
          <w:rFonts w:ascii="Arial" w:hAnsi="Arial" w:cs="Arial"/>
          <w:lang w:val="en-US"/>
        </w:rPr>
        <w:t>o form sandwich immunocomplexes</w:t>
      </w:r>
      <w:r w:rsidR="006F4713">
        <w:rPr>
          <w:rFonts w:ascii="Arial" w:hAnsi="Arial" w:cs="Arial"/>
          <w:lang w:val="en-US"/>
        </w:rPr>
        <w:t xml:space="preserve"> is the rate limiting step, ultimately limiting the temporal resolution of this approach</w:t>
      </w:r>
      <w:r w:rsidR="00E345E8">
        <w:rPr>
          <w:rFonts w:ascii="Arial" w:hAnsi="Arial" w:cs="Arial"/>
          <w:lang w:val="en-US"/>
        </w:rPr>
        <w:t>. Furthermore, the need to spatially confine single cells within individual microwells precludes the possibility of mapping protein secretion in cellular communities in which protein secretion is orchestrated between interacting cells.</w:t>
      </w:r>
      <w:r w:rsidR="00B557D9">
        <w:rPr>
          <w:rFonts w:ascii="Arial" w:hAnsi="Arial" w:cs="Arial"/>
          <w:lang w:val="en-US"/>
        </w:rPr>
        <w:t xml:space="preserve"> </w:t>
      </w:r>
      <w:r w:rsidR="00D530A9">
        <w:rPr>
          <w:rFonts w:ascii="Arial" w:hAnsi="Arial" w:cs="Arial"/>
        </w:rPr>
        <w:t xml:space="preserve">More recently, an optofluidic approach based on </w:t>
      </w:r>
      <w:proofErr w:type="spellStart"/>
      <w:r w:rsidR="00D530A9">
        <w:rPr>
          <w:rFonts w:ascii="Arial" w:hAnsi="Arial" w:cs="Arial"/>
        </w:rPr>
        <w:t>nanoplasmonic</w:t>
      </w:r>
      <w:proofErr w:type="spellEnd"/>
      <w:r w:rsidR="00D530A9">
        <w:rPr>
          <w:rFonts w:ascii="Arial" w:hAnsi="Arial" w:cs="Arial"/>
        </w:rPr>
        <w:t xml:space="preserve"> sensing has been proven as a specific and sensitive technique to measure cytokine secretion at the single-cell level</w:t>
      </w:r>
      <w:r w:rsidR="00D530A9">
        <w:rPr>
          <w:rFonts w:ascii="Arial" w:hAnsi="Arial" w:cs="Arial"/>
        </w:rPr>
        <w:fldChar w:fldCharType="begin" w:fldLock="1"/>
      </w:r>
      <w:r w:rsidR="00AB0567">
        <w:rPr>
          <w:rFonts w:ascii="Arial" w:hAnsi="Arial" w:cs="Arial"/>
        </w:rPr>
        <w:instrText>ADDIN CSL_CITATION { "citationItems" : [ { "id" : "ITEM-1", "itemData" : { "DOI" : "10.1002/smll.201800698", "ISSN" : "16136829", "abstract" : "\u00a9 2018 WILEY-VCH Verlag GmbH  &amp;  Co. KGaA, Weinheim. Single-cell analysis of cytokine secretion is essential to understand the heterogeneity of cellular functionalities and develop novel therapies for multiple diseases. Unraveling the dynamic secretion process at single-cell resolution reveals the real-time functional status of individual cells. Fluorescent and colorimetric-based methodologies require tedious molecular labeling that brings inevitable interferences with cell integrity and compromises the temporal resolution. An innovative label-free optofluidic nanoplasmonic biosensor is introduced for single-cell analysis in real time. The nanobiosensor incorporates a novel design of a multifunctional microfluidic system with small volume microchamber and regulation channels for reliable monitoring of cytokine secretion from individual cells for hours. Different interleukin-2 secretion profiles are detected and distinguished from single lymphoma cells. The sensor configuration combined with optical spectroscopic imaging further allows us to determine the spatial single-cell secretion fingerprints in real time. This new biosensor system is anticipated to be a powerful tool to characterize single-cell signaling for basic and clinical research.", "author" : [ { "dropping-particle" : "", "family" : "Li", "given" : "Xiaokang", "non-dropping-particle" : "", "parse-names" : false, "suffix" : "" }, { "dropping-particle" : "", "family" : "Soler", "given" : "Maria", "non-dropping-particle" : "", "parse-names" : false, "suffix" : "" }, { "dropping-particle" : "", "family" : "Szydzik", "given" : "Crispin", "non-dropping-particle" : "", "parse-names" : false, "suffix" : "" }, { "dropping-particle" : "", "family" : "Khoshmanesh", "given" : "Khashayar", "non-dropping-particle" : "", "parse-names" : false, "suffix" : "" }, { "dropping-particle" : "", "family" : "Schmidt", "given" : "Julien", "non-dropping-particle" : "", "parse-names" : false, "suffix" : "" }, { "dropping-particle" : "", "family" : "Coukos", "given" : "George", "non-dropping-particle" : "", "parse-names" : false, "suffix" : "" }, { "dropping-particle" : "", "family" : "Mitchell", "given" : "Arnan", "non-dropping-particle" : "", "parse-names" : false, "suffix" : "" }, { "dropping-particle" : "", "family" : "Altug", "given" : "Hatice", "non-dropping-particle" : "", "parse-names" : false, "suffix" : "" } ], "container-title" : "Small", "id" : "ITEM-1", "issued" : { "date-parts" : [ [ "2018" ] ] }, "page" : "1-11", "title" : "Label-Free Optofluidic Nanobiosensor Enables Real-Time Analysis of Single-Cell Cytokine Secretion", "type" : "article-journal", "volume" : "1800698" }, "uris" : [ "http://www.mendeley.com/documents/?uuid=f17ee643-93d0-4fb0-93ac-8f2f90d9ffe7" ] } ], "mendeley" : { "formattedCitation" : "(4)", "plainTextFormattedCitation" : "(4)", "previouslyFormattedCitation" : "&lt;sup&gt;4&lt;/sup&gt;" }, "properties" : { "noteIndex" : 0 }, "schema" : "https://github.com/citation-style-language/schema/raw/master/csl-citation.json" }</w:instrText>
      </w:r>
      <w:r w:rsidR="00D530A9">
        <w:rPr>
          <w:rFonts w:ascii="Arial" w:hAnsi="Arial" w:cs="Arial"/>
        </w:rPr>
        <w:fldChar w:fldCharType="separate"/>
      </w:r>
      <w:r w:rsidR="00AB0567" w:rsidRPr="00AB0567">
        <w:rPr>
          <w:rFonts w:ascii="Arial" w:hAnsi="Arial" w:cs="Arial"/>
          <w:noProof/>
        </w:rPr>
        <w:t>(4)</w:t>
      </w:r>
      <w:r w:rsidR="00D530A9">
        <w:rPr>
          <w:rFonts w:ascii="Arial" w:hAnsi="Arial" w:cs="Arial"/>
        </w:rPr>
        <w:fldChar w:fldCharType="end"/>
      </w:r>
      <w:r w:rsidR="00D530A9">
        <w:rPr>
          <w:rFonts w:ascii="Arial" w:hAnsi="Arial" w:cs="Arial"/>
        </w:rPr>
        <w:t xml:space="preserve">. </w:t>
      </w:r>
      <w:r w:rsidR="006145EF">
        <w:rPr>
          <w:rFonts w:ascii="Arial" w:hAnsi="Arial" w:cs="Arial"/>
        </w:rPr>
        <w:t xml:space="preserve">While overcoming the need </w:t>
      </w:r>
      <w:r w:rsidR="00656A9D">
        <w:rPr>
          <w:rFonts w:ascii="Arial" w:hAnsi="Arial" w:cs="Arial"/>
        </w:rPr>
        <w:t>for a</w:t>
      </w:r>
      <w:r w:rsidR="006145EF">
        <w:rPr>
          <w:rFonts w:ascii="Arial" w:hAnsi="Arial" w:cs="Arial"/>
        </w:rPr>
        <w:t xml:space="preserve"> detecti</w:t>
      </w:r>
      <w:r w:rsidR="00656A9D">
        <w:rPr>
          <w:rFonts w:ascii="Arial" w:hAnsi="Arial" w:cs="Arial"/>
        </w:rPr>
        <w:t>on</w:t>
      </w:r>
      <w:r w:rsidR="006145EF">
        <w:rPr>
          <w:rFonts w:ascii="Arial" w:hAnsi="Arial" w:cs="Arial"/>
        </w:rPr>
        <w:t xml:space="preserve"> antibody due to its intrinsic ultra-sensitivity (detection limit in the </w:t>
      </w:r>
      <w:proofErr w:type="spellStart"/>
      <w:r w:rsidR="006145EF">
        <w:rPr>
          <w:rFonts w:ascii="Arial" w:hAnsi="Arial" w:cs="Arial"/>
        </w:rPr>
        <w:t>pg</w:t>
      </w:r>
      <w:proofErr w:type="spellEnd"/>
      <w:r w:rsidR="006145EF">
        <w:rPr>
          <w:rFonts w:ascii="Arial" w:hAnsi="Arial" w:cs="Arial"/>
        </w:rPr>
        <w:t xml:space="preserve">/mL range), this </w:t>
      </w:r>
      <w:r w:rsidR="006145EF" w:rsidRPr="006145EF">
        <w:rPr>
          <w:rFonts w:ascii="Arial" w:hAnsi="Arial" w:cs="Arial"/>
        </w:rPr>
        <w:t>spectroscopic</w:t>
      </w:r>
      <w:r w:rsidR="006145EF">
        <w:rPr>
          <w:rFonts w:ascii="Arial" w:hAnsi="Arial" w:cs="Arial"/>
        </w:rPr>
        <w:t xml:space="preserve"> approach is designed to report protein secretion from an isolated single-cell, thus is not able to map orchestrated protein secretion in cellular communities or provide high throughput analysis of secretion dynamics. </w:t>
      </w:r>
      <w:r w:rsidR="00D530A9">
        <w:rPr>
          <w:rFonts w:ascii="Arial" w:hAnsi="Arial" w:cs="Arial"/>
          <w:lang w:val="en-US"/>
        </w:rPr>
        <w:t>Similarly</w:t>
      </w:r>
      <w:r w:rsidR="00B557D9">
        <w:rPr>
          <w:rFonts w:ascii="Arial" w:hAnsi="Arial" w:cs="Arial"/>
          <w:lang w:val="en-US"/>
        </w:rPr>
        <w:t xml:space="preserve">, McDonald </w:t>
      </w:r>
      <w:r w:rsidR="00B557D9">
        <w:rPr>
          <w:rFonts w:ascii="Arial" w:hAnsi="Arial" w:cs="Arial"/>
          <w:i/>
          <w:lang w:val="en-US"/>
        </w:rPr>
        <w:t>et al</w:t>
      </w:r>
      <w:r w:rsidR="00B557D9">
        <w:rPr>
          <w:rFonts w:ascii="Arial" w:hAnsi="Arial" w:cs="Arial"/>
          <w:lang w:val="en-US"/>
        </w:rPr>
        <w:t xml:space="preserve">. demonstrated an alternative approach for the </w:t>
      </w:r>
      <w:r w:rsidR="009022AA" w:rsidRPr="009022AA">
        <w:rPr>
          <w:rFonts w:ascii="Arial" w:hAnsi="Arial" w:cs="Arial"/>
        </w:rPr>
        <w:t xml:space="preserve">real-time detection </w:t>
      </w:r>
      <w:r w:rsidR="00B557D9">
        <w:rPr>
          <w:rFonts w:ascii="Arial" w:hAnsi="Arial" w:cs="Arial"/>
        </w:rPr>
        <w:t xml:space="preserve">of secreted </w:t>
      </w:r>
      <w:r w:rsidR="009022AA" w:rsidRPr="009022AA">
        <w:rPr>
          <w:rFonts w:ascii="Arial" w:hAnsi="Arial" w:cs="Arial"/>
        </w:rPr>
        <w:t xml:space="preserve">proteins </w:t>
      </w:r>
      <w:r w:rsidR="00B557D9">
        <w:rPr>
          <w:rFonts w:ascii="Arial" w:hAnsi="Arial" w:cs="Arial"/>
        </w:rPr>
        <w:t xml:space="preserve">based on </w:t>
      </w:r>
      <w:r w:rsidR="009022AA" w:rsidRPr="009022AA">
        <w:rPr>
          <w:rFonts w:ascii="Arial" w:hAnsi="Arial" w:cs="Arial"/>
        </w:rPr>
        <w:t>interferometric dete</w:t>
      </w:r>
      <w:r w:rsidR="00B557D9">
        <w:rPr>
          <w:rFonts w:ascii="Arial" w:hAnsi="Arial" w:cs="Arial"/>
        </w:rPr>
        <w:t>ction of scattered light (</w:t>
      </w:r>
      <w:proofErr w:type="spellStart"/>
      <w:r w:rsidR="00B557D9">
        <w:rPr>
          <w:rFonts w:ascii="Arial" w:hAnsi="Arial" w:cs="Arial"/>
        </w:rPr>
        <w:t>iSCAT</w:t>
      </w:r>
      <w:proofErr w:type="spellEnd"/>
      <w:r w:rsidR="00B557D9">
        <w:rPr>
          <w:rFonts w:ascii="Arial" w:hAnsi="Arial" w:cs="Arial"/>
        </w:rPr>
        <w:t>)</w:t>
      </w:r>
      <w:r w:rsidR="000F6C54">
        <w:rPr>
          <w:rFonts w:ascii="Arial" w:hAnsi="Arial" w:cs="Arial"/>
        </w:rPr>
        <w:fldChar w:fldCharType="begin" w:fldLock="1"/>
      </w:r>
      <w:r w:rsidR="00AB0567">
        <w:rPr>
          <w:rFonts w:ascii="Arial" w:hAnsi="Arial" w:cs="Arial"/>
        </w:rPr>
        <w:instrText>ADDIN CSL_CITATION { "citationItems" : [ { "id" : "ITEM-1", "itemData" : { "DOI" : "10.1021/acs.nanolett.7b04494", "ISSN" : "15306992", "PMID" : "29227108", "abstract" : "Cellular secretion of proteins into the extracellular environment is an essential mediator of critical biological mechanisms, including cell-to-cell communication, immunological response, targeted delivery, and differentiation. Here, we report a novel methodology that allows for the real-time detection and imaging of single unlabeled proteins that are secreted from individual living cells. This is accomplished via interferometric detection of scattered light (iSCAT), and is demonstrated with Laz388 cells\u2014an Epstein-Barr virus (EBV) transformed B cell line. We find that single Laz388 cells actively secrete IgG antibodies at a rate of the order of 100 molecules per second. Intriguingly, we also find that other proteins and particles spanning ca. 100 kDa \u2013 1 MDa are secreted from the Laz388 cells in tandem with IgG antibody release, likely arising from EBV-related viral proteins. The technique is general, and as we show, can also be applied to studying the lysate of a single cell. Our results establish label...", "author" : [ { "dropping-particle" : "", "family" : "McDonald", "given" : "Matthew P.", "non-dropping-particle" : "", "parse-names" : false, "suffix" : "" }, { "dropping-particle" : "", "family" : "Gemeinhardt", "given" : "Andr\u00e9", "non-dropping-particle" : "", "parse-names" : false, "suffix" : "" }, { "dropping-particle" : "", "family" : "K\u00f6nig", "given" : "Katharina", "non-dropping-particle" : "", "parse-names" : false, "suffix" : "" }, { "dropping-particle" : "", "family" : "Piliarik", "given" : "Marek", "non-dropping-particle" : "", "parse-names" : false, "suffix" : "" }, { "dropping-particle" : "", "family" : "Schaffer", "given" : "Stefanie", "non-dropping-particle" : "", "parse-names" : false, "suffix" : "" }, { "dropping-particle" : "", "family" : "V\u00f6lkl", "given" : "Simon", "non-dropping-particle" : "", "parse-names" : false, "suffix" : "" }, { "dropping-particle" : "", "family" : "Aigner", "given" : "Michael", "non-dropping-particle" : "", "parse-names" : false, "suffix" : "" }, { "dropping-particle" : "", "family" : "Mackensen", "given" : "Andreas", "non-dropping-particle" : "", "parse-names" : false, "suffix" : "" }, { "dropping-particle" : "", "family" : "Sandoghdar", "given" : "Vahid", "non-dropping-particle" : "", "parse-names" : false, "suffix" : "" } ], "container-title" : "Nano Letters", "id" : "ITEM-1", "issue" : "1", "issued" : { "date-parts" : [ [ "2018" ] ] }, "page" : "513-519", "title" : "Visualizing Single-Cell Secretion Dynamics with Single-Protein Sensitivity", "type" : "article-journal", "volume" : "18" }, "uris" : [ "http://www.mendeley.com/documents/?uuid=a7ed217a-0453-42ff-a7fc-f4615e7db0cf" ] } ], "mendeley" : { "formattedCitation" : "(5)", "plainTextFormattedCitation" : "(5)", "previouslyFormattedCitation" : "&lt;sup&gt;5&lt;/sup&gt;" }, "properties" : { "noteIndex" : 0 }, "schema" : "https://github.com/citation-style-language/schema/raw/master/csl-citation.json" }</w:instrText>
      </w:r>
      <w:r w:rsidR="000F6C54">
        <w:rPr>
          <w:rFonts w:ascii="Arial" w:hAnsi="Arial" w:cs="Arial"/>
        </w:rPr>
        <w:fldChar w:fldCharType="separate"/>
      </w:r>
      <w:r w:rsidR="00AB0567" w:rsidRPr="00AB0567">
        <w:rPr>
          <w:rFonts w:ascii="Arial" w:hAnsi="Arial" w:cs="Arial"/>
          <w:noProof/>
        </w:rPr>
        <w:t>(5)</w:t>
      </w:r>
      <w:r w:rsidR="000F6C54">
        <w:rPr>
          <w:rFonts w:ascii="Arial" w:hAnsi="Arial" w:cs="Arial"/>
        </w:rPr>
        <w:fldChar w:fldCharType="end"/>
      </w:r>
      <w:r w:rsidR="00B557D9">
        <w:rPr>
          <w:rFonts w:ascii="Arial" w:hAnsi="Arial" w:cs="Arial"/>
        </w:rPr>
        <w:t xml:space="preserve">. While this removed the limitations imposed by fluorescently labelled antibodies and microfluidic confinement, the lack of immunoreagents limits the specificity of the approach; </w:t>
      </w:r>
      <w:proofErr w:type="spellStart"/>
      <w:r w:rsidR="00B557D9">
        <w:rPr>
          <w:rFonts w:ascii="Arial" w:hAnsi="Arial" w:cs="Arial"/>
        </w:rPr>
        <w:t>iSCAT</w:t>
      </w:r>
      <w:proofErr w:type="spellEnd"/>
      <w:r w:rsidR="00B557D9">
        <w:rPr>
          <w:rFonts w:ascii="Arial" w:hAnsi="Arial" w:cs="Arial"/>
        </w:rPr>
        <w:t xml:space="preserve"> is sensitive to individual proteins with molecular weights in the </w:t>
      </w:r>
      <w:r w:rsidR="00B557D9" w:rsidRPr="00B557D9">
        <w:rPr>
          <w:rFonts w:ascii="Arial" w:hAnsi="Arial" w:cs="Arial"/>
        </w:rPr>
        <w:t xml:space="preserve">range 100−1100 </w:t>
      </w:r>
      <w:proofErr w:type="spellStart"/>
      <w:r w:rsidR="00B557D9" w:rsidRPr="00B557D9">
        <w:rPr>
          <w:rFonts w:ascii="Arial" w:hAnsi="Arial" w:cs="Arial"/>
        </w:rPr>
        <w:t>kDa</w:t>
      </w:r>
      <w:proofErr w:type="spellEnd"/>
      <w:r w:rsidR="001E768C">
        <w:rPr>
          <w:rFonts w:ascii="Arial" w:hAnsi="Arial" w:cs="Arial"/>
        </w:rPr>
        <w:t>,</w:t>
      </w:r>
      <w:r w:rsidR="002F00F1">
        <w:rPr>
          <w:rFonts w:ascii="Arial" w:hAnsi="Arial" w:cs="Arial"/>
        </w:rPr>
        <w:t xml:space="preserve"> </w:t>
      </w:r>
      <w:r w:rsidR="00B557D9">
        <w:rPr>
          <w:rFonts w:ascii="Arial" w:hAnsi="Arial" w:cs="Arial"/>
        </w:rPr>
        <w:t xml:space="preserve">but </w:t>
      </w:r>
      <w:r w:rsidR="001E768C">
        <w:rPr>
          <w:rFonts w:ascii="Arial" w:hAnsi="Arial" w:cs="Arial"/>
        </w:rPr>
        <w:t>lacks specificity to</w:t>
      </w:r>
      <w:r w:rsidR="00B557D9">
        <w:rPr>
          <w:rFonts w:ascii="Arial" w:hAnsi="Arial" w:cs="Arial"/>
        </w:rPr>
        <w:t xml:space="preserve"> differentiate between proteins within this range. Fu</w:t>
      </w:r>
      <w:r w:rsidR="001E768C">
        <w:rPr>
          <w:rFonts w:ascii="Arial" w:hAnsi="Arial" w:cs="Arial"/>
        </w:rPr>
        <w:t xml:space="preserve">rthermore, the field of view was here limited to only </w:t>
      </w:r>
      <w:r w:rsidR="001E768C" w:rsidRPr="001E768C">
        <w:rPr>
          <w:rFonts w:ascii="Arial" w:hAnsi="Arial" w:cs="Arial"/>
        </w:rPr>
        <w:t xml:space="preserve">6 </w:t>
      </w:r>
      <w:r w:rsidR="001E768C" w:rsidRPr="001E768C">
        <w:rPr>
          <w:rFonts w:ascii="Cambria Math" w:hAnsi="Cambria Math" w:cs="Cambria Math"/>
        </w:rPr>
        <w:t>𝜇</w:t>
      </w:r>
      <w:r w:rsidR="001E768C" w:rsidRPr="000F6C54">
        <w:rPr>
          <w:rFonts w:ascii="Arial" w:hAnsi="Arial" w:cs="Arial"/>
        </w:rPr>
        <w:t xml:space="preserve">m, </w:t>
      </w:r>
      <w:r w:rsidR="006145EF">
        <w:rPr>
          <w:rFonts w:ascii="Arial" w:hAnsi="Arial" w:cs="Arial"/>
        </w:rPr>
        <w:t>again unable to report parallel secretion from single cells within large populations.</w:t>
      </w:r>
      <w:r w:rsidR="001E768C">
        <w:rPr>
          <w:rFonts w:ascii="Arial" w:hAnsi="Arial" w:cs="Arial"/>
        </w:rPr>
        <w:t xml:space="preserve"> </w:t>
      </w:r>
    </w:p>
    <w:p w14:paraId="5A1FD716" w14:textId="7202DDBF" w:rsidR="004F25A2" w:rsidRDefault="001956F4" w:rsidP="00736B3A">
      <w:pPr>
        <w:spacing w:line="360" w:lineRule="auto"/>
        <w:ind w:left="-709"/>
        <w:rPr>
          <w:rFonts w:ascii="Arial" w:hAnsi="Arial" w:cs="Arial"/>
          <w:lang w:val="en-US"/>
        </w:rPr>
      </w:pPr>
      <w:r>
        <w:rPr>
          <w:rFonts w:ascii="Arial" w:hAnsi="Arial" w:cs="Arial"/>
          <w:lang w:val="en-US"/>
        </w:rPr>
        <w:t xml:space="preserve">Here, we present a simple, yet powerful technology to monitor and quantify </w:t>
      </w:r>
      <w:r w:rsidR="008575DD">
        <w:rPr>
          <w:rFonts w:ascii="Arial" w:hAnsi="Arial" w:cs="Arial"/>
          <w:lang w:val="en-US"/>
        </w:rPr>
        <w:t xml:space="preserve">orchestrated </w:t>
      </w:r>
      <w:r>
        <w:rPr>
          <w:rFonts w:ascii="Arial" w:hAnsi="Arial" w:cs="Arial"/>
          <w:lang w:val="en-US"/>
        </w:rPr>
        <w:t xml:space="preserve">cell-signaling at the single cell level, in real-time and in a label-free manner </w:t>
      </w:r>
      <w:r w:rsidR="002D3271">
        <w:rPr>
          <w:rFonts w:ascii="Arial" w:hAnsi="Arial" w:cs="Arial"/>
          <w:lang w:val="en-US"/>
        </w:rPr>
        <w:t xml:space="preserve">using </w:t>
      </w:r>
      <w:r>
        <w:rPr>
          <w:rFonts w:ascii="Arial" w:hAnsi="Arial" w:cs="Arial"/>
          <w:lang w:val="en-US"/>
        </w:rPr>
        <w:t>photonic crystal resonant imaging.</w:t>
      </w:r>
      <w:r w:rsidR="00326A01">
        <w:rPr>
          <w:rFonts w:ascii="Arial" w:hAnsi="Arial" w:cs="Arial"/>
          <w:lang w:val="en-US"/>
        </w:rPr>
        <w:t xml:space="preserve"> Photonic crystal structures, including 1D gratings, have recently gained considerable attention as they offer the same evanescence wave sensing principle</w:t>
      </w:r>
      <w:r w:rsidR="00326A01">
        <w:rPr>
          <w:rFonts w:ascii="Arial" w:hAnsi="Arial" w:cs="Arial"/>
          <w:lang w:val="en-US"/>
        </w:rPr>
        <w:fldChar w:fldCharType="begin" w:fldLock="1"/>
      </w:r>
      <w:r w:rsidR="00AB0567">
        <w:rPr>
          <w:rFonts w:ascii="Arial" w:hAnsi="Arial" w:cs="Arial"/>
          <w:lang w:val="en-US"/>
        </w:rPr>
        <w:instrText>ADDIN CSL_CITATION { "citationItems" : [ { "id" : "ITEM-1", "itemData" : { "DOI" : "10.1088/2040-8986/aac75b", "ISSN" : "2040-8978", "author" : [ { "dropping-particle" : "", "family" : "Pitruzzello", "given" : "Giampaolo", "non-dropping-particle" : "", "parse-names" : false, "suffix" : "" }, { "dropping-particle" : "", "family" : "Krauss", "given" : "Thomas F", "non-dropping-particle" : "", "parse-names" : false, "suffix" : "" } ], "container-title" : "Journal of Optics", "id" : "ITEM-1", "issued" : { "date-parts" : [ [ "2018", "5", "23" ] ] }, "title" : "Photonic crystal resonances for sensing and imaging", "type" : "article-journal" }, "uris" : [ "http://www.mendeley.com/documents/?uuid=41801d8f-545f-33b0-ac08-20acebb6c996" ] } ], "mendeley" : { "formattedCitation" : "(6)", "plainTextFormattedCitation" : "(6)", "previouslyFormattedCitation" : "&lt;sup&gt;6&lt;/sup&gt;" }, "properties" : { "noteIndex" : 0 }, "schema" : "https://github.com/citation-style-language/schema/raw/master/csl-citation.json" }</w:instrText>
      </w:r>
      <w:r w:rsidR="00326A01">
        <w:rPr>
          <w:rFonts w:ascii="Arial" w:hAnsi="Arial" w:cs="Arial"/>
          <w:lang w:val="en-US"/>
        </w:rPr>
        <w:fldChar w:fldCharType="separate"/>
      </w:r>
      <w:r w:rsidR="00AB0567" w:rsidRPr="00AB0567">
        <w:rPr>
          <w:rFonts w:ascii="Arial" w:hAnsi="Arial" w:cs="Arial"/>
          <w:noProof/>
          <w:lang w:val="en-US"/>
        </w:rPr>
        <w:t>(6)</w:t>
      </w:r>
      <w:r w:rsidR="00326A01">
        <w:rPr>
          <w:rFonts w:ascii="Arial" w:hAnsi="Arial" w:cs="Arial"/>
          <w:lang w:val="en-US"/>
        </w:rPr>
        <w:fldChar w:fldCharType="end"/>
      </w:r>
      <w:r w:rsidR="00326A01">
        <w:rPr>
          <w:rFonts w:ascii="Arial" w:hAnsi="Arial" w:cs="Arial"/>
          <w:lang w:val="en-US"/>
        </w:rPr>
        <w:t xml:space="preserve"> and performance of </w:t>
      </w:r>
      <w:r w:rsidR="0084107E">
        <w:rPr>
          <w:rFonts w:ascii="Arial" w:hAnsi="Arial" w:cs="Arial"/>
          <w:lang w:val="en-US"/>
        </w:rPr>
        <w:t>surface plasmon resonant (</w:t>
      </w:r>
      <w:r w:rsidR="00326A01">
        <w:rPr>
          <w:rFonts w:ascii="Arial" w:hAnsi="Arial" w:cs="Arial"/>
          <w:lang w:val="en-US"/>
        </w:rPr>
        <w:t>SPR</w:t>
      </w:r>
      <w:r w:rsidR="0084107E">
        <w:rPr>
          <w:rFonts w:ascii="Arial" w:hAnsi="Arial" w:cs="Arial"/>
          <w:lang w:val="en-US"/>
        </w:rPr>
        <w:t>) sensors</w:t>
      </w:r>
      <w:r w:rsidR="00326A01">
        <w:rPr>
          <w:rFonts w:ascii="Arial" w:hAnsi="Arial" w:cs="Arial"/>
          <w:lang w:val="en-US"/>
        </w:rPr>
        <w:t xml:space="preserve"> without the </w:t>
      </w:r>
      <w:r w:rsidR="0084107E">
        <w:rPr>
          <w:rFonts w:ascii="Arial" w:hAnsi="Arial" w:cs="Arial"/>
          <w:lang w:val="en-US"/>
        </w:rPr>
        <w:t xml:space="preserve">need of complex instrumentation e.g. bulk </w:t>
      </w:r>
      <w:r w:rsidR="0084107E" w:rsidRPr="0008044C">
        <w:rPr>
          <w:rFonts w:ascii="Arial" w:hAnsi="Arial" w:cs="Arial"/>
          <w:lang w:val="en-US"/>
        </w:rPr>
        <w:t>prism-coupling instrumentation</w:t>
      </w:r>
      <w:r w:rsidR="0084107E">
        <w:rPr>
          <w:rFonts w:ascii="Arial" w:hAnsi="Arial" w:cs="Arial"/>
          <w:lang w:val="en-US"/>
        </w:rPr>
        <w:t>,</w:t>
      </w:r>
      <w:r w:rsidR="00326A01">
        <w:rPr>
          <w:rFonts w:ascii="Arial" w:hAnsi="Arial" w:cs="Arial"/>
          <w:lang w:val="en-US"/>
        </w:rPr>
        <w:t xml:space="preserve"> allowing further integration with diverse laboratory based apparatus</w:t>
      </w:r>
      <w:r w:rsidR="0084107E">
        <w:rPr>
          <w:rFonts w:ascii="Arial" w:hAnsi="Arial" w:cs="Arial"/>
          <w:lang w:val="en-US"/>
        </w:rPr>
        <w:t>, such as phase contrast and fluorescent microscopy</w:t>
      </w:r>
      <w:r w:rsidR="00326A01">
        <w:rPr>
          <w:rFonts w:ascii="Arial" w:hAnsi="Arial" w:cs="Arial"/>
          <w:lang w:val="en-US"/>
        </w:rPr>
        <w:t>. Photonic crystal resonant surfaces (</w:t>
      </w:r>
      <w:r w:rsidR="002D3271">
        <w:rPr>
          <w:rFonts w:ascii="Arial" w:hAnsi="Arial" w:cs="Arial"/>
          <w:lang w:val="en-US"/>
        </w:rPr>
        <w:t>PCRS</w:t>
      </w:r>
      <w:r w:rsidR="00326A01">
        <w:rPr>
          <w:rFonts w:ascii="Arial" w:hAnsi="Arial" w:cs="Arial"/>
          <w:lang w:val="en-US"/>
        </w:rPr>
        <w:t>) consisting of silicon nitride (Si</w:t>
      </w:r>
      <w:r w:rsidR="00326A01">
        <w:rPr>
          <w:rFonts w:ascii="Arial" w:hAnsi="Arial" w:cs="Arial"/>
          <w:vertAlign w:val="subscript"/>
          <w:lang w:val="en-US"/>
        </w:rPr>
        <w:t>3</w:t>
      </w:r>
      <w:r w:rsidR="00326A01">
        <w:rPr>
          <w:rFonts w:ascii="Arial" w:hAnsi="Arial" w:cs="Arial"/>
          <w:lang w:val="en-US"/>
        </w:rPr>
        <w:t>N</w:t>
      </w:r>
      <w:r w:rsidR="00326A01">
        <w:rPr>
          <w:rFonts w:ascii="Arial" w:hAnsi="Arial" w:cs="Arial"/>
          <w:vertAlign w:val="subscript"/>
          <w:lang w:val="en-US"/>
        </w:rPr>
        <w:t>4</w:t>
      </w:r>
      <w:r w:rsidR="00326A01">
        <w:rPr>
          <w:rFonts w:ascii="Arial" w:hAnsi="Arial" w:cs="Arial"/>
          <w:lang w:val="en-US"/>
        </w:rPr>
        <w:t>), or titanium dioxide (TiO</w:t>
      </w:r>
      <w:r w:rsidR="00326A01">
        <w:rPr>
          <w:rFonts w:ascii="Arial" w:hAnsi="Arial" w:cs="Arial"/>
          <w:vertAlign w:val="subscript"/>
          <w:lang w:val="en-US"/>
        </w:rPr>
        <w:t>2</w:t>
      </w:r>
      <w:r w:rsidR="00326A01">
        <w:rPr>
          <w:rFonts w:ascii="Arial" w:hAnsi="Arial" w:cs="Arial"/>
          <w:lang w:val="en-US"/>
        </w:rPr>
        <w:t>), have been demonstrated that allow label-free cellular imaging with subcellular spatial resolution (resolution 2-6 µm depending on the device orientation) through resonant wavelength based hyperspectral imaging</w:t>
      </w:r>
      <w:r w:rsidR="00326A01">
        <w:rPr>
          <w:rFonts w:ascii="Arial" w:hAnsi="Arial" w:cs="Arial"/>
          <w:lang w:val="en-US"/>
        </w:rPr>
        <w:fldChar w:fldCharType="begin" w:fldLock="1"/>
      </w:r>
      <w:r w:rsidR="00AB0567">
        <w:rPr>
          <w:rFonts w:ascii="Arial" w:hAnsi="Arial" w:cs="Arial"/>
          <w:lang w:val="en-US"/>
        </w:rPr>
        <w:instrText>ADDIN CSL_CITATION { "citationItems" : [ { "id" : "ITEM-1", "itemData" : { "DOI" : "10.1109/JPHOT.2015.2435699", "ISSN" : "19430655", "PMID" : "26356353", "abstract" : "By depositing a resolution test pattern on top of a Si3N4 photonic crystal resonant surface, we have measured the dependence of spatial resolution on refractive index contrast \u0394n. Our experimental results and finite-difference time-domain (FDTD) simulations at different refractive index contrasts show that the spatial resolution of our device reduces with reduced contrast, which is an important consideration in biosensing, where the contrast may be of order 10-2. We also compare 1-D and 2-D gratings, taking into account different incidence polarizations, leading to a better understanding of the excitation and propagation of the resonant modes in these structures, as well as how this contributes to the spatial resolution. At \u0394n 0.077, we observe resolutions of 2 and 6 \u03bcm parallel to and perpendicular to the grooves of a 1-D grating, respectively, and show that for polarized illumination of a 2-D grating, resolution remains asymmetrical. Illumination of a 2-D grating at 450 results in symmetric resolution. At very low index contrast, the resolution worsens dramatically, particularly for \u0394n &lt;; 0.01, where we observe a resolution exceeding 10 \u03bcm for our device. In addition, we measure a reduction in the resonance linewidth as the index contrast becomes lower, corresponding to a longer resonant mode propagation length in the structure and contributing to the change in spatial resolution.", "author" : [ { "dropping-particle" : "", "family" : "Triggs", "given" : "G. J.", "non-dropping-particle" : "", "parse-names" : false, "suffix" : "" }, { "dropping-particle" : "", "family" : "Fischer", "given" : "M.", "non-dropping-particle" : "", "parse-names" : false, "suffix" : "" }, { "dropping-particle" : "", "family" : "Stellinga", "given" : "D.", "non-dropping-particle" : "", "parse-names" : false, "suffix" : "" }, { "dropping-particle" : "", "family" : "Scullion", "given" : "M. G.", "non-dropping-particle" : "", "parse-names" : false, "suffix" : "" }, { "dropping-particle" : "", "family" : "Evans", "given" : "G. J O", "non-dropping-particle" : "", "parse-names" : false, "suffix" : "" }, { "dropping-particle" : "", "family" : "Krauss", "given" : "T. F.", "non-dropping-particle" : "", "parse-names" : false, "suffix" : "" } ], "container-title" : "IEEE Photonics Journal", "id" : "ITEM-1", "issue" : "3", "issued" : { "date-parts" : [ [ "2015" ] ] }, "title" : "Spatial resolution and refractive index contrast of resonant photonic crystal surfaces for biosensing", "type" : "article-journal", "volume" : "7" }, "uris" : [ "http://www.mendeley.com/documents/?uuid=27137ece-cf9d-4eaa-8e8b-3a0ea10efe7d" ] } ], "mendeley" : { "formattedCitation" : "(7)", "plainTextFormattedCitation" : "(7)", "previouslyFormattedCitation" : "&lt;sup&gt;7&lt;/sup&gt;" }, "properties" : { "noteIndex" : 0 }, "schema" : "https://github.com/citation-style-language/schema/raw/master/csl-citation.json" }</w:instrText>
      </w:r>
      <w:r w:rsidR="00326A01">
        <w:rPr>
          <w:rFonts w:ascii="Arial" w:hAnsi="Arial" w:cs="Arial"/>
          <w:lang w:val="en-US"/>
        </w:rPr>
        <w:fldChar w:fldCharType="separate"/>
      </w:r>
      <w:r w:rsidR="00AB0567" w:rsidRPr="00AB0567">
        <w:rPr>
          <w:rFonts w:ascii="Arial" w:hAnsi="Arial" w:cs="Arial"/>
          <w:noProof/>
          <w:lang w:val="en-US"/>
        </w:rPr>
        <w:t>(7)</w:t>
      </w:r>
      <w:r w:rsidR="00326A01">
        <w:rPr>
          <w:rFonts w:ascii="Arial" w:hAnsi="Arial" w:cs="Arial"/>
          <w:lang w:val="en-US"/>
        </w:rPr>
        <w:fldChar w:fldCharType="end"/>
      </w:r>
      <w:r w:rsidR="00656A9D">
        <w:rPr>
          <w:rFonts w:ascii="Arial" w:hAnsi="Arial" w:cs="Arial"/>
          <w:lang w:val="en-US"/>
        </w:rPr>
        <w:t xml:space="preserve"> </w:t>
      </w:r>
      <w:r w:rsidR="00326A01">
        <w:rPr>
          <w:rFonts w:ascii="Arial" w:hAnsi="Arial" w:cs="Arial"/>
          <w:lang w:val="en-US"/>
        </w:rPr>
        <w:t xml:space="preserve">(see Methods). Essentially, </w:t>
      </w:r>
      <w:r w:rsidR="002D3271">
        <w:rPr>
          <w:rFonts w:ascii="Arial" w:hAnsi="Arial" w:cs="Arial"/>
          <w:lang w:val="en-US"/>
        </w:rPr>
        <w:t xml:space="preserve">PCRS </w:t>
      </w:r>
      <w:r w:rsidR="00326A01">
        <w:rPr>
          <w:rFonts w:ascii="Arial" w:hAnsi="Arial" w:cs="Arial"/>
          <w:lang w:val="en-US"/>
        </w:rPr>
        <w:t xml:space="preserve">exhibit a </w:t>
      </w:r>
      <w:r w:rsidR="00656A9D">
        <w:rPr>
          <w:rFonts w:ascii="Arial" w:hAnsi="Arial" w:cs="Arial"/>
          <w:lang w:val="en-US"/>
        </w:rPr>
        <w:t xml:space="preserve">spatially </w:t>
      </w:r>
      <w:r w:rsidR="00326A01">
        <w:rPr>
          <w:rFonts w:ascii="Arial" w:hAnsi="Arial" w:cs="Arial"/>
          <w:lang w:val="en-US"/>
        </w:rPr>
        <w:t xml:space="preserve">confined resonant wave at specific wavelengths, which interferes constructively or destructively with the incoming light beam, leading to a minima (maxima) in the transmission (reflection) spectrum (see Supplementary Information). Moreover, </w:t>
      </w:r>
      <w:r w:rsidR="002D3271">
        <w:rPr>
          <w:rFonts w:ascii="Arial" w:hAnsi="Arial" w:cs="Arial"/>
          <w:lang w:val="en-US"/>
        </w:rPr>
        <w:t xml:space="preserve">PCRS </w:t>
      </w:r>
      <w:r w:rsidR="00326A01">
        <w:rPr>
          <w:rFonts w:ascii="Arial" w:hAnsi="Arial" w:cs="Arial"/>
          <w:lang w:val="en-US"/>
        </w:rPr>
        <w:t xml:space="preserve">can be fabricated over large areas to provide </w:t>
      </w:r>
      <w:r w:rsidR="00656A9D">
        <w:rPr>
          <w:rFonts w:ascii="Arial" w:hAnsi="Arial" w:cs="Arial"/>
          <w:lang w:val="en-US"/>
        </w:rPr>
        <w:t xml:space="preserve">a </w:t>
      </w:r>
      <w:r w:rsidR="00326A01">
        <w:rPr>
          <w:rFonts w:ascii="Arial" w:hAnsi="Arial" w:cs="Arial"/>
          <w:lang w:val="en-US"/>
        </w:rPr>
        <w:t xml:space="preserve">high field-of-view (the order of centimeters), to allow parallel imaging of multiple </w:t>
      </w:r>
      <w:r w:rsidR="0084107E">
        <w:rPr>
          <w:rFonts w:ascii="Arial" w:hAnsi="Arial" w:cs="Arial"/>
          <w:lang w:val="en-US"/>
        </w:rPr>
        <w:t>cells</w:t>
      </w:r>
      <w:r w:rsidR="00326A01">
        <w:rPr>
          <w:rFonts w:ascii="Arial" w:hAnsi="Arial" w:cs="Arial"/>
          <w:lang w:val="en-US"/>
        </w:rPr>
        <w:t xml:space="preserve"> without affecting the intrinsic spatial resolution. </w:t>
      </w:r>
    </w:p>
    <w:p w14:paraId="48147853" w14:textId="0472AC70" w:rsidR="005E5B52" w:rsidRDefault="004F25A2" w:rsidP="00736B3A">
      <w:pPr>
        <w:spacing w:line="360" w:lineRule="auto"/>
        <w:ind w:left="-709"/>
      </w:pPr>
      <w:r w:rsidRPr="004F25A2">
        <w:rPr>
          <w:rFonts w:ascii="Arial" w:hAnsi="Arial" w:cs="Arial"/>
          <w:lang w:val="en-US"/>
        </w:rPr>
        <w:t xml:space="preserve">As the evanescent field is confined close to the grating surface (penetration depth ~200 nm), the sensors are highly sensitive not just to large refractive index changes as a consequence of </w:t>
      </w:r>
      <w:r w:rsidRPr="004F25A2">
        <w:rPr>
          <w:rFonts w:ascii="Arial" w:hAnsi="Arial" w:cs="Arial"/>
          <w:lang w:val="en-US"/>
        </w:rPr>
        <w:lastRenderedPageBreak/>
        <w:t>cell attachment to the sensor surface (Figure 1a), but also to smaller, local refractive index changes such as those originating from protein-ligand binding events occurring on the sensor surface, all in real-time, label-free and a quantifiable manner</w:t>
      </w:r>
      <w:r w:rsidR="00B17883">
        <w:rPr>
          <w:rFonts w:ascii="Arial" w:hAnsi="Arial" w:cs="Arial"/>
          <w:lang w:val="en-US"/>
        </w:rPr>
        <w:fldChar w:fldCharType="begin" w:fldLock="1"/>
      </w:r>
      <w:r w:rsidR="00AB0567">
        <w:rPr>
          <w:rFonts w:ascii="Arial" w:hAnsi="Arial" w:cs="Arial"/>
          <w:lang w:val="en-US"/>
        </w:rPr>
        <w:instrText>ADDIN CSL_CITATION { "citationItems" : [ { "id" : "ITEM-1", "itemData" : { "DOI" : "10.1002/lpor.201100025", "ISBN" : "1094-4087", "ISSN" : "18638880", "abstract" : "The application of portable, easy-to-use and highly sensitive lab-on-a-chip biosensing devices for real-time diag- nosis could offer significant advantages over current analytical methods. Integrated optics-based biosensors have become the most suitable technology for lab-on-chip integration due to their ability for miniaturization, their extreme sensitivity, robustness, reliability, and their potential for multiplexing and mass produc- tion at low cost. This review provides an extended overview of the state-of-the-art in integrated photonic biosensors technology including interferometers, grating couplers, microring resonators, photonic crystals and other novel nanophotonic transducers. Particular emphasis has been placed on describing their real biosensing applications and wherever possible a comparison of the sensing performances between each type of device is included. The way towards achieving operative lab-on-a-chip platform incorporating the photonic biosensors is also reviewed. Concluding remarks regarding the future prospects and poten- tial impact of this technology are also provided.", "author" : [ { "dropping-particle" : "", "family" : "Estevez", "given" : "M. C.", "non-dropping-particle" : "", "parse-names" : false, "suffix" : "" }, { "dropping-particle" : "", "family" : "Alvarez", "given" : "M.", "non-dropping-particle" : "", "parse-names" : false, "suffix" : "" }, { "dropping-particle" : "", "family" : "Lechuga", "given" : "Laura M.", "non-dropping-particle" : "", "parse-names" : false, "suffix" : "" } ], "container-title" : "Laser &amp; Photonics Reviews", "id" : "ITEM-1", "issue" : "4", "issued" : { "date-parts" : [ [ "2012" ] ] }, "page" : "463-487", "title" : "Integrated optical devices for lab-on-a-chip biosensing applications", "type" : "article-journal", "volume" : "6" }, "uris" : [ "http://www.mendeley.com/documents/?uuid=ff7cbdf8-2568-4cd1-a254-53d588873115" ] } ], "mendeley" : { "formattedCitation" : "(8)", "plainTextFormattedCitation" : "(8)", "previouslyFormattedCitation" : "&lt;sup&gt;8&lt;/sup&gt;" }, "properties" : { "noteIndex" : 0 }, "schema" : "https://github.com/citation-style-language/schema/raw/master/csl-citation.json" }</w:instrText>
      </w:r>
      <w:r w:rsidR="00B17883">
        <w:rPr>
          <w:rFonts w:ascii="Arial" w:hAnsi="Arial" w:cs="Arial"/>
          <w:lang w:val="en-US"/>
        </w:rPr>
        <w:fldChar w:fldCharType="separate"/>
      </w:r>
      <w:r w:rsidR="00AB0567" w:rsidRPr="00AB0567">
        <w:rPr>
          <w:rFonts w:ascii="Arial" w:hAnsi="Arial" w:cs="Arial"/>
          <w:noProof/>
          <w:lang w:val="en-US"/>
        </w:rPr>
        <w:t>(8)</w:t>
      </w:r>
      <w:r w:rsidR="00B17883">
        <w:rPr>
          <w:rFonts w:ascii="Arial" w:hAnsi="Arial" w:cs="Arial"/>
          <w:lang w:val="en-US"/>
        </w:rPr>
        <w:fldChar w:fldCharType="end"/>
      </w:r>
      <w:r w:rsidRPr="004F25A2">
        <w:rPr>
          <w:rFonts w:ascii="Arial" w:hAnsi="Arial" w:cs="Arial"/>
          <w:lang w:val="en-US"/>
        </w:rPr>
        <w:t>. By functionalizing the photonic crystal sensor surface with capture molecules (e.g. antibodies), the surface can thus be rendered sensitive to specific biomolecules secreted by the cells, enabling mapping of protein secretion gradients at the single-cell level without the need of a fluorescen</w:t>
      </w:r>
      <w:r w:rsidR="00656A9D">
        <w:rPr>
          <w:rFonts w:ascii="Arial" w:hAnsi="Arial" w:cs="Arial"/>
          <w:lang w:val="en-US"/>
        </w:rPr>
        <w:t>t</w:t>
      </w:r>
      <w:r w:rsidRPr="004F25A2">
        <w:rPr>
          <w:rFonts w:ascii="Arial" w:hAnsi="Arial" w:cs="Arial"/>
          <w:lang w:val="en-US"/>
        </w:rPr>
        <w:t xml:space="preserve"> label. Instead of immobilizing antibodies such that they are ordered on a single plane on the sensor surface, we increased the density of antibodies within the evanescence wave of the PCR</w:t>
      </w:r>
      <w:r w:rsidR="00656A9D">
        <w:rPr>
          <w:rFonts w:ascii="Arial" w:hAnsi="Arial" w:cs="Arial"/>
          <w:lang w:val="en-US"/>
        </w:rPr>
        <w:t>S</w:t>
      </w:r>
      <w:r w:rsidRPr="004F25A2">
        <w:rPr>
          <w:rFonts w:ascii="Arial" w:hAnsi="Arial" w:cs="Arial"/>
          <w:lang w:val="en-US"/>
        </w:rPr>
        <w:t xml:space="preserve">, and thus the detection sensitivity, by creating a 3D network using branched glucan dextran (see Methods). The surface was finally treated with purified casein to inhibit non-specific binding of other molecules secreted into the extracellular matrix (see Methods and Supplementary Information) (Figure 1b). This blocking approach allowed us to </w:t>
      </w:r>
      <w:proofErr w:type="spellStart"/>
      <w:r w:rsidR="000A052C">
        <w:rPr>
          <w:rFonts w:ascii="Arial" w:hAnsi="Arial" w:cs="Arial"/>
          <w:lang w:val="en-US"/>
        </w:rPr>
        <w:t>maximise</w:t>
      </w:r>
      <w:proofErr w:type="spellEnd"/>
      <w:r w:rsidRPr="004F25A2">
        <w:rPr>
          <w:rFonts w:ascii="Arial" w:hAnsi="Arial" w:cs="Arial"/>
          <w:lang w:val="en-US"/>
        </w:rPr>
        <w:t xml:space="preserve"> the signal-to-noise ratio of our detection system and perform long-term analysis of cellular activities under appropriate conditions.</w:t>
      </w:r>
    </w:p>
    <w:p w14:paraId="6018E6B7" w14:textId="29F6CE31" w:rsidR="00EB653D" w:rsidRPr="00EB653D" w:rsidRDefault="00EB653D" w:rsidP="00736B3A">
      <w:pPr>
        <w:spacing w:line="360" w:lineRule="auto"/>
        <w:ind w:left="-709"/>
        <w:rPr>
          <w:rFonts w:ascii="Arial" w:hAnsi="Arial" w:cs="Arial"/>
        </w:rPr>
      </w:pPr>
      <w:r w:rsidRPr="00EB653D">
        <w:rPr>
          <w:rFonts w:ascii="Arial" w:hAnsi="Arial" w:cs="Arial"/>
        </w:rPr>
        <w:t xml:space="preserve">To demonstrate the performance of our technology, we first mapped the </w:t>
      </w:r>
      <w:r w:rsidR="000A052C">
        <w:rPr>
          <w:rFonts w:ascii="Arial" w:hAnsi="Arial" w:cs="Arial"/>
        </w:rPr>
        <w:t>secretion</w:t>
      </w:r>
      <w:r w:rsidR="000A052C" w:rsidRPr="00EB653D">
        <w:rPr>
          <w:rFonts w:ascii="Arial" w:hAnsi="Arial" w:cs="Arial"/>
        </w:rPr>
        <w:t xml:space="preserve"> </w:t>
      </w:r>
      <w:r w:rsidRPr="00EB653D">
        <w:rPr>
          <w:rFonts w:ascii="Arial" w:hAnsi="Arial" w:cs="Arial"/>
        </w:rPr>
        <w:t>of thrombopoietin (TPO) from an immortal cell line comprised of baby hamster kidney cells (BHK)</w:t>
      </w:r>
      <w:r w:rsidR="000A052C">
        <w:rPr>
          <w:rFonts w:ascii="Arial" w:hAnsi="Arial" w:cs="Arial"/>
        </w:rPr>
        <w:t xml:space="preserve">. </w:t>
      </w:r>
      <w:r w:rsidR="004D3097">
        <w:rPr>
          <w:rFonts w:ascii="Arial" w:hAnsi="Arial" w:cs="Arial"/>
        </w:rPr>
        <w:t>TPO is a haematopoietic cytokine</w:t>
      </w:r>
      <w:r w:rsidRPr="00EB653D">
        <w:rPr>
          <w:rFonts w:ascii="Arial" w:hAnsi="Arial" w:cs="Arial"/>
        </w:rPr>
        <w:t xml:space="preserve"> </w:t>
      </w:r>
      <w:r w:rsidR="004D3097">
        <w:rPr>
          <w:rFonts w:ascii="Arial" w:hAnsi="Arial" w:cs="Arial"/>
        </w:rPr>
        <w:t xml:space="preserve">essential for driving the differentiation of megakaryocytes and maintaining physiological levels of circulating platelets. Additionally, TPO is one of only a small number of cytokines responsible for maintaining haematopoietic stem cells. </w:t>
      </w:r>
      <w:r w:rsidR="000A052C">
        <w:rPr>
          <w:rFonts w:ascii="Arial" w:hAnsi="Arial" w:cs="Arial"/>
        </w:rPr>
        <w:t xml:space="preserve">The TPO secreting BHK cells </w:t>
      </w:r>
      <w:r w:rsidR="000A052C" w:rsidRPr="002C205D">
        <w:rPr>
          <w:rFonts w:ascii="Arial" w:hAnsi="Arial" w:cs="Arial"/>
        </w:rPr>
        <w:t>(BHK-TPO</w:t>
      </w:r>
      <w:r w:rsidR="000A052C" w:rsidRPr="002C205D">
        <w:rPr>
          <w:rFonts w:ascii="Arial" w:hAnsi="Arial" w:cs="Arial"/>
        </w:rPr>
        <w:fldChar w:fldCharType="begin" w:fldLock="1"/>
      </w:r>
      <w:r w:rsidR="00AB0567">
        <w:rPr>
          <w:rFonts w:ascii="Arial" w:hAnsi="Arial" w:cs="Arial"/>
        </w:rPr>
        <w:instrText>ADDIN CSL_CITATION { "citationItems" : [ { "id" : "ITEM-1", "itemData" : { "DOI" : "10.1074/jbc.M201297200", "abstract" : "Thrombopoietin (TPO), the primary regulator of platelet production, is composed of an amino-terminal 152 amino acids, sufficient for activity, and a carboxyl-terminal region rich in carbohydrates (183 residues) that enhances secretion of the molecule. Full-length TPO is secreted at levels 10\u201320-fold greater than truncated TPO. By introducing into mammalian cells a novel cDNA encoding the TPO secretory leader linked to its carboxyl-terminal domain (TPO glycan domain (TGD)), we tested whether TGD could function in trans to enhance secretion of TPO. The artificial TGD was secreted, inactive in proliferation assays, and did not inhibit TPO activity. However, when co-transfected with a cDNA encoding truncated TPO, TGD enhanced secretion 4-fold, measured by specific bioassay and immunoassay. TGD also enhanced secretion of granulocyte monocyte colony-stimulating factor and stem cell factor but did not affect the production of erythropoietin, interleukin-3, growth hormone, or of full-length TPO. To localize TGD function, we added an endoplasmic reticulum (ER) retention signal to TGD and, separately, deleted the secretory leader. Deletion of the secretory leader attenuated the secretory function of TGD, whereas addition of the ER retention signal did not alter its function. To investigate the physiologic role of TGD in folding and proteasomal protection, we tested full-length and truncated TPO in assays of protein refolding, and we examined protein stability in the presence of proteasome inhibitors. We found that truncated TGD re-folds readily and that proteasome-mediated degradation contributes to the poor secretion of truncated TPO. We conclude that TGD enhances secretion of TPO and can additionally function as an inter-molecular chaperone, in part because of its ability to prevent degradation of the hormone. The cellular location of TGD action is likely to be within the ER or earlier in the secretory pathway. ", "author" : [ { "dropping-particle" : "", "family" : "Linden", "given" : "Hannah M", "non-dropping-particle" : "", "parse-names" : false, "suffix" : "" }, { "dropping-particle" : "", "family" : "Kaushansky", "given" : "Kenneth", "non-dropping-particle" : "", "parse-names" : false, "suffix" : "" } ], "container-title" : "Journal of Biological Chemistry ", "id" : "ITEM-1", "issue" : "38 ", "issued" : { "date-parts" : [ [ "2002", "9", "20" ] ] }, "note" : "10.1074/jbc.M201297200", "page" : "35240-35247", "title" : "The Glycan Domain of Thrombopoietin (TPO) Acts intrans to Enhance Secretion of the Hormone and Other Cytokines ", "type" : "article-journal", "volume" : "277 " }, "uris" : [ "http://www.mendeley.com/documents/?uuid=d8b2d403-a0f3-4be7-8f4d-b7155e9a65d1" ] } ], "mendeley" : { "formattedCitation" : "(9)", "plainTextFormattedCitation" : "(9)", "previouslyFormattedCitation" : "&lt;sup&gt;9&lt;/sup&gt;" }, "properties" : { "noteIndex" : 0 }, "schema" : "https://github.com/citation-style-language/schema/raw/master/csl-citation.json" }</w:instrText>
      </w:r>
      <w:r w:rsidR="000A052C" w:rsidRPr="002C205D">
        <w:rPr>
          <w:rFonts w:ascii="Arial" w:hAnsi="Arial" w:cs="Arial"/>
        </w:rPr>
        <w:fldChar w:fldCharType="separate"/>
      </w:r>
      <w:r w:rsidR="00AB0567" w:rsidRPr="00AB0567">
        <w:rPr>
          <w:rFonts w:ascii="Arial" w:hAnsi="Arial" w:cs="Arial"/>
          <w:noProof/>
        </w:rPr>
        <w:t>(9)</w:t>
      </w:r>
      <w:r w:rsidR="000A052C" w:rsidRPr="002C205D">
        <w:rPr>
          <w:rFonts w:ascii="Arial" w:hAnsi="Arial" w:cs="Arial"/>
        </w:rPr>
        <w:fldChar w:fldCharType="end"/>
      </w:r>
      <w:r w:rsidR="000A052C" w:rsidRPr="002C205D">
        <w:rPr>
          <w:rFonts w:ascii="Arial" w:hAnsi="Arial" w:cs="Arial"/>
          <w:color w:val="333300"/>
          <w:shd w:val="clear" w:color="auto" w:fill="F7F7F7"/>
        </w:rPr>
        <w:t>)</w:t>
      </w:r>
      <w:r w:rsidR="000A052C">
        <w:rPr>
          <w:rFonts w:ascii="Arial" w:hAnsi="Arial" w:cs="Arial"/>
        </w:rPr>
        <w:t xml:space="preserve"> used here </w:t>
      </w:r>
      <w:r w:rsidR="000A052C" w:rsidRPr="002C205D">
        <w:rPr>
          <w:rFonts w:ascii="Arial" w:hAnsi="Arial" w:cs="Arial"/>
        </w:rPr>
        <w:t>constitutively</w:t>
      </w:r>
      <w:r w:rsidR="000A052C">
        <w:rPr>
          <w:rFonts w:ascii="Arial" w:hAnsi="Arial" w:cs="Arial"/>
        </w:rPr>
        <w:t xml:space="preserve"> release TPO </w:t>
      </w:r>
      <w:r w:rsidR="000A052C" w:rsidRPr="00EB653D">
        <w:rPr>
          <w:rFonts w:ascii="Arial" w:hAnsi="Arial" w:cs="Arial"/>
        </w:rPr>
        <w:t>without the need for an extracellular triggering biomolecule (see Methods and Supplementary Information)</w:t>
      </w:r>
      <w:r w:rsidR="000A052C">
        <w:rPr>
          <w:rFonts w:ascii="Arial" w:hAnsi="Arial" w:cs="Arial"/>
        </w:rPr>
        <w:t xml:space="preserve">. The </w:t>
      </w:r>
      <w:r w:rsidRPr="00EB653D">
        <w:rPr>
          <w:rFonts w:ascii="Arial" w:hAnsi="Arial" w:cs="Arial"/>
        </w:rPr>
        <w:t xml:space="preserve">BHK-TPO cells are </w:t>
      </w:r>
      <w:r w:rsidR="000A052C">
        <w:rPr>
          <w:rFonts w:ascii="Arial" w:hAnsi="Arial" w:cs="Arial"/>
        </w:rPr>
        <w:t xml:space="preserve">also </w:t>
      </w:r>
      <w:r w:rsidRPr="00EB653D">
        <w:rPr>
          <w:rFonts w:ascii="Arial" w:hAnsi="Arial" w:cs="Arial"/>
        </w:rPr>
        <w:t>adherent, and assemble in a monolayer on the sensor surface, which here was functionalized with antibodies selective against TPO (see Methods) to map the secretion of TPO from individual BHK-TPO cells. A resonant image of the PCR</w:t>
      </w:r>
      <w:r w:rsidR="000A052C">
        <w:rPr>
          <w:rFonts w:ascii="Arial" w:hAnsi="Arial" w:cs="Arial"/>
        </w:rPr>
        <w:t>S</w:t>
      </w:r>
      <w:r w:rsidRPr="00EB653D">
        <w:rPr>
          <w:rFonts w:ascii="Arial" w:hAnsi="Arial" w:cs="Arial"/>
        </w:rPr>
        <w:t xml:space="preserve"> prior to cell adhesion (i.e. PCR</w:t>
      </w:r>
      <w:r w:rsidR="000A052C">
        <w:rPr>
          <w:rFonts w:ascii="Arial" w:hAnsi="Arial" w:cs="Arial"/>
        </w:rPr>
        <w:t>S</w:t>
      </w:r>
      <w:r w:rsidRPr="00EB653D">
        <w:rPr>
          <w:rFonts w:ascii="Arial" w:hAnsi="Arial" w:cs="Arial"/>
        </w:rPr>
        <w:t xml:space="preserve"> functionalized with dextran, </w:t>
      </w:r>
      <w:r w:rsidR="002C205D">
        <w:rPr>
          <w:rFonts w:ascii="Arial" w:hAnsi="Arial" w:cs="Arial"/>
        </w:rPr>
        <w:t>anti-TPO</w:t>
      </w:r>
      <w:r w:rsidRPr="00EB653D">
        <w:rPr>
          <w:rFonts w:ascii="Arial" w:hAnsi="Arial" w:cs="Arial"/>
        </w:rPr>
        <w:t xml:space="preserve"> antibodies and casein) was recorded (Figure 1d) over a 55 x 40 µm region of interest and the fraction of pixels resonant at a specific wavelength plotted on a histogram (Figure 1c). The mean resonance wavelength of the functionalized PCR</w:t>
      </w:r>
      <w:r w:rsidR="000A052C">
        <w:rPr>
          <w:rFonts w:ascii="Arial" w:hAnsi="Arial" w:cs="Arial"/>
        </w:rPr>
        <w:t>S</w:t>
      </w:r>
      <w:r w:rsidRPr="00EB653D">
        <w:rPr>
          <w:rFonts w:ascii="Arial" w:hAnsi="Arial" w:cs="Arial"/>
        </w:rPr>
        <w:t xml:space="preserve"> was subsequently fixed to 0 nm to provide a baseline resonant image. The width of this Gaussian distribution (± 0.5 nm) is largely a consequence of inhomogeneity in the surface chemistry plus experimental error and thus a threshold of 1 nm was set</w:t>
      </w:r>
      <w:r w:rsidR="000A052C">
        <w:rPr>
          <w:rFonts w:ascii="Arial" w:hAnsi="Arial" w:cs="Arial"/>
        </w:rPr>
        <w:t>. Shifts in the</w:t>
      </w:r>
      <w:r w:rsidRPr="00EB653D">
        <w:rPr>
          <w:rFonts w:ascii="Arial" w:hAnsi="Arial" w:cs="Arial"/>
        </w:rPr>
        <w:t xml:space="preserve"> resonance wavelength </w:t>
      </w:r>
      <w:r w:rsidR="000A052C">
        <w:rPr>
          <w:rFonts w:ascii="Arial" w:hAnsi="Arial" w:cs="Arial"/>
        </w:rPr>
        <w:t>above this threshold arise</w:t>
      </w:r>
      <w:r w:rsidR="000A052C" w:rsidRPr="00EB653D">
        <w:rPr>
          <w:rFonts w:ascii="Arial" w:hAnsi="Arial" w:cs="Arial"/>
        </w:rPr>
        <w:t xml:space="preserve"> </w:t>
      </w:r>
      <w:r w:rsidRPr="00EB653D">
        <w:rPr>
          <w:rFonts w:ascii="Arial" w:hAnsi="Arial" w:cs="Arial"/>
        </w:rPr>
        <w:t xml:space="preserve">due to local changes in refractive index due to binding of BHK-TPO cells/ TPO to the surface. </w:t>
      </w:r>
    </w:p>
    <w:p w14:paraId="3657E39B" w14:textId="07ECFAB3" w:rsidR="00EB653D" w:rsidRPr="00EB653D" w:rsidRDefault="00EB653D" w:rsidP="00736B3A">
      <w:pPr>
        <w:spacing w:line="360" w:lineRule="auto"/>
        <w:ind w:left="-709"/>
        <w:rPr>
          <w:rFonts w:ascii="Arial" w:hAnsi="Arial" w:cs="Arial"/>
        </w:rPr>
      </w:pPr>
      <w:r w:rsidRPr="00EB653D">
        <w:rPr>
          <w:rFonts w:ascii="Arial" w:hAnsi="Arial" w:cs="Arial"/>
        </w:rPr>
        <w:t>The functionalized PCR</w:t>
      </w:r>
      <w:r w:rsidR="00364B90">
        <w:rPr>
          <w:rFonts w:ascii="Arial" w:hAnsi="Arial" w:cs="Arial"/>
        </w:rPr>
        <w:t xml:space="preserve">S </w:t>
      </w:r>
      <w:r w:rsidRPr="00EB653D">
        <w:rPr>
          <w:rFonts w:ascii="Arial" w:hAnsi="Arial" w:cs="Arial"/>
        </w:rPr>
        <w:t>was subsequently exposed to BHK-TPO cells suspended in the supporting culture media (concentration of 10</w:t>
      </w:r>
      <w:r w:rsidRPr="002C205D">
        <w:rPr>
          <w:rFonts w:ascii="Arial" w:hAnsi="Arial" w:cs="Arial"/>
          <w:vertAlign w:val="superscript"/>
        </w:rPr>
        <w:t>5</w:t>
      </w:r>
      <w:r w:rsidRPr="00EB653D">
        <w:rPr>
          <w:rFonts w:ascii="Arial" w:hAnsi="Arial" w:cs="Arial"/>
        </w:rPr>
        <w:t xml:space="preserve"> U/mL; significantly below the 100% </w:t>
      </w:r>
      <w:r w:rsidR="002C205D" w:rsidRPr="00EB653D">
        <w:rPr>
          <w:rFonts w:ascii="Arial" w:hAnsi="Arial" w:cs="Arial"/>
        </w:rPr>
        <w:t>confluence</w:t>
      </w:r>
      <w:r w:rsidRPr="00EB653D">
        <w:rPr>
          <w:rFonts w:ascii="Arial" w:hAnsi="Arial" w:cs="Arial"/>
        </w:rPr>
        <w:t xml:space="preserve"> level to avoid contact inhibition of inherent protein/gene expression) and the adhesion of a single BHK-TPO cell in our defined region of interest was recorded using hyperspectral </w:t>
      </w:r>
      <w:r w:rsidRPr="00EB653D">
        <w:rPr>
          <w:rFonts w:ascii="Arial" w:hAnsi="Arial" w:cs="Arial"/>
        </w:rPr>
        <w:lastRenderedPageBreak/>
        <w:t>imaging. The local increase in refractive index associated with the adhesion of a single cell to the PCR</w:t>
      </w:r>
      <w:r w:rsidR="00364B90">
        <w:rPr>
          <w:rFonts w:ascii="Arial" w:hAnsi="Arial" w:cs="Arial"/>
        </w:rPr>
        <w:t xml:space="preserve">S </w:t>
      </w:r>
      <w:r w:rsidRPr="00EB653D">
        <w:rPr>
          <w:rFonts w:ascii="Arial" w:hAnsi="Arial" w:cs="Arial"/>
        </w:rPr>
        <w:t xml:space="preserve">induced a change in the resonance wavelength over the region of interest (Figure 1g) which again can be quantified by the histogram of the fraction of pixels resonant at a specific wavelength (Figure 1f). </w:t>
      </w:r>
    </w:p>
    <w:p w14:paraId="64C38514" w14:textId="6209762A" w:rsidR="00EB653D" w:rsidRPr="00EB653D" w:rsidRDefault="00364B90" w:rsidP="00736B3A">
      <w:pPr>
        <w:spacing w:line="360" w:lineRule="auto"/>
        <w:ind w:left="-709"/>
        <w:rPr>
          <w:rFonts w:ascii="Arial" w:hAnsi="Arial" w:cs="Arial"/>
        </w:rPr>
      </w:pPr>
      <w:r>
        <w:rPr>
          <w:rFonts w:ascii="Arial" w:hAnsi="Arial" w:cs="Arial"/>
        </w:rPr>
        <w:t>Subsequently, r</w:t>
      </w:r>
      <w:r w:rsidR="00EB653D" w:rsidRPr="00EB653D">
        <w:rPr>
          <w:rFonts w:ascii="Arial" w:hAnsi="Arial" w:cs="Arial"/>
        </w:rPr>
        <w:t xml:space="preserve">esonant images of the region of interest collected at 3-minute time intervals showed a shift in the resonance frequency around the periphery of the immobilized cell, corresponding to an increase in the local refractive index, the spatial extent of which increased with time. This can be seen in the contour plot of Figure 1i (also see Supplementary Information), which shows the spatial position over the region of interest at which the resonance wavelength increases beyond the 1 nm threshold. This increase in resonant frequency around the cell is associated with the local increase in refractive index due to TPO secreted from the BHK cell binding to the </w:t>
      </w:r>
      <w:r w:rsidR="002C205D">
        <w:rPr>
          <w:rFonts w:ascii="Arial" w:hAnsi="Arial" w:cs="Arial"/>
        </w:rPr>
        <w:t>anti-TPO</w:t>
      </w:r>
      <w:r w:rsidR="00EB653D" w:rsidRPr="00EB653D">
        <w:rPr>
          <w:rFonts w:ascii="Arial" w:hAnsi="Arial" w:cs="Arial"/>
        </w:rPr>
        <w:t xml:space="preserve"> </w:t>
      </w:r>
      <w:r w:rsidR="00BD23D3">
        <w:rPr>
          <w:rFonts w:ascii="Arial" w:hAnsi="Arial" w:cs="Arial"/>
        </w:rPr>
        <w:t>anti</w:t>
      </w:r>
      <w:r w:rsidR="00EB653D" w:rsidRPr="00EB653D">
        <w:rPr>
          <w:rFonts w:ascii="Arial" w:hAnsi="Arial" w:cs="Arial"/>
        </w:rPr>
        <w:t>bodies immobilized on the PCR</w:t>
      </w:r>
      <w:r w:rsidR="008D72F2">
        <w:rPr>
          <w:rFonts w:ascii="Arial" w:hAnsi="Arial" w:cs="Arial"/>
        </w:rPr>
        <w:t>S</w:t>
      </w:r>
      <w:r w:rsidR="00EB653D" w:rsidRPr="00EB653D">
        <w:rPr>
          <w:rFonts w:ascii="Arial" w:hAnsi="Arial" w:cs="Arial"/>
        </w:rPr>
        <w:t>.</w:t>
      </w:r>
      <w:r w:rsidR="00DC7083">
        <w:rPr>
          <w:rFonts w:ascii="Arial" w:hAnsi="Arial" w:cs="Arial"/>
        </w:rPr>
        <w:t xml:space="preserve"> </w:t>
      </w:r>
      <w:r w:rsidR="00EB653D" w:rsidRPr="00EB653D">
        <w:rPr>
          <w:rFonts w:ascii="Arial" w:hAnsi="Arial" w:cs="Arial"/>
        </w:rPr>
        <w:t xml:space="preserve">This is further confirmed by the absence of </w:t>
      </w:r>
      <w:r w:rsidR="003A53A3">
        <w:rPr>
          <w:rFonts w:ascii="Arial" w:hAnsi="Arial" w:cs="Arial"/>
        </w:rPr>
        <w:t>a shift</w:t>
      </w:r>
      <w:r w:rsidR="003A53A3" w:rsidRPr="00EB653D">
        <w:rPr>
          <w:rFonts w:ascii="Arial" w:hAnsi="Arial" w:cs="Arial"/>
        </w:rPr>
        <w:t xml:space="preserve"> </w:t>
      </w:r>
      <w:r w:rsidR="00EB653D" w:rsidRPr="00EB653D">
        <w:rPr>
          <w:rFonts w:ascii="Arial" w:hAnsi="Arial" w:cs="Arial"/>
        </w:rPr>
        <w:t>in resonant frequency in control experiments where the surface was functionalized with an antibody which lacks</w:t>
      </w:r>
      <w:r w:rsidR="003A53A3">
        <w:rPr>
          <w:rFonts w:ascii="Arial" w:hAnsi="Arial" w:cs="Arial"/>
        </w:rPr>
        <w:t xml:space="preserve"> specificity</w:t>
      </w:r>
      <w:r w:rsidR="00EB653D" w:rsidRPr="00EB653D">
        <w:rPr>
          <w:rFonts w:ascii="Arial" w:hAnsi="Arial" w:cs="Arial"/>
        </w:rPr>
        <w:t xml:space="preserve"> to TPO </w:t>
      </w:r>
      <w:r w:rsidR="006244ED">
        <w:rPr>
          <w:rFonts w:ascii="Arial" w:hAnsi="Arial" w:cs="Arial"/>
        </w:rPr>
        <w:t xml:space="preserve">(here, the surface was functionalised with antibodies </w:t>
      </w:r>
      <w:r w:rsidR="006244ED" w:rsidRPr="00EC2DB5">
        <w:rPr>
          <w:rFonts w:ascii="Arial" w:hAnsi="Arial" w:cs="Arial"/>
        </w:rPr>
        <w:t xml:space="preserve">specific for immunoglobulin G, IgG) </w:t>
      </w:r>
      <w:r w:rsidR="00EB653D" w:rsidRPr="00EB653D">
        <w:rPr>
          <w:rFonts w:ascii="Arial" w:hAnsi="Arial" w:cs="Arial"/>
        </w:rPr>
        <w:t xml:space="preserve">or when using BHK-TPO cells in which the TPO secretion has been supressed </w:t>
      </w:r>
      <w:r w:rsidR="006244ED">
        <w:rPr>
          <w:rFonts w:ascii="Arial" w:hAnsi="Arial" w:cs="Arial"/>
        </w:rPr>
        <w:t xml:space="preserve">using the </w:t>
      </w:r>
      <w:r w:rsidR="006244ED" w:rsidRPr="001504AB">
        <w:rPr>
          <w:rFonts w:ascii="Arial" w:hAnsi="Arial" w:cs="Arial"/>
        </w:rPr>
        <w:t xml:space="preserve">protein transport inhibitor brefeldin A </w:t>
      </w:r>
      <w:r w:rsidR="00EB653D" w:rsidRPr="00EB653D">
        <w:rPr>
          <w:rFonts w:ascii="Arial" w:hAnsi="Arial" w:cs="Arial"/>
        </w:rPr>
        <w:t xml:space="preserve">(Figure 2f and g). </w:t>
      </w:r>
    </w:p>
    <w:p w14:paraId="5458E6DC" w14:textId="200713E2" w:rsidR="006E0432" w:rsidRDefault="00EB653D" w:rsidP="00736B3A">
      <w:pPr>
        <w:spacing w:line="360" w:lineRule="auto"/>
        <w:ind w:left="-709"/>
        <w:rPr>
          <w:rFonts w:ascii="Arial" w:hAnsi="Arial" w:cs="Arial"/>
        </w:rPr>
      </w:pPr>
      <w:r w:rsidRPr="00EB653D">
        <w:rPr>
          <w:rFonts w:ascii="Arial" w:hAnsi="Arial" w:cs="Arial"/>
        </w:rPr>
        <w:t xml:space="preserve">To aid comparison between experiments and quantify the kinetics of protein secretion from a single cell, we define the total </w:t>
      </w:r>
      <w:r w:rsidR="00896215">
        <w:rPr>
          <w:rFonts w:ascii="Arial" w:hAnsi="Arial" w:cs="Arial"/>
        </w:rPr>
        <w:t xml:space="preserve">secretion </w:t>
      </w:r>
      <w:r w:rsidRPr="00EB653D">
        <w:rPr>
          <w:rFonts w:ascii="Arial" w:hAnsi="Arial" w:cs="Arial"/>
        </w:rPr>
        <w:t xml:space="preserve">area covered by the cell </w:t>
      </w:r>
      <w:r w:rsidR="002C205D">
        <w:rPr>
          <w:rFonts w:ascii="Arial" w:hAnsi="Arial" w:cs="Arial"/>
        </w:rPr>
        <w:t>and</w:t>
      </w:r>
      <w:r w:rsidR="002C205D" w:rsidRPr="00EB653D">
        <w:rPr>
          <w:rFonts w:ascii="Arial" w:hAnsi="Arial" w:cs="Arial"/>
        </w:rPr>
        <w:t xml:space="preserve"> </w:t>
      </w:r>
      <w:r w:rsidRPr="00EB653D">
        <w:rPr>
          <w:rFonts w:ascii="Arial" w:hAnsi="Arial" w:cs="Arial"/>
        </w:rPr>
        <w:t>surface bound TPO (i.e. the area equivalent to a shift in resonant frequency 1 nm above the background resonance).</w:t>
      </w:r>
      <w:r w:rsidR="00DC7083">
        <w:rPr>
          <w:rFonts w:ascii="Arial" w:hAnsi="Arial" w:cs="Arial"/>
        </w:rPr>
        <w:t xml:space="preserve"> To </w:t>
      </w:r>
      <w:r w:rsidR="00642ECF">
        <w:rPr>
          <w:rFonts w:ascii="Arial" w:hAnsi="Arial" w:cs="Arial"/>
        </w:rPr>
        <w:t xml:space="preserve">further </w:t>
      </w:r>
      <w:r w:rsidR="00DC7083">
        <w:rPr>
          <w:rFonts w:ascii="Arial" w:hAnsi="Arial" w:cs="Arial"/>
        </w:rPr>
        <w:t xml:space="preserve">calibrate the measurement, we subsequently subtract the region relative to cell attachment from this </w:t>
      </w:r>
      <w:r w:rsidR="00DC7083" w:rsidRPr="00EB653D">
        <w:rPr>
          <w:rFonts w:ascii="Arial" w:hAnsi="Arial" w:cs="Arial"/>
        </w:rPr>
        <w:t xml:space="preserve">total </w:t>
      </w:r>
      <w:r w:rsidR="00DC7083">
        <w:rPr>
          <w:rFonts w:ascii="Arial" w:hAnsi="Arial" w:cs="Arial"/>
        </w:rPr>
        <w:t xml:space="preserve">secretion </w:t>
      </w:r>
      <w:r w:rsidR="00DC7083" w:rsidRPr="00EB653D">
        <w:rPr>
          <w:rFonts w:ascii="Arial" w:hAnsi="Arial" w:cs="Arial"/>
        </w:rPr>
        <w:t>area</w:t>
      </w:r>
      <w:r w:rsidR="00DC7083">
        <w:rPr>
          <w:rFonts w:ascii="Arial" w:hAnsi="Arial" w:cs="Arial"/>
        </w:rPr>
        <w:t xml:space="preserve">, which is statistically </w:t>
      </w:r>
      <w:r w:rsidR="00642ECF">
        <w:rPr>
          <w:rFonts w:ascii="Arial" w:hAnsi="Arial" w:cs="Arial"/>
        </w:rPr>
        <w:t>delimited</w:t>
      </w:r>
      <w:r w:rsidR="00DC7083">
        <w:rPr>
          <w:rFonts w:ascii="Arial" w:hAnsi="Arial" w:cs="Arial"/>
        </w:rPr>
        <w:t xml:space="preserve"> </w:t>
      </w:r>
      <w:r w:rsidR="00642ECF">
        <w:rPr>
          <w:rFonts w:ascii="Arial" w:hAnsi="Arial" w:cs="Arial"/>
        </w:rPr>
        <w:t xml:space="preserve">by a </w:t>
      </w:r>
      <w:r w:rsidR="00642ECF" w:rsidRPr="00EB653D">
        <w:rPr>
          <w:rFonts w:ascii="Arial" w:hAnsi="Arial" w:cs="Arial"/>
        </w:rPr>
        <w:t>shift in resonant frequency</w:t>
      </w:r>
      <w:r w:rsidR="00642ECF">
        <w:rPr>
          <w:rFonts w:ascii="Arial" w:hAnsi="Arial" w:cs="Arial"/>
        </w:rPr>
        <w:t xml:space="preserve"> of 1.7 nm </w:t>
      </w:r>
      <w:r w:rsidR="00642ECF">
        <w:rPr>
          <w:rFonts w:ascii="Arial" w:hAnsi="Arial" w:cs="Arial"/>
          <w:lang w:val="en-US"/>
        </w:rPr>
        <w:t>±</w:t>
      </w:r>
      <w:r w:rsidR="00642ECF" w:rsidRPr="00B36EB2">
        <w:rPr>
          <w:rFonts w:ascii="Arial" w:hAnsi="Arial" w:cs="Arial"/>
          <w:lang w:val="en-US"/>
        </w:rPr>
        <w:t xml:space="preserve"> </w:t>
      </w:r>
      <w:r w:rsidR="00642ECF">
        <w:rPr>
          <w:rFonts w:ascii="Arial" w:hAnsi="Arial" w:cs="Arial"/>
          <w:lang w:val="en-US"/>
        </w:rPr>
        <w:t>0.1</w:t>
      </w:r>
      <w:r w:rsidR="00642ECF" w:rsidRPr="00B36EB2">
        <w:rPr>
          <w:rFonts w:ascii="Arial" w:hAnsi="Arial" w:cs="Arial"/>
          <w:lang w:val="en-US"/>
        </w:rPr>
        <w:t xml:space="preserve"> nm</w:t>
      </w:r>
      <w:r w:rsidR="00642ECF">
        <w:rPr>
          <w:rFonts w:ascii="Arial" w:hAnsi="Arial" w:cs="Arial"/>
          <w:lang w:val="en-US"/>
        </w:rPr>
        <w:t xml:space="preserve"> (see Supplementary Information).</w:t>
      </w:r>
      <w:r w:rsidR="00823251">
        <w:rPr>
          <w:rFonts w:ascii="Arial" w:hAnsi="Arial" w:cs="Arial"/>
          <w:lang w:val="en-US"/>
        </w:rPr>
        <w:t xml:space="preserve"> </w:t>
      </w:r>
      <w:r w:rsidRPr="00EB653D">
        <w:rPr>
          <w:rFonts w:ascii="Arial" w:hAnsi="Arial" w:cs="Arial"/>
        </w:rPr>
        <w:t xml:space="preserve">Figure 1j shows the change in total </w:t>
      </w:r>
      <w:r w:rsidR="00896215">
        <w:rPr>
          <w:rFonts w:ascii="Arial" w:hAnsi="Arial" w:cs="Arial"/>
        </w:rPr>
        <w:t xml:space="preserve">secretion </w:t>
      </w:r>
      <w:r w:rsidRPr="00EB653D">
        <w:rPr>
          <w:rFonts w:ascii="Arial" w:hAnsi="Arial" w:cs="Arial"/>
        </w:rPr>
        <w:t xml:space="preserve">area covered by the contour plot as a function of time. Assuming the secreted TPO bind to the surface immobilized antibody as a single adsorption process, the time evolution of this secretion process can be modelled as a Langmuir adsorption distribution yielding a single cell secretion rate of </w:t>
      </w:r>
      <w:r w:rsidR="006813CB">
        <w:rPr>
          <w:rFonts w:ascii="Arial" w:hAnsi="Arial" w:cs="Arial"/>
        </w:rPr>
        <w:t xml:space="preserve">22 </w:t>
      </w:r>
      <w:r>
        <w:rPr>
          <w:rFonts w:ascii="Arial" w:hAnsi="Arial" w:cs="Arial"/>
        </w:rPr>
        <w:t>µm</w:t>
      </w:r>
      <w:r>
        <w:rPr>
          <w:rFonts w:ascii="Arial" w:hAnsi="Arial" w:cs="Arial"/>
          <w:vertAlign w:val="superscript"/>
        </w:rPr>
        <w:t>2</w:t>
      </w:r>
      <w:r>
        <w:rPr>
          <w:rFonts w:ascii="Arial" w:hAnsi="Arial" w:cs="Arial"/>
        </w:rPr>
        <w:t>/h</w:t>
      </w:r>
      <w:r w:rsidRPr="00EB653D">
        <w:rPr>
          <w:rFonts w:ascii="Arial" w:hAnsi="Arial" w:cs="Arial"/>
        </w:rPr>
        <w:t xml:space="preserve"> (coefficient of determination R</w:t>
      </w:r>
      <w:r w:rsidRPr="001504AB">
        <w:rPr>
          <w:rFonts w:ascii="Arial" w:hAnsi="Arial" w:cs="Arial"/>
          <w:vertAlign w:val="superscript"/>
        </w:rPr>
        <w:t>2</w:t>
      </w:r>
      <w:r w:rsidRPr="00EB653D">
        <w:rPr>
          <w:rFonts w:ascii="Arial" w:hAnsi="Arial" w:cs="Arial"/>
        </w:rPr>
        <w:t xml:space="preserve"> of 0.94 ± 0.04) (see Methods). </w:t>
      </w:r>
      <w:r w:rsidR="00BB1C4A">
        <w:rPr>
          <w:rFonts w:ascii="Arial" w:hAnsi="Arial" w:cs="Arial"/>
        </w:rPr>
        <w:t xml:space="preserve"> </w:t>
      </w:r>
    </w:p>
    <w:p w14:paraId="704A38C7" w14:textId="3D0EC7A2" w:rsidR="007B5704" w:rsidRDefault="007B5704" w:rsidP="00736B3A">
      <w:pPr>
        <w:spacing w:line="360" w:lineRule="auto"/>
        <w:ind w:left="-709"/>
        <w:rPr>
          <w:rFonts w:ascii="Arial" w:hAnsi="Arial" w:cs="Arial"/>
        </w:rPr>
      </w:pPr>
      <w:r w:rsidRPr="00815268">
        <w:rPr>
          <w:rFonts w:ascii="Arial" w:hAnsi="Arial" w:cs="Arial"/>
        </w:rPr>
        <w:t>T</w:t>
      </w:r>
      <w:r w:rsidRPr="00CC35A3">
        <w:rPr>
          <w:rFonts w:ascii="Arial" w:hAnsi="Arial" w:cs="Arial"/>
        </w:rPr>
        <w:t>he ability to image and map protein secretion from multiple single cells is critical to understanding heterogeneity of cell populations. The wide field of view provided by our technology enables multiple, para</w:t>
      </w:r>
      <w:r w:rsidRPr="00EC2DB5">
        <w:rPr>
          <w:rFonts w:ascii="Arial" w:hAnsi="Arial" w:cs="Arial"/>
        </w:rPr>
        <w:t>llel measurements of single cells in real-time to provide insight into such complex cellular processes. We extended the region of interest to an area of 500 x 500 µm (</w:t>
      </w:r>
      <w:r w:rsidR="006244ED">
        <w:rPr>
          <w:rFonts w:ascii="Arial" w:hAnsi="Arial" w:cs="Arial"/>
        </w:rPr>
        <w:t>0.25</w:t>
      </w:r>
      <w:r w:rsidR="006244ED" w:rsidRPr="00EC2DB5">
        <w:rPr>
          <w:rFonts w:ascii="Arial" w:hAnsi="Arial" w:cs="Arial"/>
        </w:rPr>
        <w:t xml:space="preserve"> </w:t>
      </w:r>
      <w:r w:rsidR="006244ED">
        <w:rPr>
          <w:rFonts w:ascii="Arial" w:hAnsi="Arial" w:cs="Arial"/>
        </w:rPr>
        <w:t>m</w:t>
      </w:r>
      <w:r w:rsidRPr="00EC2DB5">
        <w:rPr>
          <w:rFonts w:ascii="Arial" w:hAnsi="Arial" w:cs="Arial"/>
        </w:rPr>
        <w:t>m</w:t>
      </w:r>
      <w:r w:rsidRPr="001504AB">
        <w:rPr>
          <w:rFonts w:ascii="Arial" w:hAnsi="Arial" w:cs="Arial"/>
          <w:vertAlign w:val="superscript"/>
        </w:rPr>
        <w:t>2</w:t>
      </w:r>
      <w:r w:rsidRPr="00815268">
        <w:rPr>
          <w:rFonts w:ascii="Arial" w:hAnsi="Arial" w:cs="Arial"/>
        </w:rPr>
        <w:t>) to characterise the dynamics and the kinetics of a population of 30 individua</w:t>
      </w:r>
      <w:r w:rsidRPr="00CC35A3">
        <w:rPr>
          <w:rFonts w:ascii="Arial" w:hAnsi="Arial" w:cs="Arial"/>
        </w:rPr>
        <w:t>l BHK-TPO cells without compromising our sub-cellular spatial resolution</w:t>
      </w:r>
      <w:r w:rsidR="00815268">
        <w:rPr>
          <w:rFonts w:ascii="Arial" w:hAnsi="Arial" w:cs="Arial"/>
        </w:rPr>
        <w:fldChar w:fldCharType="begin" w:fldLock="1"/>
      </w:r>
      <w:r w:rsidR="00AB0567">
        <w:rPr>
          <w:rFonts w:ascii="Arial" w:hAnsi="Arial" w:cs="Arial"/>
        </w:rPr>
        <w:instrText>ADDIN CSL_CITATION { "citationItems" : [ { "id" : "ITEM-1", "itemData" : { "DOI" : "10.1109/JPHOT.2015.2435699", "ISSN" : "19430655", "PMID" : "26356353", "abstract" : "By depositing a resolution test pattern on top of a Si3N4 photonic crystal resonant surface, we have measured the dependence of spatial resolution on refractive index contrast \u0394n. Our experimental results and finite-difference time-domain (FDTD) simulations at different refractive index contrasts show that the spatial resolution of our device reduces with reduced contrast, which is an important consideration in biosensing, where the contrast may be of order 10-2. We also compare 1-D and 2-D gratings, taking into account different incidence polarizations, leading to a better understanding of the excitation and propagation of the resonant modes in these structures, as well as how this contributes to the spatial resolution. At \u0394n 0.077, we observe resolutions of 2 and 6 \u03bcm parallel to and perpendicular to the grooves of a 1-D grating, respectively, and show that for polarized illumination of a 2-D grating, resolution remains asymmetrical. Illumination of a 2-D grating at 450 results in symmetric resolution. At very low index contrast, the resolution worsens dramatically, particularly for \u0394n &lt;; 0.01, where we observe a resolution exceeding 10 \u03bcm for our device. In addition, we measure a reduction in the resonance linewidth as the index contrast becomes lower, corresponding to a longer resonant mode propagation length in the structure and contributing to the change in spatial resolution.", "author" : [ { "dropping-particle" : "", "family" : "Triggs", "given" : "G. J.", "non-dropping-particle" : "", "parse-names" : false, "suffix" : "" }, { "dropping-particle" : "", "family" : "Fischer", "given" : "M.", "non-dropping-particle" : "", "parse-names" : false, "suffix" : "" }, { "dropping-particle" : "", "family" : "Stellinga", "given" : "D.", "non-dropping-particle" : "", "parse-names" : false, "suffix" : "" }, { "dropping-particle" : "", "family" : "Scullion", "given" : "M. G.", "non-dropping-particle" : "", "parse-names" : false, "suffix" : "" }, { "dropping-particle" : "", "family" : "Evans", "given" : "G. J.O.", "non-dropping-particle" : "", "parse-names" : false, "suffix" : "" }, { "dropping-particle" : "", "family" : "Krauss", "given" : "T. F.", "non-dropping-particle" : "", "parse-names" : false, "suffix" : "" } ], "container-title" : "IEEE Photonics Journal", "id" : "ITEM-1", "issue" : "3", "issued" : { "date-parts" : [ [ "2015" ] ] }, "title" : "Spatial resolution and refractive index contrast of resonant photonic crystal surfaces for biosensing", "type" : "article-journal", "volume" : "7" }, "uris" : [ "http://www.mendeley.com/documents/?uuid=d2ac5f4a-c5ee-4517-9f2c-f2a1544e32f7" ] } ], "mendeley" : { "formattedCitation" : "(10)", "plainTextFormattedCitation" : "(10)", "previouslyFormattedCitation" : "&lt;sup&gt;10&lt;/sup&gt;" }, "properties" : { "noteIndex" : 0 }, "schema" : "https://github.com/citation-style-language/schema/raw/master/csl-citation.json" }</w:instrText>
      </w:r>
      <w:r w:rsidR="00815268">
        <w:rPr>
          <w:rFonts w:ascii="Arial" w:hAnsi="Arial" w:cs="Arial"/>
        </w:rPr>
        <w:fldChar w:fldCharType="separate"/>
      </w:r>
      <w:r w:rsidR="00AB0567" w:rsidRPr="00AB0567">
        <w:rPr>
          <w:rFonts w:ascii="Arial" w:hAnsi="Arial" w:cs="Arial"/>
          <w:noProof/>
        </w:rPr>
        <w:t>(10)</w:t>
      </w:r>
      <w:r w:rsidR="00815268">
        <w:rPr>
          <w:rFonts w:ascii="Arial" w:hAnsi="Arial" w:cs="Arial"/>
        </w:rPr>
        <w:fldChar w:fldCharType="end"/>
      </w:r>
      <w:r w:rsidRPr="00815268">
        <w:rPr>
          <w:rFonts w:ascii="Arial" w:hAnsi="Arial" w:cs="Arial"/>
        </w:rPr>
        <w:t xml:space="preserve">. We employed the same protocol described previously for a single BHK-TPO cell to quantify protein </w:t>
      </w:r>
      <w:r w:rsidRPr="00815268">
        <w:rPr>
          <w:rFonts w:ascii="Arial" w:hAnsi="Arial" w:cs="Arial"/>
        </w:rPr>
        <w:lastRenderedPageBreak/>
        <w:t>secretion from multiple cells within the new region of interest. A threshold of 1n</w:t>
      </w:r>
      <w:r w:rsidRPr="00CC35A3">
        <w:rPr>
          <w:rFonts w:ascii="Arial" w:hAnsi="Arial" w:cs="Arial"/>
        </w:rPr>
        <w:t>m was again chosen to define the background resonance and the increase in resonance around each cell was monitored every 3 minutes for a duration of 130 min (Figure 2e N.B. for clarity a region of interest of 160 x 210</w:t>
      </w:r>
      <w:r w:rsidR="006244ED">
        <w:rPr>
          <w:rFonts w:ascii="Arial" w:hAnsi="Arial" w:cs="Arial"/>
        </w:rPr>
        <w:t xml:space="preserve"> </w:t>
      </w:r>
      <w:r w:rsidRPr="00CC35A3">
        <w:rPr>
          <w:rFonts w:ascii="Arial" w:hAnsi="Arial" w:cs="Arial"/>
        </w:rPr>
        <w:t>µm is shown at timepoints 0, 8, 15 an</w:t>
      </w:r>
      <w:r w:rsidRPr="00EC2DB5">
        <w:rPr>
          <w:rFonts w:ascii="Arial" w:hAnsi="Arial" w:cs="Arial"/>
        </w:rPr>
        <w:t>d 23 min). To demonstrate the specificity of our assay we also challenged our PCR</w:t>
      </w:r>
      <w:r w:rsidR="002D3271">
        <w:rPr>
          <w:rFonts w:ascii="Arial" w:hAnsi="Arial" w:cs="Arial"/>
        </w:rPr>
        <w:t>S</w:t>
      </w:r>
      <w:r w:rsidRPr="00EC2DB5">
        <w:rPr>
          <w:rFonts w:ascii="Arial" w:hAnsi="Arial" w:cs="Arial"/>
        </w:rPr>
        <w:t xml:space="preserve"> sensor with two different control systems. In the first control, the PCR</w:t>
      </w:r>
      <w:r w:rsidR="002D3271">
        <w:rPr>
          <w:rFonts w:ascii="Arial" w:hAnsi="Arial" w:cs="Arial"/>
        </w:rPr>
        <w:t>S</w:t>
      </w:r>
      <w:r w:rsidRPr="00EC2DB5">
        <w:rPr>
          <w:rFonts w:ascii="Arial" w:hAnsi="Arial" w:cs="Arial"/>
        </w:rPr>
        <w:t xml:space="preserve"> was functionalised with a control antibody and challenge</w:t>
      </w:r>
      <w:r w:rsidRPr="001504AB">
        <w:rPr>
          <w:rFonts w:ascii="Arial" w:hAnsi="Arial" w:cs="Arial"/>
        </w:rPr>
        <w:t>d with BHK-TPO cells (Figure 2f). The second control comprised a surface functionalised with anti</w:t>
      </w:r>
      <w:r w:rsidR="00944505">
        <w:rPr>
          <w:rFonts w:ascii="Arial" w:hAnsi="Arial" w:cs="Arial"/>
        </w:rPr>
        <w:t>-</w:t>
      </w:r>
      <w:r w:rsidRPr="001504AB">
        <w:rPr>
          <w:rFonts w:ascii="Arial" w:hAnsi="Arial" w:cs="Arial"/>
        </w:rPr>
        <w:t>TPO challenged with a population of BHK-TPO cells treated with the protein transport inhibitor brefeldin A to supress secretion of TPO (Figure 2g) (see Methods). Secretion of TPO and subsequent binding to surface immobilized anti</w:t>
      </w:r>
      <w:r w:rsidR="00944505">
        <w:rPr>
          <w:rFonts w:ascii="Arial" w:hAnsi="Arial" w:cs="Arial"/>
        </w:rPr>
        <w:t>-</w:t>
      </w:r>
      <w:r w:rsidRPr="001504AB">
        <w:rPr>
          <w:rFonts w:ascii="Arial" w:hAnsi="Arial" w:cs="Arial"/>
        </w:rPr>
        <w:t xml:space="preserve">TPO led to an increase in the resonant frequency around each of 30 BHK-TPO cells (Figure 2a). After 120 min, TPO secreted from the BHK-TPO cells had diffused </w:t>
      </w:r>
      <w:bookmarkStart w:id="3" w:name="OLE_LINK5"/>
      <w:bookmarkStart w:id="4" w:name="OLE_LINK12"/>
      <w:r w:rsidRPr="001504AB">
        <w:rPr>
          <w:rFonts w:ascii="Arial" w:hAnsi="Arial" w:cs="Arial"/>
        </w:rPr>
        <w:t xml:space="preserve">isotropically </w:t>
      </w:r>
      <w:bookmarkEnd w:id="3"/>
      <w:bookmarkEnd w:id="4"/>
      <w:r w:rsidRPr="001504AB">
        <w:rPr>
          <w:rFonts w:ascii="Arial" w:hAnsi="Arial" w:cs="Arial"/>
        </w:rPr>
        <w:t xml:space="preserve">away from each cell over an average </w:t>
      </w:r>
      <w:r w:rsidR="00896215">
        <w:rPr>
          <w:rFonts w:ascii="Arial" w:hAnsi="Arial" w:cs="Arial"/>
        </w:rPr>
        <w:t xml:space="preserve">secretion </w:t>
      </w:r>
      <w:r w:rsidRPr="001504AB">
        <w:rPr>
          <w:rFonts w:ascii="Arial" w:hAnsi="Arial" w:cs="Arial"/>
        </w:rPr>
        <w:t xml:space="preserve">area of </w:t>
      </w:r>
      <w:r w:rsidRPr="001504AB">
        <w:rPr>
          <w:rFonts w:ascii="Cambria Math" w:hAnsi="Cambria Math" w:cs="Cambria Math"/>
        </w:rPr>
        <w:t>𝚪</w:t>
      </w:r>
      <w:r w:rsidR="002C205D">
        <w:rPr>
          <w:rFonts w:ascii="Arial" w:hAnsi="Arial" w:cs="Arial"/>
          <w:vertAlign w:val="subscript"/>
        </w:rPr>
        <w:t>anti-TPO</w:t>
      </w:r>
      <w:r w:rsidRPr="00CC35A3">
        <w:rPr>
          <w:rFonts w:ascii="Arial" w:hAnsi="Arial" w:cs="Arial"/>
        </w:rPr>
        <w:t xml:space="preserve"> ~ </w:t>
      </w:r>
      <w:r w:rsidR="006813CB">
        <w:rPr>
          <w:rFonts w:ascii="Arial" w:hAnsi="Arial" w:cs="Arial"/>
        </w:rPr>
        <w:t>72</w:t>
      </w:r>
      <w:r w:rsidR="006813CB" w:rsidRPr="00CC35A3">
        <w:rPr>
          <w:rFonts w:ascii="Arial" w:hAnsi="Arial" w:cs="Arial"/>
        </w:rPr>
        <w:t xml:space="preserve">0 </w:t>
      </w:r>
      <w:r w:rsidRPr="00CC35A3">
        <w:rPr>
          <w:rFonts w:ascii="Arial" w:hAnsi="Arial" w:cs="Arial"/>
        </w:rPr>
        <w:t>µm</w:t>
      </w:r>
      <w:r w:rsidRPr="001504AB">
        <w:rPr>
          <w:rFonts w:ascii="Arial" w:hAnsi="Arial" w:cs="Arial"/>
          <w:vertAlign w:val="superscript"/>
        </w:rPr>
        <w:t>2</w:t>
      </w:r>
      <w:r w:rsidRPr="00CC35A3">
        <w:rPr>
          <w:rFonts w:ascii="Arial" w:hAnsi="Arial" w:cs="Arial"/>
        </w:rPr>
        <w:t xml:space="preserve"> around each cell. In contrast, the average shift in resonant frequency around individual cells in the control experiments was minimal due to the inhibition of TPO secretion from </w:t>
      </w:r>
      <w:r w:rsidRPr="00EC2DB5">
        <w:rPr>
          <w:rFonts w:ascii="Arial" w:hAnsi="Arial" w:cs="Arial"/>
        </w:rPr>
        <w:t>BHK-TPO cells treated with</w:t>
      </w:r>
      <w:r w:rsidRPr="00376ACF">
        <w:rPr>
          <w:rFonts w:ascii="Arial" w:hAnsi="Arial" w:cs="Arial"/>
        </w:rPr>
        <w:t xml:space="preserve"> brefeldin A and the lack of specificity of the anti</w:t>
      </w:r>
      <w:r w:rsidR="00511AD6">
        <w:rPr>
          <w:rFonts w:ascii="Arial" w:hAnsi="Arial" w:cs="Arial"/>
        </w:rPr>
        <w:t>-</w:t>
      </w:r>
      <w:r w:rsidRPr="00376ACF">
        <w:rPr>
          <w:rFonts w:ascii="Arial" w:hAnsi="Arial" w:cs="Arial"/>
        </w:rPr>
        <w:t xml:space="preserve">IgG sensor for TPO (Figure 2h). </w:t>
      </w:r>
    </w:p>
    <w:p w14:paraId="37F8A450" w14:textId="0F107450" w:rsidR="008F75E5" w:rsidRPr="001504AB" w:rsidRDefault="007B5704" w:rsidP="00736B3A">
      <w:pPr>
        <w:spacing w:line="360" w:lineRule="auto"/>
        <w:ind w:left="-709"/>
        <w:rPr>
          <w:rFonts w:ascii="Arial" w:hAnsi="Arial" w:cs="Arial"/>
        </w:rPr>
      </w:pPr>
      <w:r w:rsidRPr="00815268">
        <w:rPr>
          <w:rFonts w:ascii="Arial" w:hAnsi="Arial" w:cs="Arial"/>
        </w:rPr>
        <w:t>The wide field of view coupled with high spatial resolution allows statistical analysis of protein secretion from individual cells. Histograms of surface adsorption for ea</w:t>
      </w:r>
      <w:r w:rsidRPr="00CC35A3">
        <w:rPr>
          <w:rFonts w:ascii="Arial" w:hAnsi="Arial" w:cs="Arial"/>
        </w:rPr>
        <w:t xml:space="preserve">ch </w:t>
      </w:r>
      <w:r w:rsidR="00815268">
        <w:rPr>
          <w:rFonts w:ascii="Arial" w:hAnsi="Arial" w:cs="Arial"/>
        </w:rPr>
        <w:t>B</w:t>
      </w:r>
      <w:r w:rsidRPr="00CC35A3">
        <w:rPr>
          <w:rFonts w:ascii="Arial" w:hAnsi="Arial" w:cs="Arial"/>
        </w:rPr>
        <w:t xml:space="preserve">HK-TPO cell (Figure 2i) revealed a high degree of heterogeneity in terms of TPO secretion (standard deviation of </w:t>
      </w:r>
      <w:r w:rsidR="00BD4C90" w:rsidRPr="001504AB">
        <w:rPr>
          <w:rFonts w:ascii="Cambria Math" w:hAnsi="Cambria Math" w:cs="Cambria Math"/>
        </w:rPr>
        <w:t>𝚪</w:t>
      </w:r>
      <w:r w:rsidR="002C205D">
        <w:rPr>
          <w:rFonts w:ascii="Arial" w:hAnsi="Arial" w:cs="Arial"/>
          <w:vertAlign w:val="subscript"/>
        </w:rPr>
        <w:t>anti-TPO</w:t>
      </w:r>
      <w:r w:rsidRPr="00CC35A3">
        <w:rPr>
          <w:rFonts w:ascii="Arial" w:hAnsi="Arial" w:cs="Arial"/>
        </w:rPr>
        <w:t xml:space="preserve"> ~ </w:t>
      </w:r>
      <w:r w:rsidR="006813CB">
        <w:rPr>
          <w:rFonts w:ascii="Arial" w:hAnsi="Arial" w:cs="Arial"/>
        </w:rPr>
        <w:t>12</w:t>
      </w:r>
      <w:r w:rsidR="006813CB" w:rsidRPr="00CC35A3">
        <w:rPr>
          <w:rFonts w:ascii="Arial" w:hAnsi="Arial" w:cs="Arial"/>
        </w:rPr>
        <w:t xml:space="preserve">0 </w:t>
      </w:r>
      <w:r w:rsidRPr="00CC35A3">
        <w:rPr>
          <w:rFonts w:ascii="Arial" w:hAnsi="Arial" w:cs="Arial"/>
        </w:rPr>
        <w:t>µm</w:t>
      </w:r>
      <w:r w:rsidRPr="001504AB">
        <w:rPr>
          <w:rFonts w:ascii="Arial" w:hAnsi="Arial" w:cs="Arial"/>
          <w:vertAlign w:val="superscript"/>
        </w:rPr>
        <w:t>2</w:t>
      </w:r>
      <w:r w:rsidRPr="00CC35A3">
        <w:rPr>
          <w:rFonts w:ascii="Arial" w:hAnsi="Arial" w:cs="Arial"/>
        </w:rPr>
        <w:t>). This contrasts the control system treated with brefeldin A which exhibits a lower standard deviation (</w:t>
      </w:r>
      <w:r w:rsidR="00BD4C90" w:rsidRPr="001504AB">
        <w:rPr>
          <w:rFonts w:ascii="Cambria Math" w:hAnsi="Cambria Math" w:cs="Cambria Math"/>
        </w:rPr>
        <w:t>𝚪</w:t>
      </w:r>
      <w:r w:rsidRPr="001504AB">
        <w:rPr>
          <w:rFonts w:ascii="Arial" w:hAnsi="Arial" w:cs="Arial"/>
          <w:vertAlign w:val="subscript"/>
        </w:rPr>
        <w:t>brefeldin A</w:t>
      </w:r>
      <w:r w:rsidRPr="00CC35A3">
        <w:rPr>
          <w:rFonts w:ascii="Arial" w:hAnsi="Arial" w:cs="Arial"/>
        </w:rPr>
        <w:t xml:space="preserve"> ~ 6</w:t>
      </w:r>
      <w:r w:rsidRPr="00EC2DB5">
        <w:rPr>
          <w:rFonts w:ascii="Arial" w:hAnsi="Arial" w:cs="Arial"/>
        </w:rPr>
        <w:t>0 µm</w:t>
      </w:r>
      <w:r w:rsidRPr="001504AB">
        <w:rPr>
          <w:rFonts w:ascii="Arial" w:hAnsi="Arial" w:cs="Arial"/>
          <w:vertAlign w:val="superscript"/>
        </w:rPr>
        <w:t>2</w:t>
      </w:r>
      <w:r w:rsidRPr="00CC35A3">
        <w:rPr>
          <w:rFonts w:ascii="Arial" w:hAnsi="Arial" w:cs="Arial"/>
        </w:rPr>
        <w:t>) due to the homogeneity of the non-secreting system. The heterogeneity of protein secretion was also observed in the kinetics of TPO secretion (See Methods, Figure 2i). The average rate of protein secretion from BHK-TPO cells and adsorption onto surf</w:t>
      </w:r>
      <w:r w:rsidRPr="00EC2DB5">
        <w:rPr>
          <w:rFonts w:ascii="Arial" w:hAnsi="Arial" w:cs="Arial"/>
        </w:rPr>
        <w:t xml:space="preserve">ace immobilized </w:t>
      </w:r>
      <w:r w:rsidR="002C205D">
        <w:rPr>
          <w:rFonts w:ascii="Arial" w:hAnsi="Arial" w:cs="Arial"/>
        </w:rPr>
        <w:t>anti-TPO</w:t>
      </w:r>
      <w:r w:rsidRPr="00EC2DB5">
        <w:rPr>
          <w:rFonts w:ascii="Arial" w:hAnsi="Arial" w:cs="Arial"/>
        </w:rPr>
        <w:t xml:space="preserve"> was </w:t>
      </w:r>
      <w:proofErr w:type="spellStart"/>
      <w:r w:rsidRPr="00EC2DB5">
        <w:rPr>
          <w:rFonts w:ascii="Arial" w:hAnsi="Arial" w:cs="Arial"/>
        </w:rPr>
        <w:t>κ</w:t>
      </w:r>
      <w:r w:rsidR="002C205D" w:rsidRPr="002C205D">
        <w:rPr>
          <w:rFonts w:ascii="Arial" w:hAnsi="Arial" w:cs="Arial"/>
          <w:vertAlign w:val="subscript"/>
        </w:rPr>
        <w:t>anti</w:t>
      </w:r>
      <w:proofErr w:type="spellEnd"/>
      <w:r w:rsidR="002C205D" w:rsidRPr="002C205D">
        <w:rPr>
          <w:rFonts w:ascii="Arial" w:hAnsi="Arial" w:cs="Arial"/>
          <w:vertAlign w:val="subscript"/>
        </w:rPr>
        <w:t>-TPO</w:t>
      </w:r>
      <w:r w:rsidRPr="002C205D">
        <w:rPr>
          <w:rFonts w:ascii="Arial" w:hAnsi="Arial" w:cs="Arial"/>
          <w:vertAlign w:val="subscript"/>
        </w:rPr>
        <w:t xml:space="preserve"> </w:t>
      </w:r>
      <w:r w:rsidRPr="00EC2DB5">
        <w:rPr>
          <w:rFonts w:ascii="Arial" w:hAnsi="Arial" w:cs="Arial"/>
        </w:rPr>
        <w:t xml:space="preserve">~ </w:t>
      </w:r>
      <w:r w:rsidR="006813CB">
        <w:rPr>
          <w:rFonts w:ascii="Arial" w:hAnsi="Arial" w:cs="Arial"/>
        </w:rPr>
        <w:t>22</w:t>
      </w:r>
      <w:r w:rsidR="006813CB" w:rsidRPr="00EC2DB5">
        <w:rPr>
          <w:rFonts w:ascii="Arial" w:hAnsi="Arial" w:cs="Arial"/>
        </w:rPr>
        <w:t xml:space="preserve"> </w:t>
      </w:r>
      <w:r w:rsidRPr="00EC2DB5">
        <w:rPr>
          <w:rFonts w:ascii="Arial" w:hAnsi="Arial" w:cs="Arial"/>
        </w:rPr>
        <w:t>µm</w:t>
      </w:r>
      <w:r w:rsidRPr="001504AB">
        <w:rPr>
          <w:rFonts w:ascii="Arial" w:hAnsi="Arial" w:cs="Arial"/>
          <w:vertAlign w:val="superscript"/>
        </w:rPr>
        <w:t>2</w:t>
      </w:r>
      <w:r w:rsidRPr="00CC35A3">
        <w:rPr>
          <w:rFonts w:ascii="Arial" w:hAnsi="Arial" w:cs="Arial"/>
        </w:rPr>
        <w:t>/h (coefficient of determination R</w:t>
      </w:r>
      <w:r w:rsidRPr="001504AB">
        <w:rPr>
          <w:rFonts w:ascii="Arial" w:hAnsi="Arial" w:cs="Arial"/>
          <w:vertAlign w:val="superscript"/>
        </w:rPr>
        <w:t>2</w:t>
      </w:r>
      <w:r w:rsidRPr="00CC35A3">
        <w:rPr>
          <w:rFonts w:ascii="Arial" w:hAnsi="Arial" w:cs="Arial"/>
        </w:rPr>
        <w:t xml:space="preserve"> of 0.94 ± 0.04), significantly higher than the kinetics of non-specific adsorption observed in the control systems (~ </w:t>
      </w:r>
      <w:r w:rsidR="006813CB">
        <w:rPr>
          <w:rFonts w:ascii="Arial" w:hAnsi="Arial" w:cs="Arial"/>
        </w:rPr>
        <w:t>9</w:t>
      </w:r>
      <w:r w:rsidR="006813CB" w:rsidRPr="00CC35A3">
        <w:rPr>
          <w:rFonts w:ascii="Arial" w:hAnsi="Arial" w:cs="Arial"/>
        </w:rPr>
        <w:t xml:space="preserve"> </w:t>
      </w:r>
      <w:r w:rsidRPr="00CC35A3">
        <w:rPr>
          <w:rFonts w:ascii="Arial" w:hAnsi="Arial" w:cs="Arial"/>
        </w:rPr>
        <w:t>µm</w:t>
      </w:r>
      <w:r w:rsidRPr="001504AB">
        <w:rPr>
          <w:rFonts w:ascii="Arial" w:hAnsi="Arial" w:cs="Arial"/>
          <w:vertAlign w:val="superscript"/>
        </w:rPr>
        <w:t>2</w:t>
      </w:r>
      <w:r w:rsidRPr="00CC35A3">
        <w:rPr>
          <w:rFonts w:ascii="Arial" w:hAnsi="Arial" w:cs="Arial"/>
        </w:rPr>
        <w:t xml:space="preserve">/h and ~ </w:t>
      </w:r>
      <w:r w:rsidR="006813CB">
        <w:rPr>
          <w:rFonts w:ascii="Arial" w:hAnsi="Arial" w:cs="Arial"/>
        </w:rPr>
        <w:t>6</w:t>
      </w:r>
      <w:r w:rsidRPr="00CC35A3">
        <w:rPr>
          <w:rFonts w:ascii="Arial" w:hAnsi="Arial" w:cs="Arial"/>
        </w:rPr>
        <w:t>.5 µm</w:t>
      </w:r>
      <w:r w:rsidRPr="001504AB">
        <w:rPr>
          <w:rFonts w:ascii="Arial" w:hAnsi="Arial" w:cs="Arial"/>
          <w:vertAlign w:val="superscript"/>
        </w:rPr>
        <w:t>2</w:t>
      </w:r>
      <w:r w:rsidRPr="00CC35A3">
        <w:rPr>
          <w:rFonts w:ascii="Arial" w:hAnsi="Arial" w:cs="Arial"/>
        </w:rPr>
        <w:t xml:space="preserve">/h for </w:t>
      </w:r>
      <w:proofErr w:type="spellStart"/>
      <w:r w:rsidRPr="00CC35A3">
        <w:rPr>
          <w:rFonts w:ascii="Arial" w:hAnsi="Arial" w:cs="Arial"/>
        </w:rPr>
        <w:t>κ</w:t>
      </w:r>
      <w:r w:rsidRPr="001504AB">
        <w:rPr>
          <w:rFonts w:ascii="Arial" w:hAnsi="Arial" w:cs="Arial"/>
          <w:vertAlign w:val="subscript"/>
        </w:rPr>
        <w:t>anti</w:t>
      </w:r>
      <w:proofErr w:type="spellEnd"/>
      <w:r w:rsidR="002C205D">
        <w:rPr>
          <w:rFonts w:ascii="Arial" w:hAnsi="Arial" w:cs="Arial"/>
          <w:vertAlign w:val="subscript"/>
        </w:rPr>
        <w:t>-</w:t>
      </w:r>
      <w:r w:rsidRPr="001504AB">
        <w:rPr>
          <w:rFonts w:ascii="Arial" w:hAnsi="Arial" w:cs="Arial"/>
          <w:vertAlign w:val="subscript"/>
        </w:rPr>
        <w:t>IgG</w:t>
      </w:r>
      <w:r w:rsidRPr="00CC35A3">
        <w:rPr>
          <w:rFonts w:ascii="Arial" w:hAnsi="Arial" w:cs="Arial"/>
        </w:rPr>
        <w:t xml:space="preserve"> and </w:t>
      </w:r>
      <w:proofErr w:type="spellStart"/>
      <w:r w:rsidRPr="00EC2DB5">
        <w:rPr>
          <w:rFonts w:ascii="Arial" w:hAnsi="Arial" w:cs="Arial"/>
        </w:rPr>
        <w:t>κ</w:t>
      </w:r>
      <w:r w:rsidRPr="001504AB">
        <w:rPr>
          <w:rFonts w:ascii="Arial" w:hAnsi="Arial" w:cs="Arial"/>
          <w:vertAlign w:val="subscript"/>
        </w:rPr>
        <w:t>brefeldin</w:t>
      </w:r>
      <w:proofErr w:type="spellEnd"/>
      <w:r w:rsidRPr="001504AB">
        <w:rPr>
          <w:rFonts w:ascii="Arial" w:hAnsi="Arial" w:cs="Arial"/>
          <w:vertAlign w:val="subscript"/>
        </w:rPr>
        <w:t xml:space="preserve"> A</w:t>
      </w:r>
      <w:r w:rsidRPr="00CC35A3">
        <w:rPr>
          <w:rFonts w:ascii="Arial" w:hAnsi="Arial" w:cs="Arial"/>
        </w:rPr>
        <w:t>, r</w:t>
      </w:r>
      <w:r w:rsidRPr="00EC2DB5">
        <w:rPr>
          <w:rFonts w:ascii="Arial" w:hAnsi="Arial" w:cs="Arial"/>
        </w:rPr>
        <w:t xml:space="preserve">espectively).  </w:t>
      </w:r>
    </w:p>
    <w:p w14:paraId="55A5A73F" w14:textId="1E754348" w:rsidR="009206EA" w:rsidRPr="001504AB" w:rsidRDefault="009206EA" w:rsidP="00736B3A">
      <w:pPr>
        <w:pStyle w:val="Descripcin"/>
        <w:spacing w:line="360" w:lineRule="auto"/>
        <w:ind w:left="-709"/>
        <w:rPr>
          <w:rFonts w:ascii="Arial" w:hAnsi="Arial" w:cs="Arial"/>
          <w:i w:val="0"/>
          <w:color w:val="000000" w:themeColor="text1"/>
          <w:sz w:val="22"/>
          <w:szCs w:val="22"/>
        </w:rPr>
      </w:pPr>
      <w:r w:rsidRPr="001504AB">
        <w:rPr>
          <w:rFonts w:ascii="Arial" w:hAnsi="Arial" w:cs="Arial"/>
          <w:i w:val="0"/>
          <w:color w:val="000000" w:themeColor="text1"/>
          <w:sz w:val="22"/>
          <w:szCs w:val="22"/>
        </w:rPr>
        <w:t xml:space="preserve">The real-time and label-free capabilities associated with our analytical technology not only enables high </w:t>
      </w:r>
      <w:r w:rsidR="002C205D" w:rsidRPr="001504AB">
        <w:rPr>
          <w:rFonts w:ascii="Arial" w:hAnsi="Arial" w:cs="Arial"/>
          <w:i w:val="0"/>
          <w:color w:val="000000" w:themeColor="text1"/>
          <w:sz w:val="22"/>
          <w:szCs w:val="22"/>
        </w:rPr>
        <w:t>through</w:t>
      </w:r>
      <w:r w:rsidR="002C205D">
        <w:rPr>
          <w:rFonts w:ascii="Arial" w:hAnsi="Arial" w:cs="Arial"/>
          <w:i w:val="0"/>
          <w:color w:val="000000" w:themeColor="text1"/>
          <w:sz w:val="22"/>
          <w:szCs w:val="22"/>
        </w:rPr>
        <w:t>p</w:t>
      </w:r>
      <w:r w:rsidR="002C205D" w:rsidRPr="001504AB">
        <w:rPr>
          <w:rFonts w:ascii="Arial" w:hAnsi="Arial" w:cs="Arial"/>
          <w:i w:val="0"/>
          <w:color w:val="000000" w:themeColor="text1"/>
          <w:sz w:val="22"/>
          <w:szCs w:val="22"/>
        </w:rPr>
        <w:t>ut</w:t>
      </w:r>
      <w:r w:rsidRPr="001504AB">
        <w:rPr>
          <w:rFonts w:ascii="Arial" w:hAnsi="Arial" w:cs="Arial"/>
          <w:i w:val="0"/>
          <w:color w:val="000000" w:themeColor="text1"/>
          <w:sz w:val="22"/>
          <w:szCs w:val="22"/>
        </w:rPr>
        <w:t xml:space="preserve"> analysis at the single cell level but also the ability to study single cell-dynamics in clinical samples, for example the personalized response of </w:t>
      </w:r>
      <w:r w:rsidR="001504AB" w:rsidRPr="001504AB">
        <w:rPr>
          <w:rFonts w:ascii="Arial" w:hAnsi="Arial" w:cs="Arial"/>
          <w:i w:val="0"/>
          <w:color w:val="000000" w:themeColor="text1"/>
          <w:sz w:val="22"/>
          <w:szCs w:val="22"/>
        </w:rPr>
        <w:t>patients’</w:t>
      </w:r>
      <w:r w:rsidRPr="001504AB">
        <w:rPr>
          <w:rFonts w:ascii="Arial" w:hAnsi="Arial" w:cs="Arial"/>
          <w:i w:val="0"/>
          <w:color w:val="000000" w:themeColor="text1"/>
          <w:sz w:val="22"/>
          <w:szCs w:val="22"/>
        </w:rPr>
        <w:t xml:space="preserve"> cells to drugs or other treatments. To highlight this capability, </w:t>
      </w:r>
      <w:r w:rsidR="0050713C">
        <w:rPr>
          <w:rFonts w:ascii="Arial" w:hAnsi="Arial" w:cs="Arial"/>
          <w:i w:val="0"/>
          <w:color w:val="000000" w:themeColor="text1"/>
          <w:sz w:val="22"/>
          <w:szCs w:val="22"/>
        </w:rPr>
        <w:t>we have used this this technology to determine the effects of human platelets on mediating TPO release at the single cell level</w:t>
      </w:r>
      <w:r w:rsidRPr="001504AB">
        <w:rPr>
          <w:rFonts w:ascii="Arial" w:hAnsi="Arial" w:cs="Arial"/>
          <w:i w:val="0"/>
          <w:color w:val="000000" w:themeColor="text1"/>
          <w:sz w:val="22"/>
          <w:szCs w:val="22"/>
        </w:rPr>
        <w:t xml:space="preserve">. </w:t>
      </w:r>
      <w:r w:rsidR="00E05AE2">
        <w:rPr>
          <w:rFonts w:ascii="Arial" w:hAnsi="Arial" w:cs="Arial"/>
          <w:i w:val="0"/>
          <w:color w:val="000000" w:themeColor="text1"/>
          <w:sz w:val="22"/>
          <w:szCs w:val="22"/>
        </w:rPr>
        <w:t xml:space="preserve">Maintaining physiological levels of circulating platelets relies on a finely tuned balance between platelet generation and clearance. </w:t>
      </w:r>
      <w:r w:rsidR="0050713C" w:rsidRPr="001504AB">
        <w:rPr>
          <w:rFonts w:ascii="Arial" w:hAnsi="Arial" w:cs="Arial"/>
          <w:i w:val="0"/>
          <w:color w:val="000000" w:themeColor="text1"/>
          <w:sz w:val="22"/>
          <w:szCs w:val="22"/>
        </w:rPr>
        <w:t xml:space="preserve"> </w:t>
      </w:r>
      <w:r w:rsidR="004D09D1">
        <w:rPr>
          <w:rFonts w:ascii="Arial" w:hAnsi="Arial" w:cs="Arial"/>
          <w:i w:val="0"/>
          <w:color w:val="000000" w:themeColor="text1"/>
          <w:sz w:val="22"/>
          <w:szCs w:val="22"/>
        </w:rPr>
        <w:t xml:space="preserve">Although </w:t>
      </w:r>
      <w:r w:rsidRPr="001504AB">
        <w:rPr>
          <w:rFonts w:ascii="Arial" w:hAnsi="Arial" w:cs="Arial"/>
          <w:i w:val="0"/>
          <w:color w:val="000000" w:themeColor="text1"/>
          <w:sz w:val="22"/>
          <w:szCs w:val="22"/>
        </w:rPr>
        <w:t>TPO</w:t>
      </w:r>
      <w:r w:rsidR="00E05AE2">
        <w:rPr>
          <w:rFonts w:ascii="Arial" w:hAnsi="Arial" w:cs="Arial"/>
          <w:i w:val="0"/>
          <w:color w:val="000000" w:themeColor="text1"/>
          <w:sz w:val="22"/>
          <w:szCs w:val="22"/>
        </w:rPr>
        <w:t xml:space="preserve"> is the key regulator of platelet production</w:t>
      </w:r>
      <w:r w:rsidRPr="001504AB">
        <w:rPr>
          <w:rFonts w:ascii="Arial" w:hAnsi="Arial" w:cs="Arial"/>
          <w:i w:val="0"/>
          <w:color w:val="000000" w:themeColor="text1"/>
          <w:sz w:val="22"/>
          <w:szCs w:val="22"/>
        </w:rPr>
        <w:t>, the specific mechanisms that underpin</w:t>
      </w:r>
      <w:r w:rsidR="004D09D1">
        <w:rPr>
          <w:rFonts w:ascii="Arial" w:hAnsi="Arial" w:cs="Arial"/>
          <w:i w:val="0"/>
          <w:color w:val="000000" w:themeColor="text1"/>
          <w:sz w:val="22"/>
          <w:szCs w:val="22"/>
        </w:rPr>
        <w:t xml:space="preserve"> TPO production and</w:t>
      </w:r>
      <w:r w:rsidRPr="001504AB">
        <w:rPr>
          <w:rFonts w:ascii="Arial" w:hAnsi="Arial" w:cs="Arial"/>
          <w:i w:val="0"/>
          <w:color w:val="000000" w:themeColor="text1"/>
          <w:sz w:val="22"/>
          <w:szCs w:val="22"/>
        </w:rPr>
        <w:t xml:space="preserve"> this physiological feedback loop remain </w:t>
      </w:r>
      <w:r w:rsidR="00A35D2E">
        <w:rPr>
          <w:rFonts w:ascii="Arial" w:hAnsi="Arial" w:cs="Arial"/>
          <w:i w:val="0"/>
          <w:color w:val="000000" w:themeColor="text1"/>
          <w:sz w:val="22"/>
          <w:szCs w:val="22"/>
        </w:rPr>
        <w:t>unclear</w:t>
      </w:r>
      <w:r w:rsidR="00A35D2E" w:rsidRPr="001504AB">
        <w:rPr>
          <w:rFonts w:ascii="Arial" w:hAnsi="Arial" w:cs="Arial"/>
          <w:i w:val="0"/>
          <w:color w:val="000000" w:themeColor="text1"/>
          <w:sz w:val="22"/>
          <w:szCs w:val="22"/>
        </w:rPr>
        <w:fldChar w:fldCharType="begin" w:fldLock="1"/>
      </w:r>
      <w:r w:rsidR="00AB0567">
        <w:rPr>
          <w:rFonts w:ascii="Arial" w:hAnsi="Arial" w:cs="Arial"/>
          <w:i w:val="0"/>
          <w:color w:val="000000" w:themeColor="text1"/>
          <w:sz w:val="22"/>
          <w:szCs w:val="22"/>
        </w:rPr>
        <w:instrText>ADDIN CSL_CITATION { "citationItems" : [ { "id" : "ITEM-1", "itemData" : { "abstract" : "Thrombopoietin (c-Mpl ligand) has recently been purified and is considered to be the humoral regulator of platelet production. To see whether this molecule possessed the physiologic characteristics necessary to mediate the feed-back loop between blood platelets and the bone marrow megakaryocytes, we determined the relationship between blood levels of thrombopoietin and changes in the circulating platelet mass. We developed a model of nonimmune thrombocytopenia in rabbits by the subcutaneous administration of busulfan. Compared with pretreatment plasma, plasma taken from all thrombocytopenic rabbits at their platelet nadir contained increased amounts of thrombopoietin. All of this activity was neutralized by soluble c-Mpl receptor. We subsequently measured the level of thrombopoietin in the circulation over the entire time course after the administration of busulfan. As the platelet mass declined, levels of thrombopoietin increased inversely and proportionally and peaked during the platelet nadir. With return of the platelet mass toward normal, thrombopoietin levels decreased accordingly. When platelets were transfused into thrombocytopenic rabbits near the time of their platelet count nadir, the elevated levels of thrombopoietin decreased. In addition, platelets were observed to remove thrombopoietin from thrombocytopenic plasma in vitro. These results confirm that thrombopoietin is the humoral mediator of megakaryocytopoiesis and suggest that the platelet mass may directly play a role in regulating the circulating levels of this factor.", "author" : [ { "dropping-particle" : "", "family" : "Kuter", "given" : "D J", "non-dropping-particle" : "", "parse-names" : false, "suffix" : "" }, { "dropping-particle" : "", "family" : "Rosenberg", "given" : "R D", "non-dropping-particle" : "", "parse-names" : false, "suffix" : "" } ], "container-title" : "Blood", "id" : "ITEM-1", "issue" : "10", "issued" : { "date-parts" : [ [ "1995", "5", "15" ] ] }, "page" : "2720 LP  - 2730", "title" : "The reciprocal relationship of thrombopoietin (c-Mpl ligand) to changes in the platelet mass during busulfan-induced thrombocytopenia in the rabbit", "type" : "article-journal", "volume" : "85" }, "uris" : [ "http://www.mendeley.com/documents/?uuid=f84d1113-fb73-4411-9fce-bd2ac0d6d449", "http://www.mendeley.com/documents/?uuid=cc173024-392f-40d0-bf90-bac1b1016efc" ] }, { "id" : "ITEM-2", "itemData" : { "abstract" : "The involvement of platelets and the c-mpl receptor in the regulation of thrombopoietin (TPO) plasma concentrations and tissue mRNA levels was investigated in both normal mice and mice defective in c-mpl (c-mpl- /-). Although c-mpl-/- mice have fewer platelets and higher plasma TPO activity than normal mice, there was no increase in TPO mRNA levels as measured by an S1 nuclease protection assay. After the intravenous injection of 125I-TPO, specific uptake of radioactivity by the spleen and blood cells was present in the normal mice, but absent in the c-mpl- /- mice. Platelet-rich plasma (PRP) from normal mice was able to bind and internalize 125I-TPO, whereas PRP from c-mpl-/- mice lacked this ability. Analysis of 125I-TPO binding to normal PRP indicated that binding was specific and saturable, with an approximate affinity of 560 pmol/L and 220 receptors per platelet. PRP from normal mice was also able to degrade 125I-TPO into lower molecular weight fragments. After the intravenous injections, c-mpl-/- mice cleared a dose of 125I-TPO at a much slower rate than did normal mice. Injection of washed platelets from normal mice into c-mpl-/- mice resulted in a dramatic, but transient, decrease in plasma TPO levels. These data provide evidence that platelets regulate plasma TPO levels via binding to the c-mpl receptor on circulating platelets.", "author" : [ { "dropping-particle" : "", "family" : "Fielder", "given" : "P J", "non-dropping-particle" : "", "parse-names" : false, "suffix" : "" }, { "dropping-particle" : "", "family" : "Gurney", "given" : "A L", "non-dropping-particle" : "", "parse-names" : false, "suffix" : "" }, { "dropping-particle" : "", "family" : "Stefanich", "given" : "E", "non-dropping-particle" : "", "parse-names" : false, "suffix" : "" }, { "dropping-particle" : "", "family" : "Marian", "given" : "M", "non-dropping-particle" : "", "parse-names" : false, "suffix" : "" }, { "dropping-particle" : "", "family" : "Moore", "given" : "M W", "non-dropping-particle" : "", "parse-names" : false, "suffix" : "" }, { "dropping-particle" : "", "family" : "Carver-Moore", "given" : "K", "non-dropping-particle" : "", "parse-names" : false, "suffix" : "" }, { "dropping-particle" : "", "family" : "Sauvage", "given" : "F J", "non-dropping-particle" : "de", "parse-names" : false, "suffix" : "" } ], "container-title" : "Blood", "id" : "ITEM-2", "issue" : "6", "issued" : { "date-parts" : [ [ "1996", "3", "15" ] ] }, "page" : "2154 LP  - 2161", "title" : "Regulation of thrombopoietin levels by c-mpl-mediated binding to platelets", "type" : "article-journal", "volume" : "87" }, "uris" : [ "http://www.mendeley.com/documents/?uuid=d299abfd-dd5f-4a2b-9afb-361cfa7045be", "http://www.mendeley.com/documents/?uuid=04f8950e-5b02-4add-8378-4321b1839710" ] }, { "id" : "ITEM-3", "itemData" : { "DOI" : "10.1046/j.1365-2141.1999.01459.x", "ISSN" : "0007-1048", "abstract" : "Little is known about the behaviour of endogenous thrombopoietin (TPO) serum levels during rapid sequences of dose?intensified chemotherapy. To characterize the relationship between TPO levels and platelet counts in this setting we serially measured both parameters over the entire treatment period of patients receiving multicycle polychemotherapy. We found TPO and platelet responses to be generally antagonistic through all cycles. However, a cross?correlation analysis indicated that TPO responses preceded platelet responses by approximately one day in all patients. The cumulative severity of thrombocytopenia observed over successive cycles was accompanied by an increasing TPO response which tended to grow overproportionally in relation to the degree of peripheral thrombocytopenia. These findings are consistent with a model suggesting that both platelet and megakaryocyte mass contribute to a receptor?dependent consumption process regulating the endogenous TPO level. In order to develop optimal schedules for exogenous TPO administration it might be important to consider endogenous TPO response characteristics.", "author" : [ { "dropping-particle" : "", "family" : "Christoph", "given" : "Engel", "non-dropping-particle" : "", "parse-names" : false, "suffix" : "" }, { "dropping-particle" : "", "family" : "Markus", "given" : "Loeffler", "non-dropping-particle" : "", "parse-names" : false, "suffix" : "" }, { "dropping-particle" : "", "family" : "Horst", "given" : "Franke", "non-dropping-particle" : "", "parse-names" : false, "suffix" : "" }, { "dropping-particle" : "", "family" : "Stephan", "given" : "Schmitz", "non-dropping-particle" : "", "parse-names" : false, "suffix" : "" } ], "container-title" : "British Journal of Haematology", "id" : "ITEM-3", "issue" : "3", "issued" : { "date-parts" : [ [ "2001", "12", "25" ] ] }, "note" : "doi: 10.1046/j.1365-2141.1999.01459.x", "page" : "832-838", "publisher" : "Wiley/Blackwell (10.1111)", "title" : "Endogenous thrombopoietin serum levels during multicycle chemotherapy", "type" : "article-journal", "volume" : "105" }, "uris" : [ "http://www.mendeley.com/documents/?uuid=3901ba83-0d42-46ff-af3d-15ecf527d0b2", "http://www.mendeley.com/documents/?uuid=9161c722-7311-4a5c-ba03-5943b97262ce" ] } ], "mendeley" : { "formattedCitation" : "(11\u201313)", "plainTextFormattedCitation" : "(11\u201313)", "previouslyFormattedCitation" : "&lt;sup&gt;11\u201313&lt;/sup&gt;" }, "properties" : { "noteIndex" : 0 }, "schema" : "https://github.com/citation-style-language/schema/raw/master/csl-citation.json" }</w:instrText>
      </w:r>
      <w:r w:rsidR="00A35D2E" w:rsidRPr="001504AB">
        <w:rPr>
          <w:rFonts w:ascii="Arial" w:hAnsi="Arial" w:cs="Arial"/>
          <w:i w:val="0"/>
          <w:color w:val="000000" w:themeColor="text1"/>
          <w:sz w:val="22"/>
          <w:szCs w:val="22"/>
        </w:rPr>
        <w:fldChar w:fldCharType="separate"/>
      </w:r>
      <w:r w:rsidR="00AB0567" w:rsidRPr="00AB0567">
        <w:rPr>
          <w:rFonts w:ascii="Arial" w:hAnsi="Arial" w:cs="Arial"/>
          <w:i w:val="0"/>
          <w:noProof/>
          <w:color w:val="000000" w:themeColor="text1"/>
          <w:sz w:val="22"/>
          <w:szCs w:val="22"/>
        </w:rPr>
        <w:t>(11–13)</w:t>
      </w:r>
      <w:r w:rsidR="00A35D2E" w:rsidRPr="001504AB">
        <w:rPr>
          <w:rFonts w:ascii="Arial" w:hAnsi="Arial" w:cs="Arial"/>
          <w:i w:val="0"/>
          <w:color w:val="000000" w:themeColor="text1"/>
          <w:sz w:val="22"/>
          <w:szCs w:val="22"/>
        </w:rPr>
        <w:fldChar w:fldCharType="end"/>
      </w:r>
      <w:r w:rsidRPr="001504AB">
        <w:rPr>
          <w:rFonts w:ascii="Arial" w:hAnsi="Arial" w:cs="Arial"/>
          <w:i w:val="0"/>
          <w:color w:val="000000" w:themeColor="text1"/>
          <w:sz w:val="22"/>
          <w:szCs w:val="22"/>
        </w:rPr>
        <w:t xml:space="preserve">. Recent experiments suggest  that TPO levels are directly dependent </w:t>
      </w:r>
      <w:r w:rsidRPr="001504AB">
        <w:rPr>
          <w:rFonts w:ascii="Arial" w:hAnsi="Arial" w:cs="Arial"/>
          <w:i w:val="0"/>
          <w:color w:val="000000" w:themeColor="text1"/>
          <w:sz w:val="22"/>
          <w:szCs w:val="22"/>
        </w:rPr>
        <w:lastRenderedPageBreak/>
        <w:t>on the concentration of circulating, desialylated (aged) platelets</w:t>
      </w:r>
      <w:r w:rsidRPr="001504AB">
        <w:rPr>
          <w:rFonts w:ascii="Arial" w:hAnsi="Arial" w:cs="Arial"/>
          <w:i w:val="0"/>
          <w:color w:val="000000" w:themeColor="text1"/>
          <w:sz w:val="22"/>
          <w:szCs w:val="22"/>
        </w:rPr>
        <w:fldChar w:fldCharType="begin" w:fldLock="1"/>
      </w:r>
      <w:r w:rsidR="00AB0567">
        <w:rPr>
          <w:rFonts w:ascii="Arial" w:hAnsi="Arial" w:cs="Arial"/>
          <w:i w:val="0"/>
          <w:color w:val="000000" w:themeColor="text1"/>
          <w:sz w:val="22"/>
          <w:szCs w:val="22"/>
        </w:rPr>
        <w:instrText>ADDIN CSL_CITATION { "citationItems" : [ { "id" : "ITEM-1", "itemData" : { "DOI" : "10.1038/nm.3770", "ISBN" : "1546-170X (Electronic)\\r1078-8956 (Linking)", "ISSN" : "1546170X", "PMID" : "25485912", "abstract" : "The hepatic Ashwell-Morell receptor (AMR) can bind and remove desialylated platelets. Here we demonstrate that platelets become desialylated as they circulate and age in blood. Binding of desialylated platelets to the AMR induces hepatic expression of thrombopoietin (TPO) mRNA and protein, thereby regulating platelet production. Endocytic AMR controls TPO expression through Janus kinase 2 (JAK2) and the acute phase response signal transducer and activator of transcription 3 (STAT3) in vivo and in vitro. Recognition of this newly identified physiological feedback mechanism illuminates the pathophysiology of platelet diseases, such as essential thrombocythemia and immune thrombocytopenia, and contributes to an understanding of the mechanisms of thrombocytopenia observed with JAK1/2 inhibition.", "author" : [ { "dropping-particle" : "", "family" : "Grozovsky", "given" : "Renata", "non-dropping-particle" : "", "parse-names" : false, "suffix" : "" }, { "dropping-particle" : "", "family" : "Begonja", "given" : "Antonija Jurak", "non-dropping-particle" : "", "parse-names" : false, "suffix" : "" }, { "dropping-particle" : "", "family" : "Liu", "given" : "Kaifeng", "non-dropping-particle" : "", "parse-names" : false, "suffix" : "" }, { "dropping-particle" : "", "family" : "Visner", "given" : "Gary", "non-dropping-particle" : "", "parse-names" : false, "suffix" : "" }, { "dropping-particle" : "", "family" : "Hartwig", "given" : "John H.", "non-dropping-particle" : "", "parse-names" : false, "suffix" : "" }, { "dropping-particle" : "", "family" : "Falet", "given" : "Herv\u00e9", "non-dropping-particle" : "", "parse-names" : false, "suffix" : "" }, { "dropping-particle" : "", "family" : "Hoffmeister", "given" : "Karin M.", "non-dropping-particle" : "", "parse-names" : false, "suffix" : "" } ], "container-title" : "Nature Medicine", "id" : "ITEM-1", "issue" : "1", "issued" : { "date-parts" : [ [ "2015" ] ] }, "page" : "47-54", "title" : "The Ashwell-Morell receptor regulates hepatic thrombopoietin production via JAK2-STAT3 signaling", "type" : "article-journal", "volume" : "21" }, "uris" : [ "http://www.mendeley.com/documents/?uuid=3a4469d6-55ee-4ec7-a064-7773451d55e5" ] } ], "mendeley" : { "formattedCitation" : "(14)", "plainTextFormattedCitation" : "(14)", "previouslyFormattedCitation" : "&lt;sup&gt;14&lt;/sup&gt;" }, "properties" : { "noteIndex" : 0 }, "schema" : "https://github.com/citation-style-language/schema/raw/master/csl-citation.json" }</w:instrText>
      </w:r>
      <w:r w:rsidRPr="001504AB">
        <w:rPr>
          <w:rFonts w:ascii="Arial" w:hAnsi="Arial" w:cs="Arial"/>
          <w:i w:val="0"/>
          <w:color w:val="000000" w:themeColor="text1"/>
          <w:sz w:val="22"/>
          <w:szCs w:val="22"/>
        </w:rPr>
        <w:fldChar w:fldCharType="separate"/>
      </w:r>
      <w:r w:rsidR="00AB0567" w:rsidRPr="00AB0567">
        <w:rPr>
          <w:rFonts w:ascii="Arial" w:hAnsi="Arial" w:cs="Arial"/>
          <w:i w:val="0"/>
          <w:noProof/>
          <w:color w:val="000000" w:themeColor="text1"/>
          <w:sz w:val="22"/>
          <w:szCs w:val="22"/>
        </w:rPr>
        <w:t>(14)</w:t>
      </w:r>
      <w:r w:rsidRPr="001504AB">
        <w:rPr>
          <w:rFonts w:ascii="Arial" w:hAnsi="Arial" w:cs="Arial"/>
          <w:i w:val="0"/>
          <w:color w:val="000000" w:themeColor="text1"/>
          <w:sz w:val="22"/>
          <w:szCs w:val="22"/>
        </w:rPr>
        <w:fldChar w:fldCharType="end"/>
      </w:r>
      <w:r w:rsidRPr="001504AB">
        <w:rPr>
          <w:rFonts w:ascii="Arial" w:hAnsi="Arial" w:cs="Arial"/>
          <w:i w:val="0"/>
          <w:color w:val="000000" w:themeColor="text1"/>
          <w:sz w:val="22"/>
          <w:szCs w:val="22"/>
        </w:rPr>
        <w:t xml:space="preserve">. However, the levels of TPO protein upregulation and the kinetics of TPO secretion at the single cell level have yet to be quantified. We have thus applied our method to answer these important questions. </w:t>
      </w:r>
    </w:p>
    <w:p w14:paraId="48D6B20A" w14:textId="670B73D3" w:rsidR="00CC35A3" w:rsidRPr="00CC35A3" w:rsidRDefault="00CC35A3" w:rsidP="00736B3A">
      <w:pPr>
        <w:spacing w:line="360" w:lineRule="auto"/>
        <w:ind w:left="-709"/>
        <w:rPr>
          <w:rFonts w:ascii="Arial" w:hAnsi="Arial" w:cs="Arial"/>
        </w:rPr>
      </w:pPr>
      <w:r w:rsidRPr="00CC35A3">
        <w:rPr>
          <w:rFonts w:ascii="Arial" w:hAnsi="Arial" w:cs="Arial"/>
        </w:rPr>
        <w:t>We studied platelet-mediated regulation and secretion of TPO from exemplar human cells (HepG2 cell line human hepatocyte carcinoma, see Methods) over a 500 x 500 µm</w:t>
      </w:r>
      <w:r w:rsidRPr="00CC35A3">
        <w:rPr>
          <w:rFonts w:ascii="Arial" w:hAnsi="Arial" w:cs="Arial"/>
          <w:vertAlign w:val="superscript"/>
        </w:rPr>
        <w:t>2</w:t>
      </w:r>
      <w:r w:rsidRPr="00CC35A3">
        <w:rPr>
          <w:rFonts w:ascii="Arial" w:hAnsi="Arial" w:cs="Arial"/>
        </w:rPr>
        <w:t xml:space="preserve"> region of interest. TPO secretion was monitored using a PCR</w:t>
      </w:r>
      <w:r w:rsidR="009A6205">
        <w:rPr>
          <w:rFonts w:ascii="Arial" w:hAnsi="Arial" w:cs="Arial"/>
        </w:rPr>
        <w:t>S</w:t>
      </w:r>
      <w:r w:rsidRPr="00CC35A3">
        <w:rPr>
          <w:rFonts w:ascii="Arial" w:hAnsi="Arial" w:cs="Arial"/>
        </w:rPr>
        <w:t xml:space="preserve"> functionalized with </w:t>
      </w:r>
      <w:r w:rsidR="002C205D">
        <w:rPr>
          <w:rFonts w:ascii="Arial" w:hAnsi="Arial" w:cs="Arial"/>
        </w:rPr>
        <w:t>anti-TPO</w:t>
      </w:r>
      <w:r w:rsidRPr="00CC35A3">
        <w:rPr>
          <w:rFonts w:ascii="Arial" w:hAnsi="Arial" w:cs="Arial"/>
        </w:rPr>
        <w:t xml:space="preserve"> and recorded as a function of exposure to human platelets with differing levels of </w:t>
      </w:r>
      <w:proofErr w:type="spellStart"/>
      <w:r w:rsidRPr="00CC35A3">
        <w:rPr>
          <w:rFonts w:ascii="Arial" w:hAnsi="Arial" w:cs="Arial"/>
        </w:rPr>
        <w:t>desialylation</w:t>
      </w:r>
      <w:proofErr w:type="spellEnd"/>
      <w:r w:rsidRPr="00CC35A3">
        <w:rPr>
          <w:rFonts w:ascii="Arial" w:hAnsi="Arial" w:cs="Arial"/>
        </w:rPr>
        <w:fldChar w:fldCharType="begin" w:fldLock="1"/>
      </w:r>
      <w:r w:rsidR="00AB0567">
        <w:rPr>
          <w:rFonts w:ascii="Arial" w:hAnsi="Arial" w:cs="Arial"/>
        </w:rPr>
        <w:instrText>ADDIN CSL_CITATION { "citationItems" : [ { "id" : "ITEM-1", "itemData" : { "DOI" : "10.1134/S0006297913070067", "ISSN" : "1608-3040", "abstract" : "Terminal sialic acid residues are found in abundance in glycan chains of glycoproteins and glycolipids on the surface of all live cells forming an outer layer of the cell originally known as glycocalyx. Their presence affects the molecular properties and structure of glycoconjugates, modifying their function and interactions with other molecules. Consequently, the sialylation state of glycoproteins and glycolipids has been recognized as a critical factor modulating molecular recognitions inside the cell, between the cells, between the cells and the extracellular matrix, and between the cells and certain exogenous pathogens. Until recently sialyltransferases that catalyze transfer of sialic acid residues to the glycan chains in the process of their biosynthesis were thought to be mainly responsible for the creation and maintenance of a temporal and spatial diversity of sialylated moieties. However, the growing evidence suggests that in mammalian cells, at least equally important roles belong to sialidases/neuraminidases, which are located on the cell surface and in intracellular compartments, and may either initiate the catabolism of sialoglycoconjugates or just cleave their sialic acid residues, and thereby contribute to temporal changes in their structure and functions. The current review summarizes emerging data demonstrating that mammalian neuraminidase 1, well known for its lysosomal catabolic function, is also targeted to the cell surface and assumes the previously unrecognized role as a structural and functional modulator of cellular receptors.", "author" : [ { "dropping-particle" : "V", "family" : "Pshezhetsky", "given" : "A", "non-dropping-particle" : "", "parse-names" : false, "suffix" : "" }, { "dropping-particle" : "", "family" : "Ashmarina", "given" : "L I", "non-dropping-particle" : "", "parse-names" : false, "suffix" : "" } ], "container-title" : "Biochemistry (Moscow)", "id" : "ITEM-1", "issue" : "7", "issued" : { "date-parts" : [ [ "2013" ] ] }, "page" : "736-745", "title" : "Desialylation of surface receptors as a new dimension in cell signaling", "type" : "article-journal", "volume" : "78" }, "uris" : [ "http://www.mendeley.com/documents/?uuid=c943183a-6268-4202-a66c-df8b457dd534" ] } ], "mendeley" : { "formattedCitation" : "(15)", "plainTextFormattedCitation" : "(15)", "previouslyFormattedCitation" : "&lt;sup&gt;15&lt;/sup&gt;" }, "properties" : { "noteIndex" : 0 }, "schema" : "https://github.com/citation-style-language/schema/raw/master/csl-citation.json" }</w:instrText>
      </w:r>
      <w:r w:rsidRPr="00CC35A3">
        <w:rPr>
          <w:rFonts w:ascii="Arial" w:hAnsi="Arial" w:cs="Arial"/>
        </w:rPr>
        <w:fldChar w:fldCharType="separate"/>
      </w:r>
      <w:r w:rsidR="00AB0567" w:rsidRPr="00AB0567">
        <w:rPr>
          <w:rFonts w:ascii="Arial" w:hAnsi="Arial" w:cs="Arial"/>
          <w:noProof/>
        </w:rPr>
        <w:t>(15)</w:t>
      </w:r>
      <w:r w:rsidRPr="00CC35A3">
        <w:rPr>
          <w:rFonts w:ascii="Arial" w:hAnsi="Arial" w:cs="Arial"/>
        </w:rPr>
        <w:fldChar w:fldCharType="end"/>
      </w:r>
      <w:r w:rsidRPr="00CC35A3">
        <w:rPr>
          <w:rFonts w:ascii="Arial" w:hAnsi="Arial" w:cs="Arial"/>
        </w:rPr>
        <w:t xml:space="preserve"> (See Methods). Three exemplar systems were employed to fully evaluate platelet-mediated secretion of TPO by HepG2 cells (see Methods and Supplementary Information): 1) TPO secretion from HepG2 cells incubated with artificial</w:t>
      </w:r>
      <w:r w:rsidR="009A6205">
        <w:rPr>
          <w:rFonts w:ascii="Arial" w:hAnsi="Arial" w:cs="Arial"/>
        </w:rPr>
        <w:t>ly</w:t>
      </w:r>
      <w:r w:rsidRPr="00CC35A3">
        <w:rPr>
          <w:rFonts w:ascii="Arial" w:hAnsi="Arial" w:cs="Arial"/>
        </w:rPr>
        <w:t xml:space="preserve"> aged platelets (</w:t>
      </w:r>
      <w:r w:rsidR="001A5328">
        <w:rPr>
          <w:rFonts w:ascii="Arial" w:hAnsi="Arial" w:cs="Arial"/>
        </w:rPr>
        <w:t xml:space="preserve">anti-TPO + </w:t>
      </w:r>
      <w:r w:rsidR="001A5328" w:rsidRPr="001A5328">
        <w:rPr>
          <w:rFonts w:ascii="Arial" w:hAnsi="Arial" w:cs="Arial"/>
        </w:rPr>
        <w:t>desialylated</w:t>
      </w:r>
      <w:r w:rsidR="001A5328">
        <w:rPr>
          <w:rFonts w:ascii="Arial" w:hAnsi="Arial" w:cs="Arial"/>
        </w:rPr>
        <w:t xml:space="preserve"> PL</w:t>
      </w:r>
      <w:r w:rsidRPr="001A5328">
        <w:rPr>
          <w:rFonts w:ascii="Arial" w:hAnsi="Arial" w:cs="Arial"/>
        </w:rPr>
        <w:t>)</w:t>
      </w:r>
      <w:r w:rsidRPr="00CC35A3">
        <w:rPr>
          <w:rFonts w:ascii="Arial" w:hAnsi="Arial" w:cs="Arial"/>
        </w:rPr>
        <w:t xml:space="preserve"> (~99% </w:t>
      </w:r>
      <w:proofErr w:type="spellStart"/>
      <w:r w:rsidRPr="00CC35A3">
        <w:rPr>
          <w:rFonts w:ascii="Arial" w:hAnsi="Arial" w:cs="Arial"/>
        </w:rPr>
        <w:t>desialylation</w:t>
      </w:r>
      <w:proofErr w:type="spellEnd"/>
      <w:r w:rsidRPr="00CC35A3">
        <w:rPr>
          <w:rFonts w:ascii="Arial" w:hAnsi="Arial" w:cs="Arial"/>
        </w:rPr>
        <w:t>, see Supplementary Information). 2) TPO secretion from HepG2 cells incubated with human platelets with naturally occurring levels of sialyation (</w:t>
      </w:r>
      <w:r w:rsidR="001A5328">
        <w:rPr>
          <w:rFonts w:ascii="Arial" w:hAnsi="Arial" w:cs="Arial"/>
        </w:rPr>
        <w:t xml:space="preserve">anti-TPO + </w:t>
      </w:r>
      <w:proofErr w:type="spellStart"/>
      <w:r w:rsidR="001A5328" w:rsidRPr="001A5328">
        <w:rPr>
          <w:rFonts w:ascii="Arial" w:hAnsi="Arial" w:cs="Arial"/>
        </w:rPr>
        <w:t>sialylated</w:t>
      </w:r>
      <w:proofErr w:type="spellEnd"/>
      <w:r w:rsidR="001A5328">
        <w:rPr>
          <w:rFonts w:ascii="Arial" w:hAnsi="Arial" w:cs="Arial"/>
        </w:rPr>
        <w:t xml:space="preserve"> PL</w:t>
      </w:r>
      <w:r w:rsidRPr="00CC35A3">
        <w:rPr>
          <w:rFonts w:ascii="Arial" w:hAnsi="Arial" w:cs="Arial"/>
        </w:rPr>
        <w:t xml:space="preserve">) (~8-9% </w:t>
      </w:r>
      <w:proofErr w:type="spellStart"/>
      <w:r w:rsidRPr="00CC35A3">
        <w:rPr>
          <w:rFonts w:ascii="Arial" w:hAnsi="Arial" w:cs="Arial"/>
        </w:rPr>
        <w:t>desialylation</w:t>
      </w:r>
      <w:proofErr w:type="spellEnd"/>
      <w:r w:rsidRPr="00CC35A3">
        <w:rPr>
          <w:rFonts w:ascii="Arial" w:hAnsi="Arial" w:cs="Arial"/>
        </w:rPr>
        <w:t xml:space="preserve">, see Supplementary Information). 3) </w:t>
      </w:r>
      <w:r w:rsidR="002C205D" w:rsidRPr="00CC35A3">
        <w:rPr>
          <w:rFonts w:ascii="Arial" w:hAnsi="Arial" w:cs="Arial"/>
        </w:rPr>
        <w:t>Inherent</w:t>
      </w:r>
      <w:r w:rsidRPr="00CC35A3">
        <w:rPr>
          <w:rFonts w:ascii="Arial" w:hAnsi="Arial" w:cs="Arial"/>
        </w:rPr>
        <w:t xml:space="preserve"> TPO secretion from HepG2 cells</w:t>
      </w:r>
      <w:r w:rsidR="001A5328">
        <w:rPr>
          <w:rFonts w:ascii="Arial" w:hAnsi="Arial" w:cs="Arial"/>
        </w:rPr>
        <w:t xml:space="preserve"> (anti-TPO)</w:t>
      </w:r>
      <w:r w:rsidRPr="00CC35A3">
        <w:rPr>
          <w:rFonts w:ascii="Arial" w:hAnsi="Arial" w:cs="Arial"/>
        </w:rPr>
        <w:t xml:space="preserve">. An additional control measurement </w:t>
      </w:r>
      <w:r w:rsidR="001504AB" w:rsidRPr="00CC35A3">
        <w:rPr>
          <w:rFonts w:ascii="Arial" w:hAnsi="Arial" w:cs="Arial"/>
        </w:rPr>
        <w:t>involving</w:t>
      </w:r>
      <w:r w:rsidRPr="00CC35A3">
        <w:rPr>
          <w:rFonts w:ascii="Arial" w:hAnsi="Arial" w:cs="Arial"/>
        </w:rPr>
        <w:t xml:space="preserve"> a surface functionalized with anti</w:t>
      </w:r>
      <w:r w:rsidR="002C205D">
        <w:rPr>
          <w:rFonts w:ascii="Arial" w:hAnsi="Arial" w:cs="Arial"/>
        </w:rPr>
        <w:t>-</w:t>
      </w:r>
      <w:r w:rsidRPr="00CC35A3">
        <w:rPr>
          <w:rFonts w:ascii="Arial" w:hAnsi="Arial" w:cs="Arial"/>
        </w:rPr>
        <w:t>IgG was also performed to characterize the degree of non-specific binding</w:t>
      </w:r>
      <w:r w:rsidR="001A5328">
        <w:rPr>
          <w:rFonts w:ascii="Arial" w:hAnsi="Arial" w:cs="Arial"/>
        </w:rPr>
        <w:t xml:space="preserve"> (anti-IgG)</w:t>
      </w:r>
      <w:r w:rsidRPr="00CC35A3">
        <w:rPr>
          <w:rFonts w:ascii="Arial" w:hAnsi="Arial" w:cs="Arial"/>
        </w:rPr>
        <w:t>. While HepG2 cells inherently secrete TPO (Figure 3</w:t>
      </w:r>
      <w:proofErr w:type="gramStart"/>
      <w:r w:rsidRPr="00CC35A3">
        <w:rPr>
          <w:rFonts w:ascii="Arial" w:hAnsi="Arial" w:cs="Arial"/>
        </w:rPr>
        <w:t>f,i</w:t>
      </w:r>
      <w:proofErr w:type="gramEnd"/>
      <w:r w:rsidRPr="00CC35A3">
        <w:rPr>
          <w:rFonts w:ascii="Arial" w:hAnsi="Arial" w:cs="Arial"/>
        </w:rPr>
        <w:t xml:space="preserve">), the expression of TPO is consistently higher </w:t>
      </w:r>
      <w:bookmarkStart w:id="5" w:name="OLE_LINK6"/>
      <w:bookmarkStart w:id="6" w:name="OLE_LINK7"/>
      <w:bookmarkStart w:id="7" w:name="OLE_LINK8"/>
      <w:r w:rsidRPr="00CC35A3">
        <w:rPr>
          <w:rFonts w:ascii="Arial" w:hAnsi="Arial" w:cs="Arial"/>
        </w:rPr>
        <w:t xml:space="preserve">for HegG2 cells challenged with desialylated platelets </w:t>
      </w:r>
      <w:bookmarkEnd w:id="5"/>
      <w:bookmarkEnd w:id="6"/>
      <w:bookmarkEnd w:id="7"/>
      <w:r w:rsidRPr="00CC35A3">
        <w:rPr>
          <w:rFonts w:ascii="Arial" w:hAnsi="Arial" w:cs="Arial"/>
        </w:rPr>
        <w:t xml:space="preserve">(Figure 3b, f, g). Not only do we observe upregulation of TPO upon exposure to desialylated platelets, but we also see that TPO secretion is highly consistent between individual HepG2 cells (total of 30 cells). In contrast, TPO secretion from HepG2 cells challenged with </w:t>
      </w:r>
      <w:r w:rsidR="001504AB" w:rsidRPr="00CC35A3">
        <w:rPr>
          <w:rFonts w:ascii="Arial" w:hAnsi="Arial" w:cs="Arial"/>
        </w:rPr>
        <w:t>naturally</w:t>
      </w:r>
      <w:r w:rsidRPr="00CC35A3">
        <w:rPr>
          <w:rFonts w:ascii="Arial" w:hAnsi="Arial" w:cs="Arial"/>
        </w:rPr>
        <w:t xml:space="preserve"> </w:t>
      </w:r>
      <w:r w:rsidR="001504AB" w:rsidRPr="00CC35A3">
        <w:rPr>
          <w:rFonts w:ascii="Arial" w:hAnsi="Arial" w:cs="Arial"/>
        </w:rPr>
        <w:t>occurring</w:t>
      </w:r>
      <w:r w:rsidRPr="00CC35A3">
        <w:rPr>
          <w:rFonts w:ascii="Arial" w:hAnsi="Arial" w:cs="Arial"/>
        </w:rPr>
        <w:t xml:space="preserve"> levels of desialylated platelets (Figure 3</w:t>
      </w:r>
      <w:proofErr w:type="gramStart"/>
      <w:r w:rsidRPr="00CC35A3">
        <w:rPr>
          <w:rFonts w:ascii="Arial" w:hAnsi="Arial" w:cs="Arial"/>
        </w:rPr>
        <w:t>f,h</w:t>
      </w:r>
      <w:proofErr w:type="gramEnd"/>
      <w:r w:rsidRPr="00CC35A3">
        <w:rPr>
          <w:rFonts w:ascii="Arial" w:hAnsi="Arial" w:cs="Arial"/>
        </w:rPr>
        <w:t xml:space="preserve">) displayed wide heterogeneity. We believe this reflects the </w:t>
      </w:r>
      <w:r w:rsidR="001504AB" w:rsidRPr="00CC35A3">
        <w:rPr>
          <w:rFonts w:ascii="Arial" w:hAnsi="Arial" w:cs="Arial"/>
        </w:rPr>
        <w:t>heterogeneity</w:t>
      </w:r>
      <w:r w:rsidRPr="00CC35A3">
        <w:rPr>
          <w:rFonts w:ascii="Arial" w:hAnsi="Arial" w:cs="Arial"/>
        </w:rPr>
        <w:t xml:space="preserve"> of platelet age. Specifically, we find only 8 – 9% of </w:t>
      </w:r>
      <w:r w:rsidR="001504AB" w:rsidRPr="00CC35A3">
        <w:rPr>
          <w:rFonts w:ascii="Arial" w:hAnsi="Arial" w:cs="Arial"/>
        </w:rPr>
        <w:t>platelets</w:t>
      </w:r>
      <w:r w:rsidRPr="00CC35A3">
        <w:rPr>
          <w:rFonts w:ascii="Arial" w:hAnsi="Arial" w:cs="Arial"/>
        </w:rPr>
        <w:t xml:space="preserve"> in the extracted sample are desialy</w:t>
      </w:r>
      <w:r w:rsidR="00CF10C9">
        <w:rPr>
          <w:rFonts w:ascii="Arial" w:hAnsi="Arial" w:cs="Arial"/>
        </w:rPr>
        <w:t>l</w:t>
      </w:r>
      <w:r w:rsidRPr="00CC35A3">
        <w:rPr>
          <w:rFonts w:ascii="Arial" w:hAnsi="Arial" w:cs="Arial"/>
        </w:rPr>
        <w:t>ated (see Supplementary Information</w:t>
      </w:r>
      <w:r w:rsidR="001504AB" w:rsidRPr="00CC35A3">
        <w:rPr>
          <w:rFonts w:ascii="Arial" w:hAnsi="Arial" w:cs="Arial"/>
        </w:rPr>
        <w:t>) and</w:t>
      </w:r>
      <w:r w:rsidRPr="00CC35A3">
        <w:rPr>
          <w:rFonts w:ascii="Arial" w:hAnsi="Arial" w:cs="Arial"/>
        </w:rPr>
        <w:t xml:space="preserve"> are thus able to upregulate TPO expression in the HepG2 cells. These measurements agree with the recent theory of TPO regulation which states that TPO levels are directly dependent on the concentration of circulating desialylated platelets. This validation </w:t>
      </w:r>
      <w:bookmarkStart w:id="8" w:name="_Hlk520138385"/>
      <w:r w:rsidRPr="00CC35A3">
        <w:rPr>
          <w:rFonts w:ascii="Arial" w:hAnsi="Arial" w:cs="Arial"/>
        </w:rPr>
        <w:t xml:space="preserve">highlights how our system can provide a simple, yet powerful approach for studying complex physiological systems </w:t>
      </w:r>
      <w:r w:rsidRPr="00CC35A3">
        <w:rPr>
          <w:rFonts w:ascii="Arial" w:hAnsi="Arial" w:cs="Arial"/>
          <w:i/>
        </w:rPr>
        <w:t>in vitro</w:t>
      </w:r>
      <w:r w:rsidRPr="00CC35A3">
        <w:rPr>
          <w:rFonts w:ascii="Arial" w:hAnsi="Arial" w:cs="Arial"/>
        </w:rPr>
        <w:t xml:space="preserve"> at the single-cell </w:t>
      </w:r>
      <w:r w:rsidR="00AB4557">
        <w:rPr>
          <w:rFonts w:ascii="Arial" w:hAnsi="Arial" w:cs="Arial"/>
        </w:rPr>
        <w:t>resolution</w:t>
      </w:r>
      <w:bookmarkEnd w:id="8"/>
      <w:r w:rsidRPr="00CC35A3">
        <w:rPr>
          <w:rFonts w:ascii="Arial" w:hAnsi="Arial" w:cs="Arial"/>
        </w:rPr>
        <w:t xml:space="preserve">. </w:t>
      </w:r>
    </w:p>
    <w:p w14:paraId="1BABD05B" w14:textId="1DFED2AD" w:rsidR="00330570" w:rsidRDefault="00330570" w:rsidP="00F73DBC">
      <w:pPr>
        <w:keepNext/>
        <w:ind w:left="-567"/>
        <w:jc w:val="center"/>
      </w:pPr>
    </w:p>
    <w:p w14:paraId="1F1DC53F" w14:textId="57AFAA87" w:rsidR="00F61E98" w:rsidRDefault="00425E0B">
      <w:pPr>
        <w:pStyle w:val="Descripcin"/>
        <w:spacing w:line="360" w:lineRule="auto"/>
        <w:ind w:left="-709"/>
        <w:rPr>
          <w:rFonts w:ascii="Arial" w:hAnsi="Arial" w:cs="Arial"/>
          <w:i w:val="0"/>
          <w:color w:val="000000" w:themeColor="text1"/>
          <w:sz w:val="22"/>
          <w:szCs w:val="22"/>
        </w:rPr>
      </w:pPr>
      <w:r>
        <w:rPr>
          <w:rFonts w:ascii="Arial" w:hAnsi="Arial" w:cs="Arial"/>
          <w:i w:val="0"/>
          <w:color w:val="000000" w:themeColor="text1"/>
          <w:sz w:val="22"/>
          <w:szCs w:val="22"/>
        </w:rPr>
        <w:t>W</w:t>
      </w:r>
      <w:r w:rsidR="00B86165">
        <w:rPr>
          <w:rFonts w:ascii="Arial" w:hAnsi="Arial" w:cs="Arial"/>
          <w:i w:val="0"/>
          <w:color w:val="000000" w:themeColor="text1"/>
          <w:sz w:val="22"/>
          <w:szCs w:val="22"/>
        </w:rPr>
        <w:t>e have presented a</w:t>
      </w:r>
      <w:r w:rsidR="00692114" w:rsidRPr="00692114">
        <w:rPr>
          <w:rFonts w:ascii="Arial" w:hAnsi="Arial" w:cs="Arial"/>
          <w:i w:val="0"/>
          <w:color w:val="000000" w:themeColor="text1"/>
          <w:sz w:val="22"/>
          <w:szCs w:val="22"/>
        </w:rPr>
        <w:t xml:space="preserve"> </w:t>
      </w:r>
      <w:r w:rsidR="00B86165">
        <w:rPr>
          <w:rFonts w:ascii="Arial" w:hAnsi="Arial" w:cs="Arial"/>
          <w:i w:val="0"/>
          <w:color w:val="000000" w:themeColor="text1"/>
          <w:sz w:val="22"/>
          <w:szCs w:val="22"/>
        </w:rPr>
        <w:t xml:space="preserve">real-time and label-free </w:t>
      </w:r>
      <w:r w:rsidR="005B6892">
        <w:rPr>
          <w:rFonts w:ascii="Arial" w:hAnsi="Arial" w:cs="Arial"/>
          <w:i w:val="0"/>
          <w:color w:val="000000" w:themeColor="text1"/>
          <w:sz w:val="22"/>
          <w:szCs w:val="22"/>
        </w:rPr>
        <w:t>single-</w:t>
      </w:r>
      <w:r w:rsidR="00B86165">
        <w:rPr>
          <w:rFonts w:ascii="Arial" w:hAnsi="Arial" w:cs="Arial"/>
          <w:i w:val="0"/>
          <w:color w:val="000000" w:themeColor="text1"/>
          <w:sz w:val="22"/>
          <w:szCs w:val="22"/>
        </w:rPr>
        <w:t>cell signalling analysis method based</w:t>
      </w:r>
      <w:r w:rsidR="006220BF">
        <w:rPr>
          <w:rFonts w:ascii="Arial" w:hAnsi="Arial" w:cs="Arial"/>
          <w:i w:val="0"/>
          <w:color w:val="000000" w:themeColor="text1"/>
          <w:sz w:val="22"/>
          <w:szCs w:val="22"/>
        </w:rPr>
        <w:t xml:space="preserve"> on</w:t>
      </w:r>
      <w:r w:rsidR="00B86165">
        <w:rPr>
          <w:rFonts w:ascii="Arial" w:hAnsi="Arial" w:cs="Arial"/>
          <w:i w:val="0"/>
          <w:color w:val="000000" w:themeColor="text1"/>
          <w:sz w:val="22"/>
          <w:szCs w:val="22"/>
        </w:rPr>
        <w:t xml:space="preserve"> </w:t>
      </w:r>
      <w:r w:rsidR="00C84C4A">
        <w:rPr>
          <w:rFonts w:ascii="Arial" w:hAnsi="Arial" w:cs="Arial"/>
          <w:i w:val="0"/>
          <w:color w:val="000000" w:themeColor="text1"/>
          <w:sz w:val="22"/>
          <w:szCs w:val="22"/>
        </w:rPr>
        <w:t xml:space="preserve">photonic crystal </w:t>
      </w:r>
      <w:r w:rsidR="00EC2DB5">
        <w:rPr>
          <w:rFonts w:ascii="Arial" w:hAnsi="Arial" w:cs="Arial"/>
          <w:i w:val="0"/>
          <w:color w:val="000000" w:themeColor="text1"/>
          <w:sz w:val="22"/>
          <w:szCs w:val="22"/>
        </w:rPr>
        <w:t>resonant</w:t>
      </w:r>
      <w:r w:rsidR="00C84C4A">
        <w:rPr>
          <w:rFonts w:ascii="Arial" w:hAnsi="Arial" w:cs="Arial"/>
          <w:i w:val="0"/>
          <w:color w:val="000000" w:themeColor="text1"/>
          <w:sz w:val="22"/>
          <w:szCs w:val="22"/>
        </w:rPr>
        <w:t xml:space="preserve"> surfaces</w:t>
      </w:r>
      <w:r w:rsidR="00B86165">
        <w:rPr>
          <w:rFonts w:ascii="Arial" w:hAnsi="Arial" w:cs="Arial"/>
          <w:i w:val="0"/>
          <w:color w:val="000000" w:themeColor="text1"/>
          <w:sz w:val="22"/>
          <w:szCs w:val="22"/>
        </w:rPr>
        <w:t xml:space="preserve">. </w:t>
      </w:r>
      <w:r>
        <w:rPr>
          <w:rFonts w:ascii="Arial" w:hAnsi="Arial" w:cs="Arial"/>
          <w:i w:val="0"/>
          <w:color w:val="000000" w:themeColor="text1"/>
          <w:sz w:val="22"/>
          <w:szCs w:val="22"/>
        </w:rPr>
        <w:t>T</w:t>
      </w:r>
      <w:r w:rsidR="00767B72">
        <w:rPr>
          <w:rFonts w:ascii="Arial" w:hAnsi="Arial" w:cs="Arial"/>
          <w:i w:val="0"/>
          <w:color w:val="000000" w:themeColor="text1"/>
          <w:sz w:val="22"/>
          <w:szCs w:val="22"/>
        </w:rPr>
        <w:t xml:space="preserve">he </w:t>
      </w:r>
      <w:r>
        <w:rPr>
          <w:rFonts w:ascii="Arial" w:hAnsi="Arial" w:cs="Arial"/>
          <w:i w:val="0"/>
          <w:color w:val="000000" w:themeColor="text1"/>
          <w:sz w:val="22"/>
          <w:szCs w:val="22"/>
        </w:rPr>
        <w:t xml:space="preserve">high spatial </w:t>
      </w:r>
      <w:r w:rsidR="00767B72">
        <w:rPr>
          <w:rFonts w:ascii="Arial" w:hAnsi="Arial" w:cs="Arial"/>
          <w:i w:val="0"/>
          <w:color w:val="000000" w:themeColor="text1"/>
          <w:sz w:val="22"/>
          <w:szCs w:val="22"/>
        </w:rPr>
        <w:t>resolution of the method</w:t>
      </w:r>
      <w:r>
        <w:rPr>
          <w:rFonts w:ascii="Arial" w:hAnsi="Arial" w:cs="Arial"/>
          <w:i w:val="0"/>
          <w:color w:val="000000" w:themeColor="text1"/>
          <w:sz w:val="22"/>
          <w:szCs w:val="22"/>
        </w:rPr>
        <w:t xml:space="preserve">, coupled with the large field of view (whose dimensions are ultimately limited by the optical objective integrated in the system) and molecular </w:t>
      </w:r>
      <w:r w:rsidR="00767B72">
        <w:rPr>
          <w:rFonts w:ascii="Arial" w:hAnsi="Arial" w:cs="Arial"/>
          <w:i w:val="0"/>
          <w:color w:val="000000" w:themeColor="text1"/>
          <w:sz w:val="22"/>
          <w:szCs w:val="22"/>
        </w:rPr>
        <w:t>spec</w:t>
      </w:r>
      <w:r w:rsidR="00B0562C">
        <w:rPr>
          <w:rFonts w:ascii="Arial" w:hAnsi="Arial" w:cs="Arial"/>
          <w:i w:val="0"/>
          <w:color w:val="000000" w:themeColor="text1"/>
          <w:sz w:val="22"/>
          <w:szCs w:val="22"/>
        </w:rPr>
        <w:t>ificity</w:t>
      </w:r>
      <w:r w:rsidR="00767B72">
        <w:rPr>
          <w:rFonts w:ascii="Arial" w:hAnsi="Arial" w:cs="Arial"/>
          <w:i w:val="0"/>
          <w:color w:val="000000" w:themeColor="text1"/>
          <w:sz w:val="22"/>
          <w:szCs w:val="22"/>
        </w:rPr>
        <w:t xml:space="preserve"> </w:t>
      </w:r>
      <w:r>
        <w:rPr>
          <w:rFonts w:ascii="Arial" w:hAnsi="Arial" w:cs="Arial"/>
          <w:i w:val="0"/>
          <w:color w:val="000000" w:themeColor="text1"/>
          <w:sz w:val="22"/>
          <w:szCs w:val="22"/>
        </w:rPr>
        <w:t>of the assay</w:t>
      </w:r>
      <w:r w:rsidR="007D1280">
        <w:rPr>
          <w:rFonts w:ascii="Arial" w:hAnsi="Arial" w:cs="Arial"/>
          <w:i w:val="0"/>
          <w:color w:val="000000" w:themeColor="text1"/>
          <w:sz w:val="22"/>
          <w:szCs w:val="22"/>
        </w:rPr>
        <w:t>,</w:t>
      </w:r>
      <w:r>
        <w:rPr>
          <w:rFonts w:ascii="Arial" w:hAnsi="Arial" w:cs="Arial"/>
          <w:i w:val="0"/>
          <w:color w:val="000000" w:themeColor="text1"/>
          <w:sz w:val="22"/>
          <w:szCs w:val="22"/>
        </w:rPr>
        <w:t xml:space="preserve"> enables </w:t>
      </w:r>
      <w:r w:rsidR="006D6A7A">
        <w:rPr>
          <w:rFonts w:ascii="Arial" w:hAnsi="Arial" w:cs="Arial"/>
          <w:i w:val="0"/>
          <w:color w:val="000000" w:themeColor="text1"/>
          <w:sz w:val="22"/>
          <w:szCs w:val="22"/>
        </w:rPr>
        <w:t xml:space="preserve">high throughput </w:t>
      </w:r>
      <w:r>
        <w:rPr>
          <w:rFonts w:ascii="Arial" w:hAnsi="Arial" w:cs="Arial"/>
          <w:i w:val="0"/>
          <w:color w:val="000000" w:themeColor="text1"/>
          <w:sz w:val="22"/>
          <w:szCs w:val="22"/>
        </w:rPr>
        <w:t>measurements of</w:t>
      </w:r>
      <w:r w:rsidR="00767B72">
        <w:rPr>
          <w:rFonts w:ascii="Arial" w:hAnsi="Arial" w:cs="Arial"/>
          <w:i w:val="0"/>
          <w:color w:val="000000" w:themeColor="text1"/>
          <w:sz w:val="22"/>
          <w:szCs w:val="22"/>
        </w:rPr>
        <w:t xml:space="preserve"> </w:t>
      </w:r>
      <w:r>
        <w:rPr>
          <w:rFonts w:ascii="Arial" w:hAnsi="Arial" w:cs="Arial"/>
          <w:i w:val="0"/>
          <w:color w:val="000000" w:themeColor="text1"/>
          <w:sz w:val="22"/>
          <w:szCs w:val="22"/>
        </w:rPr>
        <w:t xml:space="preserve">the dynamics of protein secretion from </w:t>
      </w:r>
      <w:r w:rsidR="00767B72">
        <w:rPr>
          <w:rFonts w:ascii="Arial" w:hAnsi="Arial" w:cs="Arial"/>
          <w:i w:val="0"/>
          <w:color w:val="000000" w:themeColor="text1"/>
          <w:sz w:val="22"/>
          <w:szCs w:val="22"/>
        </w:rPr>
        <w:t>single-cell</w:t>
      </w:r>
      <w:r>
        <w:rPr>
          <w:rFonts w:ascii="Arial" w:hAnsi="Arial" w:cs="Arial"/>
          <w:i w:val="0"/>
          <w:color w:val="000000" w:themeColor="text1"/>
          <w:sz w:val="22"/>
          <w:szCs w:val="22"/>
        </w:rPr>
        <w:t>s</w:t>
      </w:r>
      <w:r w:rsidR="00767B72">
        <w:rPr>
          <w:rFonts w:ascii="Arial" w:hAnsi="Arial" w:cs="Arial"/>
          <w:i w:val="0"/>
          <w:color w:val="000000" w:themeColor="text1"/>
          <w:sz w:val="22"/>
          <w:szCs w:val="22"/>
        </w:rPr>
        <w:t xml:space="preserve"> </w:t>
      </w:r>
      <w:r>
        <w:rPr>
          <w:rFonts w:ascii="Arial" w:hAnsi="Arial" w:cs="Arial"/>
          <w:i w:val="0"/>
          <w:color w:val="000000" w:themeColor="text1"/>
          <w:sz w:val="22"/>
          <w:szCs w:val="22"/>
        </w:rPr>
        <w:t xml:space="preserve">within a </w:t>
      </w:r>
      <w:r w:rsidR="006D6A7A">
        <w:rPr>
          <w:rFonts w:ascii="Arial" w:hAnsi="Arial" w:cs="Arial"/>
          <w:i w:val="0"/>
          <w:color w:val="000000" w:themeColor="text1"/>
          <w:sz w:val="22"/>
          <w:szCs w:val="22"/>
        </w:rPr>
        <w:t>cell population</w:t>
      </w:r>
      <w:r w:rsidR="00767B72">
        <w:rPr>
          <w:rFonts w:ascii="Arial" w:hAnsi="Arial" w:cs="Arial"/>
          <w:i w:val="0"/>
          <w:color w:val="000000" w:themeColor="text1"/>
          <w:sz w:val="22"/>
          <w:szCs w:val="22"/>
        </w:rPr>
        <w:t xml:space="preserve">. </w:t>
      </w:r>
      <w:r w:rsidR="00B86165">
        <w:rPr>
          <w:rFonts w:ascii="Arial" w:hAnsi="Arial" w:cs="Arial"/>
          <w:i w:val="0"/>
          <w:color w:val="000000" w:themeColor="text1"/>
          <w:sz w:val="22"/>
          <w:szCs w:val="22"/>
        </w:rPr>
        <w:t>Th</w:t>
      </w:r>
      <w:r w:rsidR="00C84C4A">
        <w:rPr>
          <w:rFonts w:ascii="Arial" w:hAnsi="Arial" w:cs="Arial"/>
          <w:i w:val="0"/>
          <w:color w:val="000000" w:themeColor="text1"/>
          <w:sz w:val="22"/>
          <w:szCs w:val="22"/>
        </w:rPr>
        <w:t>ese capabilities</w:t>
      </w:r>
      <w:r w:rsidR="00B86165">
        <w:rPr>
          <w:rFonts w:ascii="Arial" w:hAnsi="Arial" w:cs="Arial"/>
          <w:i w:val="0"/>
          <w:color w:val="000000" w:themeColor="text1"/>
          <w:sz w:val="22"/>
          <w:szCs w:val="22"/>
        </w:rPr>
        <w:t xml:space="preserve"> </w:t>
      </w:r>
      <w:r w:rsidR="006D6A7A">
        <w:rPr>
          <w:rFonts w:ascii="Arial" w:hAnsi="Arial" w:cs="Arial"/>
          <w:i w:val="0"/>
          <w:color w:val="000000" w:themeColor="text1"/>
          <w:sz w:val="22"/>
          <w:szCs w:val="22"/>
        </w:rPr>
        <w:t xml:space="preserve">were used </w:t>
      </w:r>
      <w:r w:rsidR="00B86165">
        <w:rPr>
          <w:rFonts w:ascii="Arial" w:hAnsi="Arial" w:cs="Arial"/>
          <w:i w:val="0"/>
          <w:color w:val="000000" w:themeColor="text1"/>
          <w:sz w:val="22"/>
          <w:szCs w:val="22"/>
        </w:rPr>
        <w:t xml:space="preserve">to examine and quantify the dynamics of cell-signalling heterogeneity within cell populations </w:t>
      </w:r>
      <w:r w:rsidR="00B86165" w:rsidRPr="00B86165">
        <w:rPr>
          <w:rFonts w:ascii="Arial" w:hAnsi="Arial" w:cs="Arial"/>
          <w:color w:val="000000" w:themeColor="text1"/>
          <w:sz w:val="22"/>
          <w:szCs w:val="22"/>
        </w:rPr>
        <w:t>in vitro</w:t>
      </w:r>
      <w:r w:rsidR="005B6892">
        <w:rPr>
          <w:rFonts w:ascii="Arial" w:hAnsi="Arial" w:cs="Arial"/>
          <w:color w:val="000000" w:themeColor="text1"/>
          <w:sz w:val="22"/>
          <w:szCs w:val="22"/>
        </w:rPr>
        <w:t xml:space="preserve"> </w:t>
      </w:r>
      <w:r w:rsidR="005B6892">
        <w:rPr>
          <w:rFonts w:ascii="Arial" w:hAnsi="Arial" w:cs="Arial"/>
          <w:i w:val="0"/>
          <w:color w:val="000000" w:themeColor="text1"/>
          <w:sz w:val="22"/>
          <w:szCs w:val="22"/>
        </w:rPr>
        <w:t>and in a timely manner appropriate for clinical applications</w:t>
      </w:r>
      <w:r w:rsidR="00B86165" w:rsidRPr="00B86165">
        <w:rPr>
          <w:rFonts w:ascii="Arial" w:hAnsi="Arial" w:cs="Arial"/>
          <w:color w:val="000000" w:themeColor="text1"/>
          <w:sz w:val="22"/>
          <w:szCs w:val="22"/>
        </w:rPr>
        <w:t>.</w:t>
      </w:r>
      <w:r w:rsidR="006220BF">
        <w:rPr>
          <w:rFonts w:ascii="Arial" w:hAnsi="Arial" w:cs="Arial"/>
          <w:i w:val="0"/>
          <w:color w:val="000000" w:themeColor="text1"/>
          <w:sz w:val="22"/>
          <w:szCs w:val="22"/>
        </w:rPr>
        <w:t xml:space="preserve"> </w:t>
      </w:r>
      <w:proofErr w:type="gramStart"/>
      <w:r w:rsidR="00C84C4A">
        <w:rPr>
          <w:rFonts w:ascii="Arial" w:hAnsi="Arial" w:cs="Arial"/>
          <w:i w:val="0"/>
          <w:color w:val="000000" w:themeColor="text1"/>
          <w:sz w:val="22"/>
          <w:szCs w:val="22"/>
        </w:rPr>
        <w:t xml:space="preserve">In </w:t>
      </w:r>
      <w:r w:rsidR="00C84C4A">
        <w:rPr>
          <w:rFonts w:ascii="Arial" w:hAnsi="Arial" w:cs="Arial"/>
          <w:i w:val="0"/>
          <w:color w:val="000000" w:themeColor="text1"/>
          <w:sz w:val="22"/>
          <w:szCs w:val="22"/>
        </w:rPr>
        <w:lastRenderedPageBreak/>
        <w:t>particular, we</w:t>
      </w:r>
      <w:proofErr w:type="gramEnd"/>
      <w:r w:rsidR="00C84C4A">
        <w:rPr>
          <w:rFonts w:ascii="Arial" w:hAnsi="Arial" w:cs="Arial"/>
          <w:i w:val="0"/>
          <w:color w:val="000000" w:themeColor="text1"/>
          <w:sz w:val="22"/>
          <w:szCs w:val="22"/>
        </w:rPr>
        <w:t xml:space="preserve"> were able to</w:t>
      </w:r>
      <w:r w:rsidR="00785A97">
        <w:rPr>
          <w:rFonts w:ascii="Arial" w:hAnsi="Arial" w:cs="Arial"/>
          <w:i w:val="0"/>
          <w:color w:val="000000" w:themeColor="text1"/>
          <w:sz w:val="22"/>
          <w:szCs w:val="22"/>
        </w:rPr>
        <w:t xml:space="preserve"> quantify TPO release </w:t>
      </w:r>
      <w:r w:rsidR="00AB4557">
        <w:rPr>
          <w:rFonts w:ascii="Arial" w:hAnsi="Arial" w:cs="Arial"/>
          <w:i w:val="0"/>
          <w:color w:val="000000" w:themeColor="text1"/>
          <w:sz w:val="22"/>
          <w:szCs w:val="22"/>
        </w:rPr>
        <w:t>at</w:t>
      </w:r>
      <w:r w:rsidR="00785A97">
        <w:rPr>
          <w:rFonts w:ascii="Arial" w:hAnsi="Arial" w:cs="Arial"/>
          <w:i w:val="0"/>
          <w:color w:val="000000" w:themeColor="text1"/>
          <w:sz w:val="22"/>
          <w:szCs w:val="22"/>
        </w:rPr>
        <w:t xml:space="preserve"> single cell </w:t>
      </w:r>
      <w:r w:rsidR="00AB4557">
        <w:rPr>
          <w:rFonts w:ascii="Arial" w:hAnsi="Arial" w:cs="Arial"/>
          <w:i w:val="0"/>
          <w:color w:val="000000" w:themeColor="text1"/>
          <w:sz w:val="22"/>
          <w:szCs w:val="22"/>
        </w:rPr>
        <w:t>resolution</w:t>
      </w:r>
      <w:r w:rsidR="00785A97">
        <w:rPr>
          <w:rFonts w:ascii="Arial" w:hAnsi="Arial" w:cs="Arial"/>
          <w:i w:val="0"/>
          <w:color w:val="000000" w:themeColor="text1"/>
          <w:sz w:val="22"/>
          <w:szCs w:val="22"/>
        </w:rPr>
        <w:t xml:space="preserve"> </w:t>
      </w:r>
      <w:r w:rsidR="00135A1B">
        <w:rPr>
          <w:rFonts w:ascii="Arial" w:hAnsi="Arial" w:cs="Arial"/>
          <w:i w:val="0"/>
          <w:color w:val="000000" w:themeColor="text1"/>
          <w:sz w:val="22"/>
          <w:szCs w:val="22"/>
        </w:rPr>
        <w:t xml:space="preserve">and were able to show </w:t>
      </w:r>
      <w:r w:rsidR="00C84C4A" w:rsidRPr="00C84C4A">
        <w:rPr>
          <w:rFonts w:ascii="Arial" w:hAnsi="Arial" w:cs="Arial"/>
          <w:i w:val="0"/>
          <w:color w:val="000000" w:themeColor="text1"/>
          <w:sz w:val="22"/>
          <w:szCs w:val="22"/>
        </w:rPr>
        <w:t xml:space="preserve">that TPO levels are directly dependent on the </w:t>
      </w:r>
      <w:r w:rsidR="006D6A7A">
        <w:rPr>
          <w:rFonts w:ascii="Arial" w:hAnsi="Arial" w:cs="Arial"/>
          <w:i w:val="0"/>
          <w:color w:val="000000" w:themeColor="text1"/>
          <w:sz w:val="22"/>
          <w:szCs w:val="22"/>
        </w:rPr>
        <w:t>concentration</w:t>
      </w:r>
      <w:r w:rsidR="006D6A7A" w:rsidRPr="00C84C4A">
        <w:rPr>
          <w:rFonts w:ascii="Arial" w:hAnsi="Arial" w:cs="Arial"/>
          <w:i w:val="0"/>
          <w:color w:val="000000" w:themeColor="text1"/>
          <w:sz w:val="22"/>
          <w:szCs w:val="22"/>
        </w:rPr>
        <w:t xml:space="preserve"> </w:t>
      </w:r>
      <w:r w:rsidR="00C84C4A" w:rsidRPr="00C84C4A">
        <w:rPr>
          <w:rFonts w:ascii="Arial" w:hAnsi="Arial" w:cs="Arial"/>
          <w:i w:val="0"/>
          <w:color w:val="000000" w:themeColor="text1"/>
          <w:sz w:val="22"/>
          <w:szCs w:val="22"/>
        </w:rPr>
        <w:t>of circulating desialylated platelets</w:t>
      </w:r>
      <w:r w:rsidR="00135A1B">
        <w:rPr>
          <w:rFonts w:ascii="Arial" w:hAnsi="Arial" w:cs="Arial"/>
          <w:i w:val="0"/>
          <w:color w:val="000000" w:themeColor="text1"/>
          <w:sz w:val="22"/>
          <w:szCs w:val="22"/>
        </w:rPr>
        <w:t>.</w:t>
      </w:r>
      <w:r w:rsidR="00C84C4A">
        <w:rPr>
          <w:rFonts w:ascii="Arial" w:hAnsi="Arial" w:cs="Arial"/>
          <w:i w:val="0"/>
          <w:color w:val="000000" w:themeColor="text1"/>
          <w:sz w:val="22"/>
          <w:szCs w:val="22"/>
        </w:rPr>
        <w:t xml:space="preserve"> </w:t>
      </w:r>
      <w:r w:rsidR="000233D1">
        <w:rPr>
          <w:rFonts w:ascii="Arial" w:hAnsi="Arial" w:cs="Arial"/>
          <w:i w:val="0"/>
          <w:color w:val="000000" w:themeColor="text1"/>
          <w:sz w:val="22"/>
          <w:szCs w:val="22"/>
        </w:rPr>
        <w:t>G</w:t>
      </w:r>
      <w:r w:rsidR="00767B72">
        <w:rPr>
          <w:rFonts w:ascii="Arial" w:hAnsi="Arial" w:cs="Arial"/>
          <w:i w:val="0"/>
          <w:color w:val="000000" w:themeColor="text1"/>
          <w:sz w:val="22"/>
          <w:szCs w:val="22"/>
        </w:rPr>
        <w:t xml:space="preserve">iven its ease of use, simple computing implementation and compatibility with standard inverted microscopes and other imaging techniques such as phase-contrast microscopy, </w:t>
      </w:r>
      <w:r w:rsidR="000233D1">
        <w:rPr>
          <w:rFonts w:ascii="Arial" w:hAnsi="Arial" w:cs="Arial"/>
          <w:i w:val="0"/>
          <w:color w:val="000000" w:themeColor="text1"/>
          <w:sz w:val="22"/>
          <w:szCs w:val="22"/>
        </w:rPr>
        <w:t xml:space="preserve">we anticipate that PCRS </w:t>
      </w:r>
      <w:r w:rsidR="00767B72">
        <w:rPr>
          <w:rFonts w:ascii="Arial" w:hAnsi="Arial" w:cs="Arial"/>
          <w:i w:val="0"/>
          <w:color w:val="000000" w:themeColor="text1"/>
          <w:sz w:val="22"/>
          <w:szCs w:val="22"/>
        </w:rPr>
        <w:t xml:space="preserve">the method will transform single-cell </w:t>
      </w:r>
      <w:r w:rsidR="00AB4557">
        <w:rPr>
          <w:rFonts w:ascii="Arial" w:hAnsi="Arial" w:cs="Arial"/>
          <w:i w:val="0"/>
          <w:color w:val="000000" w:themeColor="text1"/>
          <w:sz w:val="22"/>
          <w:szCs w:val="22"/>
        </w:rPr>
        <w:t xml:space="preserve">protein </w:t>
      </w:r>
      <w:r w:rsidR="00767B72">
        <w:rPr>
          <w:rFonts w:ascii="Arial" w:hAnsi="Arial" w:cs="Arial"/>
          <w:i w:val="0"/>
          <w:color w:val="000000" w:themeColor="text1"/>
          <w:sz w:val="22"/>
          <w:szCs w:val="22"/>
        </w:rPr>
        <w:t>expression analysis</w:t>
      </w:r>
      <w:r w:rsidR="00767B72" w:rsidRPr="00767B72">
        <w:rPr>
          <w:i w:val="0"/>
          <w:iCs w:val="0"/>
          <w:color w:val="222222"/>
          <w:spacing w:val="3"/>
          <w:sz w:val="26"/>
          <w:szCs w:val="26"/>
          <w:shd w:val="clear" w:color="auto" w:fill="FFFFFF"/>
        </w:rPr>
        <w:t xml:space="preserve"> </w:t>
      </w:r>
      <w:r w:rsidR="00767B72" w:rsidRPr="00767B72">
        <w:rPr>
          <w:rFonts w:ascii="Arial" w:hAnsi="Arial" w:cs="Arial"/>
          <w:i w:val="0"/>
          <w:color w:val="000000" w:themeColor="text1"/>
          <w:sz w:val="22"/>
          <w:szCs w:val="22"/>
        </w:rPr>
        <w:t xml:space="preserve">from an experts-only technique into a broadly accessible </w:t>
      </w:r>
      <w:r w:rsidR="005B6892">
        <w:rPr>
          <w:rFonts w:ascii="Arial" w:hAnsi="Arial" w:cs="Arial"/>
          <w:i w:val="0"/>
          <w:color w:val="000000" w:themeColor="text1"/>
          <w:sz w:val="22"/>
          <w:szCs w:val="22"/>
        </w:rPr>
        <w:t xml:space="preserve">single-cell </w:t>
      </w:r>
      <w:r w:rsidR="006C767E">
        <w:rPr>
          <w:rFonts w:ascii="Arial" w:hAnsi="Arial" w:cs="Arial"/>
          <w:i w:val="0"/>
          <w:color w:val="000000" w:themeColor="text1"/>
          <w:sz w:val="22"/>
          <w:szCs w:val="22"/>
        </w:rPr>
        <w:t>signalling</w:t>
      </w:r>
      <w:r w:rsidR="00767B72" w:rsidRPr="00767B72">
        <w:rPr>
          <w:rFonts w:ascii="Arial" w:hAnsi="Arial" w:cs="Arial"/>
          <w:i w:val="0"/>
          <w:color w:val="000000" w:themeColor="text1"/>
          <w:sz w:val="22"/>
          <w:szCs w:val="22"/>
        </w:rPr>
        <w:t xml:space="preserve"> imaging methodology.</w:t>
      </w:r>
    </w:p>
    <w:p w14:paraId="5424BB95" w14:textId="77777777" w:rsidR="00E10E6D" w:rsidRDefault="00E10E6D" w:rsidP="00E10E6D"/>
    <w:p w14:paraId="203D17BA" w14:textId="77777777" w:rsidR="00533979" w:rsidRPr="00CF1A00" w:rsidRDefault="00533979" w:rsidP="001836B6">
      <w:pPr>
        <w:ind w:left="-709"/>
      </w:pPr>
    </w:p>
    <w:p w14:paraId="62C3F0D1" w14:textId="77777777" w:rsidR="00F73DBC" w:rsidRDefault="00F73DBC">
      <w:pPr>
        <w:rPr>
          <w:rFonts w:ascii="Arial" w:hAnsi="Arial" w:cs="Arial"/>
          <w:b/>
          <w:sz w:val="36"/>
          <w:szCs w:val="32"/>
        </w:rPr>
      </w:pPr>
      <w:r>
        <w:rPr>
          <w:rFonts w:ascii="Arial" w:hAnsi="Arial" w:cs="Arial"/>
          <w:b/>
          <w:sz w:val="36"/>
          <w:szCs w:val="32"/>
        </w:rPr>
        <w:br w:type="page"/>
      </w:r>
    </w:p>
    <w:p w14:paraId="11FA6F40" w14:textId="77777777" w:rsidR="009403B2" w:rsidRDefault="009403B2" w:rsidP="00973D93">
      <w:pPr>
        <w:spacing w:line="480" w:lineRule="auto"/>
        <w:ind w:left="-709"/>
        <w:rPr>
          <w:rFonts w:ascii="Arial" w:hAnsi="Arial" w:cs="Arial"/>
          <w:b/>
          <w:sz w:val="36"/>
          <w:szCs w:val="32"/>
        </w:rPr>
      </w:pPr>
      <w:r w:rsidRPr="00626A9F">
        <w:rPr>
          <w:rFonts w:ascii="Arial" w:hAnsi="Arial" w:cs="Arial"/>
          <w:b/>
          <w:sz w:val="36"/>
          <w:szCs w:val="32"/>
        </w:rPr>
        <w:lastRenderedPageBreak/>
        <w:t>Methods</w:t>
      </w:r>
    </w:p>
    <w:p w14:paraId="4F8A9E40" w14:textId="5E6F40F7" w:rsidR="009403B2" w:rsidRDefault="009403B2" w:rsidP="00973D93">
      <w:pPr>
        <w:spacing w:after="0" w:line="480" w:lineRule="auto"/>
        <w:ind w:left="-709"/>
        <w:rPr>
          <w:rFonts w:ascii="Arial" w:hAnsi="Arial" w:cs="Arial"/>
          <w:b/>
        </w:rPr>
      </w:pPr>
      <w:r>
        <w:rPr>
          <w:rFonts w:ascii="Arial" w:hAnsi="Arial" w:cs="Arial"/>
          <w:b/>
        </w:rPr>
        <w:t xml:space="preserve">Photonic crystal resonant imagining </w:t>
      </w:r>
      <w:r w:rsidR="00020DAE">
        <w:rPr>
          <w:rFonts w:ascii="Arial" w:hAnsi="Arial" w:cs="Arial"/>
          <w:b/>
        </w:rPr>
        <w:t>surface</w:t>
      </w:r>
    </w:p>
    <w:p w14:paraId="13E5D957" w14:textId="789D6B29" w:rsidR="00AE1099" w:rsidRDefault="00AE1099" w:rsidP="00973D93">
      <w:pPr>
        <w:spacing w:after="0" w:line="360" w:lineRule="auto"/>
        <w:ind w:left="-709"/>
        <w:rPr>
          <w:rFonts w:ascii="Arial" w:hAnsi="Arial" w:cs="Arial"/>
        </w:rPr>
      </w:pPr>
      <w:r>
        <w:rPr>
          <w:rFonts w:ascii="Arial" w:hAnsi="Arial" w:cs="Arial"/>
        </w:rPr>
        <w:t xml:space="preserve">The imaging </w:t>
      </w:r>
      <w:r w:rsidR="00020DAE">
        <w:rPr>
          <w:rFonts w:ascii="Arial" w:hAnsi="Arial" w:cs="Arial"/>
        </w:rPr>
        <w:t xml:space="preserve">surface consists of a grating etched into </w:t>
      </w:r>
      <w:r w:rsidRPr="00AE1099">
        <w:rPr>
          <w:rFonts w:ascii="Arial" w:hAnsi="Arial" w:cs="Arial"/>
        </w:rPr>
        <w:t>a 150 nm thick silicon nitride (Si</w:t>
      </w:r>
      <w:r w:rsidRPr="00AE1099">
        <w:rPr>
          <w:rFonts w:ascii="Arial" w:hAnsi="Arial" w:cs="Arial"/>
          <w:vertAlign w:val="subscript"/>
        </w:rPr>
        <w:t>3</w:t>
      </w:r>
      <w:r w:rsidRPr="00AE1099">
        <w:rPr>
          <w:rFonts w:ascii="Arial" w:hAnsi="Arial" w:cs="Arial"/>
        </w:rPr>
        <w:t>N</w:t>
      </w:r>
      <w:r w:rsidRPr="00AE1099">
        <w:rPr>
          <w:rFonts w:ascii="Arial" w:hAnsi="Arial" w:cs="Arial"/>
          <w:vertAlign w:val="subscript"/>
        </w:rPr>
        <w:t>4</w:t>
      </w:r>
      <w:r w:rsidRPr="00AE1099">
        <w:rPr>
          <w:rFonts w:ascii="Arial" w:hAnsi="Arial" w:cs="Arial"/>
        </w:rPr>
        <w:t xml:space="preserve">) film on glass </w:t>
      </w:r>
      <w:r w:rsidR="00020DAE">
        <w:rPr>
          <w:rFonts w:ascii="Arial" w:hAnsi="Arial" w:cs="Arial"/>
        </w:rPr>
        <w:t xml:space="preserve">and is fabricated </w:t>
      </w:r>
      <w:r w:rsidRPr="00AE1099">
        <w:rPr>
          <w:rFonts w:ascii="Arial" w:hAnsi="Arial" w:cs="Arial"/>
        </w:rPr>
        <w:t>using electron beam lithography and reactive ion etching</w:t>
      </w:r>
      <w:r w:rsidR="00020DAE">
        <w:rPr>
          <w:rFonts w:ascii="Arial" w:hAnsi="Arial" w:cs="Arial"/>
        </w:rPr>
        <w:t xml:space="preserve">, </w:t>
      </w:r>
      <w:r w:rsidR="00020DAE" w:rsidRPr="001222BD">
        <w:rPr>
          <w:rFonts w:ascii="Arial" w:hAnsi="Arial" w:cs="Arial"/>
        </w:rPr>
        <w:t>which allows for multiple re-uses after cleaning</w:t>
      </w:r>
      <w:r w:rsidR="00020DAE">
        <w:rPr>
          <w:rFonts w:ascii="Arial" w:hAnsi="Arial" w:cs="Arial"/>
        </w:rPr>
        <w:t xml:space="preserve">. For more detail, refer to </w:t>
      </w:r>
      <w:r>
        <w:rPr>
          <w:rFonts w:ascii="Arial" w:hAnsi="Arial" w:cs="Arial"/>
        </w:rPr>
        <w:t xml:space="preserve"> our previous work</w:t>
      </w:r>
      <w:r>
        <w:rPr>
          <w:rFonts w:ascii="Arial" w:hAnsi="Arial" w:cs="Arial"/>
        </w:rPr>
        <w:fldChar w:fldCharType="begin" w:fldLock="1"/>
      </w:r>
      <w:r w:rsidR="00AB0567">
        <w:rPr>
          <w:rFonts w:ascii="Arial" w:hAnsi="Arial" w:cs="Arial"/>
        </w:rPr>
        <w:instrText>ADDIN CSL_CITATION { "citationItems" : [ { "id" : "ITEM-1", "itemData" : { "DOI" : "10.1364/OPTICA.4.000229", "abstract" : "Advanced biomedical diagnostic technologies fulfill an important role in improving health and well-being in society. A large number of excellent technologies have already been introduced and have given rise to the &amp;#x201C;lab-on-a-chip&amp;#x201D; paradigm. Most of these technologies, however, require additional instrumentation for interfacing and readout, so they are often confined to the laboratory and are not suitable for use in the field or in wider clinical practice. Other technologies require a light coupling element, such as a grating coupler or a fiber coupler, which complicates packaging. Here, we introduce a novel biosensor based on a chirped guided-mode resonant grating. The chirped grating combines the sensing function with the readout function by translating spectral information into spatial information that is easily read out with a simple CMOS camera. We demonstrate a refractive index sensitivity of 137 nm/RIU and an extrapolated limit of detection of 267 pM for the specific binding of an immunoglobulin G antibody. The chirped guided-mode resonance approach introduces a new degree of freedom for sensing biomedical information that combines high sensitivity with autonomous operation. We estimate that the cost of components is U.S. $10 or less when mass manufactured, so the technology has the potential to truly transform point-of-care applications. ", "author" : [ { "dropping-particle" : "", "family" : "Triggs", "given" : "Graham J", "non-dropping-particle" : "", "parse-names" : false, "suffix" : "" }, { "dropping-particle" : "", "family" : "Wang", "given" : "Yue", "non-dropping-particle" : "", "parse-names" : false, "suffix" : "" }, { "dropping-particle" : "", "family" : "Reardon", "given" : "Christopher P", "non-dropping-particle" : "", "parse-names" : false, "suffix" : "" }, { "dropping-particle" : "", "family" : "Fischer", "given" : "Matthias", "non-dropping-particle" : "", "parse-names" : false, "suffix" : "" }, { "dropping-particle" : "", "family" : "Evans", "given" : "Gareth J O", "non-dropping-particle" : "", "parse-names" : false, "suffix" : "" }, { "dropping-particle" : "", "family" : "Krauss", "given" : "Thomas F", "non-dropping-particle" : "", "parse-names" : false, "suffix" : "" } ], "container-title" : "Optica", "id" : "ITEM-1", "issue" : "2", "issued" : { "date-parts" : [ [ "2017" ] ] }, "page" : "229-234", "publisher" : "OSA", "title" : "Chirped guided-mode resonance biosensor", "type" : "article-journal", "volume" : "4" }, "uris" : [ "http://www.mendeley.com/documents/?uuid=19094ad3-e936-46a3-9ec9-b9a2531351e6" ] }, { "id" : "ITEM-2", "itemData" : { "DOI" : "10.1109/JPHOT.2015.2435699", "ISSN" : "19430655", "PMID" : "26356353", "abstract" : "By depositing a resolution test pattern on top of a Si3N4 photonic crystal resonant surface, we have measured the dependence of spatial resolution on refractive index contrast \u0394n. Our experimental results and finite-difference time-domain (FDTD) simulations at different refractive index contrasts show that the spatial resolution of our device reduces with reduced contrast, which is an important consideration in biosensing, where the contrast may be of order 10-2. We also compare 1-D and 2-D gratings, taking into account different incidence polarizations, leading to a better understanding of the excitation and propagation of the resonant modes in these structures, as well as how this contributes to the spatial resolution. At \u0394n 0.077, we observe resolutions of 2 and 6 \u03bcm parallel to and perpendicular to the grooves of a 1-D grating, respectively, and show that for polarized illumination of a 2-D grating, resolution remains asymmetrical. Illumination of a 2-D grating at 450 results in symmetric resolution. At very low index contrast, the resolution worsens dramatically, particularly for \u0394n &lt;; 0.01, where we observe a resolution exceeding 10 \u03bcm for our device. In addition, we measure a reduction in the resonance linewidth as the index contrast becomes lower, corresponding to a longer resonant mode propagation length in the structure and contributing to the change in spatial resolution.", "author" : [ { "dropping-particle" : "", "family" : "Triggs", "given" : "G. J.", "non-dropping-particle" : "", "parse-names" : false, "suffix" : "" }, { "dropping-particle" : "", "family" : "Fischer", "given" : "M.", "non-dropping-particle" : "", "parse-names" : false, "suffix" : "" }, { "dropping-particle" : "", "family" : "Stellinga", "given" : "D.", "non-dropping-particle" : "", "parse-names" : false, "suffix" : "" }, { "dropping-particle" : "", "family" : "Scullion", "given" : "M. G.", "non-dropping-particle" : "", "parse-names" : false, "suffix" : "" }, { "dropping-particle" : "", "family" : "Evans", "given" : "G. J.O.", "non-dropping-particle" : "", "parse-names" : false, "suffix" : "" }, { "dropping-particle" : "", "family" : "Krauss", "given" : "T. F.", "non-dropping-particle" : "", "parse-names" : false, "suffix" : "" } ], "container-title" : "IEEE Photonics Journal", "id" : "ITEM-2", "issue" : "3", "issued" : { "date-parts" : [ [ "2015" ] ] }, "title" : "Spatial resolution and refractive index contrast of resonant photonic crystal surfaces for biosensing", "type" : "article-journal", "volume" : "7" }, "uris" : [ "http://www.mendeley.com/documents/?uuid=d2ac5f4a-c5ee-4517-9f2c-f2a1544e32f7" ] } ], "mendeley" : { "formattedCitation" : "(10, 16)", "plainTextFormattedCitation" : "(10, 16)", "previouslyFormattedCitation" : "&lt;sup&gt;10,16&lt;/sup&gt;" }, "properties" : { "noteIndex" : 0 }, "schema" : "https://github.com/citation-style-language/schema/raw/master/csl-citation.json" }</w:instrText>
      </w:r>
      <w:r>
        <w:rPr>
          <w:rFonts w:ascii="Arial" w:hAnsi="Arial" w:cs="Arial"/>
        </w:rPr>
        <w:fldChar w:fldCharType="separate"/>
      </w:r>
      <w:r w:rsidR="00AB0567" w:rsidRPr="00AB0567">
        <w:rPr>
          <w:rFonts w:ascii="Arial" w:hAnsi="Arial" w:cs="Arial"/>
          <w:noProof/>
        </w:rPr>
        <w:t>(10, 16)</w:t>
      </w:r>
      <w:r>
        <w:rPr>
          <w:rFonts w:ascii="Arial" w:hAnsi="Arial" w:cs="Arial"/>
        </w:rPr>
        <w:fldChar w:fldCharType="end"/>
      </w:r>
      <w:r w:rsidR="001222BD" w:rsidRPr="001222BD">
        <w:rPr>
          <w:rFonts w:ascii="Arial" w:hAnsi="Arial" w:cs="Arial"/>
        </w:rPr>
        <w:t>.</w:t>
      </w:r>
      <w:r>
        <w:rPr>
          <w:rFonts w:ascii="Arial" w:hAnsi="Arial" w:cs="Arial"/>
        </w:rPr>
        <w:t xml:space="preserve"> </w:t>
      </w:r>
      <w:r w:rsidRPr="00AE1099">
        <w:rPr>
          <w:rFonts w:ascii="Arial" w:hAnsi="Arial" w:cs="Arial"/>
        </w:rPr>
        <w:t>First, the Si</w:t>
      </w:r>
      <w:r w:rsidRPr="00AE1099">
        <w:rPr>
          <w:rFonts w:ascii="Arial" w:hAnsi="Arial" w:cs="Arial"/>
          <w:vertAlign w:val="subscript"/>
        </w:rPr>
        <w:t>3</w:t>
      </w:r>
      <w:r w:rsidRPr="00AE1099">
        <w:rPr>
          <w:rFonts w:ascii="Arial" w:hAnsi="Arial" w:cs="Arial"/>
        </w:rPr>
        <w:t>N</w:t>
      </w:r>
      <w:r w:rsidRPr="00AE1099">
        <w:rPr>
          <w:rFonts w:ascii="Arial" w:hAnsi="Arial" w:cs="Arial"/>
          <w:vertAlign w:val="subscript"/>
        </w:rPr>
        <w:t>4</w:t>
      </w:r>
      <w:r w:rsidRPr="00AE1099">
        <w:rPr>
          <w:rFonts w:ascii="Arial" w:hAnsi="Arial" w:cs="Arial"/>
        </w:rPr>
        <w:t xml:space="preserve"> is cleaned in a piranha solution (1:3 hydrogen peroxide: sulfuric acid), rinsed in acetone and isopropanol, and dried with nitrogen. Next, the e-beam resist (ARP-09, </w:t>
      </w:r>
      <w:proofErr w:type="spellStart"/>
      <w:r w:rsidRPr="00AE1099">
        <w:rPr>
          <w:rFonts w:ascii="Arial" w:hAnsi="Arial" w:cs="Arial"/>
        </w:rPr>
        <w:t>AllResist</w:t>
      </w:r>
      <w:proofErr w:type="spellEnd"/>
      <w:r w:rsidRPr="00AE1099">
        <w:rPr>
          <w:rFonts w:ascii="Arial" w:hAnsi="Arial" w:cs="Arial"/>
        </w:rPr>
        <w:t xml:space="preserve"> GmbH) is spin-coated for 60 s at 3000 rpm, and soft baked on a hot plate at 180°C for 10 min. For charge dissipation during e-beam exposure, a thin film of aluminium (</w:t>
      </w:r>
      <w:r w:rsidRPr="00AE1099">
        <w:rPr>
          <w:rFonts w:ascii="Cambria Math" w:hAnsi="Cambria Math" w:cs="Cambria Math"/>
        </w:rPr>
        <w:t>∼</w:t>
      </w:r>
      <w:r w:rsidR="00BF4893">
        <w:rPr>
          <w:rFonts w:ascii="Cambria Math" w:hAnsi="Cambria Math" w:cs="Cambria Math"/>
        </w:rPr>
        <w:t xml:space="preserve"> </w:t>
      </w:r>
      <w:r w:rsidRPr="00AE1099">
        <w:rPr>
          <w:rFonts w:ascii="Arial" w:hAnsi="Arial" w:cs="Arial"/>
        </w:rPr>
        <w:t>20 nm) is deposited on top of the resist using a thermal evaporator (HEX, Mantis). The e-beam</w:t>
      </w:r>
      <w:r>
        <w:rPr>
          <w:rFonts w:ascii="Arial" w:hAnsi="Arial" w:cs="Arial"/>
        </w:rPr>
        <w:t xml:space="preserve"> </w:t>
      </w:r>
      <w:r w:rsidRPr="00AE1099">
        <w:rPr>
          <w:rFonts w:ascii="Arial" w:hAnsi="Arial" w:cs="Arial"/>
        </w:rPr>
        <w:t xml:space="preserve">system (Voyager, </w:t>
      </w:r>
      <w:proofErr w:type="spellStart"/>
      <w:r w:rsidRPr="00AE1099">
        <w:rPr>
          <w:rFonts w:ascii="Arial" w:hAnsi="Arial" w:cs="Arial"/>
        </w:rPr>
        <w:t>Raith</w:t>
      </w:r>
      <w:proofErr w:type="spellEnd"/>
      <w:r w:rsidRPr="00AE1099">
        <w:rPr>
          <w:rFonts w:ascii="Arial" w:hAnsi="Arial" w:cs="Arial"/>
        </w:rPr>
        <w:t xml:space="preserve"> GmbH) exposes the resist with a base dose of 130 </w:t>
      </w:r>
      <w:proofErr w:type="spellStart"/>
      <w:r w:rsidRPr="00AE1099">
        <w:rPr>
          <w:rFonts w:ascii="Arial" w:hAnsi="Arial" w:cs="Arial"/>
        </w:rPr>
        <w:t>μC</w:t>
      </w:r>
      <w:proofErr w:type="spellEnd"/>
      <w:r>
        <w:rPr>
          <w:rFonts w:ascii="Arial" w:hAnsi="Arial" w:cs="Arial"/>
        </w:rPr>
        <w:t>/</w:t>
      </w:r>
      <w:r w:rsidRPr="00AE1099">
        <w:rPr>
          <w:rFonts w:ascii="Arial" w:hAnsi="Arial" w:cs="Arial"/>
        </w:rPr>
        <w:t>cm</w:t>
      </w:r>
      <w:r w:rsidRPr="00AE1099">
        <w:rPr>
          <w:rFonts w:ascii="Arial" w:hAnsi="Arial" w:cs="Arial"/>
          <w:vertAlign w:val="superscript"/>
        </w:rPr>
        <w:t>2</w:t>
      </w:r>
      <w:r w:rsidRPr="00AE1099">
        <w:rPr>
          <w:rFonts w:ascii="Arial" w:hAnsi="Arial" w:cs="Arial"/>
        </w:rPr>
        <w:t>, after which it is developed for 2 min in Xylene, then rinsed with isopropanol and dried in N</w:t>
      </w:r>
      <w:r w:rsidRPr="00AE1099">
        <w:rPr>
          <w:rFonts w:ascii="Arial" w:hAnsi="Arial" w:cs="Arial"/>
          <w:vertAlign w:val="subscript"/>
        </w:rPr>
        <w:t>2</w:t>
      </w:r>
      <w:r w:rsidRPr="00AE1099">
        <w:rPr>
          <w:rFonts w:ascii="Arial" w:hAnsi="Arial" w:cs="Arial"/>
        </w:rPr>
        <w:t>.</w:t>
      </w:r>
      <w:r w:rsidR="00A40D69">
        <w:rPr>
          <w:rFonts w:ascii="Arial" w:hAnsi="Arial" w:cs="Arial"/>
        </w:rPr>
        <w:t xml:space="preserve"> A sensor</w:t>
      </w:r>
      <w:r w:rsidR="001222BD">
        <w:rPr>
          <w:rFonts w:ascii="Arial" w:hAnsi="Arial" w:cs="Arial"/>
        </w:rPr>
        <w:t xml:space="preserve"> area of 2 x 2 mm is exposed</w:t>
      </w:r>
      <w:r w:rsidRPr="00AE1099">
        <w:rPr>
          <w:rFonts w:ascii="Arial" w:hAnsi="Arial" w:cs="Arial"/>
        </w:rPr>
        <w:t xml:space="preserve"> </w:t>
      </w:r>
      <w:r w:rsidR="00A40D69">
        <w:rPr>
          <w:rFonts w:ascii="Arial" w:hAnsi="Arial" w:cs="Arial"/>
        </w:rPr>
        <w:t>per device</w:t>
      </w:r>
      <w:r w:rsidR="005F6622">
        <w:rPr>
          <w:rFonts w:ascii="Arial" w:hAnsi="Arial" w:cs="Arial"/>
        </w:rPr>
        <w:t xml:space="preserve">, consisting of a grating with </w:t>
      </w:r>
      <w:r w:rsidR="005F6622" w:rsidRPr="005F6622">
        <w:rPr>
          <w:rFonts w:ascii="Arial" w:hAnsi="Arial" w:cs="Arial"/>
        </w:rPr>
        <w:t>period </w:t>
      </w:r>
      <w:r w:rsidR="005F6622">
        <w:rPr>
          <w:rFonts w:ascii="Arial" w:hAnsi="Arial" w:cs="Arial"/>
        </w:rPr>
        <w:t xml:space="preserve">of </w:t>
      </w:r>
      <w:r w:rsidR="005F6622" w:rsidRPr="005F6622">
        <w:rPr>
          <w:rFonts w:ascii="Arial" w:hAnsi="Arial" w:cs="Arial"/>
        </w:rPr>
        <w:t>555 nm and a fill factor </w:t>
      </w:r>
      <w:r w:rsidR="005F6622">
        <w:rPr>
          <w:rFonts w:ascii="Arial" w:hAnsi="Arial" w:cs="Arial"/>
        </w:rPr>
        <w:t xml:space="preserve">of </w:t>
      </w:r>
      <w:r w:rsidR="005F6622" w:rsidRPr="005F6622">
        <w:rPr>
          <w:rFonts w:ascii="Arial" w:hAnsi="Arial" w:cs="Arial"/>
        </w:rPr>
        <w:t>80%</w:t>
      </w:r>
      <w:r w:rsidR="007D3643">
        <w:rPr>
          <w:rFonts w:ascii="Arial" w:hAnsi="Arial" w:cs="Arial"/>
        </w:rPr>
        <w:t xml:space="preserve"> to obtain a resonance wave centred around 840 nm</w:t>
      </w:r>
      <w:r w:rsidR="00020DAE">
        <w:rPr>
          <w:rFonts w:ascii="Arial" w:hAnsi="Arial" w:cs="Arial"/>
        </w:rPr>
        <w:t xml:space="preserve"> wavelength</w:t>
      </w:r>
      <w:r w:rsidR="005F6622">
        <w:rPr>
          <w:rFonts w:ascii="Arial" w:hAnsi="Arial" w:cs="Arial"/>
        </w:rPr>
        <w:t>.</w:t>
      </w:r>
      <w:r w:rsidR="00A40D69">
        <w:rPr>
          <w:rFonts w:ascii="Arial" w:hAnsi="Arial" w:cs="Arial"/>
        </w:rPr>
        <w:t xml:space="preserve"> </w:t>
      </w:r>
      <w:r w:rsidRPr="00AE1099">
        <w:rPr>
          <w:rFonts w:ascii="Arial" w:hAnsi="Arial" w:cs="Arial"/>
        </w:rPr>
        <w:t>To transfer the grating into the Si</w:t>
      </w:r>
      <w:r w:rsidRPr="00AE1099">
        <w:rPr>
          <w:rFonts w:ascii="Arial" w:hAnsi="Arial" w:cs="Arial"/>
          <w:vertAlign w:val="subscript"/>
        </w:rPr>
        <w:t>3</w:t>
      </w:r>
      <w:r w:rsidRPr="00AE1099">
        <w:rPr>
          <w:rFonts w:ascii="Arial" w:hAnsi="Arial" w:cs="Arial"/>
        </w:rPr>
        <w:t>N</w:t>
      </w:r>
      <w:r w:rsidRPr="00AE1099">
        <w:rPr>
          <w:rFonts w:ascii="Arial" w:hAnsi="Arial" w:cs="Arial"/>
          <w:vertAlign w:val="subscript"/>
        </w:rPr>
        <w:t>4</w:t>
      </w:r>
      <w:r w:rsidRPr="00AE1099">
        <w:rPr>
          <w:rFonts w:ascii="Arial" w:hAnsi="Arial" w:cs="Arial"/>
        </w:rPr>
        <w:t>, it is etched with a CHF</w:t>
      </w:r>
      <w:r w:rsidRPr="00AE1099">
        <w:rPr>
          <w:rFonts w:ascii="Arial" w:hAnsi="Arial" w:cs="Arial"/>
          <w:vertAlign w:val="subscript"/>
        </w:rPr>
        <w:t>3</w:t>
      </w:r>
      <w:r w:rsidRPr="00AE1099">
        <w:rPr>
          <w:rFonts w:ascii="Arial" w:hAnsi="Arial" w:cs="Arial"/>
        </w:rPr>
        <w:t>:O</w:t>
      </w:r>
      <w:r w:rsidRPr="00AE1099">
        <w:rPr>
          <w:rFonts w:ascii="Arial" w:hAnsi="Arial" w:cs="Arial"/>
          <w:vertAlign w:val="subscript"/>
        </w:rPr>
        <w:t>2</w:t>
      </w:r>
      <w:r w:rsidRPr="00AE1099">
        <w:rPr>
          <w:rFonts w:ascii="Arial" w:hAnsi="Arial" w:cs="Arial"/>
        </w:rPr>
        <w:t xml:space="preserve"> gas mixture at 29:1 </w:t>
      </w:r>
      <w:proofErr w:type="spellStart"/>
      <w:r w:rsidRPr="00AE1099">
        <w:rPr>
          <w:rFonts w:ascii="Arial" w:hAnsi="Arial" w:cs="Arial"/>
        </w:rPr>
        <w:t>sccm</w:t>
      </w:r>
      <w:proofErr w:type="spellEnd"/>
      <w:r w:rsidRPr="00AE1099">
        <w:rPr>
          <w:rFonts w:ascii="Arial" w:hAnsi="Arial" w:cs="Arial"/>
        </w:rPr>
        <w:t>, an RF power of 40 W, and a chamber pressure of 1.9 e</w:t>
      </w:r>
      <w:r w:rsidRPr="00AE1099">
        <w:rPr>
          <w:rFonts w:ascii="Arial" w:hAnsi="Arial" w:cs="Arial"/>
          <w:vertAlign w:val="superscript"/>
        </w:rPr>
        <w:t>−1</w:t>
      </w:r>
      <w:r w:rsidRPr="00AE1099">
        <w:rPr>
          <w:rFonts w:ascii="Arial" w:hAnsi="Arial" w:cs="Arial"/>
        </w:rPr>
        <w:t xml:space="preserve"> mbar, over 7 min etch time. Finally, to strip the remaining resist, the sample is sonicated in 1165 solvent (</w:t>
      </w:r>
      <w:proofErr w:type="spellStart"/>
      <w:r w:rsidRPr="00AE1099">
        <w:rPr>
          <w:rFonts w:ascii="Arial" w:hAnsi="Arial" w:cs="Arial"/>
        </w:rPr>
        <w:t>MicroChem</w:t>
      </w:r>
      <w:proofErr w:type="spellEnd"/>
      <w:r w:rsidRPr="00AE1099">
        <w:rPr>
          <w:rFonts w:ascii="Arial" w:hAnsi="Arial" w:cs="Arial"/>
        </w:rPr>
        <w:t xml:space="preserve">) for 3 min, followed by a </w:t>
      </w:r>
      <w:proofErr w:type="spellStart"/>
      <w:r w:rsidRPr="00AE1099">
        <w:rPr>
          <w:rFonts w:ascii="Arial" w:hAnsi="Arial" w:cs="Arial"/>
        </w:rPr>
        <w:t>rinse</w:t>
      </w:r>
      <w:proofErr w:type="spellEnd"/>
      <w:r w:rsidRPr="00AE1099">
        <w:rPr>
          <w:rFonts w:ascii="Arial" w:hAnsi="Arial" w:cs="Arial"/>
        </w:rPr>
        <w:t xml:space="preserve"> in acetone and isopropano</w:t>
      </w:r>
      <w:r>
        <w:rPr>
          <w:rFonts w:ascii="Arial" w:hAnsi="Arial" w:cs="Arial"/>
        </w:rPr>
        <w:t>l, following a drying step with</w:t>
      </w:r>
      <w:r w:rsidRPr="00AE1099">
        <w:rPr>
          <w:rFonts w:ascii="Arial" w:hAnsi="Arial" w:cs="Arial"/>
        </w:rPr>
        <w:t xml:space="preserve"> N</w:t>
      </w:r>
      <w:r w:rsidRPr="00AE1099">
        <w:rPr>
          <w:rFonts w:ascii="Arial" w:hAnsi="Arial" w:cs="Arial"/>
          <w:vertAlign w:val="subscript"/>
        </w:rPr>
        <w:t>2</w:t>
      </w:r>
      <w:r w:rsidRPr="00AE1099">
        <w:rPr>
          <w:rFonts w:ascii="Arial" w:hAnsi="Arial" w:cs="Arial"/>
        </w:rPr>
        <w:t>.</w:t>
      </w:r>
    </w:p>
    <w:p w14:paraId="73CF9B25" w14:textId="77777777" w:rsidR="005F6622" w:rsidRDefault="005F6622" w:rsidP="00973D93">
      <w:pPr>
        <w:spacing w:line="480" w:lineRule="auto"/>
        <w:ind w:left="-709"/>
        <w:rPr>
          <w:rFonts w:ascii="Arial" w:hAnsi="Arial" w:cs="Arial"/>
          <w:b/>
        </w:rPr>
      </w:pPr>
    </w:p>
    <w:p w14:paraId="7E7FD1A6" w14:textId="77777777" w:rsidR="0061125A" w:rsidRDefault="0061125A" w:rsidP="00973D93">
      <w:pPr>
        <w:spacing w:line="480" w:lineRule="auto"/>
        <w:ind w:left="-709"/>
        <w:rPr>
          <w:rFonts w:ascii="Arial" w:hAnsi="Arial" w:cs="Arial"/>
          <w:b/>
        </w:rPr>
      </w:pPr>
    </w:p>
    <w:p w14:paraId="089ACD36" w14:textId="77777777" w:rsidR="00F66AAF" w:rsidRDefault="007D3643" w:rsidP="00973D93">
      <w:pPr>
        <w:spacing w:line="480" w:lineRule="auto"/>
        <w:ind w:left="-709"/>
        <w:rPr>
          <w:rFonts w:ascii="Arial" w:hAnsi="Arial" w:cs="Arial"/>
          <w:b/>
        </w:rPr>
      </w:pPr>
      <w:bookmarkStart w:id="9" w:name="OLE_LINK9"/>
      <w:bookmarkStart w:id="10" w:name="OLE_LINK10"/>
      <w:bookmarkStart w:id="11" w:name="OLE_LINK11"/>
      <w:r>
        <w:rPr>
          <w:rFonts w:ascii="Arial" w:hAnsi="Arial" w:cs="Arial"/>
          <w:b/>
        </w:rPr>
        <w:t>H</w:t>
      </w:r>
      <w:r w:rsidRPr="007D3643">
        <w:rPr>
          <w:rFonts w:ascii="Arial" w:hAnsi="Arial" w:cs="Arial"/>
          <w:b/>
        </w:rPr>
        <w:t xml:space="preserve">yperspectral imaging </w:t>
      </w:r>
      <w:r>
        <w:rPr>
          <w:rFonts w:ascii="Arial" w:hAnsi="Arial" w:cs="Arial"/>
          <w:b/>
        </w:rPr>
        <w:t>m</w:t>
      </w:r>
      <w:r w:rsidR="00F66AAF">
        <w:rPr>
          <w:rFonts w:ascii="Arial" w:hAnsi="Arial" w:cs="Arial"/>
          <w:b/>
        </w:rPr>
        <w:t>easuring setup</w:t>
      </w:r>
    </w:p>
    <w:bookmarkEnd w:id="9"/>
    <w:bookmarkEnd w:id="10"/>
    <w:bookmarkEnd w:id="11"/>
    <w:p w14:paraId="35BF467E" w14:textId="2C471E4D" w:rsidR="007D3643" w:rsidRPr="007D3643" w:rsidRDefault="007D3643" w:rsidP="00973D93">
      <w:pPr>
        <w:spacing w:line="360" w:lineRule="auto"/>
        <w:ind w:left="-709"/>
        <w:rPr>
          <w:rFonts w:ascii="Arial" w:hAnsi="Arial" w:cs="Arial"/>
        </w:rPr>
      </w:pPr>
      <w:r w:rsidRPr="007D3643">
        <w:rPr>
          <w:rFonts w:ascii="Arial" w:hAnsi="Arial" w:cs="Arial"/>
        </w:rPr>
        <w:t>A resonance image is formed by taking a sequence of bright field images, each at a different illumination wavelength</w:t>
      </w:r>
      <w:r w:rsidR="004B1168">
        <w:rPr>
          <w:rFonts w:ascii="Arial" w:hAnsi="Arial" w:cs="Arial"/>
        </w:rPr>
        <w:t xml:space="preserve"> </w:t>
      </w:r>
      <w:r w:rsidRPr="007D3643">
        <w:rPr>
          <w:rFonts w:ascii="Arial" w:hAnsi="Arial" w:cs="Arial"/>
        </w:rPr>
        <w:t xml:space="preserve">which is achieved by </w:t>
      </w:r>
      <w:r w:rsidR="00376ACF">
        <w:rPr>
          <w:rFonts w:ascii="Arial" w:hAnsi="Arial" w:cs="Arial"/>
        </w:rPr>
        <w:t>illuminating</w:t>
      </w:r>
      <w:r w:rsidR="00376ACF" w:rsidRPr="007D3643">
        <w:rPr>
          <w:rFonts w:ascii="Arial" w:hAnsi="Arial" w:cs="Arial"/>
        </w:rPr>
        <w:t xml:space="preserve"> </w:t>
      </w:r>
      <w:r w:rsidRPr="007D3643">
        <w:rPr>
          <w:rFonts w:ascii="Arial" w:hAnsi="Arial" w:cs="Arial"/>
        </w:rPr>
        <w:t>through a tuneable filter (hyperspectral imaging). The resulting hyperspectral cube contains the spectrum from every pixel in the field of view.</w:t>
      </w:r>
      <w:r w:rsidR="004B1168">
        <w:rPr>
          <w:rFonts w:ascii="Arial" w:hAnsi="Arial" w:cs="Arial"/>
        </w:rPr>
        <w:t xml:space="preserve"> </w:t>
      </w:r>
      <w:r w:rsidRPr="007D3643">
        <w:rPr>
          <w:rFonts w:ascii="Arial" w:hAnsi="Arial" w:cs="Arial"/>
        </w:rPr>
        <w:t>By analysing the intensity values of each pixel, the resonance wavelength for each pixel can be determined.</w:t>
      </w:r>
      <w:r w:rsidR="00376ACF">
        <w:rPr>
          <w:rFonts w:ascii="Arial" w:hAnsi="Arial" w:cs="Arial"/>
        </w:rPr>
        <w:t xml:space="preserve"> </w:t>
      </w:r>
      <w:r w:rsidRPr="007D3643">
        <w:rPr>
          <w:rFonts w:ascii="Arial" w:hAnsi="Arial" w:cs="Arial"/>
        </w:rPr>
        <w:t xml:space="preserve">We fit </w:t>
      </w:r>
      <w:r w:rsidR="00D17117" w:rsidRPr="007D3643">
        <w:rPr>
          <w:rFonts w:ascii="Arial" w:hAnsi="Arial" w:cs="Arial"/>
        </w:rPr>
        <w:t xml:space="preserve">the measured data from each pixel to </w:t>
      </w:r>
      <w:r w:rsidRPr="007D3643">
        <w:rPr>
          <w:rFonts w:ascii="Arial" w:hAnsi="Arial" w:cs="Arial"/>
        </w:rPr>
        <w:t xml:space="preserve">a </w:t>
      </w:r>
      <w:r w:rsidR="00D17117">
        <w:rPr>
          <w:rFonts w:ascii="Arial" w:hAnsi="Arial" w:cs="Arial"/>
        </w:rPr>
        <w:t xml:space="preserve">Fano resonance </w:t>
      </w:r>
      <w:r w:rsidR="009565F7">
        <w:rPr>
          <w:rFonts w:ascii="Arial" w:hAnsi="Arial" w:cs="Arial"/>
        </w:rPr>
        <w:t>curve</w:t>
      </w:r>
      <w:r w:rsidRPr="007D3643">
        <w:rPr>
          <w:rFonts w:ascii="Arial" w:hAnsi="Arial" w:cs="Arial"/>
        </w:rPr>
        <w:t xml:space="preserve"> to accurately obtain the resonance wavelength</w:t>
      </w:r>
      <w:r w:rsidR="00D17117">
        <w:rPr>
          <w:rFonts w:ascii="Arial" w:hAnsi="Arial" w:cs="Arial"/>
        </w:rPr>
        <w:t xml:space="preserve"> with pm </w:t>
      </w:r>
      <w:r w:rsidR="00ED7FB1">
        <w:rPr>
          <w:rFonts w:ascii="Arial" w:hAnsi="Arial" w:cs="Arial"/>
        </w:rPr>
        <w:t>precision</w:t>
      </w:r>
      <w:r w:rsidRPr="007D3643">
        <w:rPr>
          <w:rFonts w:ascii="Arial" w:hAnsi="Arial" w:cs="Arial"/>
        </w:rPr>
        <w:t>. Plotting the resonance wavelength of each pixel in the array then gives the resonance image.</w:t>
      </w:r>
      <w:r w:rsidR="00E57591">
        <w:rPr>
          <w:rFonts w:ascii="Arial" w:hAnsi="Arial" w:cs="Arial"/>
        </w:rPr>
        <w:t xml:space="preserve"> We repeat this process cyclically over time, being limited to a rate of 2.5 min per image </w:t>
      </w:r>
      <w:r w:rsidR="009565F7">
        <w:rPr>
          <w:rFonts w:ascii="Arial" w:hAnsi="Arial" w:cs="Arial"/>
        </w:rPr>
        <w:t>by</w:t>
      </w:r>
      <w:r w:rsidR="00E57591">
        <w:rPr>
          <w:rFonts w:ascii="Arial" w:hAnsi="Arial" w:cs="Arial"/>
        </w:rPr>
        <w:t xml:space="preserve"> instrumental limitations</w:t>
      </w:r>
      <w:r w:rsidR="00AD5849">
        <w:rPr>
          <w:rFonts w:ascii="Arial" w:hAnsi="Arial" w:cs="Arial"/>
        </w:rPr>
        <w:t xml:space="preserve"> (we note this can be improve</w:t>
      </w:r>
      <w:r w:rsidR="00376ACF">
        <w:rPr>
          <w:rFonts w:ascii="Arial" w:hAnsi="Arial" w:cs="Arial"/>
        </w:rPr>
        <w:t>d</w:t>
      </w:r>
      <w:r w:rsidR="00AD5849">
        <w:rPr>
          <w:rFonts w:ascii="Arial" w:hAnsi="Arial" w:cs="Arial"/>
        </w:rPr>
        <w:t xml:space="preserve"> to sub 30 seg </w:t>
      </w:r>
      <w:r w:rsidR="00376ACF">
        <w:rPr>
          <w:rFonts w:ascii="Arial" w:hAnsi="Arial" w:cs="Arial"/>
        </w:rPr>
        <w:t xml:space="preserve">acquisition </w:t>
      </w:r>
      <w:r w:rsidR="00AD5849">
        <w:rPr>
          <w:rFonts w:ascii="Arial" w:hAnsi="Arial" w:cs="Arial"/>
        </w:rPr>
        <w:t>rates</w:t>
      </w:r>
      <w:r w:rsidR="00376ACF">
        <w:rPr>
          <w:rFonts w:ascii="Arial" w:hAnsi="Arial" w:cs="Arial"/>
        </w:rPr>
        <w:t xml:space="preserve"> under appropriate conditions)</w:t>
      </w:r>
      <w:r w:rsidR="00E57591">
        <w:rPr>
          <w:rFonts w:ascii="Arial" w:hAnsi="Arial" w:cs="Arial"/>
        </w:rPr>
        <w:t>.</w:t>
      </w:r>
      <w:r w:rsidRPr="007D3643">
        <w:rPr>
          <w:rFonts w:ascii="Arial" w:hAnsi="Arial" w:cs="Arial"/>
        </w:rPr>
        <w:t xml:space="preserve"> The camera employed here is a </w:t>
      </w:r>
      <w:proofErr w:type="spellStart"/>
      <w:r w:rsidRPr="007D3643">
        <w:rPr>
          <w:rFonts w:ascii="Arial" w:hAnsi="Arial" w:cs="Arial"/>
        </w:rPr>
        <w:t>CoolSnap</w:t>
      </w:r>
      <w:proofErr w:type="spellEnd"/>
      <w:r w:rsidRPr="007D3643">
        <w:rPr>
          <w:rFonts w:ascii="Arial" w:hAnsi="Arial" w:cs="Arial"/>
        </w:rPr>
        <w:t xml:space="preserve"> </w:t>
      </w:r>
      <w:proofErr w:type="spellStart"/>
      <w:r w:rsidRPr="007D3643">
        <w:rPr>
          <w:rFonts w:ascii="Arial" w:hAnsi="Arial" w:cs="Arial"/>
        </w:rPr>
        <w:t>Myo</w:t>
      </w:r>
      <w:proofErr w:type="spellEnd"/>
      <w:r w:rsidRPr="007D3643">
        <w:rPr>
          <w:rFonts w:ascii="Arial" w:hAnsi="Arial" w:cs="Arial"/>
        </w:rPr>
        <w:t xml:space="preserve"> (Photometrics), and the objective lens is an Olympus </w:t>
      </w:r>
      <w:proofErr w:type="spellStart"/>
      <w:r w:rsidRPr="007D3643">
        <w:rPr>
          <w:rFonts w:ascii="Arial" w:hAnsi="Arial" w:cs="Arial"/>
        </w:rPr>
        <w:t>NeoDplan</w:t>
      </w:r>
      <w:proofErr w:type="spellEnd"/>
      <w:r w:rsidRPr="007D3643">
        <w:rPr>
          <w:rFonts w:ascii="Arial" w:hAnsi="Arial" w:cs="Arial"/>
        </w:rPr>
        <w:t xml:space="preserve"> </w:t>
      </w:r>
      <w:r>
        <w:rPr>
          <w:rFonts w:ascii="Arial" w:hAnsi="Arial" w:cs="Arial"/>
        </w:rPr>
        <w:t>10</w:t>
      </w:r>
      <w:r w:rsidR="001E3D7B">
        <w:rPr>
          <w:rFonts w:ascii="Arial" w:hAnsi="Arial" w:cs="Arial"/>
        </w:rPr>
        <w:t>x</w:t>
      </w:r>
      <w:r w:rsidRPr="007D3643">
        <w:rPr>
          <w:rFonts w:ascii="Arial" w:hAnsi="Arial" w:cs="Arial"/>
        </w:rPr>
        <w:t xml:space="preserve"> (NA </w:t>
      </w:r>
      <w:r>
        <w:rPr>
          <w:rFonts w:ascii="Arial" w:hAnsi="Arial" w:cs="Arial"/>
        </w:rPr>
        <w:t>=</w:t>
      </w:r>
      <w:r w:rsidR="00C6044B">
        <w:rPr>
          <w:rFonts w:ascii="Arial" w:hAnsi="Arial" w:cs="Arial"/>
        </w:rPr>
        <w:t xml:space="preserve"> 0.25</w:t>
      </w:r>
      <w:r w:rsidRPr="007D3643">
        <w:rPr>
          <w:rFonts w:ascii="Arial" w:hAnsi="Arial" w:cs="Arial"/>
        </w:rPr>
        <w:t>)</w:t>
      </w:r>
      <w:r w:rsidR="004B1168">
        <w:rPr>
          <w:rFonts w:ascii="Arial" w:hAnsi="Arial" w:cs="Arial"/>
        </w:rPr>
        <w:t xml:space="preserve"> which is </w:t>
      </w:r>
      <w:r w:rsidR="00AD5849">
        <w:rPr>
          <w:rFonts w:ascii="Arial" w:hAnsi="Arial" w:cs="Arial"/>
        </w:rPr>
        <w:t>the component that</w:t>
      </w:r>
      <w:r w:rsidR="004B1168">
        <w:rPr>
          <w:rFonts w:ascii="Arial" w:hAnsi="Arial" w:cs="Arial"/>
        </w:rPr>
        <w:t xml:space="preserve"> ultimately limits the field-of-view</w:t>
      </w:r>
      <w:r w:rsidRPr="007D3643">
        <w:rPr>
          <w:rFonts w:ascii="Arial" w:hAnsi="Arial" w:cs="Arial"/>
        </w:rPr>
        <w:t xml:space="preserve">. The camera pixel size is 4.54 </w:t>
      </w:r>
      <w:proofErr w:type="spellStart"/>
      <w:r w:rsidRPr="007D3643">
        <w:rPr>
          <w:rFonts w:ascii="Arial" w:hAnsi="Arial" w:cs="Arial"/>
        </w:rPr>
        <w:t>μm</w:t>
      </w:r>
      <w:proofErr w:type="spellEnd"/>
      <w:r w:rsidRPr="007D3643">
        <w:rPr>
          <w:rFonts w:ascii="Arial" w:hAnsi="Arial" w:cs="Arial"/>
        </w:rPr>
        <w:t xml:space="preserve">, and after magnification, </w:t>
      </w:r>
      <w:r w:rsidRPr="007D3643">
        <w:rPr>
          <w:rFonts w:ascii="Arial" w:hAnsi="Arial" w:cs="Arial"/>
        </w:rPr>
        <w:lastRenderedPageBreak/>
        <w:t>each image pixel images a</w:t>
      </w:r>
      <w:r>
        <w:rPr>
          <w:rFonts w:ascii="Arial" w:hAnsi="Arial" w:cs="Arial"/>
        </w:rPr>
        <w:t xml:space="preserve"> </w:t>
      </w:r>
      <w:r w:rsidRPr="007D3643">
        <w:rPr>
          <w:rFonts w:ascii="Arial" w:hAnsi="Arial" w:cs="Arial"/>
        </w:rPr>
        <w:t>size of 0.925</w:t>
      </w:r>
      <w:r>
        <w:rPr>
          <w:rFonts w:ascii="Arial" w:hAnsi="Arial" w:cs="Arial"/>
        </w:rPr>
        <w:t xml:space="preserve"> </w:t>
      </w:r>
      <w:proofErr w:type="spellStart"/>
      <w:r w:rsidRPr="007D3643">
        <w:rPr>
          <w:rFonts w:ascii="Arial" w:hAnsi="Arial" w:cs="Arial"/>
        </w:rPr>
        <w:t>μm</w:t>
      </w:r>
      <w:proofErr w:type="spellEnd"/>
      <w:r w:rsidRPr="007D3643">
        <w:rPr>
          <w:rFonts w:ascii="Arial" w:hAnsi="Arial" w:cs="Arial"/>
        </w:rPr>
        <w:t xml:space="preserve">. To provide some flexibility in matching the illumination wavelength to the </w:t>
      </w:r>
      <w:r>
        <w:rPr>
          <w:rFonts w:ascii="Arial" w:hAnsi="Arial" w:cs="Arial"/>
        </w:rPr>
        <w:t>resonance wavelength</w:t>
      </w:r>
      <w:r w:rsidRPr="007D3643">
        <w:rPr>
          <w:rFonts w:ascii="Arial" w:hAnsi="Arial" w:cs="Arial"/>
        </w:rPr>
        <w:t xml:space="preserve"> of the fabricated grating, we use a broadband laser (SM30, </w:t>
      </w:r>
      <w:proofErr w:type="spellStart"/>
      <w:r w:rsidRPr="007D3643">
        <w:rPr>
          <w:rFonts w:ascii="Arial" w:hAnsi="Arial" w:cs="Arial"/>
        </w:rPr>
        <w:t>Leukos</w:t>
      </w:r>
      <w:proofErr w:type="spellEnd"/>
      <w:r w:rsidRPr="007D3643">
        <w:rPr>
          <w:rFonts w:ascii="Arial" w:hAnsi="Arial" w:cs="Arial"/>
        </w:rPr>
        <w:t>), combined with a custom-built grating-based monochromator to select a single illumination wavelength with a spectral width of 0.6 nm</w:t>
      </w:r>
      <w:r w:rsidR="004B1168">
        <w:rPr>
          <w:rFonts w:ascii="Arial" w:hAnsi="Arial" w:cs="Arial"/>
        </w:rPr>
        <w:t xml:space="preserve"> (0.25 nm wavelength step)</w:t>
      </w:r>
      <w:r w:rsidRPr="007D3643">
        <w:rPr>
          <w:rFonts w:ascii="Arial" w:hAnsi="Arial" w:cs="Arial"/>
        </w:rPr>
        <w:t xml:space="preserve">. </w:t>
      </w:r>
      <w:r w:rsidR="00376ACF">
        <w:rPr>
          <w:rFonts w:ascii="Arial" w:hAnsi="Arial" w:cs="Arial"/>
        </w:rPr>
        <w:t xml:space="preserve">To further improve the resolution of the images we interpolate the values between pixels down to </w:t>
      </w:r>
      <w:r w:rsidR="00D17117">
        <w:rPr>
          <w:rFonts w:ascii="Arial" w:hAnsi="Arial" w:cs="Arial"/>
        </w:rPr>
        <w:t xml:space="preserve">low </w:t>
      </w:r>
      <w:r w:rsidR="00376ACF">
        <w:rPr>
          <w:rFonts w:ascii="Arial" w:hAnsi="Arial" w:cs="Arial"/>
        </w:rPr>
        <w:t xml:space="preserve">pm values. </w:t>
      </w:r>
      <w:r w:rsidRPr="007D3643">
        <w:rPr>
          <w:rFonts w:ascii="Arial" w:hAnsi="Arial" w:cs="Arial"/>
        </w:rPr>
        <w:t xml:space="preserve">Images were captured using LabView, and image analysis and curve fitting were performed using </w:t>
      </w:r>
      <w:proofErr w:type="spellStart"/>
      <w:r w:rsidRPr="007D3643">
        <w:rPr>
          <w:rFonts w:ascii="Arial" w:hAnsi="Arial" w:cs="Arial"/>
        </w:rPr>
        <w:t>MatLab</w:t>
      </w:r>
      <w:proofErr w:type="spellEnd"/>
      <w:r w:rsidRPr="007D3643">
        <w:rPr>
          <w:rFonts w:ascii="Arial" w:hAnsi="Arial" w:cs="Arial"/>
        </w:rPr>
        <w:t xml:space="preserve">. </w:t>
      </w:r>
      <w:r w:rsidR="009B082B">
        <w:rPr>
          <w:rFonts w:ascii="Arial" w:hAnsi="Arial" w:cs="Arial"/>
        </w:rPr>
        <w:t xml:space="preserve">The pixel fraction histogram to set the 1 nm threshold is obtained by dividing the total number of resonant pixels at a specific wavelength against the total number of </w:t>
      </w:r>
      <w:r w:rsidR="00CC4F01">
        <w:rPr>
          <w:rFonts w:ascii="Arial" w:hAnsi="Arial" w:cs="Arial"/>
        </w:rPr>
        <w:t>pixels</w:t>
      </w:r>
      <w:r w:rsidR="009B082B">
        <w:rPr>
          <w:rFonts w:ascii="Arial" w:hAnsi="Arial" w:cs="Arial"/>
        </w:rPr>
        <w:t xml:space="preserve"> in the region of interest. </w:t>
      </w:r>
      <w:r w:rsidRPr="007D3643">
        <w:rPr>
          <w:rFonts w:ascii="Arial" w:hAnsi="Arial" w:cs="Arial"/>
        </w:rPr>
        <w:t xml:space="preserve">We also </w:t>
      </w:r>
      <w:r>
        <w:rPr>
          <w:rFonts w:ascii="Arial" w:hAnsi="Arial" w:cs="Arial"/>
        </w:rPr>
        <w:t>incorporated</w:t>
      </w:r>
      <w:r w:rsidRPr="007D3643">
        <w:rPr>
          <w:rFonts w:ascii="Arial" w:hAnsi="Arial" w:cs="Arial"/>
        </w:rPr>
        <w:t xml:space="preserve"> a fluidic </w:t>
      </w:r>
      <w:r>
        <w:rPr>
          <w:rFonts w:ascii="Arial" w:hAnsi="Arial" w:cs="Arial"/>
        </w:rPr>
        <w:t>well</w:t>
      </w:r>
      <w:r w:rsidRPr="007D3643">
        <w:rPr>
          <w:rFonts w:ascii="Arial" w:hAnsi="Arial" w:cs="Arial"/>
        </w:rPr>
        <w:t xml:space="preserve"> </w:t>
      </w:r>
      <w:r>
        <w:rPr>
          <w:rFonts w:ascii="Arial" w:hAnsi="Arial" w:cs="Arial"/>
        </w:rPr>
        <w:t xml:space="preserve">for cell culturing </w:t>
      </w:r>
      <w:r w:rsidRPr="007D3643">
        <w:rPr>
          <w:rFonts w:ascii="Arial" w:hAnsi="Arial" w:cs="Arial"/>
        </w:rPr>
        <w:t>made</w:t>
      </w:r>
      <w:r>
        <w:rPr>
          <w:rFonts w:ascii="Arial" w:hAnsi="Arial" w:cs="Arial"/>
        </w:rPr>
        <w:t xml:space="preserve"> from</w:t>
      </w:r>
      <w:r w:rsidRPr="007D3643">
        <w:rPr>
          <w:rFonts w:ascii="Arial" w:hAnsi="Arial" w:cs="Arial"/>
        </w:rPr>
        <w:t xml:space="preserve"> </w:t>
      </w:r>
      <w:r>
        <w:rPr>
          <w:rFonts w:ascii="Arial" w:hAnsi="Arial" w:cs="Arial"/>
        </w:rPr>
        <w:t>acrylic</w:t>
      </w:r>
      <w:r w:rsidRPr="007D3643">
        <w:rPr>
          <w:rFonts w:ascii="Arial" w:hAnsi="Arial" w:cs="Arial"/>
        </w:rPr>
        <w:t>, which is attached to the sensor chip to all</w:t>
      </w:r>
      <w:r w:rsidR="00AA6553">
        <w:rPr>
          <w:rFonts w:ascii="Arial" w:hAnsi="Arial" w:cs="Arial"/>
        </w:rPr>
        <w:t>ow exposure to various analytes, while encapsulating the whole device setup inside an incubator set at 37°C.</w:t>
      </w:r>
    </w:p>
    <w:p w14:paraId="06001A42" w14:textId="77777777" w:rsidR="008B6A3A" w:rsidRDefault="008B6A3A" w:rsidP="00973D93">
      <w:pPr>
        <w:spacing w:line="480" w:lineRule="auto"/>
        <w:ind w:left="-709"/>
        <w:rPr>
          <w:rFonts w:ascii="Arial" w:hAnsi="Arial" w:cs="Arial"/>
          <w:b/>
        </w:rPr>
      </w:pPr>
    </w:p>
    <w:p w14:paraId="4CFBF838" w14:textId="77777777" w:rsidR="009403B2" w:rsidRDefault="00422BF5" w:rsidP="00973D93">
      <w:pPr>
        <w:spacing w:after="0" w:line="480" w:lineRule="auto"/>
        <w:ind w:left="-709"/>
        <w:rPr>
          <w:rFonts w:ascii="Arial" w:hAnsi="Arial" w:cs="Arial"/>
          <w:b/>
        </w:rPr>
      </w:pPr>
      <w:r>
        <w:rPr>
          <w:rFonts w:ascii="Arial" w:hAnsi="Arial" w:cs="Arial"/>
          <w:b/>
        </w:rPr>
        <w:t>Specific s</w:t>
      </w:r>
      <w:r w:rsidR="009403B2">
        <w:rPr>
          <w:rFonts w:ascii="Arial" w:hAnsi="Arial" w:cs="Arial"/>
          <w:b/>
        </w:rPr>
        <w:t xml:space="preserve">urface functionalisation towards </w:t>
      </w:r>
      <w:r w:rsidR="007F5C29">
        <w:rPr>
          <w:rFonts w:ascii="Arial" w:hAnsi="Arial" w:cs="Arial"/>
          <w:b/>
        </w:rPr>
        <w:t>TPO</w:t>
      </w:r>
      <w:r w:rsidR="001B3864">
        <w:rPr>
          <w:rFonts w:ascii="Arial" w:hAnsi="Arial" w:cs="Arial"/>
          <w:b/>
        </w:rPr>
        <w:t xml:space="preserve"> proteins</w:t>
      </w:r>
    </w:p>
    <w:p w14:paraId="796E568E" w14:textId="64B2B844" w:rsidR="00636975" w:rsidRDefault="008B6A3A" w:rsidP="00973D93">
      <w:pPr>
        <w:spacing w:after="0" w:line="360" w:lineRule="auto"/>
        <w:ind w:left="-709"/>
        <w:rPr>
          <w:rFonts w:ascii="Arial" w:hAnsi="Arial" w:cs="Arial"/>
        </w:rPr>
      </w:pPr>
      <w:r w:rsidRPr="008B6A3A">
        <w:rPr>
          <w:rFonts w:ascii="Arial" w:hAnsi="Arial" w:cs="Arial"/>
        </w:rPr>
        <w:t>Si</w:t>
      </w:r>
      <w:r w:rsidRPr="0034386C">
        <w:rPr>
          <w:rFonts w:ascii="Arial" w:hAnsi="Arial" w:cs="Arial"/>
          <w:vertAlign w:val="subscript"/>
        </w:rPr>
        <w:t>3</w:t>
      </w:r>
      <w:r w:rsidRPr="008B6A3A">
        <w:rPr>
          <w:rFonts w:ascii="Arial" w:hAnsi="Arial" w:cs="Arial"/>
        </w:rPr>
        <w:t>N</w:t>
      </w:r>
      <w:r w:rsidRPr="0034386C">
        <w:rPr>
          <w:rFonts w:ascii="Arial" w:hAnsi="Arial" w:cs="Arial"/>
          <w:vertAlign w:val="subscript"/>
        </w:rPr>
        <w:t>4</w:t>
      </w:r>
      <w:r w:rsidRPr="008B6A3A">
        <w:rPr>
          <w:rFonts w:ascii="Arial" w:hAnsi="Arial" w:cs="Arial"/>
        </w:rPr>
        <w:t xml:space="preserve"> </w:t>
      </w:r>
      <w:r>
        <w:rPr>
          <w:rFonts w:ascii="Arial" w:hAnsi="Arial" w:cs="Arial"/>
        </w:rPr>
        <w:t>sensor</w:t>
      </w:r>
      <w:r w:rsidR="009565F7">
        <w:rPr>
          <w:rFonts w:ascii="Arial" w:hAnsi="Arial" w:cs="Arial"/>
        </w:rPr>
        <w:t xml:space="preserve"> chips</w:t>
      </w:r>
      <w:r w:rsidRPr="008B6A3A">
        <w:rPr>
          <w:rFonts w:ascii="Arial" w:hAnsi="Arial" w:cs="Arial"/>
        </w:rPr>
        <w:t xml:space="preserve"> a</w:t>
      </w:r>
      <w:r w:rsidR="009565F7">
        <w:rPr>
          <w:rFonts w:ascii="Arial" w:hAnsi="Arial" w:cs="Arial"/>
        </w:rPr>
        <w:t>re carefully</w:t>
      </w:r>
      <w:r w:rsidRPr="008B6A3A">
        <w:rPr>
          <w:rFonts w:ascii="Arial" w:hAnsi="Arial" w:cs="Arial"/>
        </w:rPr>
        <w:t xml:space="preserve"> clean</w:t>
      </w:r>
      <w:r w:rsidR="009565F7">
        <w:rPr>
          <w:rFonts w:ascii="Arial" w:hAnsi="Arial" w:cs="Arial"/>
        </w:rPr>
        <w:t>ed</w:t>
      </w:r>
      <w:r w:rsidRPr="008B6A3A">
        <w:rPr>
          <w:rFonts w:ascii="Arial" w:hAnsi="Arial" w:cs="Arial"/>
        </w:rPr>
        <w:t xml:space="preserve"> prior to use</w:t>
      </w:r>
      <w:r w:rsidR="009565F7">
        <w:rPr>
          <w:rFonts w:ascii="Arial" w:hAnsi="Arial" w:cs="Arial"/>
        </w:rPr>
        <w:t>, consisting of</w:t>
      </w:r>
      <w:r w:rsidRPr="008B6A3A">
        <w:rPr>
          <w:rFonts w:ascii="Arial" w:hAnsi="Arial" w:cs="Arial"/>
        </w:rPr>
        <w:t xml:space="preserve"> a 10 min cleaning step in an ultraviolet−ozone cleaner.</w:t>
      </w:r>
      <w:r w:rsidR="009565F7">
        <w:rPr>
          <w:rFonts w:ascii="Arial" w:hAnsi="Arial" w:cs="Arial"/>
        </w:rPr>
        <w:t>, followed by</w:t>
      </w:r>
      <w:r w:rsidRPr="008B6A3A">
        <w:rPr>
          <w:rFonts w:ascii="Arial" w:hAnsi="Arial" w:cs="Arial"/>
        </w:rPr>
        <w:t xml:space="preserve"> </w:t>
      </w:r>
      <w:r w:rsidR="009565F7">
        <w:rPr>
          <w:rFonts w:ascii="Arial" w:hAnsi="Arial" w:cs="Arial"/>
        </w:rPr>
        <w:t xml:space="preserve">placing in </w:t>
      </w:r>
      <w:r w:rsidRPr="008B6A3A">
        <w:rPr>
          <w:rFonts w:ascii="Arial" w:hAnsi="Arial" w:cs="Arial"/>
        </w:rPr>
        <w:t xml:space="preserve">solutions of </w:t>
      </w:r>
      <w:proofErr w:type="spellStart"/>
      <w:r w:rsidRPr="008B6A3A">
        <w:rPr>
          <w:rFonts w:ascii="Arial" w:hAnsi="Arial" w:cs="Arial"/>
        </w:rPr>
        <w:t>Hellmanex</w:t>
      </w:r>
      <w:proofErr w:type="spellEnd"/>
      <w:r w:rsidRPr="008B6A3A">
        <w:rPr>
          <w:rFonts w:ascii="Arial" w:hAnsi="Arial" w:cs="Arial"/>
        </w:rPr>
        <w:t xml:space="preserve"> III (2%) and ultrapure Milli-Q water (twice) and sonicat</w:t>
      </w:r>
      <w:r w:rsidR="009565F7">
        <w:rPr>
          <w:rFonts w:ascii="Arial" w:hAnsi="Arial" w:cs="Arial"/>
        </w:rPr>
        <w:t>ion</w:t>
      </w:r>
      <w:r w:rsidRPr="008B6A3A">
        <w:rPr>
          <w:rFonts w:ascii="Arial" w:hAnsi="Arial" w:cs="Arial"/>
        </w:rPr>
        <w:t xml:space="preserve"> in each bath for 10 min. The sensors </w:t>
      </w:r>
      <w:r w:rsidR="00270719">
        <w:rPr>
          <w:rFonts w:ascii="Arial" w:hAnsi="Arial" w:cs="Arial"/>
        </w:rPr>
        <w:t>a</w:t>
      </w:r>
      <w:r w:rsidR="00270719" w:rsidRPr="008B6A3A">
        <w:rPr>
          <w:rFonts w:ascii="Arial" w:hAnsi="Arial" w:cs="Arial"/>
        </w:rPr>
        <w:t xml:space="preserve">re </w:t>
      </w:r>
      <w:r w:rsidRPr="008B6A3A">
        <w:rPr>
          <w:rFonts w:ascii="Arial" w:hAnsi="Arial" w:cs="Arial"/>
        </w:rPr>
        <w:t>then dried with N</w:t>
      </w:r>
      <w:r w:rsidRPr="008B6A3A">
        <w:rPr>
          <w:rFonts w:ascii="Arial" w:hAnsi="Arial" w:cs="Arial"/>
          <w:vertAlign w:val="subscript"/>
        </w:rPr>
        <w:t>2</w:t>
      </w:r>
      <w:r w:rsidRPr="008B6A3A">
        <w:rPr>
          <w:rFonts w:ascii="Arial" w:hAnsi="Arial" w:cs="Arial"/>
        </w:rPr>
        <w:t xml:space="preserve"> gas and returned to the ultraviolet−ozone cleaner for 30 min</w:t>
      </w:r>
      <w:r w:rsidR="00F146DA">
        <w:rPr>
          <w:rFonts w:ascii="Arial" w:hAnsi="Arial" w:cs="Arial"/>
        </w:rPr>
        <w:t>, following an</w:t>
      </w:r>
      <w:r w:rsidR="00F146DA" w:rsidRPr="00F146DA">
        <w:rPr>
          <w:rFonts w:ascii="Arial" w:hAnsi="Arial" w:cs="Arial"/>
        </w:rPr>
        <w:t xml:space="preserve"> </w:t>
      </w:r>
      <w:r w:rsidR="00F146DA">
        <w:rPr>
          <w:rFonts w:ascii="Arial" w:hAnsi="Arial" w:cs="Arial"/>
        </w:rPr>
        <w:t>exposure</w:t>
      </w:r>
      <w:r w:rsidR="00F146DA" w:rsidRPr="00F146DA">
        <w:rPr>
          <w:rFonts w:ascii="Arial" w:hAnsi="Arial" w:cs="Arial"/>
        </w:rPr>
        <w:t xml:space="preserve"> to 15% nitric acid solution</w:t>
      </w:r>
      <w:r w:rsidR="00F146DA">
        <w:rPr>
          <w:rFonts w:ascii="Arial" w:hAnsi="Arial" w:cs="Arial"/>
        </w:rPr>
        <w:t xml:space="preserve"> </w:t>
      </w:r>
      <w:r w:rsidR="00006054">
        <w:rPr>
          <w:rFonts w:ascii="Arial" w:hAnsi="Arial" w:cs="Arial"/>
        </w:rPr>
        <w:t>to reveal</w:t>
      </w:r>
      <w:r w:rsidR="006D6C51" w:rsidRPr="006D6C51">
        <w:rPr>
          <w:rFonts w:ascii="Arial" w:hAnsi="Arial" w:cs="Arial"/>
        </w:rPr>
        <w:t xml:space="preserve"> the oxide groups on the Si</w:t>
      </w:r>
      <w:r w:rsidR="006D6C51" w:rsidRPr="006D6C51">
        <w:rPr>
          <w:rFonts w:ascii="Arial" w:hAnsi="Arial" w:cs="Arial"/>
          <w:vertAlign w:val="subscript"/>
        </w:rPr>
        <w:t>3</w:t>
      </w:r>
      <w:r w:rsidR="006D6C51" w:rsidRPr="006D6C51">
        <w:rPr>
          <w:rFonts w:ascii="Arial" w:hAnsi="Arial" w:cs="Arial"/>
        </w:rPr>
        <w:t>N</w:t>
      </w:r>
      <w:r w:rsidR="006D6C51" w:rsidRPr="006D6C51">
        <w:rPr>
          <w:rFonts w:ascii="Arial" w:hAnsi="Arial" w:cs="Arial"/>
          <w:vertAlign w:val="subscript"/>
        </w:rPr>
        <w:t>4</w:t>
      </w:r>
      <w:r w:rsidR="006D6C51" w:rsidRPr="006D6C51">
        <w:rPr>
          <w:rFonts w:ascii="Arial" w:hAnsi="Arial" w:cs="Arial"/>
        </w:rPr>
        <w:t> surface</w:t>
      </w:r>
      <w:r w:rsidRPr="008B6A3A">
        <w:rPr>
          <w:rFonts w:ascii="Arial" w:hAnsi="Arial" w:cs="Arial"/>
        </w:rPr>
        <w:t xml:space="preserve">. Finally, the </w:t>
      </w:r>
      <w:r w:rsidR="00F146DA">
        <w:rPr>
          <w:rFonts w:ascii="Arial" w:hAnsi="Arial" w:cs="Arial"/>
        </w:rPr>
        <w:t>c</w:t>
      </w:r>
      <w:r w:rsidR="00F146DA" w:rsidRPr="006D6C51">
        <w:rPr>
          <w:rFonts w:ascii="Arial" w:hAnsi="Arial" w:cs="Arial"/>
        </w:rPr>
        <w:t xml:space="preserve">lean and hydroxyl-activated </w:t>
      </w:r>
      <w:r w:rsidRPr="008B6A3A">
        <w:rPr>
          <w:rFonts w:ascii="Arial" w:hAnsi="Arial" w:cs="Arial"/>
        </w:rPr>
        <w:t xml:space="preserve">sensors </w:t>
      </w:r>
      <w:r w:rsidR="00270719">
        <w:rPr>
          <w:rFonts w:ascii="Arial" w:hAnsi="Arial" w:cs="Arial"/>
        </w:rPr>
        <w:t>a</w:t>
      </w:r>
      <w:r w:rsidR="00270719" w:rsidRPr="008B6A3A">
        <w:rPr>
          <w:rFonts w:ascii="Arial" w:hAnsi="Arial" w:cs="Arial"/>
        </w:rPr>
        <w:t xml:space="preserve">re </w:t>
      </w:r>
      <w:r w:rsidR="006D6C51" w:rsidRPr="006D6C51">
        <w:rPr>
          <w:rFonts w:ascii="Arial" w:hAnsi="Arial" w:cs="Arial"/>
        </w:rPr>
        <w:t xml:space="preserve">immediately transferred in a </w:t>
      </w:r>
      <w:r w:rsidR="00F146DA">
        <w:rPr>
          <w:rFonts w:ascii="Arial" w:hAnsi="Arial" w:cs="Arial"/>
        </w:rPr>
        <w:t xml:space="preserve">3 </w:t>
      </w:r>
      <w:r w:rsidR="006D6C51" w:rsidRPr="006D6C51">
        <w:rPr>
          <w:rFonts w:ascii="Arial" w:hAnsi="Arial" w:cs="Arial"/>
        </w:rPr>
        <w:t xml:space="preserve">% v/v </w:t>
      </w:r>
      <w:proofErr w:type="spellStart"/>
      <w:r w:rsidR="00F146DA" w:rsidRPr="00F146DA">
        <w:rPr>
          <w:rFonts w:ascii="Arial" w:hAnsi="Arial" w:cs="Arial"/>
        </w:rPr>
        <w:t>aminopropyltriethoxy</w:t>
      </w:r>
      <w:proofErr w:type="spellEnd"/>
      <w:r w:rsidR="00F146DA" w:rsidRPr="00F146DA">
        <w:rPr>
          <w:rFonts w:ascii="Arial" w:hAnsi="Arial" w:cs="Arial"/>
        </w:rPr>
        <w:t xml:space="preserve"> silane (APTES) </w:t>
      </w:r>
      <w:r w:rsidR="006D6C51" w:rsidRPr="006D6C51">
        <w:rPr>
          <w:rFonts w:ascii="Arial" w:hAnsi="Arial" w:cs="Arial"/>
        </w:rPr>
        <w:t xml:space="preserve">solution </w:t>
      </w:r>
      <w:r w:rsidR="0034386C">
        <w:rPr>
          <w:rFonts w:ascii="Arial" w:hAnsi="Arial" w:cs="Arial"/>
        </w:rPr>
        <w:t>in ethanol and left overnight.</w:t>
      </w:r>
      <w:r w:rsidR="0034386C" w:rsidRPr="0034386C">
        <w:t xml:space="preserve"> </w:t>
      </w:r>
      <w:r w:rsidR="0034386C" w:rsidRPr="0034386C">
        <w:rPr>
          <w:rFonts w:ascii="Arial" w:hAnsi="Arial" w:cs="Arial"/>
        </w:rPr>
        <w:t xml:space="preserve">Finally, </w:t>
      </w:r>
      <w:r w:rsidR="0034386C">
        <w:rPr>
          <w:rFonts w:ascii="Arial" w:hAnsi="Arial" w:cs="Arial"/>
        </w:rPr>
        <w:t xml:space="preserve">the </w:t>
      </w:r>
      <w:r w:rsidR="009565F7">
        <w:rPr>
          <w:rFonts w:ascii="Arial" w:hAnsi="Arial" w:cs="Arial"/>
        </w:rPr>
        <w:t>chips are</w:t>
      </w:r>
      <w:r w:rsidR="0034386C">
        <w:rPr>
          <w:rFonts w:ascii="Arial" w:hAnsi="Arial" w:cs="Arial"/>
        </w:rPr>
        <w:t xml:space="preserve"> </w:t>
      </w:r>
      <w:r w:rsidR="0034386C" w:rsidRPr="008B6A3A">
        <w:rPr>
          <w:rFonts w:ascii="Arial" w:hAnsi="Arial" w:cs="Arial"/>
        </w:rPr>
        <w:t>dried with N</w:t>
      </w:r>
      <w:r w:rsidR="0034386C" w:rsidRPr="008B6A3A">
        <w:rPr>
          <w:rFonts w:ascii="Arial" w:hAnsi="Arial" w:cs="Arial"/>
          <w:vertAlign w:val="subscript"/>
        </w:rPr>
        <w:t>2</w:t>
      </w:r>
      <w:r w:rsidR="0034386C" w:rsidRPr="008B6A3A">
        <w:rPr>
          <w:rFonts w:ascii="Arial" w:hAnsi="Arial" w:cs="Arial"/>
        </w:rPr>
        <w:t xml:space="preserve"> gas </w:t>
      </w:r>
      <w:r w:rsidR="0034386C">
        <w:rPr>
          <w:rFonts w:ascii="Arial" w:hAnsi="Arial" w:cs="Arial"/>
        </w:rPr>
        <w:t xml:space="preserve">and </w:t>
      </w:r>
      <w:r w:rsidR="0034386C" w:rsidRPr="0034386C">
        <w:rPr>
          <w:rFonts w:ascii="Arial" w:hAnsi="Arial" w:cs="Arial"/>
        </w:rPr>
        <w:t xml:space="preserve">a curing step </w:t>
      </w:r>
      <w:r w:rsidR="009565F7">
        <w:rPr>
          <w:rFonts w:ascii="Arial" w:hAnsi="Arial" w:cs="Arial"/>
        </w:rPr>
        <w:t>i</w:t>
      </w:r>
      <w:r w:rsidR="009565F7" w:rsidRPr="0034386C">
        <w:rPr>
          <w:rFonts w:ascii="Arial" w:hAnsi="Arial" w:cs="Arial"/>
        </w:rPr>
        <w:t xml:space="preserve">s </w:t>
      </w:r>
      <w:r w:rsidR="0034386C" w:rsidRPr="0034386C">
        <w:rPr>
          <w:rFonts w:ascii="Arial" w:hAnsi="Arial" w:cs="Arial"/>
        </w:rPr>
        <w:t>performed at 110 °C for 1 hour</w:t>
      </w:r>
      <w:r w:rsidR="0034386C">
        <w:rPr>
          <w:rFonts w:ascii="Arial" w:hAnsi="Arial" w:cs="Arial"/>
        </w:rPr>
        <w:t>.</w:t>
      </w:r>
      <w:r w:rsidR="00270719">
        <w:rPr>
          <w:rFonts w:ascii="Arial" w:hAnsi="Arial" w:cs="Arial"/>
        </w:rPr>
        <w:t>,</w:t>
      </w:r>
      <w:r w:rsidR="00CD0D2B">
        <w:rPr>
          <w:rFonts w:ascii="Arial" w:hAnsi="Arial" w:cs="Arial"/>
        </w:rPr>
        <w:t xml:space="preserve"> then loaded in the acrylic mount </w:t>
      </w:r>
      <w:r w:rsidR="00A429C4">
        <w:rPr>
          <w:rFonts w:ascii="Arial" w:hAnsi="Arial" w:cs="Arial"/>
        </w:rPr>
        <w:t xml:space="preserve">of the measuring setup (temperature controlled at 37°C) </w:t>
      </w:r>
      <w:r w:rsidR="00CD0D2B">
        <w:rPr>
          <w:rFonts w:ascii="Arial" w:hAnsi="Arial" w:cs="Arial"/>
        </w:rPr>
        <w:t xml:space="preserve">and </w:t>
      </w:r>
      <w:r w:rsidR="00270719">
        <w:rPr>
          <w:rFonts w:ascii="Arial" w:hAnsi="Arial" w:cs="Arial"/>
        </w:rPr>
        <w:t xml:space="preserve">injection of </w:t>
      </w:r>
      <w:r w:rsidR="00A429C4" w:rsidRPr="008B6A3A">
        <w:rPr>
          <w:rFonts w:ascii="Arial" w:hAnsi="Arial" w:cs="Arial"/>
        </w:rPr>
        <w:t>Milli-Q water</w:t>
      </w:r>
      <w:r w:rsidR="00A429C4">
        <w:rPr>
          <w:rFonts w:ascii="Arial" w:hAnsi="Arial" w:cs="Arial"/>
        </w:rPr>
        <w:t xml:space="preserve"> (see Supplementary Information). O</w:t>
      </w:r>
      <w:r w:rsidR="00A429C4" w:rsidRPr="00A429C4">
        <w:rPr>
          <w:rFonts w:ascii="Arial" w:hAnsi="Arial" w:cs="Arial"/>
        </w:rPr>
        <w:t>xidized 2%</w:t>
      </w:r>
      <w:r w:rsidR="00840851">
        <w:rPr>
          <w:rFonts w:ascii="Arial" w:hAnsi="Arial" w:cs="Arial"/>
        </w:rPr>
        <w:t xml:space="preserve"> (20 mg/mL)</w:t>
      </w:r>
      <w:r w:rsidR="00A429C4" w:rsidRPr="00A429C4">
        <w:rPr>
          <w:rFonts w:ascii="Arial" w:hAnsi="Arial" w:cs="Arial"/>
        </w:rPr>
        <w:t xml:space="preserve"> dextran</w:t>
      </w:r>
      <w:r w:rsidR="00A429C4">
        <w:rPr>
          <w:rFonts w:ascii="Arial" w:hAnsi="Arial" w:cs="Arial"/>
        </w:rPr>
        <w:t xml:space="preserve"> </w:t>
      </w:r>
      <w:r w:rsidR="00A429C4" w:rsidRPr="00A429C4">
        <w:rPr>
          <w:rFonts w:ascii="Arial" w:hAnsi="Arial" w:cs="Arial"/>
        </w:rPr>
        <w:t xml:space="preserve">solution (Dextran T40 (40 </w:t>
      </w:r>
      <w:proofErr w:type="spellStart"/>
      <w:r w:rsidR="00A429C4" w:rsidRPr="00A429C4">
        <w:rPr>
          <w:rFonts w:ascii="Arial" w:hAnsi="Arial" w:cs="Arial"/>
        </w:rPr>
        <w:t>kDa</w:t>
      </w:r>
      <w:proofErr w:type="spellEnd"/>
      <w:r w:rsidR="00A429C4" w:rsidRPr="00A429C4">
        <w:rPr>
          <w:rFonts w:ascii="Arial" w:hAnsi="Arial" w:cs="Arial"/>
        </w:rPr>
        <w:t>), 30 mM NaIO</w:t>
      </w:r>
      <w:r w:rsidR="00A429C4" w:rsidRPr="00A429C4">
        <w:rPr>
          <w:rFonts w:ascii="Arial" w:hAnsi="Arial" w:cs="Arial"/>
          <w:vertAlign w:val="subscript"/>
        </w:rPr>
        <w:t>4</w:t>
      </w:r>
      <w:r w:rsidR="00A429C4" w:rsidRPr="00A429C4">
        <w:rPr>
          <w:rFonts w:ascii="Arial" w:hAnsi="Arial" w:cs="Arial"/>
        </w:rPr>
        <w:t>, Sigma Aldrich</w:t>
      </w:r>
      <w:r w:rsidR="00A429C4">
        <w:rPr>
          <w:rFonts w:ascii="Arial" w:hAnsi="Arial" w:cs="Arial"/>
        </w:rPr>
        <w:t>)</w:t>
      </w:r>
      <w:r w:rsidR="00A429C4" w:rsidRPr="00A429C4">
        <w:rPr>
          <w:rFonts w:ascii="Arial" w:hAnsi="Arial" w:cs="Arial"/>
        </w:rPr>
        <w:t xml:space="preserve"> </w:t>
      </w:r>
      <w:r w:rsidR="00270719">
        <w:rPr>
          <w:rFonts w:ascii="Arial" w:hAnsi="Arial" w:cs="Arial"/>
        </w:rPr>
        <w:t>i</w:t>
      </w:r>
      <w:r w:rsidR="00A429C4">
        <w:rPr>
          <w:rFonts w:ascii="Arial" w:hAnsi="Arial" w:cs="Arial"/>
        </w:rPr>
        <w:t xml:space="preserve">s </w:t>
      </w:r>
      <w:r w:rsidR="00A429C4" w:rsidRPr="00A429C4">
        <w:rPr>
          <w:rFonts w:ascii="Arial" w:hAnsi="Arial" w:cs="Arial"/>
        </w:rPr>
        <w:t xml:space="preserve">sequentially </w:t>
      </w:r>
      <w:r w:rsidR="00A429C4">
        <w:rPr>
          <w:rFonts w:ascii="Arial" w:hAnsi="Arial" w:cs="Arial"/>
        </w:rPr>
        <w:t>injected</w:t>
      </w:r>
      <w:r w:rsidR="00A429C4" w:rsidRPr="00A429C4">
        <w:rPr>
          <w:rFonts w:ascii="Arial" w:hAnsi="Arial" w:cs="Arial"/>
        </w:rPr>
        <w:t xml:space="preserve"> an</w:t>
      </w:r>
      <w:r w:rsidR="00A429C4">
        <w:rPr>
          <w:rFonts w:ascii="Arial" w:hAnsi="Arial" w:cs="Arial"/>
        </w:rPr>
        <w:t>d left</w:t>
      </w:r>
      <w:r w:rsidR="00A429C4" w:rsidRPr="00A429C4">
        <w:rPr>
          <w:rFonts w:ascii="Arial" w:hAnsi="Arial" w:cs="Arial"/>
        </w:rPr>
        <w:t xml:space="preserve"> for </w:t>
      </w:r>
      <w:r w:rsidR="00A429C4">
        <w:rPr>
          <w:rFonts w:ascii="Arial" w:hAnsi="Arial" w:cs="Arial"/>
        </w:rPr>
        <w:t>90 min</w:t>
      </w:r>
      <w:r w:rsidR="00A429C4">
        <w:rPr>
          <w:rFonts w:ascii="Arial" w:hAnsi="Arial" w:cs="Arial"/>
        </w:rPr>
        <w:fldChar w:fldCharType="begin" w:fldLock="1"/>
      </w:r>
      <w:r w:rsidR="00AB0567">
        <w:rPr>
          <w:rFonts w:ascii="Arial" w:hAnsi="Arial" w:cs="Arial"/>
        </w:rPr>
        <w:instrText>ADDIN CSL_CITATION { "citationItems" : [ { "id" : "ITEM-1", "itemData" : { "DOI" : "10.1039/b800297e", "ISBN" : "1473-0197", "ISSN" : "1473-0197", "PMID" : "18584097", "abstract" : "The prognosis for patients suffering from cardiovascular and many other diseases can be substantially improved if diagnosed at an early stage. High performance diagnostic testing using disposable microfluidic chips can provide a platform for realizing this vision. Amic AB (Uppsala, Sweden) has developed a new microfluidic test chip for sandwich immunoassays fabricated by injection molding of the cycloolefin-copolymer Zeonor. A highly ordered array of micropillars within the fluidic chip distributes the sample solution by capillary action. Since wetting of the pillar array surface is the only driving force for liquid distribution precise control of the surface chemistry is crucial. In this work we demonstrate a novel protocol for surface hydrophilization and antibody immobilization on cycloolefin-copolymer test chips, based on direct silanisation of the thermoplastic substrate. Dextran is subsequently covalently coupled to amino groups, thus providing a coating with a low contact angle suitable for antibody immobilization. The contact angle of dextran coated chips is stable for at least two months, which enables production of large batches that can be stored for extended periods of time. We demonstrate the utility of the presented platform and surface chemistry in a C-reactive protein assay with a detection limit of 2.6 ng ml(-1), a dynamic range of 10(2) and a coefficient of variance of 15%.", "author" : [ { "dropping-particle" : "", "family" : "J\u00f6nsson", "given" : "Christina", "non-dropping-particle" : "", "parse-names" : false, "suffix" : "" }, { "dropping-particle" : "", "family" : "Aronsson", "given" : "Magnus", "non-dropping-particle" : "", "parse-names" : false, "suffix" : "" }, { "dropping-particle" : "", "family" : "Rundstr\u00f6m", "given" : "Gerd", "non-dropping-particle" : "", "parse-names" : false, "suffix" : "" }, { "dropping-particle" : "", "family" : "Pettersson", "given" : "Christer", "non-dropping-particle" : "", "parse-names" : false, "suffix" : "" }, { "dropping-particle" : "", "family" : "Mendel-Hartvig", "given" : "Ib", "non-dropping-particle" : "", "parse-names" : false, "suffix" : "" }, { "dropping-particle" : "", "family" : "Bakker", "given" : "Jimmy", "non-dropping-particle" : "", "parse-names" : false, "suffix" : "" }, { "dropping-particle" : "", "family" : "Martinsson", "given" : "Erik", "non-dropping-particle" : "", "parse-names" : false, "suffix" : "" }, { "dropping-particle" : "", "family" : "Liedberg", "given" : "Bo", "non-dropping-particle" : "", "parse-names" : false, "suffix" : "" }, { "dropping-particle" : "", "family" : "MacCraith", "given" : "Brian", "non-dropping-particle" : "", "parse-names" : false, "suffix" : "" }, { "dropping-particle" : "", "family" : "Ohman", "given" : "Ove", "non-dropping-particle" : "", "parse-names" : false, "suffix" : "" }, { "dropping-particle" : "", "family" : "Melin", "given" : "Jonas", "non-dropping-particle" : "", "parse-names" : false, "suffix" : "" } ], "container-title" : "Lab on a chip", "id" : "ITEM-1", "issue" : "7", "issued" : { "date-parts" : [ [ "2008" ] ] }, "page" : "1191-7", "title" : "Silane-dextran chemistry on lateral flow polymer chips for immunoassays.", "type" : "article-journal", "volume" : "8" }, "uris" : [ "http://www.mendeley.com/documents/?uuid=9848a8c1-706c-42a2-9215-51cf9fea930e" ] } ], "mendeley" : { "formattedCitation" : "(17)", "plainTextFormattedCitation" : "(17)", "previouslyFormattedCitation" : "&lt;sup&gt;17&lt;/sup&gt;" }, "properties" : { "noteIndex" : 0 }, "schema" : "https://github.com/citation-style-language/schema/raw/master/csl-citation.json" }</w:instrText>
      </w:r>
      <w:r w:rsidR="00A429C4">
        <w:rPr>
          <w:rFonts w:ascii="Arial" w:hAnsi="Arial" w:cs="Arial"/>
        </w:rPr>
        <w:fldChar w:fldCharType="separate"/>
      </w:r>
      <w:r w:rsidR="00AB0567" w:rsidRPr="00AB0567">
        <w:rPr>
          <w:rFonts w:ascii="Arial" w:hAnsi="Arial" w:cs="Arial"/>
          <w:noProof/>
        </w:rPr>
        <w:t>(17)</w:t>
      </w:r>
      <w:r w:rsidR="00A429C4">
        <w:rPr>
          <w:rFonts w:ascii="Arial" w:hAnsi="Arial" w:cs="Arial"/>
        </w:rPr>
        <w:fldChar w:fldCharType="end"/>
      </w:r>
      <w:r w:rsidR="006316C3">
        <w:rPr>
          <w:rFonts w:ascii="Arial" w:hAnsi="Arial" w:cs="Arial"/>
        </w:rPr>
        <w:t>, rinsed in</w:t>
      </w:r>
      <w:r w:rsidR="00A429C4" w:rsidRPr="00A429C4">
        <w:rPr>
          <w:rFonts w:ascii="Arial" w:hAnsi="Arial" w:cs="Arial"/>
        </w:rPr>
        <w:t xml:space="preserve"> </w:t>
      </w:r>
      <w:r w:rsidR="006316C3" w:rsidRPr="008B6A3A">
        <w:rPr>
          <w:rFonts w:ascii="Arial" w:hAnsi="Arial" w:cs="Arial"/>
        </w:rPr>
        <w:t>Milli-Q water</w:t>
      </w:r>
      <w:r w:rsidR="000B79C9">
        <w:rPr>
          <w:rFonts w:ascii="Arial" w:hAnsi="Arial" w:cs="Arial"/>
        </w:rPr>
        <w:t>,</w:t>
      </w:r>
      <w:r w:rsidR="00A429C4" w:rsidRPr="00A429C4">
        <w:rPr>
          <w:rFonts w:ascii="Arial" w:hAnsi="Arial" w:cs="Arial"/>
        </w:rPr>
        <w:t xml:space="preserve"> further oxidized in 30 mM </w:t>
      </w:r>
      <w:r w:rsidR="006316C3" w:rsidRPr="00A429C4">
        <w:rPr>
          <w:rFonts w:ascii="Arial" w:hAnsi="Arial" w:cs="Arial"/>
        </w:rPr>
        <w:t>NaIO</w:t>
      </w:r>
      <w:r w:rsidR="006316C3" w:rsidRPr="00A429C4">
        <w:rPr>
          <w:rFonts w:ascii="Arial" w:hAnsi="Arial" w:cs="Arial"/>
          <w:vertAlign w:val="subscript"/>
        </w:rPr>
        <w:t>4</w:t>
      </w:r>
      <w:r w:rsidR="00A429C4" w:rsidRPr="00A429C4">
        <w:rPr>
          <w:rFonts w:ascii="Arial" w:hAnsi="Arial" w:cs="Arial"/>
        </w:rPr>
        <w:t xml:space="preserve"> for </w:t>
      </w:r>
      <w:r w:rsidR="006316C3">
        <w:rPr>
          <w:rFonts w:ascii="Arial" w:hAnsi="Arial" w:cs="Arial"/>
        </w:rPr>
        <w:t>90 min</w:t>
      </w:r>
      <w:r w:rsidR="00A429C4" w:rsidRPr="00A429C4">
        <w:rPr>
          <w:rFonts w:ascii="Arial" w:hAnsi="Arial" w:cs="Arial"/>
        </w:rPr>
        <w:t xml:space="preserve"> and rinsed again</w:t>
      </w:r>
      <w:r w:rsidR="00792CA6">
        <w:rPr>
          <w:rFonts w:ascii="Arial" w:hAnsi="Arial" w:cs="Arial"/>
        </w:rPr>
        <w:t xml:space="preserve"> </w:t>
      </w:r>
      <w:r w:rsidR="00A429C4" w:rsidRPr="00A429C4">
        <w:rPr>
          <w:rFonts w:ascii="Arial" w:hAnsi="Arial" w:cs="Arial"/>
        </w:rPr>
        <w:t xml:space="preserve">in </w:t>
      </w:r>
      <w:r w:rsidR="00792CA6" w:rsidRPr="008B6A3A">
        <w:rPr>
          <w:rFonts w:ascii="Arial" w:hAnsi="Arial" w:cs="Arial"/>
        </w:rPr>
        <w:t>Milli-Q water</w:t>
      </w:r>
      <w:r w:rsidR="00792CA6">
        <w:rPr>
          <w:rFonts w:ascii="Arial" w:hAnsi="Arial" w:cs="Arial"/>
        </w:rPr>
        <w:t xml:space="preserve"> (see Supplementary Information)</w:t>
      </w:r>
      <w:r w:rsidR="00A429C4" w:rsidRPr="00A429C4">
        <w:rPr>
          <w:rFonts w:ascii="Arial" w:hAnsi="Arial" w:cs="Arial"/>
        </w:rPr>
        <w:t>.</w:t>
      </w:r>
      <w:r w:rsidR="000B79C9">
        <w:rPr>
          <w:rFonts w:ascii="Arial" w:hAnsi="Arial" w:cs="Arial"/>
        </w:rPr>
        <w:t xml:space="preserve"> </w:t>
      </w:r>
      <w:r w:rsidR="0036774D">
        <w:rPr>
          <w:rFonts w:ascii="Arial" w:hAnsi="Arial" w:cs="Arial"/>
        </w:rPr>
        <w:t xml:space="preserve">The surface </w:t>
      </w:r>
      <w:r w:rsidR="00270719">
        <w:rPr>
          <w:rFonts w:ascii="Arial" w:hAnsi="Arial" w:cs="Arial"/>
        </w:rPr>
        <w:t>i</w:t>
      </w:r>
      <w:r w:rsidR="0036774D">
        <w:rPr>
          <w:rFonts w:ascii="Arial" w:hAnsi="Arial" w:cs="Arial"/>
        </w:rPr>
        <w:t>s then rinsed in p</w:t>
      </w:r>
      <w:r w:rsidR="000B79C9" w:rsidRPr="000B79C9">
        <w:rPr>
          <w:rFonts w:ascii="Arial" w:hAnsi="Arial" w:cs="Arial"/>
        </w:rPr>
        <w:t>hosphate-buffered saline</w:t>
      </w:r>
      <w:r w:rsidR="000B79C9">
        <w:rPr>
          <w:rFonts w:ascii="Arial" w:hAnsi="Arial" w:cs="Arial"/>
        </w:rPr>
        <w:t xml:space="preserve"> (PBS, pH 7.4) </w:t>
      </w:r>
      <w:r w:rsidR="0036774D">
        <w:rPr>
          <w:rFonts w:ascii="Arial" w:hAnsi="Arial" w:cs="Arial"/>
        </w:rPr>
        <w:t xml:space="preserve">and </w:t>
      </w:r>
      <w:proofErr w:type="gramStart"/>
      <w:r w:rsidR="0036774D" w:rsidRPr="0036774D">
        <w:rPr>
          <w:rFonts w:ascii="Arial" w:hAnsi="Arial" w:cs="Arial"/>
        </w:rPr>
        <w:t>E.coli</w:t>
      </w:r>
      <w:proofErr w:type="gramEnd"/>
      <w:r w:rsidR="0036774D" w:rsidRPr="0036774D">
        <w:rPr>
          <w:rFonts w:ascii="Arial" w:hAnsi="Arial" w:cs="Arial"/>
        </w:rPr>
        <w:t xml:space="preserve"> derived </w:t>
      </w:r>
      <w:r w:rsidR="0036774D">
        <w:rPr>
          <w:rFonts w:ascii="Arial" w:hAnsi="Arial" w:cs="Arial"/>
        </w:rPr>
        <w:t>a</w:t>
      </w:r>
      <w:r w:rsidR="0036774D" w:rsidRPr="0036774D">
        <w:rPr>
          <w:rFonts w:ascii="Arial" w:hAnsi="Arial" w:cs="Arial"/>
        </w:rPr>
        <w:t>nimal-</w:t>
      </w:r>
      <w:r w:rsidR="0036774D">
        <w:rPr>
          <w:rFonts w:ascii="Arial" w:hAnsi="Arial" w:cs="Arial"/>
        </w:rPr>
        <w:t>f</w:t>
      </w:r>
      <w:r w:rsidR="0036774D" w:rsidRPr="0036774D">
        <w:rPr>
          <w:rFonts w:ascii="Arial" w:hAnsi="Arial" w:cs="Arial"/>
        </w:rPr>
        <w:t xml:space="preserve">ree </w:t>
      </w:r>
      <w:r w:rsidR="0036774D">
        <w:rPr>
          <w:rFonts w:ascii="Arial" w:hAnsi="Arial" w:cs="Arial"/>
        </w:rPr>
        <w:t>r</w:t>
      </w:r>
      <w:r w:rsidR="0036774D" w:rsidRPr="0036774D">
        <w:rPr>
          <w:rFonts w:ascii="Arial" w:hAnsi="Arial" w:cs="Arial"/>
        </w:rPr>
        <w:t xml:space="preserve">ecombinant </w:t>
      </w:r>
      <w:r w:rsidR="0036774D">
        <w:rPr>
          <w:rFonts w:ascii="Arial" w:hAnsi="Arial" w:cs="Arial"/>
        </w:rPr>
        <w:t>h</w:t>
      </w:r>
      <w:r w:rsidR="0036774D" w:rsidRPr="0036774D">
        <w:rPr>
          <w:rFonts w:ascii="Arial" w:hAnsi="Arial" w:cs="Arial"/>
        </w:rPr>
        <w:t>uman TPO (</w:t>
      </w:r>
      <w:proofErr w:type="spellStart"/>
      <w:r w:rsidR="0036774D" w:rsidRPr="0036774D">
        <w:rPr>
          <w:rFonts w:ascii="Arial" w:hAnsi="Arial" w:cs="Arial"/>
        </w:rPr>
        <w:t>PeproTech</w:t>
      </w:r>
      <w:proofErr w:type="spellEnd"/>
      <w:r w:rsidR="0036774D">
        <w:rPr>
          <w:rFonts w:ascii="Arial" w:hAnsi="Arial" w:cs="Arial"/>
        </w:rPr>
        <w:t>) antibodies</w:t>
      </w:r>
      <w:r w:rsidR="0036774D" w:rsidRPr="0036774D">
        <w:rPr>
          <w:rFonts w:ascii="Arial" w:hAnsi="Arial" w:cs="Arial"/>
        </w:rPr>
        <w:t xml:space="preserve"> </w:t>
      </w:r>
      <w:r w:rsidR="00270719">
        <w:rPr>
          <w:rFonts w:ascii="Arial" w:hAnsi="Arial" w:cs="Arial"/>
        </w:rPr>
        <w:t xml:space="preserve">are </w:t>
      </w:r>
      <w:r w:rsidR="000B79C9">
        <w:rPr>
          <w:rFonts w:ascii="Arial" w:hAnsi="Arial" w:cs="Arial"/>
        </w:rPr>
        <w:t>thereafter injected</w:t>
      </w:r>
      <w:r w:rsidR="0036774D">
        <w:rPr>
          <w:rFonts w:ascii="Arial" w:hAnsi="Arial" w:cs="Arial"/>
        </w:rPr>
        <w:t xml:space="preserve"> at </w:t>
      </w:r>
      <w:r w:rsidR="00497723">
        <w:rPr>
          <w:rFonts w:ascii="Arial" w:hAnsi="Arial" w:cs="Arial"/>
        </w:rPr>
        <w:t>5</w:t>
      </w:r>
      <w:r w:rsidR="0036774D">
        <w:rPr>
          <w:rFonts w:ascii="Arial" w:hAnsi="Arial" w:cs="Arial"/>
        </w:rPr>
        <w:t xml:space="preserve">0 </w:t>
      </w:r>
      <w:proofErr w:type="spellStart"/>
      <w:r w:rsidR="0036774D">
        <w:rPr>
          <w:rFonts w:ascii="Arial" w:hAnsi="Arial" w:cs="Arial"/>
        </w:rPr>
        <w:t>μg</w:t>
      </w:r>
      <w:proofErr w:type="spellEnd"/>
      <w:r w:rsidR="0036774D">
        <w:rPr>
          <w:rFonts w:ascii="Arial" w:hAnsi="Arial" w:cs="Arial"/>
        </w:rPr>
        <w:t>/mL in PBS (pH 7.4) and left for 60 min.</w:t>
      </w:r>
      <w:r w:rsidR="002B7366">
        <w:rPr>
          <w:rFonts w:ascii="Arial" w:hAnsi="Arial" w:cs="Arial"/>
        </w:rPr>
        <w:t xml:space="preserve"> To prevent non-specific binding from other biomolecules expressed from either BHK or HepG2 cell lines, </w:t>
      </w:r>
      <w:r w:rsidR="003B17B6">
        <w:rPr>
          <w:rFonts w:ascii="Arial" w:hAnsi="Arial" w:cs="Arial"/>
        </w:rPr>
        <w:t>casein-blocking</w:t>
      </w:r>
      <w:r w:rsidR="002B7366">
        <w:rPr>
          <w:rFonts w:ascii="Arial" w:hAnsi="Arial" w:cs="Arial"/>
        </w:rPr>
        <w:t xml:space="preserve"> agent </w:t>
      </w:r>
      <w:r w:rsidR="00270719">
        <w:rPr>
          <w:rFonts w:ascii="Arial" w:hAnsi="Arial" w:cs="Arial"/>
        </w:rPr>
        <w:t>i</w:t>
      </w:r>
      <w:r w:rsidR="002B7366">
        <w:rPr>
          <w:rFonts w:ascii="Arial" w:hAnsi="Arial" w:cs="Arial"/>
        </w:rPr>
        <w:t>s incorporated in the assay. We found an optimal concentration of 0.35x and 0.5x</w:t>
      </w:r>
      <w:r w:rsidR="0090682B">
        <w:rPr>
          <w:rFonts w:ascii="Arial" w:hAnsi="Arial" w:cs="Arial"/>
        </w:rPr>
        <w:t xml:space="preserve"> (in PBS pH 7.4)</w:t>
      </w:r>
      <w:r w:rsidR="002B7366">
        <w:rPr>
          <w:rFonts w:ascii="Arial" w:hAnsi="Arial" w:cs="Arial"/>
        </w:rPr>
        <w:t xml:space="preserve"> for BHK and HepG2 cell lines, respectively </w:t>
      </w:r>
      <w:r w:rsidR="003B17B6">
        <w:rPr>
          <w:rFonts w:ascii="Arial" w:hAnsi="Arial" w:cs="Arial"/>
        </w:rPr>
        <w:t xml:space="preserve">(see Supplementary information), </w:t>
      </w:r>
      <w:r w:rsidR="00684A0F">
        <w:rPr>
          <w:rFonts w:ascii="Arial" w:hAnsi="Arial" w:cs="Arial"/>
        </w:rPr>
        <w:t xml:space="preserve">which was incubated </w:t>
      </w:r>
      <w:r w:rsidR="003B17B6">
        <w:rPr>
          <w:rFonts w:ascii="Arial" w:hAnsi="Arial" w:cs="Arial"/>
        </w:rPr>
        <w:t>for 45 min</w:t>
      </w:r>
      <w:r w:rsidR="00684A0F">
        <w:rPr>
          <w:rFonts w:ascii="Arial" w:hAnsi="Arial" w:cs="Arial"/>
        </w:rPr>
        <w:t xml:space="preserve"> </w:t>
      </w:r>
      <w:r w:rsidR="00E06209">
        <w:rPr>
          <w:rFonts w:ascii="Arial" w:hAnsi="Arial" w:cs="Arial"/>
        </w:rPr>
        <w:t>to complete th</w:t>
      </w:r>
      <w:r w:rsidR="00684A0F">
        <w:rPr>
          <w:rFonts w:ascii="Arial" w:hAnsi="Arial" w:cs="Arial"/>
        </w:rPr>
        <w:t xml:space="preserve">e </w:t>
      </w:r>
      <w:r w:rsidR="00E06209">
        <w:rPr>
          <w:rFonts w:ascii="Arial" w:hAnsi="Arial" w:cs="Arial"/>
        </w:rPr>
        <w:t xml:space="preserve">sensor </w:t>
      </w:r>
      <w:r w:rsidR="00684A0F">
        <w:rPr>
          <w:rFonts w:ascii="Arial" w:hAnsi="Arial" w:cs="Arial"/>
        </w:rPr>
        <w:t>functionalis</w:t>
      </w:r>
      <w:r w:rsidR="00E06209">
        <w:rPr>
          <w:rFonts w:ascii="Arial" w:hAnsi="Arial" w:cs="Arial"/>
        </w:rPr>
        <w:t>ation</w:t>
      </w:r>
      <w:r w:rsidR="003B17B6">
        <w:rPr>
          <w:rFonts w:ascii="Arial" w:hAnsi="Arial" w:cs="Arial"/>
        </w:rPr>
        <w:t>.</w:t>
      </w:r>
      <w:r w:rsidR="00E06209">
        <w:rPr>
          <w:rFonts w:ascii="Arial" w:hAnsi="Arial" w:cs="Arial"/>
        </w:rPr>
        <w:t xml:space="preserve"> </w:t>
      </w:r>
      <w:r w:rsidR="00636975">
        <w:rPr>
          <w:rFonts w:ascii="Arial" w:hAnsi="Arial" w:cs="Arial"/>
        </w:rPr>
        <w:t>Once reached this point, the sensor</w:t>
      </w:r>
      <w:r w:rsidR="00270719">
        <w:rPr>
          <w:rFonts w:ascii="Arial" w:hAnsi="Arial" w:cs="Arial"/>
        </w:rPr>
        <w:t xml:space="preserve"> i</w:t>
      </w:r>
      <w:r w:rsidR="00636975">
        <w:rPr>
          <w:rFonts w:ascii="Arial" w:hAnsi="Arial" w:cs="Arial"/>
        </w:rPr>
        <w:t xml:space="preserve">s washed with cell culture media (DMEM supplemented with 10% FBS, </w:t>
      </w:r>
      <w:r w:rsidR="00636975" w:rsidRPr="00636975">
        <w:rPr>
          <w:rFonts w:ascii="Arial" w:hAnsi="Arial" w:cs="Arial"/>
        </w:rPr>
        <w:t>1% Pen-Strep</w:t>
      </w:r>
      <w:r w:rsidR="00636975">
        <w:rPr>
          <w:rFonts w:ascii="Arial" w:hAnsi="Arial" w:cs="Arial"/>
        </w:rPr>
        <w:t xml:space="preserve"> and 25 mM </w:t>
      </w:r>
      <w:proofErr w:type="spellStart"/>
      <w:r w:rsidR="00636975">
        <w:rPr>
          <w:rFonts w:ascii="Arial" w:hAnsi="Arial" w:cs="Arial"/>
        </w:rPr>
        <w:t>Hepes</w:t>
      </w:r>
      <w:proofErr w:type="spellEnd"/>
      <w:r w:rsidR="00166BC9">
        <w:rPr>
          <w:rFonts w:ascii="Arial" w:hAnsi="Arial" w:cs="Arial"/>
        </w:rPr>
        <w:t xml:space="preserve">, </w:t>
      </w:r>
      <w:r w:rsidR="00166BC9" w:rsidRPr="00166BC9">
        <w:rPr>
          <w:rFonts w:ascii="Arial" w:hAnsi="Arial" w:cs="Arial"/>
        </w:rPr>
        <w:t>Gibco</w:t>
      </w:r>
      <w:r w:rsidR="00636975">
        <w:rPr>
          <w:rFonts w:ascii="Arial" w:hAnsi="Arial" w:cs="Arial"/>
        </w:rPr>
        <w:t>) prior</w:t>
      </w:r>
      <w:r w:rsidR="00270719">
        <w:rPr>
          <w:rFonts w:ascii="Arial" w:hAnsi="Arial" w:cs="Arial"/>
        </w:rPr>
        <w:t xml:space="preserve"> to</w:t>
      </w:r>
      <w:r w:rsidR="00636975">
        <w:rPr>
          <w:rFonts w:ascii="Arial" w:hAnsi="Arial" w:cs="Arial"/>
        </w:rPr>
        <w:t xml:space="preserve"> </w:t>
      </w:r>
      <w:r w:rsidR="00270719">
        <w:rPr>
          <w:rFonts w:ascii="Arial" w:hAnsi="Arial" w:cs="Arial"/>
        </w:rPr>
        <w:t xml:space="preserve">introducing </w:t>
      </w:r>
      <w:r w:rsidR="00636975">
        <w:rPr>
          <w:rFonts w:ascii="Arial" w:hAnsi="Arial" w:cs="Arial"/>
        </w:rPr>
        <w:t xml:space="preserve">the </w:t>
      </w:r>
      <w:r w:rsidR="00270719">
        <w:rPr>
          <w:rFonts w:ascii="Arial" w:hAnsi="Arial" w:cs="Arial"/>
        </w:rPr>
        <w:t xml:space="preserve">live </w:t>
      </w:r>
      <w:r w:rsidR="00636975">
        <w:rPr>
          <w:rFonts w:ascii="Arial" w:hAnsi="Arial" w:cs="Arial"/>
        </w:rPr>
        <w:t xml:space="preserve">cells. </w:t>
      </w:r>
    </w:p>
    <w:p w14:paraId="18FB7A1A" w14:textId="77777777" w:rsidR="0061125A" w:rsidRDefault="0061125A" w:rsidP="00973D93">
      <w:pPr>
        <w:spacing w:line="480" w:lineRule="auto"/>
        <w:ind w:left="-709"/>
        <w:rPr>
          <w:rFonts w:ascii="Arial" w:hAnsi="Arial" w:cs="Arial"/>
          <w:b/>
        </w:rPr>
      </w:pPr>
    </w:p>
    <w:p w14:paraId="0287FC4F" w14:textId="77777777" w:rsidR="009403B2" w:rsidRDefault="00BC6648" w:rsidP="00973D93">
      <w:pPr>
        <w:spacing w:line="480" w:lineRule="auto"/>
        <w:ind w:left="-709"/>
        <w:rPr>
          <w:rFonts w:ascii="Arial" w:hAnsi="Arial" w:cs="Arial"/>
          <w:b/>
        </w:rPr>
      </w:pPr>
      <w:r>
        <w:rPr>
          <w:rFonts w:ascii="Arial" w:hAnsi="Arial" w:cs="Arial"/>
          <w:b/>
        </w:rPr>
        <w:lastRenderedPageBreak/>
        <w:t>Cell adsorption kinetics modelling</w:t>
      </w:r>
    </w:p>
    <w:p w14:paraId="35E71367" w14:textId="31DE1487" w:rsidR="00121342" w:rsidRDefault="0044236A" w:rsidP="00973D93">
      <w:pPr>
        <w:spacing w:line="360" w:lineRule="auto"/>
        <w:ind w:left="-709"/>
        <w:rPr>
          <w:rFonts w:ascii="Arial" w:hAnsi="Arial" w:cs="Arial"/>
        </w:rPr>
      </w:pPr>
      <w:r>
        <w:rPr>
          <w:rFonts w:ascii="Arial" w:hAnsi="Arial" w:cs="Arial"/>
        </w:rPr>
        <w:t>Real-time expression</w:t>
      </w:r>
      <w:r w:rsidR="003072BD">
        <w:rPr>
          <w:rFonts w:ascii="Arial" w:hAnsi="Arial" w:cs="Arial"/>
        </w:rPr>
        <w:t xml:space="preserve"> of signalling molecules</w:t>
      </w:r>
      <w:r>
        <w:rPr>
          <w:rFonts w:ascii="Arial" w:hAnsi="Arial" w:cs="Arial"/>
        </w:rPr>
        <w:t xml:space="preserve"> from single cells and </w:t>
      </w:r>
      <w:r w:rsidR="00270719">
        <w:rPr>
          <w:rFonts w:ascii="Arial" w:hAnsi="Arial" w:cs="Arial"/>
        </w:rPr>
        <w:t xml:space="preserve">their </w:t>
      </w:r>
      <w:r w:rsidR="00731FFE">
        <w:rPr>
          <w:rFonts w:ascii="Arial" w:hAnsi="Arial" w:cs="Arial"/>
        </w:rPr>
        <w:t>binding</w:t>
      </w:r>
      <w:r>
        <w:rPr>
          <w:rFonts w:ascii="Arial" w:hAnsi="Arial" w:cs="Arial"/>
        </w:rPr>
        <w:t xml:space="preserve"> to the </w:t>
      </w:r>
      <w:r w:rsidR="00731FFE">
        <w:rPr>
          <w:rFonts w:ascii="Arial" w:hAnsi="Arial" w:cs="Arial"/>
        </w:rPr>
        <w:t xml:space="preserve">capture molecules of the </w:t>
      </w:r>
      <w:r>
        <w:rPr>
          <w:rFonts w:ascii="Arial" w:hAnsi="Arial" w:cs="Arial"/>
        </w:rPr>
        <w:t xml:space="preserve">functionalised sensor surface </w:t>
      </w:r>
      <w:r w:rsidR="003072BD">
        <w:rPr>
          <w:rFonts w:ascii="Arial" w:hAnsi="Arial" w:cs="Arial"/>
        </w:rPr>
        <w:t xml:space="preserve">was modelled as </w:t>
      </w:r>
      <w:r w:rsidR="00731FFE">
        <w:rPr>
          <w:rFonts w:ascii="Arial" w:hAnsi="Arial" w:cs="Arial"/>
        </w:rPr>
        <w:t xml:space="preserve">a </w:t>
      </w:r>
      <w:r w:rsidR="003072BD">
        <w:rPr>
          <w:rFonts w:ascii="Arial" w:hAnsi="Arial" w:cs="Arial"/>
        </w:rPr>
        <w:t xml:space="preserve">Langmuir adsorption isotherm by assuming </w:t>
      </w:r>
      <w:r w:rsidR="00121342">
        <w:rPr>
          <w:rFonts w:ascii="Arial" w:hAnsi="Arial" w:cs="Arial"/>
        </w:rPr>
        <w:t xml:space="preserve">both processes as the same, global adsorption process. The equation to fit the </w:t>
      </w:r>
      <w:r w:rsidR="00896215">
        <w:rPr>
          <w:rFonts w:ascii="Arial" w:hAnsi="Arial" w:cs="Arial"/>
        </w:rPr>
        <w:t>secretion area</w:t>
      </w:r>
      <w:r w:rsidR="00121342">
        <w:rPr>
          <w:rFonts w:ascii="Arial" w:hAnsi="Arial" w:cs="Arial"/>
        </w:rPr>
        <w:t xml:space="preserve"> </w:t>
      </w:r>
      <w:r w:rsidR="00911314">
        <w:rPr>
          <w:rFonts w:ascii="Arial" w:hAnsi="Arial" w:cs="Arial"/>
        </w:rPr>
        <w:t>of each</w:t>
      </w:r>
      <w:r w:rsidR="00121342">
        <w:rPr>
          <w:rFonts w:ascii="Arial" w:hAnsi="Arial" w:cs="Arial"/>
        </w:rPr>
        <w:t xml:space="preserve"> cell per time unit </w:t>
      </w:r>
      <w:r w:rsidR="00270719">
        <w:rPr>
          <w:rFonts w:ascii="Arial" w:hAnsi="Arial" w:cs="Arial"/>
        </w:rPr>
        <w:t>is</w:t>
      </w:r>
      <w:r w:rsidR="00121342">
        <w:rPr>
          <w:rFonts w:ascii="Arial" w:hAnsi="Arial" w:cs="Arial"/>
        </w:rPr>
        <w:t>:</w:t>
      </w:r>
    </w:p>
    <w:tbl>
      <w:tblPr>
        <w:tblStyle w:val="Tablaconcuadrcula"/>
        <w:tblW w:w="0" w:type="auto"/>
        <w:tblInd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1426"/>
      </w:tblGrid>
      <w:tr w:rsidR="00367AB8" w14:paraId="793E4016" w14:textId="77777777" w:rsidTr="00367AB8">
        <w:tc>
          <w:tcPr>
            <w:tcW w:w="2836" w:type="dxa"/>
          </w:tcPr>
          <w:p w14:paraId="7CE032CE" w14:textId="494A2DF5" w:rsidR="00367AB8" w:rsidRDefault="00896215" w:rsidP="00973D93">
            <w:pPr>
              <w:spacing w:line="360" w:lineRule="auto"/>
              <w:ind w:left="-709"/>
              <w:rPr>
                <w:rFonts w:ascii="Arial" w:hAnsi="Arial" w:cs="Arial"/>
              </w:rPr>
            </w:pPr>
            <m:oMathPara>
              <m:oMath>
                <m:r>
                  <m:rPr>
                    <m:sty m:val="p"/>
                  </m:rPr>
                  <w:rPr>
                    <w:rFonts w:ascii="Cambria Math" w:hAnsi="Cambria Math" w:cs="Arial"/>
                  </w:rPr>
                  <m:t>Secretion area=</m:t>
                </m:r>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0</m:t>
                    </m:r>
                  </m:sub>
                </m:sSub>
                <m:f>
                  <m:fPr>
                    <m:ctrlPr>
                      <w:rPr>
                        <w:rFonts w:ascii="Cambria Math" w:hAnsi="Cambria Math" w:cs="Arial"/>
                      </w:rPr>
                    </m:ctrlPr>
                  </m:fPr>
                  <m:num>
                    <m:r>
                      <m:rPr>
                        <m:sty m:val="p"/>
                      </m:rPr>
                      <w:rPr>
                        <w:rFonts w:ascii="Cambria Math" w:hAnsi="Cambria Math" w:cs="Arial"/>
                      </w:rPr>
                      <m:t>κ*t</m:t>
                    </m:r>
                  </m:num>
                  <m:den>
                    <m:r>
                      <m:rPr>
                        <m:sty m:val="p"/>
                      </m:rPr>
                      <w:rPr>
                        <w:rFonts w:ascii="Cambria Math" w:hAnsi="Cambria Math" w:cs="Arial"/>
                      </w:rPr>
                      <m:t>1+κ*t</m:t>
                    </m:r>
                  </m:den>
                </m:f>
                <m:r>
                  <m:rPr>
                    <m:sty m:val="p"/>
                  </m:rPr>
                  <w:rPr>
                    <w:rFonts w:ascii="Cambria Math" w:hAnsi="Cambria Math" w:cs="Arial"/>
                  </w:rPr>
                  <m:t xml:space="preserve"> </m:t>
                </m:r>
              </m:oMath>
            </m:oMathPara>
          </w:p>
          <w:p w14:paraId="4009F841" w14:textId="77777777" w:rsidR="00367AB8" w:rsidRDefault="00367AB8" w:rsidP="00973D93">
            <w:pPr>
              <w:spacing w:line="360" w:lineRule="auto"/>
              <w:rPr>
                <w:rFonts w:ascii="Arial" w:eastAsia="Calibri" w:hAnsi="Arial" w:cs="Arial"/>
              </w:rPr>
            </w:pPr>
          </w:p>
        </w:tc>
        <w:tc>
          <w:tcPr>
            <w:tcW w:w="1426" w:type="dxa"/>
          </w:tcPr>
          <w:p w14:paraId="5985B359" w14:textId="77777777" w:rsidR="00367AB8" w:rsidRDefault="00367AB8" w:rsidP="00973D93">
            <w:pPr>
              <w:spacing w:line="360" w:lineRule="auto"/>
              <w:rPr>
                <w:rFonts w:ascii="Arial" w:eastAsia="Calibri" w:hAnsi="Arial" w:cs="Arial"/>
              </w:rPr>
            </w:pPr>
            <m:oMathPara>
              <m:oMath>
                <m:r>
                  <w:rPr>
                    <w:rFonts w:ascii="Cambria Math" w:eastAsia="Calibri" w:hAnsi="Cambria Math" w:cs="Arial"/>
                  </w:rPr>
                  <m:t>(</m:t>
                </m:r>
                <m:r>
                  <m:rPr>
                    <m:sty m:val="p"/>
                  </m:rPr>
                  <w:rPr>
                    <w:rFonts w:ascii="Cambria Math" w:eastAsia="Calibri" w:hAnsi="Cambria Math" w:cs="Arial"/>
                  </w:rPr>
                  <m:t>Equation 1</m:t>
                </m:r>
                <m:r>
                  <w:rPr>
                    <w:rFonts w:ascii="Cambria Math" w:eastAsia="Calibri" w:hAnsi="Cambria Math" w:cs="Arial"/>
                  </w:rPr>
                  <m:t>)</m:t>
                </m:r>
              </m:oMath>
            </m:oMathPara>
          </w:p>
        </w:tc>
      </w:tr>
    </w:tbl>
    <w:p w14:paraId="642D7544" w14:textId="00D85881" w:rsidR="00121342" w:rsidRPr="006A397A" w:rsidRDefault="00270719" w:rsidP="00973D93">
      <w:pPr>
        <w:spacing w:line="360" w:lineRule="auto"/>
        <w:ind w:left="-709"/>
        <w:rPr>
          <w:rFonts w:ascii="Arial" w:hAnsi="Arial" w:cs="Arial"/>
        </w:rPr>
      </w:pPr>
      <w:r>
        <w:rPr>
          <w:rFonts w:ascii="Arial" w:hAnsi="Arial" w:cs="Arial"/>
        </w:rPr>
        <w:t xml:space="preserve">with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0</m:t>
            </m:r>
          </m:sub>
        </m:sSub>
      </m:oMath>
      <w:r w:rsidR="00911314">
        <w:rPr>
          <w:rFonts w:ascii="Arial" w:eastAsiaTheme="minorEastAsia" w:hAnsi="Arial" w:cs="Arial"/>
        </w:rPr>
        <w:t xml:space="preserve"> the </w:t>
      </w:r>
      <w:r w:rsidR="006A397A">
        <w:rPr>
          <w:rFonts w:ascii="Arial" w:eastAsiaTheme="minorEastAsia" w:hAnsi="Arial" w:cs="Arial"/>
        </w:rPr>
        <w:t>offset of the area covered by the binding of</w:t>
      </w:r>
      <w:r w:rsidR="00911314">
        <w:rPr>
          <w:rFonts w:ascii="Arial" w:eastAsiaTheme="minorEastAsia" w:hAnsi="Arial" w:cs="Arial"/>
        </w:rPr>
        <w:t xml:space="preserve"> signalling molecules </w:t>
      </w:r>
      <w:r w:rsidR="00D86512">
        <w:rPr>
          <w:rFonts w:ascii="Arial" w:eastAsiaTheme="minorEastAsia" w:hAnsi="Arial" w:cs="Arial"/>
        </w:rPr>
        <w:t xml:space="preserve">in </w:t>
      </w:r>
      <w:r w:rsidR="006A397A" w:rsidRPr="00136FB2">
        <w:rPr>
          <w:rFonts w:ascii="Arial" w:hAnsi="Arial" w:cs="Arial"/>
          <w:noProof/>
          <w:color w:val="000000" w:themeColor="text1"/>
        </w:rPr>
        <w:t>µm</w:t>
      </w:r>
      <w:r w:rsidR="006A397A" w:rsidRPr="00136FB2">
        <w:rPr>
          <w:rFonts w:ascii="Arial" w:hAnsi="Arial" w:cs="Arial"/>
          <w:noProof/>
          <w:color w:val="000000" w:themeColor="text1"/>
          <w:vertAlign w:val="superscript"/>
        </w:rPr>
        <w:t>2</w:t>
      </w:r>
      <w:r w:rsidR="006A397A">
        <w:rPr>
          <w:rFonts w:ascii="Arial" w:hAnsi="Arial" w:cs="Arial"/>
          <w:noProof/>
          <w:color w:val="000000" w:themeColor="text1"/>
        </w:rPr>
        <w:t xml:space="preserve">, </w:t>
      </w:r>
      <m:oMath>
        <m:r>
          <m:rPr>
            <m:sty m:val="p"/>
          </m:rPr>
          <w:rPr>
            <w:rFonts w:ascii="Cambria Math" w:hAnsi="Cambria Math" w:cs="Arial"/>
          </w:rPr>
          <m:t>κ</m:t>
        </m:r>
      </m:oMath>
      <w:r w:rsidR="006A397A">
        <w:rPr>
          <w:rFonts w:ascii="Arial" w:eastAsiaTheme="minorEastAsia" w:hAnsi="Arial" w:cs="Arial"/>
          <w:noProof/>
        </w:rPr>
        <w:t xml:space="preserve"> the Langmuir adsorption rate (</w:t>
      </w:r>
      <w:r w:rsidR="006A397A" w:rsidRPr="00136FB2">
        <w:rPr>
          <w:rFonts w:ascii="Arial" w:hAnsi="Arial" w:cs="Arial"/>
          <w:noProof/>
          <w:color w:val="000000" w:themeColor="text1"/>
        </w:rPr>
        <w:t>µm</w:t>
      </w:r>
      <w:r w:rsidR="006A397A" w:rsidRPr="00136FB2">
        <w:rPr>
          <w:rFonts w:ascii="Arial" w:hAnsi="Arial" w:cs="Arial"/>
          <w:noProof/>
          <w:color w:val="000000" w:themeColor="text1"/>
          <w:vertAlign w:val="superscript"/>
        </w:rPr>
        <w:t>2</w:t>
      </w:r>
      <w:r w:rsidR="006A397A" w:rsidRPr="006A397A">
        <w:rPr>
          <w:rFonts w:ascii="Arial" w:hAnsi="Arial" w:cs="Arial"/>
          <w:noProof/>
          <w:color w:val="000000" w:themeColor="text1"/>
        </w:rPr>
        <w:t>/h</w:t>
      </w:r>
      <w:r w:rsidR="006A397A">
        <w:rPr>
          <w:rFonts w:ascii="Arial" w:eastAsiaTheme="minorEastAsia" w:hAnsi="Arial" w:cs="Arial"/>
          <w:noProof/>
        </w:rPr>
        <w:t>)</w:t>
      </w:r>
      <w:r w:rsidR="00CF1B90">
        <w:rPr>
          <w:rFonts w:ascii="Arial" w:eastAsiaTheme="minorEastAsia" w:hAnsi="Arial" w:cs="Arial"/>
          <w:noProof/>
        </w:rPr>
        <w:t xml:space="preserve"> and </w:t>
      </w:r>
      <m:oMath>
        <m:r>
          <m:rPr>
            <m:sty m:val="p"/>
          </m:rPr>
          <w:rPr>
            <w:rFonts w:ascii="Cambria Math" w:hAnsi="Cambria Math" w:cs="Arial"/>
          </w:rPr>
          <m:t>t</m:t>
        </m:r>
      </m:oMath>
      <w:r w:rsidR="00CF1B90">
        <w:rPr>
          <w:rFonts w:ascii="Arial" w:eastAsiaTheme="minorEastAsia" w:hAnsi="Arial" w:cs="Arial"/>
          <w:noProof/>
        </w:rPr>
        <w:t xml:space="preserve"> the time in h. A </w:t>
      </w:r>
      <w:r w:rsidR="00CF1B90" w:rsidRPr="00CF1B90">
        <w:rPr>
          <w:rFonts w:ascii="Arial" w:eastAsiaTheme="minorEastAsia" w:hAnsi="Arial" w:cs="Arial"/>
          <w:noProof/>
        </w:rPr>
        <w:t>least</w:t>
      </w:r>
      <w:r>
        <w:rPr>
          <w:rFonts w:ascii="Arial" w:eastAsiaTheme="minorEastAsia" w:hAnsi="Arial" w:cs="Arial"/>
          <w:noProof/>
        </w:rPr>
        <w:t>-</w:t>
      </w:r>
      <w:r w:rsidR="00CF1B90" w:rsidRPr="00CF1B90">
        <w:rPr>
          <w:rFonts w:ascii="Arial" w:eastAsiaTheme="minorEastAsia" w:hAnsi="Arial" w:cs="Arial"/>
          <w:noProof/>
        </w:rPr>
        <w:t>squares regression analysis</w:t>
      </w:r>
      <w:r w:rsidR="00CF1B90">
        <w:rPr>
          <w:rFonts w:ascii="Arial" w:eastAsiaTheme="minorEastAsia" w:hAnsi="Arial" w:cs="Arial"/>
          <w:noProof/>
        </w:rPr>
        <w:t xml:space="preserve"> was used to find the best fit for our dataset, </w:t>
      </w:r>
      <w:r>
        <w:rPr>
          <w:rFonts w:ascii="Arial" w:eastAsiaTheme="minorEastAsia" w:hAnsi="Arial" w:cs="Arial"/>
          <w:noProof/>
        </w:rPr>
        <w:t xml:space="preserve">which </w:t>
      </w:r>
      <w:r w:rsidR="00CF1B90">
        <w:rPr>
          <w:rFonts w:ascii="Arial" w:eastAsiaTheme="minorEastAsia" w:hAnsi="Arial" w:cs="Arial"/>
          <w:noProof/>
        </w:rPr>
        <w:t>yield</w:t>
      </w:r>
      <w:r>
        <w:rPr>
          <w:rFonts w:ascii="Arial" w:eastAsiaTheme="minorEastAsia" w:hAnsi="Arial" w:cs="Arial"/>
          <w:noProof/>
        </w:rPr>
        <w:t>s</w:t>
      </w:r>
      <w:r w:rsidR="00CF1B90">
        <w:rPr>
          <w:rFonts w:ascii="Arial" w:eastAsiaTheme="minorEastAsia" w:hAnsi="Arial" w:cs="Arial"/>
          <w:noProof/>
        </w:rPr>
        <w:t xml:space="preserve"> a </w:t>
      </w:r>
      <w:r w:rsidR="00CF1B90" w:rsidRPr="00CF1B90">
        <w:rPr>
          <w:rFonts w:ascii="Arial" w:eastAsiaTheme="minorEastAsia" w:hAnsi="Arial" w:cs="Arial"/>
          <w:noProof/>
        </w:rPr>
        <w:t>coefficient of determination R</w:t>
      </w:r>
      <w:r w:rsidR="00CF1B90" w:rsidRPr="00CF1B90">
        <w:rPr>
          <w:rFonts w:ascii="Arial" w:eastAsiaTheme="minorEastAsia" w:hAnsi="Arial" w:cs="Arial"/>
          <w:noProof/>
          <w:vertAlign w:val="superscript"/>
        </w:rPr>
        <w:t>2</w:t>
      </w:r>
      <w:r w:rsidR="00CF1B90" w:rsidRPr="00CF1B90">
        <w:rPr>
          <w:rFonts w:ascii="Arial" w:eastAsiaTheme="minorEastAsia" w:hAnsi="Arial" w:cs="Arial"/>
          <w:noProof/>
        </w:rPr>
        <w:t xml:space="preserve"> of 0.94 ± 0.04</w:t>
      </w:r>
      <w:r w:rsidR="00CF1B90">
        <w:rPr>
          <w:rFonts w:ascii="Arial" w:eastAsiaTheme="minorEastAsia" w:hAnsi="Arial" w:cs="Arial"/>
          <w:noProof/>
        </w:rPr>
        <w:t xml:space="preserve"> for the 30 BHK-TPO cell population under study.</w:t>
      </w:r>
    </w:p>
    <w:p w14:paraId="3EF8937C" w14:textId="77777777" w:rsidR="001F7602" w:rsidRDefault="001F7602" w:rsidP="00973D93">
      <w:pPr>
        <w:spacing w:line="480" w:lineRule="auto"/>
        <w:ind w:left="-709"/>
        <w:rPr>
          <w:rFonts w:ascii="Arial" w:hAnsi="Arial" w:cs="Arial"/>
          <w:b/>
        </w:rPr>
      </w:pPr>
    </w:p>
    <w:p w14:paraId="613ED775" w14:textId="77777777" w:rsidR="009403B2" w:rsidRDefault="009403B2" w:rsidP="00973D93">
      <w:pPr>
        <w:spacing w:line="480" w:lineRule="auto"/>
        <w:ind w:left="-709"/>
        <w:rPr>
          <w:rFonts w:ascii="Arial" w:hAnsi="Arial" w:cs="Arial"/>
          <w:b/>
        </w:rPr>
      </w:pPr>
      <w:r>
        <w:rPr>
          <w:rFonts w:ascii="Arial" w:hAnsi="Arial" w:cs="Arial"/>
          <w:b/>
        </w:rPr>
        <w:t>BHK-</w:t>
      </w:r>
      <w:r w:rsidR="007F5C29">
        <w:rPr>
          <w:rFonts w:ascii="Arial" w:hAnsi="Arial" w:cs="Arial"/>
          <w:b/>
        </w:rPr>
        <w:t>TPO</w:t>
      </w:r>
      <w:r>
        <w:rPr>
          <w:rFonts w:ascii="Arial" w:hAnsi="Arial" w:cs="Arial"/>
          <w:b/>
        </w:rPr>
        <w:t xml:space="preserve"> and HepG2 cell lines culture</w:t>
      </w:r>
    </w:p>
    <w:p w14:paraId="2336C2CF" w14:textId="77777777" w:rsidR="00BC625D" w:rsidRPr="00BC625D" w:rsidRDefault="00344149" w:rsidP="00973D93">
      <w:pPr>
        <w:spacing w:line="360" w:lineRule="auto"/>
        <w:ind w:left="-709"/>
        <w:rPr>
          <w:rFonts w:ascii="Arial" w:hAnsi="Arial" w:cs="Arial"/>
        </w:rPr>
      </w:pPr>
      <w:r w:rsidRPr="00344149">
        <w:rPr>
          <w:rFonts w:ascii="Arial" w:hAnsi="Arial" w:cs="Arial"/>
        </w:rPr>
        <w:t xml:space="preserve">BHK-TPO and HepG2 </w:t>
      </w:r>
      <w:r>
        <w:rPr>
          <w:rFonts w:ascii="Arial" w:hAnsi="Arial" w:cs="Arial"/>
        </w:rPr>
        <w:t>cells were</w:t>
      </w:r>
      <w:r w:rsidRPr="00344149">
        <w:t xml:space="preserve"> </w:t>
      </w:r>
      <w:r w:rsidRPr="00344149">
        <w:rPr>
          <w:rFonts w:ascii="Arial" w:hAnsi="Arial" w:cs="Arial"/>
        </w:rPr>
        <w:t>cultured at</w:t>
      </w:r>
      <w:r>
        <w:rPr>
          <w:rFonts w:ascii="Arial" w:hAnsi="Arial" w:cs="Arial"/>
        </w:rPr>
        <w:t xml:space="preserve"> </w:t>
      </w:r>
      <w:r w:rsidRPr="00344149">
        <w:rPr>
          <w:rFonts w:ascii="Arial" w:hAnsi="Arial" w:cs="Arial"/>
        </w:rPr>
        <w:t>37 °C in a 5% CO</w:t>
      </w:r>
      <w:r w:rsidRPr="00344149">
        <w:rPr>
          <w:rFonts w:ascii="Arial" w:hAnsi="Arial" w:cs="Arial"/>
          <w:vertAlign w:val="subscript"/>
        </w:rPr>
        <w:t>2</w:t>
      </w:r>
      <w:r w:rsidRPr="00344149">
        <w:rPr>
          <w:rFonts w:ascii="Arial" w:hAnsi="Arial" w:cs="Arial"/>
        </w:rPr>
        <w:t xml:space="preserve"> incubator in</w:t>
      </w:r>
      <w:r>
        <w:rPr>
          <w:rFonts w:ascii="Arial" w:hAnsi="Arial" w:cs="Arial"/>
        </w:rPr>
        <w:t xml:space="preserve"> DMEM supplemented with 10% FBS,</w:t>
      </w:r>
      <w:r w:rsidRPr="00344149">
        <w:rPr>
          <w:rFonts w:ascii="Arial" w:hAnsi="Arial" w:cs="Arial"/>
        </w:rPr>
        <w:t xml:space="preserve"> 1% Pen-Strep</w:t>
      </w:r>
      <w:r>
        <w:rPr>
          <w:rFonts w:ascii="Arial" w:hAnsi="Arial" w:cs="Arial"/>
        </w:rPr>
        <w:t xml:space="preserve"> and 25 mM </w:t>
      </w:r>
      <w:proofErr w:type="spellStart"/>
      <w:r>
        <w:rPr>
          <w:rFonts w:ascii="Arial" w:hAnsi="Arial" w:cs="Arial"/>
        </w:rPr>
        <w:t>Hepes</w:t>
      </w:r>
      <w:proofErr w:type="spellEnd"/>
      <w:r>
        <w:rPr>
          <w:rFonts w:ascii="Arial" w:hAnsi="Arial" w:cs="Arial"/>
        </w:rPr>
        <w:t>.</w:t>
      </w:r>
      <w:r w:rsidR="006153E9">
        <w:rPr>
          <w:rFonts w:ascii="Arial" w:hAnsi="Arial" w:cs="Arial"/>
        </w:rPr>
        <w:t xml:space="preserve"> </w:t>
      </w:r>
      <w:r w:rsidR="00102A6D">
        <w:rPr>
          <w:rFonts w:ascii="Arial" w:hAnsi="Arial" w:cs="Arial"/>
        </w:rPr>
        <w:t xml:space="preserve">Both </w:t>
      </w:r>
      <w:r w:rsidR="00102A6D" w:rsidRPr="00344149">
        <w:rPr>
          <w:rFonts w:ascii="Arial" w:hAnsi="Arial" w:cs="Arial"/>
        </w:rPr>
        <w:t>BHK-TPO</w:t>
      </w:r>
      <w:r w:rsidR="00102A6D" w:rsidRPr="00102A6D">
        <w:rPr>
          <w:rFonts w:ascii="Arial" w:hAnsi="Arial" w:cs="Arial"/>
        </w:rPr>
        <w:t xml:space="preserve"> </w:t>
      </w:r>
      <w:r w:rsidR="00102A6D" w:rsidRPr="00344149">
        <w:rPr>
          <w:rFonts w:ascii="Arial" w:hAnsi="Arial" w:cs="Arial"/>
        </w:rPr>
        <w:t>and HepG2</w:t>
      </w:r>
      <w:r w:rsidR="00102A6D">
        <w:rPr>
          <w:rFonts w:ascii="Arial" w:hAnsi="Arial" w:cs="Arial"/>
        </w:rPr>
        <w:t xml:space="preserve"> </w:t>
      </w:r>
      <w:r w:rsidR="00102A6D" w:rsidRPr="00102A6D">
        <w:rPr>
          <w:rFonts w:ascii="Arial" w:hAnsi="Arial" w:cs="Arial"/>
        </w:rPr>
        <w:t xml:space="preserve">sub-confluent cultures </w:t>
      </w:r>
      <w:r w:rsidR="00102A6D">
        <w:rPr>
          <w:rFonts w:ascii="Arial" w:hAnsi="Arial" w:cs="Arial"/>
        </w:rPr>
        <w:t>were kept</w:t>
      </w:r>
      <w:r w:rsidR="00102A6D" w:rsidRPr="00102A6D">
        <w:rPr>
          <w:rFonts w:ascii="Arial" w:hAnsi="Arial" w:cs="Arial"/>
        </w:rPr>
        <w:t xml:space="preserve"> at 2-4x10,000 cells/cm</w:t>
      </w:r>
      <w:r w:rsidR="00102A6D" w:rsidRPr="00102A6D">
        <w:rPr>
          <w:rFonts w:ascii="Arial" w:hAnsi="Arial" w:cs="Arial"/>
          <w:vertAlign w:val="superscript"/>
        </w:rPr>
        <w:t>2</w:t>
      </w:r>
      <w:r w:rsidR="00BC625D">
        <w:rPr>
          <w:rFonts w:ascii="Arial" w:hAnsi="Arial" w:cs="Arial"/>
        </w:rPr>
        <w:t xml:space="preserve">. Cell monolayers were passaged following a </w:t>
      </w:r>
      <w:r w:rsidR="00BC625D" w:rsidRPr="00BC625D">
        <w:rPr>
          <w:rFonts w:ascii="Arial" w:hAnsi="Arial" w:cs="Arial"/>
        </w:rPr>
        <w:t xml:space="preserve">rinse with 1x PBS </w:t>
      </w:r>
      <w:r w:rsidR="00BC625D">
        <w:rPr>
          <w:rFonts w:ascii="Arial" w:hAnsi="Arial" w:cs="Arial"/>
        </w:rPr>
        <w:t>(</w:t>
      </w:r>
      <w:r w:rsidR="00BC625D" w:rsidRPr="00BC625D">
        <w:rPr>
          <w:rFonts w:ascii="Arial" w:hAnsi="Arial" w:cs="Arial"/>
        </w:rPr>
        <w:t>twice</w:t>
      </w:r>
      <w:r w:rsidR="00BC625D">
        <w:rPr>
          <w:rFonts w:ascii="Arial" w:hAnsi="Arial" w:cs="Arial"/>
        </w:rPr>
        <w:t>)</w:t>
      </w:r>
      <w:r w:rsidR="00BC625D" w:rsidRPr="00BC625D">
        <w:rPr>
          <w:rFonts w:ascii="Arial" w:hAnsi="Arial" w:cs="Arial"/>
        </w:rPr>
        <w:t xml:space="preserve"> and pre-warmed (37°C) </w:t>
      </w:r>
      <w:proofErr w:type="spellStart"/>
      <w:r w:rsidR="00BC625D" w:rsidRPr="00102A6D">
        <w:rPr>
          <w:rFonts w:ascii="Arial" w:hAnsi="Arial" w:cs="Arial"/>
        </w:rPr>
        <w:t>TrypLE</w:t>
      </w:r>
      <w:proofErr w:type="spellEnd"/>
      <w:r w:rsidR="00BC625D" w:rsidRPr="00102A6D">
        <w:rPr>
          <w:rFonts w:ascii="Arial" w:hAnsi="Arial" w:cs="Arial"/>
        </w:rPr>
        <w:t xml:space="preserve"> Express</w:t>
      </w:r>
      <w:r w:rsidR="00BC625D">
        <w:rPr>
          <w:rFonts w:ascii="Arial" w:hAnsi="Arial" w:cs="Arial"/>
        </w:rPr>
        <w:t xml:space="preserve"> (Gibco)</w:t>
      </w:r>
      <w:r w:rsidR="00BC625D" w:rsidRPr="00BC625D">
        <w:rPr>
          <w:rFonts w:ascii="Arial" w:hAnsi="Arial" w:cs="Arial"/>
        </w:rPr>
        <w:t xml:space="preserve"> solution to cover the bottom of the flask; incubate</w:t>
      </w:r>
      <w:r w:rsidR="00BC625D">
        <w:rPr>
          <w:rFonts w:ascii="Arial" w:hAnsi="Arial" w:cs="Arial"/>
        </w:rPr>
        <w:t>d</w:t>
      </w:r>
      <w:r w:rsidR="00BC625D" w:rsidRPr="00BC625D">
        <w:rPr>
          <w:rFonts w:ascii="Arial" w:hAnsi="Arial" w:cs="Arial"/>
        </w:rPr>
        <w:t xml:space="preserve"> for </w:t>
      </w:r>
      <w:r w:rsidR="00BC625D">
        <w:rPr>
          <w:rFonts w:ascii="Arial" w:hAnsi="Arial" w:cs="Arial"/>
        </w:rPr>
        <w:t>5 and 10</w:t>
      </w:r>
      <w:r w:rsidR="00BC625D" w:rsidRPr="00BC625D">
        <w:rPr>
          <w:rFonts w:ascii="Arial" w:hAnsi="Arial" w:cs="Arial"/>
        </w:rPr>
        <w:t xml:space="preserve"> minutes</w:t>
      </w:r>
      <w:r w:rsidR="00BC625D">
        <w:rPr>
          <w:rFonts w:ascii="Arial" w:hAnsi="Arial" w:cs="Arial"/>
        </w:rPr>
        <w:t>, respectively.</w:t>
      </w:r>
      <w:r w:rsidR="00102A6D">
        <w:rPr>
          <w:rFonts w:ascii="Arial" w:hAnsi="Arial" w:cs="Arial"/>
          <w:vertAlign w:val="superscript"/>
        </w:rPr>
        <w:t xml:space="preserve"> </w:t>
      </w:r>
      <w:r w:rsidR="00BC625D">
        <w:rPr>
          <w:rFonts w:ascii="Arial" w:hAnsi="Arial" w:cs="Arial"/>
        </w:rPr>
        <w:t xml:space="preserve">Once cells detached </w:t>
      </w:r>
      <w:proofErr w:type="spellStart"/>
      <w:r w:rsidR="00BC625D" w:rsidRPr="00102A6D">
        <w:rPr>
          <w:rFonts w:ascii="Arial" w:hAnsi="Arial" w:cs="Arial"/>
        </w:rPr>
        <w:t>TrypLE</w:t>
      </w:r>
      <w:proofErr w:type="spellEnd"/>
      <w:r w:rsidR="00BC625D" w:rsidRPr="00102A6D">
        <w:rPr>
          <w:rFonts w:ascii="Arial" w:hAnsi="Arial" w:cs="Arial"/>
        </w:rPr>
        <w:t xml:space="preserve"> Express</w:t>
      </w:r>
      <w:r w:rsidR="00BC625D">
        <w:rPr>
          <w:rFonts w:ascii="Arial" w:hAnsi="Arial" w:cs="Arial"/>
        </w:rPr>
        <w:t xml:space="preserve"> was neutralized </w:t>
      </w:r>
      <w:r w:rsidR="00BC625D" w:rsidRPr="00BC625D">
        <w:rPr>
          <w:rFonts w:ascii="Arial" w:hAnsi="Arial" w:cs="Arial"/>
        </w:rPr>
        <w:t xml:space="preserve">by adding </w:t>
      </w:r>
      <w:r w:rsidR="00BC625D">
        <w:rPr>
          <w:rFonts w:ascii="Arial" w:hAnsi="Arial" w:cs="Arial"/>
        </w:rPr>
        <w:t>2</w:t>
      </w:r>
      <w:r w:rsidR="00BC625D" w:rsidRPr="00BC625D">
        <w:rPr>
          <w:rFonts w:ascii="Arial" w:hAnsi="Arial" w:cs="Arial"/>
        </w:rPr>
        <w:t>x volume of complete growth medium</w:t>
      </w:r>
      <w:r w:rsidR="00BC625D">
        <w:rPr>
          <w:rFonts w:ascii="Arial" w:hAnsi="Arial" w:cs="Arial"/>
        </w:rPr>
        <w:t>.</w:t>
      </w:r>
    </w:p>
    <w:p w14:paraId="06DC554C" w14:textId="77777777" w:rsidR="00102A6D" w:rsidRDefault="00102A6D" w:rsidP="00973D93">
      <w:pPr>
        <w:spacing w:line="360" w:lineRule="auto"/>
        <w:ind w:left="-709"/>
        <w:rPr>
          <w:rFonts w:ascii="Arial" w:hAnsi="Arial" w:cs="Arial"/>
        </w:rPr>
      </w:pPr>
    </w:p>
    <w:p w14:paraId="4DC0ECC5" w14:textId="77777777" w:rsidR="00102A6D" w:rsidRDefault="00102A6D" w:rsidP="00973D93">
      <w:pPr>
        <w:spacing w:line="360" w:lineRule="auto"/>
        <w:ind w:left="-709"/>
        <w:rPr>
          <w:rFonts w:ascii="Arial" w:hAnsi="Arial" w:cs="Arial"/>
        </w:rPr>
      </w:pPr>
    </w:p>
    <w:p w14:paraId="7D482930" w14:textId="77777777" w:rsidR="009403B2" w:rsidRDefault="009403B2" w:rsidP="00973D93">
      <w:pPr>
        <w:spacing w:line="480" w:lineRule="auto"/>
        <w:ind w:left="-709"/>
        <w:rPr>
          <w:rFonts w:ascii="Arial" w:hAnsi="Arial" w:cs="Arial"/>
          <w:b/>
        </w:rPr>
      </w:pPr>
      <w:r w:rsidRPr="00A81D92">
        <w:rPr>
          <w:rFonts w:ascii="Arial" w:hAnsi="Arial" w:cs="Arial"/>
          <w:b/>
        </w:rPr>
        <w:t>Isolation of human platelets from whole blood</w:t>
      </w:r>
      <w:r w:rsidR="00D03D09">
        <w:rPr>
          <w:rFonts w:ascii="Arial" w:hAnsi="Arial" w:cs="Arial"/>
          <w:b/>
        </w:rPr>
        <w:t xml:space="preserve"> and platelet count</w:t>
      </w:r>
    </w:p>
    <w:p w14:paraId="54611EA8" w14:textId="24FA34A9" w:rsidR="001B6D65" w:rsidRDefault="00F87584" w:rsidP="00973D93">
      <w:pPr>
        <w:spacing w:line="360" w:lineRule="auto"/>
        <w:ind w:left="-709"/>
        <w:rPr>
          <w:rFonts w:ascii="Arial" w:hAnsi="Arial" w:cs="Arial"/>
        </w:rPr>
      </w:pPr>
      <w:r w:rsidRPr="00F87584">
        <w:rPr>
          <w:rFonts w:ascii="Arial" w:hAnsi="Arial" w:cs="Arial"/>
        </w:rPr>
        <w:t>Venous blood was collected from healthy volunteers and platelets</w:t>
      </w:r>
      <w:r>
        <w:rPr>
          <w:rFonts w:ascii="Arial" w:hAnsi="Arial" w:cs="Arial"/>
        </w:rPr>
        <w:t xml:space="preserve"> </w:t>
      </w:r>
      <w:r w:rsidRPr="00F87584">
        <w:rPr>
          <w:rFonts w:ascii="Arial" w:hAnsi="Arial" w:cs="Arial"/>
        </w:rPr>
        <w:t>were prepared</w:t>
      </w:r>
      <w:r>
        <w:rPr>
          <w:rFonts w:ascii="Arial" w:hAnsi="Arial" w:cs="Arial"/>
        </w:rPr>
        <w:t xml:space="preserve"> following the protocol described in</w:t>
      </w:r>
      <w:r>
        <w:rPr>
          <w:rFonts w:ascii="Arial" w:hAnsi="Arial" w:cs="Arial"/>
        </w:rPr>
        <w:fldChar w:fldCharType="begin" w:fldLock="1"/>
      </w:r>
      <w:r w:rsidR="00AB0567">
        <w:rPr>
          <w:rFonts w:ascii="Arial" w:hAnsi="Arial" w:cs="Arial"/>
        </w:rPr>
        <w:instrText>ADDIN CSL_CITATION { "citationItems" : [ { "id" : "ITEM-1", "itemData" : { "DOI" : "10.1016/S0076-6879(07)26006-9", "ISBN" : "9780123739247", "ISSN" : "00766879", "PMID" : "17697882", "abstract" : "Integrin-mediated cellular events affect all cell types and functions, in physiological as well as pathological settings. Blood platelets, because of their unique nature, have proven to be a powerful cell model with which to study the adhesive and signaling properties of integrins. The characterization of the structural and molecular mechanisms regulating the main platelet integrin, \u03b1IIb\u03b23, has provided some essential clues as to how integrins are regulated in general. The present chapter details the various protocols and reagents currently in use in our laboratory to study \u03b1IIb\u03b23 adhesive responses and signaling in both human and murine cell models. \u00a9 2007 Elsevier Inc. All rights reserved.", "author" : [ { "dropping-particle" : "", "family" : "Pr\u00e9vost", "given" : "Nicolas", "non-dropping-particle" : "", "parse-names" : false, "suffix" : "" }, { "dropping-particle" : "", "family" : "Kato", "given" : "Hisashi", "non-dropping-particle" : "", "parse-names" : false, "suffix" : "" }, { "dropping-particle" : "", "family" : "Bodin", "given" : "Laurent", "non-dropping-particle" : "", "parse-names" : false, "suffix" : "" }, { "dropping-particle" : "", "family" : "Shattil", "given" : "Sanford J.", "non-dropping-particle" : "", "parse-names" : false, "suffix" : "" } ], "container-title" : "Methods in Enzymology", "id" : "ITEM-1", "issue" : "07", "issued" : { "date-parts" : [ [ "2007" ] ] }, "page" : "103-115", "title" : "Platelet Integrin Adhesive Functions and Signaling", "type" : "article-journal", "volume" : "426" }, "uris" : [ "http://www.mendeley.com/documents/?uuid=ce825421-6d78-4d79-8a19-2dad7e5b1398" ] } ], "mendeley" : { "formattedCitation" : "(18)", "plainTextFormattedCitation" : "(18)", "previouslyFormattedCitation" : "&lt;sup&gt;18&lt;/sup&gt;" }, "properties" : { "noteIndex" : 0 }, "schema" : "https://github.com/citation-style-language/schema/raw/master/csl-citation.json" }</w:instrText>
      </w:r>
      <w:r>
        <w:rPr>
          <w:rFonts w:ascii="Arial" w:hAnsi="Arial" w:cs="Arial"/>
        </w:rPr>
        <w:fldChar w:fldCharType="separate"/>
      </w:r>
      <w:r w:rsidR="00AB0567" w:rsidRPr="00AB0567">
        <w:rPr>
          <w:rFonts w:ascii="Arial" w:hAnsi="Arial" w:cs="Arial"/>
          <w:noProof/>
        </w:rPr>
        <w:t>(18)</w:t>
      </w:r>
      <w:r>
        <w:rPr>
          <w:rFonts w:ascii="Arial" w:hAnsi="Arial" w:cs="Arial"/>
        </w:rPr>
        <w:fldChar w:fldCharType="end"/>
      </w:r>
      <w:r>
        <w:rPr>
          <w:rFonts w:ascii="Arial" w:hAnsi="Arial" w:cs="Arial"/>
        </w:rPr>
        <w:t>. In short,</w:t>
      </w:r>
      <w:r w:rsidRPr="00F87584">
        <w:t xml:space="preserve"> </w:t>
      </w:r>
      <w:r>
        <w:rPr>
          <w:rFonts w:ascii="Arial" w:hAnsi="Arial" w:cs="Arial"/>
        </w:rPr>
        <w:t>u</w:t>
      </w:r>
      <w:r w:rsidRPr="00F87584">
        <w:rPr>
          <w:rFonts w:ascii="Arial" w:hAnsi="Arial" w:cs="Arial"/>
        </w:rPr>
        <w:t>sing a 19-G butterfly needle, venous blood is taken</w:t>
      </w:r>
      <w:r>
        <w:rPr>
          <w:rFonts w:ascii="Arial" w:hAnsi="Arial" w:cs="Arial"/>
        </w:rPr>
        <w:t xml:space="preserve"> into vacutainers and </w:t>
      </w:r>
      <w:r w:rsidRPr="00F87584">
        <w:rPr>
          <w:rFonts w:ascii="Arial" w:hAnsi="Arial" w:cs="Arial"/>
        </w:rPr>
        <w:t>anticoagulated 5:1 with acid-citrate-dextrose (ACD) (65 mM trisodium citrate, 70 mM citric acid, 100mM dextrose, pH 4.4).</w:t>
      </w:r>
      <w:r w:rsidR="000A2A8D">
        <w:rPr>
          <w:rFonts w:ascii="Arial" w:hAnsi="Arial" w:cs="Arial"/>
        </w:rPr>
        <w:t xml:space="preserve"> Platelet-rich plasma (PRP) is obtained by </w:t>
      </w:r>
      <w:r w:rsidR="000A2A8D" w:rsidRPr="000A2A8D">
        <w:rPr>
          <w:rFonts w:ascii="Arial" w:hAnsi="Arial" w:cs="Arial"/>
        </w:rPr>
        <w:t>centrifugation at 100</w:t>
      </w:r>
      <w:r w:rsidR="000A2A8D">
        <w:rPr>
          <w:rFonts w:ascii="Arial" w:hAnsi="Arial" w:cs="Arial"/>
        </w:rPr>
        <w:t>x</w:t>
      </w:r>
      <w:r w:rsidR="000A2A8D" w:rsidRPr="000A2A8D">
        <w:rPr>
          <w:rFonts w:ascii="Arial" w:hAnsi="Arial" w:cs="Arial"/>
        </w:rPr>
        <w:t xml:space="preserve"> </w:t>
      </w:r>
      <w:r w:rsidR="000A2A8D" w:rsidRPr="000A2A8D">
        <w:rPr>
          <w:rFonts w:ascii="Arial" w:hAnsi="Arial" w:cs="Arial"/>
          <w:i/>
        </w:rPr>
        <w:t>g</w:t>
      </w:r>
      <w:r w:rsidR="000A2A8D" w:rsidRPr="000A2A8D">
        <w:rPr>
          <w:rFonts w:ascii="Arial" w:hAnsi="Arial" w:cs="Arial"/>
        </w:rPr>
        <w:t xml:space="preserve"> for 20 min at room</w:t>
      </w:r>
      <w:r w:rsidR="000A2A8D">
        <w:rPr>
          <w:rFonts w:ascii="Arial" w:hAnsi="Arial" w:cs="Arial"/>
        </w:rPr>
        <w:t xml:space="preserve"> </w:t>
      </w:r>
      <w:r w:rsidR="000A2A8D" w:rsidRPr="000A2A8D">
        <w:rPr>
          <w:rFonts w:ascii="Arial" w:hAnsi="Arial" w:cs="Arial"/>
        </w:rPr>
        <w:t>temperature</w:t>
      </w:r>
      <w:r w:rsidR="000A2A8D">
        <w:rPr>
          <w:rFonts w:ascii="Arial" w:hAnsi="Arial" w:cs="Arial"/>
        </w:rPr>
        <w:t xml:space="preserve">. </w:t>
      </w:r>
      <w:r w:rsidR="000A2A8D" w:rsidRPr="000A2A8D">
        <w:rPr>
          <w:rFonts w:ascii="Arial" w:hAnsi="Arial" w:cs="Arial"/>
        </w:rPr>
        <w:t>Platelets are then resuspended in wash buffer (150 mM NaCl,</w:t>
      </w:r>
      <w:r w:rsidR="000A2A8D">
        <w:rPr>
          <w:rFonts w:ascii="Arial" w:hAnsi="Arial" w:cs="Arial"/>
        </w:rPr>
        <w:t xml:space="preserve"> </w:t>
      </w:r>
      <w:r w:rsidR="000A2A8D" w:rsidRPr="000A2A8D">
        <w:rPr>
          <w:rFonts w:ascii="Arial" w:hAnsi="Arial" w:cs="Arial"/>
        </w:rPr>
        <w:t>20mM HEPES, pH 6.5</w:t>
      </w:r>
      <w:r w:rsidR="000A2A8D">
        <w:rPr>
          <w:rFonts w:ascii="Arial" w:hAnsi="Arial" w:cs="Arial"/>
        </w:rPr>
        <w:t>; both from Sigma Aldrich</w:t>
      </w:r>
      <w:r w:rsidR="000A2A8D" w:rsidRPr="000A2A8D">
        <w:rPr>
          <w:rFonts w:ascii="Arial" w:hAnsi="Arial" w:cs="Arial"/>
        </w:rPr>
        <w:t>) and centrifuged at 220</w:t>
      </w:r>
      <w:r w:rsidR="000A2A8D">
        <w:rPr>
          <w:rFonts w:ascii="Arial" w:hAnsi="Arial" w:cs="Arial"/>
        </w:rPr>
        <w:t xml:space="preserve">x </w:t>
      </w:r>
      <w:r w:rsidR="000A2A8D" w:rsidRPr="000A2A8D">
        <w:rPr>
          <w:rFonts w:ascii="Arial" w:hAnsi="Arial" w:cs="Arial"/>
          <w:i/>
        </w:rPr>
        <w:t>g</w:t>
      </w:r>
      <w:r w:rsidR="000A2A8D" w:rsidRPr="000A2A8D">
        <w:rPr>
          <w:rFonts w:ascii="Arial" w:hAnsi="Arial" w:cs="Arial"/>
        </w:rPr>
        <w:t xml:space="preserve"> for 10</w:t>
      </w:r>
      <w:r w:rsidR="000A2A8D">
        <w:rPr>
          <w:rFonts w:ascii="Arial" w:hAnsi="Arial" w:cs="Arial"/>
        </w:rPr>
        <w:t xml:space="preserve"> </w:t>
      </w:r>
      <w:r w:rsidR="000A2A8D" w:rsidRPr="000A2A8D">
        <w:rPr>
          <w:rFonts w:ascii="Arial" w:hAnsi="Arial" w:cs="Arial"/>
        </w:rPr>
        <w:t>min at room temperature in the presence of 1</w:t>
      </w:r>
      <w:r w:rsidR="000A2A8D">
        <w:rPr>
          <w:rFonts w:ascii="Arial" w:hAnsi="Arial" w:cs="Arial"/>
        </w:rPr>
        <w:t xml:space="preserve"> </w:t>
      </w:r>
      <w:r w:rsidR="000A2A8D" w:rsidRPr="000A2A8D">
        <w:rPr>
          <w:rFonts w:ascii="Arial" w:hAnsi="Arial" w:cs="Arial"/>
        </w:rPr>
        <w:t>U/m</w:t>
      </w:r>
      <w:r w:rsidR="000A2A8D">
        <w:rPr>
          <w:rFonts w:ascii="Arial" w:hAnsi="Arial" w:cs="Arial"/>
        </w:rPr>
        <w:t>L</w:t>
      </w:r>
      <w:r w:rsidR="000A2A8D" w:rsidRPr="000A2A8D">
        <w:rPr>
          <w:rFonts w:ascii="Arial" w:hAnsi="Arial" w:cs="Arial"/>
        </w:rPr>
        <w:t xml:space="preserve"> apyrase</w:t>
      </w:r>
      <w:r w:rsidR="000A2A8D">
        <w:rPr>
          <w:rFonts w:ascii="Arial" w:hAnsi="Arial" w:cs="Arial"/>
        </w:rPr>
        <w:t xml:space="preserve"> (Sigma Aldrich)</w:t>
      </w:r>
      <w:r w:rsidR="000A2A8D" w:rsidRPr="000A2A8D">
        <w:rPr>
          <w:rFonts w:ascii="Arial" w:hAnsi="Arial" w:cs="Arial"/>
        </w:rPr>
        <w:t xml:space="preserve"> and 1 mM prostaglandin E1</w:t>
      </w:r>
      <w:r w:rsidR="000A2A8D">
        <w:rPr>
          <w:rFonts w:ascii="Arial" w:hAnsi="Arial" w:cs="Arial"/>
        </w:rPr>
        <w:t xml:space="preserve"> </w:t>
      </w:r>
      <w:r w:rsidR="000A2A8D" w:rsidRPr="000A2A8D">
        <w:rPr>
          <w:rFonts w:ascii="Arial" w:hAnsi="Arial" w:cs="Arial"/>
        </w:rPr>
        <w:t>(PGE1</w:t>
      </w:r>
      <w:r w:rsidR="000A2A8D">
        <w:rPr>
          <w:rFonts w:ascii="Arial" w:hAnsi="Arial" w:cs="Arial"/>
        </w:rPr>
        <w:t>, Sigma Aldrich</w:t>
      </w:r>
      <w:r w:rsidR="000A2A8D" w:rsidRPr="000A2A8D">
        <w:rPr>
          <w:rFonts w:ascii="Arial" w:hAnsi="Arial" w:cs="Arial"/>
        </w:rPr>
        <w:t>). Finally,</w:t>
      </w:r>
      <w:r w:rsidR="000A2A8D" w:rsidRPr="000A2A8D">
        <w:t xml:space="preserve"> </w:t>
      </w:r>
      <w:r w:rsidR="000A2A8D" w:rsidRPr="000A2A8D">
        <w:rPr>
          <w:rFonts w:ascii="Arial" w:hAnsi="Arial" w:cs="Arial"/>
        </w:rPr>
        <w:t>the platelet pellet is resuspended in Walsh’s buffer (137mM NaCl, 20mMPIPES, 5.6</w:t>
      </w:r>
      <w:r w:rsidR="000A2A8D">
        <w:rPr>
          <w:rFonts w:ascii="Arial" w:hAnsi="Arial" w:cs="Arial"/>
        </w:rPr>
        <w:t xml:space="preserve"> </w:t>
      </w:r>
      <w:r w:rsidR="000A2A8D" w:rsidRPr="000A2A8D">
        <w:rPr>
          <w:rFonts w:ascii="Arial" w:hAnsi="Arial" w:cs="Arial"/>
        </w:rPr>
        <w:t>mM</w:t>
      </w:r>
      <w:r w:rsidR="000A2A8D">
        <w:rPr>
          <w:rFonts w:ascii="Arial" w:hAnsi="Arial" w:cs="Arial"/>
        </w:rPr>
        <w:t xml:space="preserve"> </w:t>
      </w:r>
      <w:r w:rsidR="000A2A8D" w:rsidRPr="000A2A8D">
        <w:rPr>
          <w:rFonts w:ascii="Arial" w:hAnsi="Arial" w:cs="Arial"/>
        </w:rPr>
        <w:t>dextrose, 1 g/</w:t>
      </w:r>
      <w:proofErr w:type="spellStart"/>
      <w:r w:rsidR="000A2A8D" w:rsidRPr="000A2A8D">
        <w:rPr>
          <w:rFonts w:ascii="Arial" w:hAnsi="Arial" w:cs="Arial"/>
        </w:rPr>
        <w:t>liter</w:t>
      </w:r>
      <w:proofErr w:type="spellEnd"/>
      <w:r w:rsidR="000A2A8D" w:rsidRPr="000A2A8D">
        <w:rPr>
          <w:rFonts w:ascii="Arial" w:hAnsi="Arial" w:cs="Arial"/>
        </w:rPr>
        <w:t xml:space="preserve"> BSA, 1</w:t>
      </w:r>
      <w:r w:rsidR="000A2A8D">
        <w:rPr>
          <w:rFonts w:ascii="Arial" w:hAnsi="Arial" w:cs="Arial"/>
        </w:rPr>
        <w:t xml:space="preserve"> </w:t>
      </w:r>
      <w:r w:rsidR="000A2A8D" w:rsidRPr="000A2A8D">
        <w:rPr>
          <w:rFonts w:ascii="Arial" w:hAnsi="Arial" w:cs="Arial"/>
        </w:rPr>
        <w:t>mM</w:t>
      </w:r>
      <w:r w:rsidR="000A2A8D">
        <w:rPr>
          <w:rFonts w:ascii="Arial" w:hAnsi="Arial" w:cs="Arial"/>
        </w:rPr>
        <w:t xml:space="preserve"> </w:t>
      </w:r>
      <w:r w:rsidR="000A2A8D" w:rsidRPr="000A2A8D">
        <w:rPr>
          <w:rFonts w:ascii="Arial" w:hAnsi="Arial" w:cs="Arial"/>
        </w:rPr>
        <w:t>MgCl</w:t>
      </w:r>
      <w:r w:rsidR="000A2A8D" w:rsidRPr="000A2A8D">
        <w:rPr>
          <w:rFonts w:ascii="Arial" w:hAnsi="Arial" w:cs="Arial"/>
          <w:vertAlign w:val="subscript"/>
        </w:rPr>
        <w:t>2</w:t>
      </w:r>
      <w:r w:rsidR="000A2A8D" w:rsidRPr="000A2A8D">
        <w:rPr>
          <w:rFonts w:ascii="Arial" w:hAnsi="Arial" w:cs="Arial"/>
        </w:rPr>
        <w:t>,</w:t>
      </w:r>
      <w:r w:rsidR="000A2A8D">
        <w:rPr>
          <w:rFonts w:ascii="Arial" w:hAnsi="Arial" w:cs="Arial"/>
        </w:rPr>
        <w:t xml:space="preserve"> </w:t>
      </w:r>
      <w:r w:rsidR="000A2A8D" w:rsidRPr="000A2A8D">
        <w:rPr>
          <w:rFonts w:ascii="Arial" w:hAnsi="Arial" w:cs="Arial"/>
        </w:rPr>
        <w:lastRenderedPageBreak/>
        <w:t>2.7</w:t>
      </w:r>
      <w:r w:rsidR="000A2A8D">
        <w:rPr>
          <w:rFonts w:ascii="Arial" w:hAnsi="Arial" w:cs="Arial"/>
        </w:rPr>
        <w:t xml:space="preserve"> </w:t>
      </w:r>
      <w:r w:rsidR="000A2A8D" w:rsidRPr="000A2A8D">
        <w:rPr>
          <w:rFonts w:ascii="Arial" w:hAnsi="Arial" w:cs="Arial"/>
        </w:rPr>
        <w:t xml:space="preserve">mM </w:t>
      </w:r>
      <w:proofErr w:type="spellStart"/>
      <w:r w:rsidR="000A2A8D" w:rsidRPr="000A2A8D">
        <w:rPr>
          <w:rFonts w:ascii="Arial" w:hAnsi="Arial" w:cs="Arial"/>
        </w:rPr>
        <w:t>KCl</w:t>
      </w:r>
      <w:proofErr w:type="spellEnd"/>
      <w:r w:rsidR="000A2A8D" w:rsidRPr="000A2A8D">
        <w:rPr>
          <w:rFonts w:ascii="Arial" w:hAnsi="Arial" w:cs="Arial"/>
        </w:rPr>
        <w:t>, 3.3</w:t>
      </w:r>
      <w:r w:rsidR="000A2A8D">
        <w:rPr>
          <w:rFonts w:ascii="Arial" w:hAnsi="Arial" w:cs="Arial"/>
        </w:rPr>
        <w:t xml:space="preserve"> </w:t>
      </w:r>
      <w:r w:rsidR="000A2A8D" w:rsidRPr="000A2A8D">
        <w:rPr>
          <w:rFonts w:ascii="Arial" w:hAnsi="Arial" w:cs="Arial"/>
        </w:rPr>
        <w:t>mM</w:t>
      </w:r>
      <w:r w:rsidR="000A2A8D">
        <w:rPr>
          <w:rFonts w:ascii="Arial" w:hAnsi="Arial" w:cs="Arial"/>
        </w:rPr>
        <w:t xml:space="preserve"> </w:t>
      </w:r>
      <w:r w:rsidR="000A2A8D" w:rsidRPr="000A2A8D">
        <w:rPr>
          <w:rFonts w:ascii="Arial" w:hAnsi="Arial" w:cs="Arial"/>
        </w:rPr>
        <w:t>NaH</w:t>
      </w:r>
      <w:r w:rsidR="000A2A8D" w:rsidRPr="000A2A8D">
        <w:rPr>
          <w:rFonts w:ascii="Arial" w:hAnsi="Arial" w:cs="Arial"/>
          <w:vertAlign w:val="subscript"/>
        </w:rPr>
        <w:t>2</w:t>
      </w:r>
      <w:r w:rsidR="000A2A8D" w:rsidRPr="000A2A8D">
        <w:rPr>
          <w:rFonts w:ascii="Arial" w:hAnsi="Arial" w:cs="Arial"/>
        </w:rPr>
        <w:t>PO</w:t>
      </w:r>
      <w:r w:rsidR="000A2A8D" w:rsidRPr="000A2A8D">
        <w:rPr>
          <w:rFonts w:ascii="Arial" w:hAnsi="Arial" w:cs="Arial"/>
          <w:vertAlign w:val="subscript"/>
        </w:rPr>
        <w:t>4</w:t>
      </w:r>
      <w:r w:rsidR="000A2A8D" w:rsidRPr="000A2A8D">
        <w:rPr>
          <w:rFonts w:ascii="Arial" w:hAnsi="Arial" w:cs="Arial"/>
        </w:rPr>
        <w:t>, pH</w:t>
      </w:r>
      <w:r w:rsidR="000A2A8D">
        <w:rPr>
          <w:rFonts w:ascii="Arial" w:hAnsi="Arial" w:cs="Arial"/>
        </w:rPr>
        <w:t xml:space="preserve"> </w:t>
      </w:r>
      <w:r w:rsidR="000A2A8D" w:rsidRPr="000A2A8D">
        <w:rPr>
          <w:rFonts w:ascii="Arial" w:hAnsi="Arial" w:cs="Arial"/>
        </w:rPr>
        <w:t>7.4</w:t>
      </w:r>
      <w:r w:rsidR="000A2A8D">
        <w:rPr>
          <w:rFonts w:ascii="Arial" w:hAnsi="Arial" w:cs="Arial"/>
        </w:rPr>
        <w:t>; all from Sigma Aldrich</w:t>
      </w:r>
      <w:r w:rsidR="000A2A8D" w:rsidRPr="000A2A8D">
        <w:rPr>
          <w:rFonts w:ascii="Arial" w:hAnsi="Arial" w:cs="Arial"/>
        </w:rPr>
        <w:t>). Prior to any experimental procedure, platelets are left at room temperature for 30 min; after 30min,</w:t>
      </w:r>
      <w:r w:rsidR="000A2A8D">
        <w:rPr>
          <w:rFonts w:ascii="Arial" w:hAnsi="Arial" w:cs="Arial"/>
        </w:rPr>
        <w:t xml:space="preserve"> </w:t>
      </w:r>
      <w:r w:rsidR="000A2A8D" w:rsidRPr="000A2A8D">
        <w:rPr>
          <w:rFonts w:ascii="Arial" w:hAnsi="Arial" w:cs="Arial"/>
        </w:rPr>
        <w:t>most of the PGE1 has become inactive.</w:t>
      </w:r>
      <w:r w:rsidR="005331EB">
        <w:rPr>
          <w:rFonts w:ascii="Arial" w:hAnsi="Arial" w:cs="Arial"/>
        </w:rPr>
        <w:t xml:space="preserve"> </w:t>
      </w:r>
      <w:r w:rsidR="00D03D09">
        <w:rPr>
          <w:rFonts w:ascii="Arial" w:hAnsi="Arial" w:cs="Arial"/>
        </w:rPr>
        <w:t>Flow cytometry was employed to count the number of platelets per millilitre (see Supplementary Information).</w:t>
      </w:r>
    </w:p>
    <w:p w14:paraId="2CE1F590" w14:textId="77777777" w:rsidR="001B6D65" w:rsidRDefault="001B6D65" w:rsidP="00973D93">
      <w:pPr>
        <w:spacing w:line="360" w:lineRule="auto"/>
        <w:ind w:left="-709"/>
        <w:rPr>
          <w:rFonts w:ascii="Arial" w:hAnsi="Arial" w:cs="Arial"/>
        </w:rPr>
      </w:pPr>
      <w:r>
        <w:rPr>
          <w:rFonts w:ascii="Arial" w:hAnsi="Arial" w:cs="Arial"/>
          <w:b/>
        </w:rPr>
        <w:t xml:space="preserve">Platelet </w:t>
      </w:r>
      <w:proofErr w:type="spellStart"/>
      <w:r>
        <w:rPr>
          <w:rFonts w:ascii="Arial" w:hAnsi="Arial" w:cs="Arial"/>
          <w:b/>
        </w:rPr>
        <w:t>desialylation</w:t>
      </w:r>
      <w:proofErr w:type="spellEnd"/>
      <w:r w:rsidR="00851360" w:rsidRPr="00851360">
        <w:rPr>
          <w:rFonts w:ascii="Arial" w:hAnsi="Arial" w:cs="Arial"/>
          <w:b/>
        </w:rPr>
        <w:t xml:space="preserve"> </w:t>
      </w:r>
    </w:p>
    <w:p w14:paraId="739669AE" w14:textId="188927CE" w:rsidR="005C1364" w:rsidRDefault="005331EB" w:rsidP="00973D93">
      <w:pPr>
        <w:spacing w:line="360" w:lineRule="auto"/>
        <w:ind w:left="-709"/>
        <w:rPr>
          <w:rFonts w:ascii="Arial" w:hAnsi="Arial" w:cs="Arial"/>
        </w:rPr>
      </w:pPr>
      <w:r>
        <w:rPr>
          <w:rFonts w:ascii="Arial" w:hAnsi="Arial" w:cs="Arial"/>
        </w:rPr>
        <w:t>H</w:t>
      </w:r>
      <w:r w:rsidRPr="005331EB">
        <w:rPr>
          <w:rFonts w:ascii="Arial" w:hAnsi="Arial" w:cs="Arial"/>
        </w:rPr>
        <w:t xml:space="preserve">uman platelets were treated with </w:t>
      </w:r>
      <w:r>
        <w:rPr>
          <w:rFonts w:ascii="Arial" w:hAnsi="Arial" w:cs="Arial"/>
        </w:rPr>
        <w:t>α</w:t>
      </w:r>
      <w:r w:rsidRPr="005331EB">
        <w:rPr>
          <w:rFonts w:ascii="Arial" w:hAnsi="Arial" w:cs="Arial"/>
        </w:rPr>
        <w:t xml:space="preserve">2–3,6,8 neuraminidase from </w:t>
      </w:r>
      <w:r w:rsidRPr="005331EB">
        <w:rPr>
          <w:rFonts w:ascii="Arial" w:hAnsi="Arial" w:cs="Arial"/>
          <w:i/>
        </w:rPr>
        <w:t>C.</w:t>
      </w:r>
      <w:r w:rsidRPr="005331EB">
        <w:rPr>
          <w:rFonts w:ascii="Arial" w:hAnsi="Arial" w:cs="Arial"/>
        </w:rPr>
        <w:t xml:space="preserve"> </w:t>
      </w:r>
      <w:r w:rsidRPr="005331EB">
        <w:rPr>
          <w:rFonts w:ascii="Arial" w:hAnsi="Arial" w:cs="Arial"/>
          <w:i/>
        </w:rPr>
        <w:t xml:space="preserve">perfringens </w:t>
      </w:r>
      <w:r w:rsidRPr="005331EB">
        <w:rPr>
          <w:rFonts w:ascii="Arial" w:hAnsi="Arial" w:cs="Arial"/>
        </w:rPr>
        <w:t>(New England Biolabs) to remove terminal sialic acid</w:t>
      </w:r>
      <w:r w:rsidR="00756269">
        <w:rPr>
          <w:rFonts w:ascii="Arial" w:hAnsi="Arial" w:cs="Arial"/>
        </w:rPr>
        <w:fldChar w:fldCharType="begin" w:fldLock="1"/>
      </w:r>
      <w:r w:rsidR="00AB0567">
        <w:rPr>
          <w:rFonts w:ascii="Arial" w:hAnsi="Arial" w:cs="Arial"/>
        </w:rPr>
        <w:instrText>ADDIN CSL_CITATION { "citationItems" : [ { "id" : "ITEM-1", "itemData" : { "DOI" : "10.1073/pnas.1707662114", "ISSN" : "1091-6490", "PMID" : "28716912", "abstract" : "Most platelet membrane proteins are modified by mucin-type core 1-derived glycans (O-glycans). However, the biological importance of O-glycans in platelet clearance is unclear. Here, we generated mice with a hematopoietic cell-specific loss of O-glycans (HC C1galt1 -/- ). These mice lack O-glycans on platelets and exhibit reduced peripheral platelet numbers. Platelets from HC C1galt1 -/- mice show reduced levels of \u03b1-2,3-linked sialic acids and increased accumulation in the liver relative to wild-type platelets. The preferential accumulation of HC C1galt1 -/- platelets in the liver was reduced in mice lacking the hepatic asialoglycoprotein receptor [Ashwell-Morell receptor (AMR)]. However, we found that Kupffer cells are the primary cells phagocytosing HC C1galt1 -/- platelets in the liver. Our results demonstrate that hepatic AMR promotes preferential adherence to and phagocytosis of desialylated and/or HC C1galt1 -/- platelets by the Kupffer cell through its C-type lectin receptor CLEC4F. These findings provide insights into an essential role for core 1 O-glycosylation of platelets in their clearance in the liver.", "author" : [ { "dropping-particle" : "", "family" : "Li", "given" : "Yun", "non-dropping-particle" : "", "parse-names" : false, "suffix" : "" }, { "dropping-particle" : "", "family" : "Fu", "given" : "Jianxin", "non-dropping-particle" : "", "parse-names" : false, "suffix" : "" }, { "dropping-particle" : "", "family" : "Ling", "given" : "Yun", "non-dropping-particle" : "", "parse-names" : false, "suffix" : "" }, { "dropping-particle" : "", "family" : "Yago", "given" : "Tadayuki", "non-dropping-particle" : "", "parse-names" : false, "suffix" : "" }, { "dropping-particle" : "", "family" : "McDaniel", "given" : "J Michael", "non-dropping-particle" : "", "parse-names" : false, "suffix" : "" }, { "dropping-particle" : "", "family" : "Song", "given" : "Jianhua", "non-dropping-particle" : "", "parse-names" : false, "suffix" : "" }, { "dropping-particle" : "", "family" : "Bai", "given" : "Xia", "non-dropping-particle" : "", "parse-names" : false, "suffix" : "" }, { "dropping-particle" : "", "family" : "Kondo", "given" : "Yuji", "non-dropping-particle" : "", "parse-names" : false, "suffix" : "" }, { "dropping-particle" : "", "family" : "Qin", "given" : "Yannan", "non-dropping-particle" : "", "parse-names" : false, "suffix" : "" }, { "dropping-particle" : "", "family" : "Hoover", "given" : "Christopher", "non-dropping-particle" : "", "parse-names" : false, "suffix" : "" }, { "dropping-particle" : "", "family" : "McGee", "given" : "Samuel", "non-dropping-particle" : "", "parse-names" : false, "suffix" : "" }, { "dropping-particle" : "", "family" : "Shao", "given" : "Bojing", "non-dropping-particle" : "", "parse-names" : false, "suffix" : "" }, { "dropping-particle" : "", "family" : "Liu", "given" : "Zhenghui", "non-dropping-particle" : "", "parse-names" : false, "suffix" : "" }, { "dropping-particle" : "", "family" : "Sonon", "given" : "Roberto", "non-dropping-particle" : "", "parse-names" : false, "suffix" : "" }, { "dropping-particle" : "", "family" : "Azadi", "given" : "Parastoo", "non-dropping-particle" : "", "parse-names" : false, "suffix" : "" }, { "dropping-particle" : "", "family" : "Marth", "given" : "Jamey D", "non-dropping-particle" : "", "parse-names" : false, "suffix" : "" }, { "dropping-particle" : "", "family" : "McEver", "given" : "Rodger P", "non-dropping-particle" : "", "parse-names" : false, "suffix" : "" }, { "dropping-particle" : "", "family" : "Ruan", "given" : "Changgeng", "non-dropping-particle" : "", "parse-names" : false, "suffix" : "" }, { "dropping-particle" : "", "family" : "Xia", "given" : "Lijun", "non-dropping-particle" : "", "parse-names" : false, "suffix" : "" } ], "container-title" : "Proceedings of the National Academy of Sciences of the United States of America", "id" : "ITEM-1", "issue" : "31", "issued" : { "date-parts" : [ [ "2017", "8", "1" ] ] }, "page" : "8360-8365", "publisher" : "National Academy of Sciences", "title" : "Sialylation on O-glycans protects platelets from clearance by liver Kupffer cells.", "type" : "article-journal", "volume" : "114" }, "uris" : [ "http://www.mendeley.com/documents/?uuid=b23a57ec-16dd-3406-8dfd-095c7aba177a" ] } ], "mendeley" : { "formattedCitation" : "(19)", "plainTextFormattedCitation" : "(19)", "previouslyFormattedCitation" : "&lt;sup&gt;19&lt;/sup&gt;" }, "properties" : { "noteIndex" : 0 }, "schema" : "https://github.com/citation-style-language/schema/raw/master/csl-citation.json" }</w:instrText>
      </w:r>
      <w:r w:rsidR="00756269">
        <w:rPr>
          <w:rFonts w:ascii="Arial" w:hAnsi="Arial" w:cs="Arial"/>
        </w:rPr>
        <w:fldChar w:fldCharType="separate"/>
      </w:r>
      <w:r w:rsidR="00AB0567" w:rsidRPr="00AB0567">
        <w:rPr>
          <w:rFonts w:ascii="Arial" w:hAnsi="Arial" w:cs="Arial"/>
          <w:noProof/>
        </w:rPr>
        <w:t>(19)</w:t>
      </w:r>
      <w:r w:rsidR="00756269">
        <w:rPr>
          <w:rFonts w:ascii="Arial" w:hAnsi="Arial" w:cs="Arial"/>
        </w:rPr>
        <w:fldChar w:fldCharType="end"/>
      </w:r>
      <w:r w:rsidR="001B6D65">
        <w:rPr>
          <w:rFonts w:ascii="Arial" w:hAnsi="Arial" w:cs="Arial"/>
        </w:rPr>
        <w:t>. Isolated</w:t>
      </w:r>
      <w:r w:rsidR="001B6D65" w:rsidRPr="001B6D65">
        <w:rPr>
          <w:rFonts w:ascii="Arial" w:hAnsi="Arial" w:cs="Arial"/>
        </w:rPr>
        <w:t xml:space="preserve"> platelets </w:t>
      </w:r>
      <w:r w:rsidR="00CB39B9">
        <w:rPr>
          <w:rFonts w:ascii="Arial" w:hAnsi="Arial" w:cs="Arial"/>
        </w:rPr>
        <w:t xml:space="preserve">in Walsh’s buffer </w:t>
      </w:r>
      <w:r w:rsidR="001B6D65" w:rsidRPr="001B6D65">
        <w:rPr>
          <w:rFonts w:ascii="Arial" w:hAnsi="Arial" w:cs="Arial"/>
        </w:rPr>
        <w:t>(</w:t>
      </w:r>
      <w:r w:rsidR="001B6D65">
        <w:rPr>
          <w:rFonts w:ascii="Arial" w:hAnsi="Arial" w:cs="Arial"/>
        </w:rPr>
        <w:t>~</w:t>
      </w:r>
      <w:r w:rsidR="001B6D65" w:rsidRPr="001B6D65">
        <w:rPr>
          <w:rFonts w:ascii="Arial" w:hAnsi="Arial" w:cs="Arial"/>
        </w:rPr>
        <w:t>1</w:t>
      </w:r>
      <w:r w:rsidR="001B6D65">
        <w:rPr>
          <w:rFonts w:ascii="Arial" w:hAnsi="Arial" w:cs="Arial"/>
        </w:rPr>
        <w:t>.5x10</w:t>
      </w:r>
      <w:r w:rsidR="001B6D65">
        <w:rPr>
          <w:rFonts w:ascii="Arial" w:hAnsi="Arial" w:cs="Arial"/>
          <w:vertAlign w:val="superscript"/>
        </w:rPr>
        <w:t>9</w:t>
      </w:r>
      <w:r w:rsidR="001B6D65">
        <w:rPr>
          <w:rFonts w:ascii="Arial" w:hAnsi="Arial" w:cs="Arial"/>
        </w:rPr>
        <w:t xml:space="preserve"> platelets/mL</w:t>
      </w:r>
      <w:r w:rsidR="001B6D65" w:rsidRPr="001B6D65">
        <w:rPr>
          <w:rFonts w:ascii="Arial" w:hAnsi="Arial" w:cs="Arial"/>
        </w:rPr>
        <w:t xml:space="preserve">) were incubated with 2.5 </w:t>
      </w:r>
      <w:proofErr w:type="spellStart"/>
      <w:r w:rsidR="001B6D65" w:rsidRPr="001B6D65">
        <w:rPr>
          <w:rFonts w:ascii="Arial" w:hAnsi="Arial" w:cs="Arial"/>
        </w:rPr>
        <w:t>mU</w:t>
      </w:r>
      <w:proofErr w:type="spellEnd"/>
      <w:r w:rsidR="001B6D65" w:rsidRPr="001B6D65">
        <w:rPr>
          <w:rFonts w:ascii="Arial" w:hAnsi="Arial" w:cs="Arial"/>
        </w:rPr>
        <w:t xml:space="preserve"> of α2–3,6,8 neuraminidase for 15 minutes at 37 °C. </w:t>
      </w:r>
      <w:proofErr w:type="spellStart"/>
      <w:r w:rsidR="001B6D65" w:rsidRPr="001B6D65">
        <w:rPr>
          <w:rFonts w:ascii="Arial" w:hAnsi="Arial" w:cs="Arial"/>
        </w:rPr>
        <w:t>Desialylation</w:t>
      </w:r>
      <w:proofErr w:type="spellEnd"/>
      <w:r w:rsidR="001B6D65" w:rsidRPr="001B6D65">
        <w:rPr>
          <w:rFonts w:ascii="Arial" w:hAnsi="Arial" w:cs="Arial"/>
        </w:rPr>
        <w:t xml:space="preserve"> was confirmed by lectin binding</w:t>
      </w:r>
      <w:r w:rsidR="00083115">
        <w:rPr>
          <w:rFonts w:ascii="Arial" w:hAnsi="Arial" w:cs="Arial"/>
        </w:rPr>
        <w:t xml:space="preserve"> (b</w:t>
      </w:r>
      <w:r w:rsidR="00083115" w:rsidRPr="00083115">
        <w:rPr>
          <w:rFonts w:ascii="Arial" w:hAnsi="Arial" w:cs="Arial"/>
        </w:rPr>
        <w:t xml:space="preserve">iotinylated </w:t>
      </w:r>
      <w:r w:rsidR="00083115">
        <w:rPr>
          <w:rFonts w:ascii="Arial" w:hAnsi="Arial" w:cs="Arial"/>
        </w:rPr>
        <w:t xml:space="preserve">version of </w:t>
      </w:r>
      <w:proofErr w:type="spellStart"/>
      <w:r w:rsidR="00083115">
        <w:rPr>
          <w:rFonts w:ascii="Arial" w:hAnsi="Arial" w:cs="Arial"/>
        </w:rPr>
        <w:t>s</w:t>
      </w:r>
      <w:r w:rsidR="00083115" w:rsidRPr="00083115">
        <w:rPr>
          <w:rFonts w:ascii="Arial" w:hAnsi="Arial" w:cs="Arial"/>
        </w:rPr>
        <w:t>ambucus</w:t>
      </w:r>
      <w:proofErr w:type="spellEnd"/>
      <w:r w:rsidR="00083115" w:rsidRPr="00083115">
        <w:rPr>
          <w:rFonts w:ascii="Arial" w:hAnsi="Arial" w:cs="Arial"/>
        </w:rPr>
        <w:t xml:space="preserve"> </w:t>
      </w:r>
      <w:proofErr w:type="spellStart"/>
      <w:r w:rsidR="00083115">
        <w:rPr>
          <w:rFonts w:ascii="Arial" w:hAnsi="Arial" w:cs="Arial"/>
        </w:rPr>
        <w:t>nigra</w:t>
      </w:r>
      <w:proofErr w:type="spellEnd"/>
      <w:r w:rsidR="00083115">
        <w:rPr>
          <w:rFonts w:ascii="Arial" w:hAnsi="Arial" w:cs="Arial"/>
        </w:rPr>
        <w:t xml:space="preserve"> (V</w:t>
      </w:r>
      <w:r w:rsidR="00083115" w:rsidRPr="00083115">
        <w:rPr>
          <w:rFonts w:ascii="Arial" w:hAnsi="Arial" w:cs="Arial"/>
        </w:rPr>
        <w:t xml:space="preserve">ector laboratories </w:t>
      </w:r>
      <w:r w:rsidR="00083115">
        <w:rPr>
          <w:rFonts w:ascii="Arial" w:hAnsi="Arial" w:cs="Arial"/>
        </w:rPr>
        <w:t>L</w:t>
      </w:r>
      <w:r w:rsidR="00083115" w:rsidRPr="00083115">
        <w:rPr>
          <w:rFonts w:ascii="Arial" w:hAnsi="Arial" w:cs="Arial"/>
        </w:rPr>
        <w:t>td</w:t>
      </w:r>
      <w:r w:rsidR="00083115">
        <w:rPr>
          <w:rFonts w:ascii="Arial" w:hAnsi="Arial" w:cs="Arial"/>
        </w:rPr>
        <w:t>))</w:t>
      </w:r>
      <w:r w:rsidR="00CB39B9">
        <w:rPr>
          <w:rFonts w:ascii="Arial" w:hAnsi="Arial" w:cs="Arial"/>
        </w:rPr>
        <w:t xml:space="preserve"> </w:t>
      </w:r>
      <w:r w:rsidR="00B7521B">
        <w:rPr>
          <w:rFonts w:ascii="Arial" w:hAnsi="Arial" w:cs="Arial"/>
        </w:rPr>
        <w:t xml:space="preserve">via flow cytometry </w:t>
      </w:r>
      <w:r w:rsidR="00083115">
        <w:rPr>
          <w:rFonts w:ascii="Arial" w:hAnsi="Arial" w:cs="Arial"/>
        </w:rPr>
        <w:t>(see Supplementary Information</w:t>
      </w:r>
      <w:r w:rsidR="00C44355">
        <w:rPr>
          <w:rFonts w:ascii="Arial" w:hAnsi="Arial" w:cs="Arial"/>
        </w:rPr>
        <w:t>).</w:t>
      </w:r>
      <w:r w:rsidR="00D03D09">
        <w:rPr>
          <w:rFonts w:ascii="Arial" w:hAnsi="Arial" w:cs="Arial"/>
        </w:rPr>
        <w:t xml:space="preserve"> </w:t>
      </w:r>
    </w:p>
    <w:p w14:paraId="60C8CBC5" w14:textId="77777777" w:rsidR="005C1364" w:rsidRDefault="005C1364">
      <w:pPr>
        <w:rPr>
          <w:rFonts w:ascii="Arial" w:hAnsi="Arial" w:cs="Arial"/>
        </w:rPr>
      </w:pPr>
      <w:r>
        <w:rPr>
          <w:rFonts w:ascii="Arial" w:hAnsi="Arial" w:cs="Arial"/>
        </w:rPr>
        <w:br w:type="page"/>
      </w:r>
    </w:p>
    <w:p w14:paraId="123E3EC7" w14:textId="77777777" w:rsidR="005C1364" w:rsidRDefault="005C1364" w:rsidP="005C1364">
      <w:pPr>
        <w:spacing w:after="0" w:line="480" w:lineRule="auto"/>
        <w:ind w:left="-709"/>
        <w:rPr>
          <w:rFonts w:ascii="Arial" w:hAnsi="Arial" w:cs="Arial"/>
          <w:b/>
          <w:sz w:val="36"/>
          <w:szCs w:val="32"/>
        </w:rPr>
      </w:pPr>
      <w:r>
        <w:rPr>
          <w:rFonts w:ascii="Arial" w:hAnsi="Arial" w:cs="Arial"/>
          <w:b/>
          <w:sz w:val="36"/>
          <w:szCs w:val="32"/>
        </w:rPr>
        <w:lastRenderedPageBreak/>
        <w:t xml:space="preserve">Acknowledgements </w:t>
      </w:r>
    </w:p>
    <w:p w14:paraId="78FB1595" w14:textId="77777777" w:rsidR="005C1364" w:rsidRDefault="005C1364" w:rsidP="005C1364">
      <w:pPr>
        <w:spacing w:line="360" w:lineRule="auto"/>
        <w:ind w:left="-709"/>
        <w:jc w:val="both"/>
        <w:rPr>
          <w:rFonts w:ascii="Arial" w:hAnsi="Arial" w:cs="Arial"/>
        </w:rPr>
      </w:pPr>
      <w:r>
        <w:rPr>
          <w:rFonts w:ascii="Arial" w:hAnsi="Arial" w:cs="Arial"/>
        </w:rPr>
        <w:t xml:space="preserve">The research was supported by </w:t>
      </w:r>
      <w:r w:rsidRPr="00F71D67">
        <w:rPr>
          <w:rFonts w:ascii="Arial" w:hAnsi="Arial" w:cs="Arial"/>
        </w:rPr>
        <w:t xml:space="preserve">the MRC Discovery Grant </w:t>
      </w:r>
      <w:r w:rsidRPr="00F71D67">
        <w:rPr>
          <w:rFonts w:ascii="Arial" w:hAnsi="Arial" w:cs="Arial"/>
          <w:lang w:val="en-US"/>
        </w:rPr>
        <w:t>MC_PC_15073</w:t>
      </w:r>
      <w:r w:rsidRPr="00F71D67">
        <w:rPr>
          <w:rFonts w:ascii="Arial" w:hAnsi="Arial" w:cs="Arial"/>
        </w:rPr>
        <w:t xml:space="preserve"> and by the </w:t>
      </w:r>
      <w:r>
        <w:rPr>
          <w:rFonts w:ascii="Arial" w:hAnsi="Arial" w:cs="Arial"/>
        </w:rPr>
        <w:t xml:space="preserve">EPSRC Programme Grant </w:t>
      </w:r>
      <w:r w:rsidRPr="00F71D67">
        <w:rPr>
          <w:rFonts w:ascii="Arial" w:hAnsi="Arial" w:cs="Arial"/>
        </w:rPr>
        <w:t>EP/P030017/1</w:t>
      </w:r>
      <w:r>
        <w:rPr>
          <w:rFonts w:ascii="Arial" w:hAnsi="Arial" w:cs="Arial"/>
        </w:rPr>
        <w:t xml:space="preserve">. </w:t>
      </w:r>
      <w:r w:rsidRPr="00F71D67">
        <w:rPr>
          <w:rFonts w:ascii="Arial" w:hAnsi="Arial" w:cs="Arial"/>
        </w:rPr>
        <w:t xml:space="preserve">The dataset associated with this research will be available online from the University of York Data Catalogue at DOI </w:t>
      </w:r>
      <w:r w:rsidRPr="00934D8B">
        <w:rPr>
          <w:rFonts w:ascii="Arial" w:hAnsi="Arial" w:cs="Arial"/>
        </w:rPr>
        <w:t>10.15124/dffb9f91-cd1e-490e-8813-da88da18f16b</w:t>
      </w:r>
      <w:r w:rsidRPr="00F71D67">
        <w:rPr>
          <w:rFonts w:ascii="Arial" w:hAnsi="Arial" w:cs="Arial"/>
        </w:rPr>
        <w:t xml:space="preserve">. We thank </w:t>
      </w:r>
      <w:r>
        <w:rPr>
          <w:rFonts w:ascii="Arial" w:hAnsi="Arial" w:cs="Arial"/>
        </w:rPr>
        <w:t>Oliver Herd</w:t>
      </w:r>
      <w:r w:rsidRPr="00F71D67">
        <w:rPr>
          <w:rFonts w:ascii="Arial" w:hAnsi="Arial" w:cs="Arial"/>
        </w:rPr>
        <w:t xml:space="preserve"> for his assistance in optimizing </w:t>
      </w:r>
      <w:r>
        <w:rPr>
          <w:rFonts w:ascii="Arial" w:hAnsi="Arial" w:cs="Arial"/>
        </w:rPr>
        <w:t>the different cell lines culture and in performing qPCR control experiments and the Imaging and Cytometry Technology Facility in the Department of Biology, University of York.</w:t>
      </w:r>
    </w:p>
    <w:p w14:paraId="5377E54C" w14:textId="77777777" w:rsidR="005C1364" w:rsidRDefault="005C1364" w:rsidP="005C1364">
      <w:pPr>
        <w:spacing w:line="240" w:lineRule="auto"/>
        <w:ind w:left="-709"/>
        <w:jc w:val="both"/>
        <w:rPr>
          <w:rFonts w:ascii="Arial" w:hAnsi="Arial" w:cs="Arial"/>
        </w:rPr>
      </w:pPr>
    </w:p>
    <w:p w14:paraId="39A46B4D" w14:textId="77777777" w:rsidR="005C1364" w:rsidRDefault="005C1364" w:rsidP="005C1364">
      <w:pPr>
        <w:spacing w:line="240" w:lineRule="auto"/>
        <w:ind w:left="-709"/>
        <w:jc w:val="both"/>
        <w:rPr>
          <w:rFonts w:ascii="Arial" w:hAnsi="Arial" w:cs="Arial"/>
          <w:bCs/>
          <w:color w:val="000000"/>
          <w:szCs w:val="32"/>
          <w:lang w:eastAsia="es-ES"/>
        </w:rPr>
      </w:pPr>
      <w:r>
        <w:rPr>
          <w:rFonts w:ascii="Arial" w:hAnsi="Arial" w:cs="Arial"/>
          <w:b/>
          <w:bCs/>
          <w:color w:val="000000"/>
          <w:sz w:val="36"/>
          <w:szCs w:val="32"/>
          <w:lang w:eastAsia="es-ES"/>
        </w:rPr>
        <w:t>Author contributions</w:t>
      </w:r>
    </w:p>
    <w:p w14:paraId="73B548E1" w14:textId="77777777" w:rsidR="005C1364" w:rsidRDefault="005C1364" w:rsidP="005C1364">
      <w:pPr>
        <w:shd w:val="clear" w:color="auto" w:fill="FFFFFF"/>
        <w:spacing w:before="280" w:after="280" w:line="360" w:lineRule="auto"/>
        <w:ind w:left="-709"/>
        <w:jc w:val="both"/>
        <w:rPr>
          <w:rFonts w:ascii="Arial" w:hAnsi="Arial" w:cs="Arial"/>
          <w:b/>
          <w:color w:val="000000"/>
          <w:sz w:val="36"/>
          <w:szCs w:val="32"/>
          <w:lang w:eastAsia="es-ES"/>
        </w:rPr>
      </w:pPr>
      <w:r>
        <w:rPr>
          <w:rFonts w:ascii="Arial" w:hAnsi="Arial" w:cs="Arial"/>
          <w:bCs/>
          <w:color w:val="000000"/>
          <w:szCs w:val="32"/>
          <w:lang w:eastAsia="es-ES"/>
        </w:rPr>
        <w:t>J.J.C. designed the structures, fabricated the samples, developed the measuring method and performed the calculations and measurements. S.J. and T.F.K. conceived the idea and supervised the project. I.S.H. and M. C. developed the idea of quantifying h</w:t>
      </w:r>
      <w:r w:rsidRPr="00BC3E2C">
        <w:rPr>
          <w:rFonts w:ascii="Arial" w:hAnsi="Arial" w:cs="Arial"/>
          <w:bCs/>
          <w:color w:val="000000"/>
          <w:szCs w:val="32"/>
          <w:lang w:eastAsia="es-ES"/>
        </w:rPr>
        <w:t xml:space="preserve">eterogeneity in </w:t>
      </w:r>
      <w:r>
        <w:rPr>
          <w:rFonts w:ascii="Arial" w:hAnsi="Arial" w:cs="Arial"/>
          <w:bCs/>
          <w:color w:val="000000"/>
          <w:szCs w:val="32"/>
          <w:lang w:eastAsia="es-ES"/>
        </w:rPr>
        <w:t>the different cell lines. All authors contributed to the writing of the manuscript.</w:t>
      </w:r>
    </w:p>
    <w:p w14:paraId="0CB9CCC3" w14:textId="77777777" w:rsidR="005C1364" w:rsidRDefault="005C1364" w:rsidP="005C1364">
      <w:pPr>
        <w:shd w:val="clear" w:color="auto" w:fill="FFFFFF"/>
        <w:spacing w:before="280" w:after="280"/>
        <w:ind w:left="-709"/>
        <w:rPr>
          <w:rFonts w:ascii="Arial" w:hAnsi="Arial" w:cs="Arial"/>
          <w:spacing w:val="6"/>
        </w:rPr>
      </w:pPr>
      <w:r>
        <w:rPr>
          <w:rFonts w:ascii="Arial" w:hAnsi="Arial" w:cs="Arial"/>
          <w:b/>
          <w:color w:val="000000"/>
          <w:sz w:val="36"/>
          <w:szCs w:val="32"/>
          <w:lang w:eastAsia="es-ES"/>
        </w:rPr>
        <w:t>Competing financial interests</w:t>
      </w:r>
    </w:p>
    <w:p w14:paraId="4EF11368" w14:textId="77777777" w:rsidR="005C1364" w:rsidRDefault="005C1364" w:rsidP="005C1364">
      <w:pPr>
        <w:spacing w:line="480" w:lineRule="auto"/>
        <w:ind w:left="-709"/>
        <w:rPr>
          <w:rFonts w:ascii="Arial" w:hAnsi="Arial" w:cs="Arial"/>
          <w:b/>
          <w:sz w:val="32"/>
        </w:rPr>
      </w:pPr>
      <w:r>
        <w:rPr>
          <w:rFonts w:ascii="Arial" w:hAnsi="Arial" w:cs="Arial"/>
          <w:spacing w:val="6"/>
        </w:rPr>
        <w:t>The authors declare no competing financial interests.</w:t>
      </w:r>
    </w:p>
    <w:p w14:paraId="29F4345A" w14:textId="77777777" w:rsidR="005331EB" w:rsidRDefault="005331EB" w:rsidP="00973D93">
      <w:pPr>
        <w:spacing w:line="360" w:lineRule="auto"/>
        <w:ind w:left="-709"/>
        <w:rPr>
          <w:rFonts w:ascii="Arial" w:hAnsi="Arial" w:cs="Arial"/>
        </w:rPr>
      </w:pPr>
    </w:p>
    <w:p w14:paraId="6C612647" w14:textId="77777777" w:rsidR="005331EB" w:rsidRPr="00F87584" w:rsidRDefault="005331EB" w:rsidP="000A2A8D">
      <w:pPr>
        <w:spacing w:line="360" w:lineRule="auto"/>
        <w:ind w:left="-709"/>
        <w:jc w:val="both"/>
        <w:rPr>
          <w:rFonts w:ascii="Arial" w:hAnsi="Arial" w:cs="Arial"/>
        </w:rPr>
      </w:pPr>
    </w:p>
    <w:p w14:paraId="66066B8D" w14:textId="77777777" w:rsidR="00763341" w:rsidRDefault="00763341" w:rsidP="00427896">
      <w:pPr>
        <w:spacing w:line="360" w:lineRule="auto"/>
        <w:ind w:firstLine="708"/>
        <w:jc w:val="both"/>
        <w:rPr>
          <w:rFonts w:ascii="Arial" w:hAnsi="Arial" w:cs="Arial"/>
          <w:lang w:val="en-US"/>
        </w:rPr>
      </w:pPr>
    </w:p>
    <w:p w14:paraId="1F58E082" w14:textId="77777777" w:rsidR="009403B2" w:rsidRDefault="009403B2">
      <w:pPr>
        <w:rPr>
          <w:rFonts w:ascii="Arial" w:hAnsi="Arial" w:cs="Arial"/>
          <w:b/>
          <w:sz w:val="36"/>
          <w:szCs w:val="32"/>
        </w:rPr>
      </w:pPr>
      <w:r>
        <w:rPr>
          <w:rFonts w:ascii="Arial" w:hAnsi="Arial" w:cs="Arial"/>
          <w:b/>
          <w:sz w:val="36"/>
          <w:szCs w:val="32"/>
        </w:rPr>
        <w:br w:type="page"/>
      </w:r>
    </w:p>
    <w:p w14:paraId="2FA99E5D" w14:textId="77777777" w:rsidR="009403B2" w:rsidRDefault="009403B2" w:rsidP="009403B2">
      <w:pPr>
        <w:spacing w:line="480" w:lineRule="auto"/>
        <w:rPr>
          <w:rFonts w:ascii="Arial" w:hAnsi="Arial" w:cs="Arial"/>
          <w:b/>
          <w:sz w:val="36"/>
          <w:szCs w:val="32"/>
        </w:rPr>
      </w:pPr>
      <w:r>
        <w:rPr>
          <w:rFonts w:ascii="Arial" w:hAnsi="Arial" w:cs="Arial"/>
          <w:b/>
          <w:sz w:val="36"/>
          <w:szCs w:val="32"/>
        </w:rPr>
        <w:lastRenderedPageBreak/>
        <w:t>References</w:t>
      </w:r>
    </w:p>
    <w:p w14:paraId="315714E9" w14:textId="7C2F9D74" w:rsidR="00AB0567" w:rsidRPr="00AB0567" w:rsidRDefault="00BC2922" w:rsidP="00AB0567">
      <w:pPr>
        <w:widowControl w:val="0"/>
        <w:autoSpaceDE w:val="0"/>
        <w:autoSpaceDN w:val="0"/>
        <w:adjustRightInd w:val="0"/>
        <w:spacing w:line="240" w:lineRule="auto"/>
        <w:ind w:left="640" w:hanging="640"/>
        <w:rPr>
          <w:rFonts w:ascii="Arial" w:hAnsi="Arial" w:cs="Arial"/>
          <w:noProof/>
          <w:szCs w:val="24"/>
        </w:rPr>
      </w:pPr>
      <w:r w:rsidRPr="00BC2922">
        <w:rPr>
          <w:rFonts w:ascii="Arial" w:hAnsi="Arial" w:cs="Arial"/>
          <w:lang w:val="en-US"/>
        </w:rPr>
        <w:t xml:space="preserve"> </w:t>
      </w:r>
      <w:r w:rsidR="00B77C79">
        <w:rPr>
          <w:rFonts w:ascii="Arial" w:hAnsi="Arial" w:cs="Arial"/>
          <w:lang w:val="en-US"/>
        </w:rPr>
        <w:fldChar w:fldCharType="begin" w:fldLock="1"/>
      </w:r>
      <w:r w:rsidR="00B77C79">
        <w:rPr>
          <w:rFonts w:ascii="Arial" w:hAnsi="Arial" w:cs="Arial"/>
          <w:lang w:val="en-US"/>
        </w:rPr>
        <w:instrText xml:space="preserve">ADDIN Mendeley Bibliography CSL_BIBLIOGRAPHY </w:instrText>
      </w:r>
      <w:r w:rsidR="00B77C79">
        <w:rPr>
          <w:rFonts w:ascii="Arial" w:hAnsi="Arial" w:cs="Arial"/>
          <w:lang w:val="en-US"/>
        </w:rPr>
        <w:fldChar w:fldCharType="separate"/>
      </w:r>
      <w:r w:rsidR="00AB0567" w:rsidRPr="00AB0567">
        <w:rPr>
          <w:rFonts w:ascii="Arial" w:hAnsi="Arial" w:cs="Arial"/>
          <w:noProof/>
          <w:szCs w:val="24"/>
        </w:rPr>
        <w:t xml:space="preserve">1. </w:t>
      </w:r>
      <w:r w:rsidR="00AB0567" w:rsidRPr="00AB0567">
        <w:rPr>
          <w:rFonts w:ascii="Arial" w:hAnsi="Arial" w:cs="Arial"/>
          <w:noProof/>
          <w:szCs w:val="24"/>
        </w:rPr>
        <w:tab/>
        <w:t xml:space="preserve">Mukherjee P, Mani S (2013) Methodologies to decipher the cell secretome. </w:t>
      </w:r>
      <w:r w:rsidR="00AB0567" w:rsidRPr="00AB0567">
        <w:rPr>
          <w:rFonts w:ascii="Arial" w:hAnsi="Arial" w:cs="Arial"/>
          <w:i/>
          <w:iCs/>
          <w:noProof/>
          <w:szCs w:val="24"/>
        </w:rPr>
        <w:t>Biochim Biophys Acta - Proteins Proteomics</w:t>
      </w:r>
      <w:r w:rsidR="00AB0567" w:rsidRPr="00AB0567">
        <w:rPr>
          <w:rFonts w:ascii="Arial" w:hAnsi="Arial" w:cs="Arial"/>
          <w:noProof/>
          <w:szCs w:val="24"/>
        </w:rPr>
        <w:t xml:space="preserve"> 1834(11):2226–2232.</w:t>
      </w:r>
    </w:p>
    <w:p w14:paraId="74C9FE54" w14:textId="77777777" w:rsidR="00AB0567" w:rsidRPr="00AB0567" w:rsidRDefault="00AB0567" w:rsidP="00AB0567">
      <w:pPr>
        <w:widowControl w:val="0"/>
        <w:autoSpaceDE w:val="0"/>
        <w:autoSpaceDN w:val="0"/>
        <w:adjustRightInd w:val="0"/>
        <w:spacing w:line="240" w:lineRule="auto"/>
        <w:ind w:left="640" w:hanging="640"/>
        <w:rPr>
          <w:rFonts w:ascii="Arial" w:hAnsi="Arial" w:cs="Arial"/>
          <w:noProof/>
          <w:szCs w:val="24"/>
        </w:rPr>
      </w:pPr>
      <w:r w:rsidRPr="00AB0567">
        <w:rPr>
          <w:rFonts w:ascii="Arial" w:hAnsi="Arial" w:cs="Arial"/>
          <w:noProof/>
          <w:szCs w:val="24"/>
        </w:rPr>
        <w:t xml:space="preserve">2. </w:t>
      </w:r>
      <w:r w:rsidRPr="00AB0567">
        <w:rPr>
          <w:rFonts w:ascii="Arial" w:hAnsi="Arial" w:cs="Arial"/>
          <w:noProof/>
          <w:szCs w:val="24"/>
        </w:rPr>
        <w:tab/>
        <w:t xml:space="preserve">Altschuler SJ, Wu LF (2010) Cellular Heterogeneity: Do Differences Make a Difference? </w:t>
      </w:r>
      <w:r w:rsidRPr="00AB0567">
        <w:rPr>
          <w:rFonts w:ascii="Arial" w:hAnsi="Arial" w:cs="Arial"/>
          <w:i/>
          <w:iCs/>
          <w:noProof/>
          <w:szCs w:val="24"/>
        </w:rPr>
        <w:t>Cell</w:t>
      </w:r>
      <w:r w:rsidRPr="00AB0567">
        <w:rPr>
          <w:rFonts w:ascii="Arial" w:hAnsi="Arial" w:cs="Arial"/>
          <w:noProof/>
          <w:szCs w:val="24"/>
        </w:rPr>
        <w:t xml:space="preserve"> 141(4):559–563.</w:t>
      </w:r>
    </w:p>
    <w:p w14:paraId="042ED03F" w14:textId="77777777" w:rsidR="00AB0567" w:rsidRPr="00AB0567" w:rsidRDefault="00AB0567" w:rsidP="00AB0567">
      <w:pPr>
        <w:widowControl w:val="0"/>
        <w:autoSpaceDE w:val="0"/>
        <w:autoSpaceDN w:val="0"/>
        <w:adjustRightInd w:val="0"/>
        <w:spacing w:line="240" w:lineRule="auto"/>
        <w:ind w:left="640" w:hanging="640"/>
        <w:rPr>
          <w:rFonts w:ascii="Arial" w:hAnsi="Arial" w:cs="Arial"/>
          <w:noProof/>
          <w:szCs w:val="24"/>
        </w:rPr>
      </w:pPr>
      <w:r w:rsidRPr="00AB0567">
        <w:rPr>
          <w:rFonts w:ascii="Arial" w:hAnsi="Arial" w:cs="Arial"/>
          <w:noProof/>
          <w:szCs w:val="24"/>
        </w:rPr>
        <w:t xml:space="preserve">3. </w:t>
      </w:r>
      <w:r w:rsidRPr="00AB0567">
        <w:rPr>
          <w:rFonts w:ascii="Arial" w:hAnsi="Arial" w:cs="Arial"/>
          <w:noProof/>
          <w:szCs w:val="24"/>
        </w:rPr>
        <w:tab/>
        <w:t xml:space="preserve">Shirasaki Y, et al. (2014) Real-time single-cell imaging of protein secretion. </w:t>
      </w:r>
      <w:r w:rsidRPr="00AB0567">
        <w:rPr>
          <w:rFonts w:ascii="Arial" w:hAnsi="Arial" w:cs="Arial"/>
          <w:i/>
          <w:iCs/>
          <w:noProof/>
          <w:szCs w:val="24"/>
        </w:rPr>
        <w:t>Sci Rep</w:t>
      </w:r>
      <w:r w:rsidRPr="00AB0567">
        <w:rPr>
          <w:rFonts w:ascii="Arial" w:hAnsi="Arial" w:cs="Arial"/>
          <w:noProof/>
          <w:szCs w:val="24"/>
        </w:rPr>
        <w:t xml:space="preserve"> 4. doi:10.1038/srep04736.</w:t>
      </w:r>
    </w:p>
    <w:p w14:paraId="12F7B62A" w14:textId="77777777" w:rsidR="00AB0567" w:rsidRPr="00AB0567" w:rsidRDefault="00AB0567" w:rsidP="00AB0567">
      <w:pPr>
        <w:widowControl w:val="0"/>
        <w:autoSpaceDE w:val="0"/>
        <w:autoSpaceDN w:val="0"/>
        <w:adjustRightInd w:val="0"/>
        <w:spacing w:line="240" w:lineRule="auto"/>
        <w:ind w:left="640" w:hanging="640"/>
        <w:rPr>
          <w:rFonts w:ascii="Arial" w:hAnsi="Arial" w:cs="Arial"/>
          <w:noProof/>
          <w:szCs w:val="24"/>
        </w:rPr>
      </w:pPr>
      <w:r w:rsidRPr="00AB0567">
        <w:rPr>
          <w:rFonts w:ascii="Arial" w:hAnsi="Arial" w:cs="Arial"/>
          <w:noProof/>
          <w:szCs w:val="24"/>
        </w:rPr>
        <w:t xml:space="preserve">4. </w:t>
      </w:r>
      <w:r w:rsidRPr="00AB0567">
        <w:rPr>
          <w:rFonts w:ascii="Arial" w:hAnsi="Arial" w:cs="Arial"/>
          <w:noProof/>
          <w:szCs w:val="24"/>
        </w:rPr>
        <w:tab/>
        <w:t xml:space="preserve">Li X, et al. (2018) Label-Free Optofluidic Nanobiosensor Enables Real-Time Analysis of Single-Cell Cytokine Secretion. </w:t>
      </w:r>
      <w:r w:rsidRPr="00AB0567">
        <w:rPr>
          <w:rFonts w:ascii="Arial" w:hAnsi="Arial" w:cs="Arial"/>
          <w:i/>
          <w:iCs/>
          <w:noProof/>
          <w:szCs w:val="24"/>
        </w:rPr>
        <w:t>Small</w:t>
      </w:r>
      <w:r w:rsidRPr="00AB0567">
        <w:rPr>
          <w:rFonts w:ascii="Arial" w:hAnsi="Arial" w:cs="Arial"/>
          <w:noProof/>
          <w:szCs w:val="24"/>
        </w:rPr>
        <w:t xml:space="preserve"> 1800698:1–11.</w:t>
      </w:r>
    </w:p>
    <w:p w14:paraId="4414225A" w14:textId="77777777" w:rsidR="00AB0567" w:rsidRPr="00AB0567" w:rsidRDefault="00AB0567" w:rsidP="00AB0567">
      <w:pPr>
        <w:widowControl w:val="0"/>
        <w:autoSpaceDE w:val="0"/>
        <w:autoSpaceDN w:val="0"/>
        <w:adjustRightInd w:val="0"/>
        <w:spacing w:line="240" w:lineRule="auto"/>
        <w:ind w:left="640" w:hanging="640"/>
        <w:rPr>
          <w:rFonts w:ascii="Arial" w:hAnsi="Arial" w:cs="Arial"/>
          <w:noProof/>
          <w:szCs w:val="24"/>
        </w:rPr>
      </w:pPr>
      <w:r w:rsidRPr="00AB0567">
        <w:rPr>
          <w:rFonts w:ascii="Arial" w:hAnsi="Arial" w:cs="Arial"/>
          <w:noProof/>
          <w:szCs w:val="24"/>
        </w:rPr>
        <w:t xml:space="preserve">5. </w:t>
      </w:r>
      <w:r w:rsidRPr="00AB0567">
        <w:rPr>
          <w:rFonts w:ascii="Arial" w:hAnsi="Arial" w:cs="Arial"/>
          <w:noProof/>
          <w:szCs w:val="24"/>
        </w:rPr>
        <w:tab/>
        <w:t xml:space="preserve">McDonald MP, et al. (2018) Visualizing Single-Cell Secretion Dynamics with Single-Protein Sensitivity. </w:t>
      </w:r>
      <w:r w:rsidRPr="00AB0567">
        <w:rPr>
          <w:rFonts w:ascii="Arial" w:hAnsi="Arial" w:cs="Arial"/>
          <w:i/>
          <w:iCs/>
          <w:noProof/>
          <w:szCs w:val="24"/>
        </w:rPr>
        <w:t>Nano Lett</w:t>
      </w:r>
      <w:r w:rsidRPr="00AB0567">
        <w:rPr>
          <w:rFonts w:ascii="Arial" w:hAnsi="Arial" w:cs="Arial"/>
          <w:noProof/>
          <w:szCs w:val="24"/>
        </w:rPr>
        <w:t xml:space="preserve"> 18(1):513–519.</w:t>
      </w:r>
    </w:p>
    <w:p w14:paraId="5376C045" w14:textId="77777777" w:rsidR="00AB0567" w:rsidRPr="00AB0567" w:rsidRDefault="00AB0567" w:rsidP="00AB0567">
      <w:pPr>
        <w:widowControl w:val="0"/>
        <w:autoSpaceDE w:val="0"/>
        <w:autoSpaceDN w:val="0"/>
        <w:adjustRightInd w:val="0"/>
        <w:spacing w:line="240" w:lineRule="auto"/>
        <w:ind w:left="640" w:hanging="640"/>
        <w:rPr>
          <w:rFonts w:ascii="Arial" w:hAnsi="Arial" w:cs="Arial"/>
          <w:noProof/>
          <w:szCs w:val="24"/>
        </w:rPr>
      </w:pPr>
      <w:r w:rsidRPr="00AB0567">
        <w:rPr>
          <w:rFonts w:ascii="Arial" w:hAnsi="Arial" w:cs="Arial"/>
          <w:noProof/>
          <w:szCs w:val="24"/>
        </w:rPr>
        <w:t xml:space="preserve">6. </w:t>
      </w:r>
      <w:r w:rsidRPr="00AB0567">
        <w:rPr>
          <w:rFonts w:ascii="Arial" w:hAnsi="Arial" w:cs="Arial"/>
          <w:noProof/>
          <w:szCs w:val="24"/>
        </w:rPr>
        <w:tab/>
        <w:t xml:space="preserve">Pitruzzello G, Krauss TF (2018) Photonic crystal resonances for sensing and imaging. </w:t>
      </w:r>
      <w:r w:rsidRPr="00AB0567">
        <w:rPr>
          <w:rFonts w:ascii="Arial" w:hAnsi="Arial" w:cs="Arial"/>
          <w:i/>
          <w:iCs/>
          <w:noProof/>
          <w:szCs w:val="24"/>
        </w:rPr>
        <w:t>J Opt</w:t>
      </w:r>
      <w:r w:rsidRPr="00AB0567">
        <w:rPr>
          <w:rFonts w:ascii="Arial" w:hAnsi="Arial" w:cs="Arial"/>
          <w:noProof/>
          <w:szCs w:val="24"/>
        </w:rPr>
        <w:t>. doi:10.1088/2040-8986/aac75b.</w:t>
      </w:r>
    </w:p>
    <w:p w14:paraId="0DBAEE49" w14:textId="77777777" w:rsidR="00AB0567" w:rsidRPr="00AB0567" w:rsidRDefault="00AB0567" w:rsidP="00AB0567">
      <w:pPr>
        <w:widowControl w:val="0"/>
        <w:autoSpaceDE w:val="0"/>
        <w:autoSpaceDN w:val="0"/>
        <w:adjustRightInd w:val="0"/>
        <w:spacing w:line="240" w:lineRule="auto"/>
        <w:ind w:left="640" w:hanging="640"/>
        <w:rPr>
          <w:rFonts w:ascii="Arial" w:hAnsi="Arial" w:cs="Arial"/>
          <w:noProof/>
          <w:szCs w:val="24"/>
        </w:rPr>
      </w:pPr>
      <w:r w:rsidRPr="00AB0567">
        <w:rPr>
          <w:rFonts w:ascii="Arial" w:hAnsi="Arial" w:cs="Arial"/>
          <w:noProof/>
          <w:szCs w:val="24"/>
        </w:rPr>
        <w:t xml:space="preserve">7. </w:t>
      </w:r>
      <w:r w:rsidRPr="00AB0567">
        <w:rPr>
          <w:rFonts w:ascii="Arial" w:hAnsi="Arial" w:cs="Arial"/>
          <w:noProof/>
          <w:szCs w:val="24"/>
        </w:rPr>
        <w:tab/>
        <w:t xml:space="preserve">Triggs GJ, et al. (2015) Spatial resolution and refractive index contrast of resonant photonic crystal surfaces for biosensing. </w:t>
      </w:r>
      <w:r w:rsidRPr="00AB0567">
        <w:rPr>
          <w:rFonts w:ascii="Arial" w:hAnsi="Arial" w:cs="Arial"/>
          <w:i/>
          <w:iCs/>
          <w:noProof/>
          <w:szCs w:val="24"/>
        </w:rPr>
        <w:t>IEEE Photonics J</w:t>
      </w:r>
      <w:r w:rsidRPr="00AB0567">
        <w:rPr>
          <w:rFonts w:ascii="Arial" w:hAnsi="Arial" w:cs="Arial"/>
          <w:noProof/>
          <w:szCs w:val="24"/>
        </w:rPr>
        <w:t xml:space="preserve"> 7(3). doi:10.1109/JPHOT.2015.2435699.</w:t>
      </w:r>
    </w:p>
    <w:p w14:paraId="57542A7A" w14:textId="77777777" w:rsidR="00AB0567" w:rsidRPr="00AB0567" w:rsidRDefault="00AB0567" w:rsidP="00AB0567">
      <w:pPr>
        <w:widowControl w:val="0"/>
        <w:autoSpaceDE w:val="0"/>
        <w:autoSpaceDN w:val="0"/>
        <w:adjustRightInd w:val="0"/>
        <w:spacing w:line="240" w:lineRule="auto"/>
        <w:ind w:left="640" w:hanging="640"/>
        <w:rPr>
          <w:rFonts w:ascii="Arial" w:hAnsi="Arial" w:cs="Arial"/>
          <w:noProof/>
          <w:szCs w:val="24"/>
        </w:rPr>
      </w:pPr>
      <w:r w:rsidRPr="00AB0567">
        <w:rPr>
          <w:rFonts w:ascii="Arial" w:hAnsi="Arial" w:cs="Arial"/>
          <w:noProof/>
          <w:szCs w:val="24"/>
        </w:rPr>
        <w:t xml:space="preserve">8. </w:t>
      </w:r>
      <w:r w:rsidRPr="00AB0567">
        <w:rPr>
          <w:rFonts w:ascii="Arial" w:hAnsi="Arial" w:cs="Arial"/>
          <w:noProof/>
          <w:szCs w:val="24"/>
        </w:rPr>
        <w:tab/>
        <w:t xml:space="preserve">Estevez MC, Alvarez M, Lechuga LM (2012) Integrated optical devices for lab-on-a-chip biosensing applications. </w:t>
      </w:r>
      <w:r w:rsidRPr="00AB0567">
        <w:rPr>
          <w:rFonts w:ascii="Arial" w:hAnsi="Arial" w:cs="Arial"/>
          <w:i/>
          <w:iCs/>
          <w:noProof/>
          <w:szCs w:val="24"/>
        </w:rPr>
        <w:t>Laser Photon Rev</w:t>
      </w:r>
      <w:r w:rsidRPr="00AB0567">
        <w:rPr>
          <w:rFonts w:ascii="Arial" w:hAnsi="Arial" w:cs="Arial"/>
          <w:noProof/>
          <w:szCs w:val="24"/>
        </w:rPr>
        <w:t xml:space="preserve"> 6(4):463–487.</w:t>
      </w:r>
    </w:p>
    <w:p w14:paraId="52EE80DB" w14:textId="77777777" w:rsidR="00AB0567" w:rsidRPr="00AB0567" w:rsidRDefault="00AB0567" w:rsidP="00AB0567">
      <w:pPr>
        <w:widowControl w:val="0"/>
        <w:autoSpaceDE w:val="0"/>
        <w:autoSpaceDN w:val="0"/>
        <w:adjustRightInd w:val="0"/>
        <w:spacing w:line="240" w:lineRule="auto"/>
        <w:ind w:left="640" w:hanging="640"/>
        <w:rPr>
          <w:rFonts w:ascii="Arial" w:hAnsi="Arial" w:cs="Arial"/>
          <w:noProof/>
          <w:szCs w:val="24"/>
        </w:rPr>
      </w:pPr>
      <w:r w:rsidRPr="00AB0567">
        <w:rPr>
          <w:rFonts w:ascii="Arial" w:hAnsi="Arial" w:cs="Arial"/>
          <w:noProof/>
          <w:szCs w:val="24"/>
        </w:rPr>
        <w:t xml:space="preserve">9. </w:t>
      </w:r>
      <w:r w:rsidRPr="00AB0567">
        <w:rPr>
          <w:rFonts w:ascii="Arial" w:hAnsi="Arial" w:cs="Arial"/>
          <w:noProof/>
          <w:szCs w:val="24"/>
        </w:rPr>
        <w:tab/>
        <w:t xml:space="preserve">Linden HM, Kaushansky K (2002) The Glycan Domain of Thrombopoietin (TPO) Acts intrans to Enhance Secretion of the Hormone and Other Cytokines . </w:t>
      </w:r>
      <w:r w:rsidRPr="00AB0567">
        <w:rPr>
          <w:rFonts w:ascii="Arial" w:hAnsi="Arial" w:cs="Arial"/>
          <w:i/>
          <w:iCs/>
          <w:noProof/>
          <w:szCs w:val="24"/>
        </w:rPr>
        <w:t xml:space="preserve">J Biol Chem </w:t>
      </w:r>
      <w:r w:rsidRPr="00AB0567">
        <w:rPr>
          <w:rFonts w:ascii="Arial" w:hAnsi="Arial" w:cs="Arial"/>
          <w:noProof/>
          <w:szCs w:val="24"/>
        </w:rPr>
        <w:t xml:space="preserve"> 277(38):35240–35247.</w:t>
      </w:r>
    </w:p>
    <w:p w14:paraId="22D23909" w14:textId="77777777" w:rsidR="00AB0567" w:rsidRPr="00AB0567" w:rsidRDefault="00AB0567" w:rsidP="00AB0567">
      <w:pPr>
        <w:widowControl w:val="0"/>
        <w:autoSpaceDE w:val="0"/>
        <w:autoSpaceDN w:val="0"/>
        <w:adjustRightInd w:val="0"/>
        <w:spacing w:line="240" w:lineRule="auto"/>
        <w:ind w:left="640" w:hanging="640"/>
        <w:rPr>
          <w:rFonts w:ascii="Arial" w:hAnsi="Arial" w:cs="Arial"/>
          <w:noProof/>
          <w:szCs w:val="24"/>
        </w:rPr>
      </w:pPr>
      <w:r w:rsidRPr="00AB0567">
        <w:rPr>
          <w:rFonts w:ascii="Arial" w:hAnsi="Arial" w:cs="Arial"/>
          <w:noProof/>
          <w:szCs w:val="24"/>
        </w:rPr>
        <w:t xml:space="preserve">10. </w:t>
      </w:r>
      <w:r w:rsidRPr="00AB0567">
        <w:rPr>
          <w:rFonts w:ascii="Arial" w:hAnsi="Arial" w:cs="Arial"/>
          <w:noProof/>
          <w:szCs w:val="24"/>
        </w:rPr>
        <w:tab/>
        <w:t xml:space="preserve">Triggs GJ, et al. (2015) Spatial resolution and refractive index contrast of resonant photonic crystal surfaces for biosensing. </w:t>
      </w:r>
      <w:r w:rsidRPr="00AB0567">
        <w:rPr>
          <w:rFonts w:ascii="Arial" w:hAnsi="Arial" w:cs="Arial"/>
          <w:i/>
          <w:iCs/>
          <w:noProof/>
          <w:szCs w:val="24"/>
        </w:rPr>
        <w:t>IEEE Photonics J</w:t>
      </w:r>
      <w:r w:rsidRPr="00AB0567">
        <w:rPr>
          <w:rFonts w:ascii="Arial" w:hAnsi="Arial" w:cs="Arial"/>
          <w:noProof/>
          <w:szCs w:val="24"/>
        </w:rPr>
        <w:t xml:space="preserve"> 7(3). doi:10.1109/JPHOT.2015.2435699.</w:t>
      </w:r>
    </w:p>
    <w:p w14:paraId="75E2E230" w14:textId="77777777" w:rsidR="00AB0567" w:rsidRPr="00AB0567" w:rsidRDefault="00AB0567" w:rsidP="00AB0567">
      <w:pPr>
        <w:widowControl w:val="0"/>
        <w:autoSpaceDE w:val="0"/>
        <w:autoSpaceDN w:val="0"/>
        <w:adjustRightInd w:val="0"/>
        <w:spacing w:line="240" w:lineRule="auto"/>
        <w:ind w:left="640" w:hanging="640"/>
        <w:rPr>
          <w:rFonts w:ascii="Arial" w:hAnsi="Arial" w:cs="Arial"/>
          <w:noProof/>
          <w:szCs w:val="24"/>
        </w:rPr>
      </w:pPr>
      <w:r w:rsidRPr="00AB0567">
        <w:rPr>
          <w:rFonts w:ascii="Arial" w:hAnsi="Arial" w:cs="Arial"/>
          <w:noProof/>
          <w:szCs w:val="24"/>
        </w:rPr>
        <w:t xml:space="preserve">11. </w:t>
      </w:r>
      <w:r w:rsidRPr="00AB0567">
        <w:rPr>
          <w:rFonts w:ascii="Arial" w:hAnsi="Arial" w:cs="Arial"/>
          <w:noProof/>
          <w:szCs w:val="24"/>
        </w:rPr>
        <w:tab/>
        <w:t xml:space="preserve">Kuter DJ, Rosenberg RD (1995) The reciprocal relationship of thrombopoietin (c-Mpl ligand) to changes in the platelet mass during busulfan-induced thrombocytopenia in the rabbit. </w:t>
      </w:r>
      <w:r w:rsidRPr="00AB0567">
        <w:rPr>
          <w:rFonts w:ascii="Arial" w:hAnsi="Arial" w:cs="Arial"/>
          <w:i/>
          <w:iCs/>
          <w:noProof/>
          <w:szCs w:val="24"/>
        </w:rPr>
        <w:t>Blood</w:t>
      </w:r>
      <w:r w:rsidRPr="00AB0567">
        <w:rPr>
          <w:rFonts w:ascii="Arial" w:hAnsi="Arial" w:cs="Arial"/>
          <w:noProof/>
          <w:szCs w:val="24"/>
        </w:rPr>
        <w:t xml:space="preserve"> 85(10):2720 LP-2730.</w:t>
      </w:r>
    </w:p>
    <w:p w14:paraId="1C0C3610" w14:textId="77777777" w:rsidR="00AB0567" w:rsidRPr="00AB0567" w:rsidRDefault="00AB0567" w:rsidP="00AB0567">
      <w:pPr>
        <w:widowControl w:val="0"/>
        <w:autoSpaceDE w:val="0"/>
        <w:autoSpaceDN w:val="0"/>
        <w:adjustRightInd w:val="0"/>
        <w:spacing w:line="240" w:lineRule="auto"/>
        <w:ind w:left="640" w:hanging="640"/>
        <w:rPr>
          <w:rFonts w:ascii="Arial" w:hAnsi="Arial" w:cs="Arial"/>
          <w:noProof/>
          <w:szCs w:val="24"/>
        </w:rPr>
      </w:pPr>
      <w:r w:rsidRPr="00AB0567">
        <w:rPr>
          <w:rFonts w:ascii="Arial" w:hAnsi="Arial" w:cs="Arial"/>
          <w:noProof/>
          <w:szCs w:val="24"/>
        </w:rPr>
        <w:t xml:space="preserve">12. </w:t>
      </w:r>
      <w:r w:rsidRPr="00AB0567">
        <w:rPr>
          <w:rFonts w:ascii="Arial" w:hAnsi="Arial" w:cs="Arial"/>
          <w:noProof/>
          <w:szCs w:val="24"/>
        </w:rPr>
        <w:tab/>
        <w:t xml:space="preserve">Fielder PJ, et al. (1996) Regulation of thrombopoietin levels by c-mpl-mediated binding to platelets. </w:t>
      </w:r>
      <w:r w:rsidRPr="00AB0567">
        <w:rPr>
          <w:rFonts w:ascii="Arial" w:hAnsi="Arial" w:cs="Arial"/>
          <w:i/>
          <w:iCs/>
          <w:noProof/>
          <w:szCs w:val="24"/>
        </w:rPr>
        <w:t>Blood</w:t>
      </w:r>
      <w:r w:rsidRPr="00AB0567">
        <w:rPr>
          <w:rFonts w:ascii="Arial" w:hAnsi="Arial" w:cs="Arial"/>
          <w:noProof/>
          <w:szCs w:val="24"/>
        </w:rPr>
        <w:t xml:space="preserve"> 87(6):2154 LP-2161.</w:t>
      </w:r>
    </w:p>
    <w:p w14:paraId="1B82C993" w14:textId="77777777" w:rsidR="00AB0567" w:rsidRPr="00AB0567" w:rsidRDefault="00AB0567" w:rsidP="00AB0567">
      <w:pPr>
        <w:widowControl w:val="0"/>
        <w:autoSpaceDE w:val="0"/>
        <w:autoSpaceDN w:val="0"/>
        <w:adjustRightInd w:val="0"/>
        <w:spacing w:line="240" w:lineRule="auto"/>
        <w:ind w:left="640" w:hanging="640"/>
        <w:rPr>
          <w:rFonts w:ascii="Arial" w:hAnsi="Arial" w:cs="Arial"/>
          <w:noProof/>
          <w:szCs w:val="24"/>
        </w:rPr>
      </w:pPr>
      <w:r w:rsidRPr="00AB0567">
        <w:rPr>
          <w:rFonts w:ascii="Arial" w:hAnsi="Arial" w:cs="Arial"/>
          <w:noProof/>
          <w:szCs w:val="24"/>
        </w:rPr>
        <w:t xml:space="preserve">13. </w:t>
      </w:r>
      <w:r w:rsidRPr="00AB0567">
        <w:rPr>
          <w:rFonts w:ascii="Arial" w:hAnsi="Arial" w:cs="Arial"/>
          <w:noProof/>
          <w:szCs w:val="24"/>
        </w:rPr>
        <w:tab/>
        <w:t xml:space="preserve">Christoph E, Markus L, Horst F, Stephan S (2001) Endogenous thrombopoietin serum levels during multicycle chemotherapy. </w:t>
      </w:r>
      <w:r w:rsidRPr="00AB0567">
        <w:rPr>
          <w:rFonts w:ascii="Arial" w:hAnsi="Arial" w:cs="Arial"/>
          <w:i/>
          <w:iCs/>
          <w:noProof/>
          <w:szCs w:val="24"/>
        </w:rPr>
        <w:t>Br J Haematol</w:t>
      </w:r>
      <w:r w:rsidRPr="00AB0567">
        <w:rPr>
          <w:rFonts w:ascii="Arial" w:hAnsi="Arial" w:cs="Arial"/>
          <w:noProof/>
          <w:szCs w:val="24"/>
        </w:rPr>
        <w:t xml:space="preserve"> 105(3):832–838.</w:t>
      </w:r>
    </w:p>
    <w:p w14:paraId="037BC401" w14:textId="77777777" w:rsidR="00AB0567" w:rsidRPr="00AB0567" w:rsidRDefault="00AB0567" w:rsidP="00AB0567">
      <w:pPr>
        <w:widowControl w:val="0"/>
        <w:autoSpaceDE w:val="0"/>
        <w:autoSpaceDN w:val="0"/>
        <w:adjustRightInd w:val="0"/>
        <w:spacing w:line="240" w:lineRule="auto"/>
        <w:ind w:left="640" w:hanging="640"/>
        <w:rPr>
          <w:rFonts w:ascii="Arial" w:hAnsi="Arial" w:cs="Arial"/>
          <w:noProof/>
          <w:szCs w:val="24"/>
        </w:rPr>
      </w:pPr>
      <w:r w:rsidRPr="00AB0567">
        <w:rPr>
          <w:rFonts w:ascii="Arial" w:hAnsi="Arial" w:cs="Arial"/>
          <w:noProof/>
          <w:szCs w:val="24"/>
        </w:rPr>
        <w:t xml:space="preserve">14. </w:t>
      </w:r>
      <w:r w:rsidRPr="00AB0567">
        <w:rPr>
          <w:rFonts w:ascii="Arial" w:hAnsi="Arial" w:cs="Arial"/>
          <w:noProof/>
          <w:szCs w:val="24"/>
        </w:rPr>
        <w:tab/>
        <w:t xml:space="preserve">Grozovsky R, et al. (2015) The Ashwell-Morell receptor regulates hepatic thrombopoietin production via JAK2-STAT3 signaling. </w:t>
      </w:r>
      <w:r w:rsidRPr="00AB0567">
        <w:rPr>
          <w:rFonts w:ascii="Arial" w:hAnsi="Arial" w:cs="Arial"/>
          <w:i/>
          <w:iCs/>
          <w:noProof/>
          <w:szCs w:val="24"/>
        </w:rPr>
        <w:t>Nat Med</w:t>
      </w:r>
      <w:r w:rsidRPr="00AB0567">
        <w:rPr>
          <w:rFonts w:ascii="Arial" w:hAnsi="Arial" w:cs="Arial"/>
          <w:noProof/>
          <w:szCs w:val="24"/>
        </w:rPr>
        <w:t xml:space="preserve"> 21(1):47–54.</w:t>
      </w:r>
    </w:p>
    <w:p w14:paraId="3E1B054C" w14:textId="77777777" w:rsidR="00AB0567" w:rsidRPr="00AB0567" w:rsidRDefault="00AB0567" w:rsidP="00AB0567">
      <w:pPr>
        <w:widowControl w:val="0"/>
        <w:autoSpaceDE w:val="0"/>
        <w:autoSpaceDN w:val="0"/>
        <w:adjustRightInd w:val="0"/>
        <w:spacing w:line="240" w:lineRule="auto"/>
        <w:ind w:left="640" w:hanging="640"/>
        <w:rPr>
          <w:rFonts w:ascii="Arial" w:hAnsi="Arial" w:cs="Arial"/>
          <w:noProof/>
          <w:szCs w:val="24"/>
        </w:rPr>
      </w:pPr>
      <w:r w:rsidRPr="00AB0567">
        <w:rPr>
          <w:rFonts w:ascii="Arial" w:hAnsi="Arial" w:cs="Arial"/>
          <w:noProof/>
          <w:szCs w:val="24"/>
        </w:rPr>
        <w:t xml:space="preserve">15. </w:t>
      </w:r>
      <w:r w:rsidRPr="00AB0567">
        <w:rPr>
          <w:rFonts w:ascii="Arial" w:hAnsi="Arial" w:cs="Arial"/>
          <w:noProof/>
          <w:szCs w:val="24"/>
        </w:rPr>
        <w:tab/>
        <w:t xml:space="preserve">Pshezhetsky A V, Ashmarina LI (2013) Desialylation of surface receptors as a new dimension in cell signaling. </w:t>
      </w:r>
      <w:r w:rsidRPr="00AB0567">
        <w:rPr>
          <w:rFonts w:ascii="Arial" w:hAnsi="Arial" w:cs="Arial"/>
          <w:i/>
          <w:iCs/>
          <w:noProof/>
          <w:szCs w:val="24"/>
        </w:rPr>
        <w:t>Biochem</w:t>
      </w:r>
      <w:r w:rsidRPr="00AB0567">
        <w:rPr>
          <w:rFonts w:ascii="Arial" w:hAnsi="Arial" w:cs="Arial"/>
          <w:noProof/>
          <w:szCs w:val="24"/>
        </w:rPr>
        <w:t xml:space="preserve"> 78(7):736–745.</w:t>
      </w:r>
    </w:p>
    <w:p w14:paraId="2DA71186" w14:textId="77777777" w:rsidR="00AB0567" w:rsidRPr="00AB0567" w:rsidRDefault="00AB0567" w:rsidP="00AB0567">
      <w:pPr>
        <w:widowControl w:val="0"/>
        <w:autoSpaceDE w:val="0"/>
        <w:autoSpaceDN w:val="0"/>
        <w:adjustRightInd w:val="0"/>
        <w:spacing w:line="240" w:lineRule="auto"/>
        <w:ind w:left="640" w:hanging="640"/>
        <w:rPr>
          <w:rFonts w:ascii="Arial" w:hAnsi="Arial" w:cs="Arial"/>
          <w:noProof/>
          <w:szCs w:val="24"/>
        </w:rPr>
      </w:pPr>
      <w:r w:rsidRPr="00AB0567">
        <w:rPr>
          <w:rFonts w:ascii="Arial" w:hAnsi="Arial" w:cs="Arial"/>
          <w:noProof/>
          <w:szCs w:val="24"/>
        </w:rPr>
        <w:t xml:space="preserve">16. </w:t>
      </w:r>
      <w:r w:rsidRPr="00AB0567">
        <w:rPr>
          <w:rFonts w:ascii="Arial" w:hAnsi="Arial" w:cs="Arial"/>
          <w:noProof/>
          <w:szCs w:val="24"/>
        </w:rPr>
        <w:tab/>
        <w:t xml:space="preserve">Triggs GJ, et al. (2017) Chirped guided-mode resonance biosensor. </w:t>
      </w:r>
      <w:r w:rsidRPr="00AB0567">
        <w:rPr>
          <w:rFonts w:ascii="Arial" w:hAnsi="Arial" w:cs="Arial"/>
          <w:i/>
          <w:iCs/>
          <w:noProof/>
          <w:szCs w:val="24"/>
        </w:rPr>
        <w:t>Optica</w:t>
      </w:r>
      <w:r w:rsidRPr="00AB0567">
        <w:rPr>
          <w:rFonts w:ascii="Arial" w:hAnsi="Arial" w:cs="Arial"/>
          <w:noProof/>
          <w:szCs w:val="24"/>
        </w:rPr>
        <w:t xml:space="preserve"> 4(2):229–234.</w:t>
      </w:r>
    </w:p>
    <w:p w14:paraId="7D57FE25" w14:textId="77777777" w:rsidR="00AB0567" w:rsidRPr="00AB0567" w:rsidRDefault="00AB0567" w:rsidP="00AB0567">
      <w:pPr>
        <w:widowControl w:val="0"/>
        <w:autoSpaceDE w:val="0"/>
        <w:autoSpaceDN w:val="0"/>
        <w:adjustRightInd w:val="0"/>
        <w:spacing w:line="240" w:lineRule="auto"/>
        <w:ind w:left="640" w:hanging="640"/>
        <w:rPr>
          <w:rFonts w:ascii="Arial" w:hAnsi="Arial" w:cs="Arial"/>
          <w:noProof/>
          <w:szCs w:val="24"/>
        </w:rPr>
      </w:pPr>
      <w:r w:rsidRPr="00AB0567">
        <w:rPr>
          <w:rFonts w:ascii="Arial" w:hAnsi="Arial" w:cs="Arial"/>
          <w:noProof/>
          <w:szCs w:val="24"/>
        </w:rPr>
        <w:t xml:space="preserve">17. </w:t>
      </w:r>
      <w:r w:rsidRPr="00AB0567">
        <w:rPr>
          <w:rFonts w:ascii="Arial" w:hAnsi="Arial" w:cs="Arial"/>
          <w:noProof/>
          <w:szCs w:val="24"/>
        </w:rPr>
        <w:tab/>
        <w:t xml:space="preserve">Jönsson C, et al. (2008) Silane-dextran chemistry on lateral flow polymer chips for immunoassays. </w:t>
      </w:r>
      <w:r w:rsidRPr="00AB0567">
        <w:rPr>
          <w:rFonts w:ascii="Arial" w:hAnsi="Arial" w:cs="Arial"/>
          <w:i/>
          <w:iCs/>
          <w:noProof/>
          <w:szCs w:val="24"/>
        </w:rPr>
        <w:t>Lab Chip</w:t>
      </w:r>
      <w:r w:rsidRPr="00AB0567">
        <w:rPr>
          <w:rFonts w:ascii="Arial" w:hAnsi="Arial" w:cs="Arial"/>
          <w:noProof/>
          <w:szCs w:val="24"/>
        </w:rPr>
        <w:t xml:space="preserve"> 8(7):1191–7.</w:t>
      </w:r>
    </w:p>
    <w:p w14:paraId="33BDC1AF" w14:textId="77777777" w:rsidR="00AB0567" w:rsidRPr="00AB0567" w:rsidRDefault="00AB0567" w:rsidP="00AB0567">
      <w:pPr>
        <w:widowControl w:val="0"/>
        <w:autoSpaceDE w:val="0"/>
        <w:autoSpaceDN w:val="0"/>
        <w:adjustRightInd w:val="0"/>
        <w:spacing w:line="240" w:lineRule="auto"/>
        <w:ind w:left="640" w:hanging="640"/>
        <w:rPr>
          <w:rFonts w:ascii="Arial" w:hAnsi="Arial" w:cs="Arial"/>
          <w:noProof/>
          <w:szCs w:val="24"/>
        </w:rPr>
      </w:pPr>
      <w:r w:rsidRPr="00AB0567">
        <w:rPr>
          <w:rFonts w:ascii="Arial" w:hAnsi="Arial" w:cs="Arial"/>
          <w:noProof/>
          <w:szCs w:val="24"/>
        </w:rPr>
        <w:t xml:space="preserve">18. </w:t>
      </w:r>
      <w:r w:rsidRPr="00AB0567">
        <w:rPr>
          <w:rFonts w:ascii="Arial" w:hAnsi="Arial" w:cs="Arial"/>
          <w:noProof/>
          <w:szCs w:val="24"/>
        </w:rPr>
        <w:tab/>
        <w:t xml:space="preserve">Prévost N, Kato H, Bodin L, Shattil SJ (2007) Platelet Integrin Adhesive Functions and Signaling. </w:t>
      </w:r>
      <w:r w:rsidRPr="00AB0567">
        <w:rPr>
          <w:rFonts w:ascii="Arial" w:hAnsi="Arial" w:cs="Arial"/>
          <w:i/>
          <w:iCs/>
          <w:noProof/>
          <w:szCs w:val="24"/>
        </w:rPr>
        <w:t>Methods Enzymol</w:t>
      </w:r>
      <w:r w:rsidRPr="00AB0567">
        <w:rPr>
          <w:rFonts w:ascii="Arial" w:hAnsi="Arial" w:cs="Arial"/>
          <w:noProof/>
          <w:szCs w:val="24"/>
        </w:rPr>
        <w:t xml:space="preserve"> 426(07):103–115.</w:t>
      </w:r>
    </w:p>
    <w:p w14:paraId="11BC3450" w14:textId="77777777" w:rsidR="00AB0567" w:rsidRPr="00AB0567" w:rsidRDefault="00AB0567" w:rsidP="00AB0567">
      <w:pPr>
        <w:widowControl w:val="0"/>
        <w:autoSpaceDE w:val="0"/>
        <w:autoSpaceDN w:val="0"/>
        <w:adjustRightInd w:val="0"/>
        <w:spacing w:line="240" w:lineRule="auto"/>
        <w:ind w:left="640" w:hanging="640"/>
        <w:rPr>
          <w:rFonts w:ascii="Arial" w:hAnsi="Arial" w:cs="Arial"/>
          <w:noProof/>
        </w:rPr>
      </w:pPr>
      <w:r w:rsidRPr="00AB0567">
        <w:rPr>
          <w:rFonts w:ascii="Arial" w:hAnsi="Arial" w:cs="Arial"/>
          <w:noProof/>
          <w:szCs w:val="24"/>
        </w:rPr>
        <w:lastRenderedPageBreak/>
        <w:t xml:space="preserve">19. </w:t>
      </w:r>
      <w:r w:rsidRPr="00AB0567">
        <w:rPr>
          <w:rFonts w:ascii="Arial" w:hAnsi="Arial" w:cs="Arial"/>
          <w:noProof/>
          <w:szCs w:val="24"/>
        </w:rPr>
        <w:tab/>
        <w:t xml:space="preserve">Li Y, et al. (2017) Sialylation on O-glycans protects platelets from clearance by liver Kupffer cells. </w:t>
      </w:r>
      <w:r w:rsidRPr="00AB0567">
        <w:rPr>
          <w:rFonts w:ascii="Arial" w:hAnsi="Arial" w:cs="Arial"/>
          <w:i/>
          <w:iCs/>
          <w:noProof/>
          <w:szCs w:val="24"/>
        </w:rPr>
        <w:t>Proc Natl Acad Sci U S A</w:t>
      </w:r>
      <w:r w:rsidRPr="00AB0567">
        <w:rPr>
          <w:rFonts w:ascii="Arial" w:hAnsi="Arial" w:cs="Arial"/>
          <w:noProof/>
          <w:szCs w:val="24"/>
        </w:rPr>
        <w:t xml:space="preserve"> 114(31):8360–8365.</w:t>
      </w:r>
    </w:p>
    <w:p w14:paraId="206DC194" w14:textId="4256ABE2" w:rsidR="003C5A9D" w:rsidRDefault="00B77C79" w:rsidP="00BC2922">
      <w:pPr>
        <w:jc w:val="both"/>
        <w:rPr>
          <w:rFonts w:ascii="Arial" w:hAnsi="Arial" w:cs="Arial"/>
          <w:lang w:val="en-US"/>
        </w:rPr>
      </w:pPr>
      <w:r>
        <w:rPr>
          <w:rFonts w:ascii="Arial" w:hAnsi="Arial" w:cs="Arial"/>
          <w:lang w:val="en-US"/>
        </w:rPr>
        <w:fldChar w:fldCharType="end"/>
      </w:r>
    </w:p>
    <w:p w14:paraId="5AC4AF22" w14:textId="77777777" w:rsidR="006361B6" w:rsidRDefault="006361B6">
      <w:pPr>
        <w:rPr>
          <w:rFonts w:ascii="Arial" w:hAnsi="Arial" w:cs="Arial"/>
          <w:b/>
          <w:sz w:val="36"/>
          <w:szCs w:val="32"/>
        </w:rPr>
      </w:pPr>
      <w:r>
        <w:rPr>
          <w:rFonts w:ascii="Arial" w:hAnsi="Arial" w:cs="Arial"/>
          <w:b/>
          <w:sz w:val="36"/>
          <w:szCs w:val="32"/>
        </w:rPr>
        <w:br w:type="page"/>
      </w:r>
    </w:p>
    <w:p w14:paraId="467F9048" w14:textId="77777777" w:rsidR="006361B6" w:rsidRDefault="006361B6" w:rsidP="006361B6">
      <w:pPr>
        <w:spacing w:line="240" w:lineRule="auto"/>
        <w:ind w:left="-709"/>
        <w:jc w:val="both"/>
        <w:rPr>
          <w:rFonts w:ascii="Arial" w:hAnsi="Arial" w:cs="Arial"/>
          <w:b/>
          <w:color w:val="000000" w:themeColor="text1"/>
          <w:sz w:val="20"/>
        </w:rPr>
      </w:pPr>
      <w:r w:rsidRPr="006361B6">
        <w:rPr>
          <w:rFonts w:ascii="Arial" w:hAnsi="Arial" w:cs="Arial"/>
          <w:b/>
          <w:color w:val="000000"/>
          <w:sz w:val="36"/>
          <w:szCs w:val="32"/>
          <w:lang w:eastAsia="es-ES"/>
        </w:rPr>
        <w:lastRenderedPageBreak/>
        <w:t>Figure Legends</w:t>
      </w:r>
    </w:p>
    <w:p w14:paraId="26CEE756" w14:textId="77777777" w:rsidR="006361B6" w:rsidRPr="00892441" w:rsidRDefault="006361B6" w:rsidP="006361B6">
      <w:pPr>
        <w:spacing w:line="240" w:lineRule="auto"/>
        <w:ind w:left="-709"/>
        <w:jc w:val="both"/>
        <w:rPr>
          <w:noProof/>
        </w:rPr>
      </w:pPr>
      <w:r w:rsidRPr="00892441">
        <w:rPr>
          <w:rFonts w:ascii="Arial" w:hAnsi="Arial" w:cs="Arial"/>
          <w:b/>
          <w:color w:val="000000" w:themeColor="text1"/>
          <w:sz w:val="20"/>
        </w:rPr>
        <w:t>Figure 1. Photonic crystal resonant imaging protocol for monitoring TPO secretion from a single BHK-TPO cell. a</w:t>
      </w:r>
      <w:r w:rsidRPr="00892441">
        <w:rPr>
          <w:rFonts w:ascii="Arial" w:hAnsi="Arial" w:cs="Arial"/>
          <w:color w:val="000000" w:themeColor="text1"/>
          <w:sz w:val="20"/>
        </w:rPr>
        <w:t xml:space="preserve"> Comparison between a photonic crystal resonant imaging hyperspectral image (top) and a phase-contrast microscope image (bottom) of a single BHK cell attached to a PCRS. Higher resonance wavelength shifts </w:t>
      </w:r>
      <w:r>
        <w:rPr>
          <w:rFonts w:ascii="Arial" w:hAnsi="Arial" w:cs="Arial"/>
          <w:color w:val="000000" w:themeColor="text1"/>
          <w:sz w:val="20"/>
        </w:rPr>
        <w:t xml:space="preserve">observed using PCRS </w:t>
      </w:r>
      <w:r w:rsidRPr="00892441">
        <w:rPr>
          <w:rFonts w:ascii="Arial" w:hAnsi="Arial" w:cs="Arial"/>
          <w:color w:val="000000" w:themeColor="text1"/>
          <w:sz w:val="20"/>
        </w:rPr>
        <w:t>are related to higher refractive index values, originat</w:t>
      </w:r>
      <w:r>
        <w:rPr>
          <w:rFonts w:ascii="Arial" w:hAnsi="Arial" w:cs="Arial"/>
          <w:color w:val="000000" w:themeColor="text1"/>
          <w:sz w:val="20"/>
        </w:rPr>
        <w:t>ing</w:t>
      </w:r>
      <w:r w:rsidRPr="00892441">
        <w:rPr>
          <w:rFonts w:ascii="Arial" w:hAnsi="Arial" w:cs="Arial"/>
          <w:color w:val="000000" w:themeColor="text1"/>
          <w:sz w:val="20"/>
        </w:rPr>
        <w:t xml:space="preserve"> from the presence of both the cell and the </w:t>
      </w:r>
      <w:r>
        <w:rPr>
          <w:rFonts w:ascii="Arial" w:hAnsi="Arial" w:cs="Arial"/>
          <w:color w:val="000000" w:themeColor="text1"/>
          <w:sz w:val="20"/>
        </w:rPr>
        <w:t>secreted</w:t>
      </w:r>
      <w:r w:rsidRPr="00892441">
        <w:rPr>
          <w:rFonts w:ascii="Arial" w:hAnsi="Arial" w:cs="Arial"/>
          <w:color w:val="000000" w:themeColor="text1"/>
          <w:sz w:val="20"/>
        </w:rPr>
        <w:t xml:space="preserve"> biomolecules. Secreted molecules are transparent and cannot be resolved by phase contrast microscopy. </w:t>
      </w:r>
      <w:r w:rsidRPr="00892441">
        <w:rPr>
          <w:rFonts w:ascii="Arial" w:hAnsi="Arial" w:cs="Arial"/>
          <w:b/>
          <w:color w:val="000000" w:themeColor="text1"/>
          <w:sz w:val="20"/>
        </w:rPr>
        <w:t>b</w:t>
      </w:r>
      <w:r w:rsidRPr="00892441">
        <w:rPr>
          <w:rFonts w:ascii="Arial" w:hAnsi="Arial" w:cs="Arial"/>
          <w:color w:val="000000" w:themeColor="text1"/>
          <w:sz w:val="20"/>
        </w:rPr>
        <w:t xml:space="preserve"> Dextran molecules are employed to create a 3D network of antibodies. Casein protein is employed </w:t>
      </w:r>
      <w:r>
        <w:rPr>
          <w:rFonts w:ascii="Arial" w:hAnsi="Arial" w:cs="Arial"/>
          <w:color w:val="000000" w:themeColor="text1"/>
          <w:sz w:val="20"/>
        </w:rPr>
        <w:t xml:space="preserve">as a </w:t>
      </w:r>
      <w:r w:rsidRPr="00892441">
        <w:rPr>
          <w:rFonts w:ascii="Arial" w:hAnsi="Arial" w:cs="Arial"/>
          <w:color w:val="000000" w:themeColor="text1"/>
          <w:sz w:val="20"/>
        </w:rPr>
        <w:t xml:space="preserve">blocking agent </w:t>
      </w:r>
      <w:r>
        <w:rPr>
          <w:rFonts w:ascii="Arial" w:hAnsi="Arial" w:cs="Arial"/>
          <w:color w:val="000000" w:themeColor="text1"/>
          <w:sz w:val="20"/>
        </w:rPr>
        <w:t>to</w:t>
      </w:r>
      <w:r w:rsidRPr="00892441">
        <w:rPr>
          <w:rFonts w:ascii="Arial" w:hAnsi="Arial" w:cs="Arial"/>
          <w:color w:val="000000" w:themeColor="text1"/>
          <w:sz w:val="20"/>
        </w:rPr>
        <w:t xml:space="preserve"> prevent non-specific binding from other proteins expressed by the cells. The </w:t>
      </w:r>
      <w:r>
        <w:rPr>
          <w:rFonts w:ascii="Arial" w:hAnsi="Arial" w:cs="Arial"/>
          <w:color w:val="000000" w:themeColor="text1"/>
          <w:sz w:val="20"/>
        </w:rPr>
        <w:t>secreted</w:t>
      </w:r>
      <w:r w:rsidRPr="00892441">
        <w:rPr>
          <w:rFonts w:ascii="Arial" w:hAnsi="Arial" w:cs="Arial"/>
          <w:color w:val="000000" w:themeColor="text1"/>
          <w:sz w:val="20"/>
        </w:rPr>
        <w:t xml:space="preserve"> cytokines (i.e. TPO) from attached cells diffuse through the 3D network to specifically bind to the antibodies immobilized throughout the dextran network. The amount of deposited casein protein is optimised </w:t>
      </w:r>
      <w:r>
        <w:rPr>
          <w:rFonts w:ascii="Arial" w:hAnsi="Arial" w:cs="Arial"/>
          <w:color w:val="000000" w:themeColor="text1"/>
          <w:sz w:val="20"/>
        </w:rPr>
        <w:t>to maximise</w:t>
      </w:r>
      <w:r w:rsidRPr="00892441">
        <w:rPr>
          <w:rFonts w:ascii="Arial" w:hAnsi="Arial" w:cs="Arial"/>
          <w:color w:val="000000" w:themeColor="text1"/>
          <w:sz w:val="20"/>
        </w:rPr>
        <w:t xml:space="preserve"> the signal-to-noise ratio of the detection system</w:t>
      </w:r>
      <w:r>
        <w:rPr>
          <w:rFonts w:ascii="Arial" w:hAnsi="Arial" w:cs="Arial"/>
          <w:color w:val="000000" w:themeColor="text1"/>
          <w:sz w:val="20"/>
        </w:rPr>
        <w:t>.</w:t>
      </w:r>
      <w:r w:rsidRPr="00892441">
        <w:rPr>
          <w:rFonts w:ascii="Arial" w:hAnsi="Arial" w:cs="Arial"/>
          <w:color w:val="000000" w:themeColor="text1"/>
          <w:sz w:val="20"/>
        </w:rPr>
        <w:t xml:space="preserve"> </w:t>
      </w:r>
      <w:r w:rsidRPr="00892441">
        <w:rPr>
          <w:rFonts w:ascii="Arial" w:hAnsi="Arial" w:cs="Arial"/>
          <w:b/>
          <w:color w:val="000000" w:themeColor="text1"/>
          <w:sz w:val="20"/>
        </w:rPr>
        <w:t>c</w:t>
      </w:r>
      <w:r w:rsidRPr="00892441">
        <w:rPr>
          <w:rFonts w:ascii="Arial" w:hAnsi="Arial" w:cs="Arial"/>
          <w:color w:val="000000" w:themeColor="text1"/>
          <w:sz w:val="20"/>
        </w:rPr>
        <w:t xml:space="preserve"> Gaussian distribution of the fraction of resonant pixels over the defined region of interest prior to BHK-TPO immobilization. Here the width of the Gaussian distribution was ± 0.5 nm and the mean was set to 0 nm. </w:t>
      </w:r>
      <w:r w:rsidRPr="00892441">
        <w:rPr>
          <w:rFonts w:ascii="Arial" w:hAnsi="Arial" w:cs="Arial"/>
          <w:b/>
          <w:color w:val="000000" w:themeColor="text1"/>
          <w:sz w:val="20"/>
        </w:rPr>
        <w:t>d</w:t>
      </w:r>
      <w:r w:rsidRPr="00892441">
        <w:rPr>
          <w:rFonts w:ascii="Arial" w:hAnsi="Arial" w:cs="Arial"/>
          <w:color w:val="000000" w:themeColor="text1"/>
          <w:sz w:val="20"/>
        </w:rPr>
        <w:t xml:space="preserve"> </w:t>
      </w:r>
      <w:proofErr w:type="gramStart"/>
      <w:r w:rsidRPr="00892441">
        <w:rPr>
          <w:rFonts w:ascii="Arial" w:hAnsi="Arial" w:cs="Arial"/>
          <w:color w:val="000000" w:themeColor="text1"/>
          <w:sz w:val="20"/>
        </w:rPr>
        <w:t>The</w:t>
      </w:r>
      <w:proofErr w:type="gramEnd"/>
      <w:r w:rsidRPr="00892441">
        <w:rPr>
          <w:rFonts w:ascii="Arial" w:hAnsi="Arial" w:cs="Arial"/>
          <w:color w:val="000000" w:themeColor="text1"/>
          <w:sz w:val="20"/>
        </w:rPr>
        <w:t xml:space="preserve"> region of interest </w:t>
      </w:r>
      <w:r>
        <w:rPr>
          <w:rFonts w:ascii="Arial" w:hAnsi="Arial" w:cs="Arial"/>
          <w:color w:val="000000" w:themeColor="text1"/>
          <w:sz w:val="20"/>
        </w:rPr>
        <w:t>(</w:t>
      </w:r>
      <w:r w:rsidRPr="00892441">
        <w:rPr>
          <w:rFonts w:ascii="Arial" w:hAnsi="Arial" w:cs="Arial"/>
          <w:color w:val="000000" w:themeColor="text1"/>
          <w:sz w:val="20"/>
        </w:rPr>
        <w:t xml:space="preserve">55 x 40 µm), with a wavelength uniformity of </w:t>
      </w:r>
      <w:r w:rsidRPr="00892441">
        <w:rPr>
          <w:rFonts w:ascii="Symbol" w:hAnsi="Symbol" w:cs="Arial"/>
          <w:noProof/>
          <w:color w:val="000000" w:themeColor="text1"/>
          <w:sz w:val="20"/>
        </w:rPr>
        <w:t></w:t>
      </w:r>
      <w:r w:rsidRPr="00892441">
        <w:rPr>
          <w:rFonts w:ascii="Symbol" w:hAnsi="Symbol" w:cs="Arial"/>
          <w:noProof/>
          <w:color w:val="000000" w:themeColor="text1"/>
          <w:sz w:val="20"/>
        </w:rPr>
        <w:t></w:t>
      </w:r>
      <w:r w:rsidRPr="00892441">
        <w:rPr>
          <w:rFonts w:ascii="Arial" w:hAnsi="Arial" w:cs="Arial"/>
          <w:color w:val="000000" w:themeColor="text1"/>
          <w:sz w:val="20"/>
        </w:rPr>
        <w:t xml:space="preserve"> ± 0.5 nm. </w:t>
      </w:r>
      <w:r w:rsidRPr="00892441">
        <w:rPr>
          <w:rFonts w:ascii="Arial" w:hAnsi="Arial" w:cs="Arial"/>
          <w:b/>
          <w:color w:val="000000" w:themeColor="text1"/>
          <w:sz w:val="20"/>
        </w:rPr>
        <w:t>e</w:t>
      </w:r>
      <w:r w:rsidRPr="00892441">
        <w:rPr>
          <w:rFonts w:ascii="Arial" w:hAnsi="Arial" w:cs="Arial"/>
          <w:color w:val="000000" w:themeColor="text1"/>
          <w:sz w:val="20"/>
        </w:rPr>
        <w:t xml:space="preserve"> No content is observed for the chosen threshold value of </w:t>
      </w:r>
      <w:r w:rsidRPr="00892441">
        <w:rPr>
          <w:rFonts w:ascii="Symbol" w:hAnsi="Symbol" w:cs="Arial"/>
          <w:noProof/>
          <w:color w:val="000000" w:themeColor="text1"/>
          <w:sz w:val="20"/>
        </w:rPr>
        <w:t></w:t>
      </w:r>
      <w:r w:rsidRPr="00892441">
        <w:rPr>
          <w:rFonts w:ascii="Symbol" w:hAnsi="Symbol" w:cs="Arial"/>
          <w:noProof/>
          <w:color w:val="000000" w:themeColor="text1"/>
          <w:sz w:val="20"/>
        </w:rPr>
        <w:t></w:t>
      </w:r>
      <w:r w:rsidRPr="00892441">
        <w:rPr>
          <w:rFonts w:ascii="Symbol" w:hAnsi="Symbol" w:cs="Arial"/>
          <w:noProof/>
          <w:color w:val="000000" w:themeColor="text1"/>
          <w:sz w:val="20"/>
        </w:rPr>
        <w:t></w:t>
      </w:r>
      <w:r w:rsidRPr="00892441">
        <w:rPr>
          <w:rFonts w:ascii="Arial" w:hAnsi="Arial" w:cs="Arial"/>
          <w:color w:val="000000" w:themeColor="text1"/>
          <w:sz w:val="20"/>
        </w:rPr>
        <w:t>1 nm, indicating that no cell</w:t>
      </w:r>
      <w:r>
        <w:rPr>
          <w:rFonts w:ascii="Arial" w:hAnsi="Arial" w:cs="Arial"/>
          <w:color w:val="000000" w:themeColor="text1"/>
          <w:sz w:val="20"/>
        </w:rPr>
        <w:t xml:space="preserve"> is</w:t>
      </w:r>
      <w:r w:rsidRPr="00892441">
        <w:rPr>
          <w:rFonts w:ascii="Arial" w:hAnsi="Arial" w:cs="Arial"/>
          <w:color w:val="000000" w:themeColor="text1"/>
          <w:sz w:val="20"/>
        </w:rPr>
        <w:t xml:space="preserve"> present. </w:t>
      </w:r>
      <w:r w:rsidRPr="00892441">
        <w:rPr>
          <w:rFonts w:ascii="Arial" w:hAnsi="Arial" w:cs="Arial"/>
          <w:b/>
          <w:color w:val="000000" w:themeColor="text1"/>
          <w:sz w:val="20"/>
        </w:rPr>
        <w:t>f</w:t>
      </w:r>
      <w:r w:rsidRPr="00892441">
        <w:rPr>
          <w:rFonts w:ascii="Arial" w:hAnsi="Arial" w:cs="Arial"/>
          <w:color w:val="000000" w:themeColor="text1"/>
          <w:sz w:val="20"/>
        </w:rPr>
        <w:t xml:space="preserve"> Upon attachment of the cell to the surface, the distribution of the pixel probability of the resonance wavelength over the defined region of interest increases to -0.2&lt;</w:t>
      </w:r>
      <w:r w:rsidRPr="00892441">
        <w:rPr>
          <w:rFonts w:ascii="Symbol" w:hAnsi="Symbol" w:cs="Arial"/>
          <w:noProof/>
          <w:color w:val="000000" w:themeColor="text1"/>
          <w:sz w:val="20"/>
        </w:rPr>
        <w:t></w:t>
      </w:r>
      <w:r w:rsidRPr="00892441">
        <w:rPr>
          <w:rFonts w:ascii="Symbol" w:hAnsi="Symbol" w:cs="Arial"/>
          <w:noProof/>
          <w:color w:val="000000" w:themeColor="text1"/>
          <w:sz w:val="20"/>
        </w:rPr>
        <w:t></w:t>
      </w:r>
      <w:r w:rsidRPr="00892441">
        <w:rPr>
          <w:rFonts w:ascii="Symbol" w:hAnsi="Symbol" w:cs="Arial"/>
          <w:noProof/>
          <w:color w:val="000000" w:themeColor="text1"/>
          <w:sz w:val="20"/>
        </w:rPr>
        <w:t></w:t>
      </w:r>
      <w:r w:rsidRPr="00892441">
        <w:rPr>
          <w:rFonts w:ascii="Arial" w:hAnsi="Arial" w:cs="Arial"/>
          <w:color w:val="000000" w:themeColor="text1"/>
          <w:sz w:val="20"/>
        </w:rPr>
        <w:t xml:space="preserve">2.2 nm, indicating the presence of biomolecular content associated to the presence of both BHK-TPO and </w:t>
      </w:r>
      <w:r>
        <w:rPr>
          <w:rFonts w:ascii="Arial" w:hAnsi="Arial" w:cs="Arial"/>
          <w:color w:val="000000" w:themeColor="text1"/>
          <w:sz w:val="20"/>
        </w:rPr>
        <w:t xml:space="preserve">secreted </w:t>
      </w:r>
      <w:r w:rsidRPr="00892441">
        <w:rPr>
          <w:rFonts w:ascii="Arial" w:hAnsi="Arial" w:cs="Arial"/>
          <w:color w:val="000000" w:themeColor="text1"/>
          <w:sz w:val="20"/>
        </w:rPr>
        <w:t xml:space="preserve">TPO. </w:t>
      </w:r>
      <w:r w:rsidRPr="00892441">
        <w:rPr>
          <w:rFonts w:ascii="Arial" w:hAnsi="Arial" w:cs="Arial"/>
          <w:b/>
          <w:color w:val="000000" w:themeColor="text1"/>
          <w:sz w:val="20"/>
        </w:rPr>
        <w:t>g</w:t>
      </w:r>
      <w:r w:rsidRPr="00892441">
        <w:rPr>
          <w:rFonts w:ascii="Arial" w:hAnsi="Arial" w:cs="Arial"/>
          <w:color w:val="000000" w:themeColor="text1"/>
          <w:sz w:val="20"/>
        </w:rPr>
        <w:t xml:space="preserve"> A hyperspectral PCRS image reveals the adhesion of a BHK-TPO cell to the PCRS, whose high concentration of CAMs located in the inner region are translated into a higher refractive index content area. </w:t>
      </w:r>
      <w:r w:rsidRPr="00892441">
        <w:rPr>
          <w:rFonts w:ascii="Arial" w:hAnsi="Arial" w:cs="Arial"/>
          <w:b/>
          <w:color w:val="000000" w:themeColor="text1"/>
          <w:sz w:val="20"/>
        </w:rPr>
        <w:t>h</w:t>
      </w:r>
      <w:r w:rsidRPr="00892441">
        <w:rPr>
          <w:rFonts w:ascii="Arial" w:hAnsi="Arial" w:cs="Arial"/>
          <w:color w:val="000000" w:themeColor="text1"/>
          <w:sz w:val="20"/>
        </w:rPr>
        <w:t xml:space="preserve"> </w:t>
      </w:r>
      <w:proofErr w:type="gramStart"/>
      <w:r w:rsidRPr="00892441">
        <w:rPr>
          <w:rFonts w:ascii="Arial" w:hAnsi="Arial" w:cs="Arial"/>
          <w:color w:val="000000" w:themeColor="text1"/>
          <w:sz w:val="20"/>
        </w:rPr>
        <w:t>By</w:t>
      </w:r>
      <w:proofErr w:type="gramEnd"/>
      <w:r w:rsidRPr="00892441">
        <w:rPr>
          <w:rFonts w:ascii="Arial" w:hAnsi="Arial" w:cs="Arial"/>
          <w:color w:val="000000" w:themeColor="text1"/>
          <w:sz w:val="20"/>
        </w:rPr>
        <w:t xml:space="preserve"> setting a threshold of 1 nm from the central resonance wavelength, a contour plot is obtained representing the area defined by the adhered BHK-TPO cell. </w:t>
      </w:r>
      <w:proofErr w:type="spellStart"/>
      <w:r w:rsidRPr="00892441">
        <w:rPr>
          <w:rFonts w:ascii="Arial" w:hAnsi="Arial" w:cs="Arial"/>
          <w:b/>
          <w:color w:val="000000" w:themeColor="text1"/>
          <w:sz w:val="20"/>
        </w:rPr>
        <w:t>i</w:t>
      </w:r>
      <w:proofErr w:type="spellEnd"/>
      <w:r w:rsidRPr="00892441">
        <w:rPr>
          <w:rFonts w:ascii="Arial" w:hAnsi="Arial" w:cs="Arial"/>
          <w:color w:val="000000" w:themeColor="text1"/>
          <w:sz w:val="20"/>
        </w:rPr>
        <w:t xml:space="preserve"> Over time, this secretion area increases as TPO molecules are </w:t>
      </w:r>
      <w:r>
        <w:rPr>
          <w:rFonts w:ascii="Arial" w:hAnsi="Arial" w:cs="Arial"/>
          <w:color w:val="000000" w:themeColor="text1"/>
          <w:sz w:val="20"/>
        </w:rPr>
        <w:t>secreted</w:t>
      </w:r>
      <w:r w:rsidRPr="00892441">
        <w:rPr>
          <w:rFonts w:ascii="Arial" w:hAnsi="Arial" w:cs="Arial"/>
          <w:color w:val="000000" w:themeColor="text1"/>
          <w:sz w:val="20"/>
        </w:rPr>
        <w:t xml:space="preserve"> from the cell </w:t>
      </w:r>
      <w:r>
        <w:rPr>
          <w:rFonts w:ascii="Arial" w:hAnsi="Arial" w:cs="Arial"/>
          <w:color w:val="000000" w:themeColor="text1"/>
          <w:sz w:val="20"/>
        </w:rPr>
        <w:t>and bind to the surface immobilised antibodies</w:t>
      </w:r>
      <w:r w:rsidRPr="00892441">
        <w:rPr>
          <w:rFonts w:ascii="Arial" w:hAnsi="Arial" w:cs="Arial"/>
          <w:color w:val="000000" w:themeColor="text1"/>
          <w:sz w:val="20"/>
        </w:rPr>
        <w:t xml:space="preserve">, therefore locally increasing the refractive index around the BHK-TPO area. </w:t>
      </w:r>
      <w:r w:rsidRPr="006813CB">
        <w:rPr>
          <w:rFonts w:ascii="Arial" w:hAnsi="Arial" w:cs="Arial"/>
          <w:b/>
          <w:color w:val="000000" w:themeColor="text1"/>
          <w:sz w:val="20"/>
        </w:rPr>
        <w:t>j</w:t>
      </w:r>
      <w:r w:rsidRPr="00892441">
        <w:rPr>
          <w:rFonts w:ascii="Arial" w:hAnsi="Arial" w:cs="Arial"/>
          <w:color w:val="000000" w:themeColor="text1"/>
          <w:sz w:val="20"/>
        </w:rPr>
        <w:t xml:space="preserve"> </w:t>
      </w:r>
      <w:proofErr w:type="gramStart"/>
      <w:r>
        <w:rPr>
          <w:rFonts w:ascii="Arial" w:hAnsi="Arial" w:cs="Arial"/>
          <w:color w:val="000000" w:themeColor="text1"/>
          <w:sz w:val="20"/>
        </w:rPr>
        <w:t>T</w:t>
      </w:r>
      <w:r w:rsidRPr="00892441">
        <w:rPr>
          <w:rFonts w:ascii="Arial" w:hAnsi="Arial" w:cs="Arial"/>
          <w:color w:val="000000" w:themeColor="text1"/>
          <w:sz w:val="20"/>
        </w:rPr>
        <w:t>he</w:t>
      </w:r>
      <w:proofErr w:type="gramEnd"/>
      <w:r w:rsidRPr="00892441">
        <w:rPr>
          <w:rFonts w:ascii="Arial" w:hAnsi="Arial" w:cs="Arial"/>
          <w:color w:val="000000" w:themeColor="text1"/>
          <w:sz w:val="20"/>
        </w:rPr>
        <w:t xml:space="preserve"> secretion</w:t>
      </w:r>
      <w:r>
        <w:rPr>
          <w:rFonts w:ascii="Arial" w:hAnsi="Arial" w:cs="Arial"/>
          <w:color w:val="000000" w:themeColor="text1"/>
          <w:sz w:val="20"/>
        </w:rPr>
        <w:t xml:space="preserve"> of TPO</w:t>
      </w:r>
      <w:r w:rsidRPr="00892441">
        <w:rPr>
          <w:rFonts w:ascii="Arial" w:hAnsi="Arial" w:cs="Arial"/>
          <w:color w:val="000000" w:themeColor="text1"/>
          <w:sz w:val="20"/>
        </w:rPr>
        <w:t xml:space="preserve"> is then monitored over time, and a Langmuir adsorption distribution is fitted to the data to model the secretion from the BHK-TPO cell</w:t>
      </w:r>
      <w:r>
        <w:rPr>
          <w:rFonts w:ascii="Arial" w:hAnsi="Arial" w:cs="Arial"/>
          <w:color w:val="000000" w:themeColor="text1"/>
          <w:sz w:val="20"/>
        </w:rPr>
        <w:t xml:space="preserve"> accounting for the area covered by the adhered cell</w:t>
      </w:r>
      <w:r w:rsidRPr="00892441">
        <w:rPr>
          <w:rFonts w:ascii="Arial" w:hAnsi="Arial" w:cs="Arial"/>
          <w:color w:val="000000" w:themeColor="text1"/>
          <w:sz w:val="20"/>
        </w:rPr>
        <w:t>.</w:t>
      </w:r>
    </w:p>
    <w:p w14:paraId="6A8D852A" w14:textId="77777777" w:rsidR="006361B6" w:rsidRDefault="006361B6" w:rsidP="006361B6">
      <w:pPr>
        <w:jc w:val="both"/>
        <w:rPr>
          <w:rFonts w:ascii="Arial" w:hAnsi="Arial" w:cs="Arial"/>
        </w:rPr>
      </w:pPr>
    </w:p>
    <w:p w14:paraId="523A7B91" w14:textId="77777777" w:rsidR="006361B6" w:rsidRPr="00062794" w:rsidRDefault="006361B6" w:rsidP="006361B6">
      <w:pPr>
        <w:pStyle w:val="Descripcin"/>
        <w:ind w:left="-709"/>
        <w:jc w:val="both"/>
        <w:rPr>
          <w:rFonts w:ascii="Arial" w:hAnsi="Arial" w:cs="Arial"/>
          <w:i w:val="0"/>
          <w:noProof/>
          <w:color w:val="000000" w:themeColor="text1"/>
          <w:sz w:val="20"/>
        </w:rPr>
      </w:pPr>
      <w:r w:rsidRPr="00480906">
        <w:rPr>
          <w:rFonts w:ascii="Arial" w:hAnsi="Arial" w:cs="Arial"/>
          <w:b/>
          <w:i w:val="0"/>
          <w:color w:val="000000" w:themeColor="text1"/>
          <w:sz w:val="20"/>
        </w:rPr>
        <w:t xml:space="preserve">Figure </w:t>
      </w:r>
      <w:r>
        <w:rPr>
          <w:rFonts w:ascii="Arial" w:hAnsi="Arial" w:cs="Arial"/>
          <w:b/>
          <w:i w:val="0"/>
          <w:color w:val="000000" w:themeColor="text1"/>
          <w:sz w:val="20"/>
        </w:rPr>
        <w:t>2</w:t>
      </w:r>
      <w:r w:rsidRPr="00480906">
        <w:rPr>
          <w:rFonts w:ascii="Arial" w:hAnsi="Arial" w:cs="Arial"/>
          <w:b/>
          <w:i w:val="0"/>
          <w:noProof/>
          <w:color w:val="000000" w:themeColor="text1"/>
          <w:sz w:val="20"/>
        </w:rPr>
        <w:t xml:space="preserve">. </w:t>
      </w:r>
      <w:r>
        <w:rPr>
          <w:rFonts w:ascii="Arial" w:hAnsi="Arial" w:cs="Arial"/>
          <w:b/>
          <w:i w:val="0"/>
          <w:noProof/>
          <w:color w:val="000000" w:themeColor="text1"/>
          <w:sz w:val="20"/>
        </w:rPr>
        <w:t>Single-cell dynamics analysis of a 30 BHK-TPO cell population.</w:t>
      </w:r>
      <w:r w:rsidRPr="00480906">
        <w:rPr>
          <w:rFonts w:ascii="Arial" w:hAnsi="Arial" w:cs="Arial"/>
          <w:b/>
          <w:i w:val="0"/>
          <w:noProof/>
          <w:color w:val="000000" w:themeColor="text1"/>
          <w:sz w:val="20"/>
        </w:rPr>
        <w:t xml:space="preserve"> </w:t>
      </w:r>
      <w:r w:rsidRPr="00C60649">
        <w:rPr>
          <w:rFonts w:ascii="Arial" w:hAnsi="Arial" w:cs="Arial"/>
          <w:b/>
          <w:i w:val="0"/>
          <w:noProof/>
          <w:color w:val="000000" w:themeColor="text1"/>
          <w:sz w:val="20"/>
        </w:rPr>
        <w:t xml:space="preserve">a-d </w:t>
      </w:r>
      <w:r w:rsidRPr="001504AB">
        <w:rPr>
          <w:rFonts w:ascii="Arial" w:hAnsi="Arial" w:cs="Arial"/>
          <w:i w:val="0"/>
          <w:noProof/>
          <w:color w:val="000000" w:themeColor="text1"/>
          <w:sz w:val="20"/>
        </w:rPr>
        <w:t xml:space="preserve">Hyperspectral contour plots (at </w:t>
      </w:r>
      <w:r>
        <w:rPr>
          <w:rFonts w:ascii="Arial" w:hAnsi="Arial" w:cs="Arial"/>
          <w:i w:val="0"/>
          <w:noProof/>
          <w:color w:val="000000" w:themeColor="text1"/>
          <w:sz w:val="20"/>
        </w:rPr>
        <w:t xml:space="preserve">a threshold of </w:t>
      </w:r>
      <w:r w:rsidRPr="001504AB">
        <w:rPr>
          <w:rFonts w:ascii="Arial" w:hAnsi="Arial" w:cs="Arial"/>
          <w:i w:val="0"/>
          <w:noProof/>
          <w:color w:val="000000" w:themeColor="text1"/>
          <w:sz w:val="20"/>
        </w:rPr>
        <w:t xml:space="preserve">1 nm </w:t>
      </w:r>
      <w:r>
        <w:rPr>
          <w:rFonts w:ascii="Arial" w:hAnsi="Arial" w:cs="Arial"/>
          <w:i w:val="0"/>
          <w:noProof/>
          <w:color w:val="000000" w:themeColor="text1"/>
          <w:sz w:val="20"/>
        </w:rPr>
        <w:t>above</w:t>
      </w:r>
      <w:r w:rsidRPr="001504AB">
        <w:rPr>
          <w:rFonts w:ascii="Arial" w:hAnsi="Arial" w:cs="Arial"/>
          <w:i w:val="0"/>
          <w:noProof/>
          <w:color w:val="000000" w:themeColor="text1"/>
          <w:sz w:val="20"/>
        </w:rPr>
        <w:t xml:space="preserve"> the average resonance wavelength) at 0, 8, 15 and 23 min, respectively of a 160 x 210 µm region of interest where BHK-TPO cells attach to the functionalised PCRS. </w:t>
      </w:r>
      <w:r w:rsidRPr="00376ACF">
        <w:rPr>
          <w:rFonts w:ascii="Arial" w:hAnsi="Arial" w:cs="Arial"/>
          <w:b/>
          <w:i w:val="0"/>
          <w:noProof/>
          <w:color w:val="000000" w:themeColor="text1"/>
          <w:sz w:val="20"/>
        </w:rPr>
        <w:t>e</w:t>
      </w:r>
      <w:r w:rsidRPr="001504AB">
        <w:rPr>
          <w:rFonts w:ascii="Arial" w:hAnsi="Arial" w:cs="Arial"/>
          <w:i w:val="0"/>
          <w:noProof/>
          <w:color w:val="000000" w:themeColor="text1"/>
          <w:sz w:val="20"/>
        </w:rPr>
        <w:t xml:space="preserve"> Individual traces of the real-time </w:t>
      </w:r>
      <w:r>
        <w:rPr>
          <w:rFonts w:ascii="Arial" w:hAnsi="Arial" w:cs="Arial"/>
          <w:i w:val="0"/>
          <w:noProof/>
          <w:color w:val="000000" w:themeColor="text1"/>
          <w:sz w:val="20"/>
        </w:rPr>
        <w:t xml:space="preserve">secretion </w:t>
      </w:r>
      <w:r w:rsidRPr="001504AB">
        <w:rPr>
          <w:rFonts w:ascii="Arial" w:hAnsi="Arial" w:cs="Arial"/>
          <w:i w:val="0"/>
          <w:noProof/>
          <w:color w:val="000000" w:themeColor="text1"/>
          <w:sz w:val="20"/>
        </w:rPr>
        <w:t>area coverage of a 30 cell BHK-TPO population on a TPO specific functionalized surface. The robustness and the versality of our method was further demonstrated by challening the PCR</w:t>
      </w:r>
      <w:r>
        <w:rPr>
          <w:rFonts w:ascii="Arial" w:hAnsi="Arial" w:cs="Arial"/>
          <w:i w:val="0"/>
          <w:noProof/>
          <w:color w:val="000000" w:themeColor="text1"/>
          <w:sz w:val="20"/>
        </w:rPr>
        <w:t>S</w:t>
      </w:r>
      <w:r w:rsidRPr="001504AB">
        <w:rPr>
          <w:rFonts w:ascii="Arial" w:hAnsi="Arial" w:cs="Arial"/>
          <w:i w:val="0"/>
          <w:noProof/>
          <w:color w:val="000000" w:themeColor="text1"/>
          <w:sz w:val="20"/>
        </w:rPr>
        <w:t xml:space="preserve"> with two different 30 cell population control systems: </w:t>
      </w:r>
      <w:r w:rsidRPr="00376ACF">
        <w:rPr>
          <w:rFonts w:ascii="Arial" w:hAnsi="Arial" w:cs="Arial"/>
          <w:b/>
          <w:i w:val="0"/>
          <w:noProof/>
          <w:color w:val="000000" w:themeColor="text1"/>
          <w:sz w:val="20"/>
        </w:rPr>
        <w:t>f</w:t>
      </w:r>
      <w:r w:rsidRPr="001504AB">
        <w:rPr>
          <w:rFonts w:ascii="Arial" w:hAnsi="Arial" w:cs="Arial"/>
          <w:i w:val="0"/>
          <w:noProof/>
          <w:color w:val="000000" w:themeColor="text1"/>
          <w:sz w:val="20"/>
        </w:rPr>
        <w:t xml:space="preserve"> firstly with a system in where the surface was rendered IgG selective</w:t>
      </w:r>
      <w:r>
        <w:rPr>
          <w:rFonts w:ascii="Arial" w:hAnsi="Arial" w:cs="Arial"/>
          <w:i w:val="0"/>
          <w:noProof/>
          <w:color w:val="000000" w:themeColor="text1"/>
          <w:sz w:val="20"/>
        </w:rPr>
        <w:t xml:space="preserve"> (t</w:t>
      </w:r>
      <w:r w:rsidRPr="00C61BEF">
        <w:rPr>
          <w:rFonts w:ascii="Arial" w:hAnsi="Arial" w:cs="Arial"/>
          <w:i w:val="0"/>
          <w:noProof/>
          <w:color w:val="000000" w:themeColor="text1"/>
          <w:sz w:val="20"/>
        </w:rPr>
        <w:t xml:space="preserve">he </w:t>
      </w:r>
      <w:r>
        <w:rPr>
          <w:rFonts w:ascii="Arial" w:hAnsi="Arial" w:cs="Arial"/>
          <w:i w:val="0"/>
          <w:noProof/>
          <w:color w:val="000000" w:themeColor="text1"/>
          <w:sz w:val="20"/>
        </w:rPr>
        <w:t xml:space="preserve">fluctuation over time is </w:t>
      </w:r>
      <w:r w:rsidRPr="00C61BEF">
        <w:rPr>
          <w:rFonts w:ascii="Arial" w:hAnsi="Arial" w:cs="Arial"/>
          <w:i w:val="0"/>
          <w:noProof/>
          <w:color w:val="000000" w:themeColor="text1"/>
          <w:sz w:val="20"/>
        </w:rPr>
        <w:t xml:space="preserve">attributed to the accumulation of non-specific interactions between the secreted </w:t>
      </w:r>
      <w:r>
        <w:rPr>
          <w:rFonts w:ascii="Arial" w:hAnsi="Arial" w:cs="Arial"/>
          <w:i w:val="0"/>
          <w:noProof/>
          <w:color w:val="000000" w:themeColor="text1"/>
          <w:sz w:val="20"/>
        </w:rPr>
        <w:t>TPO</w:t>
      </w:r>
      <w:r w:rsidRPr="00C61BEF">
        <w:rPr>
          <w:rFonts w:ascii="Arial" w:hAnsi="Arial" w:cs="Arial"/>
          <w:i w:val="0"/>
          <w:noProof/>
          <w:color w:val="000000" w:themeColor="text1"/>
          <w:sz w:val="20"/>
        </w:rPr>
        <w:t xml:space="preserve"> and </w:t>
      </w:r>
      <w:r>
        <w:rPr>
          <w:rFonts w:ascii="Arial" w:hAnsi="Arial" w:cs="Arial"/>
          <w:i w:val="0"/>
          <w:noProof/>
          <w:color w:val="000000" w:themeColor="text1"/>
          <w:sz w:val="20"/>
        </w:rPr>
        <w:t>immobilised IgG antibodies)</w:t>
      </w:r>
      <w:r w:rsidRPr="001504AB">
        <w:rPr>
          <w:rFonts w:ascii="Arial" w:hAnsi="Arial" w:cs="Arial"/>
          <w:i w:val="0"/>
          <w:noProof/>
          <w:color w:val="000000" w:themeColor="text1"/>
          <w:sz w:val="20"/>
        </w:rPr>
        <w:t xml:space="preserve">, and </w:t>
      </w:r>
      <w:r w:rsidRPr="00376ACF">
        <w:rPr>
          <w:rFonts w:ascii="Arial" w:hAnsi="Arial" w:cs="Arial"/>
          <w:b/>
          <w:i w:val="0"/>
          <w:noProof/>
          <w:color w:val="000000" w:themeColor="text1"/>
          <w:sz w:val="20"/>
        </w:rPr>
        <w:t>g</w:t>
      </w:r>
      <w:r w:rsidRPr="001504AB">
        <w:rPr>
          <w:rFonts w:ascii="Arial" w:hAnsi="Arial" w:cs="Arial"/>
          <w:i w:val="0"/>
          <w:noProof/>
          <w:color w:val="000000" w:themeColor="text1"/>
          <w:sz w:val="20"/>
        </w:rPr>
        <w:t xml:space="preserve"> secondly with a BHK-TPO population treated with the protein transport inhibitor brefeldin A. </w:t>
      </w:r>
      <w:r w:rsidRPr="00376ACF">
        <w:rPr>
          <w:rFonts w:ascii="Arial" w:hAnsi="Arial" w:cs="Arial"/>
          <w:b/>
          <w:i w:val="0"/>
          <w:noProof/>
          <w:color w:val="000000" w:themeColor="text1"/>
          <w:sz w:val="20"/>
        </w:rPr>
        <w:t>h</w:t>
      </w:r>
      <w:r w:rsidRPr="001504AB">
        <w:rPr>
          <w:rFonts w:ascii="Arial" w:hAnsi="Arial" w:cs="Arial"/>
          <w:i w:val="0"/>
          <w:noProof/>
          <w:color w:val="000000" w:themeColor="text1"/>
          <w:sz w:val="20"/>
        </w:rPr>
        <w:t xml:space="preserve"> The real-time response from the three systems over 130 min yielded notable and quantitative differences. The direct system (BHK-TPO with a TPO selective PCRS functionalization</w:t>
      </w:r>
      <w:r>
        <w:rPr>
          <w:rFonts w:ascii="Arial" w:hAnsi="Arial" w:cs="Arial"/>
          <w:i w:val="0"/>
          <w:noProof/>
          <w:color w:val="000000" w:themeColor="text1"/>
          <w:sz w:val="20"/>
        </w:rPr>
        <w:t>, in red</w:t>
      </w:r>
      <w:r w:rsidRPr="001504AB">
        <w:rPr>
          <w:rFonts w:ascii="Arial" w:hAnsi="Arial" w:cs="Arial"/>
          <w:i w:val="0"/>
          <w:noProof/>
          <w:color w:val="000000" w:themeColor="text1"/>
          <w:sz w:val="20"/>
        </w:rPr>
        <w:t xml:space="preserve">) exhibited an average </w:t>
      </w:r>
      <w:r>
        <w:rPr>
          <w:rFonts w:ascii="Arial" w:hAnsi="Arial" w:cs="Arial"/>
          <w:i w:val="0"/>
          <w:noProof/>
          <w:color w:val="000000" w:themeColor="text1"/>
          <w:sz w:val="20"/>
        </w:rPr>
        <w:t xml:space="preserve">secretion </w:t>
      </w:r>
      <w:r w:rsidRPr="001504AB">
        <w:rPr>
          <w:rFonts w:ascii="Arial" w:hAnsi="Arial" w:cs="Arial"/>
          <w:i w:val="0"/>
          <w:noProof/>
          <w:color w:val="000000" w:themeColor="text1"/>
          <w:sz w:val="20"/>
        </w:rPr>
        <w:t xml:space="preserve">area coverage </w:t>
      </w:r>
      <w:r w:rsidRPr="00F73CB8">
        <w:rPr>
          <w:rFonts w:ascii="Cambria Math" w:hAnsi="Cambria Math" w:cs="Cambria Math"/>
          <w:i w:val="0"/>
          <w:noProof/>
          <w:color w:val="000000" w:themeColor="text1"/>
          <w:sz w:val="20"/>
        </w:rPr>
        <w:t>𝚪</w:t>
      </w:r>
      <w:r>
        <w:rPr>
          <w:rFonts w:ascii="Arial" w:hAnsi="Arial" w:cs="Arial"/>
          <w:i w:val="0"/>
          <w:noProof/>
          <w:color w:val="000000" w:themeColor="text1"/>
          <w:sz w:val="20"/>
          <w:vertAlign w:val="subscript"/>
        </w:rPr>
        <w:t>anti-TPO</w:t>
      </w:r>
      <w:r w:rsidRPr="001504AB">
        <w:rPr>
          <w:rFonts w:ascii="Arial" w:hAnsi="Arial" w:cs="Arial"/>
          <w:i w:val="0"/>
          <w:noProof/>
          <w:color w:val="000000" w:themeColor="text1"/>
          <w:sz w:val="20"/>
          <w:vertAlign w:val="subscript"/>
        </w:rPr>
        <w:t xml:space="preserve"> </w:t>
      </w:r>
      <w:r w:rsidRPr="001504AB">
        <w:rPr>
          <w:rFonts w:ascii="Arial" w:hAnsi="Arial" w:cs="Arial"/>
          <w:i w:val="0"/>
          <w:noProof/>
          <w:color w:val="000000" w:themeColor="text1"/>
          <w:sz w:val="20"/>
        </w:rPr>
        <w:t xml:space="preserve">~ </w:t>
      </w:r>
      <w:r>
        <w:rPr>
          <w:rFonts w:ascii="Arial" w:hAnsi="Arial" w:cs="Arial"/>
          <w:i w:val="0"/>
          <w:noProof/>
          <w:color w:val="000000" w:themeColor="text1"/>
          <w:sz w:val="20"/>
        </w:rPr>
        <w:t>72</w:t>
      </w:r>
      <w:r w:rsidRPr="001504AB">
        <w:rPr>
          <w:rFonts w:ascii="Arial" w:hAnsi="Arial" w:cs="Arial"/>
          <w:i w:val="0"/>
          <w:noProof/>
          <w:color w:val="000000" w:themeColor="text1"/>
          <w:sz w:val="20"/>
        </w:rPr>
        <w:t>0 µm</w:t>
      </w:r>
      <w:r w:rsidRPr="001504AB">
        <w:rPr>
          <w:rFonts w:ascii="Arial" w:hAnsi="Arial" w:cs="Arial"/>
          <w:i w:val="0"/>
          <w:noProof/>
          <w:color w:val="000000" w:themeColor="text1"/>
          <w:sz w:val="20"/>
          <w:vertAlign w:val="superscript"/>
        </w:rPr>
        <w:t>2</w:t>
      </w:r>
      <w:r w:rsidRPr="001504AB">
        <w:rPr>
          <w:rFonts w:ascii="Arial" w:hAnsi="Arial" w:cs="Arial"/>
          <w:i w:val="0"/>
          <w:noProof/>
          <w:color w:val="000000" w:themeColor="text1"/>
          <w:sz w:val="20"/>
        </w:rPr>
        <w:t xml:space="preserve">, while this average </w:t>
      </w:r>
      <w:r>
        <w:rPr>
          <w:rFonts w:ascii="Arial" w:hAnsi="Arial" w:cs="Arial"/>
          <w:i w:val="0"/>
          <w:noProof/>
          <w:color w:val="000000" w:themeColor="text1"/>
          <w:sz w:val="20"/>
        </w:rPr>
        <w:t xml:space="preserve">secretion </w:t>
      </w:r>
      <w:r w:rsidRPr="001504AB">
        <w:rPr>
          <w:rFonts w:ascii="Arial" w:hAnsi="Arial" w:cs="Arial"/>
          <w:i w:val="0"/>
          <w:noProof/>
          <w:color w:val="000000" w:themeColor="text1"/>
          <w:sz w:val="20"/>
        </w:rPr>
        <w:t>area coverage was nearly reduced to a half in the two control systems (</w:t>
      </w:r>
      <w:r w:rsidRPr="00F73CB8">
        <w:rPr>
          <w:rFonts w:ascii="Cambria Math" w:hAnsi="Cambria Math" w:cs="Cambria Math"/>
          <w:i w:val="0"/>
          <w:noProof/>
          <w:color w:val="000000" w:themeColor="text1"/>
          <w:sz w:val="20"/>
        </w:rPr>
        <w:t>𝚪</w:t>
      </w:r>
      <w:r w:rsidRPr="001504AB">
        <w:rPr>
          <w:rFonts w:ascii="Arial" w:hAnsi="Arial" w:cs="Arial"/>
          <w:i w:val="0"/>
          <w:noProof/>
          <w:color w:val="000000" w:themeColor="text1"/>
          <w:sz w:val="20"/>
          <w:vertAlign w:val="subscript"/>
        </w:rPr>
        <w:t>anti</w:t>
      </w:r>
      <w:r>
        <w:rPr>
          <w:rFonts w:ascii="Arial" w:hAnsi="Arial" w:cs="Arial"/>
          <w:i w:val="0"/>
          <w:noProof/>
          <w:color w:val="000000" w:themeColor="text1"/>
          <w:sz w:val="20"/>
          <w:vertAlign w:val="subscript"/>
        </w:rPr>
        <w:t>-</w:t>
      </w:r>
      <w:r w:rsidRPr="001504AB">
        <w:rPr>
          <w:rFonts w:ascii="Arial" w:hAnsi="Arial" w:cs="Arial"/>
          <w:i w:val="0"/>
          <w:noProof/>
          <w:color w:val="000000" w:themeColor="text1"/>
          <w:sz w:val="20"/>
          <w:vertAlign w:val="subscript"/>
        </w:rPr>
        <w:t xml:space="preserve">IgG </w:t>
      </w:r>
      <w:r w:rsidRPr="001504AB">
        <w:rPr>
          <w:rFonts w:ascii="Arial" w:hAnsi="Arial" w:cs="Arial"/>
          <w:i w:val="0"/>
          <w:noProof/>
          <w:color w:val="000000" w:themeColor="text1"/>
          <w:sz w:val="20"/>
        </w:rPr>
        <w:t xml:space="preserve">~ </w:t>
      </w:r>
      <w:r>
        <w:rPr>
          <w:rFonts w:ascii="Arial" w:hAnsi="Arial" w:cs="Arial"/>
          <w:i w:val="0"/>
          <w:noProof/>
          <w:color w:val="000000" w:themeColor="text1"/>
          <w:sz w:val="20"/>
        </w:rPr>
        <w:t>4</w:t>
      </w:r>
      <w:r w:rsidRPr="001504AB">
        <w:rPr>
          <w:rFonts w:ascii="Arial" w:hAnsi="Arial" w:cs="Arial"/>
          <w:i w:val="0"/>
          <w:noProof/>
          <w:color w:val="000000" w:themeColor="text1"/>
          <w:sz w:val="20"/>
        </w:rPr>
        <w:t>00 µm</w:t>
      </w:r>
      <w:r w:rsidRPr="001504AB">
        <w:rPr>
          <w:rFonts w:ascii="Arial" w:hAnsi="Arial" w:cs="Arial"/>
          <w:i w:val="0"/>
          <w:noProof/>
          <w:color w:val="000000" w:themeColor="text1"/>
          <w:sz w:val="20"/>
          <w:vertAlign w:val="superscript"/>
        </w:rPr>
        <w:t>2</w:t>
      </w:r>
      <w:r>
        <w:rPr>
          <w:rFonts w:ascii="Arial" w:hAnsi="Arial" w:cs="Arial"/>
          <w:i w:val="0"/>
          <w:noProof/>
          <w:color w:val="000000" w:themeColor="text1"/>
          <w:sz w:val="20"/>
          <w:vertAlign w:val="superscript"/>
        </w:rPr>
        <w:t xml:space="preserve"> </w:t>
      </w:r>
      <w:r>
        <w:rPr>
          <w:rFonts w:ascii="Arial" w:hAnsi="Arial" w:cs="Arial"/>
          <w:i w:val="0"/>
          <w:noProof/>
          <w:color w:val="000000" w:themeColor="text1"/>
          <w:sz w:val="20"/>
        </w:rPr>
        <w:t>(orange)</w:t>
      </w:r>
      <w:r w:rsidRPr="001504AB">
        <w:rPr>
          <w:rFonts w:ascii="Arial" w:hAnsi="Arial" w:cs="Arial"/>
          <w:i w:val="0"/>
          <w:noProof/>
          <w:color w:val="000000" w:themeColor="text1"/>
          <w:sz w:val="20"/>
        </w:rPr>
        <w:t xml:space="preserve">, </w:t>
      </w:r>
      <w:r w:rsidRPr="00F73CB8">
        <w:rPr>
          <w:rFonts w:ascii="Cambria Math" w:hAnsi="Cambria Math" w:cs="Cambria Math"/>
          <w:i w:val="0"/>
          <w:noProof/>
          <w:color w:val="000000" w:themeColor="text1"/>
          <w:sz w:val="20"/>
        </w:rPr>
        <w:t>𝚪</w:t>
      </w:r>
      <w:r w:rsidRPr="001504AB">
        <w:rPr>
          <w:rFonts w:ascii="Arial" w:hAnsi="Arial" w:cs="Arial"/>
          <w:i w:val="0"/>
          <w:noProof/>
          <w:color w:val="000000" w:themeColor="text1"/>
          <w:sz w:val="20"/>
          <w:vertAlign w:val="subscript"/>
        </w:rPr>
        <w:t xml:space="preserve">brefeldin A </w:t>
      </w:r>
      <w:r w:rsidRPr="001504AB">
        <w:rPr>
          <w:rFonts w:ascii="Arial" w:hAnsi="Arial" w:cs="Arial"/>
          <w:i w:val="0"/>
          <w:noProof/>
          <w:color w:val="000000" w:themeColor="text1"/>
          <w:sz w:val="20"/>
        </w:rPr>
        <w:t xml:space="preserve">~ </w:t>
      </w:r>
      <w:r>
        <w:rPr>
          <w:rFonts w:ascii="Arial" w:hAnsi="Arial" w:cs="Arial"/>
          <w:i w:val="0"/>
          <w:noProof/>
          <w:color w:val="000000" w:themeColor="text1"/>
          <w:sz w:val="20"/>
        </w:rPr>
        <w:t>3</w:t>
      </w:r>
      <w:r w:rsidRPr="001504AB">
        <w:rPr>
          <w:rFonts w:ascii="Arial" w:hAnsi="Arial" w:cs="Arial"/>
          <w:i w:val="0"/>
          <w:noProof/>
          <w:color w:val="000000" w:themeColor="text1"/>
          <w:sz w:val="20"/>
        </w:rPr>
        <w:t>00 µm</w:t>
      </w:r>
      <w:r w:rsidRPr="001504AB">
        <w:rPr>
          <w:rFonts w:ascii="Arial" w:hAnsi="Arial" w:cs="Arial"/>
          <w:i w:val="0"/>
          <w:noProof/>
          <w:color w:val="000000" w:themeColor="text1"/>
          <w:sz w:val="20"/>
          <w:vertAlign w:val="superscript"/>
        </w:rPr>
        <w:t>2</w:t>
      </w:r>
      <w:r>
        <w:rPr>
          <w:rFonts w:ascii="Arial" w:hAnsi="Arial" w:cs="Arial"/>
          <w:i w:val="0"/>
          <w:noProof/>
          <w:color w:val="000000" w:themeColor="text1"/>
          <w:sz w:val="20"/>
          <w:vertAlign w:val="superscript"/>
        </w:rPr>
        <w:t xml:space="preserve"> </w:t>
      </w:r>
      <w:r w:rsidRPr="00CE5142">
        <w:rPr>
          <w:rFonts w:ascii="Arial" w:hAnsi="Arial" w:cs="Arial"/>
          <w:i w:val="0"/>
          <w:noProof/>
          <w:color w:val="000000" w:themeColor="text1"/>
          <w:sz w:val="20"/>
        </w:rPr>
        <w:t>(green)</w:t>
      </w:r>
      <w:r w:rsidRPr="001504AB">
        <w:rPr>
          <w:rFonts w:ascii="Arial" w:hAnsi="Arial" w:cs="Arial"/>
          <w:i w:val="0"/>
          <w:noProof/>
          <w:color w:val="000000" w:themeColor="text1"/>
          <w:sz w:val="20"/>
        </w:rPr>
        <w:t xml:space="preserve">), indicating the specificty and robustness of both assay and extraction method. The shaded areas represent the standard deviation for each trace at that time instant. </w:t>
      </w:r>
      <w:r w:rsidRPr="00376ACF">
        <w:rPr>
          <w:rFonts w:ascii="Arial" w:hAnsi="Arial" w:cs="Arial"/>
          <w:b/>
          <w:i w:val="0"/>
          <w:noProof/>
          <w:color w:val="000000" w:themeColor="text1"/>
          <w:sz w:val="20"/>
        </w:rPr>
        <w:t>i</w:t>
      </w:r>
      <w:r w:rsidRPr="001504AB">
        <w:rPr>
          <w:rFonts w:ascii="Arial" w:hAnsi="Arial" w:cs="Arial"/>
          <w:i w:val="0"/>
          <w:noProof/>
          <w:color w:val="000000" w:themeColor="text1"/>
          <w:sz w:val="20"/>
        </w:rPr>
        <w:t xml:space="preserve"> We analyzed the heterogeneity within each 30 cell population by studying the standard deviation in </w:t>
      </w:r>
      <w:r>
        <w:rPr>
          <w:rFonts w:ascii="Arial" w:hAnsi="Arial" w:cs="Arial"/>
          <w:i w:val="0"/>
          <w:noProof/>
          <w:color w:val="000000" w:themeColor="text1"/>
          <w:sz w:val="20"/>
        </w:rPr>
        <w:t xml:space="preserve">secretion </w:t>
      </w:r>
      <w:r w:rsidRPr="001504AB">
        <w:rPr>
          <w:rFonts w:ascii="Arial" w:hAnsi="Arial" w:cs="Arial"/>
          <w:i w:val="0"/>
          <w:noProof/>
          <w:color w:val="000000" w:themeColor="text1"/>
          <w:sz w:val="20"/>
        </w:rPr>
        <w:t xml:space="preserve">area coverage distribution at 120 min, which revealed a ~ 2-3 fold </w:t>
      </w:r>
      <w:r>
        <w:rPr>
          <w:rFonts w:ascii="Arial" w:hAnsi="Arial" w:cs="Arial"/>
          <w:i w:val="0"/>
          <w:noProof/>
          <w:color w:val="000000" w:themeColor="text1"/>
          <w:sz w:val="20"/>
        </w:rPr>
        <w:t>higher secretion area</w:t>
      </w:r>
      <w:r w:rsidRPr="001504AB">
        <w:rPr>
          <w:rFonts w:ascii="Arial" w:hAnsi="Arial" w:cs="Arial"/>
          <w:i w:val="0"/>
          <w:noProof/>
          <w:color w:val="000000" w:themeColor="text1"/>
          <w:sz w:val="20"/>
        </w:rPr>
        <w:t xml:space="preserve"> in the direct system over the two control systems. </w:t>
      </w:r>
      <w:r w:rsidRPr="00376ACF">
        <w:rPr>
          <w:rFonts w:ascii="Arial" w:hAnsi="Arial" w:cs="Arial"/>
          <w:b/>
          <w:i w:val="0"/>
          <w:noProof/>
          <w:color w:val="000000" w:themeColor="text1"/>
          <w:sz w:val="20"/>
        </w:rPr>
        <w:t>j</w:t>
      </w:r>
      <w:r w:rsidRPr="001504AB">
        <w:rPr>
          <w:rFonts w:ascii="Arial" w:hAnsi="Arial" w:cs="Arial"/>
          <w:i w:val="0"/>
          <w:noProof/>
          <w:color w:val="000000" w:themeColor="text1"/>
          <w:sz w:val="20"/>
        </w:rPr>
        <w:t xml:space="preserve"> </w:t>
      </w:r>
      <w:r>
        <w:rPr>
          <w:rFonts w:ascii="Arial" w:hAnsi="Arial" w:cs="Arial"/>
          <w:i w:val="0"/>
          <w:noProof/>
          <w:color w:val="000000" w:themeColor="text1"/>
          <w:sz w:val="20"/>
        </w:rPr>
        <w:t>W</w:t>
      </w:r>
      <w:r w:rsidRPr="001504AB">
        <w:rPr>
          <w:rFonts w:ascii="Arial" w:hAnsi="Arial" w:cs="Arial"/>
          <w:i w:val="0"/>
          <w:noProof/>
          <w:color w:val="000000" w:themeColor="text1"/>
          <w:sz w:val="20"/>
        </w:rPr>
        <w:t xml:space="preserve">e modelled the Langmuir rate constant associated with each system to deconvolute the influence of the inherent cell attachment area from the measurement. We obtained rates of ~ </w:t>
      </w:r>
      <w:r>
        <w:rPr>
          <w:rFonts w:ascii="Arial" w:hAnsi="Arial" w:cs="Arial"/>
          <w:i w:val="0"/>
          <w:noProof/>
          <w:color w:val="000000" w:themeColor="text1"/>
          <w:sz w:val="20"/>
        </w:rPr>
        <w:t>22</w:t>
      </w:r>
      <w:r w:rsidRPr="001504AB">
        <w:rPr>
          <w:rFonts w:ascii="Arial" w:hAnsi="Arial" w:cs="Arial"/>
          <w:i w:val="0"/>
          <w:noProof/>
          <w:color w:val="000000" w:themeColor="text1"/>
          <w:sz w:val="20"/>
        </w:rPr>
        <w:t xml:space="preserve">, </w:t>
      </w:r>
      <w:r>
        <w:rPr>
          <w:rFonts w:ascii="Arial" w:hAnsi="Arial" w:cs="Arial"/>
          <w:i w:val="0"/>
          <w:noProof/>
          <w:color w:val="000000" w:themeColor="text1"/>
          <w:sz w:val="20"/>
        </w:rPr>
        <w:t>9</w:t>
      </w:r>
      <w:r w:rsidRPr="001504AB">
        <w:rPr>
          <w:rFonts w:ascii="Arial" w:hAnsi="Arial" w:cs="Arial"/>
          <w:i w:val="0"/>
          <w:noProof/>
          <w:color w:val="000000" w:themeColor="text1"/>
          <w:sz w:val="20"/>
        </w:rPr>
        <w:t xml:space="preserve"> and </w:t>
      </w:r>
      <w:r>
        <w:rPr>
          <w:rFonts w:ascii="Arial" w:hAnsi="Arial" w:cs="Arial"/>
          <w:i w:val="0"/>
          <w:noProof/>
          <w:color w:val="000000" w:themeColor="text1"/>
          <w:sz w:val="20"/>
        </w:rPr>
        <w:t>6</w:t>
      </w:r>
      <w:r w:rsidRPr="001504AB">
        <w:rPr>
          <w:rFonts w:ascii="Arial" w:hAnsi="Arial" w:cs="Arial"/>
          <w:i w:val="0"/>
          <w:noProof/>
          <w:color w:val="000000" w:themeColor="text1"/>
          <w:sz w:val="20"/>
        </w:rPr>
        <w:t>.5 µm</w:t>
      </w:r>
      <w:r w:rsidRPr="001504AB">
        <w:rPr>
          <w:rFonts w:ascii="Arial" w:hAnsi="Arial" w:cs="Arial"/>
          <w:i w:val="0"/>
          <w:noProof/>
          <w:color w:val="000000" w:themeColor="text1"/>
          <w:sz w:val="20"/>
          <w:vertAlign w:val="superscript"/>
        </w:rPr>
        <w:t>2</w:t>
      </w:r>
      <w:r w:rsidRPr="001504AB">
        <w:rPr>
          <w:rFonts w:ascii="Arial" w:hAnsi="Arial" w:cs="Arial"/>
          <w:i w:val="0"/>
          <w:noProof/>
          <w:color w:val="000000" w:themeColor="text1"/>
          <w:sz w:val="20"/>
        </w:rPr>
        <w:t>/h for the direct, non-specific and non-expressing systems, respectively.</w:t>
      </w:r>
    </w:p>
    <w:p w14:paraId="28A34551" w14:textId="77777777" w:rsidR="006361B6" w:rsidRDefault="006361B6" w:rsidP="006361B6">
      <w:pPr>
        <w:jc w:val="both"/>
        <w:rPr>
          <w:rFonts w:ascii="Arial" w:hAnsi="Arial" w:cs="Arial"/>
        </w:rPr>
      </w:pPr>
    </w:p>
    <w:p w14:paraId="3D8729DF" w14:textId="3E430B31" w:rsidR="00FC3BFD" w:rsidRPr="005C1364" w:rsidRDefault="006361B6" w:rsidP="005C1364">
      <w:pPr>
        <w:pStyle w:val="Descripcin"/>
        <w:ind w:left="-709"/>
        <w:jc w:val="both"/>
        <w:rPr>
          <w:rFonts w:ascii="Arial" w:hAnsi="Arial" w:cs="Arial"/>
          <w:i w:val="0"/>
          <w:noProof/>
          <w:color w:val="000000" w:themeColor="text1"/>
          <w:sz w:val="22"/>
          <w:szCs w:val="22"/>
        </w:rPr>
      </w:pPr>
      <w:r w:rsidRPr="00774835">
        <w:rPr>
          <w:rFonts w:ascii="Arial" w:hAnsi="Arial" w:cs="Arial"/>
          <w:b/>
          <w:i w:val="0"/>
          <w:color w:val="000000" w:themeColor="text1"/>
          <w:sz w:val="20"/>
          <w:szCs w:val="20"/>
        </w:rPr>
        <w:t xml:space="preserve">Figure </w:t>
      </w:r>
      <w:r>
        <w:rPr>
          <w:rFonts w:ascii="Arial" w:hAnsi="Arial" w:cs="Arial"/>
          <w:b/>
          <w:i w:val="0"/>
          <w:color w:val="000000" w:themeColor="text1"/>
          <w:sz w:val="20"/>
          <w:szCs w:val="20"/>
        </w:rPr>
        <w:t>3</w:t>
      </w:r>
      <w:r w:rsidRPr="00774835">
        <w:rPr>
          <w:rFonts w:ascii="Arial" w:hAnsi="Arial" w:cs="Arial"/>
          <w:b/>
          <w:i w:val="0"/>
          <w:noProof/>
          <w:color w:val="000000" w:themeColor="text1"/>
          <w:sz w:val="20"/>
          <w:szCs w:val="20"/>
        </w:rPr>
        <w:t>. Levels of desialylated platelets affect TPO expression from HepG2 cells. a</w:t>
      </w:r>
      <w:r w:rsidRPr="00774835">
        <w:rPr>
          <w:rFonts w:ascii="Arial" w:hAnsi="Arial" w:cs="Arial"/>
          <w:i w:val="0"/>
          <w:noProof/>
          <w:color w:val="000000" w:themeColor="text1"/>
          <w:sz w:val="20"/>
          <w:szCs w:val="20"/>
        </w:rPr>
        <w:t xml:space="preserve"> Real-time TPO </w:t>
      </w:r>
      <w:r>
        <w:rPr>
          <w:rFonts w:ascii="Arial" w:hAnsi="Arial" w:cs="Arial"/>
          <w:i w:val="0"/>
          <w:noProof/>
          <w:color w:val="000000" w:themeColor="text1"/>
          <w:sz w:val="20"/>
          <w:szCs w:val="20"/>
        </w:rPr>
        <w:t>secretion</w:t>
      </w:r>
      <w:r w:rsidRPr="00774835">
        <w:rPr>
          <w:rFonts w:ascii="Arial" w:hAnsi="Arial" w:cs="Arial"/>
          <w:i w:val="0"/>
          <w:noProof/>
          <w:color w:val="000000" w:themeColor="text1"/>
          <w:sz w:val="20"/>
          <w:szCs w:val="20"/>
        </w:rPr>
        <w:t xml:space="preserve"> from </w:t>
      </w:r>
      <w:r>
        <w:rPr>
          <w:rFonts w:ascii="Arial" w:hAnsi="Arial" w:cs="Arial"/>
          <w:i w:val="0"/>
          <w:noProof/>
          <w:color w:val="000000" w:themeColor="text1"/>
          <w:sz w:val="20"/>
          <w:szCs w:val="20"/>
        </w:rPr>
        <w:t xml:space="preserve">a population of </w:t>
      </w:r>
      <w:r w:rsidRPr="00774835">
        <w:rPr>
          <w:rFonts w:ascii="Arial" w:hAnsi="Arial" w:cs="Arial"/>
          <w:i w:val="0"/>
          <w:noProof/>
          <w:color w:val="000000" w:themeColor="text1"/>
          <w:sz w:val="20"/>
          <w:szCs w:val="20"/>
        </w:rPr>
        <w:t>30 HepG2 cell</w:t>
      </w:r>
      <w:r>
        <w:rPr>
          <w:rFonts w:ascii="Arial" w:hAnsi="Arial" w:cs="Arial"/>
          <w:i w:val="0"/>
          <w:noProof/>
          <w:color w:val="000000" w:themeColor="text1"/>
          <w:sz w:val="20"/>
          <w:szCs w:val="20"/>
        </w:rPr>
        <w:t>s</w:t>
      </w:r>
      <w:r w:rsidRPr="00774835">
        <w:rPr>
          <w:rFonts w:ascii="Arial" w:hAnsi="Arial" w:cs="Arial"/>
          <w:i w:val="0"/>
          <w:noProof/>
          <w:color w:val="000000" w:themeColor="text1"/>
          <w:sz w:val="20"/>
          <w:szCs w:val="20"/>
        </w:rPr>
        <w:t xml:space="preserve"> using hyperspectral PCRS imaging. Average TPO </w:t>
      </w:r>
      <w:r>
        <w:rPr>
          <w:rFonts w:ascii="Arial" w:hAnsi="Arial" w:cs="Arial"/>
          <w:i w:val="0"/>
          <w:noProof/>
          <w:color w:val="000000" w:themeColor="text1"/>
          <w:sz w:val="20"/>
          <w:szCs w:val="20"/>
        </w:rPr>
        <w:t xml:space="preserve">secretion from </w:t>
      </w:r>
      <w:r w:rsidRPr="00774835">
        <w:rPr>
          <w:rFonts w:ascii="Arial" w:hAnsi="Arial" w:cs="Arial"/>
          <w:i w:val="0"/>
          <w:noProof/>
          <w:color w:val="000000" w:themeColor="text1"/>
          <w:sz w:val="20"/>
          <w:szCs w:val="20"/>
        </w:rPr>
        <w:t xml:space="preserve">HepG2 cells cultured in a 1000 platelets/cell media with </w:t>
      </w:r>
      <w:bookmarkStart w:id="12" w:name="OLE_LINK13"/>
      <w:bookmarkStart w:id="13" w:name="OLE_LINK14"/>
      <w:r w:rsidRPr="00774835">
        <w:rPr>
          <w:rFonts w:ascii="Arial" w:hAnsi="Arial" w:cs="Arial"/>
          <w:i w:val="0"/>
          <w:noProof/>
          <w:color w:val="000000" w:themeColor="text1"/>
          <w:sz w:val="20"/>
          <w:szCs w:val="20"/>
        </w:rPr>
        <w:t xml:space="preserve">99 % desialylated platelets </w:t>
      </w:r>
      <w:bookmarkEnd w:id="12"/>
      <w:bookmarkEnd w:id="13"/>
      <w:r w:rsidRPr="00774835">
        <w:rPr>
          <w:rFonts w:ascii="Arial" w:hAnsi="Arial" w:cs="Arial"/>
          <w:i w:val="0"/>
          <w:noProof/>
          <w:color w:val="000000" w:themeColor="text1"/>
          <w:sz w:val="20"/>
          <w:szCs w:val="20"/>
        </w:rPr>
        <w:t>is 1.</w:t>
      </w:r>
      <w:r>
        <w:rPr>
          <w:rFonts w:ascii="Arial" w:hAnsi="Arial" w:cs="Arial"/>
          <w:i w:val="0"/>
          <w:noProof/>
          <w:color w:val="000000" w:themeColor="text1"/>
          <w:sz w:val="20"/>
          <w:szCs w:val="20"/>
        </w:rPr>
        <w:t>5 times</w:t>
      </w:r>
      <w:r w:rsidRPr="00774835">
        <w:rPr>
          <w:rFonts w:ascii="Arial" w:hAnsi="Arial" w:cs="Arial"/>
          <w:i w:val="0"/>
          <w:noProof/>
          <w:color w:val="000000" w:themeColor="text1"/>
          <w:sz w:val="20"/>
          <w:szCs w:val="20"/>
        </w:rPr>
        <w:t xml:space="preserve"> higher than the inherent </w:t>
      </w:r>
      <w:r>
        <w:rPr>
          <w:rFonts w:ascii="Arial" w:hAnsi="Arial" w:cs="Arial"/>
          <w:i w:val="0"/>
          <w:noProof/>
          <w:color w:val="000000" w:themeColor="text1"/>
          <w:sz w:val="20"/>
          <w:szCs w:val="20"/>
        </w:rPr>
        <w:t xml:space="preserve">TPO </w:t>
      </w:r>
      <w:r w:rsidRPr="00774835">
        <w:rPr>
          <w:rFonts w:ascii="Arial" w:hAnsi="Arial" w:cs="Arial"/>
          <w:i w:val="0"/>
          <w:noProof/>
          <w:color w:val="000000" w:themeColor="text1"/>
          <w:sz w:val="20"/>
          <w:szCs w:val="20"/>
        </w:rPr>
        <w:t>(see Methods and Supplementary Information).</w:t>
      </w:r>
      <w:r w:rsidRPr="00FA33DE">
        <w:rPr>
          <w:rFonts w:ascii="Arial" w:hAnsi="Arial" w:cs="Arial"/>
          <w:i w:val="0"/>
          <w:noProof/>
          <w:color w:val="000000" w:themeColor="text1"/>
          <w:sz w:val="20"/>
        </w:rPr>
        <w:t xml:space="preserve"> </w:t>
      </w:r>
      <w:r>
        <w:rPr>
          <w:rFonts w:ascii="Arial" w:hAnsi="Arial" w:cs="Arial"/>
          <w:i w:val="0"/>
          <w:noProof/>
          <w:color w:val="000000" w:themeColor="text1"/>
          <w:sz w:val="20"/>
        </w:rPr>
        <w:t xml:space="preserve">The shaded areas represent the standard deviation for each trace at that time instant. </w:t>
      </w:r>
      <w:r w:rsidRPr="00774835">
        <w:rPr>
          <w:rFonts w:ascii="Arial" w:hAnsi="Arial" w:cs="Arial"/>
          <w:i w:val="0"/>
          <w:noProof/>
          <w:color w:val="000000" w:themeColor="text1"/>
          <w:sz w:val="20"/>
          <w:szCs w:val="20"/>
        </w:rPr>
        <w:t xml:space="preserve"> </w:t>
      </w:r>
      <w:r w:rsidRPr="00774835">
        <w:rPr>
          <w:rFonts w:ascii="Arial" w:hAnsi="Arial" w:cs="Arial"/>
          <w:b/>
          <w:i w:val="0"/>
          <w:noProof/>
          <w:color w:val="000000" w:themeColor="text1"/>
          <w:sz w:val="20"/>
          <w:szCs w:val="20"/>
        </w:rPr>
        <w:t xml:space="preserve">b </w:t>
      </w:r>
      <w:r w:rsidRPr="00774835">
        <w:rPr>
          <w:rFonts w:ascii="Arial" w:hAnsi="Arial" w:cs="Arial"/>
          <w:i w:val="0"/>
          <w:noProof/>
          <w:color w:val="000000" w:themeColor="text1"/>
          <w:sz w:val="20"/>
          <w:szCs w:val="20"/>
        </w:rPr>
        <w:t>Traces within the 30 HepG2 cell population exhibit a small standard deviation</w:t>
      </w:r>
      <w:r>
        <w:rPr>
          <w:rFonts w:ascii="Arial" w:hAnsi="Arial" w:cs="Arial"/>
          <w:i w:val="0"/>
          <w:noProof/>
          <w:color w:val="000000" w:themeColor="text1"/>
          <w:sz w:val="20"/>
          <w:szCs w:val="20"/>
        </w:rPr>
        <w:t xml:space="preserve"> in the area of secretion</w:t>
      </w:r>
      <w:r w:rsidRPr="00774835">
        <w:rPr>
          <w:rFonts w:ascii="Arial" w:hAnsi="Arial" w:cs="Arial"/>
          <w:i w:val="0"/>
          <w:noProof/>
          <w:color w:val="000000" w:themeColor="text1"/>
          <w:sz w:val="20"/>
          <w:szCs w:val="20"/>
        </w:rPr>
        <w:t xml:space="preserve"> of </w:t>
      </w:r>
      <w:bookmarkStart w:id="14" w:name="OLE_LINK3"/>
      <w:bookmarkStart w:id="15" w:name="OLE_LINK4"/>
      <w:r w:rsidRPr="00803C97">
        <w:rPr>
          <w:rFonts w:ascii="Cambria Math" w:hAnsi="Cambria Math" w:cs="Cambria Math"/>
          <w:i w:val="0"/>
          <w:noProof/>
          <w:color w:val="000000" w:themeColor="text1"/>
          <w:sz w:val="20"/>
          <w:szCs w:val="20"/>
        </w:rPr>
        <w:t>𝚪</w:t>
      </w:r>
      <w:bookmarkEnd w:id="14"/>
      <w:bookmarkEnd w:id="15"/>
      <w:r>
        <w:rPr>
          <w:rFonts w:ascii="Arial" w:hAnsi="Arial" w:cs="Arial"/>
          <w:i w:val="0"/>
          <w:noProof/>
          <w:color w:val="000000" w:themeColor="text1"/>
          <w:sz w:val="20"/>
          <w:szCs w:val="20"/>
          <w:vertAlign w:val="subscript"/>
        </w:rPr>
        <w:t>anti-TPO</w:t>
      </w:r>
      <w:r w:rsidRPr="00774835">
        <w:rPr>
          <w:rFonts w:ascii="Arial" w:hAnsi="Arial" w:cs="Arial"/>
          <w:i w:val="0"/>
          <w:noProof/>
          <w:color w:val="000000" w:themeColor="text1"/>
          <w:sz w:val="20"/>
          <w:szCs w:val="20"/>
          <w:vertAlign w:val="subscript"/>
        </w:rPr>
        <w:t xml:space="preserve">,-sia </w:t>
      </w:r>
      <w:r w:rsidRPr="00774835">
        <w:rPr>
          <w:rFonts w:ascii="Arial" w:hAnsi="Arial" w:cs="Arial"/>
          <w:i w:val="0"/>
          <w:noProof/>
          <w:color w:val="000000" w:themeColor="text1"/>
          <w:sz w:val="20"/>
          <w:szCs w:val="20"/>
        </w:rPr>
        <w:t xml:space="preserve">~ </w:t>
      </w:r>
      <w:r>
        <w:rPr>
          <w:rFonts w:ascii="Arial" w:hAnsi="Arial" w:cs="Arial"/>
          <w:i w:val="0"/>
          <w:noProof/>
          <w:color w:val="000000" w:themeColor="text1"/>
          <w:sz w:val="20"/>
          <w:szCs w:val="20"/>
        </w:rPr>
        <w:t>32</w:t>
      </w:r>
      <w:r w:rsidRPr="00774835">
        <w:rPr>
          <w:rFonts w:ascii="Arial" w:hAnsi="Arial" w:cs="Arial"/>
          <w:i w:val="0"/>
          <w:noProof/>
          <w:color w:val="000000" w:themeColor="text1"/>
          <w:sz w:val="20"/>
          <w:szCs w:val="20"/>
        </w:rPr>
        <w:t>0 µm</w:t>
      </w:r>
      <w:r w:rsidRPr="00774835">
        <w:rPr>
          <w:rFonts w:ascii="Arial" w:hAnsi="Arial" w:cs="Arial"/>
          <w:i w:val="0"/>
          <w:noProof/>
          <w:color w:val="000000" w:themeColor="text1"/>
          <w:sz w:val="20"/>
          <w:szCs w:val="20"/>
          <w:vertAlign w:val="superscript"/>
        </w:rPr>
        <w:t>2</w:t>
      </w:r>
      <w:r w:rsidRPr="00774835">
        <w:rPr>
          <w:rFonts w:ascii="Arial" w:hAnsi="Arial" w:cs="Arial"/>
          <w:i w:val="0"/>
          <w:noProof/>
          <w:color w:val="000000" w:themeColor="text1"/>
          <w:sz w:val="20"/>
          <w:szCs w:val="20"/>
        </w:rPr>
        <w:t>.</w:t>
      </w:r>
      <w:r w:rsidRPr="00774835">
        <w:rPr>
          <w:rFonts w:ascii="Arial" w:hAnsi="Arial" w:cs="Arial"/>
          <w:b/>
          <w:i w:val="0"/>
          <w:noProof/>
          <w:color w:val="000000" w:themeColor="text1"/>
          <w:sz w:val="20"/>
          <w:szCs w:val="20"/>
        </w:rPr>
        <w:t xml:space="preserve"> c </w:t>
      </w:r>
      <w:r w:rsidRPr="00774835">
        <w:rPr>
          <w:rFonts w:ascii="Arial" w:hAnsi="Arial" w:cs="Arial"/>
          <w:i w:val="0"/>
          <w:noProof/>
          <w:color w:val="000000" w:themeColor="text1"/>
          <w:sz w:val="20"/>
          <w:szCs w:val="20"/>
        </w:rPr>
        <w:t xml:space="preserve">In contrast, the HepG2 cell population cultured in a 1000 platelets/cell media with </w:t>
      </w:r>
      <w:bookmarkStart w:id="16" w:name="OLE_LINK20"/>
      <w:bookmarkStart w:id="17" w:name="OLE_LINK21"/>
      <w:bookmarkStart w:id="18" w:name="OLE_LINK22"/>
      <w:bookmarkStart w:id="19" w:name="OLE_LINK23"/>
      <w:r w:rsidRPr="00774835">
        <w:rPr>
          <w:rFonts w:ascii="Arial" w:hAnsi="Arial" w:cs="Arial"/>
          <w:i w:val="0"/>
          <w:noProof/>
          <w:color w:val="000000" w:themeColor="text1"/>
          <w:sz w:val="20"/>
          <w:szCs w:val="20"/>
        </w:rPr>
        <w:t xml:space="preserve">8-9 % </w:t>
      </w:r>
      <w:bookmarkEnd w:id="16"/>
      <w:bookmarkEnd w:id="17"/>
      <w:bookmarkEnd w:id="18"/>
      <w:bookmarkEnd w:id="19"/>
      <w:r w:rsidRPr="00774835">
        <w:rPr>
          <w:rFonts w:ascii="Arial" w:hAnsi="Arial" w:cs="Arial"/>
          <w:i w:val="0"/>
          <w:noProof/>
          <w:color w:val="000000" w:themeColor="text1"/>
          <w:sz w:val="20"/>
          <w:szCs w:val="20"/>
        </w:rPr>
        <w:t xml:space="preserve">desialylated platelets show a standard </w:t>
      </w:r>
      <w:r w:rsidRPr="00774835">
        <w:rPr>
          <w:rFonts w:ascii="Arial" w:hAnsi="Arial" w:cs="Arial"/>
          <w:i w:val="0"/>
          <w:noProof/>
          <w:color w:val="000000" w:themeColor="text1"/>
          <w:sz w:val="20"/>
          <w:szCs w:val="20"/>
        </w:rPr>
        <w:lastRenderedPageBreak/>
        <w:t xml:space="preserve">deviation of </w:t>
      </w:r>
      <w:r w:rsidRPr="00803C97">
        <w:rPr>
          <w:rFonts w:ascii="Cambria Math" w:hAnsi="Cambria Math" w:cs="Cambria Math"/>
          <w:i w:val="0"/>
          <w:noProof/>
          <w:color w:val="000000" w:themeColor="text1"/>
          <w:sz w:val="20"/>
          <w:szCs w:val="20"/>
        </w:rPr>
        <w:t>𝚪</w:t>
      </w:r>
      <w:r>
        <w:rPr>
          <w:rFonts w:ascii="Arial" w:hAnsi="Arial" w:cs="Arial"/>
          <w:i w:val="0"/>
          <w:noProof/>
          <w:color w:val="000000" w:themeColor="text1"/>
          <w:sz w:val="20"/>
          <w:szCs w:val="20"/>
          <w:vertAlign w:val="subscript"/>
        </w:rPr>
        <w:t>TPO</w:t>
      </w:r>
      <w:r w:rsidRPr="00774835">
        <w:rPr>
          <w:rFonts w:ascii="Arial" w:hAnsi="Arial" w:cs="Arial"/>
          <w:i w:val="0"/>
          <w:noProof/>
          <w:color w:val="000000" w:themeColor="text1"/>
          <w:sz w:val="20"/>
          <w:szCs w:val="20"/>
          <w:vertAlign w:val="subscript"/>
        </w:rPr>
        <w:t xml:space="preserve">,+sia </w:t>
      </w:r>
      <w:r w:rsidRPr="00774835">
        <w:rPr>
          <w:rFonts w:ascii="Arial" w:hAnsi="Arial" w:cs="Arial"/>
          <w:i w:val="0"/>
          <w:noProof/>
          <w:color w:val="000000" w:themeColor="text1"/>
          <w:sz w:val="20"/>
          <w:szCs w:val="20"/>
        </w:rPr>
        <w:t xml:space="preserve">~ </w:t>
      </w:r>
      <w:r>
        <w:rPr>
          <w:rFonts w:ascii="Arial" w:hAnsi="Arial" w:cs="Arial"/>
          <w:i w:val="0"/>
          <w:noProof/>
          <w:color w:val="000000" w:themeColor="text1"/>
          <w:sz w:val="20"/>
          <w:szCs w:val="20"/>
        </w:rPr>
        <w:t>60</w:t>
      </w:r>
      <w:r w:rsidRPr="00774835">
        <w:rPr>
          <w:rFonts w:ascii="Arial" w:hAnsi="Arial" w:cs="Arial"/>
          <w:i w:val="0"/>
          <w:noProof/>
          <w:color w:val="000000" w:themeColor="text1"/>
          <w:sz w:val="20"/>
          <w:szCs w:val="20"/>
        </w:rPr>
        <w:t>0 µm</w:t>
      </w:r>
      <w:r w:rsidRPr="00774835">
        <w:rPr>
          <w:rFonts w:ascii="Arial" w:hAnsi="Arial" w:cs="Arial"/>
          <w:i w:val="0"/>
          <w:noProof/>
          <w:color w:val="000000" w:themeColor="text1"/>
          <w:sz w:val="20"/>
          <w:szCs w:val="20"/>
          <w:vertAlign w:val="superscript"/>
        </w:rPr>
        <w:t>2</w:t>
      </w:r>
      <w:r w:rsidRPr="00774835">
        <w:rPr>
          <w:rFonts w:ascii="Arial" w:hAnsi="Arial" w:cs="Arial"/>
          <w:i w:val="0"/>
          <w:noProof/>
          <w:color w:val="000000" w:themeColor="text1"/>
          <w:sz w:val="20"/>
          <w:szCs w:val="20"/>
        </w:rPr>
        <w:t xml:space="preserve">, indicating a high degree of heterogeneity due to unsynchronised and uneven TPO expression within the population with respect to the system shown in b). </w:t>
      </w:r>
      <w:r w:rsidRPr="00774835">
        <w:rPr>
          <w:rFonts w:ascii="Arial" w:hAnsi="Arial" w:cs="Arial"/>
          <w:b/>
          <w:i w:val="0"/>
          <w:noProof/>
          <w:color w:val="000000" w:themeColor="text1"/>
          <w:sz w:val="20"/>
          <w:szCs w:val="20"/>
        </w:rPr>
        <w:t xml:space="preserve">d-e </w:t>
      </w:r>
      <w:r w:rsidRPr="00774835">
        <w:rPr>
          <w:rFonts w:ascii="Arial" w:hAnsi="Arial" w:cs="Arial"/>
          <w:i w:val="0"/>
          <w:noProof/>
          <w:color w:val="000000" w:themeColor="text1"/>
          <w:sz w:val="20"/>
          <w:szCs w:val="20"/>
        </w:rPr>
        <w:t>Reference and control systems, respectively, exhibit lower TPO expression and similar heterogeneity (</w:t>
      </w:r>
      <w:r w:rsidRPr="00803C97">
        <w:rPr>
          <w:rFonts w:ascii="Cambria Math" w:hAnsi="Cambria Math" w:cs="Cambria Math"/>
          <w:i w:val="0"/>
          <w:noProof/>
          <w:color w:val="000000" w:themeColor="text1"/>
          <w:sz w:val="20"/>
          <w:szCs w:val="20"/>
        </w:rPr>
        <w:t>𝚪</w:t>
      </w:r>
      <w:r>
        <w:rPr>
          <w:rFonts w:ascii="Arial" w:hAnsi="Arial" w:cs="Arial"/>
          <w:i w:val="0"/>
          <w:noProof/>
          <w:color w:val="000000" w:themeColor="text1"/>
          <w:sz w:val="20"/>
          <w:szCs w:val="20"/>
          <w:vertAlign w:val="subscript"/>
        </w:rPr>
        <w:t>anti-TPO</w:t>
      </w:r>
      <w:r w:rsidRPr="00774835">
        <w:rPr>
          <w:rFonts w:ascii="Arial" w:hAnsi="Arial" w:cs="Arial"/>
          <w:i w:val="0"/>
          <w:noProof/>
          <w:color w:val="000000" w:themeColor="text1"/>
          <w:sz w:val="20"/>
          <w:szCs w:val="20"/>
          <w:vertAlign w:val="subscript"/>
        </w:rPr>
        <w:t xml:space="preserve"> </w:t>
      </w:r>
      <w:r w:rsidRPr="00774835">
        <w:rPr>
          <w:rFonts w:ascii="Arial" w:hAnsi="Arial" w:cs="Arial"/>
          <w:i w:val="0"/>
          <w:noProof/>
          <w:color w:val="000000" w:themeColor="text1"/>
          <w:sz w:val="20"/>
          <w:szCs w:val="20"/>
        </w:rPr>
        <w:t>and</w:t>
      </w:r>
      <w:r>
        <w:rPr>
          <w:rFonts w:ascii="Arial" w:hAnsi="Arial" w:cs="Arial"/>
          <w:i w:val="0"/>
          <w:noProof/>
          <w:color w:val="000000" w:themeColor="text1"/>
          <w:sz w:val="20"/>
          <w:szCs w:val="20"/>
        </w:rPr>
        <w:t xml:space="preserve"> </w:t>
      </w:r>
      <w:r w:rsidRPr="00803C97">
        <w:rPr>
          <w:rFonts w:ascii="Cambria Math" w:hAnsi="Cambria Math" w:cs="Cambria Math"/>
          <w:i w:val="0"/>
          <w:noProof/>
          <w:color w:val="000000" w:themeColor="text1"/>
          <w:sz w:val="20"/>
          <w:szCs w:val="20"/>
        </w:rPr>
        <w:t>𝚪</w:t>
      </w:r>
      <w:r w:rsidRPr="00774835">
        <w:rPr>
          <w:rFonts w:ascii="Arial" w:hAnsi="Arial" w:cs="Arial"/>
          <w:i w:val="0"/>
          <w:noProof/>
          <w:color w:val="000000" w:themeColor="text1"/>
          <w:sz w:val="20"/>
          <w:szCs w:val="20"/>
          <w:vertAlign w:val="subscript"/>
        </w:rPr>
        <w:t>anti</w:t>
      </w:r>
      <w:r>
        <w:rPr>
          <w:rFonts w:ascii="Arial" w:hAnsi="Arial" w:cs="Arial"/>
          <w:i w:val="0"/>
          <w:noProof/>
          <w:color w:val="000000" w:themeColor="text1"/>
          <w:sz w:val="20"/>
          <w:szCs w:val="20"/>
          <w:vertAlign w:val="subscript"/>
        </w:rPr>
        <w:t>-</w:t>
      </w:r>
      <w:r w:rsidRPr="00774835">
        <w:rPr>
          <w:rFonts w:ascii="Arial" w:hAnsi="Arial" w:cs="Arial"/>
          <w:i w:val="0"/>
          <w:noProof/>
          <w:color w:val="000000" w:themeColor="text1"/>
          <w:sz w:val="20"/>
          <w:szCs w:val="20"/>
          <w:vertAlign w:val="subscript"/>
        </w:rPr>
        <w:t>IgG</w:t>
      </w:r>
      <w:r w:rsidRPr="00774835">
        <w:rPr>
          <w:rFonts w:ascii="Arial" w:hAnsi="Arial" w:cs="Arial"/>
          <w:noProof/>
          <w:color w:val="000000" w:themeColor="text1"/>
          <w:sz w:val="20"/>
          <w:szCs w:val="20"/>
          <w:vertAlign w:val="subscript"/>
        </w:rPr>
        <w:t xml:space="preserve"> </w:t>
      </w:r>
      <w:r w:rsidRPr="00774835">
        <w:rPr>
          <w:rFonts w:ascii="Arial" w:hAnsi="Arial" w:cs="Arial"/>
          <w:i w:val="0"/>
          <w:noProof/>
          <w:color w:val="000000" w:themeColor="text1"/>
          <w:sz w:val="20"/>
          <w:szCs w:val="20"/>
        </w:rPr>
        <w:t xml:space="preserve">~ </w:t>
      </w:r>
      <w:r>
        <w:rPr>
          <w:rFonts w:ascii="Arial" w:hAnsi="Arial" w:cs="Arial"/>
          <w:i w:val="0"/>
          <w:noProof/>
          <w:color w:val="000000" w:themeColor="text1"/>
          <w:sz w:val="20"/>
          <w:szCs w:val="20"/>
        </w:rPr>
        <w:t>28</w:t>
      </w:r>
      <w:r w:rsidRPr="00774835">
        <w:rPr>
          <w:rFonts w:ascii="Arial" w:hAnsi="Arial" w:cs="Arial"/>
          <w:i w:val="0"/>
          <w:noProof/>
          <w:color w:val="000000" w:themeColor="text1"/>
          <w:sz w:val="20"/>
          <w:szCs w:val="20"/>
        </w:rPr>
        <w:t xml:space="preserve">0 and </w:t>
      </w:r>
      <w:r>
        <w:rPr>
          <w:rFonts w:ascii="Arial" w:hAnsi="Arial" w:cs="Arial"/>
          <w:i w:val="0"/>
          <w:noProof/>
          <w:color w:val="000000" w:themeColor="text1"/>
          <w:sz w:val="20"/>
          <w:szCs w:val="20"/>
        </w:rPr>
        <w:t>33</w:t>
      </w:r>
      <w:r w:rsidRPr="00774835">
        <w:rPr>
          <w:rFonts w:ascii="Arial" w:hAnsi="Arial" w:cs="Arial"/>
          <w:i w:val="0"/>
          <w:noProof/>
          <w:color w:val="000000" w:themeColor="text1"/>
          <w:sz w:val="20"/>
          <w:szCs w:val="20"/>
        </w:rPr>
        <w:t>0 µm</w:t>
      </w:r>
      <w:r w:rsidRPr="00774835">
        <w:rPr>
          <w:rFonts w:ascii="Arial" w:hAnsi="Arial" w:cs="Arial"/>
          <w:i w:val="0"/>
          <w:noProof/>
          <w:color w:val="000000" w:themeColor="text1"/>
          <w:sz w:val="20"/>
          <w:szCs w:val="20"/>
          <w:vertAlign w:val="superscript"/>
        </w:rPr>
        <w:t>2</w:t>
      </w:r>
      <w:r w:rsidRPr="00774835">
        <w:rPr>
          <w:rFonts w:ascii="Arial" w:hAnsi="Arial" w:cs="Arial"/>
          <w:i w:val="0"/>
          <w:noProof/>
          <w:color w:val="000000" w:themeColor="text1"/>
          <w:sz w:val="20"/>
          <w:szCs w:val="20"/>
        </w:rPr>
        <w:t>, respectively) to the system challenged with a rich desialylated platelet media.</w:t>
      </w:r>
      <w:r>
        <w:rPr>
          <w:rFonts w:ascii="Arial" w:hAnsi="Arial" w:cs="Arial"/>
          <w:i w:val="0"/>
          <w:noProof/>
          <w:color w:val="000000" w:themeColor="text1"/>
          <w:sz w:val="20"/>
          <w:szCs w:val="20"/>
        </w:rPr>
        <w:t xml:space="preserve"> </w:t>
      </w:r>
      <w:r w:rsidRPr="003E362C">
        <w:rPr>
          <w:rFonts w:ascii="Arial" w:hAnsi="Arial" w:cs="Arial"/>
          <w:b/>
          <w:i w:val="0"/>
          <w:noProof/>
          <w:color w:val="000000" w:themeColor="text1"/>
          <w:sz w:val="20"/>
          <w:szCs w:val="20"/>
        </w:rPr>
        <w:t>f</w:t>
      </w:r>
      <w:r>
        <w:rPr>
          <w:rFonts w:ascii="Arial" w:hAnsi="Arial" w:cs="Arial"/>
          <w:b/>
          <w:i w:val="0"/>
          <w:noProof/>
          <w:color w:val="000000" w:themeColor="text1"/>
          <w:sz w:val="20"/>
          <w:szCs w:val="20"/>
        </w:rPr>
        <w:t xml:space="preserve"> </w:t>
      </w:r>
      <w:r>
        <w:rPr>
          <w:rFonts w:ascii="Arial" w:hAnsi="Arial" w:cs="Arial"/>
          <w:i w:val="0"/>
          <w:noProof/>
          <w:color w:val="000000" w:themeColor="text1"/>
          <w:sz w:val="20"/>
          <w:szCs w:val="20"/>
        </w:rPr>
        <w:t xml:space="preserve">Scatter plot of the individual secretion area from each individual cell within the population of the different systems after 180 min. The box indicates the </w:t>
      </w:r>
      <w:r w:rsidRPr="002A79FE">
        <w:rPr>
          <w:rFonts w:ascii="Arial" w:hAnsi="Arial" w:cs="Arial"/>
          <w:i w:val="0"/>
          <w:noProof/>
          <w:color w:val="000000" w:themeColor="text1"/>
          <w:sz w:val="20"/>
          <w:szCs w:val="20"/>
        </w:rPr>
        <w:t>25th and 75th percentiles of the samples, respectively</w:t>
      </w:r>
      <w:r>
        <w:rPr>
          <w:rFonts w:ascii="Arial" w:hAnsi="Arial" w:cs="Arial"/>
          <w:i w:val="0"/>
          <w:noProof/>
          <w:color w:val="000000" w:themeColor="text1"/>
          <w:sz w:val="20"/>
          <w:szCs w:val="20"/>
        </w:rPr>
        <w:t xml:space="preserve">. TPO secretion from cells exposed to </w:t>
      </w:r>
      <w:r w:rsidRPr="00774835">
        <w:rPr>
          <w:rFonts w:ascii="Arial" w:hAnsi="Arial" w:cs="Arial"/>
          <w:i w:val="0"/>
          <w:noProof/>
          <w:color w:val="000000" w:themeColor="text1"/>
          <w:sz w:val="20"/>
          <w:szCs w:val="20"/>
        </w:rPr>
        <w:t xml:space="preserve">99 % </w:t>
      </w:r>
      <w:r>
        <w:rPr>
          <w:rFonts w:ascii="Arial" w:hAnsi="Arial" w:cs="Arial"/>
          <w:i w:val="0"/>
          <w:noProof/>
          <w:color w:val="000000" w:themeColor="text1"/>
          <w:sz w:val="20"/>
          <w:szCs w:val="20"/>
        </w:rPr>
        <w:t xml:space="preserve">and </w:t>
      </w:r>
      <w:r w:rsidRPr="00774835">
        <w:rPr>
          <w:rFonts w:ascii="Arial" w:hAnsi="Arial" w:cs="Arial"/>
          <w:i w:val="0"/>
          <w:noProof/>
          <w:color w:val="000000" w:themeColor="text1"/>
          <w:sz w:val="20"/>
          <w:szCs w:val="20"/>
        </w:rPr>
        <w:t>8-9 %</w:t>
      </w:r>
      <w:r w:rsidRPr="00823251">
        <w:t xml:space="preserve"> </w:t>
      </w:r>
      <w:r w:rsidRPr="00774835">
        <w:rPr>
          <w:rFonts w:ascii="Arial" w:hAnsi="Arial" w:cs="Arial"/>
          <w:i w:val="0"/>
          <w:noProof/>
          <w:color w:val="000000" w:themeColor="text1"/>
          <w:sz w:val="20"/>
          <w:szCs w:val="20"/>
        </w:rPr>
        <w:t>desialylated platelets</w:t>
      </w:r>
      <w:r>
        <w:rPr>
          <w:rFonts w:ascii="Arial" w:hAnsi="Arial" w:cs="Arial"/>
          <w:i w:val="0"/>
          <w:noProof/>
          <w:color w:val="000000" w:themeColor="text1"/>
          <w:sz w:val="20"/>
          <w:szCs w:val="20"/>
        </w:rPr>
        <w:t xml:space="preserve">, respectively, </w:t>
      </w:r>
      <w:r w:rsidRPr="00823251">
        <w:rPr>
          <w:rFonts w:ascii="Arial" w:hAnsi="Arial" w:cs="Arial"/>
          <w:i w:val="0"/>
          <w:noProof/>
          <w:color w:val="000000" w:themeColor="text1"/>
          <w:sz w:val="20"/>
          <w:szCs w:val="20"/>
        </w:rPr>
        <w:t xml:space="preserve">was found to be </w:t>
      </w:r>
      <w:r w:rsidRPr="00E86A03">
        <w:rPr>
          <w:rFonts w:ascii="Arial" w:hAnsi="Arial" w:cs="Arial"/>
          <w:i w:val="0"/>
          <w:noProof/>
          <w:color w:val="000000" w:themeColor="text1"/>
          <w:sz w:val="22"/>
          <w:szCs w:val="20"/>
        </w:rPr>
        <w:t>κ</w:t>
      </w:r>
      <w:r w:rsidRPr="00823251">
        <w:rPr>
          <w:rFonts w:ascii="Arial" w:hAnsi="Arial" w:cs="Arial"/>
          <w:i w:val="0"/>
          <w:noProof/>
          <w:color w:val="000000" w:themeColor="text1"/>
          <w:sz w:val="20"/>
          <w:szCs w:val="20"/>
          <w:vertAlign w:val="subscript"/>
        </w:rPr>
        <w:t xml:space="preserve">anti-TPO + desialylated PL </w:t>
      </w:r>
      <w:r w:rsidRPr="00823251">
        <w:rPr>
          <w:rFonts w:ascii="Arial" w:hAnsi="Arial" w:cs="Arial"/>
          <w:i w:val="0"/>
          <w:noProof/>
          <w:color w:val="000000" w:themeColor="text1"/>
          <w:sz w:val="20"/>
          <w:szCs w:val="20"/>
        </w:rPr>
        <w:t>17 µm</w:t>
      </w:r>
      <w:r w:rsidRPr="00E86A03">
        <w:rPr>
          <w:rFonts w:ascii="Arial" w:hAnsi="Arial" w:cs="Arial"/>
          <w:i w:val="0"/>
          <w:noProof/>
          <w:color w:val="000000" w:themeColor="text1"/>
          <w:sz w:val="20"/>
          <w:szCs w:val="20"/>
          <w:vertAlign w:val="superscript"/>
        </w:rPr>
        <w:t>2</w:t>
      </w:r>
      <w:r w:rsidRPr="00823251">
        <w:rPr>
          <w:rFonts w:ascii="Arial" w:hAnsi="Arial" w:cs="Arial"/>
          <w:i w:val="0"/>
          <w:noProof/>
          <w:color w:val="000000" w:themeColor="text1"/>
          <w:sz w:val="20"/>
          <w:szCs w:val="20"/>
        </w:rPr>
        <w:t>/h</w:t>
      </w:r>
      <w:r>
        <w:rPr>
          <w:rFonts w:ascii="Arial" w:hAnsi="Arial" w:cs="Arial"/>
          <w:i w:val="0"/>
          <w:noProof/>
          <w:color w:val="000000" w:themeColor="text1"/>
          <w:sz w:val="20"/>
          <w:szCs w:val="20"/>
        </w:rPr>
        <w:t xml:space="preserve"> and </w:t>
      </w:r>
      <w:r w:rsidRPr="00E86A03">
        <w:rPr>
          <w:rFonts w:ascii="Arial" w:hAnsi="Arial" w:cs="Arial"/>
          <w:i w:val="0"/>
          <w:noProof/>
          <w:color w:val="000000" w:themeColor="text1"/>
          <w:sz w:val="22"/>
          <w:szCs w:val="20"/>
          <w:lang w:val="en-US"/>
        </w:rPr>
        <w:t>κ</w:t>
      </w:r>
      <w:r w:rsidRPr="00823251">
        <w:rPr>
          <w:rFonts w:ascii="Arial" w:hAnsi="Arial" w:cs="Arial"/>
          <w:i w:val="0"/>
          <w:noProof/>
          <w:color w:val="000000" w:themeColor="text1"/>
          <w:sz w:val="20"/>
          <w:szCs w:val="20"/>
          <w:vertAlign w:val="subscript"/>
          <w:lang w:val="en-US"/>
        </w:rPr>
        <w:t xml:space="preserve">anti-TPO + sialylated PL </w:t>
      </w:r>
      <w:r w:rsidRPr="00823251">
        <w:rPr>
          <w:rFonts w:ascii="Arial" w:hAnsi="Arial" w:cs="Arial"/>
          <w:i w:val="0"/>
          <w:noProof/>
          <w:color w:val="000000" w:themeColor="text1"/>
          <w:sz w:val="20"/>
          <w:szCs w:val="20"/>
          <w:lang w:val="en-US"/>
        </w:rPr>
        <w:t>13 µm</w:t>
      </w:r>
      <w:r w:rsidRPr="00823251">
        <w:rPr>
          <w:rFonts w:ascii="Arial" w:hAnsi="Arial" w:cs="Arial"/>
          <w:i w:val="0"/>
          <w:noProof/>
          <w:color w:val="000000" w:themeColor="text1"/>
          <w:sz w:val="20"/>
          <w:szCs w:val="20"/>
          <w:vertAlign w:val="superscript"/>
          <w:lang w:val="en-US"/>
        </w:rPr>
        <w:t>2</w:t>
      </w:r>
      <w:r w:rsidRPr="00823251">
        <w:rPr>
          <w:rFonts w:ascii="Arial" w:hAnsi="Arial" w:cs="Arial"/>
          <w:i w:val="0"/>
          <w:noProof/>
          <w:color w:val="000000" w:themeColor="text1"/>
          <w:sz w:val="20"/>
          <w:szCs w:val="20"/>
          <w:lang w:val="en-US"/>
        </w:rPr>
        <w:t xml:space="preserve">/h </w:t>
      </w:r>
      <w:r>
        <w:rPr>
          <w:rFonts w:ascii="Arial" w:hAnsi="Arial" w:cs="Arial"/>
          <w:i w:val="0"/>
          <w:noProof/>
          <w:color w:val="000000" w:themeColor="text1"/>
          <w:sz w:val="20"/>
          <w:szCs w:val="20"/>
        </w:rPr>
        <w:t xml:space="preserve">(see Supplementaty Information). </w:t>
      </w:r>
      <w:r w:rsidRPr="002A79FE">
        <w:rPr>
          <w:rFonts w:ascii="Arial" w:hAnsi="Arial" w:cs="Arial"/>
          <w:b/>
          <w:i w:val="0"/>
          <w:noProof/>
          <w:color w:val="000000" w:themeColor="text1"/>
          <w:sz w:val="20"/>
          <w:szCs w:val="20"/>
        </w:rPr>
        <w:t>g-j</w:t>
      </w:r>
      <w:r>
        <w:rPr>
          <w:rFonts w:ascii="Arial" w:hAnsi="Arial" w:cs="Arial"/>
          <w:b/>
          <w:i w:val="0"/>
          <w:noProof/>
          <w:color w:val="000000" w:themeColor="text1"/>
          <w:sz w:val="20"/>
          <w:szCs w:val="20"/>
        </w:rPr>
        <w:t xml:space="preserve"> </w:t>
      </w:r>
      <w:r w:rsidRPr="00214264">
        <w:rPr>
          <w:rFonts w:ascii="Arial" w:hAnsi="Arial" w:cs="Arial"/>
          <w:i w:val="0"/>
          <w:noProof/>
          <w:color w:val="000000" w:themeColor="text1"/>
          <w:sz w:val="20"/>
          <w:szCs w:val="20"/>
        </w:rPr>
        <w:t>C</w:t>
      </w:r>
      <w:r>
        <w:rPr>
          <w:rFonts w:ascii="Arial" w:hAnsi="Arial" w:cs="Arial"/>
          <w:i w:val="0"/>
          <w:noProof/>
          <w:color w:val="000000" w:themeColor="text1"/>
          <w:sz w:val="20"/>
          <w:szCs w:val="20"/>
        </w:rPr>
        <w:t xml:space="preserve">ell count histograms of the secretion area for each HepG2 cell population (including the control system functionalised with an antibody against IgG). The standard </w:t>
      </w:r>
      <w:r w:rsidRPr="00B86165">
        <w:rPr>
          <w:rFonts w:ascii="Arial" w:hAnsi="Arial" w:cs="Arial"/>
          <w:i w:val="0"/>
          <w:noProof/>
          <w:color w:val="000000" w:themeColor="text1"/>
          <w:sz w:val="20"/>
          <w:szCs w:val="20"/>
        </w:rPr>
        <w:t xml:space="preserve">deviation for each case is represented with a bar in each of the plots, which directly </w:t>
      </w:r>
      <w:r>
        <w:rPr>
          <w:rFonts w:ascii="Arial" w:hAnsi="Arial" w:cs="Arial"/>
          <w:i w:val="0"/>
          <w:noProof/>
          <w:color w:val="000000" w:themeColor="text1"/>
          <w:sz w:val="20"/>
          <w:szCs w:val="20"/>
        </w:rPr>
        <w:t xml:space="preserve">relates to </w:t>
      </w:r>
      <w:r w:rsidRPr="00B86165">
        <w:rPr>
          <w:rFonts w:ascii="Arial" w:hAnsi="Arial" w:cs="Arial"/>
          <w:i w:val="0"/>
          <w:noProof/>
          <w:color w:val="000000" w:themeColor="text1"/>
          <w:sz w:val="20"/>
          <w:szCs w:val="20"/>
        </w:rPr>
        <w:t>the heterogeneity of the system.</w:t>
      </w:r>
      <w:r w:rsidRPr="00692114">
        <w:rPr>
          <w:rFonts w:ascii="Arial" w:hAnsi="Arial" w:cs="Arial"/>
          <w:i w:val="0"/>
          <w:noProof/>
          <w:color w:val="000000" w:themeColor="text1"/>
          <w:sz w:val="22"/>
          <w:szCs w:val="22"/>
        </w:rPr>
        <w:t xml:space="preserve">  </w:t>
      </w:r>
    </w:p>
    <w:sectPr w:rsidR="00FC3BFD" w:rsidRPr="005C136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u Gothic Light">
    <w:charset w:val="80"/>
    <w:family w:val="swiss"/>
    <w:pitch w:val="variable"/>
    <w:sig w:usb0="E00002FF" w:usb1="2AC7FDFF" w:usb2="00000016" w:usb3="00000000" w:csb0="0002009F" w:csb1="00000000"/>
  </w:font>
  <w:font w:name="Lucida Grande">
    <w:altName w:val="Arial"/>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Yu Mincho">
    <w:altName w:val="游明朝"/>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D71"/>
    <w:rsid w:val="000003A1"/>
    <w:rsid w:val="00002B17"/>
    <w:rsid w:val="00004BC2"/>
    <w:rsid w:val="00006054"/>
    <w:rsid w:val="00010F63"/>
    <w:rsid w:val="000114FF"/>
    <w:rsid w:val="00011F05"/>
    <w:rsid w:val="000127D0"/>
    <w:rsid w:val="00020DAE"/>
    <w:rsid w:val="000233D1"/>
    <w:rsid w:val="00026F19"/>
    <w:rsid w:val="00032A1A"/>
    <w:rsid w:val="000351A9"/>
    <w:rsid w:val="00040902"/>
    <w:rsid w:val="00043EA8"/>
    <w:rsid w:val="0004459E"/>
    <w:rsid w:val="0005023F"/>
    <w:rsid w:val="00062794"/>
    <w:rsid w:val="0006799B"/>
    <w:rsid w:val="00071DB1"/>
    <w:rsid w:val="00072449"/>
    <w:rsid w:val="0007330F"/>
    <w:rsid w:val="000734BC"/>
    <w:rsid w:val="00073AC5"/>
    <w:rsid w:val="0007607C"/>
    <w:rsid w:val="0008044C"/>
    <w:rsid w:val="000807DE"/>
    <w:rsid w:val="00081A28"/>
    <w:rsid w:val="00083115"/>
    <w:rsid w:val="00087379"/>
    <w:rsid w:val="00090B81"/>
    <w:rsid w:val="00090BB5"/>
    <w:rsid w:val="000918AA"/>
    <w:rsid w:val="00093F19"/>
    <w:rsid w:val="00095CC4"/>
    <w:rsid w:val="000A052C"/>
    <w:rsid w:val="000A1173"/>
    <w:rsid w:val="000A19C8"/>
    <w:rsid w:val="000A2A8D"/>
    <w:rsid w:val="000A375D"/>
    <w:rsid w:val="000A4166"/>
    <w:rsid w:val="000A649C"/>
    <w:rsid w:val="000A715D"/>
    <w:rsid w:val="000B18B3"/>
    <w:rsid w:val="000B284F"/>
    <w:rsid w:val="000B4E4F"/>
    <w:rsid w:val="000B79C9"/>
    <w:rsid w:val="000C2ED9"/>
    <w:rsid w:val="000C4E57"/>
    <w:rsid w:val="000C7D9F"/>
    <w:rsid w:val="000D3F52"/>
    <w:rsid w:val="000D462F"/>
    <w:rsid w:val="000D797D"/>
    <w:rsid w:val="000F02EB"/>
    <w:rsid w:val="000F6415"/>
    <w:rsid w:val="000F6C54"/>
    <w:rsid w:val="000F7002"/>
    <w:rsid w:val="001016D0"/>
    <w:rsid w:val="00102A6D"/>
    <w:rsid w:val="00103403"/>
    <w:rsid w:val="00103BA1"/>
    <w:rsid w:val="00104943"/>
    <w:rsid w:val="00110273"/>
    <w:rsid w:val="00110377"/>
    <w:rsid w:val="00111E0D"/>
    <w:rsid w:val="001161DA"/>
    <w:rsid w:val="00121342"/>
    <w:rsid w:val="00121FD0"/>
    <w:rsid w:val="001222BD"/>
    <w:rsid w:val="001240E2"/>
    <w:rsid w:val="00127B3A"/>
    <w:rsid w:val="00127CEA"/>
    <w:rsid w:val="001318CC"/>
    <w:rsid w:val="00131940"/>
    <w:rsid w:val="0013199A"/>
    <w:rsid w:val="00133791"/>
    <w:rsid w:val="00135A1B"/>
    <w:rsid w:val="00136FB2"/>
    <w:rsid w:val="0014094F"/>
    <w:rsid w:val="001468AD"/>
    <w:rsid w:val="00147496"/>
    <w:rsid w:val="001504AB"/>
    <w:rsid w:val="00153C59"/>
    <w:rsid w:val="00155149"/>
    <w:rsid w:val="001636F4"/>
    <w:rsid w:val="00165BB4"/>
    <w:rsid w:val="00166BC9"/>
    <w:rsid w:val="00167A31"/>
    <w:rsid w:val="00170260"/>
    <w:rsid w:val="0017622D"/>
    <w:rsid w:val="001836B6"/>
    <w:rsid w:val="0018545D"/>
    <w:rsid w:val="001867A9"/>
    <w:rsid w:val="0019336B"/>
    <w:rsid w:val="00193F0D"/>
    <w:rsid w:val="001956F4"/>
    <w:rsid w:val="00195AD2"/>
    <w:rsid w:val="001976F3"/>
    <w:rsid w:val="001A5328"/>
    <w:rsid w:val="001A78FF"/>
    <w:rsid w:val="001A7C52"/>
    <w:rsid w:val="001A7DE1"/>
    <w:rsid w:val="001B2A15"/>
    <w:rsid w:val="001B3864"/>
    <w:rsid w:val="001B5EFD"/>
    <w:rsid w:val="001B6D65"/>
    <w:rsid w:val="001C17F1"/>
    <w:rsid w:val="001C7109"/>
    <w:rsid w:val="001D587D"/>
    <w:rsid w:val="001E1525"/>
    <w:rsid w:val="001E1A38"/>
    <w:rsid w:val="001E3D04"/>
    <w:rsid w:val="001E3D7B"/>
    <w:rsid w:val="001E505C"/>
    <w:rsid w:val="001E768C"/>
    <w:rsid w:val="001F4178"/>
    <w:rsid w:val="001F55D4"/>
    <w:rsid w:val="001F7602"/>
    <w:rsid w:val="00205FFF"/>
    <w:rsid w:val="00206D8F"/>
    <w:rsid w:val="00207536"/>
    <w:rsid w:val="002106B8"/>
    <w:rsid w:val="00214264"/>
    <w:rsid w:val="00216186"/>
    <w:rsid w:val="00216220"/>
    <w:rsid w:val="002206A6"/>
    <w:rsid w:val="00222594"/>
    <w:rsid w:val="002268CE"/>
    <w:rsid w:val="002378A7"/>
    <w:rsid w:val="00240E90"/>
    <w:rsid w:val="00247DB0"/>
    <w:rsid w:val="002579D0"/>
    <w:rsid w:val="002639F2"/>
    <w:rsid w:val="00263D75"/>
    <w:rsid w:val="00270719"/>
    <w:rsid w:val="0027181F"/>
    <w:rsid w:val="00271C83"/>
    <w:rsid w:val="00271F4D"/>
    <w:rsid w:val="00277FCB"/>
    <w:rsid w:val="002850A4"/>
    <w:rsid w:val="0028583C"/>
    <w:rsid w:val="002900F7"/>
    <w:rsid w:val="00290B20"/>
    <w:rsid w:val="002915AB"/>
    <w:rsid w:val="00291A98"/>
    <w:rsid w:val="00295D4F"/>
    <w:rsid w:val="00296D71"/>
    <w:rsid w:val="002A05D5"/>
    <w:rsid w:val="002A4D13"/>
    <w:rsid w:val="002A5F27"/>
    <w:rsid w:val="002A6DF2"/>
    <w:rsid w:val="002A79FE"/>
    <w:rsid w:val="002B70B0"/>
    <w:rsid w:val="002B7366"/>
    <w:rsid w:val="002C0D12"/>
    <w:rsid w:val="002C205D"/>
    <w:rsid w:val="002C7B5C"/>
    <w:rsid w:val="002C7EAF"/>
    <w:rsid w:val="002D0D71"/>
    <w:rsid w:val="002D24CD"/>
    <w:rsid w:val="002D3271"/>
    <w:rsid w:val="002D3B29"/>
    <w:rsid w:val="002D6654"/>
    <w:rsid w:val="002E40C9"/>
    <w:rsid w:val="002E6184"/>
    <w:rsid w:val="002E7192"/>
    <w:rsid w:val="002E77C1"/>
    <w:rsid w:val="002F00F1"/>
    <w:rsid w:val="002F27FA"/>
    <w:rsid w:val="00307258"/>
    <w:rsid w:val="003072BD"/>
    <w:rsid w:val="003078F8"/>
    <w:rsid w:val="00323BD6"/>
    <w:rsid w:val="00324EBD"/>
    <w:rsid w:val="00326A01"/>
    <w:rsid w:val="00330570"/>
    <w:rsid w:val="0033320C"/>
    <w:rsid w:val="003336C5"/>
    <w:rsid w:val="0034386C"/>
    <w:rsid w:val="00344149"/>
    <w:rsid w:val="00351D83"/>
    <w:rsid w:val="003520C1"/>
    <w:rsid w:val="0035351F"/>
    <w:rsid w:val="00360ABC"/>
    <w:rsid w:val="00363CEA"/>
    <w:rsid w:val="00364B90"/>
    <w:rsid w:val="0036774D"/>
    <w:rsid w:val="00367AB8"/>
    <w:rsid w:val="003730A8"/>
    <w:rsid w:val="003733F1"/>
    <w:rsid w:val="00376ACF"/>
    <w:rsid w:val="00377D1B"/>
    <w:rsid w:val="00381252"/>
    <w:rsid w:val="003838BD"/>
    <w:rsid w:val="00386EBC"/>
    <w:rsid w:val="00387478"/>
    <w:rsid w:val="00394A60"/>
    <w:rsid w:val="00395B9D"/>
    <w:rsid w:val="003A148B"/>
    <w:rsid w:val="003A2065"/>
    <w:rsid w:val="003A53A3"/>
    <w:rsid w:val="003B17B6"/>
    <w:rsid w:val="003B6751"/>
    <w:rsid w:val="003B6E68"/>
    <w:rsid w:val="003C13FA"/>
    <w:rsid w:val="003C4127"/>
    <w:rsid w:val="003C4AF7"/>
    <w:rsid w:val="003C5A9D"/>
    <w:rsid w:val="003D0E65"/>
    <w:rsid w:val="003D62DA"/>
    <w:rsid w:val="003E1AD7"/>
    <w:rsid w:val="003E362C"/>
    <w:rsid w:val="003E6B07"/>
    <w:rsid w:val="003F1004"/>
    <w:rsid w:val="003F670E"/>
    <w:rsid w:val="0040102F"/>
    <w:rsid w:val="004042D0"/>
    <w:rsid w:val="004042E4"/>
    <w:rsid w:val="0041060A"/>
    <w:rsid w:val="00415275"/>
    <w:rsid w:val="00422BF5"/>
    <w:rsid w:val="00425E0B"/>
    <w:rsid w:val="0042749D"/>
    <w:rsid w:val="00427896"/>
    <w:rsid w:val="00435F23"/>
    <w:rsid w:val="004366C8"/>
    <w:rsid w:val="004371DA"/>
    <w:rsid w:val="00441F7E"/>
    <w:rsid w:val="0044236A"/>
    <w:rsid w:val="004430B6"/>
    <w:rsid w:val="00445E06"/>
    <w:rsid w:val="00445F07"/>
    <w:rsid w:val="00447968"/>
    <w:rsid w:val="0045071A"/>
    <w:rsid w:val="00450FB5"/>
    <w:rsid w:val="00456D8E"/>
    <w:rsid w:val="004570F5"/>
    <w:rsid w:val="0046215C"/>
    <w:rsid w:val="00462A02"/>
    <w:rsid w:val="00467FE0"/>
    <w:rsid w:val="00472D29"/>
    <w:rsid w:val="00476B62"/>
    <w:rsid w:val="0047781F"/>
    <w:rsid w:val="00480906"/>
    <w:rsid w:val="00483A71"/>
    <w:rsid w:val="00484528"/>
    <w:rsid w:val="00487DBC"/>
    <w:rsid w:val="0049021D"/>
    <w:rsid w:val="00494B9F"/>
    <w:rsid w:val="00497723"/>
    <w:rsid w:val="004A0FC6"/>
    <w:rsid w:val="004A10A2"/>
    <w:rsid w:val="004A2E78"/>
    <w:rsid w:val="004A4D5C"/>
    <w:rsid w:val="004B1168"/>
    <w:rsid w:val="004B3F02"/>
    <w:rsid w:val="004B760A"/>
    <w:rsid w:val="004D09D1"/>
    <w:rsid w:val="004D0F25"/>
    <w:rsid w:val="004D204F"/>
    <w:rsid w:val="004D3097"/>
    <w:rsid w:val="004D7FFB"/>
    <w:rsid w:val="004E1849"/>
    <w:rsid w:val="004E1B9A"/>
    <w:rsid w:val="004F25A2"/>
    <w:rsid w:val="004F58C5"/>
    <w:rsid w:val="004F5D33"/>
    <w:rsid w:val="004F5DA1"/>
    <w:rsid w:val="004F732D"/>
    <w:rsid w:val="00500973"/>
    <w:rsid w:val="00502DDD"/>
    <w:rsid w:val="0050713C"/>
    <w:rsid w:val="00511AD6"/>
    <w:rsid w:val="00514CA0"/>
    <w:rsid w:val="0052031F"/>
    <w:rsid w:val="00530468"/>
    <w:rsid w:val="005331EB"/>
    <w:rsid w:val="00533979"/>
    <w:rsid w:val="00534F82"/>
    <w:rsid w:val="005362C4"/>
    <w:rsid w:val="00537B5D"/>
    <w:rsid w:val="0054237B"/>
    <w:rsid w:val="00550937"/>
    <w:rsid w:val="00553F74"/>
    <w:rsid w:val="0055546D"/>
    <w:rsid w:val="00564485"/>
    <w:rsid w:val="00565448"/>
    <w:rsid w:val="00566D97"/>
    <w:rsid w:val="00577096"/>
    <w:rsid w:val="00577D34"/>
    <w:rsid w:val="00584AFA"/>
    <w:rsid w:val="00587762"/>
    <w:rsid w:val="0059293C"/>
    <w:rsid w:val="00596916"/>
    <w:rsid w:val="00596931"/>
    <w:rsid w:val="005A3633"/>
    <w:rsid w:val="005B54E0"/>
    <w:rsid w:val="005B6892"/>
    <w:rsid w:val="005C1364"/>
    <w:rsid w:val="005C4887"/>
    <w:rsid w:val="005C661A"/>
    <w:rsid w:val="005D42C8"/>
    <w:rsid w:val="005E01E6"/>
    <w:rsid w:val="005E096A"/>
    <w:rsid w:val="005E2CE9"/>
    <w:rsid w:val="005E5B52"/>
    <w:rsid w:val="005F13FC"/>
    <w:rsid w:val="005F33C4"/>
    <w:rsid w:val="005F6622"/>
    <w:rsid w:val="00600AEB"/>
    <w:rsid w:val="006037AB"/>
    <w:rsid w:val="00605E05"/>
    <w:rsid w:val="00607F42"/>
    <w:rsid w:val="0061125A"/>
    <w:rsid w:val="00611574"/>
    <w:rsid w:val="006145EF"/>
    <w:rsid w:val="006153E9"/>
    <w:rsid w:val="00615C00"/>
    <w:rsid w:val="006176D7"/>
    <w:rsid w:val="006220BF"/>
    <w:rsid w:val="006244ED"/>
    <w:rsid w:val="006316C3"/>
    <w:rsid w:val="00631FDD"/>
    <w:rsid w:val="006338B8"/>
    <w:rsid w:val="006361B6"/>
    <w:rsid w:val="00636975"/>
    <w:rsid w:val="00642ECF"/>
    <w:rsid w:val="0065049F"/>
    <w:rsid w:val="00656A9D"/>
    <w:rsid w:val="00660188"/>
    <w:rsid w:val="006629AF"/>
    <w:rsid w:val="00662DFF"/>
    <w:rsid w:val="006705AC"/>
    <w:rsid w:val="00670BB6"/>
    <w:rsid w:val="0067546A"/>
    <w:rsid w:val="00680EF1"/>
    <w:rsid w:val="006813CB"/>
    <w:rsid w:val="0068350F"/>
    <w:rsid w:val="00684A0F"/>
    <w:rsid w:val="00685B1E"/>
    <w:rsid w:val="00686BBA"/>
    <w:rsid w:val="00692114"/>
    <w:rsid w:val="00694DCC"/>
    <w:rsid w:val="0069730A"/>
    <w:rsid w:val="006A2287"/>
    <w:rsid w:val="006A2E57"/>
    <w:rsid w:val="006A397A"/>
    <w:rsid w:val="006A773B"/>
    <w:rsid w:val="006B59C4"/>
    <w:rsid w:val="006C149E"/>
    <w:rsid w:val="006C6927"/>
    <w:rsid w:val="006C6C2A"/>
    <w:rsid w:val="006C767E"/>
    <w:rsid w:val="006D2680"/>
    <w:rsid w:val="006D589B"/>
    <w:rsid w:val="006D6A7A"/>
    <w:rsid w:val="006D6C51"/>
    <w:rsid w:val="006D7EE4"/>
    <w:rsid w:val="006E0297"/>
    <w:rsid w:val="006E0432"/>
    <w:rsid w:val="006E5803"/>
    <w:rsid w:val="006F3DCA"/>
    <w:rsid w:val="006F4713"/>
    <w:rsid w:val="006F72F4"/>
    <w:rsid w:val="006F7511"/>
    <w:rsid w:val="00700493"/>
    <w:rsid w:val="007022D8"/>
    <w:rsid w:val="00703E83"/>
    <w:rsid w:val="00704EA9"/>
    <w:rsid w:val="00714796"/>
    <w:rsid w:val="00722948"/>
    <w:rsid w:val="00727757"/>
    <w:rsid w:val="00727F71"/>
    <w:rsid w:val="00731FFE"/>
    <w:rsid w:val="007337A6"/>
    <w:rsid w:val="007343A9"/>
    <w:rsid w:val="00736B3A"/>
    <w:rsid w:val="00742824"/>
    <w:rsid w:val="007448ED"/>
    <w:rsid w:val="007457D6"/>
    <w:rsid w:val="0075282F"/>
    <w:rsid w:val="00756269"/>
    <w:rsid w:val="0076025A"/>
    <w:rsid w:val="00763341"/>
    <w:rsid w:val="0076394C"/>
    <w:rsid w:val="00764BF8"/>
    <w:rsid w:val="0076518E"/>
    <w:rsid w:val="00765B93"/>
    <w:rsid w:val="00767B72"/>
    <w:rsid w:val="007700A1"/>
    <w:rsid w:val="00774835"/>
    <w:rsid w:val="0077601B"/>
    <w:rsid w:val="00780B0D"/>
    <w:rsid w:val="00785A97"/>
    <w:rsid w:val="00792CA6"/>
    <w:rsid w:val="00793071"/>
    <w:rsid w:val="0079405F"/>
    <w:rsid w:val="0079573D"/>
    <w:rsid w:val="00797767"/>
    <w:rsid w:val="007A19E4"/>
    <w:rsid w:val="007A48E7"/>
    <w:rsid w:val="007A7164"/>
    <w:rsid w:val="007B0852"/>
    <w:rsid w:val="007B5704"/>
    <w:rsid w:val="007B5D82"/>
    <w:rsid w:val="007B5DDD"/>
    <w:rsid w:val="007B65B4"/>
    <w:rsid w:val="007C2E09"/>
    <w:rsid w:val="007C73BA"/>
    <w:rsid w:val="007D1280"/>
    <w:rsid w:val="007D2D94"/>
    <w:rsid w:val="007D3643"/>
    <w:rsid w:val="007D4797"/>
    <w:rsid w:val="007D5C45"/>
    <w:rsid w:val="007D7B97"/>
    <w:rsid w:val="007E25F1"/>
    <w:rsid w:val="007F24C8"/>
    <w:rsid w:val="007F4461"/>
    <w:rsid w:val="007F5C29"/>
    <w:rsid w:val="007F6903"/>
    <w:rsid w:val="007F720E"/>
    <w:rsid w:val="0080074E"/>
    <w:rsid w:val="00803C97"/>
    <w:rsid w:val="00806739"/>
    <w:rsid w:val="00814598"/>
    <w:rsid w:val="0081488A"/>
    <w:rsid w:val="00815268"/>
    <w:rsid w:val="008173A9"/>
    <w:rsid w:val="00823251"/>
    <w:rsid w:val="00825E38"/>
    <w:rsid w:val="008330EC"/>
    <w:rsid w:val="00834D2D"/>
    <w:rsid w:val="00840851"/>
    <w:rsid w:val="0084107E"/>
    <w:rsid w:val="008435B1"/>
    <w:rsid w:val="00844915"/>
    <w:rsid w:val="008508FA"/>
    <w:rsid w:val="00851360"/>
    <w:rsid w:val="008518AC"/>
    <w:rsid w:val="008533FC"/>
    <w:rsid w:val="008556B8"/>
    <w:rsid w:val="00856FD3"/>
    <w:rsid w:val="008575DD"/>
    <w:rsid w:val="00865803"/>
    <w:rsid w:val="00866B05"/>
    <w:rsid w:val="0087032B"/>
    <w:rsid w:val="00882822"/>
    <w:rsid w:val="00891571"/>
    <w:rsid w:val="00892441"/>
    <w:rsid w:val="008958C4"/>
    <w:rsid w:val="00895FE8"/>
    <w:rsid w:val="00896215"/>
    <w:rsid w:val="00896CCC"/>
    <w:rsid w:val="00897D4E"/>
    <w:rsid w:val="008A194D"/>
    <w:rsid w:val="008A1A47"/>
    <w:rsid w:val="008A33CD"/>
    <w:rsid w:val="008A3580"/>
    <w:rsid w:val="008A4610"/>
    <w:rsid w:val="008A7F3A"/>
    <w:rsid w:val="008B6920"/>
    <w:rsid w:val="008B6A3A"/>
    <w:rsid w:val="008C2B44"/>
    <w:rsid w:val="008C3437"/>
    <w:rsid w:val="008C625B"/>
    <w:rsid w:val="008C7926"/>
    <w:rsid w:val="008D322C"/>
    <w:rsid w:val="008D4457"/>
    <w:rsid w:val="008D5775"/>
    <w:rsid w:val="008D72F2"/>
    <w:rsid w:val="008D7C4C"/>
    <w:rsid w:val="008E1E72"/>
    <w:rsid w:val="008E460F"/>
    <w:rsid w:val="008F0A2F"/>
    <w:rsid w:val="008F1DC1"/>
    <w:rsid w:val="008F5B88"/>
    <w:rsid w:val="008F5E6D"/>
    <w:rsid w:val="008F75E5"/>
    <w:rsid w:val="0090060C"/>
    <w:rsid w:val="009022AA"/>
    <w:rsid w:val="009025B4"/>
    <w:rsid w:val="0090682B"/>
    <w:rsid w:val="00911314"/>
    <w:rsid w:val="00913F26"/>
    <w:rsid w:val="00915387"/>
    <w:rsid w:val="009206EA"/>
    <w:rsid w:val="009217FA"/>
    <w:rsid w:val="00923963"/>
    <w:rsid w:val="00923EE5"/>
    <w:rsid w:val="00934D8B"/>
    <w:rsid w:val="00935672"/>
    <w:rsid w:val="009403B2"/>
    <w:rsid w:val="00944505"/>
    <w:rsid w:val="009565F7"/>
    <w:rsid w:val="00956821"/>
    <w:rsid w:val="00956EDF"/>
    <w:rsid w:val="009630BA"/>
    <w:rsid w:val="009633A9"/>
    <w:rsid w:val="00964465"/>
    <w:rsid w:val="00967FD6"/>
    <w:rsid w:val="00973D93"/>
    <w:rsid w:val="00973EE4"/>
    <w:rsid w:val="00974E1A"/>
    <w:rsid w:val="00976E8B"/>
    <w:rsid w:val="00976F3B"/>
    <w:rsid w:val="00984624"/>
    <w:rsid w:val="00984AA6"/>
    <w:rsid w:val="009918E0"/>
    <w:rsid w:val="009942C3"/>
    <w:rsid w:val="00997081"/>
    <w:rsid w:val="00997407"/>
    <w:rsid w:val="009A5037"/>
    <w:rsid w:val="009A6205"/>
    <w:rsid w:val="009B082B"/>
    <w:rsid w:val="009B09B6"/>
    <w:rsid w:val="009B389F"/>
    <w:rsid w:val="009C00AF"/>
    <w:rsid w:val="009C13BC"/>
    <w:rsid w:val="009C1DA9"/>
    <w:rsid w:val="009C2255"/>
    <w:rsid w:val="009C23B2"/>
    <w:rsid w:val="009D5C87"/>
    <w:rsid w:val="009D71DB"/>
    <w:rsid w:val="009D74B7"/>
    <w:rsid w:val="009D7726"/>
    <w:rsid w:val="009E188B"/>
    <w:rsid w:val="009E1EB8"/>
    <w:rsid w:val="009E2220"/>
    <w:rsid w:val="009E3298"/>
    <w:rsid w:val="009F5B41"/>
    <w:rsid w:val="009F6F5B"/>
    <w:rsid w:val="00A0104A"/>
    <w:rsid w:val="00A023D4"/>
    <w:rsid w:val="00A05C79"/>
    <w:rsid w:val="00A06C57"/>
    <w:rsid w:val="00A0786A"/>
    <w:rsid w:val="00A10E6A"/>
    <w:rsid w:val="00A1410C"/>
    <w:rsid w:val="00A1774D"/>
    <w:rsid w:val="00A20A9C"/>
    <w:rsid w:val="00A243A6"/>
    <w:rsid w:val="00A26A97"/>
    <w:rsid w:val="00A3097D"/>
    <w:rsid w:val="00A3318D"/>
    <w:rsid w:val="00A35D2E"/>
    <w:rsid w:val="00A40D69"/>
    <w:rsid w:val="00A429C4"/>
    <w:rsid w:val="00A47990"/>
    <w:rsid w:val="00A54EC7"/>
    <w:rsid w:val="00A63E0E"/>
    <w:rsid w:val="00A64F54"/>
    <w:rsid w:val="00A74AC3"/>
    <w:rsid w:val="00A7728E"/>
    <w:rsid w:val="00A77F65"/>
    <w:rsid w:val="00A8156D"/>
    <w:rsid w:val="00A84BB6"/>
    <w:rsid w:val="00A87BE5"/>
    <w:rsid w:val="00A91C98"/>
    <w:rsid w:val="00A93FCE"/>
    <w:rsid w:val="00A95545"/>
    <w:rsid w:val="00A955C4"/>
    <w:rsid w:val="00A97A9C"/>
    <w:rsid w:val="00AA2E72"/>
    <w:rsid w:val="00AA4298"/>
    <w:rsid w:val="00AA4E53"/>
    <w:rsid w:val="00AA4ED6"/>
    <w:rsid w:val="00AA6553"/>
    <w:rsid w:val="00AA7B12"/>
    <w:rsid w:val="00AB0567"/>
    <w:rsid w:val="00AB1F2A"/>
    <w:rsid w:val="00AB2C85"/>
    <w:rsid w:val="00AB3501"/>
    <w:rsid w:val="00AB3A1B"/>
    <w:rsid w:val="00AB4557"/>
    <w:rsid w:val="00AB58DE"/>
    <w:rsid w:val="00AB7FDD"/>
    <w:rsid w:val="00AC1E65"/>
    <w:rsid w:val="00AC5F31"/>
    <w:rsid w:val="00AC6C98"/>
    <w:rsid w:val="00AD1337"/>
    <w:rsid w:val="00AD5849"/>
    <w:rsid w:val="00AD7403"/>
    <w:rsid w:val="00AD7F36"/>
    <w:rsid w:val="00AE1099"/>
    <w:rsid w:val="00AE345A"/>
    <w:rsid w:val="00AE3811"/>
    <w:rsid w:val="00AE5E21"/>
    <w:rsid w:val="00AE7904"/>
    <w:rsid w:val="00AF0E86"/>
    <w:rsid w:val="00AF3FD4"/>
    <w:rsid w:val="00AF453D"/>
    <w:rsid w:val="00B014C8"/>
    <w:rsid w:val="00B03ABE"/>
    <w:rsid w:val="00B0503C"/>
    <w:rsid w:val="00B0562C"/>
    <w:rsid w:val="00B11655"/>
    <w:rsid w:val="00B13482"/>
    <w:rsid w:val="00B17883"/>
    <w:rsid w:val="00B27C9D"/>
    <w:rsid w:val="00B33A68"/>
    <w:rsid w:val="00B36F56"/>
    <w:rsid w:val="00B41E72"/>
    <w:rsid w:val="00B43A33"/>
    <w:rsid w:val="00B44917"/>
    <w:rsid w:val="00B52449"/>
    <w:rsid w:val="00B53A29"/>
    <w:rsid w:val="00B54BC4"/>
    <w:rsid w:val="00B557D9"/>
    <w:rsid w:val="00B60516"/>
    <w:rsid w:val="00B62327"/>
    <w:rsid w:val="00B74C2D"/>
    <w:rsid w:val="00B7521B"/>
    <w:rsid w:val="00B75329"/>
    <w:rsid w:val="00B76484"/>
    <w:rsid w:val="00B76B0E"/>
    <w:rsid w:val="00B76C52"/>
    <w:rsid w:val="00B77C79"/>
    <w:rsid w:val="00B80106"/>
    <w:rsid w:val="00B80E17"/>
    <w:rsid w:val="00B8369B"/>
    <w:rsid w:val="00B8609A"/>
    <w:rsid w:val="00B86165"/>
    <w:rsid w:val="00B864CA"/>
    <w:rsid w:val="00B90083"/>
    <w:rsid w:val="00B96FDD"/>
    <w:rsid w:val="00B97079"/>
    <w:rsid w:val="00B97E8F"/>
    <w:rsid w:val="00BA1FFF"/>
    <w:rsid w:val="00BA4100"/>
    <w:rsid w:val="00BA526F"/>
    <w:rsid w:val="00BA6AC9"/>
    <w:rsid w:val="00BB1C4A"/>
    <w:rsid w:val="00BB265A"/>
    <w:rsid w:val="00BB452E"/>
    <w:rsid w:val="00BB7342"/>
    <w:rsid w:val="00BC2922"/>
    <w:rsid w:val="00BC38FD"/>
    <w:rsid w:val="00BC3E2C"/>
    <w:rsid w:val="00BC5969"/>
    <w:rsid w:val="00BC625D"/>
    <w:rsid w:val="00BC62B6"/>
    <w:rsid w:val="00BC6648"/>
    <w:rsid w:val="00BC6807"/>
    <w:rsid w:val="00BC72D2"/>
    <w:rsid w:val="00BD154B"/>
    <w:rsid w:val="00BD23D3"/>
    <w:rsid w:val="00BD30FE"/>
    <w:rsid w:val="00BD4C90"/>
    <w:rsid w:val="00BE136A"/>
    <w:rsid w:val="00BE691C"/>
    <w:rsid w:val="00BE7787"/>
    <w:rsid w:val="00BF0E38"/>
    <w:rsid w:val="00BF4893"/>
    <w:rsid w:val="00C0040D"/>
    <w:rsid w:val="00C01091"/>
    <w:rsid w:val="00C05752"/>
    <w:rsid w:val="00C05BBE"/>
    <w:rsid w:val="00C13735"/>
    <w:rsid w:val="00C17866"/>
    <w:rsid w:val="00C178A9"/>
    <w:rsid w:val="00C20238"/>
    <w:rsid w:val="00C24091"/>
    <w:rsid w:val="00C25D3B"/>
    <w:rsid w:val="00C3294F"/>
    <w:rsid w:val="00C36B20"/>
    <w:rsid w:val="00C404AA"/>
    <w:rsid w:val="00C42DFE"/>
    <w:rsid w:val="00C44355"/>
    <w:rsid w:val="00C44A86"/>
    <w:rsid w:val="00C53E91"/>
    <w:rsid w:val="00C57204"/>
    <w:rsid w:val="00C6044B"/>
    <w:rsid w:val="00C60649"/>
    <w:rsid w:val="00C61BEF"/>
    <w:rsid w:val="00C702EF"/>
    <w:rsid w:val="00C777CD"/>
    <w:rsid w:val="00C77E46"/>
    <w:rsid w:val="00C809FA"/>
    <w:rsid w:val="00C8277B"/>
    <w:rsid w:val="00C84C4A"/>
    <w:rsid w:val="00C878D2"/>
    <w:rsid w:val="00C938FA"/>
    <w:rsid w:val="00C940ED"/>
    <w:rsid w:val="00C9761D"/>
    <w:rsid w:val="00CA1EEF"/>
    <w:rsid w:val="00CA3C50"/>
    <w:rsid w:val="00CA5D16"/>
    <w:rsid w:val="00CB3841"/>
    <w:rsid w:val="00CB39B9"/>
    <w:rsid w:val="00CB595A"/>
    <w:rsid w:val="00CB62ED"/>
    <w:rsid w:val="00CC1E41"/>
    <w:rsid w:val="00CC35A3"/>
    <w:rsid w:val="00CC4288"/>
    <w:rsid w:val="00CC4F01"/>
    <w:rsid w:val="00CC7343"/>
    <w:rsid w:val="00CD0D2B"/>
    <w:rsid w:val="00CD6DD7"/>
    <w:rsid w:val="00CD7501"/>
    <w:rsid w:val="00CE2302"/>
    <w:rsid w:val="00CE29A4"/>
    <w:rsid w:val="00CE2C79"/>
    <w:rsid w:val="00CE5142"/>
    <w:rsid w:val="00CF0CF4"/>
    <w:rsid w:val="00CF10C9"/>
    <w:rsid w:val="00CF11ED"/>
    <w:rsid w:val="00CF1A00"/>
    <w:rsid w:val="00CF1B90"/>
    <w:rsid w:val="00CF79C5"/>
    <w:rsid w:val="00CF7A84"/>
    <w:rsid w:val="00D00A22"/>
    <w:rsid w:val="00D01360"/>
    <w:rsid w:val="00D02778"/>
    <w:rsid w:val="00D03A22"/>
    <w:rsid w:val="00D03D09"/>
    <w:rsid w:val="00D05533"/>
    <w:rsid w:val="00D074B5"/>
    <w:rsid w:val="00D07A24"/>
    <w:rsid w:val="00D07B5B"/>
    <w:rsid w:val="00D1226C"/>
    <w:rsid w:val="00D15D42"/>
    <w:rsid w:val="00D17117"/>
    <w:rsid w:val="00D17D09"/>
    <w:rsid w:val="00D20D2A"/>
    <w:rsid w:val="00D20F08"/>
    <w:rsid w:val="00D20F24"/>
    <w:rsid w:val="00D2328F"/>
    <w:rsid w:val="00D24B86"/>
    <w:rsid w:val="00D3079B"/>
    <w:rsid w:val="00D325D2"/>
    <w:rsid w:val="00D335F7"/>
    <w:rsid w:val="00D35831"/>
    <w:rsid w:val="00D37294"/>
    <w:rsid w:val="00D37B97"/>
    <w:rsid w:val="00D43DB9"/>
    <w:rsid w:val="00D45279"/>
    <w:rsid w:val="00D47418"/>
    <w:rsid w:val="00D50F32"/>
    <w:rsid w:val="00D530A9"/>
    <w:rsid w:val="00D53FF5"/>
    <w:rsid w:val="00D541C5"/>
    <w:rsid w:val="00D54ED5"/>
    <w:rsid w:val="00D567F9"/>
    <w:rsid w:val="00D66123"/>
    <w:rsid w:val="00D67E78"/>
    <w:rsid w:val="00D70DCA"/>
    <w:rsid w:val="00D72968"/>
    <w:rsid w:val="00D73935"/>
    <w:rsid w:val="00D76BCA"/>
    <w:rsid w:val="00D76D77"/>
    <w:rsid w:val="00D80BB9"/>
    <w:rsid w:val="00D8221A"/>
    <w:rsid w:val="00D86512"/>
    <w:rsid w:val="00D868EF"/>
    <w:rsid w:val="00D9767B"/>
    <w:rsid w:val="00DA32D2"/>
    <w:rsid w:val="00DB0BC9"/>
    <w:rsid w:val="00DB0F53"/>
    <w:rsid w:val="00DC06F7"/>
    <w:rsid w:val="00DC7083"/>
    <w:rsid w:val="00DD08BD"/>
    <w:rsid w:val="00DD19E7"/>
    <w:rsid w:val="00DD32F8"/>
    <w:rsid w:val="00DD597A"/>
    <w:rsid w:val="00DD7691"/>
    <w:rsid w:val="00DD7890"/>
    <w:rsid w:val="00DE0BFB"/>
    <w:rsid w:val="00DE71A0"/>
    <w:rsid w:val="00DE7FC2"/>
    <w:rsid w:val="00DF2C26"/>
    <w:rsid w:val="00DF3EBF"/>
    <w:rsid w:val="00E00D40"/>
    <w:rsid w:val="00E01410"/>
    <w:rsid w:val="00E02C17"/>
    <w:rsid w:val="00E04B9A"/>
    <w:rsid w:val="00E05300"/>
    <w:rsid w:val="00E05AE2"/>
    <w:rsid w:val="00E06209"/>
    <w:rsid w:val="00E06C1C"/>
    <w:rsid w:val="00E0760D"/>
    <w:rsid w:val="00E10E6D"/>
    <w:rsid w:val="00E1144E"/>
    <w:rsid w:val="00E14D5B"/>
    <w:rsid w:val="00E20FEC"/>
    <w:rsid w:val="00E332EE"/>
    <w:rsid w:val="00E33757"/>
    <w:rsid w:val="00E345E8"/>
    <w:rsid w:val="00E37325"/>
    <w:rsid w:val="00E516D4"/>
    <w:rsid w:val="00E539A0"/>
    <w:rsid w:val="00E554B4"/>
    <w:rsid w:val="00E55A55"/>
    <w:rsid w:val="00E57591"/>
    <w:rsid w:val="00E6040C"/>
    <w:rsid w:val="00E60D94"/>
    <w:rsid w:val="00E6201F"/>
    <w:rsid w:val="00E65EE9"/>
    <w:rsid w:val="00E70AF5"/>
    <w:rsid w:val="00E732C1"/>
    <w:rsid w:val="00E73E17"/>
    <w:rsid w:val="00E741AF"/>
    <w:rsid w:val="00E86A03"/>
    <w:rsid w:val="00E90C4D"/>
    <w:rsid w:val="00E92658"/>
    <w:rsid w:val="00EA1405"/>
    <w:rsid w:val="00EA3D0D"/>
    <w:rsid w:val="00EB03B8"/>
    <w:rsid w:val="00EB21ED"/>
    <w:rsid w:val="00EB4A61"/>
    <w:rsid w:val="00EB53F2"/>
    <w:rsid w:val="00EB653D"/>
    <w:rsid w:val="00EC2DB5"/>
    <w:rsid w:val="00EC3C44"/>
    <w:rsid w:val="00ED36E6"/>
    <w:rsid w:val="00ED4AAB"/>
    <w:rsid w:val="00ED7FB1"/>
    <w:rsid w:val="00EE6B26"/>
    <w:rsid w:val="00EE70CA"/>
    <w:rsid w:val="00EF52B8"/>
    <w:rsid w:val="00EF57B0"/>
    <w:rsid w:val="00EF6DAF"/>
    <w:rsid w:val="00F009B4"/>
    <w:rsid w:val="00F009C3"/>
    <w:rsid w:val="00F11333"/>
    <w:rsid w:val="00F11740"/>
    <w:rsid w:val="00F146DA"/>
    <w:rsid w:val="00F23357"/>
    <w:rsid w:val="00F25B13"/>
    <w:rsid w:val="00F27AC1"/>
    <w:rsid w:val="00F31423"/>
    <w:rsid w:val="00F32C8C"/>
    <w:rsid w:val="00F342FB"/>
    <w:rsid w:val="00F37B3E"/>
    <w:rsid w:val="00F4072E"/>
    <w:rsid w:val="00F4133B"/>
    <w:rsid w:val="00F57842"/>
    <w:rsid w:val="00F61E98"/>
    <w:rsid w:val="00F62662"/>
    <w:rsid w:val="00F62A3F"/>
    <w:rsid w:val="00F66AAF"/>
    <w:rsid w:val="00F71D67"/>
    <w:rsid w:val="00F71DA0"/>
    <w:rsid w:val="00F72832"/>
    <w:rsid w:val="00F73CB8"/>
    <w:rsid w:val="00F73DBC"/>
    <w:rsid w:val="00F800B4"/>
    <w:rsid w:val="00F80DD2"/>
    <w:rsid w:val="00F86ADC"/>
    <w:rsid w:val="00F87584"/>
    <w:rsid w:val="00F96455"/>
    <w:rsid w:val="00F969C4"/>
    <w:rsid w:val="00FA0491"/>
    <w:rsid w:val="00FA33DE"/>
    <w:rsid w:val="00FA4193"/>
    <w:rsid w:val="00FB5F4A"/>
    <w:rsid w:val="00FB62F7"/>
    <w:rsid w:val="00FC3BFD"/>
    <w:rsid w:val="00FD0E32"/>
    <w:rsid w:val="00FD0F52"/>
    <w:rsid w:val="00FD1F1C"/>
    <w:rsid w:val="00FD4B93"/>
    <w:rsid w:val="00FD588A"/>
    <w:rsid w:val="00FD641E"/>
    <w:rsid w:val="00FE1216"/>
    <w:rsid w:val="00FE4E32"/>
    <w:rsid w:val="00FE5845"/>
    <w:rsid w:val="00FF0973"/>
    <w:rsid w:val="00FF0A04"/>
    <w:rsid w:val="00FF5B57"/>
    <w:rsid w:val="00FF776C"/>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E9D428"/>
  <w15:docId w15:val="{4FE4B158-E429-4090-8920-5C3A7FC2D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5C87"/>
    <w:rPr>
      <w:lang w:val="en-GB"/>
    </w:rPr>
  </w:style>
  <w:style w:type="paragraph" w:styleId="Ttulo2">
    <w:name w:val="heading 2"/>
    <w:basedOn w:val="Normal"/>
    <w:next w:val="Normal"/>
    <w:link w:val="Ttulo2Car"/>
    <w:uiPriority w:val="9"/>
    <w:semiHidden/>
    <w:unhideWhenUsed/>
    <w:qFormat/>
    <w:rsid w:val="00102A6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08311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escripcin">
    <w:name w:val="caption"/>
    <w:basedOn w:val="Normal"/>
    <w:next w:val="Normal"/>
    <w:uiPriority w:val="35"/>
    <w:unhideWhenUsed/>
    <w:qFormat/>
    <w:rsid w:val="001E3D04"/>
    <w:pPr>
      <w:spacing w:after="200" w:line="240" w:lineRule="auto"/>
    </w:pPr>
    <w:rPr>
      <w:i/>
      <w:iCs/>
      <w:color w:val="44546A" w:themeColor="text2"/>
      <w:sz w:val="18"/>
      <w:szCs w:val="18"/>
    </w:rPr>
  </w:style>
  <w:style w:type="character" w:styleId="Textodelmarcadordeposicin">
    <w:name w:val="Placeholder Text"/>
    <w:basedOn w:val="Fuentedeprrafopredeter"/>
    <w:uiPriority w:val="99"/>
    <w:semiHidden/>
    <w:rsid w:val="00BE7787"/>
    <w:rPr>
      <w:color w:val="808080"/>
    </w:rPr>
  </w:style>
  <w:style w:type="character" w:styleId="Hipervnculo">
    <w:name w:val="Hyperlink"/>
    <w:basedOn w:val="Fuentedeprrafopredeter"/>
    <w:uiPriority w:val="99"/>
    <w:unhideWhenUsed/>
    <w:rsid w:val="00E10E6D"/>
    <w:rPr>
      <w:color w:val="0000FF"/>
      <w:u w:val="single"/>
    </w:rPr>
  </w:style>
  <w:style w:type="character" w:customStyle="1" w:styleId="Ttulo2Car">
    <w:name w:val="Título 2 Car"/>
    <w:basedOn w:val="Fuentedeprrafopredeter"/>
    <w:link w:val="Ttulo2"/>
    <w:uiPriority w:val="9"/>
    <w:semiHidden/>
    <w:rsid w:val="00102A6D"/>
    <w:rPr>
      <w:rFonts w:asciiTheme="majorHAnsi" w:eastAsiaTheme="majorEastAsia" w:hAnsiTheme="majorHAnsi" w:cstheme="majorBidi"/>
      <w:color w:val="2F5496" w:themeColor="accent1" w:themeShade="BF"/>
      <w:sz w:val="26"/>
      <w:szCs w:val="26"/>
      <w:lang w:val="en-GB"/>
    </w:rPr>
  </w:style>
  <w:style w:type="table" w:styleId="Tablaconcuadrcula">
    <w:name w:val="Table Grid"/>
    <w:basedOn w:val="Tablanormal"/>
    <w:uiPriority w:val="39"/>
    <w:rsid w:val="00367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083115"/>
    <w:rPr>
      <w:rFonts w:asciiTheme="majorHAnsi" w:eastAsiaTheme="majorEastAsia" w:hAnsiTheme="majorHAnsi" w:cstheme="majorBidi"/>
      <w:color w:val="1F3763" w:themeColor="accent1" w:themeShade="7F"/>
      <w:sz w:val="24"/>
      <w:szCs w:val="24"/>
      <w:lang w:val="en-GB"/>
    </w:rPr>
  </w:style>
  <w:style w:type="paragraph" w:styleId="Textodeglobo">
    <w:name w:val="Balloon Text"/>
    <w:basedOn w:val="Normal"/>
    <w:link w:val="TextodegloboCar"/>
    <w:uiPriority w:val="99"/>
    <w:semiHidden/>
    <w:unhideWhenUsed/>
    <w:rsid w:val="002378A7"/>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2378A7"/>
    <w:rPr>
      <w:rFonts w:ascii="Lucida Grande" w:hAnsi="Lucida Grande" w:cs="Lucida Grande"/>
      <w:sz w:val="18"/>
      <w:szCs w:val="18"/>
      <w:lang w:val="en-GB"/>
    </w:rPr>
  </w:style>
  <w:style w:type="character" w:styleId="Refdecomentario">
    <w:name w:val="annotation reference"/>
    <w:basedOn w:val="Fuentedeprrafopredeter"/>
    <w:uiPriority w:val="99"/>
    <w:semiHidden/>
    <w:unhideWhenUsed/>
    <w:rsid w:val="002378A7"/>
    <w:rPr>
      <w:sz w:val="18"/>
      <w:szCs w:val="18"/>
    </w:rPr>
  </w:style>
  <w:style w:type="paragraph" w:styleId="Textocomentario">
    <w:name w:val="annotation text"/>
    <w:basedOn w:val="Normal"/>
    <w:link w:val="TextocomentarioCar"/>
    <w:uiPriority w:val="99"/>
    <w:semiHidden/>
    <w:unhideWhenUsed/>
    <w:rsid w:val="002378A7"/>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2378A7"/>
    <w:rPr>
      <w:sz w:val="24"/>
      <w:szCs w:val="24"/>
      <w:lang w:val="en-GB"/>
    </w:rPr>
  </w:style>
  <w:style w:type="paragraph" w:styleId="Asuntodelcomentario">
    <w:name w:val="annotation subject"/>
    <w:basedOn w:val="Textocomentario"/>
    <w:next w:val="Textocomentario"/>
    <w:link w:val="AsuntodelcomentarioCar"/>
    <w:uiPriority w:val="99"/>
    <w:semiHidden/>
    <w:unhideWhenUsed/>
    <w:rsid w:val="002378A7"/>
    <w:rPr>
      <w:b/>
      <w:bCs/>
      <w:sz w:val="20"/>
      <w:szCs w:val="20"/>
    </w:rPr>
  </w:style>
  <w:style w:type="character" w:customStyle="1" w:styleId="AsuntodelcomentarioCar">
    <w:name w:val="Asunto del comentario Car"/>
    <w:basedOn w:val="TextocomentarioCar"/>
    <w:link w:val="Asuntodelcomentario"/>
    <w:uiPriority w:val="99"/>
    <w:semiHidden/>
    <w:rsid w:val="002378A7"/>
    <w:rPr>
      <w:b/>
      <w:bCs/>
      <w:sz w:val="20"/>
      <w:szCs w:val="20"/>
      <w:lang w:val="en-GB"/>
    </w:rPr>
  </w:style>
  <w:style w:type="paragraph" w:styleId="Revisin">
    <w:name w:val="Revision"/>
    <w:hidden/>
    <w:uiPriority w:val="99"/>
    <w:semiHidden/>
    <w:rsid w:val="00596931"/>
    <w:pPr>
      <w:spacing w:after="0" w:line="240" w:lineRule="auto"/>
    </w:pPr>
    <w:rPr>
      <w:lang w:val="en-GB"/>
    </w:rPr>
  </w:style>
  <w:style w:type="paragraph" w:styleId="NormalWeb">
    <w:name w:val="Normal (Web)"/>
    <w:basedOn w:val="Normal"/>
    <w:uiPriority w:val="99"/>
    <w:semiHidden/>
    <w:unhideWhenUsed/>
    <w:rsid w:val="000C4E5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45211">
      <w:bodyDiv w:val="1"/>
      <w:marLeft w:val="0"/>
      <w:marRight w:val="0"/>
      <w:marTop w:val="0"/>
      <w:marBottom w:val="0"/>
      <w:divBdr>
        <w:top w:val="none" w:sz="0" w:space="0" w:color="auto"/>
        <w:left w:val="none" w:sz="0" w:space="0" w:color="auto"/>
        <w:bottom w:val="none" w:sz="0" w:space="0" w:color="auto"/>
        <w:right w:val="none" w:sz="0" w:space="0" w:color="auto"/>
      </w:divBdr>
    </w:div>
    <w:div w:id="58865518">
      <w:bodyDiv w:val="1"/>
      <w:marLeft w:val="0"/>
      <w:marRight w:val="0"/>
      <w:marTop w:val="0"/>
      <w:marBottom w:val="0"/>
      <w:divBdr>
        <w:top w:val="none" w:sz="0" w:space="0" w:color="auto"/>
        <w:left w:val="none" w:sz="0" w:space="0" w:color="auto"/>
        <w:bottom w:val="none" w:sz="0" w:space="0" w:color="auto"/>
        <w:right w:val="none" w:sz="0" w:space="0" w:color="auto"/>
      </w:divBdr>
    </w:div>
    <w:div w:id="85620641">
      <w:bodyDiv w:val="1"/>
      <w:marLeft w:val="0"/>
      <w:marRight w:val="0"/>
      <w:marTop w:val="0"/>
      <w:marBottom w:val="0"/>
      <w:divBdr>
        <w:top w:val="none" w:sz="0" w:space="0" w:color="auto"/>
        <w:left w:val="none" w:sz="0" w:space="0" w:color="auto"/>
        <w:bottom w:val="none" w:sz="0" w:space="0" w:color="auto"/>
        <w:right w:val="none" w:sz="0" w:space="0" w:color="auto"/>
      </w:divBdr>
      <w:divsChild>
        <w:div w:id="444472205">
          <w:marLeft w:val="0"/>
          <w:marRight w:val="0"/>
          <w:marTop w:val="0"/>
          <w:marBottom w:val="0"/>
          <w:divBdr>
            <w:top w:val="none" w:sz="0" w:space="0" w:color="auto"/>
            <w:left w:val="none" w:sz="0" w:space="0" w:color="auto"/>
            <w:bottom w:val="none" w:sz="0" w:space="0" w:color="auto"/>
            <w:right w:val="none" w:sz="0" w:space="0" w:color="auto"/>
          </w:divBdr>
          <w:divsChild>
            <w:div w:id="208423461">
              <w:marLeft w:val="0"/>
              <w:marRight w:val="0"/>
              <w:marTop w:val="0"/>
              <w:marBottom w:val="0"/>
              <w:divBdr>
                <w:top w:val="none" w:sz="0" w:space="0" w:color="auto"/>
                <w:left w:val="none" w:sz="0" w:space="0" w:color="auto"/>
                <w:bottom w:val="none" w:sz="0" w:space="0" w:color="auto"/>
                <w:right w:val="none" w:sz="0" w:space="0" w:color="auto"/>
              </w:divBdr>
              <w:divsChild>
                <w:div w:id="151337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19885">
      <w:bodyDiv w:val="1"/>
      <w:marLeft w:val="0"/>
      <w:marRight w:val="0"/>
      <w:marTop w:val="0"/>
      <w:marBottom w:val="0"/>
      <w:divBdr>
        <w:top w:val="none" w:sz="0" w:space="0" w:color="auto"/>
        <w:left w:val="none" w:sz="0" w:space="0" w:color="auto"/>
        <w:bottom w:val="none" w:sz="0" w:space="0" w:color="auto"/>
        <w:right w:val="none" w:sz="0" w:space="0" w:color="auto"/>
      </w:divBdr>
      <w:divsChild>
        <w:div w:id="784883449">
          <w:marLeft w:val="0"/>
          <w:marRight w:val="0"/>
          <w:marTop w:val="0"/>
          <w:marBottom w:val="0"/>
          <w:divBdr>
            <w:top w:val="none" w:sz="0" w:space="0" w:color="auto"/>
            <w:left w:val="none" w:sz="0" w:space="0" w:color="auto"/>
            <w:bottom w:val="none" w:sz="0" w:space="0" w:color="auto"/>
            <w:right w:val="none" w:sz="0" w:space="0" w:color="auto"/>
          </w:divBdr>
          <w:divsChild>
            <w:div w:id="503010888">
              <w:marLeft w:val="0"/>
              <w:marRight w:val="0"/>
              <w:marTop w:val="0"/>
              <w:marBottom w:val="0"/>
              <w:divBdr>
                <w:top w:val="none" w:sz="0" w:space="0" w:color="auto"/>
                <w:left w:val="none" w:sz="0" w:space="0" w:color="auto"/>
                <w:bottom w:val="none" w:sz="0" w:space="0" w:color="auto"/>
                <w:right w:val="none" w:sz="0" w:space="0" w:color="auto"/>
              </w:divBdr>
              <w:divsChild>
                <w:div w:id="26577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861786">
      <w:bodyDiv w:val="1"/>
      <w:marLeft w:val="0"/>
      <w:marRight w:val="0"/>
      <w:marTop w:val="0"/>
      <w:marBottom w:val="0"/>
      <w:divBdr>
        <w:top w:val="none" w:sz="0" w:space="0" w:color="auto"/>
        <w:left w:val="none" w:sz="0" w:space="0" w:color="auto"/>
        <w:bottom w:val="none" w:sz="0" w:space="0" w:color="auto"/>
        <w:right w:val="none" w:sz="0" w:space="0" w:color="auto"/>
      </w:divBdr>
    </w:div>
    <w:div w:id="334042213">
      <w:bodyDiv w:val="1"/>
      <w:marLeft w:val="0"/>
      <w:marRight w:val="0"/>
      <w:marTop w:val="0"/>
      <w:marBottom w:val="0"/>
      <w:divBdr>
        <w:top w:val="none" w:sz="0" w:space="0" w:color="auto"/>
        <w:left w:val="none" w:sz="0" w:space="0" w:color="auto"/>
        <w:bottom w:val="none" w:sz="0" w:space="0" w:color="auto"/>
        <w:right w:val="none" w:sz="0" w:space="0" w:color="auto"/>
      </w:divBdr>
      <w:divsChild>
        <w:div w:id="881936917">
          <w:marLeft w:val="0"/>
          <w:marRight w:val="0"/>
          <w:marTop w:val="0"/>
          <w:marBottom w:val="0"/>
          <w:divBdr>
            <w:top w:val="none" w:sz="0" w:space="0" w:color="auto"/>
            <w:left w:val="none" w:sz="0" w:space="0" w:color="auto"/>
            <w:bottom w:val="none" w:sz="0" w:space="0" w:color="auto"/>
            <w:right w:val="none" w:sz="0" w:space="0" w:color="auto"/>
          </w:divBdr>
          <w:divsChild>
            <w:div w:id="1702592159">
              <w:marLeft w:val="0"/>
              <w:marRight w:val="0"/>
              <w:marTop w:val="0"/>
              <w:marBottom w:val="0"/>
              <w:divBdr>
                <w:top w:val="none" w:sz="0" w:space="0" w:color="auto"/>
                <w:left w:val="none" w:sz="0" w:space="0" w:color="auto"/>
                <w:bottom w:val="none" w:sz="0" w:space="0" w:color="auto"/>
                <w:right w:val="none" w:sz="0" w:space="0" w:color="auto"/>
              </w:divBdr>
              <w:divsChild>
                <w:div w:id="1009599385">
                  <w:marLeft w:val="0"/>
                  <w:marRight w:val="0"/>
                  <w:marTop w:val="0"/>
                  <w:marBottom w:val="0"/>
                  <w:divBdr>
                    <w:top w:val="none" w:sz="0" w:space="0" w:color="auto"/>
                    <w:left w:val="none" w:sz="0" w:space="0" w:color="auto"/>
                    <w:bottom w:val="none" w:sz="0" w:space="0" w:color="auto"/>
                    <w:right w:val="none" w:sz="0" w:space="0" w:color="auto"/>
                  </w:divBdr>
                  <w:divsChild>
                    <w:div w:id="65044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837030">
      <w:bodyDiv w:val="1"/>
      <w:marLeft w:val="0"/>
      <w:marRight w:val="0"/>
      <w:marTop w:val="0"/>
      <w:marBottom w:val="0"/>
      <w:divBdr>
        <w:top w:val="none" w:sz="0" w:space="0" w:color="auto"/>
        <w:left w:val="none" w:sz="0" w:space="0" w:color="auto"/>
        <w:bottom w:val="none" w:sz="0" w:space="0" w:color="auto"/>
        <w:right w:val="none" w:sz="0" w:space="0" w:color="auto"/>
      </w:divBdr>
    </w:div>
    <w:div w:id="370618783">
      <w:bodyDiv w:val="1"/>
      <w:marLeft w:val="0"/>
      <w:marRight w:val="0"/>
      <w:marTop w:val="0"/>
      <w:marBottom w:val="0"/>
      <w:divBdr>
        <w:top w:val="none" w:sz="0" w:space="0" w:color="auto"/>
        <w:left w:val="none" w:sz="0" w:space="0" w:color="auto"/>
        <w:bottom w:val="none" w:sz="0" w:space="0" w:color="auto"/>
        <w:right w:val="none" w:sz="0" w:space="0" w:color="auto"/>
      </w:divBdr>
      <w:divsChild>
        <w:div w:id="1937395635">
          <w:marLeft w:val="0"/>
          <w:marRight w:val="0"/>
          <w:marTop w:val="0"/>
          <w:marBottom w:val="0"/>
          <w:divBdr>
            <w:top w:val="none" w:sz="0" w:space="0" w:color="auto"/>
            <w:left w:val="none" w:sz="0" w:space="0" w:color="auto"/>
            <w:bottom w:val="none" w:sz="0" w:space="0" w:color="auto"/>
            <w:right w:val="none" w:sz="0" w:space="0" w:color="auto"/>
          </w:divBdr>
          <w:divsChild>
            <w:div w:id="467019658">
              <w:marLeft w:val="0"/>
              <w:marRight w:val="0"/>
              <w:marTop w:val="0"/>
              <w:marBottom w:val="0"/>
              <w:divBdr>
                <w:top w:val="none" w:sz="0" w:space="0" w:color="auto"/>
                <w:left w:val="none" w:sz="0" w:space="0" w:color="auto"/>
                <w:bottom w:val="none" w:sz="0" w:space="0" w:color="auto"/>
                <w:right w:val="none" w:sz="0" w:space="0" w:color="auto"/>
              </w:divBdr>
              <w:divsChild>
                <w:div w:id="47095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395283">
      <w:bodyDiv w:val="1"/>
      <w:marLeft w:val="0"/>
      <w:marRight w:val="0"/>
      <w:marTop w:val="0"/>
      <w:marBottom w:val="0"/>
      <w:divBdr>
        <w:top w:val="none" w:sz="0" w:space="0" w:color="auto"/>
        <w:left w:val="none" w:sz="0" w:space="0" w:color="auto"/>
        <w:bottom w:val="none" w:sz="0" w:space="0" w:color="auto"/>
        <w:right w:val="none" w:sz="0" w:space="0" w:color="auto"/>
      </w:divBdr>
    </w:div>
    <w:div w:id="483157228">
      <w:bodyDiv w:val="1"/>
      <w:marLeft w:val="0"/>
      <w:marRight w:val="0"/>
      <w:marTop w:val="0"/>
      <w:marBottom w:val="0"/>
      <w:divBdr>
        <w:top w:val="none" w:sz="0" w:space="0" w:color="auto"/>
        <w:left w:val="none" w:sz="0" w:space="0" w:color="auto"/>
        <w:bottom w:val="none" w:sz="0" w:space="0" w:color="auto"/>
        <w:right w:val="none" w:sz="0" w:space="0" w:color="auto"/>
      </w:divBdr>
      <w:divsChild>
        <w:div w:id="738206796">
          <w:marLeft w:val="0"/>
          <w:marRight w:val="0"/>
          <w:marTop w:val="0"/>
          <w:marBottom w:val="0"/>
          <w:divBdr>
            <w:top w:val="none" w:sz="0" w:space="0" w:color="auto"/>
            <w:left w:val="none" w:sz="0" w:space="0" w:color="auto"/>
            <w:bottom w:val="none" w:sz="0" w:space="0" w:color="auto"/>
            <w:right w:val="none" w:sz="0" w:space="0" w:color="auto"/>
          </w:divBdr>
          <w:divsChild>
            <w:div w:id="1459253664">
              <w:marLeft w:val="0"/>
              <w:marRight w:val="0"/>
              <w:marTop w:val="0"/>
              <w:marBottom w:val="0"/>
              <w:divBdr>
                <w:top w:val="none" w:sz="0" w:space="0" w:color="auto"/>
                <w:left w:val="none" w:sz="0" w:space="0" w:color="auto"/>
                <w:bottom w:val="none" w:sz="0" w:space="0" w:color="auto"/>
                <w:right w:val="none" w:sz="0" w:space="0" w:color="auto"/>
              </w:divBdr>
              <w:divsChild>
                <w:div w:id="470291696">
                  <w:marLeft w:val="0"/>
                  <w:marRight w:val="0"/>
                  <w:marTop w:val="0"/>
                  <w:marBottom w:val="0"/>
                  <w:divBdr>
                    <w:top w:val="none" w:sz="0" w:space="0" w:color="auto"/>
                    <w:left w:val="none" w:sz="0" w:space="0" w:color="auto"/>
                    <w:bottom w:val="none" w:sz="0" w:space="0" w:color="auto"/>
                    <w:right w:val="none" w:sz="0" w:space="0" w:color="auto"/>
                  </w:divBdr>
                  <w:divsChild>
                    <w:div w:id="17250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388915">
      <w:bodyDiv w:val="1"/>
      <w:marLeft w:val="0"/>
      <w:marRight w:val="0"/>
      <w:marTop w:val="0"/>
      <w:marBottom w:val="0"/>
      <w:divBdr>
        <w:top w:val="none" w:sz="0" w:space="0" w:color="auto"/>
        <w:left w:val="none" w:sz="0" w:space="0" w:color="auto"/>
        <w:bottom w:val="none" w:sz="0" w:space="0" w:color="auto"/>
        <w:right w:val="none" w:sz="0" w:space="0" w:color="auto"/>
      </w:divBdr>
    </w:div>
    <w:div w:id="620303417">
      <w:bodyDiv w:val="1"/>
      <w:marLeft w:val="0"/>
      <w:marRight w:val="0"/>
      <w:marTop w:val="0"/>
      <w:marBottom w:val="0"/>
      <w:divBdr>
        <w:top w:val="none" w:sz="0" w:space="0" w:color="auto"/>
        <w:left w:val="none" w:sz="0" w:space="0" w:color="auto"/>
        <w:bottom w:val="none" w:sz="0" w:space="0" w:color="auto"/>
        <w:right w:val="none" w:sz="0" w:space="0" w:color="auto"/>
      </w:divBdr>
    </w:div>
    <w:div w:id="669408872">
      <w:bodyDiv w:val="1"/>
      <w:marLeft w:val="0"/>
      <w:marRight w:val="0"/>
      <w:marTop w:val="0"/>
      <w:marBottom w:val="0"/>
      <w:divBdr>
        <w:top w:val="none" w:sz="0" w:space="0" w:color="auto"/>
        <w:left w:val="none" w:sz="0" w:space="0" w:color="auto"/>
        <w:bottom w:val="none" w:sz="0" w:space="0" w:color="auto"/>
        <w:right w:val="none" w:sz="0" w:space="0" w:color="auto"/>
      </w:divBdr>
      <w:divsChild>
        <w:div w:id="836850165">
          <w:marLeft w:val="0"/>
          <w:marRight w:val="0"/>
          <w:marTop w:val="0"/>
          <w:marBottom w:val="0"/>
          <w:divBdr>
            <w:top w:val="none" w:sz="0" w:space="0" w:color="auto"/>
            <w:left w:val="none" w:sz="0" w:space="0" w:color="auto"/>
            <w:bottom w:val="none" w:sz="0" w:space="0" w:color="auto"/>
            <w:right w:val="none" w:sz="0" w:space="0" w:color="auto"/>
          </w:divBdr>
        </w:div>
        <w:div w:id="1506090753">
          <w:marLeft w:val="0"/>
          <w:marRight w:val="0"/>
          <w:marTop w:val="0"/>
          <w:marBottom w:val="0"/>
          <w:divBdr>
            <w:top w:val="none" w:sz="0" w:space="0" w:color="auto"/>
            <w:left w:val="none" w:sz="0" w:space="0" w:color="auto"/>
            <w:bottom w:val="none" w:sz="0" w:space="0" w:color="auto"/>
            <w:right w:val="none" w:sz="0" w:space="0" w:color="auto"/>
          </w:divBdr>
          <w:divsChild>
            <w:div w:id="1349214547">
              <w:marLeft w:val="0"/>
              <w:marRight w:val="0"/>
              <w:marTop w:val="0"/>
              <w:marBottom w:val="420"/>
              <w:divBdr>
                <w:top w:val="none" w:sz="0" w:space="0" w:color="auto"/>
                <w:left w:val="none" w:sz="0" w:space="0" w:color="auto"/>
                <w:bottom w:val="none" w:sz="0" w:space="0" w:color="auto"/>
                <w:right w:val="none" w:sz="0" w:space="0" w:color="auto"/>
              </w:divBdr>
              <w:divsChild>
                <w:div w:id="1289581735">
                  <w:marLeft w:val="0"/>
                  <w:marRight w:val="289"/>
                  <w:marTop w:val="0"/>
                  <w:marBottom w:val="0"/>
                  <w:divBdr>
                    <w:top w:val="none" w:sz="0" w:space="0" w:color="auto"/>
                    <w:left w:val="none" w:sz="0" w:space="0" w:color="auto"/>
                    <w:bottom w:val="none" w:sz="0" w:space="0" w:color="auto"/>
                    <w:right w:val="none" w:sz="0" w:space="0" w:color="auto"/>
                  </w:divBdr>
                </w:div>
                <w:div w:id="423263703">
                  <w:marLeft w:val="0"/>
                  <w:marRight w:val="0"/>
                  <w:marTop w:val="0"/>
                  <w:marBottom w:val="0"/>
                  <w:divBdr>
                    <w:top w:val="none" w:sz="0" w:space="0" w:color="auto"/>
                    <w:left w:val="none" w:sz="0" w:space="0" w:color="auto"/>
                    <w:bottom w:val="none" w:sz="0" w:space="0" w:color="auto"/>
                    <w:right w:val="none" w:sz="0" w:space="0" w:color="auto"/>
                  </w:divBdr>
                  <w:divsChild>
                    <w:div w:id="1327854103">
                      <w:marLeft w:val="0"/>
                      <w:marRight w:val="0"/>
                      <w:marTop w:val="0"/>
                      <w:marBottom w:val="0"/>
                      <w:divBdr>
                        <w:top w:val="single" w:sz="2" w:space="0" w:color="DADADA"/>
                        <w:left w:val="single" w:sz="6" w:space="8" w:color="DADADA"/>
                        <w:bottom w:val="single" w:sz="2" w:space="0" w:color="DADADA"/>
                        <w:right w:val="single" w:sz="2" w:space="0" w:color="DADADA"/>
                      </w:divBdr>
                    </w:div>
                  </w:divsChild>
                </w:div>
              </w:divsChild>
            </w:div>
          </w:divsChild>
        </w:div>
        <w:div w:id="548302910">
          <w:marLeft w:val="0"/>
          <w:marRight w:val="0"/>
          <w:marTop w:val="0"/>
          <w:marBottom w:val="0"/>
          <w:divBdr>
            <w:top w:val="none" w:sz="0" w:space="0" w:color="auto"/>
            <w:left w:val="none" w:sz="0" w:space="0" w:color="auto"/>
            <w:bottom w:val="none" w:sz="0" w:space="0" w:color="auto"/>
            <w:right w:val="none" w:sz="0" w:space="0" w:color="auto"/>
          </w:divBdr>
          <w:divsChild>
            <w:div w:id="130157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243294">
      <w:bodyDiv w:val="1"/>
      <w:marLeft w:val="0"/>
      <w:marRight w:val="0"/>
      <w:marTop w:val="0"/>
      <w:marBottom w:val="0"/>
      <w:divBdr>
        <w:top w:val="none" w:sz="0" w:space="0" w:color="auto"/>
        <w:left w:val="none" w:sz="0" w:space="0" w:color="auto"/>
        <w:bottom w:val="none" w:sz="0" w:space="0" w:color="auto"/>
        <w:right w:val="none" w:sz="0" w:space="0" w:color="auto"/>
      </w:divBdr>
    </w:div>
    <w:div w:id="762066264">
      <w:bodyDiv w:val="1"/>
      <w:marLeft w:val="0"/>
      <w:marRight w:val="0"/>
      <w:marTop w:val="0"/>
      <w:marBottom w:val="0"/>
      <w:divBdr>
        <w:top w:val="none" w:sz="0" w:space="0" w:color="auto"/>
        <w:left w:val="none" w:sz="0" w:space="0" w:color="auto"/>
        <w:bottom w:val="none" w:sz="0" w:space="0" w:color="auto"/>
        <w:right w:val="none" w:sz="0" w:space="0" w:color="auto"/>
      </w:divBdr>
      <w:divsChild>
        <w:div w:id="1848792705">
          <w:marLeft w:val="0"/>
          <w:marRight w:val="0"/>
          <w:marTop w:val="0"/>
          <w:marBottom w:val="0"/>
          <w:divBdr>
            <w:top w:val="none" w:sz="0" w:space="0" w:color="auto"/>
            <w:left w:val="none" w:sz="0" w:space="0" w:color="auto"/>
            <w:bottom w:val="none" w:sz="0" w:space="0" w:color="auto"/>
            <w:right w:val="none" w:sz="0" w:space="0" w:color="auto"/>
          </w:divBdr>
          <w:divsChild>
            <w:div w:id="1700937692">
              <w:marLeft w:val="0"/>
              <w:marRight w:val="0"/>
              <w:marTop w:val="0"/>
              <w:marBottom w:val="0"/>
              <w:divBdr>
                <w:top w:val="none" w:sz="0" w:space="0" w:color="auto"/>
                <w:left w:val="none" w:sz="0" w:space="0" w:color="auto"/>
                <w:bottom w:val="none" w:sz="0" w:space="0" w:color="auto"/>
                <w:right w:val="none" w:sz="0" w:space="0" w:color="auto"/>
              </w:divBdr>
              <w:divsChild>
                <w:div w:id="25116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081749">
      <w:bodyDiv w:val="1"/>
      <w:marLeft w:val="0"/>
      <w:marRight w:val="0"/>
      <w:marTop w:val="0"/>
      <w:marBottom w:val="0"/>
      <w:divBdr>
        <w:top w:val="none" w:sz="0" w:space="0" w:color="auto"/>
        <w:left w:val="none" w:sz="0" w:space="0" w:color="auto"/>
        <w:bottom w:val="none" w:sz="0" w:space="0" w:color="auto"/>
        <w:right w:val="none" w:sz="0" w:space="0" w:color="auto"/>
      </w:divBdr>
    </w:div>
    <w:div w:id="1088888874">
      <w:bodyDiv w:val="1"/>
      <w:marLeft w:val="0"/>
      <w:marRight w:val="0"/>
      <w:marTop w:val="0"/>
      <w:marBottom w:val="0"/>
      <w:divBdr>
        <w:top w:val="none" w:sz="0" w:space="0" w:color="auto"/>
        <w:left w:val="none" w:sz="0" w:space="0" w:color="auto"/>
        <w:bottom w:val="none" w:sz="0" w:space="0" w:color="auto"/>
        <w:right w:val="none" w:sz="0" w:space="0" w:color="auto"/>
      </w:divBdr>
      <w:divsChild>
        <w:div w:id="247623052">
          <w:marLeft w:val="0"/>
          <w:marRight w:val="0"/>
          <w:marTop w:val="0"/>
          <w:marBottom w:val="0"/>
          <w:divBdr>
            <w:top w:val="none" w:sz="0" w:space="0" w:color="auto"/>
            <w:left w:val="none" w:sz="0" w:space="0" w:color="auto"/>
            <w:bottom w:val="none" w:sz="0" w:space="0" w:color="auto"/>
            <w:right w:val="none" w:sz="0" w:space="0" w:color="auto"/>
          </w:divBdr>
          <w:divsChild>
            <w:div w:id="965349551">
              <w:marLeft w:val="0"/>
              <w:marRight w:val="0"/>
              <w:marTop w:val="0"/>
              <w:marBottom w:val="0"/>
              <w:divBdr>
                <w:top w:val="none" w:sz="0" w:space="0" w:color="auto"/>
                <w:left w:val="none" w:sz="0" w:space="0" w:color="auto"/>
                <w:bottom w:val="none" w:sz="0" w:space="0" w:color="auto"/>
                <w:right w:val="none" w:sz="0" w:space="0" w:color="auto"/>
              </w:divBdr>
              <w:divsChild>
                <w:div w:id="806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872016">
      <w:bodyDiv w:val="1"/>
      <w:marLeft w:val="0"/>
      <w:marRight w:val="0"/>
      <w:marTop w:val="0"/>
      <w:marBottom w:val="0"/>
      <w:divBdr>
        <w:top w:val="none" w:sz="0" w:space="0" w:color="auto"/>
        <w:left w:val="none" w:sz="0" w:space="0" w:color="auto"/>
        <w:bottom w:val="none" w:sz="0" w:space="0" w:color="auto"/>
        <w:right w:val="none" w:sz="0" w:space="0" w:color="auto"/>
      </w:divBdr>
      <w:divsChild>
        <w:div w:id="146213637">
          <w:marLeft w:val="0"/>
          <w:marRight w:val="0"/>
          <w:marTop w:val="0"/>
          <w:marBottom w:val="0"/>
          <w:divBdr>
            <w:top w:val="none" w:sz="0" w:space="0" w:color="auto"/>
            <w:left w:val="none" w:sz="0" w:space="0" w:color="auto"/>
            <w:bottom w:val="none" w:sz="0" w:space="0" w:color="auto"/>
            <w:right w:val="none" w:sz="0" w:space="0" w:color="auto"/>
          </w:divBdr>
          <w:divsChild>
            <w:div w:id="1593201256">
              <w:marLeft w:val="0"/>
              <w:marRight w:val="0"/>
              <w:marTop w:val="0"/>
              <w:marBottom w:val="0"/>
              <w:divBdr>
                <w:top w:val="none" w:sz="0" w:space="0" w:color="auto"/>
                <w:left w:val="none" w:sz="0" w:space="0" w:color="auto"/>
                <w:bottom w:val="none" w:sz="0" w:space="0" w:color="auto"/>
                <w:right w:val="none" w:sz="0" w:space="0" w:color="auto"/>
              </w:divBdr>
              <w:divsChild>
                <w:div w:id="4741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684943">
      <w:bodyDiv w:val="1"/>
      <w:marLeft w:val="0"/>
      <w:marRight w:val="0"/>
      <w:marTop w:val="0"/>
      <w:marBottom w:val="0"/>
      <w:divBdr>
        <w:top w:val="none" w:sz="0" w:space="0" w:color="auto"/>
        <w:left w:val="none" w:sz="0" w:space="0" w:color="auto"/>
        <w:bottom w:val="none" w:sz="0" w:space="0" w:color="auto"/>
        <w:right w:val="none" w:sz="0" w:space="0" w:color="auto"/>
      </w:divBdr>
      <w:divsChild>
        <w:div w:id="277296311">
          <w:marLeft w:val="0"/>
          <w:marRight w:val="0"/>
          <w:marTop w:val="0"/>
          <w:marBottom w:val="0"/>
          <w:divBdr>
            <w:top w:val="none" w:sz="0" w:space="0" w:color="auto"/>
            <w:left w:val="none" w:sz="0" w:space="0" w:color="auto"/>
            <w:bottom w:val="none" w:sz="0" w:space="0" w:color="auto"/>
            <w:right w:val="none" w:sz="0" w:space="0" w:color="auto"/>
          </w:divBdr>
          <w:divsChild>
            <w:div w:id="52630777">
              <w:marLeft w:val="0"/>
              <w:marRight w:val="0"/>
              <w:marTop w:val="0"/>
              <w:marBottom w:val="0"/>
              <w:divBdr>
                <w:top w:val="none" w:sz="0" w:space="0" w:color="auto"/>
                <w:left w:val="none" w:sz="0" w:space="0" w:color="auto"/>
                <w:bottom w:val="none" w:sz="0" w:space="0" w:color="auto"/>
                <w:right w:val="none" w:sz="0" w:space="0" w:color="auto"/>
              </w:divBdr>
              <w:divsChild>
                <w:div w:id="1958371875">
                  <w:marLeft w:val="0"/>
                  <w:marRight w:val="0"/>
                  <w:marTop w:val="0"/>
                  <w:marBottom w:val="0"/>
                  <w:divBdr>
                    <w:top w:val="none" w:sz="0" w:space="0" w:color="auto"/>
                    <w:left w:val="none" w:sz="0" w:space="0" w:color="auto"/>
                    <w:bottom w:val="none" w:sz="0" w:space="0" w:color="auto"/>
                    <w:right w:val="none" w:sz="0" w:space="0" w:color="auto"/>
                  </w:divBdr>
                  <w:divsChild>
                    <w:div w:id="183529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51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jose.juancolas@york.ac.uk"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596F6-BDCE-4BF3-9EF4-24E029350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19</Pages>
  <Words>14852</Words>
  <Characters>81690</Characters>
  <Application>Microsoft Office Word</Application>
  <DocSecurity>0</DocSecurity>
  <Lines>680</Lines>
  <Paragraphs>192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Pepe</dc:creator>
  <cp:keywords/>
  <dc:description/>
  <cp:lastModifiedBy>José Juan-Colas</cp:lastModifiedBy>
  <cp:revision>29</cp:revision>
  <dcterms:created xsi:type="dcterms:W3CDTF">2018-10-10T14:42:00Z</dcterms:created>
  <dcterms:modified xsi:type="dcterms:W3CDTF">2018-10-24T16:58:00Z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http://www.zotero.org/styles/pnas</vt:lpwstr>
  </property>
  <property fmtid="{D5CDD505-2E9C-101B-9397-08002B2CF9AE}" pid="21" name="Mendeley Recent Style Name 9_1">
    <vt:lpwstr>Proceedings of the National Academy of Sciences of the United States of America</vt:lpwstr>
  </property>
  <property fmtid="{D5CDD505-2E9C-101B-9397-08002B2CF9AE}" pid="22" name="Mendeley Document_1">
    <vt:lpwstr>True</vt:lpwstr>
  </property>
  <property fmtid="{D5CDD505-2E9C-101B-9397-08002B2CF9AE}" pid="23" name="Mendeley Unique User Id_1">
    <vt:lpwstr>debf6fde-b5d8-3f29-b660-3f4125125270</vt:lpwstr>
  </property>
  <property fmtid="{D5CDD505-2E9C-101B-9397-08002B2CF9AE}" pid="24" name="Mendeley Citation Style_1">
    <vt:lpwstr>http://www.zotero.org/styles/pnas</vt:lpwstr>
  </property>
</Properties>
</file>