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0361B" w14:textId="77777777" w:rsidR="00463FA6" w:rsidRPr="00064E1A" w:rsidRDefault="00463FA6" w:rsidP="00062421">
      <w:pPr>
        <w:pStyle w:val="Heading2"/>
      </w:pPr>
      <w:bookmarkStart w:id="0" w:name="_GoBack"/>
      <w:bookmarkEnd w:id="0"/>
      <w:r w:rsidRPr="00CD7FE5">
        <w:t xml:space="preserve">Title: </w:t>
      </w:r>
      <w:r w:rsidRPr="00064E1A">
        <w:t>Pharmacoepidemiol</w:t>
      </w:r>
      <w:r>
        <w:t>o</w:t>
      </w:r>
      <w:r w:rsidRPr="00064E1A">
        <w:t>gic evaluation of birth defects from health-related postings in social media during pregnancy</w:t>
      </w:r>
    </w:p>
    <w:p w14:paraId="4D889781" w14:textId="77777777" w:rsidR="00463FA6" w:rsidRPr="00064E1A" w:rsidRDefault="00463FA6" w:rsidP="00CD7FE5">
      <w:pPr>
        <w:rPr>
          <w:rFonts w:ascii="Calibri" w:hAnsi="Calibri" w:cs="Calibri"/>
          <w:shd w:val="clear" w:color="auto" w:fill="FFFFFF"/>
        </w:rPr>
      </w:pPr>
    </w:p>
    <w:p w14:paraId="0C2906B5" w14:textId="77777777" w:rsidR="00463FA6" w:rsidRPr="00064E1A" w:rsidRDefault="00463FA6" w:rsidP="00CD7FE5">
      <w:pPr>
        <w:rPr>
          <w:rFonts w:ascii="Calibri" w:hAnsi="Calibri"/>
        </w:rPr>
      </w:pPr>
      <w:r w:rsidRPr="00064E1A">
        <w:rPr>
          <w:rFonts w:ascii="Calibri" w:hAnsi="Calibri" w:cs="Calibri"/>
          <w:shd w:val="clear" w:color="auto" w:fill="FFFFFF"/>
        </w:rPr>
        <w:t>Authors: Su Golder</w:t>
      </w:r>
      <w:r w:rsidRPr="00064E1A">
        <w:rPr>
          <w:rFonts w:ascii="Calibri" w:hAnsi="Calibri" w:cs="Calibri"/>
          <w:shd w:val="clear" w:color="auto" w:fill="FFFFFF"/>
          <w:vertAlign w:val="superscript"/>
        </w:rPr>
        <w:t>1</w:t>
      </w:r>
      <w:r w:rsidRPr="00064E1A">
        <w:rPr>
          <w:rFonts w:ascii="Calibri" w:hAnsi="Calibri" w:cs="Calibri"/>
          <w:shd w:val="clear" w:color="auto" w:fill="FFFFFF"/>
        </w:rPr>
        <w:t>, Stephanie Chiuve</w:t>
      </w:r>
      <w:r w:rsidRPr="00064E1A">
        <w:rPr>
          <w:rFonts w:ascii="Calibri" w:hAnsi="Calibri" w:cs="Calibri"/>
          <w:shd w:val="clear" w:color="auto" w:fill="FFFFFF"/>
          <w:vertAlign w:val="superscript"/>
        </w:rPr>
        <w:t>3</w:t>
      </w:r>
      <w:r w:rsidRPr="00064E1A">
        <w:rPr>
          <w:rFonts w:ascii="Calibri" w:hAnsi="Calibri" w:cs="Calibri"/>
          <w:shd w:val="clear" w:color="auto" w:fill="FFFFFF"/>
        </w:rPr>
        <w:t>,</w:t>
      </w:r>
      <w:r>
        <w:rPr>
          <w:rFonts w:ascii="Calibri" w:hAnsi="Calibri" w:cs="Calibri"/>
          <w:shd w:val="clear" w:color="auto" w:fill="FFFFFF"/>
        </w:rPr>
        <w:t xml:space="preserve"> </w:t>
      </w:r>
      <w:r w:rsidRPr="00064E1A">
        <w:rPr>
          <w:rFonts w:ascii="Calibri" w:hAnsi="Calibri" w:cs="Calibri"/>
          <w:shd w:val="clear" w:color="auto" w:fill="FFFFFF"/>
        </w:rPr>
        <w:t>Davy Weissenbacher</w:t>
      </w:r>
      <w:r w:rsidRPr="00064E1A">
        <w:rPr>
          <w:rFonts w:ascii="Calibri" w:hAnsi="Calibri" w:cs="Calibri"/>
          <w:shd w:val="clear" w:color="auto" w:fill="FFFFFF"/>
          <w:vertAlign w:val="superscript"/>
        </w:rPr>
        <w:t>2</w:t>
      </w:r>
      <w:r>
        <w:rPr>
          <w:rFonts w:ascii="Calibri" w:hAnsi="Calibri" w:cs="Calibri"/>
          <w:shd w:val="clear" w:color="auto" w:fill="FFFFFF"/>
        </w:rPr>
        <w:t xml:space="preserve">, </w:t>
      </w:r>
      <w:r w:rsidRPr="00064E1A">
        <w:rPr>
          <w:rFonts w:ascii="Calibri" w:hAnsi="Calibri" w:cs="Calibri"/>
          <w:shd w:val="clear" w:color="auto" w:fill="FFFFFF"/>
        </w:rPr>
        <w:t>Ari Klein</w:t>
      </w:r>
      <w:r w:rsidRPr="00064E1A">
        <w:rPr>
          <w:rFonts w:ascii="Calibri" w:hAnsi="Calibri" w:cs="Calibri"/>
          <w:shd w:val="clear" w:color="auto" w:fill="FFFFFF"/>
          <w:vertAlign w:val="superscript"/>
        </w:rPr>
        <w:t>2</w:t>
      </w:r>
      <w:r w:rsidRPr="00064E1A">
        <w:rPr>
          <w:rFonts w:ascii="Calibri" w:hAnsi="Calibri" w:cs="Calibri"/>
          <w:shd w:val="clear" w:color="auto" w:fill="FFFFFF"/>
        </w:rPr>
        <w:t>, Karen O’Connor</w:t>
      </w:r>
      <w:r w:rsidRPr="00CD7FE5">
        <w:rPr>
          <w:rFonts w:ascii="Calibri" w:hAnsi="Calibri" w:cs="Calibri"/>
          <w:shd w:val="clear" w:color="auto" w:fill="FFFFFF"/>
          <w:vertAlign w:val="superscript"/>
        </w:rPr>
        <w:t>2</w:t>
      </w:r>
      <w:r w:rsidRPr="00064E1A">
        <w:rPr>
          <w:rFonts w:ascii="Calibri" w:hAnsi="Calibri" w:cs="Calibri"/>
          <w:shd w:val="clear" w:color="auto" w:fill="FFFFFF"/>
        </w:rPr>
        <w:t>, Martin Bland</w:t>
      </w:r>
      <w:r w:rsidRPr="00064E1A">
        <w:rPr>
          <w:rFonts w:ascii="Calibri" w:hAnsi="Calibri" w:cs="Calibri"/>
          <w:shd w:val="clear" w:color="auto" w:fill="FFFFFF"/>
          <w:vertAlign w:val="superscript"/>
        </w:rPr>
        <w:t>1</w:t>
      </w:r>
      <w:r w:rsidRPr="00064E1A">
        <w:rPr>
          <w:rFonts w:ascii="Calibri" w:hAnsi="Calibri" w:cs="Calibri"/>
          <w:shd w:val="clear" w:color="auto" w:fill="FFFFFF"/>
        </w:rPr>
        <w:t>, Murray Malin</w:t>
      </w:r>
      <w:r w:rsidRPr="00CD7FE5">
        <w:rPr>
          <w:rFonts w:ascii="Calibri" w:hAnsi="Calibri" w:cs="Calibri"/>
          <w:shd w:val="clear" w:color="auto" w:fill="FFFFFF"/>
          <w:vertAlign w:val="superscript"/>
        </w:rPr>
        <w:t>3</w:t>
      </w:r>
      <w:r w:rsidRPr="00064E1A">
        <w:rPr>
          <w:rFonts w:ascii="Calibri" w:hAnsi="Calibri" w:cs="Calibri"/>
          <w:shd w:val="clear" w:color="auto" w:fill="FFFFFF"/>
        </w:rPr>
        <w:t>, Mondira Bhattacharya</w:t>
      </w:r>
      <w:r w:rsidRPr="00CD7FE5">
        <w:rPr>
          <w:rFonts w:ascii="Calibri" w:hAnsi="Calibri" w:cs="Calibri"/>
          <w:shd w:val="clear" w:color="auto" w:fill="FFFFFF"/>
          <w:vertAlign w:val="superscript"/>
        </w:rPr>
        <w:t>3</w:t>
      </w:r>
      <w:r w:rsidRPr="00064E1A">
        <w:rPr>
          <w:rFonts w:ascii="Calibri" w:hAnsi="Calibri" w:cs="Calibri"/>
          <w:shd w:val="clear" w:color="auto" w:fill="FFFFFF"/>
        </w:rPr>
        <w:t>, Linda J Scarazzini</w:t>
      </w:r>
      <w:r w:rsidRPr="00CD7FE5">
        <w:rPr>
          <w:rFonts w:ascii="Calibri" w:hAnsi="Calibri" w:cs="Calibri"/>
          <w:shd w:val="clear" w:color="auto" w:fill="FFFFFF"/>
          <w:vertAlign w:val="superscript"/>
        </w:rPr>
        <w:t>3</w:t>
      </w:r>
      <w:r w:rsidRPr="00064E1A">
        <w:rPr>
          <w:rFonts w:ascii="Calibri" w:hAnsi="Calibri" w:cs="Calibri"/>
          <w:shd w:val="clear" w:color="auto" w:fill="FFFFFF"/>
        </w:rPr>
        <w:t>, </w:t>
      </w:r>
      <w:r w:rsidRPr="00064E1A">
        <w:rPr>
          <w:rStyle w:val="il"/>
          <w:rFonts w:ascii="Calibri" w:hAnsi="Calibri" w:cs="Calibri"/>
          <w:shd w:val="clear" w:color="auto" w:fill="FFFFFF"/>
        </w:rPr>
        <w:t>Graciela</w:t>
      </w:r>
      <w:r w:rsidRPr="00064E1A">
        <w:rPr>
          <w:rFonts w:ascii="Calibri" w:hAnsi="Calibri" w:cs="Calibri"/>
          <w:shd w:val="clear" w:color="auto" w:fill="FFFFFF"/>
        </w:rPr>
        <w:t> Gonzalez-Hernandez</w:t>
      </w:r>
      <w:r w:rsidRPr="00CD7FE5">
        <w:rPr>
          <w:rFonts w:ascii="Calibri" w:hAnsi="Calibri" w:cs="Calibri"/>
          <w:shd w:val="clear" w:color="auto" w:fill="FFFFFF"/>
          <w:vertAlign w:val="superscript"/>
        </w:rPr>
        <w:t>2</w:t>
      </w:r>
    </w:p>
    <w:p w14:paraId="1CF3153D" w14:textId="77777777" w:rsidR="00463FA6" w:rsidRDefault="00463FA6" w:rsidP="00CD7FE5">
      <w:r w:rsidRPr="00030443">
        <w:rPr>
          <w:rFonts w:ascii="Calibri" w:hAnsi="Calibri" w:cs="Calibri"/>
          <w:color w:val="1F497D"/>
          <w:shd w:val="clear" w:color="auto" w:fill="FFFFFF"/>
          <w:vertAlign w:val="superscript"/>
        </w:rPr>
        <w:t>1</w:t>
      </w:r>
      <w:r>
        <w:t>Department of Health Sciences, University of York, YO10 5DD, UK</w:t>
      </w:r>
      <w:r>
        <w:br/>
      </w:r>
      <w:r w:rsidRPr="00064E1A">
        <w:rPr>
          <w:rFonts w:ascii="Calibri" w:hAnsi="Calibri" w:cs="Calibri"/>
          <w:shd w:val="clear" w:color="auto" w:fill="FFFFFF"/>
          <w:vertAlign w:val="superscript"/>
        </w:rPr>
        <w:t>2</w:t>
      </w:r>
      <w:r w:rsidRPr="00064E1A">
        <w:t>Department of Biostatistics, Epidemiology and Informatics, Perelman School of Medicine,</w:t>
      </w:r>
      <w:r>
        <w:t xml:space="preserve"> </w:t>
      </w:r>
      <w:r w:rsidRPr="00064E1A">
        <w:t>University of Pennsylvania, Philadelphia, PA, USA</w:t>
      </w:r>
    </w:p>
    <w:p w14:paraId="34828394" w14:textId="77777777" w:rsidR="00463FA6" w:rsidRPr="00CD7FE5" w:rsidRDefault="00463FA6" w:rsidP="00CD7FE5">
      <w:pPr>
        <w:rPr>
          <w:color w:val="222222"/>
        </w:rPr>
      </w:pPr>
      <w:r w:rsidRPr="00064E1A">
        <w:rPr>
          <w:rFonts w:ascii="Calibri" w:hAnsi="Calibri" w:cs="Calibri"/>
          <w:shd w:val="clear" w:color="auto" w:fill="FFFFFF"/>
          <w:vertAlign w:val="superscript"/>
        </w:rPr>
        <w:t>3</w:t>
      </w:r>
      <w:r>
        <w:rPr>
          <w:rFonts w:ascii="Arial" w:hAnsi="Arial" w:cs="Arial"/>
          <w:color w:val="222222"/>
          <w:sz w:val="19"/>
          <w:szCs w:val="19"/>
        </w:rPr>
        <w:t xml:space="preserve">AbbVie, </w:t>
      </w:r>
      <w:r w:rsidRPr="00CD7FE5">
        <w:rPr>
          <w:rFonts w:ascii="Calibri" w:hAnsi="Calibri" w:cs="Calibri"/>
        </w:rPr>
        <w:t>1 North Waukegan Road</w:t>
      </w:r>
      <w:r w:rsidRPr="00CD7FE5">
        <w:t xml:space="preserve">, </w:t>
      </w:r>
      <w:r w:rsidRPr="00CD7FE5">
        <w:rPr>
          <w:rFonts w:ascii="Calibri" w:hAnsi="Calibri" w:cs="Calibri"/>
        </w:rPr>
        <w:t>North Chicago, IL 60064</w:t>
      </w:r>
    </w:p>
    <w:p w14:paraId="0DFE8402" w14:textId="77777777" w:rsidR="00463FA6" w:rsidRDefault="00463FA6" w:rsidP="00CD7FE5">
      <w:pPr>
        <w:rPr>
          <w:rFonts w:ascii="Arial" w:hAnsi="Arial" w:cs="Arial"/>
          <w:color w:val="222222"/>
          <w:sz w:val="19"/>
          <w:szCs w:val="19"/>
        </w:rPr>
      </w:pPr>
    </w:p>
    <w:p w14:paraId="781AFFE3" w14:textId="77777777" w:rsidR="00463FA6" w:rsidRDefault="00463FA6" w:rsidP="00CD7FE5">
      <w:pPr>
        <w:rPr>
          <w:rFonts w:ascii="Arial" w:hAnsi="Arial" w:cs="Arial"/>
          <w:color w:val="222222"/>
          <w:sz w:val="19"/>
          <w:szCs w:val="19"/>
        </w:rPr>
      </w:pPr>
    </w:p>
    <w:p w14:paraId="3ED7AC63" w14:textId="77777777" w:rsidR="00463FA6" w:rsidRDefault="00463FA6" w:rsidP="00CD7FE5">
      <w:pPr>
        <w:rPr>
          <w:rFonts w:ascii="Arial" w:hAnsi="Arial" w:cs="Arial"/>
          <w:color w:val="222222"/>
          <w:sz w:val="19"/>
          <w:szCs w:val="19"/>
        </w:rPr>
      </w:pPr>
    </w:p>
    <w:p w14:paraId="72FD34CB" w14:textId="77777777" w:rsidR="00463FA6" w:rsidRDefault="00463FA6" w:rsidP="00CD7FE5">
      <w:pPr>
        <w:rPr>
          <w:rFonts w:ascii="Arial" w:hAnsi="Arial" w:cs="Arial"/>
          <w:color w:val="222222"/>
          <w:sz w:val="19"/>
          <w:szCs w:val="19"/>
        </w:rPr>
      </w:pPr>
    </w:p>
    <w:p w14:paraId="76DF3FFC" w14:textId="77777777" w:rsidR="00463FA6" w:rsidRPr="00064E1A" w:rsidRDefault="00463FA6" w:rsidP="00CD7FE5">
      <w:pPr>
        <w:rPr>
          <w:rFonts w:ascii="Arial" w:hAnsi="Arial" w:cs="Arial"/>
          <w:b/>
          <w:color w:val="222222"/>
          <w:sz w:val="19"/>
          <w:szCs w:val="19"/>
        </w:rPr>
      </w:pPr>
      <w:r w:rsidRPr="00064E1A">
        <w:rPr>
          <w:rFonts w:ascii="Arial" w:hAnsi="Arial" w:cs="Arial"/>
          <w:b/>
          <w:color w:val="222222"/>
          <w:sz w:val="19"/>
          <w:szCs w:val="19"/>
        </w:rPr>
        <w:t>Corresponding author:</w:t>
      </w:r>
      <w:r w:rsidRPr="00064E1A">
        <w:rPr>
          <w:rFonts w:ascii="Arial" w:hAnsi="Arial" w:cs="Arial"/>
          <w:b/>
          <w:color w:val="222222"/>
          <w:sz w:val="19"/>
          <w:szCs w:val="19"/>
        </w:rPr>
        <w:br/>
      </w:r>
    </w:p>
    <w:p w14:paraId="6DA6AAA5" w14:textId="77777777" w:rsidR="00463FA6" w:rsidRDefault="00463FA6" w:rsidP="00CD7FE5">
      <w:pPr>
        <w:rPr>
          <w:rFonts w:ascii="Arial" w:hAnsi="Arial" w:cs="Arial"/>
          <w:color w:val="222222"/>
          <w:sz w:val="19"/>
          <w:szCs w:val="19"/>
        </w:rPr>
      </w:pPr>
      <w:r>
        <w:rPr>
          <w:rFonts w:ascii="Arial" w:hAnsi="Arial" w:cs="Arial"/>
          <w:color w:val="222222"/>
          <w:sz w:val="19"/>
          <w:szCs w:val="19"/>
        </w:rPr>
        <w:t>Su Golder</w:t>
      </w:r>
    </w:p>
    <w:p w14:paraId="2DED5EC6" w14:textId="77777777" w:rsidR="00463FA6" w:rsidRDefault="00463FA6" w:rsidP="00D86666">
      <w:r>
        <w:rPr>
          <w:rFonts w:ascii="Arial" w:hAnsi="Arial" w:cs="Arial"/>
          <w:color w:val="222222"/>
          <w:sz w:val="19"/>
          <w:szCs w:val="19"/>
        </w:rPr>
        <w:t>Phone: +44(0)1904 321904</w:t>
      </w:r>
      <w:r>
        <w:rPr>
          <w:rFonts w:ascii="Arial" w:hAnsi="Arial" w:cs="Arial"/>
          <w:color w:val="222222"/>
          <w:sz w:val="19"/>
          <w:szCs w:val="19"/>
        </w:rPr>
        <w:br/>
        <w:t>Email: </w:t>
      </w:r>
      <w:hyperlink r:id="rId7" w:tgtFrame="_blank" w:history="1">
        <w:r>
          <w:rPr>
            <w:rStyle w:val="Hyperlink"/>
            <w:rFonts w:ascii="Arial" w:hAnsi="Arial" w:cs="Arial"/>
            <w:color w:val="1155CC"/>
            <w:sz w:val="19"/>
            <w:szCs w:val="19"/>
          </w:rPr>
          <w:t>su.golder@york.ac.uk</w:t>
        </w:r>
      </w:hyperlink>
      <w:r>
        <w:rPr>
          <w:rFonts w:ascii="Arial" w:hAnsi="Arial" w:cs="Arial"/>
          <w:color w:val="222222"/>
          <w:sz w:val="19"/>
          <w:szCs w:val="19"/>
        </w:rPr>
        <w:br/>
      </w:r>
      <w:r>
        <w:rPr>
          <w:rFonts w:ascii="Arial" w:hAnsi="Arial" w:cs="Arial"/>
          <w:color w:val="222222"/>
          <w:sz w:val="19"/>
          <w:szCs w:val="19"/>
        </w:rPr>
        <w:br/>
        <w:t xml:space="preserve">ORCID IDs: Su Golder: 0000-0002-8987-5211, </w:t>
      </w:r>
      <w:r w:rsidRPr="00064E1A">
        <w:rPr>
          <w:rFonts w:ascii="Calibri" w:hAnsi="Calibri" w:cs="Calibri"/>
          <w:shd w:val="clear" w:color="auto" w:fill="FFFFFF"/>
        </w:rPr>
        <w:t>Martin Bland</w:t>
      </w:r>
      <w:r>
        <w:rPr>
          <w:rFonts w:ascii="Calibri" w:hAnsi="Calibri" w:cs="Calibri"/>
          <w:shd w:val="clear" w:color="auto" w:fill="FFFFFF"/>
        </w:rPr>
        <w:t xml:space="preserve">: </w:t>
      </w:r>
      <w:r w:rsidRPr="00CD7FE5">
        <w:t>0000-0002-9525-5334,</w:t>
      </w:r>
      <w:r w:rsidRPr="00064E1A">
        <w:rPr>
          <w:rFonts w:ascii="Calibri" w:hAnsi="Calibri" w:cs="Calibri"/>
          <w:shd w:val="clear" w:color="auto" w:fill="FFFFFF"/>
        </w:rPr>
        <w:t xml:space="preserve"> </w:t>
      </w:r>
      <w:r w:rsidRPr="00064E1A">
        <w:rPr>
          <w:rStyle w:val="il"/>
          <w:rFonts w:ascii="Calibri" w:hAnsi="Calibri" w:cs="Calibri"/>
          <w:shd w:val="clear" w:color="auto" w:fill="FFFFFF"/>
        </w:rPr>
        <w:t>Graciela</w:t>
      </w:r>
      <w:r w:rsidRPr="00064E1A">
        <w:rPr>
          <w:rFonts w:ascii="Calibri" w:hAnsi="Calibri" w:cs="Calibri"/>
          <w:shd w:val="clear" w:color="auto" w:fill="FFFFFF"/>
        </w:rPr>
        <w:t> Gonzalez-Hernandez</w:t>
      </w:r>
      <w:r w:rsidRPr="00CD7FE5">
        <w:t>: 0000-0002-6416-9556</w:t>
      </w:r>
    </w:p>
    <w:p w14:paraId="06599BE3" w14:textId="77777777" w:rsidR="00463FA6" w:rsidRPr="00D86666" w:rsidRDefault="00463FA6" w:rsidP="00AD29B4">
      <w:pPr>
        <w:rPr>
          <w:rFonts w:cstheme="minorHAnsi"/>
        </w:rPr>
      </w:pPr>
      <w:r w:rsidRPr="00D86666">
        <w:rPr>
          <w:rFonts w:cstheme="minorHAnsi"/>
          <w:color w:val="222222"/>
        </w:rPr>
        <w:t>Disclosures:</w:t>
      </w:r>
      <w:r>
        <w:rPr>
          <w:rFonts w:cstheme="minorHAnsi"/>
        </w:rPr>
        <w:t xml:space="preserve"> </w:t>
      </w:r>
      <w:r w:rsidRPr="00D86666">
        <w:rPr>
          <w:rFonts w:cstheme="minorHAnsi"/>
        </w:rPr>
        <w:t xml:space="preserve">Stephanie Chiuve, </w:t>
      </w:r>
      <w:r w:rsidRPr="00D86666">
        <w:rPr>
          <w:rFonts w:cstheme="minorHAnsi"/>
          <w:shd w:val="clear" w:color="auto" w:fill="FFFFFF"/>
        </w:rPr>
        <w:t xml:space="preserve">Murray Malin, and Linda J Scarazzini </w:t>
      </w:r>
      <w:r w:rsidRPr="00D86666">
        <w:rPr>
          <w:rFonts w:cstheme="minorHAnsi"/>
        </w:rPr>
        <w:t xml:space="preserve">are employees of AbbVie receiving stock and/or stock options.  </w:t>
      </w:r>
      <w:r w:rsidRPr="00D86666">
        <w:rPr>
          <w:rFonts w:cstheme="minorHAnsi"/>
          <w:shd w:val="clear" w:color="auto" w:fill="FFFFFF"/>
        </w:rPr>
        <w:t>Mondira Bhattacharya</w:t>
      </w:r>
      <w:r>
        <w:rPr>
          <w:rFonts w:cstheme="minorHAnsi"/>
          <w:shd w:val="clear" w:color="auto" w:fill="FFFFFF"/>
        </w:rPr>
        <w:t xml:space="preserve"> is a former AbbVie employee and received stock and/or stock options.</w:t>
      </w:r>
    </w:p>
    <w:p w14:paraId="36BE11A8" w14:textId="77777777" w:rsidR="00463FA6" w:rsidRDefault="00463FA6" w:rsidP="00AD29B4">
      <w:pPr>
        <w:rPr>
          <w:rFonts w:cstheme="minorHAnsi"/>
        </w:rPr>
      </w:pPr>
      <w:r w:rsidRPr="00D86666">
        <w:rPr>
          <w:rFonts w:cstheme="minorHAnsi"/>
        </w:rPr>
        <w:t>This work was funded by AbbVie Inc. AbbVie participated in the study design, research, data collection, analysis and interpretation of data, writing, reviewing, and approving the publication.</w:t>
      </w:r>
    </w:p>
    <w:p w14:paraId="34B82ABB" w14:textId="77777777" w:rsidR="00463FA6" w:rsidRDefault="00463FA6">
      <w:pPr>
        <w:rPr>
          <w:rFonts w:cstheme="minorHAnsi"/>
        </w:rPr>
      </w:pPr>
      <w:r>
        <w:rPr>
          <w:rFonts w:cstheme="minorHAnsi"/>
        </w:rPr>
        <w:br w:type="page"/>
      </w:r>
    </w:p>
    <w:p w14:paraId="184C1377" w14:textId="77777777" w:rsidR="00463FA6" w:rsidRPr="00D86666" w:rsidRDefault="00463FA6" w:rsidP="00AD29B4">
      <w:pPr>
        <w:rPr>
          <w:rFonts w:cstheme="minorHAnsi"/>
        </w:rPr>
      </w:pPr>
    </w:p>
    <w:p w14:paraId="3993734E" w14:textId="77777777" w:rsidR="00463FA6" w:rsidRPr="00631B09" w:rsidRDefault="00463FA6" w:rsidP="00050DE8">
      <w:pPr>
        <w:pStyle w:val="Heading2"/>
        <w:rPr>
          <w:rFonts w:asciiTheme="minorHAnsi" w:hAnsiTheme="minorHAnsi" w:cstheme="minorHAnsi"/>
          <w:sz w:val="22"/>
          <w:szCs w:val="22"/>
        </w:rPr>
      </w:pPr>
      <w:r w:rsidRPr="00631B09">
        <w:rPr>
          <w:rFonts w:asciiTheme="minorHAnsi" w:hAnsiTheme="minorHAnsi" w:cstheme="minorHAnsi"/>
          <w:sz w:val="22"/>
          <w:szCs w:val="22"/>
        </w:rPr>
        <w:t>Pharmacoepidemiol</w:t>
      </w:r>
      <w:r>
        <w:rPr>
          <w:rFonts w:asciiTheme="minorHAnsi" w:hAnsiTheme="minorHAnsi" w:cstheme="minorHAnsi"/>
          <w:sz w:val="22"/>
          <w:szCs w:val="22"/>
        </w:rPr>
        <w:t>o</w:t>
      </w:r>
      <w:r w:rsidRPr="00631B09">
        <w:rPr>
          <w:rFonts w:asciiTheme="minorHAnsi" w:hAnsiTheme="minorHAnsi" w:cstheme="minorHAnsi"/>
          <w:sz w:val="22"/>
          <w:szCs w:val="22"/>
        </w:rPr>
        <w:t xml:space="preserve">gic evaluation of </w:t>
      </w:r>
      <w:r>
        <w:rPr>
          <w:rFonts w:asciiTheme="minorHAnsi" w:hAnsiTheme="minorHAnsi" w:cstheme="minorHAnsi"/>
          <w:sz w:val="22"/>
          <w:szCs w:val="22"/>
        </w:rPr>
        <w:t>birth defects</w:t>
      </w:r>
      <w:r w:rsidRPr="00631B09">
        <w:rPr>
          <w:rFonts w:asciiTheme="minorHAnsi" w:hAnsiTheme="minorHAnsi" w:cstheme="minorHAnsi"/>
          <w:sz w:val="22"/>
          <w:szCs w:val="22"/>
        </w:rPr>
        <w:t xml:space="preserve"> from health-related postings in social media during pregnancy</w:t>
      </w:r>
    </w:p>
    <w:p w14:paraId="68BB3E37" w14:textId="77777777" w:rsidR="00463FA6" w:rsidRPr="006B0226" w:rsidRDefault="00463FA6" w:rsidP="00F70650">
      <w:pPr>
        <w:rPr>
          <w:rFonts w:cstheme="minorHAnsi"/>
          <w:shd w:val="clear" w:color="auto" w:fill="FFFFFF"/>
        </w:rPr>
      </w:pPr>
    </w:p>
    <w:p w14:paraId="724EBDBC" w14:textId="77777777" w:rsidR="00463FA6" w:rsidRPr="00631B09" w:rsidRDefault="00463FA6" w:rsidP="00050DE8">
      <w:pPr>
        <w:pStyle w:val="Heading2"/>
        <w:rPr>
          <w:rFonts w:asciiTheme="minorHAnsi" w:hAnsiTheme="minorHAnsi" w:cstheme="minorHAnsi"/>
          <w:sz w:val="22"/>
          <w:szCs w:val="22"/>
          <w:shd w:val="clear" w:color="auto" w:fill="FFFFFF"/>
        </w:rPr>
      </w:pPr>
      <w:r w:rsidRPr="00631B09">
        <w:rPr>
          <w:rFonts w:asciiTheme="minorHAnsi" w:hAnsiTheme="minorHAnsi" w:cstheme="minorHAnsi"/>
          <w:sz w:val="22"/>
          <w:szCs w:val="22"/>
          <w:shd w:val="clear" w:color="auto" w:fill="FFFFFF"/>
        </w:rPr>
        <w:t>Abstract</w:t>
      </w:r>
    </w:p>
    <w:p w14:paraId="51D1DBDE" w14:textId="77777777" w:rsidR="00463FA6" w:rsidRPr="00FB4F7D" w:rsidRDefault="00463FA6" w:rsidP="00F70650">
      <w:pPr>
        <w:rPr>
          <w:rFonts w:cstheme="minorHAnsi"/>
        </w:rPr>
      </w:pPr>
      <w:r w:rsidRPr="006B0226">
        <w:rPr>
          <w:rFonts w:cstheme="minorHAnsi"/>
        </w:rPr>
        <w:t xml:space="preserve">Introduction: Adverse effects of medications taken during pregnancy </w:t>
      </w:r>
      <w:r w:rsidRPr="00FB4F7D">
        <w:rPr>
          <w:rFonts w:cstheme="minorHAnsi"/>
        </w:rPr>
        <w:t>are traditionally studied through post-marketing pregnancy registries</w:t>
      </w:r>
      <w:r>
        <w:rPr>
          <w:rFonts w:cstheme="minorHAnsi"/>
        </w:rPr>
        <w:t xml:space="preserve">, which </w:t>
      </w:r>
      <w:r w:rsidRPr="00FB4F7D">
        <w:rPr>
          <w:rFonts w:cstheme="minorHAnsi"/>
        </w:rPr>
        <w:t>have</w:t>
      </w:r>
      <w:r>
        <w:rPr>
          <w:rFonts w:cstheme="minorHAnsi"/>
        </w:rPr>
        <w:t xml:space="preserve"> limitations. Social media data may be an alternative data source for pregnancy surveillance studies</w:t>
      </w:r>
      <w:r w:rsidRPr="00FB4F7D">
        <w:rPr>
          <w:rFonts w:cstheme="minorHAnsi"/>
        </w:rPr>
        <w:t xml:space="preserve">. </w:t>
      </w:r>
    </w:p>
    <w:p w14:paraId="7AECB62D" w14:textId="227824DA" w:rsidR="00463FA6" w:rsidRPr="00FB4F7D" w:rsidRDefault="00463FA6" w:rsidP="00660D07">
      <w:pPr>
        <w:rPr>
          <w:rFonts w:cstheme="minorHAnsi"/>
        </w:rPr>
      </w:pPr>
      <w:r w:rsidRPr="00FB4F7D">
        <w:rPr>
          <w:rFonts w:cstheme="minorHAnsi"/>
        </w:rPr>
        <w:t xml:space="preserve">Aim: To assess the feasibility of </w:t>
      </w:r>
      <w:r>
        <w:rPr>
          <w:rFonts w:cstheme="minorHAnsi"/>
        </w:rPr>
        <w:t xml:space="preserve">using </w:t>
      </w:r>
      <w:r w:rsidRPr="00FB4F7D">
        <w:rPr>
          <w:rFonts w:cstheme="minorHAnsi"/>
        </w:rPr>
        <w:t xml:space="preserve">social media data as an alternative </w:t>
      </w:r>
      <w:r>
        <w:rPr>
          <w:rFonts w:cstheme="minorHAnsi"/>
        </w:rPr>
        <w:t>source</w:t>
      </w:r>
      <w:r w:rsidRPr="00FB4F7D">
        <w:rPr>
          <w:rFonts w:cstheme="minorHAnsi"/>
        </w:rPr>
        <w:t xml:space="preserve"> for pregnancy surveillance</w:t>
      </w:r>
      <w:r>
        <w:rPr>
          <w:rFonts w:cstheme="minorHAnsi"/>
        </w:rPr>
        <w:t xml:space="preserve"> for regulatory decision making.</w:t>
      </w:r>
    </w:p>
    <w:p w14:paraId="6615D714" w14:textId="762A9715" w:rsidR="00463FA6" w:rsidRPr="00FB4F7D" w:rsidRDefault="00463FA6" w:rsidP="00F70650">
      <w:pPr>
        <w:rPr>
          <w:rFonts w:cstheme="minorHAnsi"/>
        </w:rPr>
      </w:pPr>
      <w:r w:rsidRPr="00FB4F7D">
        <w:rPr>
          <w:rFonts w:cstheme="minorHAnsi"/>
        </w:rPr>
        <w:t xml:space="preserve">Methods: </w:t>
      </w:r>
      <w:r>
        <w:rPr>
          <w:rFonts w:cstheme="minorHAnsi"/>
        </w:rPr>
        <w:t>A</w:t>
      </w:r>
      <w:r w:rsidRPr="00FB4F7D">
        <w:rPr>
          <w:rFonts w:cstheme="minorHAnsi"/>
        </w:rPr>
        <w:t xml:space="preserve">n automated method was created to identify </w:t>
      </w:r>
      <w:r>
        <w:rPr>
          <w:rFonts w:cstheme="minorHAnsi"/>
        </w:rPr>
        <w:t>T</w:t>
      </w:r>
      <w:r w:rsidRPr="00FB4F7D">
        <w:rPr>
          <w:rFonts w:cstheme="minorHAnsi"/>
        </w:rPr>
        <w:t xml:space="preserve">witter accounts of pregnant women. 196 pregnant women with a mention of a </w:t>
      </w:r>
      <w:r>
        <w:rPr>
          <w:rFonts w:cstheme="minorHAnsi"/>
        </w:rPr>
        <w:t>birth defect in relation to their baby</w:t>
      </w:r>
      <w:r w:rsidRPr="00FB4F7D">
        <w:rPr>
          <w:rFonts w:cstheme="minorHAnsi"/>
        </w:rPr>
        <w:t xml:space="preserve"> and 196 without a mention of a </w:t>
      </w:r>
      <w:r>
        <w:rPr>
          <w:rFonts w:cstheme="minorHAnsi"/>
        </w:rPr>
        <w:t>birth defect in relation to their baby</w:t>
      </w:r>
      <w:r w:rsidRPr="00FB4F7D">
        <w:rPr>
          <w:rFonts w:cstheme="minorHAnsi"/>
        </w:rPr>
        <w:t xml:space="preserve"> were identified</w:t>
      </w:r>
      <w:r>
        <w:rPr>
          <w:rFonts w:cstheme="minorHAnsi"/>
        </w:rPr>
        <w:t>. W</w:t>
      </w:r>
      <w:r w:rsidRPr="00FB4F7D">
        <w:rPr>
          <w:rFonts w:cstheme="minorHAnsi"/>
        </w:rPr>
        <w:t xml:space="preserve">e extracted </w:t>
      </w:r>
      <w:r>
        <w:rPr>
          <w:rFonts w:cstheme="minorHAnsi"/>
        </w:rPr>
        <w:t>i</w:t>
      </w:r>
      <w:r w:rsidRPr="00FB4F7D">
        <w:rPr>
          <w:rFonts w:cstheme="minorHAnsi"/>
        </w:rPr>
        <w:t xml:space="preserve">nformation on </w:t>
      </w:r>
      <w:r>
        <w:rPr>
          <w:rFonts w:cstheme="minorHAnsi"/>
        </w:rPr>
        <w:t xml:space="preserve">pregnancy and maternal demographics, </w:t>
      </w:r>
      <w:r w:rsidRPr="00FB4F7D">
        <w:rPr>
          <w:rFonts w:cstheme="minorHAnsi"/>
        </w:rPr>
        <w:t xml:space="preserve">medication intake and timing, </w:t>
      </w:r>
      <w:r>
        <w:rPr>
          <w:rFonts w:cstheme="minorHAnsi"/>
        </w:rPr>
        <w:t>and</w:t>
      </w:r>
      <w:r w:rsidRPr="00FB4F7D">
        <w:rPr>
          <w:rFonts w:cstheme="minorHAnsi"/>
        </w:rPr>
        <w:t xml:space="preserve"> </w:t>
      </w:r>
      <w:r>
        <w:rPr>
          <w:rFonts w:cstheme="minorHAnsi"/>
        </w:rPr>
        <w:t>birth defect</w:t>
      </w:r>
      <w:r w:rsidRPr="00FB4F7D">
        <w:rPr>
          <w:rFonts w:cstheme="minorHAnsi"/>
        </w:rPr>
        <w:t xml:space="preserve">s. </w:t>
      </w:r>
    </w:p>
    <w:p w14:paraId="6EE9087C" w14:textId="5AF3034D" w:rsidR="00463FA6" w:rsidRDefault="00463FA6" w:rsidP="00D87B49">
      <w:r w:rsidRPr="00FB4F7D">
        <w:rPr>
          <w:rFonts w:cstheme="minorHAnsi"/>
        </w:rPr>
        <w:t xml:space="preserve">Results: Although often incomplete, we were able to extract data for the majority of the pregnancies. </w:t>
      </w:r>
      <w:r>
        <w:rPr>
          <w:rFonts w:cstheme="minorHAnsi"/>
        </w:rPr>
        <w:t>Among</w:t>
      </w:r>
      <w:r w:rsidRPr="00FB4F7D">
        <w:rPr>
          <w:rFonts w:cstheme="minorHAnsi"/>
        </w:rPr>
        <w:t xml:space="preserve"> women </w:t>
      </w:r>
      <w:r>
        <w:rPr>
          <w:rFonts w:cstheme="minorHAnsi"/>
        </w:rPr>
        <w:t>that reported</w:t>
      </w:r>
      <w:r w:rsidRPr="00FB4F7D">
        <w:rPr>
          <w:rFonts w:cstheme="minorHAnsi"/>
        </w:rPr>
        <w:t xml:space="preserve"> </w:t>
      </w:r>
      <w:r>
        <w:rPr>
          <w:rFonts w:cstheme="minorHAnsi"/>
        </w:rPr>
        <w:t>birth defect</w:t>
      </w:r>
      <w:r w:rsidRPr="00FB4F7D">
        <w:rPr>
          <w:rFonts w:cstheme="minorHAnsi"/>
        </w:rPr>
        <w:t xml:space="preserve">s, 35% reported taking </w:t>
      </w:r>
      <w:r>
        <w:rPr>
          <w:rFonts w:cstheme="minorHAnsi"/>
        </w:rPr>
        <w:t>≥1</w:t>
      </w:r>
      <w:r w:rsidRPr="00FB4F7D">
        <w:rPr>
          <w:rFonts w:cstheme="minorHAnsi"/>
        </w:rPr>
        <w:t xml:space="preserve"> medication during pregnancy compared to 1</w:t>
      </w:r>
      <w:r>
        <w:rPr>
          <w:rFonts w:cstheme="minorHAnsi"/>
        </w:rPr>
        <w:t>7</w:t>
      </w:r>
      <w:r w:rsidRPr="00FB4F7D">
        <w:rPr>
          <w:rFonts w:cstheme="minorHAnsi"/>
        </w:rPr>
        <w:t xml:space="preserve">% of controls. </w:t>
      </w:r>
      <w:r>
        <w:rPr>
          <w:rFonts w:cstheme="minorHAnsi"/>
        </w:rPr>
        <w:t xml:space="preserve">After accounting for age, </w:t>
      </w:r>
      <w:r w:rsidRPr="00FB4F7D">
        <w:rPr>
          <w:rFonts w:cstheme="minorHAnsi"/>
        </w:rPr>
        <w:t xml:space="preserve">race and place of residence, a higher medication intake was observed in </w:t>
      </w:r>
      <w:r>
        <w:rPr>
          <w:rFonts w:cstheme="minorHAnsi"/>
        </w:rPr>
        <w:t>women</w:t>
      </w:r>
      <w:r w:rsidRPr="00FB4F7D">
        <w:rPr>
          <w:rFonts w:cstheme="minorHAnsi"/>
        </w:rPr>
        <w:t xml:space="preserve"> that reported </w:t>
      </w:r>
      <w:r>
        <w:rPr>
          <w:rFonts w:cstheme="minorHAnsi"/>
        </w:rPr>
        <w:t>birth defect</w:t>
      </w:r>
      <w:r w:rsidRPr="00FB4F7D">
        <w:rPr>
          <w:rFonts w:cstheme="minorHAnsi"/>
        </w:rPr>
        <w:t xml:space="preserve">s.  </w:t>
      </w:r>
      <w:r>
        <w:t xml:space="preserve">The rate of birth defects in the pregnancy cohort was lower (0.44%) compared to the rate in the general population (3%). </w:t>
      </w:r>
    </w:p>
    <w:p w14:paraId="7CF75E4D" w14:textId="37D298C9" w:rsidR="00463FA6" w:rsidRDefault="00463FA6" w:rsidP="00F70650">
      <w:pPr>
        <w:rPr>
          <w:rFonts w:cstheme="minorHAnsi"/>
        </w:rPr>
      </w:pPr>
      <w:r w:rsidRPr="00FB4F7D">
        <w:rPr>
          <w:rFonts w:cstheme="minorHAnsi"/>
        </w:rPr>
        <w:t xml:space="preserve">Conclusions: </w:t>
      </w:r>
      <w:r>
        <w:rPr>
          <w:rFonts w:cstheme="minorHAnsi"/>
        </w:rPr>
        <w:t>Twitter</w:t>
      </w:r>
      <w:r w:rsidRPr="00FB4F7D">
        <w:rPr>
          <w:rFonts w:cstheme="minorHAnsi"/>
        </w:rPr>
        <w:t xml:space="preserve"> data </w:t>
      </w:r>
      <w:r>
        <w:rPr>
          <w:rFonts w:cstheme="minorHAnsi"/>
        </w:rPr>
        <w:t xml:space="preserve">captures information </w:t>
      </w:r>
      <w:r w:rsidRPr="00FB4F7D">
        <w:rPr>
          <w:rFonts w:cstheme="minorHAnsi"/>
        </w:rPr>
        <w:t xml:space="preserve">on medication intake and </w:t>
      </w:r>
      <w:r>
        <w:rPr>
          <w:rFonts w:cstheme="minorHAnsi"/>
        </w:rPr>
        <w:t>birth defect</w:t>
      </w:r>
      <w:r w:rsidRPr="00FB4F7D">
        <w:rPr>
          <w:rFonts w:cstheme="minorHAnsi"/>
        </w:rPr>
        <w:t>s; however the information obtained cannot replace pregnancy registries at this time</w:t>
      </w:r>
      <w:r>
        <w:rPr>
          <w:rFonts w:cstheme="minorHAnsi"/>
        </w:rPr>
        <w:t xml:space="preserve">. </w:t>
      </w:r>
      <w:r w:rsidRPr="00FB4F7D">
        <w:rPr>
          <w:rFonts w:cstheme="minorHAnsi"/>
        </w:rPr>
        <w:t xml:space="preserve">Development of improved methods to automatically extract and annotate social media data may increase </w:t>
      </w:r>
      <w:r>
        <w:rPr>
          <w:rFonts w:cstheme="minorHAnsi"/>
        </w:rPr>
        <w:t xml:space="preserve">its </w:t>
      </w:r>
      <w:r w:rsidRPr="00FB4F7D">
        <w:rPr>
          <w:rFonts w:cstheme="minorHAnsi"/>
        </w:rPr>
        <w:t xml:space="preserve">value </w:t>
      </w:r>
      <w:r>
        <w:rPr>
          <w:rFonts w:cstheme="minorHAnsi"/>
        </w:rPr>
        <w:t xml:space="preserve">to support regulatory decision-making regarding pregnancy outcomes </w:t>
      </w:r>
      <w:r w:rsidRPr="00FB4F7D">
        <w:rPr>
          <w:rFonts w:cstheme="minorHAnsi"/>
        </w:rPr>
        <w:t xml:space="preserve">in women using medications during their pregnancies </w:t>
      </w:r>
    </w:p>
    <w:p w14:paraId="38E9A77C" w14:textId="77777777" w:rsidR="00463FA6" w:rsidRDefault="00463FA6">
      <w:pPr>
        <w:rPr>
          <w:rFonts w:cstheme="minorHAnsi"/>
          <w:shd w:val="clear" w:color="auto" w:fill="FFFFFF"/>
        </w:rPr>
      </w:pPr>
    </w:p>
    <w:p w14:paraId="76CB0F18" w14:textId="77777777" w:rsidR="00463FA6" w:rsidRDefault="00463FA6" w:rsidP="00062421">
      <w:pPr>
        <w:pStyle w:val="Heading2"/>
        <w:rPr>
          <w:shd w:val="clear" w:color="auto" w:fill="FFFFFF"/>
        </w:rPr>
      </w:pPr>
      <w:r>
        <w:rPr>
          <w:shd w:val="clear" w:color="auto" w:fill="FFFFFF"/>
        </w:rPr>
        <w:t>Key Points</w:t>
      </w:r>
    </w:p>
    <w:p w14:paraId="670EFDC2" w14:textId="77777777" w:rsidR="00463FA6" w:rsidRDefault="00463FA6" w:rsidP="00062421">
      <w:pPr>
        <w:pStyle w:val="ListParagraph"/>
        <w:numPr>
          <w:ilvl w:val="0"/>
          <w:numId w:val="12"/>
        </w:numPr>
      </w:pPr>
      <w:r w:rsidRPr="00FB4F7D">
        <w:t xml:space="preserve">Social media data can provide information on medication intake and </w:t>
      </w:r>
      <w:r>
        <w:t>birth defect</w:t>
      </w:r>
      <w:r w:rsidRPr="00FB4F7D">
        <w:t xml:space="preserve">s; however the information obtained cannot replace pregnancy registries at this time. </w:t>
      </w:r>
      <w:r>
        <w:t>At present this data is incomplete</w:t>
      </w:r>
      <w:r w:rsidRPr="00FB4F7D">
        <w:t xml:space="preserve"> </w:t>
      </w:r>
      <w:r>
        <w:t>but</w:t>
      </w:r>
      <w:r w:rsidRPr="00FB4F7D">
        <w:t xml:space="preserve"> may</w:t>
      </w:r>
      <w:r>
        <w:t xml:space="preserve"> still</w:t>
      </w:r>
      <w:r w:rsidRPr="00FB4F7D">
        <w:t xml:space="preserve"> be useful to supplement pregnancy registry data. </w:t>
      </w:r>
    </w:p>
    <w:p w14:paraId="4529E700" w14:textId="77777777" w:rsidR="00463FA6" w:rsidRPr="00004A31" w:rsidRDefault="00463FA6" w:rsidP="00062421">
      <w:pPr>
        <w:pStyle w:val="ListParagraph"/>
        <w:numPr>
          <w:ilvl w:val="0"/>
          <w:numId w:val="12"/>
        </w:numPr>
        <w:rPr>
          <w:shd w:val="clear" w:color="auto" w:fill="FFFFFF"/>
        </w:rPr>
      </w:pPr>
      <w:r w:rsidRPr="00A82641">
        <w:rPr>
          <w:rFonts w:cstheme="minorHAnsi"/>
        </w:rPr>
        <w:t>Future research is necessary to refine efforts and uses of social media data to support regulatory decision-making regarding pregnancy outcomes with recently approved drugs that are used in women of child-bearing age.</w:t>
      </w:r>
      <w:r w:rsidRPr="00A82641">
        <w:rPr>
          <w:shd w:val="clear" w:color="auto" w:fill="FFFFFF"/>
        </w:rPr>
        <w:br w:type="page"/>
      </w:r>
    </w:p>
    <w:p w14:paraId="738FB793" w14:textId="77777777" w:rsidR="00463FA6" w:rsidRPr="00631B09" w:rsidRDefault="00463FA6" w:rsidP="00792030">
      <w:pPr>
        <w:pStyle w:val="Heading2"/>
        <w:numPr>
          <w:ilvl w:val="0"/>
          <w:numId w:val="14"/>
        </w:numPr>
        <w:rPr>
          <w:rFonts w:asciiTheme="minorHAnsi" w:hAnsiTheme="minorHAnsi" w:cstheme="minorHAnsi"/>
          <w:sz w:val="22"/>
          <w:szCs w:val="22"/>
          <w:shd w:val="clear" w:color="auto" w:fill="FFFFFF"/>
        </w:rPr>
      </w:pPr>
      <w:r w:rsidRPr="00631B09">
        <w:rPr>
          <w:rFonts w:asciiTheme="minorHAnsi" w:hAnsiTheme="minorHAnsi" w:cstheme="minorHAnsi"/>
          <w:sz w:val="22"/>
          <w:szCs w:val="22"/>
          <w:shd w:val="clear" w:color="auto" w:fill="FFFFFF"/>
        </w:rPr>
        <w:lastRenderedPageBreak/>
        <w:t>Introduction</w:t>
      </w:r>
    </w:p>
    <w:p w14:paraId="6B8274AA" w14:textId="253C1B82" w:rsidR="00463FA6" w:rsidRPr="00FB4F7D" w:rsidRDefault="00463FA6" w:rsidP="00401A20">
      <w:pPr>
        <w:shd w:val="clear" w:color="auto" w:fill="FFFFFF"/>
        <w:rPr>
          <w:rFonts w:cstheme="minorHAnsi"/>
          <w:color w:val="222222"/>
        </w:rPr>
      </w:pPr>
      <w:r w:rsidRPr="006B0226">
        <w:rPr>
          <w:rFonts w:cstheme="minorHAnsi"/>
          <w:shd w:val="clear" w:color="auto" w:fill="FFFFFF"/>
        </w:rPr>
        <w:t>New pharmaceutical products undergo rigorous testing prior to approval</w:t>
      </w:r>
      <w:r>
        <w:rPr>
          <w:rFonts w:cstheme="minorHAnsi"/>
          <w:shd w:val="clear" w:color="auto" w:fill="FFFFFF"/>
        </w:rPr>
        <w:t>. H</w:t>
      </w:r>
      <w:r w:rsidRPr="006B0226">
        <w:rPr>
          <w:rFonts w:cstheme="minorHAnsi"/>
          <w:shd w:val="clear" w:color="auto" w:fill="FFFFFF"/>
        </w:rPr>
        <w:t xml:space="preserve">owever, data on safety during pregnancy is sparse, particularly for new products </w:t>
      </w:r>
      <w:r>
        <w:rPr>
          <w:rFonts w:cstheme="minorHAnsi"/>
          <w:noProof/>
          <w:shd w:val="clear" w:color="auto" w:fill="FFFFFF"/>
        </w:rPr>
        <w:t>[1]</w:t>
      </w:r>
      <w:r w:rsidRPr="006B0226">
        <w:rPr>
          <w:rFonts w:cstheme="minorHAnsi"/>
          <w:shd w:val="clear" w:color="auto" w:fill="FFFFFF"/>
        </w:rPr>
        <w:t>, as clinical trials often exclude women who are pregnant</w:t>
      </w:r>
      <w:r>
        <w:rPr>
          <w:rFonts w:cstheme="minorHAnsi"/>
          <w:shd w:val="clear" w:color="auto" w:fill="FFFFFF"/>
        </w:rPr>
        <w:t xml:space="preserve"> or</w:t>
      </w:r>
      <w:r w:rsidRPr="006B0226">
        <w:rPr>
          <w:rFonts w:cstheme="minorHAnsi"/>
          <w:shd w:val="clear" w:color="auto" w:fill="FFFFFF"/>
        </w:rPr>
        <w:t xml:space="preserve"> breastfeeding</w:t>
      </w:r>
      <w:r>
        <w:rPr>
          <w:rFonts w:cstheme="minorHAnsi"/>
          <w:shd w:val="clear" w:color="auto" w:fill="FFFFFF"/>
        </w:rPr>
        <w:t xml:space="preserve"> </w:t>
      </w:r>
      <w:r w:rsidRPr="006B0226">
        <w:rPr>
          <w:rFonts w:cstheme="minorHAnsi"/>
          <w:shd w:val="clear" w:color="auto" w:fill="FFFFFF"/>
        </w:rPr>
        <w:t xml:space="preserve">due to ethical implications. Up to 80% of pregnant women take at least one prescribed or over the counter (OTC) </w:t>
      </w:r>
      <w:r w:rsidRPr="00FB4F7D">
        <w:rPr>
          <w:rFonts w:cstheme="minorHAnsi"/>
          <w:shd w:val="clear" w:color="auto" w:fill="FFFFFF"/>
        </w:rPr>
        <w:t xml:space="preserve">medication during their pregnancy </w:t>
      </w:r>
      <w:r>
        <w:rPr>
          <w:rFonts w:cstheme="minorHAnsi"/>
          <w:noProof/>
          <w:shd w:val="clear" w:color="auto" w:fill="FFFFFF"/>
        </w:rPr>
        <w:t>[2]</w:t>
      </w:r>
      <w:r w:rsidRPr="00FB4F7D">
        <w:rPr>
          <w:rFonts w:cstheme="minorHAnsi"/>
          <w:shd w:val="clear" w:color="auto" w:fill="FFFFFF"/>
        </w:rPr>
        <w:t xml:space="preserve">. Further, </w:t>
      </w:r>
      <w:r>
        <w:rPr>
          <w:rFonts w:cstheme="minorHAnsi"/>
          <w:shd w:val="clear" w:color="auto" w:fill="FFFFFF"/>
        </w:rPr>
        <w:t xml:space="preserve">many pregnancies are unplanned, for example in the US </w:t>
      </w:r>
      <w:r w:rsidRPr="00FB4F7D">
        <w:rPr>
          <w:rFonts w:cstheme="minorHAnsi"/>
          <w:shd w:val="clear" w:color="auto" w:fill="FFFFFF"/>
        </w:rPr>
        <w:t xml:space="preserve">almost half of pregnancies are unplanned </w:t>
      </w:r>
      <w:r>
        <w:rPr>
          <w:rFonts w:cstheme="minorHAnsi"/>
          <w:noProof/>
          <w:shd w:val="clear" w:color="auto" w:fill="FFFFFF"/>
        </w:rPr>
        <w:t>[3]</w:t>
      </w:r>
      <w:r w:rsidRPr="00FB4F7D">
        <w:rPr>
          <w:rFonts w:cstheme="minorHAnsi"/>
          <w:shd w:val="clear" w:color="auto" w:fill="FFFFFF"/>
        </w:rPr>
        <w:t xml:space="preserve">, thus unintended fetal exposure to medications during critical periods of development are likely to occur </w:t>
      </w:r>
      <w:r>
        <w:rPr>
          <w:rFonts w:cstheme="minorHAnsi"/>
          <w:noProof/>
          <w:shd w:val="clear" w:color="auto" w:fill="FFFFFF"/>
        </w:rPr>
        <w:t>[4]</w:t>
      </w:r>
      <w:r w:rsidRPr="00FB4F7D">
        <w:rPr>
          <w:rFonts w:cstheme="minorHAnsi"/>
          <w:shd w:val="clear" w:color="auto" w:fill="FFFFFF"/>
        </w:rPr>
        <w:t>. Therefore, evidence of safety during pregnancy relies on other sources of data, such as observational studies in the post market setting.</w:t>
      </w:r>
    </w:p>
    <w:p w14:paraId="06C29E1D" w14:textId="7FE4C61B" w:rsidR="00463FA6" w:rsidRPr="00FB4F7D" w:rsidRDefault="00463FA6" w:rsidP="00401A20">
      <w:pPr>
        <w:rPr>
          <w:rFonts w:cstheme="minorHAnsi"/>
          <w:shd w:val="clear" w:color="auto" w:fill="FFFFFF"/>
        </w:rPr>
      </w:pPr>
      <w:r w:rsidRPr="00FB4F7D">
        <w:rPr>
          <w:rFonts w:cstheme="minorHAnsi"/>
        </w:rPr>
        <w:t xml:space="preserve">The most common type of pregnancy surveillance studies are traditional pregnancy registries </w:t>
      </w:r>
      <w:r>
        <w:rPr>
          <w:rFonts w:cstheme="minorHAnsi"/>
          <w:noProof/>
        </w:rPr>
        <w:t>[5]</w:t>
      </w:r>
      <w:r w:rsidRPr="00FB4F7D">
        <w:rPr>
          <w:rFonts w:cstheme="minorHAnsi"/>
        </w:rPr>
        <w:t>, which</w:t>
      </w:r>
      <w:r w:rsidRPr="00FB4F7D">
        <w:rPr>
          <w:rFonts w:cstheme="minorHAnsi"/>
          <w:shd w:val="clear" w:color="auto" w:fill="FFFFFF"/>
        </w:rPr>
        <w:t xml:space="preserve"> have been the standard for post-marketing pregnancy surveillance. There are many known disadvantages with registries, including a lack of an appropriate comparator group to estimate background rates, selective loss to follow-up, and low rates of recruitment </w:t>
      </w:r>
      <w:r>
        <w:rPr>
          <w:rFonts w:cstheme="minorHAnsi"/>
          <w:noProof/>
          <w:shd w:val="clear" w:color="auto" w:fill="FFFFFF"/>
        </w:rPr>
        <w:t>[6-10]</w:t>
      </w:r>
      <w:r w:rsidRPr="00FB4F7D">
        <w:rPr>
          <w:rFonts w:cstheme="minorHAnsi"/>
          <w:shd w:val="clear" w:color="auto" w:fill="FFFFFF"/>
        </w:rPr>
        <w:t>. T</w:t>
      </w:r>
      <w:r w:rsidRPr="006B0226">
        <w:rPr>
          <w:rFonts w:cstheme="minorHAnsi"/>
        </w:rPr>
        <w:t xml:space="preserve">he routine use of ultrasounds and early prenatal screening challenges true prospective </w:t>
      </w:r>
      <w:r w:rsidRPr="00631B09">
        <w:rPr>
          <w:rFonts w:cstheme="minorHAnsi"/>
          <w:lang w:val="en-US"/>
        </w:rPr>
        <w:t>enrollment</w:t>
      </w:r>
      <w:r w:rsidRPr="006B0226">
        <w:rPr>
          <w:rFonts w:cstheme="minorHAnsi"/>
        </w:rPr>
        <w:t xml:space="preserve"> into traditional registries and may bias results of the registry </w:t>
      </w:r>
      <w:r>
        <w:rPr>
          <w:rFonts w:cstheme="minorHAnsi"/>
          <w:noProof/>
        </w:rPr>
        <w:t>[9]</w:t>
      </w:r>
      <w:r w:rsidRPr="006B0226">
        <w:rPr>
          <w:rFonts w:cstheme="minorHAnsi"/>
        </w:rPr>
        <w:t>.</w:t>
      </w:r>
      <w:r w:rsidRPr="006B0226">
        <w:rPr>
          <w:rFonts w:cstheme="minorHAnsi"/>
          <w:shd w:val="clear" w:color="auto" w:fill="FFFFFF"/>
        </w:rPr>
        <w:t xml:space="preserve"> Even with efforts made to enroll women as early as possible in the pregnancy (7</w:t>
      </w:r>
      <w:r w:rsidRPr="00FB4F7D">
        <w:rPr>
          <w:rFonts w:cstheme="minorHAnsi"/>
          <w:shd w:val="clear" w:color="auto" w:fill="FFFFFF"/>
          <w:vertAlign w:val="superscript"/>
        </w:rPr>
        <w:t>th</w:t>
      </w:r>
      <w:r w:rsidRPr="00FB4F7D">
        <w:rPr>
          <w:rFonts w:cstheme="minorHAnsi"/>
          <w:shd w:val="clear" w:color="auto" w:fill="FFFFFF"/>
        </w:rPr>
        <w:t xml:space="preserve"> or 8</w:t>
      </w:r>
      <w:r w:rsidRPr="00FB4F7D">
        <w:rPr>
          <w:rFonts w:cstheme="minorHAnsi"/>
          <w:shd w:val="clear" w:color="auto" w:fill="FFFFFF"/>
          <w:vertAlign w:val="superscript"/>
        </w:rPr>
        <w:t>th</w:t>
      </w:r>
      <w:r w:rsidRPr="00FB4F7D">
        <w:rPr>
          <w:rFonts w:cstheme="minorHAnsi"/>
          <w:shd w:val="clear" w:color="auto" w:fill="FFFFFF"/>
        </w:rPr>
        <w:t xml:space="preserve"> week of gestation) </w:t>
      </w:r>
      <w:r>
        <w:rPr>
          <w:rFonts w:cstheme="minorHAnsi"/>
          <w:noProof/>
          <w:shd w:val="clear" w:color="auto" w:fill="FFFFFF"/>
        </w:rPr>
        <w:t>[1]</w:t>
      </w:r>
      <w:r w:rsidRPr="00FB4F7D">
        <w:rPr>
          <w:rFonts w:cstheme="minorHAnsi"/>
          <w:shd w:val="clear" w:color="auto" w:fill="FFFFFF"/>
        </w:rPr>
        <w:t xml:space="preserve">, any adverse drug effects during early pregnancy may be missed </w:t>
      </w:r>
      <w:r>
        <w:rPr>
          <w:rFonts w:cstheme="minorHAnsi"/>
          <w:noProof/>
          <w:shd w:val="clear" w:color="auto" w:fill="FFFFFF"/>
        </w:rPr>
        <w:t>[1]</w:t>
      </w:r>
      <w:r w:rsidRPr="00FB4F7D">
        <w:rPr>
          <w:rFonts w:cstheme="minorHAnsi"/>
          <w:shd w:val="clear" w:color="auto" w:fill="FFFFFF"/>
        </w:rPr>
        <w:t xml:space="preserve">. Finally, </w:t>
      </w:r>
      <w:r w:rsidRPr="00792030">
        <w:t xml:space="preserve">the </w:t>
      </w:r>
      <w:r>
        <w:t>frequent in</w:t>
      </w:r>
      <w:r w:rsidRPr="00792030">
        <w:t xml:space="preserve">ability to have significant statistical </w:t>
      </w:r>
      <w:r>
        <w:t>associations within pregnancy registries is primarily due to poor patient enrolment and the few birth defects recorded in these observational studies</w:t>
      </w:r>
      <w:r w:rsidRPr="00792030">
        <w:t>.</w:t>
      </w:r>
      <w:r>
        <w:t xml:space="preserve"> </w:t>
      </w:r>
      <w:r>
        <w:rPr>
          <w:rFonts w:cstheme="minorHAnsi"/>
          <w:shd w:val="clear" w:color="auto" w:fill="FFFFFF"/>
        </w:rPr>
        <w:t xml:space="preserve">Hence, although </w:t>
      </w:r>
      <w:r w:rsidRPr="00FB4F7D">
        <w:rPr>
          <w:rFonts w:cstheme="minorHAnsi"/>
          <w:shd w:val="clear" w:color="auto" w:fill="FFFFFF"/>
        </w:rPr>
        <w:t>pregnancy registries have adequate statistical power to detect signals of major-risk teratogenicity (</w:t>
      </w:r>
      <w:r>
        <w:rPr>
          <w:rFonts w:cstheme="minorHAnsi"/>
          <w:shd w:val="clear" w:color="auto" w:fill="FFFFFF"/>
        </w:rPr>
        <w:t>birth defect</w:t>
      </w:r>
      <w:r w:rsidRPr="00FB4F7D">
        <w:rPr>
          <w:rFonts w:cstheme="minorHAnsi"/>
          <w:shd w:val="clear" w:color="auto" w:fill="FFFFFF"/>
        </w:rPr>
        <w:t xml:space="preserve"> rate of 25%), </w:t>
      </w:r>
      <w:r>
        <w:rPr>
          <w:rFonts w:cstheme="minorHAnsi"/>
          <w:shd w:val="clear" w:color="auto" w:fill="FFFFFF"/>
        </w:rPr>
        <w:t>they are not powered to detect</w:t>
      </w:r>
      <w:r w:rsidRPr="00FB4F7D">
        <w:rPr>
          <w:rFonts w:cstheme="minorHAnsi"/>
          <w:shd w:val="clear" w:color="auto" w:fill="FFFFFF"/>
        </w:rPr>
        <w:t xml:space="preserve"> signals of moderate-risk teratogens </w:t>
      </w:r>
      <w:r>
        <w:rPr>
          <w:rFonts w:cstheme="minorHAnsi"/>
          <w:noProof/>
          <w:shd w:val="clear" w:color="auto" w:fill="FFFFFF"/>
        </w:rPr>
        <w:t>[11, 12]</w:t>
      </w:r>
      <w:r w:rsidRPr="00FB4F7D">
        <w:rPr>
          <w:rFonts w:cstheme="minorHAnsi"/>
          <w:shd w:val="clear" w:color="auto" w:fill="FFFFFF"/>
        </w:rPr>
        <w:t xml:space="preserve"> </w:t>
      </w:r>
      <w:r>
        <w:rPr>
          <w:rFonts w:cstheme="minorHAnsi"/>
          <w:shd w:val="clear" w:color="auto" w:fill="FFFFFF"/>
        </w:rPr>
        <w:t xml:space="preserve">or </w:t>
      </w:r>
      <w:r w:rsidRPr="00FB4F7D">
        <w:rPr>
          <w:rFonts w:cstheme="minorHAnsi"/>
          <w:shd w:val="clear" w:color="auto" w:fill="FFFFFF"/>
        </w:rPr>
        <w:t xml:space="preserve">specific birth defects </w:t>
      </w:r>
      <w:r>
        <w:rPr>
          <w:rFonts w:cstheme="minorHAnsi"/>
          <w:noProof/>
          <w:shd w:val="clear" w:color="auto" w:fill="FFFFFF"/>
        </w:rPr>
        <w:t>[9]</w:t>
      </w:r>
      <w:r w:rsidRPr="00FB4F7D">
        <w:rPr>
          <w:rFonts w:cstheme="minorHAnsi"/>
          <w:shd w:val="clear" w:color="auto" w:fill="FFFFFF"/>
        </w:rPr>
        <w:t>.</w:t>
      </w:r>
      <w:r>
        <w:rPr>
          <w:rFonts w:cstheme="minorHAnsi"/>
          <w:shd w:val="clear" w:color="auto" w:fill="FFFFFF"/>
        </w:rPr>
        <w:t xml:space="preserve"> </w:t>
      </w:r>
      <w:r w:rsidRPr="00FB4F7D">
        <w:rPr>
          <w:rFonts w:cstheme="minorHAnsi"/>
          <w:shd w:val="clear" w:color="auto" w:fill="FFFFFF"/>
        </w:rPr>
        <w:t>These limitations, along with the knowledge that one data source is unlikely to be sufficient to provide enough information on potentially rare outcomes, has led researchers and regulatory agencies to identify supplementary sources of data for evaluating the safety of medicines in pregnancy.</w:t>
      </w:r>
    </w:p>
    <w:p w14:paraId="733877DA" w14:textId="77777777" w:rsidR="00463FA6" w:rsidRPr="006B0226" w:rsidRDefault="00463FA6" w:rsidP="00401A20">
      <w:pPr>
        <w:rPr>
          <w:rFonts w:cstheme="minorHAnsi"/>
          <w:shd w:val="clear" w:color="auto" w:fill="FFFFFF"/>
        </w:rPr>
      </w:pPr>
      <w:r>
        <w:rPr>
          <w:rFonts w:cstheme="minorHAnsi"/>
        </w:rPr>
        <w:t>Alternative sources for p</w:t>
      </w:r>
      <w:r w:rsidRPr="006B0226">
        <w:rPr>
          <w:rFonts w:cstheme="minorHAnsi"/>
        </w:rPr>
        <w:t xml:space="preserve">regnancy surveillance </w:t>
      </w:r>
      <w:r>
        <w:rPr>
          <w:rFonts w:cstheme="minorHAnsi"/>
        </w:rPr>
        <w:t xml:space="preserve">include </w:t>
      </w:r>
      <w:r w:rsidRPr="006B0226">
        <w:rPr>
          <w:rFonts w:cstheme="minorHAnsi"/>
          <w:shd w:val="clear" w:color="auto" w:fill="FFFFFF"/>
        </w:rPr>
        <w:t>population-based surveillance registers, electronic healthcare records and administrative claims databases</w:t>
      </w:r>
      <w:r>
        <w:rPr>
          <w:rFonts w:cstheme="minorHAnsi"/>
          <w:shd w:val="clear" w:color="auto" w:fill="FFFFFF"/>
        </w:rPr>
        <w:t xml:space="preserve"> and studies within these databases</w:t>
      </w:r>
      <w:r w:rsidRPr="006B0226">
        <w:rPr>
          <w:rFonts w:cstheme="minorHAnsi"/>
          <w:shd w:val="clear" w:color="auto" w:fill="FFFFFF"/>
        </w:rPr>
        <w:t xml:space="preserve"> </w:t>
      </w:r>
      <w:r w:rsidRPr="006B0226">
        <w:rPr>
          <w:rFonts w:cstheme="minorHAnsi"/>
        </w:rPr>
        <w:t xml:space="preserve">have provided key evidence of drug exposures, pregnancy outcomes and </w:t>
      </w:r>
      <w:r>
        <w:rPr>
          <w:rFonts w:cstheme="minorHAnsi"/>
        </w:rPr>
        <w:t xml:space="preserve">birth defects </w:t>
      </w:r>
      <w:r>
        <w:rPr>
          <w:rFonts w:cstheme="minorHAnsi"/>
          <w:noProof/>
        </w:rPr>
        <w:t>[13-20]</w:t>
      </w:r>
      <w:r w:rsidRPr="006B0226">
        <w:rPr>
          <w:rFonts w:cstheme="minorHAnsi"/>
        </w:rPr>
        <w:t xml:space="preserve">. </w:t>
      </w:r>
      <w:r w:rsidRPr="006B0226">
        <w:rPr>
          <w:rFonts w:cstheme="minorHAnsi"/>
          <w:shd w:val="clear" w:color="auto" w:fill="FFFFFF"/>
        </w:rPr>
        <w:t>However, these sources lack data on over the counter (OTC) medicines</w:t>
      </w:r>
      <w:r>
        <w:rPr>
          <w:rFonts w:cstheme="minorHAnsi"/>
          <w:shd w:val="clear" w:color="auto" w:fill="FFFFFF"/>
        </w:rPr>
        <w:t xml:space="preserve"> and</w:t>
      </w:r>
      <w:r w:rsidRPr="006B0226">
        <w:rPr>
          <w:rFonts w:cstheme="minorHAnsi"/>
          <w:shd w:val="clear" w:color="auto" w:fill="FFFFFF"/>
        </w:rPr>
        <w:t xml:space="preserve"> lifestyle factors and prescription fills </w:t>
      </w:r>
      <w:r>
        <w:rPr>
          <w:rFonts w:cstheme="minorHAnsi"/>
          <w:shd w:val="clear" w:color="auto" w:fill="FFFFFF"/>
        </w:rPr>
        <w:t xml:space="preserve">are used </w:t>
      </w:r>
      <w:r w:rsidRPr="006B0226">
        <w:rPr>
          <w:rFonts w:cstheme="minorHAnsi"/>
          <w:shd w:val="clear" w:color="auto" w:fill="FFFFFF"/>
        </w:rPr>
        <w:t>as a surrogate to medication intake.</w:t>
      </w:r>
      <w:r w:rsidRPr="006B0226">
        <w:rPr>
          <w:rFonts w:cstheme="minorHAnsi"/>
        </w:rPr>
        <w:t xml:space="preserve"> </w:t>
      </w:r>
      <w:r>
        <w:rPr>
          <w:rFonts w:cstheme="minorHAnsi"/>
        </w:rPr>
        <w:t>Further, p</w:t>
      </w:r>
      <w:r w:rsidRPr="006B0226">
        <w:rPr>
          <w:rFonts w:cstheme="minorHAnsi"/>
        </w:rPr>
        <w:t xml:space="preserve">opulation-based </w:t>
      </w:r>
      <w:r w:rsidRPr="006B0226">
        <w:rPr>
          <w:rFonts w:cstheme="minorHAnsi"/>
          <w:shd w:val="clear" w:color="auto" w:fill="FFFFFF"/>
        </w:rPr>
        <w:t>surveillance registers</w:t>
      </w:r>
      <w:r w:rsidRPr="006B0226" w:rsidDel="006B0226">
        <w:rPr>
          <w:rFonts w:cstheme="minorHAnsi"/>
        </w:rPr>
        <w:t xml:space="preserve"> </w:t>
      </w:r>
      <w:r w:rsidRPr="006B0226">
        <w:rPr>
          <w:rFonts w:cstheme="minorHAnsi"/>
        </w:rPr>
        <w:t>with linkage capabilities between mother and baby are not available in the US</w:t>
      </w:r>
      <w:r>
        <w:rPr>
          <w:rFonts w:cstheme="minorHAnsi"/>
        </w:rPr>
        <w:t xml:space="preserve">. Therefore </w:t>
      </w:r>
      <w:r w:rsidRPr="006B0226">
        <w:rPr>
          <w:rFonts w:cstheme="minorHAnsi"/>
        </w:rPr>
        <w:t xml:space="preserve">industry-sponsored voluntary registries focused on single drugs or group </w:t>
      </w:r>
      <w:r>
        <w:rPr>
          <w:rFonts w:cstheme="minorHAnsi"/>
        </w:rPr>
        <w:t>o</w:t>
      </w:r>
      <w:r w:rsidRPr="006B0226">
        <w:rPr>
          <w:rFonts w:cstheme="minorHAnsi"/>
        </w:rPr>
        <w:t xml:space="preserve">f drugs associated with a disease (e.g. HIV, epilepsy) </w:t>
      </w:r>
      <w:r>
        <w:rPr>
          <w:rFonts w:cstheme="minorHAnsi"/>
        </w:rPr>
        <w:t xml:space="preserve">remain the primary source of pregnancy safety surveillance </w:t>
      </w:r>
      <w:r>
        <w:rPr>
          <w:rFonts w:cstheme="minorHAnsi"/>
          <w:noProof/>
        </w:rPr>
        <w:t>[21, 22]</w:t>
      </w:r>
      <w:r w:rsidRPr="006B0226">
        <w:rPr>
          <w:rFonts w:cstheme="minorHAnsi"/>
        </w:rPr>
        <w:t>.</w:t>
      </w:r>
      <w:r w:rsidRPr="006B0226">
        <w:rPr>
          <w:rFonts w:cstheme="minorHAnsi"/>
          <w:shd w:val="clear" w:color="auto" w:fill="FFFFFF"/>
        </w:rPr>
        <w:t xml:space="preserve"> </w:t>
      </w:r>
    </w:p>
    <w:p w14:paraId="585AE4AC" w14:textId="77777777" w:rsidR="00463FA6" w:rsidRPr="00FB4F7D" w:rsidRDefault="00463FA6">
      <w:pPr>
        <w:rPr>
          <w:rFonts w:cstheme="minorHAnsi"/>
          <w:color w:val="000000"/>
          <w:shd w:val="clear" w:color="auto" w:fill="FFFFFF"/>
        </w:rPr>
      </w:pPr>
      <w:r w:rsidRPr="00FB4F7D">
        <w:rPr>
          <w:rFonts w:cstheme="minorHAnsi"/>
          <w:shd w:val="clear" w:color="auto" w:fill="FFFFFF"/>
        </w:rPr>
        <w:t xml:space="preserve">Social media are another potential, emerging source of data for use in pregnancy surveillance. Social media data include information on </w:t>
      </w:r>
      <w:r>
        <w:rPr>
          <w:rFonts w:cstheme="minorHAnsi"/>
          <w:shd w:val="clear" w:color="auto" w:fill="FFFFFF"/>
        </w:rPr>
        <w:t>lifestyle</w:t>
      </w:r>
      <w:r w:rsidRPr="00FB4F7D">
        <w:rPr>
          <w:rFonts w:cstheme="minorHAnsi"/>
          <w:shd w:val="clear" w:color="auto" w:fill="FFFFFF"/>
        </w:rPr>
        <w:t xml:space="preserve"> factors collected in women prior to pregnancy and early in the first trimester, when the risk of congenital abnormalities is highest </w:t>
      </w:r>
      <w:r>
        <w:rPr>
          <w:rFonts w:cstheme="minorHAnsi"/>
          <w:noProof/>
          <w:shd w:val="clear" w:color="auto" w:fill="FFFFFF"/>
        </w:rPr>
        <w:t>[23]</w:t>
      </w:r>
      <w:r w:rsidRPr="00FB4F7D">
        <w:rPr>
          <w:rFonts w:cstheme="minorHAnsi"/>
          <w:shd w:val="clear" w:color="auto" w:fill="FFFFFF"/>
        </w:rPr>
        <w:t xml:space="preserve">. Other advantages could include prospective data collection in real time and throughout pregnancy and capture of information on OTC medicines and lifestyle factors, such as smoking and alcohol usage that may be associated with deleterious pregnancy outcomes. In unverified claims, it is postulated that the power of social media to link rare, strikingly unanticipated fetal abnormalities as seen during the “thalidomide storm” to drug usage </w:t>
      </w:r>
      <w:r w:rsidRPr="00FB4F7D">
        <w:rPr>
          <w:rFonts w:cstheme="minorHAnsi"/>
          <w:color w:val="000000"/>
          <w:shd w:val="clear" w:color="auto" w:fill="FFFFFF"/>
        </w:rPr>
        <w:t>would have taken only 5 to 7 days</w:t>
      </w:r>
      <w:r>
        <w:rPr>
          <w:rFonts w:cstheme="minorHAnsi"/>
          <w:color w:val="000000"/>
          <w:shd w:val="clear" w:color="auto" w:fill="FFFFFF"/>
        </w:rPr>
        <w:t xml:space="preserve"> </w:t>
      </w:r>
      <w:r>
        <w:rPr>
          <w:rFonts w:cstheme="minorHAnsi"/>
          <w:noProof/>
          <w:color w:val="000000"/>
          <w:shd w:val="clear" w:color="auto" w:fill="FFFFFF"/>
        </w:rPr>
        <w:t>[24]</w:t>
      </w:r>
      <w:r>
        <w:rPr>
          <w:rFonts w:cstheme="minorHAnsi"/>
          <w:color w:val="000000"/>
          <w:shd w:val="clear" w:color="auto" w:fill="FFFFFF"/>
        </w:rPr>
        <w:t>.</w:t>
      </w:r>
      <w:r w:rsidRPr="00FB4F7D">
        <w:rPr>
          <w:rFonts w:cstheme="minorHAnsi"/>
          <w:color w:val="000000"/>
          <w:shd w:val="clear" w:color="auto" w:fill="FFFFFF"/>
        </w:rPr>
        <w:t> </w:t>
      </w:r>
    </w:p>
    <w:p w14:paraId="32038BB4" w14:textId="01A9244A" w:rsidR="00463FA6" w:rsidRPr="00FB4F7D" w:rsidRDefault="00463FA6" w:rsidP="00FE4151">
      <w:pPr>
        <w:rPr>
          <w:rFonts w:cstheme="minorHAnsi"/>
          <w:shd w:val="clear" w:color="auto" w:fill="FFFFFF"/>
        </w:rPr>
      </w:pPr>
      <w:r>
        <w:rPr>
          <w:rFonts w:cstheme="minorHAnsi"/>
          <w:color w:val="000000"/>
          <w:shd w:val="clear" w:color="auto" w:fill="FFFFFF"/>
        </w:rPr>
        <w:t>We selected Twitter for this pilot study as Twitter is a very popular social media source, is publically available and o</w:t>
      </w:r>
      <w:r w:rsidRPr="00FB4F7D">
        <w:rPr>
          <w:rFonts w:cstheme="minorHAnsi"/>
          <w:color w:val="000000"/>
          <w:shd w:val="clear" w:color="auto" w:fill="FFFFFF"/>
        </w:rPr>
        <w:t xml:space="preserve">ur prior work </w:t>
      </w:r>
      <w:r>
        <w:rPr>
          <w:rFonts w:cstheme="minorHAnsi"/>
          <w:color w:val="000000"/>
          <w:shd w:val="clear" w:color="auto" w:fill="FFFFFF"/>
        </w:rPr>
        <w:t xml:space="preserve">has </w:t>
      </w:r>
      <w:r w:rsidRPr="00FB4F7D">
        <w:rPr>
          <w:rFonts w:cstheme="minorHAnsi"/>
          <w:color w:val="000000"/>
          <w:shd w:val="clear" w:color="auto" w:fill="FFFFFF"/>
        </w:rPr>
        <w:t xml:space="preserve">assessed the feasibility of identifying pregnant women who actively use Twitter </w:t>
      </w:r>
      <w:r>
        <w:rPr>
          <w:rFonts w:cstheme="minorHAnsi"/>
          <w:noProof/>
          <w:color w:val="000000"/>
          <w:shd w:val="clear" w:color="auto" w:fill="FFFFFF"/>
        </w:rPr>
        <w:t>[25]</w:t>
      </w:r>
      <w:r w:rsidRPr="00FB4F7D">
        <w:rPr>
          <w:rFonts w:cstheme="minorHAnsi"/>
          <w:color w:val="000000"/>
          <w:shd w:val="clear" w:color="auto" w:fill="FFFFFF"/>
        </w:rPr>
        <w:t xml:space="preserve">. For this study, we proposed that publicly available tweets throughout the full timeline of a pregnancy could be annotated, and potential useful information on drug utilization and </w:t>
      </w:r>
      <w:r>
        <w:rPr>
          <w:rFonts w:cstheme="minorHAnsi"/>
          <w:color w:val="000000"/>
          <w:shd w:val="clear" w:color="auto" w:fill="FFFFFF"/>
        </w:rPr>
        <w:t>birth defect</w:t>
      </w:r>
      <w:r w:rsidRPr="00FB4F7D">
        <w:rPr>
          <w:rFonts w:cstheme="minorHAnsi"/>
          <w:color w:val="000000"/>
          <w:shd w:val="clear" w:color="auto" w:fill="FFFFFF"/>
        </w:rPr>
        <w:t>s obtained.</w:t>
      </w:r>
      <w:r w:rsidRPr="00FB4F7D">
        <w:rPr>
          <w:rFonts w:cstheme="minorHAnsi"/>
          <w:shd w:val="clear" w:color="auto" w:fill="FFFFFF"/>
        </w:rPr>
        <w:t xml:space="preserve"> We hypothesize</w:t>
      </w:r>
      <w:r>
        <w:rPr>
          <w:rFonts w:cstheme="minorHAnsi"/>
          <w:shd w:val="clear" w:color="auto" w:fill="FFFFFF"/>
        </w:rPr>
        <w:t>d</w:t>
      </w:r>
      <w:r w:rsidRPr="00FB4F7D">
        <w:rPr>
          <w:rFonts w:cstheme="minorHAnsi"/>
          <w:shd w:val="clear" w:color="auto" w:fill="FFFFFF"/>
        </w:rPr>
        <w:t xml:space="preserve"> that much of the data routinely collected in registries, such </w:t>
      </w:r>
      <w:r w:rsidRPr="00FB4F7D">
        <w:rPr>
          <w:rFonts w:cstheme="minorHAnsi"/>
          <w:shd w:val="clear" w:color="auto" w:fill="FFFFFF"/>
        </w:rPr>
        <w:lastRenderedPageBreak/>
        <w:t xml:space="preserve">as basic demographics, medicine intake, </w:t>
      </w:r>
      <w:r>
        <w:rPr>
          <w:rFonts w:cstheme="minorHAnsi"/>
          <w:shd w:val="clear" w:color="auto" w:fill="FFFFFF"/>
        </w:rPr>
        <w:t>birth defect</w:t>
      </w:r>
      <w:r w:rsidRPr="00FB4F7D">
        <w:rPr>
          <w:rFonts w:cstheme="minorHAnsi"/>
          <w:shd w:val="clear" w:color="auto" w:fill="FFFFFF"/>
        </w:rPr>
        <w:t xml:space="preserve">s, could be obtained </w:t>
      </w:r>
      <w:r>
        <w:rPr>
          <w:rFonts w:cstheme="minorHAnsi"/>
          <w:shd w:val="clear" w:color="auto" w:fill="FFFFFF"/>
        </w:rPr>
        <w:t xml:space="preserve">from the </w:t>
      </w:r>
      <w:r w:rsidRPr="00FB4F7D">
        <w:rPr>
          <w:rFonts w:cstheme="minorHAnsi"/>
          <w:shd w:val="clear" w:color="auto" w:fill="FFFFFF"/>
        </w:rPr>
        <w:t>social media posts throughout the full-term of a pregnancy</w:t>
      </w:r>
      <w:r>
        <w:rPr>
          <w:rFonts w:cstheme="minorHAnsi"/>
          <w:shd w:val="clear" w:color="auto" w:fill="FFFFFF"/>
        </w:rPr>
        <w:t>, and that this annotation could be done automatically in the future</w:t>
      </w:r>
      <w:r w:rsidRPr="00FB4F7D">
        <w:rPr>
          <w:rFonts w:cstheme="minorHAnsi"/>
          <w:shd w:val="clear" w:color="auto" w:fill="FFFFFF"/>
        </w:rPr>
        <w:t xml:space="preserve">. With data from these timelines, we assessed the feasibility of constructing a nested case-control study within a cohort of pregnant women to quantify the association between pregnancy-related exposure and birth defects. </w:t>
      </w:r>
    </w:p>
    <w:p w14:paraId="4D133D79" w14:textId="77777777" w:rsidR="00463FA6" w:rsidRPr="00631B09" w:rsidRDefault="00463FA6" w:rsidP="00792030">
      <w:pPr>
        <w:pStyle w:val="Heading2"/>
        <w:numPr>
          <w:ilvl w:val="0"/>
          <w:numId w:val="14"/>
        </w:numPr>
        <w:rPr>
          <w:rFonts w:asciiTheme="minorHAnsi" w:hAnsiTheme="minorHAnsi" w:cstheme="minorHAnsi"/>
          <w:sz w:val="22"/>
          <w:szCs w:val="22"/>
          <w:shd w:val="clear" w:color="auto" w:fill="FFFFFF"/>
        </w:rPr>
      </w:pPr>
      <w:r w:rsidRPr="00631B09">
        <w:rPr>
          <w:rFonts w:asciiTheme="minorHAnsi" w:hAnsiTheme="minorHAnsi" w:cstheme="minorHAnsi"/>
          <w:sz w:val="22"/>
          <w:szCs w:val="22"/>
          <w:shd w:val="clear" w:color="auto" w:fill="FFFFFF"/>
        </w:rPr>
        <w:t>Methods</w:t>
      </w:r>
    </w:p>
    <w:p w14:paraId="762A36ED" w14:textId="2EEB012F" w:rsidR="00463FA6" w:rsidRPr="00FB4F7D" w:rsidRDefault="00463FA6">
      <w:pPr>
        <w:rPr>
          <w:rFonts w:cstheme="minorHAnsi"/>
        </w:rPr>
      </w:pPr>
      <w:r w:rsidRPr="006B0226">
        <w:rPr>
          <w:rFonts w:cstheme="minorHAnsi"/>
        </w:rPr>
        <w:t xml:space="preserve">The methodology followed for this study needed to address the problems of </w:t>
      </w:r>
      <w:r>
        <w:rPr>
          <w:rFonts w:cstheme="minorHAnsi"/>
        </w:rPr>
        <w:t>identifying</w:t>
      </w:r>
      <w:r w:rsidRPr="006B0226">
        <w:rPr>
          <w:rFonts w:cstheme="minorHAnsi"/>
        </w:rPr>
        <w:t xml:space="preserve"> women </w:t>
      </w:r>
      <w:r w:rsidRPr="00FB4F7D">
        <w:rPr>
          <w:rFonts w:cstheme="minorHAnsi"/>
        </w:rPr>
        <w:t xml:space="preserve">having a baby with a </w:t>
      </w:r>
      <w:r>
        <w:rPr>
          <w:rFonts w:cstheme="minorHAnsi"/>
        </w:rPr>
        <w:t>birth defect</w:t>
      </w:r>
      <w:r w:rsidRPr="00FB4F7D">
        <w:rPr>
          <w:rFonts w:cstheme="minorHAnsi"/>
        </w:rPr>
        <w:t xml:space="preserve"> using primarily automated methods. Given the rare occurrence of birth defects, case-control studies nested within large populations are the preferred approach for evalu</w:t>
      </w:r>
      <w:r>
        <w:rPr>
          <w:rFonts w:cstheme="minorHAnsi"/>
        </w:rPr>
        <w:t>a</w:t>
      </w:r>
      <w:r w:rsidRPr="00FB4F7D">
        <w:rPr>
          <w:rFonts w:cstheme="minorHAnsi"/>
        </w:rPr>
        <w:t xml:space="preserve">tion of specific pregnancy outcomes </w:t>
      </w:r>
      <w:r>
        <w:rPr>
          <w:rFonts w:cstheme="minorHAnsi"/>
          <w:noProof/>
        </w:rPr>
        <w:t>[6]</w:t>
      </w:r>
      <w:r w:rsidRPr="00FB4F7D">
        <w:rPr>
          <w:rFonts w:cstheme="minorHAnsi"/>
        </w:rPr>
        <w:t xml:space="preserve">. </w:t>
      </w:r>
      <w:r>
        <w:rPr>
          <w:rFonts w:cstheme="minorHAnsi"/>
        </w:rPr>
        <w:t>Thus, i</w:t>
      </w:r>
      <w:r w:rsidRPr="00FB4F7D">
        <w:rPr>
          <w:rFonts w:cstheme="minorHAnsi"/>
        </w:rPr>
        <w:t xml:space="preserve">n order to identify the case and control groups from social media, we first needed to identify pregnant women amongst the millions of Twitter users. Our initial work was focused on </w:t>
      </w:r>
      <w:r>
        <w:rPr>
          <w:rFonts w:cstheme="minorHAnsi"/>
        </w:rPr>
        <w:t xml:space="preserve">this, </w:t>
      </w:r>
      <w:r w:rsidRPr="00FB4F7D">
        <w:rPr>
          <w:rFonts w:cstheme="minorHAnsi"/>
        </w:rPr>
        <w:t xml:space="preserve">detecting users to add to our pregnancy database via a single tweet announcement </w:t>
      </w:r>
      <w:r>
        <w:rPr>
          <w:rFonts w:cstheme="minorHAnsi"/>
          <w:noProof/>
        </w:rPr>
        <w:t>[25]</w:t>
      </w:r>
      <w:r w:rsidRPr="00FB4F7D">
        <w:rPr>
          <w:rFonts w:cstheme="minorHAnsi"/>
        </w:rPr>
        <w:t xml:space="preserve">. </w:t>
      </w:r>
      <w:r>
        <w:rPr>
          <w:rFonts w:cstheme="minorHAnsi"/>
        </w:rPr>
        <w:t>Our automatic classification system achieves an F</w:t>
      </w:r>
      <w:r>
        <w:rPr>
          <w:rFonts w:cstheme="minorHAnsi"/>
          <w:vertAlign w:val="subscript"/>
        </w:rPr>
        <w:t>1</w:t>
      </w:r>
      <w:r>
        <w:rPr>
          <w:rFonts w:cstheme="minorHAnsi"/>
        </w:rPr>
        <w:t>-score of 0.88 for identifying pregnancies. F</w:t>
      </w:r>
      <w:r>
        <w:rPr>
          <w:rFonts w:cstheme="minorHAnsi"/>
          <w:vertAlign w:val="subscript"/>
        </w:rPr>
        <w:t>1</w:t>
      </w:r>
      <w:r>
        <w:rPr>
          <w:rFonts w:cstheme="minorHAnsi"/>
        </w:rPr>
        <w:t xml:space="preserve">-score is computed as </w:t>
      </w:r>
      <w:r w:rsidRPr="0002667E">
        <w:rPr>
          <w:rFonts w:cstheme="minorHAnsi"/>
          <w:i/>
        </w:rPr>
        <w:t>2 x (Precision x Recall) / (Precision + Recall)</w:t>
      </w:r>
      <w:r>
        <w:rPr>
          <w:rFonts w:cstheme="minorHAnsi"/>
        </w:rPr>
        <w:t xml:space="preserve">, where precision is </w:t>
      </w:r>
      <w:r w:rsidRPr="0002667E">
        <w:rPr>
          <w:rFonts w:cstheme="minorHAnsi"/>
          <w:i/>
        </w:rPr>
        <w:t>True Positives / (True Positives + False Positives)</w:t>
      </w:r>
      <w:r>
        <w:rPr>
          <w:rFonts w:cstheme="minorHAnsi"/>
        </w:rPr>
        <w:t xml:space="preserve">, and recall is </w:t>
      </w:r>
      <w:r w:rsidRPr="0002667E">
        <w:rPr>
          <w:rFonts w:cstheme="minorHAnsi"/>
          <w:i/>
        </w:rPr>
        <w:t>True Positives / (True Positives + False Negatives)</w:t>
      </w:r>
      <w:r>
        <w:rPr>
          <w:rFonts w:cstheme="minorHAnsi"/>
        </w:rPr>
        <w:t xml:space="preserve">. </w:t>
      </w:r>
      <w:r w:rsidRPr="00FB4F7D">
        <w:rPr>
          <w:rFonts w:cstheme="minorHAnsi"/>
        </w:rPr>
        <w:t>Once</w:t>
      </w:r>
      <w:r>
        <w:rPr>
          <w:rFonts w:cstheme="minorHAnsi"/>
        </w:rPr>
        <w:t xml:space="preserve"> pregnant users are</w:t>
      </w:r>
      <w:r w:rsidRPr="00FB4F7D">
        <w:rPr>
          <w:rFonts w:cstheme="minorHAnsi"/>
        </w:rPr>
        <w:t xml:space="preserve"> identified, all of their publicly available tweets (their “timeline”) were collected. A total of 112,429 user</w:t>
      </w:r>
      <w:r>
        <w:rPr>
          <w:rFonts w:cstheme="minorHAnsi"/>
        </w:rPr>
        <w:t>s were identified and their</w:t>
      </w:r>
      <w:r w:rsidRPr="00FB4F7D">
        <w:rPr>
          <w:rFonts w:cstheme="minorHAnsi"/>
        </w:rPr>
        <w:t xml:space="preserve"> timelines collected. A method </w:t>
      </w:r>
      <w:r>
        <w:rPr>
          <w:rFonts w:cstheme="minorHAnsi"/>
        </w:rPr>
        <w:t xml:space="preserve">for estimating the number of timelines that encompass the user’s pregnancy </w:t>
      </w:r>
      <w:r w:rsidRPr="00FB4F7D">
        <w:rPr>
          <w:rFonts w:cstheme="minorHAnsi"/>
        </w:rPr>
        <w:t xml:space="preserve">was developed </w:t>
      </w:r>
      <w:r>
        <w:rPr>
          <w:rFonts w:cstheme="minorHAnsi"/>
          <w:noProof/>
        </w:rPr>
        <w:t>[26]</w:t>
      </w:r>
      <w:r w:rsidRPr="00FB4F7D">
        <w:rPr>
          <w:rFonts w:cstheme="minorHAnsi"/>
        </w:rPr>
        <w:t xml:space="preserve">, </w:t>
      </w:r>
      <w:r>
        <w:rPr>
          <w:rFonts w:cstheme="minorHAnsi"/>
        </w:rPr>
        <w:t>resulting in a</w:t>
      </w:r>
      <w:r w:rsidRPr="00FB4F7D">
        <w:rPr>
          <w:rFonts w:cstheme="minorHAnsi"/>
        </w:rPr>
        <w:t xml:space="preserve"> total of 44,825 timelines in our databas</w:t>
      </w:r>
      <w:r>
        <w:rPr>
          <w:rFonts w:cstheme="minorHAnsi"/>
        </w:rPr>
        <w:t>e</w:t>
      </w:r>
      <w:r w:rsidRPr="00FB4F7D">
        <w:rPr>
          <w:rFonts w:cstheme="minorHAnsi"/>
        </w:rPr>
        <w:t>.</w:t>
      </w:r>
    </w:p>
    <w:p w14:paraId="4C8A187C" w14:textId="77777777" w:rsidR="00463FA6" w:rsidRPr="00631B09" w:rsidRDefault="00463FA6" w:rsidP="001B4E34">
      <w:pPr>
        <w:pStyle w:val="Heading3"/>
        <w:rPr>
          <w:rFonts w:asciiTheme="minorHAnsi" w:hAnsiTheme="minorHAnsi" w:cstheme="minorHAnsi"/>
          <w:sz w:val="22"/>
          <w:szCs w:val="22"/>
        </w:rPr>
      </w:pPr>
      <w:r>
        <w:rPr>
          <w:rFonts w:asciiTheme="minorHAnsi" w:hAnsiTheme="minorHAnsi" w:cstheme="minorHAnsi"/>
          <w:sz w:val="22"/>
          <w:szCs w:val="22"/>
        </w:rPr>
        <w:t xml:space="preserve">2.1 </w:t>
      </w:r>
      <w:r w:rsidRPr="00631B09">
        <w:rPr>
          <w:rFonts w:asciiTheme="minorHAnsi" w:hAnsiTheme="minorHAnsi" w:cstheme="minorHAnsi"/>
          <w:sz w:val="22"/>
          <w:szCs w:val="22"/>
        </w:rPr>
        <w:t>Selection of the cohort</w:t>
      </w:r>
      <w:r>
        <w:rPr>
          <w:rFonts w:asciiTheme="minorHAnsi" w:hAnsiTheme="minorHAnsi" w:cstheme="minorHAnsi"/>
          <w:sz w:val="22"/>
          <w:szCs w:val="22"/>
        </w:rPr>
        <w:t>s</w:t>
      </w:r>
    </w:p>
    <w:p w14:paraId="68DA2696" w14:textId="1977D8AF" w:rsidR="00463FA6" w:rsidRDefault="00463FA6" w:rsidP="00E85225">
      <w:pPr>
        <w:rPr>
          <w:rFonts w:cstheme="minorHAnsi"/>
        </w:rPr>
      </w:pPr>
      <w:r w:rsidRPr="006B0226">
        <w:rPr>
          <w:rFonts w:cstheme="minorHAnsi"/>
        </w:rPr>
        <w:t xml:space="preserve">A birth defects cohort (cases) </w:t>
      </w:r>
      <w:r w:rsidRPr="00FB4F7D">
        <w:rPr>
          <w:rFonts w:cstheme="minorHAnsi"/>
        </w:rPr>
        <w:t>was created by retriev</w:t>
      </w:r>
      <w:r>
        <w:rPr>
          <w:rFonts w:cstheme="minorHAnsi"/>
        </w:rPr>
        <w:t xml:space="preserve">ing and annotating </w:t>
      </w:r>
      <w:r w:rsidRPr="00FB4F7D">
        <w:rPr>
          <w:rFonts w:cstheme="minorHAnsi"/>
        </w:rPr>
        <w:t>tweets</w:t>
      </w:r>
      <w:r>
        <w:rPr>
          <w:rFonts w:cstheme="minorHAnsi"/>
        </w:rPr>
        <w:t xml:space="preserve"> from the pregnancy database</w:t>
      </w:r>
      <w:r w:rsidRPr="00FB4F7D">
        <w:rPr>
          <w:rFonts w:cstheme="minorHAnsi"/>
        </w:rPr>
        <w:t xml:space="preserve"> that </w:t>
      </w:r>
      <w:r>
        <w:rPr>
          <w:rFonts w:cstheme="minorHAnsi"/>
        </w:rPr>
        <w:t>mention</w:t>
      </w:r>
      <w:r w:rsidRPr="00FB4F7D">
        <w:rPr>
          <w:rFonts w:cstheme="minorHAnsi"/>
        </w:rPr>
        <w:t xml:space="preserve"> </w:t>
      </w:r>
      <w:r>
        <w:rPr>
          <w:rFonts w:cstheme="minorHAnsi"/>
        </w:rPr>
        <w:t>birth defects</w:t>
      </w:r>
      <w:r w:rsidRPr="00FB4F7D">
        <w:rPr>
          <w:rFonts w:cstheme="minorHAnsi"/>
        </w:rPr>
        <w:t>. This method</w:t>
      </w:r>
      <w:r>
        <w:rPr>
          <w:rFonts w:cstheme="minorHAnsi"/>
        </w:rPr>
        <w:t>, which we will summarize in the remainder of this sub-section,</w:t>
      </w:r>
      <w:r w:rsidRPr="00FB4F7D">
        <w:rPr>
          <w:rFonts w:cstheme="minorHAnsi"/>
        </w:rPr>
        <w:t xml:space="preserve"> is described in further detail in another publication </w:t>
      </w:r>
      <w:r>
        <w:rPr>
          <w:rFonts w:cstheme="minorHAnsi"/>
          <w:noProof/>
        </w:rPr>
        <w:t>[26]</w:t>
      </w:r>
      <w:r w:rsidRPr="00FB4F7D">
        <w:rPr>
          <w:rFonts w:cstheme="minorHAnsi"/>
        </w:rPr>
        <w:t xml:space="preserve">. </w:t>
      </w:r>
      <w:r>
        <w:rPr>
          <w:rFonts w:cstheme="minorHAnsi"/>
        </w:rPr>
        <w:t>As Figure 1 illustrates, w</w:t>
      </w:r>
      <w:r w:rsidRPr="00FB4F7D">
        <w:rPr>
          <w:rFonts w:cstheme="minorHAnsi"/>
        </w:rPr>
        <w:t>e manually compi</w:t>
      </w:r>
      <w:r>
        <w:rPr>
          <w:rFonts w:cstheme="minorHAnsi"/>
        </w:rPr>
        <w:t>l</w:t>
      </w:r>
      <w:r w:rsidRPr="00FB4F7D">
        <w:rPr>
          <w:rFonts w:cstheme="minorHAnsi"/>
        </w:rPr>
        <w:t xml:space="preserve">ed a lexicon </w:t>
      </w:r>
      <w:r w:rsidRPr="006B0226">
        <w:rPr>
          <w:rFonts w:cstheme="minorHAnsi"/>
        </w:rPr>
        <w:t xml:space="preserve">of approximately 650 </w:t>
      </w:r>
      <w:r>
        <w:rPr>
          <w:rFonts w:cstheme="minorHAnsi"/>
        </w:rPr>
        <w:t>terms</w:t>
      </w:r>
      <w:r w:rsidRPr="006B0226">
        <w:rPr>
          <w:rFonts w:cstheme="minorHAnsi"/>
        </w:rPr>
        <w:t xml:space="preserve"> referring to birth defects</w:t>
      </w:r>
      <w:r>
        <w:rPr>
          <w:rFonts w:cstheme="minorHAnsi"/>
        </w:rPr>
        <w:t xml:space="preserve"> (Penn Social Media Lexicon of Birth Defects), based on </w:t>
      </w:r>
      <w:r w:rsidRPr="00FB4F7D">
        <w:rPr>
          <w:rFonts w:cstheme="minorHAnsi"/>
        </w:rPr>
        <w:t>published reports</w:t>
      </w:r>
      <w:r>
        <w:rPr>
          <w:rFonts w:cstheme="minorHAnsi"/>
        </w:rPr>
        <w:t xml:space="preserve">, </w:t>
      </w:r>
      <w:r w:rsidRPr="00FB4F7D">
        <w:rPr>
          <w:rFonts w:cstheme="minorHAnsi"/>
        </w:rPr>
        <w:t>guidelines</w:t>
      </w:r>
      <w:r>
        <w:rPr>
          <w:rFonts w:cstheme="minorHAnsi"/>
        </w:rPr>
        <w:t xml:space="preserve">, and the Unified Medical Language System (UMLS) </w:t>
      </w:r>
      <w:r>
        <w:rPr>
          <w:rFonts w:cstheme="minorHAnsi"/>
          <w:noProof/>
        </w:rPr>
        <w:t>[27]</w:t>
      </w:r>
      <w:r>
        <w:rPr>
          <w:rFonts w:cstheme="minorHAnsi"/>
        </w:rPr>
        <w:t xml:space="preserve"> </w:t>
      </w:r>
      <w:r>
        <w:rPr>
          <w:rFonts w:cstheme="minorHAnsi"/>
          <w:noProof/>
        </w:rPr>
        <w:t>[28]</w:t>
      </w:r>
      <w:r>
        <w:rPr>
          <w:rFonts w:cstheme="minorHAnsi"/>
        </w:rPr>
        <w:t xml:space="preserve"> </w:t>
      </w:r>
      <w:r>
        <w:rPr>
          <w:rFonts w:cstheme="minorHAnsi"/>
          <w:noProof/>
        </w:rPr>
        <w:t>[29, 30]</w:t>
      </w:r>
      <w:r>
        <w:rPr>
          <w:rFonts w:cstheme="minorHAnsi"/>
        </w:rPr>
        <w:t xml:space="preserve"> </w:t>
      </w:r>
      <w:r>
        <w:rPr>
          <w:rFonts w:cstheme="minorHAnsi"/>
          <w:noProof/>
        </w:rPr>
        <w:t>[31]</w:t>
      </w:r>
      <w:r>
        <w:rPr>
          <w:rFonts w:cstheme="minorHAnsi"/>
        </w:rPr>
        <w:t>, and semi-automatically generated lexical variants of these terms (e.g., misspellings). To retrieve tweets containing (variants of) the terms, we implemented hand-crafted regular expressions in a series of database queries. We post-processed the retrieved tweets by removing ones containing user names and URLs matched by the regular expressions. With this retrieval method, a</w:t>
      </w:r>
      <w:r w:rsidRPr="00FB4F7D">
        <w:rPr>
          <w:rFonts w:cstheme="minorHAnsi"/>
        </w:rPr>
        <w:t xml:space="preserve"> total of 16,822 tweets (posted by 5,923 users) were collected</w:t>
      </w:r>
      <w:r>
        <w:rPr>
          <w:rFonts w:cstheme="minorHAnsi"/>
        </w:rPr>
        <w:t xml:space="preserve">, with a recall of 0.95. The tweets </w:t>
      </w:r>
      <w:r w:rsidRPr="00FB4F7D">
        <w:rPr>
          <w:rFonts w:cstheme="minorHAnsi"/>
        </w:rPr>
        <w:t>were annotated by two annotators. We developed annotation guidelines to distinguish three classes of tweets</w:t>
      </w:r>
      <w:r>
        <w:rPr>
          <w:rFonts w:cstheme="minorHAnsi"/>
        </w:rPr>
        <w:t>, summarized as follows</w:t>
      </w:r>
      <w:r w:rsidRPr="00FB4F7D">
        <w:rPr>
          <w:rFonts w:cstheme="minorHAnsi"/>
        </w:rPr>
        <w:t>:</w:t>
      </w:r>
    </w:p>
    <w:p w14:paraId="140724A8" w14:textId="77777777" w:rsidR="00463FA6" w:rsidRDefault="00463FA6" w:rsidP="00792030">
      <w:pPr>
        <w:pStyle w:val="ListParagraph"/>
        <w:numPr>
          <w:ilvl w:val="0"/>
          <w:numId w:val="15"/>
        </w:numPr>
        <w:rPr>
          <w:rFonts w:cstheme="minorHAnsi"/>
        </w:rPr>
      </w:pPr>
      <w:r>
        <w:rPr>
          <w:rFonts w:cstheme="minorHAnsi"/>
          <w:i/>
        </w:rPr>
        <w:t xml:space="preserve">Defect </w:t>
      </w:r>
      <w:r>
        <w:rPr>
          <w:rFonts w:cstheme="minorHAnsi"/>
        </w:rPr>
        <w:t>(+): The tweet refers to a person who has a birth defect and identifies that person as the Twitter user’s child.</w:t>
      </w:r>
    </w:p>
    <w:p w14:paraId="7116048A" w14:textId="77777777" w:rsidR="00463FA6" w:rsidRDefault="00463FA6" w:rsidP="00792030">
      <w:pPr>
        <w:pStyle w:val="ListParagraph"/>
        <w:numPr>
          <w:ilvl w:val="0"/>
          <w:numId w:val="15"/>
        </w:numPr>
        <w:rPr>
          <w:rFonts w:cstheme="minorHAnsi"/>
        </w:rPr>
      </w:pPr>
      <w:r>
        <w:rPr>
          <w:rFonts w:cstheme="minorHAnsi"/>
          <w:i/>
        </w:rPr>
        <w:t>Possible Defect</w:t>
      </w:r>
      <w:r>
        <w:rPr>
          <w:rFonts w:cstheme="minorHAnsi"/>
        </w:rPr>
        <w:t xml:space="preserve"> (?): The tweet is ambiguous about whether a person referred to has a birth defect and/or is the Twitter user’s child.</w:t>
      </w:r>
    </w:p>
    <w:p w14:paraId="74B91538" w14:textId="77777777" w:rsidR="00463FA6" w:rsidRPr="00B1178A" w:rsidRDefault="00463FA6" w:rsidP="00792030">
      <w:pPr>
        <w:pStyle w:val="ListParagraph"/>
        <w:numPr>
          <w:ilvl w:val="0"/>
          <w:numId w:val="15"/>
        </w:numPr>
        <w:rPr>
          <w:rFonts w:cstheme="minorHAnsi"/>
        </w:rPr>
      </w:pPr>
      <w:r>
        <w:rPr>
          <w:rFonts w:cstheme="minorHAnsi"/>
          <w:i/>
        </w:rPr>
        <w:t>Non-defect</w:t>
      </w:r>
      <w:r>
        <w:rPr>
          <w:rFonts w:cstheme="minorHAnsi"/>
        </w:rPr>
        <w:t xml:space="preserve"> (-): The tweet does not indicate that a person referred to has or may have a birth defect and is or may be the Twitter user’s child.</w:t>
      </w:r>
    </w:p>
    <w:p w14:paraId="7B70058B" w14:textId="7378FC88" w:rsidR="00463FA6" w:rsidRDefault="00463FA6" w:rsidP="00E85225">
      <w:pPr>
        <w:rPr>
          <w:rFonts w:cstheme="minorHAnsi"/>
        </w:rPr>
      </w:pPr>
      <w:r w:rsidRPr="00FB4F7D">
        <w:rPr>
          <w:rFonts w:cstheme="minorHAnsi"/>
        </w:rPr>
        <w:t>The</w:t>
      </w:r>
      <w:r>
        <w:rPr>
          <w:rFonts w:cstheme="minorHAnsi"/>
        </w:rPr>
        <w:t xml:space="preserve"> annotators’</w:t>
      </w:r>
      <w:r w:rsidRPr="00FB4F7D">
        <w:rPr>
          <w:rFonts w:cstheme="minorHAnsi"/>
        </w:rPr>
        <w:t xml:space="preserve"> inter-annotator agreement (Cohen’s kappa) was high (</w:t>
      </w:r>
      <w:r w:rsidRPr="00FB4F7D">
        <w:rPr>
          <w:rFonts w:cstheme="minorHAnsi"/>
          <w:color w:val="000000"/>
          <w:shd w:val="clear" w:color="auto" w:fill="FFFFFF"/>
        </w:rPr>
        <w:t>κ = 0.79)</w:t>
      </w:r>
      <w:r w:rsidRPr="006B0226">
        <w:rPr>
          <w:rFonts w:cstheme="minorHAnsi"/>
        </w:rPr>
        <w:t>. In total, 765 (4.55%) tweets</w:t>
      </w:r>
      <w:r w:rsidRPr="00FB4F7D">
        <w:rPr>
          <w:rFonts w:cstheme="minorHAnsi"/>
        </w:rPr>
        <w:t xml:space="preserve"> were annotated as “defect,” 877 (5.21%) tweets were annotated as “possible defect,” and 15,180 (90.24%) tweets were annotated as “no</w:t>
      </w:r>
      <w:r>
        <w:rPr>
          <w:rFonts w:cstheme="minorHAnsi"/>
        </w:rPr>
        <w:t>n-</w:t>
      </w:r>
      <w:r w:rsidRPr="00FB4F7D">
        <w:rPr>
          <w:rFonts w:cstheme="minorHAnsi"/>
        </w:rPr>
        <w:t xml:space="preserve">defect.”  </w:t>
      </w:r>
      <w:r>
        <w:rPr>
          <w:rFonts w:cstheme="minorHAnsi"/>
        </w:rPr>
        <w:t xml:space="preserve">The annotations directed us the timelines of the users who posted them, for an inclusion/exclusion analysis to determine a final cohort. Users were excluded from the cohort if we could not determine if they were the parent of a child with a birth defect, or if there were no tweets available during the pregnancy with a birth defect outcome. First, we analyzed the timelines of the 359 users who posted a “possible defect” tweet (without also </w:t>
      </w:r>
      <w:r>
        <w:rPr>
          <w:rFonts w:cstheme="minorHAnsi"/>
        </w:rPr>
        <w:lastRenderedPageBreak/>
        <w:t>posting a “defect” tweet), and determined that 142 (39.55%) of them were indeed the parent of a child with a birth defect. Then, we analyzed the timelines of these 142 users and the 287 users who posted a “defect” tweet, and determined that 196 (45.69%) of the 429 timelines encompass tweets from the timeframe of the pregnancy with a birth defect outcome. Thus,</w:t>
      </w:r>
      <w:r w:rsidRPr="00FB4F7D">
        <w:rPr>
          <w:rFonts w:cstheme="minorHAnsi"/>
        </w:rPr>
        <w:t xml:space="preserve"> we identified 196 users for our </w:t>
      </w:r>
      <w:r>
        <w:rPr>
          <w:rFonts w:cstheme="minorHAnsi"/>
        </w:rPr>
        <w:t>birth defect</w:t>
      </w:r>
      <w:r w:rsidRPr="00FB4F7D">
        <w:rPr>
          <w:rFonts w:cstheme="minorHAnsi"/>
        </w:rPr>
        <w:t xml:space="preserve">s (case) cohort.  </w:t>
      </w:r>
    </w:p>
    <w:p w14:paraId="13919D9C" w14:textId="037CF2EF" w:rsidR="00463FA6" w:rsidRDefault="00463FA6" w:rsidP="00E85225">
      <w:pPr>
        <w:rPr>
          <w:rFonts w:cstheme="minorHAnsi"/>
        </w:rPr>
      </w:pPr>
    </w:p>
    <w:p w14:paraId="545823BE" w14:textId="77777777" w:rsidR="00463FA6" w:rsidRPr="00631B09" w:rsidRDefault="00463FA6" w:rsidP="00E85225">
      <w:r>
        <w:rPr>
          <w:rFonts w:cstheme="minorHAnsi"/>
          <w:noProof/>
          <w:lang w:eastAsia="en-GB"/>
        </w:rPr>
        <w:drawing>
          <wp:inline distT="0" distB="0" distL="0" distR="0" wp14:anchorId="1F0E66BB" wp14:editId="0687E755">
            <wp:extent cx="5731510" cy="3091815"/>
            <wp:effectExtent l="19050" t="19050" r="21590" b="133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thods_results_v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091815"/>
                    </a:xfrm>
                    <a:prstGeom prst="rect">
                      <a:avLst/>
                    </a:prstGeom>
                    <a:ln>
                      <a:solidFill>
                        <a:schemeClr val="tx1"/>
                      </a:solidFill>
                    </a:ln>
                  </pic:spPr>
                </pic:pic>
              </a:graphicData>
            </a:graphic>
          </wp:inline>
        </w:drawing>
      </w:r>
      <w:r w:rsidRPr="00FB4F7D">
        <w:rPr>
          <w:rFonts w:cstheme="minorHAnsi"/>
        </w:rPr>
        <w:t xml:space="preserve"> </w:t>
      </w:r>
    </w:p>
    <w:p w14:paraId="54600118" w14:textId="77777777" w:rsidR="00463FA6" w:rsidRDefault="00463FA6" w:rsidP="00EA24BD">
      <w:pPr>
        <w:rPr>
          <w:rFonts w:cstheme="minorHAnsi"/>
        </w:rPr>
      </w:pPr>
      <w:r w:rsidRPr="00792030">
        <w:rPr>
          <w:rFonts w:cstheme="minorHAnsi"/>
          <w:b/>
        </w:rPr>
        <w:t>Figure 1</w:t>
      </w:r>
      <w:r w:rsidRPr="00792030">
        <w:rPr>
          <w:rFonts w:cstheme="minorHAnsi"/>
        </w:rPr>
        <w:t>. The workflow of tweet collection, tweet annotation, and timeline analysis for selecting the birth defects (case) cohort.</w:t>
      </w:r>
    </w:p>
    <w:p w14:paraId="0216E418" w14:textId="77777777" w:rsidR="00463FA6" w:rsidRDefault="00463FA6" w:rsidP="00EA24BD">
      <w:pPr>
        <w:rPr>
          <w:rFonts w:cstheme="minorHAnsi"/>
        </w:rPr>
      </w:pPr>
    </w:p>
    <w:p w14:paraId="43390F30" w14:textId="76A1CEFC" w:rsidR="00463FA6" w:rsidRPr="00FB4F7D" w:rsidRDefault="00463FA6" w:rsidP="00EA24BD">
      <w:pPr>
        <w:rPr>
          <w:rFonts w:cstheme="minorHAnsi"/>
        </w:rPr>
      </w:pPr>
      <w:r>
        <w:rPr>
          <w:rFonts w:cstheme="minorHAnsi"/>
        </w:rPr>
        <w:t>For this study, t</w:t>
      </w:r>
      <w:r w:rsidRPr="006B0226">
        <w:rPr>
          <w:rFonts w:cstheme="minorHAnsi"/>
        </w:rPr>
        <w:t xml:space="preserve">he timelines of </w:t>
      </w:r>
      <w:r>
        <w:rPr>
          <w:rFonts w:cstheme="minorHAnsi"/>
        </w:rPr>
        <w:t xml:space="preserve">the </w:t>
      </w:r>
      <w:r w:rsidRPr="006B0226">
        <w:rPr>
          <w:rFonts w:cstheme="minorHAnsi"/>
        </w:rPr>
        <w:t xml:space="preserve">196 women reporting a </w:t>
      </w:r>
      <w:r>
        <w:rPr>
          <w:rFonts w:cstheme="minorHAnsi"/>
        </w:rPr>
        <w:t>birth defect</w:t>
      </w:r>
      <w:r w:rsidRPr="006B0226">
        <w:rPr>
          <w:rFonts w:cstheme="minorHAnsi"/>
        </w:rPr>
        <w:t xml:space="preserve"> (cases) were matched on timing of pregnancy to timelines of 196 women not reporting any </w:t>
      </w:r>
      <w:r>
        <w:rPr>
          <w:rFonts w:cstheme="minorHAnsi"/>
        </w:rPr>
        <w:t>birth defect</w:t>
      </w:r>
      <w:r w:rsidRPr="006B0226">
        <w:rPr>
          <w:rFonts w:cstheme="minorHAnsi"/>
        </w:rPr>
        <w:t>s (controls)</w:t>
      </w:r>
      <w:r>
        <w:rPr>
          <w:rFonts w:cstheme="minorHAnsi"/>
        </w:rPr>
        <w:t xml:space="preserve"> in the pregnancy database. </w:t>
      </w:r>
    </w:p>
    <w:p w14:paraId="7F086D31" w14:textId="77777777" w:rsidR="00463FA6" w:rsidRPr="00631B09" w:rsidRDefault="00463FA6" w:rsidP="00A50FCD">
      <w:pPr>
        <w:pStyle w:val="Heading3"/>
        <w:rPr>
          <w:rFonts w:asciiTheme="minorHAnsi" w:hAnsiTheme="minorHAnsi" w:cstheme="minorHAnsi"/>
          <w:sz w:val="22"/>
          <w:szCs w:val="22"/>
        </w:rPr>
      </w:pPr>
      <w:bookmarkStart w:id="1" w:name="x___DdeLink__1590_988607047"/>
      <w:bookmarkEnd w:id="1"/>
      <w:r>
        <w:rPr>
          <w:rFonts w:asciiTheme="minorHAnsi" w:hAnsiTheme="minorHAnsi" w:cstheme="minorHAnsi"/>
          <w:sz w:val="22"/>
          <w:szCs w:val="22"/>
        </w:rPr>
        <w:t xml:space="preserve">2.2 </w:t>
      </w:r>
      <w:r w:rsidRPr="00631B09">
        <w:rPr>
          <w:rFonts w:asciiTheme="minorHAnsi" w:hAnsiTheme="minorHAnsi" w:cstheme="minorHAnsi"/>
          <w:sz w:val="22"/>
          <w:szCs w:val="22"/>
        </w:rPr>
        <w:t>Data Preparation</w:t>
      </w:r>
    </w:p>
    <w:p w14:paraId="0151EFF5" w14:textId="13E5B17B" w:rsidR="00463FA6" w:rsidRPr="00631B09" w:rsidRDefault="00463FA6" w:rsidP="00E930C1">
      <w:pPr>
        <w:rPr>
          <w:rFonts w:cstheme="minorHAnsi"/>
        </w:rPr>
      </w:pPr>
      <w:r w:rsidRPr="006B0226">
        <w:rPr>
          <w:rFonts w:cstheme="minorHAnsi"/>
        </w:rPr>
        <w:t xml:space="preserve">All tweets mentioning </w:t>
      </w:r>
      <w:r w:rsidRPr="00FB4F7D">
        <w:rPr>
          <w:rFonts w:cstheme="minorHAnsi"/>
        </w:rPr>
        <w:t xml:space="preserve">birth defects were automatically identified using the lexical approach presented in </w:t>
      </w:r>
      <w:r>
        <w:rPr>
          <w:rFonts w:cstheme="minorHAnsi"/>
          <w:noProof/>
        </w:rPr>
        <w:t>[26]</w:t>
      </w:r>
      <w:r w:rsidRPr="00FB4F7D">
        <w:rPr>
          <w:rFonts w:cstheme="minorHAnsi"/>
        </w:rPr>
        <w:t xml:space="preserve">. For this project, we retrieved the timelines of the users corresponding to these tweets and tagged recognizable medication names to facilitate the manual annotation process of the timelines. A set of 37 drugs names, including variants and misspellings, were already annotated in our timelines and manually classified into </w:t>
      </w:r>
      <w:r w:rsidRPr="00FB4F7D">
        <w:rPr>
          <w:rFonts w:cstheme="minorHAnsi"/>
          <w:i/>
          <w:iCs/>
        </w:rPr>
        <w:t>intake</w:t>
      </w:r>
      <w:r w:rsidRPr="00FB4F7D">
        <w:rPr>
          <w:rFonts w:cstheme="minorHAnsi"/>
        </w:rPr>
        <w:t xml:space="preserve">, </w:t>
      </w:r>
      <w:r w:rsidRPr="00FB4F7D">
        <w:rPr>
          <w:rFonts w:cstheme="minorHAnsi"/>
          <w:i/>
          <w:iCs/>
        </w:rPr>
        <w:t>possible intake</w:t>
      </w:r>
      <w:r w:rsidRPr="00FB4F7D">
        <w:rPr>
          <w:rFonts w:cstheme="minorHAnsi"/>
        </w:rPr>
        <w:t xml:space="preserve"> or </w:t>
      </w:r>
      <w:r w:rsidRPr="00FB4F7D">
        <w:rPr>
          <w:rFonts w:cstheme="minorHAnsi"/>
          <w:i/>
          <w:iCs/>
        </w:rPr>
        <w:t xml:space="preserve">no intake </w:t>
      </w:r>
      <w:r w:rsidRPr="00FB4F7D">
        <w:rPr>
          <w:rFonts w:cstheme="minorHAnsi"/>
        </w:rPr>
        <w:t>categories.  For greater coverage of medications, we extended this initial set of drugs with the list of drug names published in the Drugs@FDA database</w:t>
      </w:r>
      <w:r w:rsidRPr="006B0226">
        <w:rPr>
          <w:rStyle w:val="FootnoteReference"/>
          <w:rFonts w:cstheme="minorHAnsi"/>
        </w:rPr>
        <w:footnoteReference w:id="1"/>
      </w:r>
      <w:r w:rsidRPr="006B0226">
        <w:rPr>
          <w:rFonts w:cstheme="minorHAnsi"/>
        </w:rPr>
        <w:t xml:space="preserve">. We added lexical </w:t>
      </w:r>
      <w:r w:rsidRPr="00FB4F7D">
        <w:rPr>
          <w:rFonts w:cstheme="minorHAnsi"/>
        </w:rPr>
        <w:t xml:space="preserve">variants (possible misspellings) of these drug names and tagged the names in the timelines. All drug mentions found in the tweets during this last process were then automatically classified as </w:t>
      </w:r>
      <w:r w:rsidRPr="00FB4F7D">
        <w:rPr>
          <w:rFonts w:cstheme="minorHAnsi"/>
          <w:i/>
          <w:iCs/>
        </w:rPr>
        <w:t>intake</w:t>
      </w:r>
      <w:r w:rsidRPr="00FB4F7D">
        <w:rPr>
          <w:rFonts w:cstheme="minorHAnsi"/>
        </w:rPr>
        <w:t xml:space="preserve">, </w:t>
      </w:r>
      <w:r w:rsidRPr="00FB4F7D">
        <w:rPr>
          <w:rFonts w:cstheme="minorHAnsi"/>
          <w:i/>
          <w:iCs/>
        </w:rPr>
        <w:t>possible intake</w:t>
      </w:r>
      <w:r w:rsidRPr="00FB4F7D">
        <w:rPr>
          <w:rFonts w:cstheme="minorHAnsi"/>
        </w:rPr>
        <w:t xml:space="preserve"> or </w:t>
      </w:r>
      <w:r w:rsidRPr="00FB4F7D">
        <w:rPr>
          <w:rFonts w:cstheme="minorHAnsi"/>
          <w:i/>
          <w:iCs/>
        </w:rPr>
        <w:t xml:space="preserve">no intake </w:t>
      </w:r>
      <w:r w:rsidRPr="00FB4F7D">
        <w:rPr>
          <w:rFonts w:cstheme="minorHAnsi"/>
          <w:iCs/>
        </w:rPr>
        <w:t>using our in-house classifier</w:t>
      </w:r>
      <w:r>
        <w:rPr>
          <w:rFonts w:cstheme="minorHAnsi"/>
          <w:iCs/>
        </w:rPr>
        <w:t xml:space="preserve"> </w:t>
      </w:r>
      <w:r>
        <w:rPr>
          <w:rFonts w:cstheme="minorHAnsi"/>
          <w:iCs/>
          <w:noProof/>
        </w:rPr>
        <w:t>[32]</w:t>
      </w:r>
      <w:r w:rsidRPr="00FB4F7D">
        <w:rPr>
          <w:rFonts w:cstheme="minorHAnsi"/>
          <w:iCs/>
        </w:rPr>
        <w:t xml:space="preserve">; </w:t>
      </w:r>
      <w:r w:rsidRPr="00FB4F7D">
        <w:rPr>
          <w:rFonts w:cstheme="minorHAnsi"/>
        </w:rPr>
        <w:t xml:space="preserve">this pre-annotating step speeds up manual curation. </w:t>
      </w:r>
      <w:r>
        <w:rPr>
          <w:rFonts w:cstheme="minorHAnsi"/>
        </w:rPr>
        <w:t>In our past work (32), inter-annotator agreement (Cohen’s kappa) for manually identifying medication intake was very high (</w:t>
      </w:r>
      <w:r w:rsidRPr="00FB4F7D">
        <w:rPr>
          <w:rFonts w:cstheme="minorHAnsi"/>
          <w:color w:val="000000"/>
          <w:shd w:val="clear" w:color="auto" w:fill="FFFFFF"/>
        </w:rPr>
        <w:t>κ</w:t>
      </w:r>
      <w:r>
        <w:rPr>
          <w:rFonts w:cstheme="minorHAnsi"/>
          <w:color w:val="000000"/>
          <w:shd w:val="clear" w:color="auto" w:fill="FFFFFF"/>
        </w:rPr>
        <w:t xml:space="preserve"> = 0.88).</w:t>
      </w:r>
      <w:r>
        <w:rPr>
          <w:rFonts w:cstheme="minorHAnsi"/>
        </w:rPr>
        <w:t xml:space="preserve"> </w:t>
      </w:r>
      <w:r w:rsidRPr="00FB4F7D">
        <w:rPr>
          <w:rFonts w:cstheme="minorHAnsi"/>
        </w:rPr>
        <w:lastRenderedPageBreak/>
        <w:t>Finally, all mentions of gestational ages were automatically pre-annotated and tagged in the timelines</w:t>
      </w:r>
      <w:r>
        <w:rPr>
          <w:rFonts w:cstheme="minorHAnsi"/>
        </w:rPr>
        <w:t xml:space="preserve"> </w:t>
      </w:r>
      <w:r>
        <w:rPr>
          <w:rFonts w:cstheme="minorHAnsi"/>
          <w:noProof/>
        </w:rPr>
        <w:t>[33]</w:t>
      </w:r>
      <w:r>
        <w:rPr>
          <w:rFonts w:cstheme="minorHAnsi"/>
        </w:rPr>
        <w:t xml:space="preserve">. </w:t>
      </w:r>
      <w:r w:rsidRPr="00631B09">
        <w:rPr>
          <w:rFonts w:cstheme="minorHAnsi"/>
        </w:rPr>
        <w:t>Annotation of exposures of interest</w:t>
      </w:r>
    </w:p>
    <w:p w14:paraId="3F6F46EC" w14:textId="77777777" w:rsidR="00463FA6" w:rsidRPr="00FB4F7D" w:rsidRDefault="00463FA6" w:rsidP="00484F7D">
      <w:pPr>
        <w:rPr>
          <w:rFonts w:cstheme="minorHAnsi"/>
        </w:rPr>
      </w:pPr>
      <w:r w:rsidRPr="006B0226">
        <w:rPr>
          <w:rFonts w:cstheme="minorHAnsi"/>
        </w:rPr>
        <w:t>To analyze the data for the case</w:t>
      </w:r>
      <w:r w:rsidRPr="00FB4F7D">
        <w:rPr>
          <w:rFonts w:cstheme="minorHAnsi"/>
        </w:rPr>
        <w:t xml:space="preserve">s and controls, we first needed to manually annotate the timelines for exposures of interest whenever we did not have any automatic method of doing so, and to corroborate any information tagged automatically. Exposures of interest were; maternal age, due date, place of residence, race/ethnicity, medicine intake at first, second and third trimester and </w:t>
      </w:r>
      <w:r>
        <w:rPr>
          <w:rFonts w:cstheme="minorHAnsi"/>
        </w:rPr>
        <w:t>birth defect</w:t>
      </w:r>
      <w:r w:rsidRPr="00FB4F7D">
        <w:rPr>
          <w:rFonts w:cstheme="minorHAnsi"/>
        </w:rPr>
        <w:t xml:space="preserve">s. We created an annotation guideline with examples, and selected the General Architecture for Text Engineering (GATE) </w:t>
      </w:r>
      <w:r>
        <w:rPr>
          <w:rFonts w:cstheme="minorHAnsi"/>
        </w:rPr>
        <w:t xml:space="preserve">environment for annotation </w:t>
      </w:r>
      <w:r>
        <w:rPr>
          <w:rFonts w:cstheme="minorHAnsi"/>
          <w:noProof/>
        </w:rPr>
        <w:t>[34]</w:t>
      </w:r>
      <w:r>
        <w:rPr>
          <w:rFonts w:cstheme="minorHAnsi"/>
        </w:rPr>
        <w:t>.</w:t>
      </w:r>
    </w:p>
    <w:p w14:paraId="2B009910" w14:textId="6DD666D7" w:rsidR="00463FA6" w:rsidRPr="00FB4F7D" w:rsidRDefault="00463FA6" w:rsidP="00484F7D">
      <w:pPr>
        <w:rPr>
          <w:rFonts w:cstheme="minorHAnsi"/>
        </w:rPr>
      </w:pPr>
      <w:r w:rsidRPr="00FB4F7D">
        <w:rPr>
          <w:rFonts w:cstheme="minorHAnsi"/>
        </w:rPr>
        <w:t xml:space="preserve">We annotated all tweets in </w:t>
      </w:r>
      <w:r w:rsidRPr="00FB4F7D">
        <w:rPr>
          <w:rFonts w:cstheme="minorHAnsi"/>
          <w:i/>
          <w:iCs/>
        </w:rPr>
        <w:t xml:space="preserve">the timeline of the pregnancy, </w:t>
      </w:r>
      <w:r w:rsidRPr="00FB4F7D">
        <w:rPr>
          <w:rFonts w:cstheme="minorHAnsi"/>
        </w:rPr>
        <w:t xml:space="preserve">defined as the time of pregnancy plus one month before and one month after. Within this timeframe, all mentions of </w:t>
      </w:r>
      <w:r w:rsidRPr="00FB4F7D">
        <w:rPr>
          <w:rFonts w:cstheme="minorHAnsi"/>
          <w:i/>
          <w:iCs/>
        </w:rPr>
        <w:t>gestational ages</w:t>
      </w:r>
      <w:r w:rsidRPr="00FB4F7D">
        <w:rPr>
          <w:rFonts w:cstheme="minorHAnsi"/>
        </w:rPr>
        <w:t xml:space="preserve">, any indications of the </w:t>
      </w:r>
      <w:r w:rsidRPr="00FB4F7D">
        <w:rPr>
          <w:rFonts w:cstheme="minorHAnsi"/>
          <w:i/>
          <w:iCs/>
        </w:rPr>
        <w:t>due date</w:t>
      </w:r>
      <w:r w:rsidRPr="00FB4F7D">
        <w:rPr>
          <w:rFonts w:cstheme="minorHAnsi"/>
        </w:rPr>
        <w:t xml:space="preserve"> of delivery, the </w:t>
      </w:r>
      <w:r w:rsidRPr="00FB4F7D">
        <w:rPr>
          <w:rFonts w:cstheme="minorHAnsi"/>
          <w:i/>
          <w:iCs/>
        </w:rPr>
        <w:t>pregnancy outcome</w:t>
      </w:r>
      <w:r w:rsidRPr="00FB4F7D">
        <w:rPr>
          <w:rFonts w:cstheme="minorHAnsi"/>
        </w:rPr>
        <w:t xml:space="preserve"> and the </w:t>
      </w:r>
      <w:r w:rsidRPr="00FB4F7D">
        <w:rPr>
          <w:rFonts w:cstheme="minorHAnsi"/>
          <w:i/>
          <w:iCs/>
        </w:rPr>
        <w:t>date of birth</w:t>
      </w:r>
      <w:r w:rsidRPr="00FB4F7D">
        <w:rPr>
          <w:rFonts w:cstheme="minorHAnsi"/>
        </w:rPr>
        <w:t xml:space="preserve"> of the child were annotated. We also annotated each tweet mentioning a drug name listed in the </w:t>
      </w:r>
      <w:r w:rsidRPr="00FB4F7D">
        <w:rPr>
          <w:rFonts w:cstheme="minorHAnsi"/>
          <w:i/>
          <w:iCs/>
        </w:rPr>
        <w:t>Drugs@FDA</w:t>
      </w:r>
      <w:r w:rsidRPr="00FB4F7D">
        <w:rPr>
          <w:rFonts w:cstheme="minorHAnsi"/>
        </w:rPr>
        <w:t xml:space="preserve"> database and if the drug was taken (or possibly taken) by trimester of the pregnancy. We annotated all mentions of birth defects and then classified them under their corresponding </w:t>
      </w:r>
      <w:r>
        <w:rPr>
          <w:rFonts w:cstheme="minorHAnsi"/>
        </w:rPr>
        <w:t>Medical Dictionary for Regulatory Activities (</w:t>
      </w:r>
      <w:r w:rsidRPr="00FB4F7D">
        <w:rPr>
          <w:rFonts w:cstheme="minorHAnsi"/>
        </w:rPr>
        <w:t>MedDRA</w:t>
      </w:r>
      <w:r>
        <w:rPr>
          <w:rFonts w:cstheme="minorHAnsi"/>
        </w:rPr>
        <w:t>)</w:t>
      </w:r>
      <w:r w:rsidRPr="00FB4F7D">
        <w:rPr>
          <w:rFonts w:cstheme="minorHAnsi"/>
        </w:rPr>
        <w:t xml:space="preserve"> categories. </w:t>
      </w:r>
      <w:r w:rsidRPr="00263AE0">
        <w:rPr>
          <w:rFonts w:cstheme="minorHAnsi"/>
        </w:rPr>
        <w:t>Annotation guidelines are provided as a supplement</w:t>
      </w:r>
      <w:r w:rsidRPr="00FB4F7D">
        <w:rPr>
          <w:rFonts w:cstheme="minorHAnsi"/>
        </w:rPr>
        <w:t>.</w:t>
      </w:r>
    </w:p>
    <w:p w14:paraId="50FCCB23" w14:textId="77777777" w:rsidR="00463FA6" w:rsidRPr="00FB4F7D" w:rsidRDefault="00463FA6" w:rsidP="00DD3B91">
      <w:pPr>
        <w:rPr>
          <w:rFonts w:cstheme="minorHAnsi"/>
          <w:shd w:val="clear" w:color="auto" w:fill="FFFFFF"/>
        </w:rPr>
      </w:pPr>
      <w:r w:rsidRPr="00FB4F7D">
        <w:rPr>
          <w:rFonts w:cstheme="minorHAnsi"/>
          <w:shd w:val="clear" w:color="auto" w:fill="FFFFFF"/>
        </w:rPr>
        <w:t>Maternal age was often given in reference to a birthday such as, ‘I’m 24 on Friday’ or ‘Only 2 hours until I’m 21 and legal!!’</w:t>
      </w:r>
      <w:r>
        <w:rPr>
          <w:rFonts w:cstheme="minorHAnsi"/>
          <w:shd w:val="clear" w:color="auto" w:fill="FFFFFF"/>
        </w:rPr>
        <w:t>.</w:t>
      </w:r>
      <w:r w:rsidRPr="00FB4F7D">
        <w:rPr>
          <w:rFonts w:cstheme="minorHAnsi"/>
          <w:shd w:val="clear" w:color="auto" w:fill="FFFFFF"/>
        </w:rPr>
        <w:t xml:space="preserve"> Others mentioned their age in passing ‘I’m 22 but look 26’ or ‘Gosh you would think I would know that at 20’. Where only an approximation of age was given (e.g.- women indicated that they were in their 20s or 30s), we categorised this as missing data.</w:t>
      </w:r>
    </w:p>
    <w:p w14:paraId="0D09CCC5" w14:textId="77777777" w:rsidR="00463FA6" w:rsidRPr="00FB4F7D" w:rsidRDefault="00463FA6" w:rsidP="006706B5">
      <w:pPr>
        <w:jc w:val="both"/>
        <w:rPr>
          <w:rFonts w:cstheme="minorHAnsi"/>
        </w:rPr>
      </w:pPr>
      <w:r w:rsidRPr="00FB4F7D">
        <w:rPr>
          <w:rFonts w:cstheme="minorHAnsi"/>
        </w:rPr>
        <w:t>The country of residence of the woman was often present in the profile information (e.g.- ‘Proud Colombian,’ ‘Texas,’ or ‘Bangor, Wales’) or stated in a post. Race was also sometimes explicitly stated:  ‘Just because I’m Hispanic…’ or ‘I’m not African-American I’m black American.’</w:t>
      </w:r>
    </w:p>
    <w:p w14:paraId="4C0146E1" w14:textId="553437EC" w:rsidR="00463FA6" w:rsidRDefault="00463FA6" w:rsidP="00DD3B91">
      <w:pPr>
        <w:rPr>
          <w:rFonts w:cstheme="minorHAnsi"/>
        </w:rPr>
      </w:pPr>
      <w:r w:rsidRPr="00FB4F7D">
        <w:rPr>
          <w:rFonts w:cstheme="minorHAnsi"/>
          <w:shd w:val="clear" w:color="auto" w:fill="FFFFFF"/>
        </w:rPr>
        <w:t xml:space="preserve">Medications were categorised </w:t>
      </w:r>
      <w:r w:rsidRPr="00FB4F7D">
        <w:rPr>
          <w:rFonts w:cstheme="minorHAnsi"/>
        </w:rPr>
        <w:t>based on available evidence of risks associated with taking particular medicines while pregnant</w:t>
      </w:r>
      <w:r w:rsidRPr="00631B09">
        <w:rPr>
          <w:rFonts w:cstheme="minorHAnsi"/>
          <w:color w:val="000000"/>
        </w:rPr>
        <w:t xml:space="preserve"> </w:t>
      </w:r>
      <w:r w:rsidRPr="006B0226">
        <w:rPr>
          <w:rFonts w:cstheme="minorHAnsi"/>
          <w:shd w:val="clear" w:color="auto" w:fill="FFFFFF"/>
        </w:rPr>
        <w:t xml:space="preserve">as per </w:t>
      </w:r>
      <w:r w:rsidRPr="006B0226">
        <w:rPr>
          <w:rFonts w:cstheme="minorHAnsi"/>
        </w:rPr>
        <w:t>The Australian categorisation system</w:t>
      </w:r>
      <w:r w:rsidRPr="00062421">
        <w:rPr>
          <w:rFonts w:cstheme="minorHAnsi"/>
          <w:vertAlign w:val="superscript"/>
        </w:rPr>
        <w:t>2</w:t>
      </w:r>
      <w:r w:rsidRPr="006B0226">
        <w:rPr>
          <w:rFonts w:cstheme="minorHAnsi"/>
        </w:rPr>
        <w:t xml:space="preserve">. This </w:t>
      </w:r>
      <w:r w:rsidRPr="00FB4F7D">
        <w:rPr>
          <w:rFonts w:cstheme="minorHAnsi"/>
        </w:rPr>
        <w:t xml:space="preserve">categorisation system was selected as there is no language barrier, it has greater granularity of classifications (with seven categories A, B1, B2, B3, C, D, X), easy to use and up to date. Some comments were not possible to classify as there was insufficient detail to identify the medication, such as ‘My pain meds aren’t working anymore’, ‘, or ‘Got to take antibiotics for …’. Medications were grouped into ‘probably safe’ or ‘potentially risky’ to help facilitate the analysis and compare with previous studies </w:t>
      </w:r>
      <w:r>
        <w:rPr>
          <w:rFonts w:cstheme="minorHAnsi"/>
          <w:noProof/>
        </w:rPr>
        <w:t>[35]</w:t>
      </w:r>
      <w:r w:rsidRPr="00FB4F7D">
        <w:rPr>
          <w:rFonts w:cstheme="minorHAnsi"/>
        </w:rPr>
        <w:t>. The ‘probably safe’ category consisted of A, B1 and B2 classifications and the ‘potentially risky’ of categories B3, C, D and X.</w:t>
      </w:r>
    </w:p>
    <w:p w14:paraId="6809111C" w14:textId="77777777" w:rsidR="00463FA6" w:rsidRPr="00607E44" w:rsidRDefault="00463FA6" w:rsidP="00607E44">
      <w:r w:rsidRPr="00607E44">
        <w:t>Although in most instances the medications were named in the Tweets we made a concerted effort not to publish the individual drug names in this article.</w:t>
      </w:r>
      <w:r>
        <w:t xml:space="preserve"> </w:t>
      </w:r>
      <w:r w:rsidRPr="00607E44">
        <w:t>This was because the study was a feasibility study to test the methodologies with using social media. Given the exploratory nature of these methods, we chose not to study individual drug products and raise concern over spurious safety signals without further evidence of causality. To gather additional information on drug classes would require additional data mining and natural language processing information that was not collected initially and is beyond the scope of this project.</w:t>
      </w:r>
    </w:p>
    <w:p w14:paraId="3EE2442D" w14:textId="77777777" w:rsidR="00463FA6" w:rsidRPr="00FB4F7D" w:rsidRDefault="00463FA6" w:rsidP="00DD3B91">
      <w:pPr>
        <w:rPr>
          <w:rFonts w:cstheme="minorHAnsi"/>
        </w:rPr>
      </w:pPr>
      <w:r w:rsidRPr="00FB4F7D">
        <w:rPr>
          <w:rFonts w:cstheme="minorHAnsi"/>
        </w:rPr>
        <w:t xml:space="preserve">Most of the comments on medication intake refer to when the medication was consumed either directly or indirectly. ‘4mg of X four hours ago and still got a headache’, ‘taken X and now off to bed’. We were able to ascertain the timing of the medication intake for the users by the date of the post and then assess whether the intake was from the first, second or third trimester. </w:t>
      </w:r>
      <w:r w:rsidRPr="00FB4F7D">
        <w:rPr>
          <w:rFonts w:cstheme="minorHAnsi"/>
          <w:shd w:val="clear" w:color="auto" w:fill="FFFFFF"/>
        </w:rPr>
        <w:t>Many women gave the actual due date for their baby or gave information from which the due date could be calculated ‘I am due on the 24</w:t>
      </w:r>
      <w:r w:rsidRPr="00FB4F7D">
        <w:rPr>
          <w:rFonts w:cstheme="minorHAnsi"/>
          <w:shd w:val="clear" w:color="auto" w:fill="FFFFFF"/>
          <w:vertAlign w:val="superscript"/>
        </w:rPr>
        <w:t>th</w:t>
      </w:r>
      <w:r w:rsidRPr="00FB4F7D">
        <w:rPr>
          <w:rFonts w:cstheme="minorHAnsi"/>
          <w:shd w:val="clear" w:color="auto" w:fill="FFFFFF"/>
        </w:rPr>
        <w:t xml:space="preserve"> of February’ or ‘I’m due a week today’. There were many references to the </w:t>
      </w:r>
      <w:r w:rsidRPr="00FB4F7D">
        <w:rPr>
          <w:rFonts w:cstheme="minorHAnsi"/>
          <w:shd w:val="clear" w:color="auto" w:fill="FFFFFF"/>
        </w:rPr>
        <w:lastRenderedPageBreak/>
        <w:t xml:space="preserve">length of term the pregnancy (either by how far into the pregnancy they were or by how long the pregnancy had left). For instance, ‘I’m 24 weeks today’ or ‘6 more weeks to my due date’. </w:t>
      </w:r>
      <w:r w:rsidRPr="00FB4F7D">
        <w:rPr>
          <w:rFonts w:cstheme="minorHAnsi"/>
        </w:rPr>
        <w:t>From gestational age annotations, the annotator could calculate an estimated pregnancy conception date using an internet pregnancy calculator</w:t>
      </w:r>
      <w:r w:rsidRPr="00062421">
        <w:rPr>
          <w:rFonts w:cstheme="minorHAnsi"/>
          <w:vertAlign w:val="superscript"/>
        </w:rPr>
        <w:t>3</w:t>
      </w:r>
      <w:r w:rsidRPr="00FB4F7D">
        <w:rPr>
          <w:rFonts w:cstheme="minorHAnsi"/>
        </w:rPr>
        <w:t>.  From this information, exposure to medications could be categorised as in the first, second or third trimester.</w:t>
      </w:r>
    </w:p>
    <w:p w14:paraId="095E467F" w14:textId="77777777" w:rsidR="00463FA6" w:rsidRPr="00690642" w:rsidRDefault="00463FA6" w:rsidP="00993735">
      <w:pPr>
        <w:pStyle w:val="Heading3"/>
        <w:rPr>
          <w:rFonts w:asciiTheme="minorHAnsi" w:hAnsiTheme="minorHAnsi" w:cstheme="minorHAnsi"/>
          <w:sz w:val="22"/>
          <w:szCs w:val="22"/>
        </w:rPr>
      </w:pPr>
      <w:r>
        <w:rPr>
          <w:rFonts w:asciiTheme="minorHAnsi" w:hAnsiTheme="minorHAnsi" w:cstheme="minorHAnsi"/>
          <w:sz w:val="22"/>
          <w:szCs w:val="22"/>
        </w:rPr>
        <w:t xml:space="preserve">2.3 </w:t>
      </w:r>
      <w:r w:rsidRPr="00690642">
        <w:rPr>
          <w:rFonts w:asciiTheme="minorHAnsi" w:hAnsiTheme="minorHAnsi" w:cstheme="minorHAnsi"/>
          <w:sz w:val="22"/>
          <w:szCs w:val="22"/>
        </w:rPr>
        <w:t>Statistical Methods</w:t>
      </w:r>
    </w:p>
    <w:p w14:paraId="00C328F1" w14:textId="77777777" w:rsidR="00463FA6" w:rsidRPr="00FB4F7D" w:rsidRDefault="00463FA6" w:rsidP="00A15488">
      <w:pPr>
        <w:rPr>
          <w:rFonts w:cstheme="minorHAnsi"/>
        </w:rPr>
      </w:pPr>
      <w:r w:rsidRPr="006B0226">
        <w:rPr>
          <w:rFonts w:cstheme="minorHAnsi"/>
        </w:rPr>
        <w:t>Odds ratios for each</w:t>
      </w:r>
      <w:r w:rsidRPr="00FB4F7D">
        <w:rPr>
          <w:rFonts w:cstheme="minorHAnsi"/>
        </w:rPr>
        <w:t xml:space="preserve"> risk factor were estimated using the cc command in Stata.  The confidence intervals were estimated by the exact method.  For type of medication, an overall P value was calculated by chi-squared test for a contingency table, as these are not independent variables but different categories of the same variable. A P-value &lt;0.05 was considered statistical significant</w:t>
      </w:r>
    </w:p>
    <w:p w14:paraId="5A065EDF" w14:textId="77777777" w:rsidR="00463FA6" w:rsidRPr="00FB4F7D" w:rsidRDefault="00463FA6" w:rsidP="00A15488">
      <w:pPr>
        <w:rPr>
          <w:rFonts w:cstheme="minorHAnsi"/>
        </w:rPr>
      </w:pPr>
      <w:r w:rsidRPr="00FB4F7D">
        <w:rPr>
          <w:rFonts w:cstheme="minorHAnsi"/>
        </w:rPr>
        <w:t xml:space="preserve">To check whether matching was informative, the analysis for any medication use was also carried out by logistic regression, both ignoring the matching and allowing for matching using robust standard errors. Results were not appreciably altered and therefore we conducted analysis without matching to minimize the impact of missing data. </w:t>
      </w:r>
    </w:p>
    <w:p w14:paraId="41726921" w14:textId="77777777" w:rsidR="00463FA6" w:rsidRPr="00FB4F7D" w:rsidRDefault="00463FA6" w:rsidP="00A15488">
      <w:pPr>
        <w:rPr>
          <w:rFonts w:cstheme="minorHAnsi"/>
        </w:rPr>
      </w:pPr>
      <w:r w:rsidRPr="00FB4F7D">
        <w:rPr>
          <w:rFonts w:cstheme="minorHAnsi"/>
        </w:rPr>
        <w:t xml:space="preserve">To check whether other available risk factors (age, ethnicity, country of residence) could explain the relationship between </w:t>
      </w:r>
      <w:r>
        <w:rPr>
          <w:rFonts w:cstheme="minorHAnsi"/>
        </w:rPr>
        <w:t>birth defect</w:t>
      </w:r>
      <w:r w:rsidRPr="00FB4F7D">
        <w:rPr>
          <w:rFonts w:cstheme="minorHAnsi"/>
        </w:rPr>
        <w:t xml:space="preserve">s and medication, logistic regression was used.  Women for whom any of these variables were missing were excluded and for ethnicity and residence categories with fewer than 10 women were included in the “other” category. </w:t>
      </w:r>
    </w:p>
    <w:p w14:paraId="5D37ED4E" w14:textId="77777777" w:rsidR="00463FA6" w:rsidRPr="00631B09" w:rsidRDefault="00463FA6" w:rsidP="00792030">
      <w:pPr>
        <w:pStyle w:val="Heading2"/>
        <w:numPr>
          <w:ilvl w:val="0"/>
          <w:numId w:val="14"/>
        </w:numPr>
        <w:rPr>
          <w:rFonts w:asciiTheme="minorHAnsi" w:hAnsiTheme="minorHAnsi" w:cstheme="minorHAnsi"/>
          <w:sz w:val="22"/>
          <w:szCs w:val="22"/>
          <w:shd w:val="clear" w:color="auto" w:fill="FFFFFF"/>
        </w:rPr>
      </w:pPr>
      <w:r w:rsidRPr="00631B09">
        <w:rPr>
          <w:rFonts w:asciiTheme="minorHAnsi" w:hAnsiTheme="minorHAnsi" w:cstheme="minorHAnsi"/>
          <w:sz w:val="22"/>
          <w:szCs w:val="22"/>
          <w:shd w:val="clear" w:color="auto" w:fill="FFFFFF"/>
        </w:rPr>
        <w:t>Results</w:t>
      </w:r>
    </w:p>
    <w:p w14:paraId="4597ACC4" w14:textId="77777777" w:rsidR="00463FA6" w:rsidRPr="008A10E7" w:rsidRDefault="00463FA6" w:rsidP="001B4E34">
      <w:pPr>
        <w:rPr>
          <w:rFonts w:cstheme="minorHAnsi"/>
          <w:shd w:val="clear" w:color="auto" w:fill="FFFFFF"/>
        </w:rPr>
      </w:pPr>
      <w:r w:rsidRPr="006B0226">
        <w:rPr>
          <w:rFonts w:cstheme="minorHAnsi"/>
          <w:shd w:val="clear" w:color="auto" w:fill="FFFFFF"/>
        </w:rPr>
        <w:t>The mean</w:t>
      </w:r>
      <w:r w:rsidRPr="00FB4F7D">
        <w:rPr>
          <w:rFonts w:cstheme="minorHAnsi"/>
          <w:shd w:val="clear" w:color="auto" w:fill="FFFFFF"/>
        </w:rPr>
        <w:t xml:space="preserve"> number of posts per pregnancy timeline in the cases was 2,903, varying from 70 to 15,271 posts. The average number of posts per woman in the control group was lower at 2,582 (range 19 to 9,142). For comparison, in the entire database of 112,429 timelines, the mean number of posts per person was 3,850 (range: 2 to 80,023 posts). Annotation of each</w:t>
      </w:r>
      <w:r>
        <w:rPr>
          <w:rFonts w:cstheme="minorHAnsi"/>
          <w:shd w:val="clear" w:color="auto" w:fill="FFFFFF"/>
        </w:rPr>
        <w:t xml:space="preserve"> one</w:t>
      </w:r>
      <w:r w:rsidRPr="00FB4F7D">
        <w:rPr>
          <w:rFonts w:cstheme="minorHAnsi"/>
          <w:shd w:val="clear" w:color="auto" w:fill="FFFFFF"/>
        </w:rPr>
        <w:t xml:space="preserve"> </w:t>
      </w:r>
      <w:r>
        <w:rPr>
          <w:rFonts w:cstheme="minorHAnsi"/>
          <w:shd w:val="clear" w:color="auto" w:fill="FFFFFF"/>
        </w:rPr>
        <w:t xml:space="preserve">of the 196 cases and 196 control </w:t>
      </w:r>
      <w:r w:rsidRPr="00FB4F7D">
        <w:rPr>
          <w:rFonts w:cstheme="minorHAnsi"/>
          <w:shd w:val="clear" w:color="auto" w:fill="FFFFFF"/>
        </w:rPr>
        <w:t xml:space="preserve">pregnancy timeline took an average of 2 hours. </w:t>
      </w:r>
    </w:p>
    <w:p w14:paraId="66CBB677" w14:textId="76BF61CD" w:rsidR="00463FA6" w:rsidRPr="00FB4F7D" w:rsidRDefault="00463FA6" w:rsidP="00E81612">
      <w:pPr>
        <w:rPr>
          <w:rFonts w:cstheme="minorHAnsi"/>
        </w:rPr>
      </w:pPr>
      <w:r w:rsidRPr="006B0226">
        <w:rPr>
          <w:rFonts w:cstheme="minorHAnsi"/>
          <w:shd w:val="clear" w:color="auto" w:fill="FFFFFF"/>
        </w:rPr>
        <w:t>The rate of birth defects</w:t>
      </w:r>
      <w:r w:rsidRPr="00FB4F7D">
        <w:rPr>
          <w:rFonts w:cstheme="minorHAnsi"/>
          <w:shd w:val="clear" w:color="auto" w:fill="FFFFFF"/>
        </w:rPr>
        <w:t xml:space="preserve"> in our cohort of pregnant women </w:t>
      </w:r>
      <w:r>
        <w:rPr>
          <w:rFonts w:cstheme="minorHAnsi"/>
          <w:shd w:val="clear" w:color="auto" w:fill="FFFFFF"/>
        </w:rPr>
        <w:t xml:space="preserve">(cases) </w:t>
      </w:r>
      <w:r w:rsidRPr="00FB4F7D">
        <w:rPr>
          <w:rFonts w:cstheme="minorHAnsi"/>
          <w:shd w:val="clear" w:color="auto" w:fill="FFFFFF"/>
        </w:rPr>
        <w:t>was 0.44%</w:t>
      </w:r>
      <w:r>
        <w:rPr>
          <w:rFonts w:cstheme="minorHAnsi"/>
          <w:shd w:val="clear" w:color="auto" w:fill="FFFFFF"/>
        </w:rPr>
        <w:t xml:space="preserve">. </w:t>
      </w:r>
      <w:r>
        <w:rPr>
          <w:rFonts w:ascii="Calibri" w:hAnsi="Calibri" w:cs="Calibri"/>
          <w:color w:val="222222"/>
          <w:shd w:val="clear" w:color="auto" w:fill="FFFFFF"/>
        </w:rPr>
        <w:t>We calculated this rate by taking the ratio between the number of pregnant women reporting a birth defect and the estimated total number of timelines in our database in which we had access to the user’s tweets during pregnancy (i.e. 196/44,825).</w:t>
      </w:r>
      <w:r w:rsidRPr="00FB4F7D">
        <w:rPr>
          <w:rFonts w:cstheme="minorHAnsi"/>
          <w:shd w:val="clear" w:color="auto" w:fill="FFFFFF"/>
        </w:rPr>
        <w:t xml:space="preserve"> </w:t>
      </w:r>
      <w:r>
        <w:rPr>
          <w:rFonts w:cstheme="minorHAnsi"/>
        </w:rPr>
        <w:t xml:space="preserve"> </w:t>
      </w:r>
      <w:r w:rsidRPr="00FB4F7D">
        <w:rPr>
          <w:rFonts w:cstheme="minorHAnsi"/>
          <w:shd w:val="clear" w:color="auto" w:fill="FFFFFF"/>
        </w:rPr>
        <w:t xml:space="preserve">Examples of </w:t>
      </w:r>
      <w:r>
        <w:rPr>
          <w:rFonts w:cstheme="minorHAnsi"/>
          <w:shd w:val="clear" w:color="auto" w:fill="FFFFFF"/>
        </w:rPr>
        <w:t>birth defect</w:t>
      </w:r>
      <w:r w:rsidRPr="00FB4F7D">
        <w:rPr>
          <w:rFonts w:cstheme="minorHAnsi"/>
          <w:shd w:val="clear" w:color="auto" w:fill="FFFFFF"/>
        </w:rPr>
        <w:t>s included cleft lip, club foot, congenital heart defects and Down’s syndrome.</w:t>
      </w:r>
      <w:r>
        <w:rPr>
          <w:rFonts w:cstheme="minorHAnsi"/>
        </w:rPr>
        <w:t xml:space="preserve"> </w:t>
      </w:r>
      <w:r w:rsidRPr="00FB4F7D">
        <w:rPr>
          <w:rFonts w:cstheme="minorHAnsi"/>
        </w:rPr>
        <w:t>The frequencies of the consolidated birth defects reported in our cases are presented in Table 1.  The categories used were based on M</w:t>
      </w:r>
      <w:r>
        <w:rPr>
          <w:rFonts w:cstheme="minorHAnsi"/>
        </w:rPr>
        <w:t>ed</w:t>
      </w:r>
      <w:r w:rsidRPr="00FB4F7D">
        <w:rPr>
          <w:rFonts w:cstheme="minorHAnsi"/>
        </w:rPr>
        <w:t xml:space="preserve">DRA sub-classes. </w:t>
      </w:r>
    </w:p>
    <w:p w14:paraId="3023D636" w14:textId="77777777" w:rsidR="00463FA6" w:rsidRPr="00631B09" w:rsidRDefault="00463FA6" w:rsidP="006F2F50">
      <w:pPr>
        <w:pStyle w:val="Heading3"/>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3.1 </w:t>
      </w:r>
      <w:r w:rsidRPr="00631B09">
        <w:rPr>
          <w:rFonts w:asciiTheme="minorHAnsi" w:hAnsiTheme="minorHAnsi" w:cstheme="minorHAnsi"/>
          <w:sz w:val="22"/>
          <w:szCs w:val="22"/>
          <w:shd w:val="clear" w:color="auto" w:fill="FFFFFF"/>
        </w:rPr>
        <w:t xml:space="preserve">Characteristics of Women </w:t>
      </w:r>
    </w:p>
    <w:p w14:paraId="69DDAD6E" w14:textId="2717F7ED" w:rsidR="00463FA6" w:rsidRPr="00FB4F7D" w:rsidRDefault="00463FA6" w:rsidP="006A395D">
      <w:pPr>
        <w:rPr>
          <w:rFonts w:cstheme="minorHAnsi"/>
        </w:rPr>
      </w:pPr>
      <w:r w:rsidRPr="006B0226">
        <w:rPr>
          <w:rFonts w:cstheme="minorHAnsi"/>
        </w:rPr>
        <w:t>Women who gave birth to a baby with a birth defect</w:t>
      </w:r>
      <w:r w:rsidRPr="00FB4F7D">
        <w:rPr>
          <w:rFonts w:cstheme="minorHAnsi"/>
        </w:rPr>
        <w:t xml:space="preserve"> had a different demographic profile than women who gave birth to baby without a birth defect. Cases were older, more likely to be Caucasian, and less likely to live in the US; cases were also more likely to have missing information on race</w:t>
      </w:r>
      <w:r>
        <w:rPr>
          <w:rFonts w:cstheme="minorHAnsi"/>
        </w:rPr>
        <w:t xml:space="preserve"> and less likely have missing data on age</w:t>
      </w:r>
      <w:r w:rsidRPr="00FB4F7D">
        <w:rPr>
          <w:rFonts w:cstheme="minorHAnsi"/>
        </w:rPr>
        <w:t>. The distribution of age in both cases and controls are presented in Table 2</w:t>
      </w:r>
      <w:r>
        <w:rPr>
          <w:rFonts w:cstheme="minorHAnsi"/>
        </w:rPr>
        <w:t xml:space="preserve"> and Figure 2</w:t>
      </w:r>
      <w:r w:rsidRPr="00FB4F7D">
        <w:rPr>
          <w:rFonts w:cstheme="minorHAnsi"/>
        </w:rPr>
        <w:t>.</w:t>
      </w:r>
    </w:p>
    <w:p w14:paraId="785350AA" w14:textId="77777777" w:rsidR="00463FA6" w:rsidRPr="00631B09" w:rsidRDefault="00463FA6" w:rsidP="006F2F50">
      <w:pPr>
        <w:pStyle w:val="Heading3"/>
        <w:rPr>
          <w:rFonts w:asciiTheme="minorHAnsi" w:hAnsiTheme="minorHAnsi" w:cstheme="minorHAnsi"/>
          <w:sz w:val="22"/>
          <w:szCs w:val="22"/>
          <w:shd w:val="clear" w:color="auto" w:fill="FFFFFF"/>
        </w:rPr>
      </w:pPr>
      <w:r>
        <w:rPr>
          <w:rFonts w:cstheme="minorHAnsi"/>
        </w:rPr>
        <w:t xml:space="preserve">Timing and Type of </w:t>
      </w:r>
      <w:r>
        <w:rPr>
          <w:rFonts w:asciiTheme="minorHAnsi" w:hAnsiTheme="minorHAnsi" w:cstheme="minorHAnsi"/>
          <w:sz w:val="22"/>
          <w:szCs w:val="22"/>
          <w:shd w:val="clear" w:color="auto" w:fill="FFFFFF"/>
        </w:rPr>
        <w:t>M</w:t>
      </w:r>
      <w:r w:rsidRPr="00631B09">
        <w:rPr>
          <w:rFonts w:asciiTheme="minorHAnsi" w:hAnsiTheme="minorHAnsi" w:cstheme="minorHAnsi"/>
          <w:sz w:val="22"/>
          <w:szCs w:val="22"/>
          <w:shd w:val="clear" w:color="auto" w:fill="FFFFFF"/>
        </w:rPr>
        <w:t xml:space="preserve">edication Intake </w:t>
      </w:r>
    </w:p>
    <w:p w14:paraId="2F4A85B1" w14:textId="5D8EFBB7" w:rsidR="00463FA6" w:rsidRPr="00FB4F7D" w:rsidRDefault="00463FA6" w:rsidP="00592F99">
      <w:pPr>
        <w:rPr>
          <w:rFonts w:cstheme="minorHAnsi"/>
        </w:rPr>
      </w:pPr>
      <w:r w:rsidRPr="006B0226">
        <w:rPr>
          <w:rFonts w:cstheme="minorHAnsi"/>
        </w:rPr>
        <w:t>Cases</w:t>
      </w:r>
      <w:r w:rsidRPr="00FB4F7D">
        <w:rPr>
          <w:rFonts w:cstheme="minorHAnsi"/>
        </w:rPr>
        <w:t xml:space="preserve"> </w:t>
      </w:r>
      <w:r w:rsidRPr="00FB4F7D">
        <w:rPr>
          <w:rFonts w:cstheme="minorHAnsi"/>
          <w:shd w:val="clear" w:color="auto" w:fill="FFFFFF"/>
        </w:rPr>
        <w:t xml:space="preserve">reported taking some form of medication during pregnancy more frequently </w:t>
      </w:r>
      <w:r w:rsidRPr="00FB4F7D">
        <w:rPr>
          <w:rFonts w:cstheme="minorHAnsi"/>
        </w:rPr>
        <w:t xml:space="preserve">than the controls </w:t>
      </w:r>
      <w:r w:rsidRPr="00FB4F7D">
        <w:rPr>
          <w:rFonts w:cstheme="minorHAnsi"/>
          <w:shd w:val="clear" w:color="auto" w:fill="FFFFFF"/>
        </w:rPr>
        <w:t>(35% vs 17%) (Table 3).  Many women, particularly in the cases, mentioned more than one medication intake or taking the same medication on more than one occasion</w:t>
      </w:r>
      <w:r w:rsidRPr="00FB4F7D">
        <w:rPr>
          <w:rFonts w:cstheme="minorHAnsi"/>
        </w:rPr>
        <w:t>.</w:t>
      </w:r>
    </w:p>
    <w:p w14:paraId="58F79B8F" w14:textId="3D020936" w:rsidR="00463FA6" w:rsidRPr="00FB4F7D" w:rsidRDefault="00463FA6" w:rsidP="007731A7">
      <w:pPr>
        <w:rPr>
          <w:rFonts w:cstheme="minorHAnsi"/>
          <w:shd w:val="clear" w:color="auto" w:fill="FFFFFF"/>
        </w:rPr>
      </w:pPr>
      <w:r w:rsidRPr="006B0226">
        <w:rPr>
          <w:rFonts w:cstheme="minorHAnsi"/>
          <w:shd w:val="clear" w:color="auto" w:fill="FFFFFF"/>
        </w:rPr>
        <w:t xml:space="preserve">In the </w:t>
      </w:r>
      <w:r w:rsidRPr="00FB4F7D">
        <w:rPr>
          <w:rFonts w:cstheme="minorHAnsi"/>
          <w:shd w:val="clear" w:color="auto" w:fill="FFFFFF"/>
        </w:rPr>
        <w:t>first and third trimesters the number of women taking medication among the cases was significantly higher than in the controls (OR 3.59 (1.44 to 10.13) P=</w:t>
      </w:r>
      <w:r>
        <w:rPr>
          <w:rFonts w:cstheme="minorHAnsi"/>
          <w:shd w:val="clear" w:color="auto" w:fill="FFFFFF"/>
        </w:rPr>
        <w:t>0.</w:t>
      </w:r>
      <w:r w:rsidRPr="00FB4F7D">
        <w:rPr>
          <w:rFonts w:cstheme="minorHAnsi"/>
          <w:shd w:val="clear" w:color="auto" w:fill="FFFFFF"/>
        </w:rPr>
        <w:t>002 and OR 2.22 (1.23 to 4.08) P=0</w:t>
      </w:r>
      <w:r>
        <w:rPr>
          <w:rFonts w:cstheme="minorHAnsi"/>
          <w:shd w:val="clear" w:color="auto" w:fill="FFFFFF"/>
        </w:rPr>
        <w:t>.</w:t>
      </w:r>
      <w:r w:rsidRPr="00FB4F7D">
        <w:rPr>
          <w:rFonts w:cstheme="minorHAnsi"/>
          <w:shd w:val="clear" w:color="auto" w:fill="FFFFFF"/>
        </w:rPr>
        <w:t xml:space="preserve">004 respectively). In the second trimester although a higher number of women among the cases </w:t>
      </w:r>
      <w:r w:rsidRPr="00FB4F7D">
        <w:rPr>
          <w:rFonts w:cstheme="minorHAnsi"/>
          <w:shd w:val="clear" w:color="auto" w:fill="FFFFFF"/>
        </w:rPr>
        <w:lastRenderedPageBreak/>
        <w:t>took medications than the controls (22 vs 12), this was not significantly different</w:t>
      </w:r>
      <w:r>
        <w:rPr>
          <w:rFonts w:cstheme="minorHAnsi"/>
          <w:shd w:val="clear" w:color="auto" w:fill="FFFFFF"/>
        </w:rPr>
        <w:t xml:space="preserve"> </w:t>
      </w:r>
      <w:r>
        <w:rPr>
          <w:shd w:val="clear" w:color="auto" w:fill="FFFFFF"/>
        </w:rPr>
        <w:t xml:space="preserve">(OR </w:t>
      </w:r>
      <w:r w:rsidRPr="00C25AAE">
        <w:rPr>
          <w:shd w:val="clear" w:color="auto" w:fill="FFFFFF"/>
        </w:rPr>
        <w:t>1.9</w:t>
      </w:r>
      <w:r>
        <w:rPr>
          <w:shd w:val="clear" w:color="auto" w:fill="FFFFFF"/>
        </w:rPr>
        <w:t>4 (0</w:t>
      </w:r>
      <w:r w:rsidRPr="00C25AAE">
        <w:rPr>
          <w:shd w:val="clear" w:color="auto" w:fill="FFFFFF"/>
        </w:rPr>
        <w:t>.8</w:t>
      </w:r>
      <w:r>
        <w:rPr>
          <w:shd w:val="clear" w:color="auto" w:fill="FFFFFF"/>
        </w:rPr>
        <w:t xml:space="preserve">9 to </w:t>
      </w:r>
      <w:r w:rsidRPr="00C25AAE">
        <w:rPr>
          <w:shd w:val="clear" w:color="auto" w:fill="FFFFFF"/>
        </w:rPr>
        <w:t>4.4</w:t>
      </w:r>
      <w:r>
        <w:rPr>
          <w:shd w:val="clear" w:color="auto" w:fill="FFFFFF"/>
        </w:rPr>
        <w:t>3) P=0.07)</w:t>
      </w:r>
      <w:r w:rsidRPr="00FB4F7D">
        <w:rPr>
          <w:rFonts w:cstheme="minorHAnsi"/>
          <w:shd w:val="clear" w:color="auto" w:fill="FFFFFF"/>
        </w:rPr>
        <w:t xml:space="preserve">. </w:t>
      </w:r>
    </w:p>
    <w:p w14:paraId="5CBB15A1" w14:textId="122820BB" w:rsidR="00463FA6" w:rsidRPr="00FB4F7D" w:rsidRDefault="00463FA6" w:rsidP="007731A7">
      <w:pPr>
        <w:rPr>
          <w:rFonts w:cstheme="minorHAnsi"/>
        </w:rPr>
      </w:pPr>
      <w:r w:rsidRPr="00FB4F7D">
        <w:rPr>
          <w:rFonts w:cstheme="minorHAnsi"/>
          <w:shd w:val="clear" w:color="auto" w:fill="FFFFFF"/>
        </w:rPr>
        <w:t>When the analysis was restricted to women who reported taking medications during pregnancy, the pattern in timing of intake among the cases and controls was similar (Table 3). There is no statistically significant difference between the women taking any medication in the timing of their intake between the cases and controls (P=0.2, P=0.8, P=0.9 for the first, second and third trimester respectively) (Table 3).</w:t>
      </w:r>
    </w:p>
    <w:p w14:paraId="103996E9" w14:textId="311CD360" w:rsidR="00463FA6" w:rsidRPr="00FB4F7D" w:rsidRDefault="00463FA6" w:rsidP="00D4636C">
      <w:pPr>
        <w:rPr>
          <w:rFonts w:cstheme="minorHAnsi"/>
        </w:rPr>
      </w:pPr>
      <w:r w:rsidRPr="00F86E3D">
        <w:rPr>
          <w:rFonts w:cstheme="minorHAnsi"/>
          <w:shd w:val="clear" w:color="auto" w:fill="FFFFFF"/>
        </w:rPr>
        <w:t xml:space="preserve">There were 53 different medications reported as taken in the timelines in the cases and 24 different medications mentioned in the control timelines. </w:t>
      </w:r>
      <w:r w:rsidRPr="00FB4F7D">
        <w:rPr>
          <w:rFonts w:cstheme="minorHAnsi"/>
        </w:rPr>
        <w:t>The number of women taking ‘probably safe medications only’, ‘at least one ‘potentially risky’ medication’, or ‘at least one unclassified medication’ was higher in the cases than in the controls (</w:t>
      </w:r>
      <w:r>
        <w:rPr>
          <w:rFonts w:cstheme="minorHAnsi"/>
        </w:rPr>
        <w:t>42/196, 21%</w:t>
      </w:r>
      <w:r w:rsidRPr="00FB4F7D">
        <w:rPr>
          <w:rFonts w:cstheme="minorHAnsi"/>
        </w:rPr>
        <w:t xml:space="preserve"> vs </w:t>
      </w:r>
      <w:r>
        <w:rPr>
          <w:rFonts w:cstheme="minorHAnsi"/>
        </w:rPr>
        <w:t>22/196, 11%</w:t>
      </w:r>
      <w:r w:rsidRPr="00FB4F7D">
        <w:rPr>
          <w:rFonts w:cstheme="minorHAnsi"/>
        </w:rPr>
        <w:t xml:space="preserve">, </w:t>
      </w:r>
      <w:r>
        <w:rPr>
          <w:rFonts w:cstheme="minorHAnsi"/>
        </w:rPr>
        <w:t>14/196, 14%</w:t>
      </w:r>
      <w:r w:rsidRPr="00FB4F7D">
        <w:rPr>
          <w:rFonts w:cstheme="minorHAnsi"/>
        </w:rPr>
        <w:t xml:space="preserve"> vs </w:t>
      </w:r>
      <w:r>
        <w:rPr>
          <w:rFonts w:cstheme="minorHAnsi"/>
        </w:rPr>
        <w:t>6/196, 3%</w:t>
      </w:r>
      <w:r w:rsidRPr="00FB4F7D">
        <w:rPr>
          <w:rFonts w:cstheme="minorHAnsi"/>
        </w:rPr>
        <w:t xml:space="preserve">, </w:t>
      </w:r>
      <w:r>
        <w:rPr>
          <w:rFonts w:cstheme="minorHAnsi"/>
        </w:rPr>
        <w:t>12/196, 6%</w:t>
      </w:r>
      <w:r w:rsidRPr="00FB4F7D">
        <w:rPr>
          <w:rFonts w:cstheme="minorHAnsi"/>
        </w:rPr>
        <w:t xml:space="preserve"> vs </w:t>
      </w:r>
      <w:r>
        <w:rPr>
          <w:rFonts w:cstheme="minorHAnsi"/>
        </w:rPr>
        <w:t>6/196, 3%</w:t>
      </w:r>
      <w:r w:rsidRPr="00FB4F7D">
        <w:rPr>
          <w:rFonts w:cstheme="minorHAnsi"/>
        </w:rPr>
        <w:t xml:space="preserve"> respectively)  (Table 3).</w:t>
      </w:r>
      <w:r>
        <w:rPr>
          <w:rFonts w:cstheme="minorHAnsi"/>
        </w:rPr>
        <w:t xml:space="preserve"> </w:t>
      </w:r>
      <w:r w:rsidRPr="00FB4F7D">
        <w:rPr>
          <w:rFonts w:cstheme="minorHAnsi"/>
        </w:rPr>
        <w:t xml:space="preserve">If we limit our analysis to only those women who reported taking at least one medication we find that the pattern of intake by type of medication is very similar in the cases and controls </w:t>
      </w:r>
      <w:r>
        <w:rPr>
          <w:rFonts w:cstheme="minorHAnsi"/>
        </w:rPr>
        <w:t xml:space="preserve">(62% vs 65%, 21% vs 18%, 18% vs 18%) </w:t>
      </w:r>
      <w:r w:rsidRPr="00FB4F7D">
        <w:rPr>
          <w:rFonts w:cstheme="minorHAnsi"/>
        </w:rPr>
        <w:t>(P=0.9) (Table 3).</w:t>
      </w:r>
    </w:p>
    <w:p w14:paraId="0C5F1ED2" w14:textId="77777777" w:rsidR="00463FA6" w:rsidRPr="00631B09" w:rsidRDefault="00463FA6" w:rsidP="00907BA4">
      <w:pPr>
        <w:pStyle w:val="Heading3"/>
        <w:rPr>
          <w:rFonts w:asciiTheme="minorHAnsi" w:hAnsiTheme="minorHAnsi" w:cstheme="minorHAnsi"/>
          <w:sz w:val="22"/>
          <w:szCs w:val="22"/>
        </w:rPr>
      </w:pPr>
      <w:r>
        <w:rPr>
          <w:rFonts w:asciiTheme="minorHAnsi" w:hAnsiTheme="minorHAnsi" w:cstheme="minorHAnsi"/>
          <w:sz w:val="22"/>
          <w:szCs w:val="22"/>
        </w:rPr>
        <w:t xml:space="preserve">3.2 </w:t>
      </w:r>
      <w:r w:rsidRPr="00631B09">
        <w:rPr>
          <w:rFonts w:asciiTheme="minorHAnsi" w:hAnsiTheme="minorHAnsi" w:cstheme="minorHAnsi"/>
          <w:sz w:val="22"/>
          <w:szCs w:val="22"/>
        </w:rPr>
        <w:t>Predictors of birth defects</w:t>
      </w:r>
    </w:p>
    <w:p w14:paraId="382E1E47" w14:textId="77777777" w:rsidR="00463FA6" w:rsidRPr="00FB4F7D" w:rsidRDefault="00463FA6" w:rsidP="00BB5638">
      <w:pPr>
        <w:rPr>
          <w:rFonts w:cstheme="minorHAnsi"/>
          <w:lang w:val="en-US"/>
        </w:rPr>
      </w:pPr>
      <w:r w:rsidRPr="006B0226">
        <w:rPr>
          <w:rFonts w:cstheme="minorHAnsi"/>
          <w:lang w:val="en-US"/>
        </w:rPr>
        <w:t xml:space="preserve">Using logistic regression, medication use was associated with greater risk of birth defects (OR = 2.53, P </w:t>
      </w:r>
      <w:r>
        <w:rPr>
          <w:rFonts w:cstheme="minorHAnsi"/>
          <w:lang w:val="en-US"/>
        </w:rPr>
        <w:t>&lt;</w:t>
      </w:r>
      <w:r w:rsidRPr="006B0226">
        <w:rPr>
          <w:rFonts w:cstheme="minorHAnsi"/>
          <w:lang w:val="en-US"/>
        </w:rPr>
        <w:t xml:space="preserve"> 0.001, 95% CI = 1.58 to 4.06). This result was not appreciably altered after adjusting for age, ethnicity and country of residen</w:t>
      </w:r>
      <w:r w:rsidRPr="00FB4F7D">
        <w:rPr>
          <w:rFonts w:cstheme="minorHAnsi"/>
          <w:lang w:val="en-US"/>
        </w:rPr>
        <w:t xml:space="preserve">ce. </w:t>
      </w:r>
      <w:r>
        <w:rPr>
          <w:rFonts w:cstheme="minorHAnsi"/>
          <w:lang w:val="en-US"/>
        </w:rPr>
        <w:t xml:space="preserve">In multivariable models, </w:t>
      </w:r>
      <w:r w:rsidRPr="00FB4F7D">
        <w:rPr>
          <w:rFonts w:cstheme="minorHAnsi"/>
          <w:lang w:val="en-US"/>
        </w:rPr>
        <w:t xml:space="preserve">the </w:t>
      </w:r>
      <w:r>
        <w:rPr>
          <w:rFonts w:cstheme="minorHAnsi"/>
          <w:lang w:val="en-US"/>
        </w:rPr>
        <w:t xml:space="preserve">association between any </w:t>
      </w:r>
      <w:r w:rsidRPr="00FB4F7D">
        <w:rPr>
          <w:rFonts w:cstheme="minorHAnsi"/>
          <w:lang w:val="en-US"/>
        </w:rPr>
        <w:t xml:space="preserve">medication </w:t>
      </w:r>
      <w:r>
        <w:rPr>
          <w:rFonts w:cstheme="minorHAnsi"/>
          <w:lang w:val="en-US"/>
        </w:rPr>
        <w:t xml:space="preserve">use and risk of birth defects </w:t>
      </w:r>
      <w:r w:rsidRPr="00FB4F7D">
        <w:rPr>
          <w:rFonts w:cstheme="minorHAnsi"/>
          <w:lang w:val="en-US"/>
        </w:rPr>
        <w:t>was slightly reduced (OR = 2.34, P = 0.004, 95% CI = 1.24 to 4.44),</w:t>
      </w:r>
      <w:r>
        <w:rPr>
          <w:rFonts w:cstheme="minorHAnsi"/>
          <w:lang w:val="en-US"/>
        </w:rPr>
        <w:t xml:space="preserve"> but</w:t>
      </w:r>
      <w:r w:rsidRPr="00FB4F7D">
        <w:rPr>
          <w:rFonts w:cstheme="minorHAnsi"/>
          <w:lang w:val="en-US"/>
        </w:rPr>
        <w:t xml:space="preserve"> it remained highly significant (Table 5). </w:t>
      </w:r>
    </w:p>
    <w:p w14:paraId="5C4C6847" w14:textId="77777777" w:rsidR="00463FA6" w:rsidRPr="00FB4F7D" w:rsidRDefault="00463FA6" w:rsidP="00BB5638">
      <w:pPr>
        <w:rPr>
          <w:rFonts w:cstheme="minorHAnsi"/>
          <w:lang w:val="en-US"/>
        </w:rPr>
      </w:pPr>
      <w:r w:rsidRPr="00FB4F7D">
        <w:rPr>
          <w:rFonts w:cstheme="minorHAnsi"/>
          <w:lang w:val="en-US"/>
        </w:rPr>
        <w:t xml:space="preserve">Conducting a one factor analysis for age, ethnicity and residence we found that older women were more likely to report birth defects (Age (per year): OR = 1.10, P = &lt;0.001, 95% CI = 1.05 to 1.15) (Table 5). However, when ethnicity and residence were included in the model as categorical factors, ethnicity was statistically significant (P = 0.008), country of residence was not (P = 0.3). For both categorical variables, missing was included as a category, and caution must be taken in interpreting </w:t>
      </w:r>
      <w:r>
        <w:rPr>
          <w:rFonts w:cstheme="minorHAnsi"/>
          <w:lang w:val="en-US"/>
        </w:rPr>
        <w:t>these results</w:t>
      </w:r>
      <w:r w:rsidRPr="00FB4F7D">
        <w:rPr>
          <w:rFonts w:cstheme="minorHAnsi"/>
          <w:lang w:val="en-US"/>
        </w:rPr>
        <w:t>.</w:t>
      </w:r>
    </w:p>
    <w:p w14:paraId="7A494781" w14:textId="77777777" w:rsidR="00463FA6" w:rsidRPr="008A10E7" w:rsidRDefault="00463FA6" w:rsidP="00792030">
      <w:pPr>
        <w:pStyle w:val="Heading2"/>
        <w:numPr>
          <w:ilvl w:val="0"/>
          <w:numId w:val="14"/>
        </w:numPr>
        <w:rPr>
          <w:rFonts w:asciiTheme="minorHAnsi" w:hAnsiTheme="minorHAnsi" w:cstheme="minorHAnsi"/>
          <w:sz w:val="22"/>
          <w:szCs w:val="22"/>
          <w:shd w:val="clear" w:color="auto" w:fill="FFFFFF"/>
        </w:rPr>
      </w:pPr>
      <w:r w:rsidRPr="008A10E7">
        <w:rPr>
          <w:rFonts w:asciiTheme="minorHAnsi" w:hAnsiTheme="minorHAnsi" w:cstheme="minorHAnsi"/>
          <w:sz w:val="22"/>
          <w:szCs w:val="22"/>
          <w:shd w:val="clear" w:color="auto" w:fill="FFFFFF"/>
        </w:rPr>
        <w:t>Discussion</w:t>
      </w:r>
    </w:p>
    <w:p w14:paraId="6849064A" w14:textId="77777777" w:rsidR="00463FA6" w:rsidRPr="00FB4F7D" w:rsidRDefault="00463FA6" w:rsidP="00FC4584">
      <w:pPr>
        <w:rPr>
          <w:rFonts w:cstheme="minorHAnsi"/>
        </w:rPr>
      </w:pPr>
      <w:r w:rsidRPr="006B0226">
        <w:rPr>
          <w:rFonts w:cstheme="minorHAnsi"/>
        </w:rPr>
        <w:t xml:space="preserve">We have demonstrated </w:t>
      </w:r>
      <w:r>
        <w:rPr>
          <w:rFonts w:cstheme="minorHAnsi"/>
        </w:rPr>
        <w:t xml:space="preserve">that </w:t>
      </w:r>
      <w:r w:rsidRPr="006B0226">
        <w:rPr>
          <w:rFonts w:cstheme="minorHAnsi"/>
        </w:rPr>
        <w:t>the</w:t>
      </w:r>
      <w:r>
        <w:rPr>
          <w:rFonts w:cstheme="minorHAnsi"/>
        </w:rPr>
        <w:t>re is</w:t>
      </w:r>
      <w:r w:rsidRPr="006B0226">
        <w:rPr>
          <w:rFonts w:cstheme="minorHAnsi"/>
        </w:rPr>
        <w:t xml:space="preserve"> </w:t>
      </w:r>
      <w:r>
        <w:rPr>
          <w:rFonts w:cstheme="minorHAnsi"/>
        </w:rPr>
        <w:t xml:space="preserve">a </w:t>
      </w:r>
      <w:r w:rsidRPr="006B0226">
        <w:rPr>
          <w:rFonts w:cstheme="minorHAnsi"/>
        </w:rPr>
        <w:t xml:space="preserve">large amount of data </w:t>
      </w:r>
      <w:r>
        <w:rPr>
          <w:rFonts w:cstheme="minorHAnsi"/>
        </w:rPr>
        <w:t xml:space="preserve">publicly </w:t>
      </w:r>
      <w:r w:rsidRPr="006B0226">
        <w:rPr>
          <w:rFonts w:cstheme="minorHAnsi"/>
        </w:rPr>
        <w:t xml:space="preserve">available on social media, specifically Twitter, </w:t>
      </w:r>
      <w:r>
        <w:rPr>
          <w:rFonts w:cstheme="minorHAnsi"/>
        </w:rPr>
        <w:t>from</w:t>
      </w:r>
      <w:r w:rsidRPr="006B0226">
        <w:rPr>
          <w:rFonts w:cstheme="minorHAnsi"/>
        </w:rPr>
        <w:t xml:space="preserve"> women during their pregnancy and on their pregnancy outcome</w:t>
      </w:r>
      <w:r>
        <w:rPr>
          <w:rFonts w:cstheme="minorHAnsi"/>
        </w:rPr>
        <w:t>s,</w:t>
      </w:r>
      <w:r w:rsidRPr="006B0226">
        <w:rPr>
          <w:rFonts w:cstheme="minorHAnsi"/>
        </w:rPr>
        <w:t xml:space="preserve"> with many women posting on a daily basis. </w:t>
      </w:r>
      <w:r>
        <w:rPr>
          <w:rFonts w:cstheme="minorHAnsi"/>
        </w:rPr>
        <w:t>From these data, w</w:t>
      </w:r>
      <w:r w:rsidRPr="006B0226">
        <w:rPr>
          <w:rFonts w:cstheme="minorHAnsi"/>
        </w:rPr>
        <w:t>e create</w:t>
      </w:r>
      <w:r>
        <w:rPr>
          <w:rFonts w:cstheme="minorHAnsi"/>
        </w:rPr>
        <w:t>d</w:t>
      </w:r>
      <w:r w:rsidRPr="006B0226">
        <w:rPr>
          <w:rFonts w:cstheme="minorHAnsi"/>
        </w:rPr>
        <w:t xml:space="preserve"> a prospective timeline </w:t>
      </w:r>
      <w:r w:rsidRPr="00FB4F7D">
        <w:rPr>
          <w:rFonts w:cstheme="minorHAnsi"/>
        </w:rPr>
        <w:t xml:space="preserve">for women posting on social media regarding their pregnancies. We were also able to extract information on birth defects, </w:t>
      </w:r>
      <w:r>
        <w:rPr>
          <w:rFonts w:cstheme="minorHAnsi"/>
          <w:lang w:val="en-US"/>
        </w:rPr>
        <w:t>lifestyle</w:t>
      </w:r>
      <w:r w:rsidRPr="00FB4F7D">
        <w:rPr>
          <w:rFonts w:cstheme="minorHAnsi"/>
        </w:rPr>
        <w:t xml:space="preserve"> factors and medication intake</w:t>
      </w:r>
      <w:r>
        <w:rPr>
          <w:rFonts w:cstheme="minorHAnsi"/>
        </w:rPr>
        <w:t>,</w:t>
      </w:r>
      <w:r w:rsidRPr="00FB4F7D">
        <w:rPr>
          <w:rFonts w:cstheme="minorHAnsi"/>
        </w:rPr>
        <w:t xml:space="preserve"> including the frequency, timing and type of medication use before and during the gestational period. However, the main results of the pilot study demonstrated a rate of malformations lower (0.44%) than the rate reported in the general population (3%), highlighting incompleteness and bias in social media data</w:t>
      </w:r>
      <w:r>
        <w:rPr>
          <w:rFonts w:cstheme="minorHAnsi"/>
        </w:rPr>
        <w:t xml:space="preserve"> with respect to sensitive medical information such as birth defects</w:t>
      </w:r>
      <w:r w:rsidRPr="00FB4F7D">
        <w:rPr>
          <w:rFonts w:cstheme="minorHAnsi"/>
        </w:rPr>
        <w:t>.</w:t>
      </w:r>
    </w:p>
    <w:p w14:paraId="54832A69" w14:textId="77777777" w:rsidR="00463FA6" w:rsidRPr="00FB4F7D" w:rsidRDefault="00463FA6" w:rsidP="00FC4584">
      <w:pPr>
        <w:rPr>
          <w:rFonts w:cstheme="minorHAnsi"/>
        </w:rPr>
      </w:pPr>
      <w:r w:rsidRPr="00FB4F7D">
        <w:rPr>
          <w:rFonts w:cstheme="minorHAnsi"/>
        </w:rPr>
        <w:t>Our analytic approach</w:t>
      </w:r>
      <w:r>
        <w:rPr>
          <w:rFonts w:cstheme="minorHAnsi"/>
        </w:rPr>
        <w:t xml:space="preserve"> to social media data</w:t>
      </w:r>
      <w:r w:rsidRPr="00FB4F7D">
        <w:rPr>
          <w:rFonts w:cstheme="minorHAnsi"/>
        </w:rPr>
        <w:t xml:space="preserve"> included a nested case-control study comparing exposures among women who gave birth to babies with a birth defect to women whose baby did not have a birth defect. We found that women who gave birth to babies with a birth defect were more likely to be older, Caucasian and live outside of the US.  Even after accounting for age, race and place of residence between cases and controls, a higher medication intake was observed in pregnancies that reported birth defects.  However, women who gave birth to babies with a birth defect also had a higher rate of missing data, limiting the causal inferences that can be made from </w:t>
      </w:r>
      <w:r w:rsidRPr="00FB4F7D">
        <w:rPr>
          <w:rFonts w:cstheme="minorHAnsi"/>
        </w:rPr>
        <w:lastRenderedPageBreak/>
        <w:t xml:space="preserve">this analysis. As automated methods for annotation of key demographic, medical and social data are further refined and validated, </w:t>
      </w:r>
      <w:r>
        <w:rPr>
          <w:rFonts w:cstheme="minorHAnsi"/>
        </w:rPr>
        <w:t xml:space="preserve">a </w:t>
      </w:r>
      <w:r w:rsidRPr="00FB4F7D">
        <w:rPr>
          <w:rFonts w:cstheme="minorHAnsi"/>
        </w:rPr>
        <w:t xml:space="preserve">nested case-control study design will be the ideal study design to assess pregnancy outcomes from social media data sources due to the rarity of birth defects in the population </w:t>
      </w:r>
      <w:r>
        <w:rPr>
          <w:rFonts w:cstheme="minorHAnsi"/>
          <w:noProof/>
        </w:rPr>
        <w:t>[6]</w:t>
      </w:r>
      <w:r w:rsidRPr="00FB4F7D">
        <w:rPr>
          <w:rFonts w:cstheme="minorHAnsi"/>
        </w:rPr>
        <w:t>.</w:t>
      </w:r>
    </w:p>
    <w:p w14:paraId="46FEDCB4" w14:textId="77777777" w:rsidR="00463FA6" w:rsidRDefault="00463FA6" w:rsidP="00713B65">
      <w:pPr>
        <w:rPr>
          <w:rFonts w:cstheme="minorHAnsi"/>
          <w:shd w:val="clear" w:color="auto" w:fill="FFFFFF"/>
        </w:rPr>
      </w:pPr>
      <w:r w:rsidRPr="00FB4F7D">
        <w:rPr>
          <w:rFonts w:cstheme="minorHAnsi"/>
        </w:rPr>
        <w:t xml:space="preserve">There are a number of </w:t>
      </w:r>
      <w:r>
        <w:rPr>
          <w:rFonts w:cstheme="minorHAnsi"/>
        </w:rPr>
        <w:t xml:space="preserve">potential </w:t>
      </w:r>
      <w:r w:rsidRPr="00FB4F7D">
        <w:rPr>
          <w:rFonts w:cstheme="minorHAnsi"/>
        </w:rPr>
        <w:t xml:space="preserve">benefits </w:t>
      </w:r>
      <w:r>
        <w:rPr>
          <w:rFonts w:cstheme="minorHAnsi"/>
        </w:rPr>
        <w:t xml:space="preserve">of </w:t>
      </w:r>
      <w:r w:rsidRPr="00FB4F7D">
        <w:rPr>
          <w:rFonts w:cstheme="minorHAnsi"/>
        </w:rPr>
        <w:t xml:space="preserve">social media </w:t>
      </w:r>
      <w:r>
        <w:rPr>
          <w:rFonts w:cstheme="minorHAnsi"/>
        </w:rPr>
        <w:t xml:space="preserve">data </w:t>
      </w:r>
      <w:r w:rsidRPr="00FB4F7D">
        <w:rPr>
          <w:rFonts w:cstheme="minorHAnsi"/>
        </w:rPr>
        <w:t>as an alternative to pregnancy registries. First,</w:t>
      </w:r>
      <w:r>
        <w:rPr>
          <w:rFonts w:cstheme="minorHAnsi"/>
        </w:rPr>
        <w:t xml:space="preserve"> even if</w:t>
      </w:r>
      <w:r w:rsidRPr="00FB4F7D">
        <w:rPr>
          <w:rFonts w:cstheme="minorHAnsi"/>
        </w:rPr>
        <w:t xml:space="preserve"> the women may </w:t>
      </w:r>
      <w:r>
        <w:rPr>
          <w:rFonts w:cstheme="minorHAnsi"/>
        </w:rPr>
        <w:t>be</w:t>
      </w:r>
      <w:r w:rsidRPr="00FB4F7D">
        <w:rPr>
          <w:rFonts w:cstheme="minorHAnsi"/>
        </w:rPr>
        <w:t xml:space="preserve"> identified later in their pregnancies, </w:t>
      </w:r>
      <w:r>
        <w:rPr>
          <w:rFonts w:cstheme="minorHAnsi"/>
        </w:rPr>
        <w:t>data are collected</w:t>
      </w:r>
      <w:r w:rsidRPr="00FB4F7D">
        <w:rPr>
          <w:rFonts w:cstheme="minorHAnsi"/>
        </w:rPr>
        <w:t xml:space="preserve"> prospective</w:t>
      </w:r>
      <w:r>
        <w:rPr>
          <w:rFonts w:cstheme="minorHAnsi"/>
        </w:rPr>
        <w:t xml:space="preserve">ly, </w:t>
      </w:r>
      <w:r w:rsidRPr="00FB4F7D">
        <w:rPr>
          <w:rFonts w:cstheme="minorHAnsi"/>
        </w:rPr>
        <w:t xml:space="preserve">therefore reducing or eliminating recall bias. </w:t>
      </w:r>
      <w:r>
        <w:rPr>
          <w:rFonts w:cstheme="minorHAnsi"/>
        </w:rPr>
        <w:t>Other</w:t>
      </w:r>
      <w:r w:rsidRPr="00FB4F7D">
        <w:rPr>
          <w:rFonts w:cstheme="minorHAnsi"/>
        </w:rPr>
        <w:t xml:space="preserve"> advantage</w:t>
      </w:r>
      <w:r>
        <w:rPr>
          <w:rFonts w:cstheme="minorHAnsi"/>
        </w:rPr>
        <w:t>s are</w:t>
      </w:r>
      <w:r w:rsidRPr="00FB4F7D">
        <w:rPr>
          <w:rFonts w:cstheme="minorHAnsi"/>
        </w:rPr>
        <w:t xml:space="preserve"> the </w:t>
      </w:r>
      <w:r>
        <w:rPr>
          <w:rFonts w:cstheme="minorHAnsi"/>
        </w:rPr>
        <w:t>potential availability of data on</w:t>
      </w:r>
      <w:r w:rsidRPr="00FB4F7D">
        <w:rPr>
          <w:rFonts w:cstheme="minorHAnsi"/>
        </w:rPr>
        <w:t xml:space="preserve"> OTCs, illicit drugs and </w:t>
      </w:r>
      <w:r>
        <w:rPr>
          <w:rFonts w:cstheme="minorHAnsi"/>
          <w:lang w:val="en-US"/>
        </w:rPr>
        <w:t>lifestyle</w:t>
      </w:r>
      <w:r w:rsidRPr="00FB4F7D">
        <w:rPr>
          <w:rFonts w:cstheme="minorHAnsi"/>
        </w:rPr>
        <w:t xml:space="preserve"> factors such as smoking and alcohol that are not captured during routine healthcare encounters and </w:t>
      </w:r>
      <w:r>
        <w:rPr>
          <w:rFonts w:cstheme="minorHAnsi"/>
        </w:rPr>
        <w:t>other secondary</w:t>
      </w:r>
      <w:r w:rsidRPr="00FB4F7D">
        <w:rPr>
          <w:rFonts w:cstheme="minorHAnsi"/>
        </w:rPr>
        <w:t xml:space="preserve"> data</w:t>
      </w:r>
      <w:r>
        <w:rPr>
          <w:rFonts w:cstheme="minorHAnsi"/>
        </w:rPr>
        <w:t xml:space="preserve"> </w:t>
      </w:r>
      <w:r w:rsidRPr="00FB4F7D">
        <w:rPr>
          <w:rFonts w:cstheme="minorHAnsi"/>
        </w:rPr>
        <w:t>source</w:t>
      </w:r>
      <w:r>
        <w:rPr>
          <w:rFonts w:cstheme="minorHAnsi"/>
        </w:rPr>
        <w:t>s</w:t>
      </w:r>
      <w:r w:rsidRPr="00FB4F7D">
        <w:rPr>
          <w:rFonts w:cstheme="minorHAnsi"/>
        </w:rPr>
        <w:t xml:space="preserve">. Another benefit of social media </w:t>
      </w:r>
      <w:r>
        <w:rPr>
          <w:rFonts w:cstheme="minorHAnsi"/>
        </w:rPr>
        <w:t xml:space="preserve">data </w:t>
      </w:r>
      <w:r w:rsidRPr="00FB4F7D">
        <w:rPr>
          <w:rFonts w:cstheme="minorHAnsi"/>
        </w:rPr>
        <w:t xml:space="preserve">is </w:t>
      </w:r>
      <w:r>
        <w:rPr>
          <w:rFonts w:cstheme="minorHAnsi"/>
        </w:rPr>
        <w:t>that a</w:t>
      </w:r>
      <w:r w:rsidRPr="00FB4F7D">
        <w:rPr>
          <w:rFonts w:cstheme="minorHAnsi"/>
        </w:rPr>
        <w:t xml:space="preserve"> comparator group of unexposed pregnant women can be ascertained, </w:t>
      </w:r>
      <w:r w:rsidRPr="007B4A1C">
        <w:rPr>
          <w:rFonts w:cstheme="minorHAnsi"/>
        </w:rPr>
        <w:t xml:space="preserve">which is often lacking in traditional registries. </w:t>
      </w:r>
      <w:r w:rsidRPr="007B4A1C">
        <w:rPr>
          <w:rFonts w:cstheme="minorHAnsi"/>
          <w:shd w:val="clear" w:color="auto" w:fill="FFFFFF"/>
        </w:rPr>
        <w:t xml:space="preserve">Additionally, although not the focus of our investigation, social media posts contained many adverse pregnancy outcomes, such as early pregnancy loss, low birth weight and premature delivery, that are not the primary outcomes of interest </w:t>
      </w:r>
      <w:r w:rsidRPr="00E85225">
        <w:rPr>
          <w:rFonts w:cstheme="minorHAnsi"/>
          <w:shd w:val="clear" w:color="auto" w:fill="FFFFFF"/>
        </w:rPr>
        <w:t>in</w:t>
      </w:r>
      <w:r>
        <w:rPr>
          <w:rFonts w:cstheme="minorHAnsi"/>
          <w:shd w:val="clear" w:color="auto" w:fill="FFFFFF"/>
        </w:rPr>
        <w:t xml:space="preserve"> </w:t>
      </w:r>
      <w:r w:rsidRPr="007B4A1C">
        <w:rPr>
          <w:rFonts w:cstheme="minorHAnsi"/>
          <w:shd w:val="clear" w:color="auto" w:fill="FFFFFF"/>
        </w:rPr>
        <w:t>pregnancy registries</w:t>
      </w:r>
      <w:r w:rsidRPr="00FB4F7D">
        <w:rPr>
          <w:rFonts w:cstheme="minorHAnsi"/>
          <w:shd w:val="clear" w:color="auto" w:fill="FFFFFF"/>
        </w:rPr>
        <w:t xml:space="preserve"> </w:t>
      </w:r>
    </w:p>
    <w:p w14:paraId="3A65C812" w14:textId="77777777" w:rsidR="00463FA6" w:rsidRDefault="00463FA6" w:rsidP="00957B24">
      <w:pPr>
        <w:rPr>
          <w:rFonts w:cstheme="minorHAnsi"/>
        </w:rPr>
      </w:pPr>
      <w:r>
        <w:rPr>
          <w:rFonts w:cstheme="minorHAnsi"/>
          <w:shd w:val="clear" w:color="auto" w:fill="FFFFFF"/>
        </w:rPr>
        <w:t>Conversely, t</w:t>
      </w:r>
      <w:r w:rsidRPr="00FB4F7D">
        <w:rPr>
          <w:rFonts w:cstheme="minorHAnsi"/>
          <w:shd w:val="clear" w:color="auto" w:fill="FFFFFF"/>
        </w:rPr>
        <w:t>he</w:t>
      </w:r>
      <w:r>
        <w:rPr>
          <w:rFonts w:cstheme="minorHAnsi"/>
          <w:shd w:val="clear" w:color="auto" w:fill="FFFFFF"/>
        </w:rPr>
        <w:t xml:space="preserve">re are several </w:t>
      </w:r>
      <w:r w:rsidRPr="00FB4F7D">
        <w:rPr>
          <w:rFonts w:cstheme="minorHAnsi"/>
          <w:shd w:val="clear" w:color="auto" w:fill="FFFFFF"/>
        </w:rPr>
        <w:t>drawbacks of social med</w:t>
      </w:r>
      <w:r>
        <w:rPr>
          <w:rFonts w:cstheme="minorHAnsi"/>
          <w:shd w:val="clear" w:color="auto" w:fill="FFFFFF"/>
        </w:rPr>
        <w:t>i</w:t>
      </w:r>
      <w:r w:rsidRPr="00FB4F7D">
        <w:rPr>
          <w:rFonts w:cstheme="minorHAnsi"/>
          <w:shd w:val="clear" w:color="auto" w:fill="FFFFFF"/>
        </w:rPr>
        <w:t>a</w:t>
      </w:r>
      <w:r>
        <w:rPr>
          <w:rFonts w:cstheme="minorHAnsi"/>
          <w:shd w:val="clear" w:color="auto" w:fill="FFFFFF"/>
        </w:rPr>
        <w:t xml:space="preserve"> data. First, there</w:t>
      </w:r>
      <w:r w:rsidRPr="00FB4F7D">
        <w:rPr>
          <w:rFonts w:cstheme="minorHAnsi"/>
          <w:shd w:val="clear" w:color="auto" w:fill="FFFFFF"/>
        </w:rPr>
        <w:t xml:space="preserve"> are potential differences in key factors associated with birth defects when compared to the general population </w:t>
      </w:r>
      <w:r>
        <w:rPr>
          <w:rFonts w:cstheme="minorHAnsi"/>
          <w:noProof/>
          <w:shd w:val="clear" w:color="auto" w:fill="FFFFFF"/>
        </w:rPr>
        <w:t>[36]</w:t>
      </w:r>
      <w:r w:rsidRPr="00FB4F7D">
        <w:rPr>
          <w:rFonts w:cstheme="minorHAnsi"/>
          <w:shd w:val="clear" w:color="auto" w:fill="FFFFFF"/>
        </w:rPr>
        <w:t xml:space="preserve">. For example, the mean age of </w:t>
      </w:r>
      <w:r>
        <w:rPr>
          <w:rFonts w:cstheme="minorHAnsi"/>
          <w:shd w:val="clear" w:color="auto" w:fill="FFFFFF"/>
        </w:rPr>
        <w:t>the</w:t>
      </w:r>
      <w:r w:rsidRPr="00FB4F7D">
        <w:rPr>
          <w:rFonts w:cstheme="minorHAnsi"/>
          <w:shd w:val="clear" w:color="auto" w:fill="FFFFFF"/>
        </w:rPr>
        <w:t xml:space="preserve"> cases and control</w:t>
      </w:r>
      <w:r>
        <w:rPr>
          <w:rFonts w:cstheme="minorHAnsi"/>
          <w:shd w:val="clear" w:color="auto" w:fill="FFFFFF"/>
        </w:rPr>
        <w:t>s in this study was</w:t>
      </w:r>
      <w:r w:rsidRPr="00FB4F7D">
        <w:rPr>
          <w:rFonts w:cstheme="minorHAnsi"/>
          <w:shd w:val="clear" w:color="auto" w:fill="FFFFFF"/>
        </w:rPr>
        <w:t xml:space="preserve"> approximately 7 and 9 years younger than the general population,</w:t>
      </w:r>
      <w:r>
        <w:rPr>
          <w:rFonts w:cstheme="minorHAnsi"/>
          <w:shd w:val="clear" w:color="auto" w:fill="FFFFFF"/>
        </w:rPr>
        <w:t xml:space="preserve"> respectively,</w:t>
      </w:r>
      <w:r w:rsidRPr="00FB4F7D">
        <w:rPr>
          <w:rFonts w:cstheme="minorHAnsi"/>
          <w:shd w:val="clear" w:color="auto" w:fill="FFFFFF"/>
        </w:rPr>
        <w:t xml:space="preserve"> </w:t>
      </w:r>
      <w:r w:rsidRPr="00FB4F7D">
        <w:rPr>
          <w:rFonts w:cstheme="minorHAnsi"/>
        </w:rPr>
        <w:t xml:space="preserve">although this may be a reflection of the large number of women classified as having a missing age </w:t>
      </w:r>
      <w:r>
        <w:rPr>
          <w:rFonts w:cstheme="minorHAnsi"/>
          <w:noProof/>
        </w:rPr>
        <w:t>[37, 38]</w:t>
      </w:r>
      <w:r w:rsidRPr="00FB4F7D">
        <w:rPr>
          <w:rFonts w:cstheme="minorHAnsi"/>
        </w:rPr>
        <w:t>.</w:t>
      </w:r>
      <w:r w:rsidRPr="00F058DD">
        <w:t xml:space="preserve"> </w:t>
      </w:r>
      <w:r>
        <w:t>Other factors, such as the education levels and social class of social media users, may differ from the wider population.</w:t>
      </w:r>
      <w:r w:rsidRPr="00FB4F7D">
        <w:rPr>
          <w:rFonts w:cstheme="minorHAnsi"/>
        </w:rPr>
        <w:t xml:space="preserve"> Also, the proportion of women reporting </w:t>
      </w:r>
      <w:r w:rsidRPr="00FB4F7D">
        <w:rPr>
          <w:rFonts w:cstheme="minorHAnsi"/>
          <w:shd w:val="clear" w:color="auto" w:fill="FFFFFF"/>
        </w:rPr>
        <w:t xml:space="preserve">at least one medication use is low in both our cases and controls compared to other studies </w:t>
      </w:r>
      <w:r>
        <w:rPr>
          <w:rFonts w:cstheme="minorHAnsi"/>
          <w:noProof/>
          <w:shd w:val="clear" w:color="auto" w:fill="FFFFFF"/>
        </w:rPr>
        <w:t>[2]</w:t>
      </w:r>
      <w:r w:rsidRPr="00FB4F7D">
        <w:rPr>
          <w:rFonts w:cstheme="minorHAnsi"/>
          <w:shd w:val="clear" w:color="auto" w:fill="FFFFFF"/>
        </w:rPr>
        <w:t xml:space="preserve">. </w:t>
      </w:r>
      <w:r>
        <w:rPr>
          <w:rFonts w:cstheme="minorHAnsi"/>
          <w:shd w:val="clear" w:color="auto" w:fill="FFFFFF"/>
        </w:rPr>
        <w:t xml:space="preserve">Finally, the rate of birth defects in the social media population </w:t>
      </w:r>
      <w:r>
        <w:rPr>
          <w:rFonts w:cstheme="minorHAnsi"/>
        </w:rPr>
        <w:t>was lower than the rate in the general US population</w:t>
      </w:r>
      <w:r w:rsidRPr="00FB4F7D">
        <w:rPr>
          <w:rFonts w:cstheme="minorHAnsi"/>
        </w:rPr>
        <w:t xml:space="preserve"> </w:t>
      </w:r>
      <w:r>
        <w:rPr>
          <w:rFonts w:cstheme="minorHAnsi"/>
          <w:noProof/>
        </w:rPr>
        <w:t>[39, 40]</w:t>
      </w:r>
      <w:r w:rsidRPr="00FB4F7D">
        <w:rPr>
          <w:rFonts w:cstheme="minorHAnsi"/>
        </w:rPr>
        <w:t xml:space="preserve">. Reasons for </w:t>
      </w:r>
      <w:r>
        <w:rPr>
          <w:rFonts w:cstheme="minorHAnsi"/>
        </w:rPr>
        <w:t>the underes</w:t>
      </w:r>
      <w:r w:rsidRPr="00FB4F7D">
        <w:rPr>
          <w:rFonts w:cstheme="minorHAnsi"/>
        </w:rPr>
        <w:t xml:space="preserve">timation in </w:t>
      </w:r>
      <w:r>
        <w:rPr>
          <w:rFonts w:cstheme="minorHAnsi"/>
        </w:rPr>
        <w:t>the current</w:t>
      </w:r>
      <w:r w:rsidRPr="00FB4F7D">
        <w:rPr>
          <w:rFonts w:cstheme="minorHAnsi"/>
        </w:rPr>
        <w:t xml:space="preserve"> study include the incompleteness or underreporting of key information </w:t>
      </w:r>
      <w:r w:rsidRPr="00FB4F7D">
        <w:rPr>
          <w:rFonts w:cstheme="minorHAnsi"/>
          <w:shd w:val="clear" w:color="auto" w:fill="FFFFFF"/>
        </w:rPr>
        <w:t>due to multiple factors</w:t>
      </w:r>
      <w:r>
        <w:rPr>
          <w:rFonts w:cstheme="minorHAnsi"/>
          <w:shd w:val="clear" w:color="auto" w:fill="FFFFFF"/>
        </w:rPr>
        <w:t xml:space="preserve">, such as the fact that </w:t>
      </w:r>
      <w:r w:rsidRPr="00FB4F7D">
        <w:rPr>
          <w:rFonts w:cstheme="minorHAnsi"/>
          <w:shd w:val="clear" w:color="auto" w:fill="FFFFFF"/>
        </w:rPr>
        <w:t xml:space="preserve">women </w:t>
      </w:r>
      <w:r>
        <w:rPr>
          <w:rFonts w:cstheme="minorHAnsi"/>
          <w:shd w:val="clear" w:color="auto" w:fill="FFFFFF"/>
        </w:rPr>
        <w:t>may be</w:t>
      </w:r>
      <w:r w:rsidRPr="00FB4F7D">
        <w:rPr>
          <w:rFonts w:cstheme="minorHAnsi"/>
          <w:shd w:val="clear" w:color="auto" w:fill="FFFFFF"/>
        </w:rPr>
        <w:t xml:space="preserve"> less likely to report high risk behaviors </w:t>
      </w:r>
      <w:r>
        <w:rPr>
          <w:rFonts w:cstheme="minorHAnsi"/>
          <w:shd w:val="clear" w:color="auto" w:fill="FFFFFF"/>
        </w:rPr>
        <w:t xml:space="preserve">and </w:t>
      </w:r>
      <w:r w:rsidRPr="00FB4F7D">
        <w:rPr>
          <w:rFonts w:cstheme="minorHAnsi"/>
          <w:shd w:val="clear" w:color="auto" w:fill="FFFFFF"/>
        </w:rPr>
        <w:t xml:space="preserve">women who are aware that their babies may have a birth defect </w:t>
      </w:r>
      <w:r>
        <w:rPr>
          <w:rFonts w:cstheme="minorHAnsi"/>
          <w:shd w:val="clear" w:color="auto" w:fill="FFFFFF"/>
        </w:rPr>
        <w:t>may be</w:t>
      </w:r>
      <w:r w:rsidRPr="00FB4F7D">
        <w:rPr>
          <w:rFonts w:cstheme="minorHAnsi"/>
          <w:shd w:val="clear" w:color="auto" w:fill="FFFFFF"/>
        </w:rPr>
        <w:t xml:space="preserve"> less likely to discuss this information on social media. </w:t>
      </w:r>
      <w:r>
        <w:rPr>
          <w:rFonts w:cstheme="minorHAnsi"/>
          <w:shd w:val="clear" w:color="auto" w:fill="FFFFFF"/>
        </w:rPr>
        <w:t xml:space="preserve">Additionally, the NLP method used to </w:t>
      </w:r>
      <w:r>
        <w:rPr>
          <w:rFonts w:cstheme="minorHAnsi"/>
        </w:rPr>
        <w:t>identify birth defects might not be able to capture all such mentions and requires further development</w:t>
      </w:r>
      <w:r w:rsidRPr="00FB4F7D">
        <w:rPr>
          <w:rFonts w:cstheme="minorHAnsi"/>
        </w:rPr>
        <w:t xml:space="preserve">. </w:t>
      </w:r>
      <w:r>
        <w:rPr>
          <w:rFonts w:cstheme="minorHAnsi"/>
          <w:shd w:val="clear" w:color="auto" w:fill="FFFFFF"/>
        </w:rPr>
        <w:t>M</w:t>
      </w:r>
      <w:r w:rsidRPr="00FB4F7D">
        <w:rPr>
          <w:rFonts w:cstheme="minorHAnsi"/>
          <w:shd w:val="clear" w:color="auto" w:fill="FFFFFF"/>
        </w:rPr>
        <w:t>any women did not allude to the birth defects in much detail or with as much frequency as would be expected given the detail in their other posts while pregnant. Some women also played down any birth defect posting remarks such as ‘it’s no big deal but …’.</w:t>
      </w:r>
      <w:r w:rsidRPr="00FB4F7D">
        <w:rPr>
          <w:rFonts w:cstheme="minorHAnsi"/>
        </w:rPr>
        <w:t xml:space="preserve"> </w:t>
      </w:r>
    </w:p>
    <w:p w14:paraId="7660104B" w14:textId="5EE45C1D" w:rsidR="00463FA6" w:rsidRPr="00FB4F7D" w:rsidRDefault="00463FA6" w:rsidP="006063EF">
      <w:pPr>
        <w:rPr>
          <w:rFonts w:cstheme="minorHAnsi"/>
          <w:shd w:val="clear" w:color="auto" w:fill="FFFFFF"/>
        </w:rPr>
      </w:pPr>
      <w:r w:rsidRPr="00FB4F7D">
        <w:rPr>
          <w:rFonts w:cstheme="minorHAnsi"/>
          <w:shd w:val="clear" w:color="auto" w:fill="FFFFFF"/>
        </w:rPr>
        <w:t xml:space="preserve">Recent reviews of traditional pregnancy registries conducted by </w:t>
      </w:r>
      <w:r>
        <w:rPr>
          <w:rFonts w:cstheme="minorHAnsi"/>
          <w:shd w:val="clear" w:color="auto" w:fill="FFFFFF"/>
        </w:rPr>
        <w:t xml:space="preserve">the </w:t>
      </w:r>
      <w:r w:rsidRPr="00FB4F7D">
        <w:rPr>
          <w:rFonts w:cstheme="minorHAnsi"/>
          <w:shd w:val="clear" w:color="auto" w:fill="FFFFFF"/>
        </w:rPr>
        <w:t xml:space="preserve">FDA have identified key challenges in the recruitment of patients including the reduced likelihood of women to continue to use drugs that may be associated with birth defects </w:t>
      </w:r>
      <w:r>
        <w:rPr>
          <w:rFonts w:cstheme="minorHAnsi"/>
          <w:noProof/>
          <w:shd w:val="clear" w:color="auto" w:fill="FFFFFF"/>
        </w:rPr>
        <w:t>[41]</w:t>
      </w:r>
      <w:r w:rsidRPr="00FB4F7D">
        <w:rPr>
          <w:rFonts w:cstheme="minorHAnsi"/>
          <w:shd w:val="clear" w:color="auto" w:fill="FFFFFF"/>
        </w:rPr>
        <w:t xml:space="preserve"> and the widespread use of early prenatal screening </w:t>
      </w:r>
      <w:r>
        <w:rPr>
          <w:rFonts w:cstheme="minorHAnsi"/>
          <w:noProof/>
          <w:shd w:val="clear" w:color="auto" w:fill="FFFFFF"/>
        </w:rPr>
        <w:t>[8]</w:t>
      </w:r>
      <w:r w:rsidRPr="00FB4F7D">
        <w:rPr>
          <w:rFonts w:cstheme="minorHAnsi"/>
          <w:shd w:val="clear" w:color="auto" w:fill="FFFFFF"/>
        </w:rPr>
        <w:t xml:space="preserve">.  Social media has the potential to </w:t>
      </w:r>
      <w:r>
        <w:rPr>
          <w:rFonts w:cstheme="minorHAnsi"/>
          <w:shd w:val="clear" w:color="auto" w:fill="FFFFFF"/>
        </w:rPr>
        <w:t>identify</w:t>
      </w:r>
      <w:r w:rsidRPr="00FB4F7D">
        <w:rPr>
          <w:rFonts w:cstheme="minorHAnsi"/>
          <w:shd w:val="clear" w:color="auto" w:fill="FFFFFF"/>
        </w:rPr>
        <w:t xml:space="preserve"> women</w:t>
      </w:r>
      <w:r>
        <w:rPr>
          <w:rFonts w:cstheme="minorHAnsi"/>
          <w:shd w:val="clear" w:color="auto" w:fill="FFFFFF"/>
        </w:rPr>
        <w:t xml:space="preserve"> for recruitment</w:t>
      </w:r>
      <w:r w:rsidRPr="00FB4F7D">
        <w:rPr>
          <w:rFonts w:cstheme="minorHAnsi"/>
          <w:shd w:val="clear" w:color="auto" w:fill="FFFFFF"/>
        </w:rPr>
        <w:t xml:space="preserve"> into traditional registries even prior to conception, women who are exposed and unexposed to the drug of interest and reduce the recall bias associated with key </w:t>
      </w:r>
      <w:r>
        <w:rPr>
          <w:rFonts w:cstheme="minorHAnsi"/>
          <w:shd w:val="clear" w:color="auto" w:fill="FFFFFF"/>
        </w:rPr>
        <w:t>lifestyle</w:t>
      </w:r>
      <w:r w:rsidRPr="00FB4F7D">
        <w:rPr>
          <w:rFonts w:cstheme="minorHAnsi"/>
          <w:shd w:val="clear" w:color="auto" w:fill="FFFFFF"/>
        </w:rPr>
        <w:t xml:space="preserve"> and medical factors contributing to birth defects. This ability to </w:t>
      </w:r>
      <w:r>
        <w:rPr>
          <w:rFonts w:cstheme="minorHAnsi"/>
          <w:shd w:val="clear" w:color="auto" w:fill="FFFFFF"/>
        </w:rPr>
        <w:t xml:space="preserve">target and </w:t>
      </w:r>
      <w:r w:rsidRPr="00FB4F7D">
        <w:rPr>
          <w:rFonts w:cstheme="minorHAnsi"/>
          <w:shd w:val="clear" w:color="auto" w:fill="FFFFFF"/>
        </w:rPr>
        <w:t xml:space="preserve">recruit women from a larger pool would allow for assessment of birth defects with greater statistical power and the availability of non-exposed women provide greater clinical relevance to these statistical findings.  </w:t>
      </w:r>
      <w:r>
        <w:rPr>
          <w:rFonts w:cstheme="minorHAnsi"/>
          <w:shd w:val="clear" w:color="auto" w:fill="FFFFFF"/>
        </w:rPr>
        <w:t xml:space="preserve">The ethical issues around this active recruitment method need careful consideration </w:t>
      </w:r>
      <w:r>
        <w:rPr>
          <w:rFonts w:cstheme="minorHAnsi"/>
          <w:noProof/>
          <w:shd w:val="clear" w:color="auto" w:fill="FFFFFF"/>
        </w:rPr>
        <w:t>[42]</w:t>
      </w:r>
      <w:r>
        <w:rPr>
          <w:rFonts w:cstheme="minorHAnsi"/>
          <w:shd w:val="clear" w:color="auto" w:fill="FFFFFF"/>
        </w:rPr>
        <w:t xml:space="preserve">. </w:t>
      </w:r>
      <w:r w:rsidRPr="00FB4F7D">
        <w:rPr>
          <w:rFonts w:cstheme="minorHAnsi"/>
        </w:rPr>
        <w:t>It is anticipated that ethical approval and informed consent will be required to collect information this way and for its use for research purposes.</w:t>
      </w:r>
      <w:r>
        <w:rPr>
          <w:rFonts w:cstheme="minorHAnsi"/>
        </w:rPr>
        <w:t xml:space="preserve"> Guidelines to help assist researchers to consider the ethical issues for the many different approaches to using social media in research are available and continue to be developed </w:t>
      </w:r>
      <w:r>
        <w:rPr>
          <w:rFonts w:cstheme="minorHAnsi"/>
          <w:noProof/>
        </w:rPr>
        <w:t>[42]</w:t>
      </w:r>
      <w:r>
        <w:rPr>
          <w:rFonts w:cstheme="minorHAnsi"/>
        </w:rPr>
        <w:t>.</w:t>
      </w:r>
    </w:p>
    <w:p w14:paraId="5E5E07C1" w14:textId="77777777" w:rsidR="00463FA6" w:rsidRDefault="00463FA6" w:rsidP="00957B24">
      <w:r w:rsidRPr="00FB4F7D">
        <w:rPr>
          <w:rFonts w:cstheme="minorHAnsi"/>
          <w:shd w:val="clear" w:color="auto" w:fill="FFFFFF"/>
        </w:rPr>
        <w:t xml:space="preserve">The information from social media could also be used to inform public health and health promotion campaigns. Some of the medications identified among this study cohort are known to cause </w:t>
      </w:r>
      <w:r w:rsidRPr="00FB4F7D">
        <w:rPr>
          <w:rFonts w:cstheme="minorHAnsi"/>
          <w:shd w:val="clear" w:color="auto" w:fill="FFFFFF"/>
        </w:rPr>
        <w:lastRenderedPageBreak/>
        <w:t>problems during pregnancy</w:t>
      </w:r>
      <w:r>
        <w:rPr>
          <w:rFonts w:cstheme="minorHAnsi"/>
          <w:shd w:val="clear" w:color="auto" w:fill="FFFFFF"/>
        </w:rPr>
        <w:t xml:space="preserve"> </w:t>
      </w:r>
      <w:r>
        <w:rPr>
          <w:rFonts w:cstheme="minorHAnsi"/>
          <w:noProof/>
          <w:shd w:val="clear" w:color="auto" w:fill="FFFFFF"/>
        </w:rPr>
        <w:t>[43]</w:t>
      </w:r>
      <w:r>
        <w:rPr>
          <w:rFonts w:cstheme="minorHAnsi"/>
          <w:shd w:val="clear" w:color="auto" w:fill="FFFFFF"/>
        </w:rPr>
        <w:t xml:space="preserve"> </w:t>
      </w:r>
      <w:r w:rsidRPr="00FB4F7D">
        <w:rPr>
          <w:rFonts w:cstheme="minorHAnsi"/>
          <w:shd w:val="clear" w:color="auto" w:fill="FFFFFF"/>
        </w:rPr>
        <w:t>and many have safer alternatives. The patterns of medication intake could be used to prioritize which medications should be highlighted as potentially unsafe during pregnancy in public health messages. For instance, the risks associated with use of ibuprofen during pregnancy may not be understood by women</w:t>
      </w:r>
      <w:r>
        <w:rPr>
          <w:rFonts w:cstheme="minorHAnsi"/>
          <w:shd w:val="clear" w:color="auto" w:fill="FFFFFF"/>
        </w:rPr>
        <w:t xml:space="preserve">. </w:t>
      </w:r>
      <w:r>
        <w:t xml:space="preserve">While data are mixed, non-steroidal anti-inflammatory medications (NSAIDs) such as ibuprofen, have been linked to an increased risk of spontaneous abortion and congenital malformations when taken in the first trimester </w:t>
      </w:r>
      <w:r>
        <w:rPr>
          <w:noProof/>
        </w:rPr>
        <w:t xml:space="preserve">[43-45] </w:t>
      </w:r>
      <w:r>
        <w:t xml:space="preserve">and linked to renal impairment and cardiopulmonary abnormalities in the neonate when taken later in pregnancy </w:t>
      </w:r>
      <w:r>
        <w:rPr>
          <w:noProof/>
        </w:rPr>
        <w:t>[46]</w:t>
      </w:r>
      <w:r>
        <w:t xml:space="preserve">. Additionally, there have been reports on an increased risk of postpartum hemorrhage for women exposed to NSAIDs </w:t>
      </w:r>
      <w:r>
        <w:rPr>
          <w:noProof/>
        </w:rPr>
        <w:t>[44]</w:t>
      </w:r>
      <w:r>
        <w:t xml:space="preserve">. </w:t>
      </w:r>
    </w:p>
    <w:p w14:paraId="585C505A" w14:textId="4E7292A4" w:rsidR="00463FA6" w:rsidRDefault="00B00B69" w:rsidP="00B00B69">
      <w:pPr>
        <w:pStyle w:val="Heading3"/>
        <w:ind w:firstLine="720"/>
      </w:pPr>
      <w:r>
        <w:t xml:space="preserve">4.1 </w:t>
      </w:r>
      <w:r w:rsidR="00463FA6">
        <w:t>Limitations</w:t>
      </w:r>
    </w:p>
    <w:p w14:paraId="68837358" w14:textId="77777777" w:rsidR="00463FA6" w:rsidRPr="00B00B69" w:rsidRDefault="00463FA6" w:rsidP="00792030">
      <w:r w:rsidRPr="00ED204F">
        <w:rPr>
          <w:rFonts w:cstheme="minorHAnsi"/>
        </w:rPr>
        <w:t>Automatic language processing methods utilized in this study enabled the selection of pregnant women from social media. These methods also facilitated the identification of concepts of interest (birth defects, medication intake and pregnancy timeframe) and greatly reduced annotation effort. However,</w:t>
      </w:r>
      <w:r w:rsidRPr="002A520E">
        <w:rPr>
          <w:rFonts w:cstheme="minorHAnsi"/>
        </w:rPr>
        <w:t xml:space="preserve"> t</w:t>
      </w:r>
      <w:r w:rsidRPr="002A520E">
        <w:rPr>
          <w:rFonts w:cstheme="minorHAnsi"/>
          <w:shd w:val="clear" w:color="auto" w:fill="FFFFFF"/>
        </w:rPr>
        <w:t>he manual annotation effort for identification of birth defects</w:t>
      </w:r>
      <w:r w:rsidRPr="0093498C">
        <w:rPr>
          <w:rFonts w:cstheme="minorHAnsi"/>
          <w:shd w:val="clear" w:color="auto" w:fill="FFFFFF"/>
        </w:rPr>
        <w:t>, which was the primary focus of this study, still required 800 hours to annotate over 100 thousand tweets, which limited the ability to include a greater number of controls for each pregnant case and to extract additional valuable information available within these tweets. The amount and detail of information disclosed in the pregnancy timelines was considerable and sometimes overwhelming. The amount of infor</w:t>
      </w:r>
      <w:r w:rsidRPr="001C26AE">
        <w:rPr>
          <w:rFonts w:cstheme="minorHAnsi"/>
          <w:shd w:val="clear" w:color="auto" w:fill="FFFFFF"/>
        </w:rPr>
        <w:t xml:space="preserve">mation varies from individual to individual, with some twitter users disclosing many personal thoughts to others who limit the personal information they choose to post. Twitter has recently increased the number of characters allowed on each post from 140 characters to 280 characters. This may increase the level of detail posted and lead to less ambiguous posts and improve data clarity, while also increasing the annotation burden. Additional methodologic challenges included </w:t>
      </w:r>
      <w:r w:rsidRPr="002F3EC5">
        <w:rPr>
          <w:rFonts w:cstheme="minorHAnsi"/>
        </w:rPr>
        <w:t xml:space="preserve">the inability to match cases and controls by maternal age, despite age being the biggest risk factor for birth defects. Not all users had their age in their profile information or posted in their tweets. </w:t>
      </w:r>
      <w:r w:rsidRPr="002560D1">
        <w:rPr>
          <w:rFonts w:cstheme="minorHAnsi"/>
          <w:shd w:val="clear" w:color="auto" w:fill="FFFFFF"/>
        </w:rPr>
        <w:t xml:space="preserve">Further automatic language processing advances are warranted </w:t>
      </w:r>
      <w:r w:rsidRPr="002560D1">
        <w:rPr>
          <w:rFonts w:cstheme="minorHAnsi"/>
        </w:rPr>
        <w:t>to improve these methods and to develop new methods to automatically extract other relevant data from social media timelines (such as pregnancy outcomes, age, place of residence, race and later substance use) for rapid safety surveillance. For example, automatic methods to determine age from a timeline would have facilitated a greater than 1:1 match between cases and controls</w:t>
      </w:r>
      <w:r w:rsidRPr="002560D1">
        <w:rPr>
          <w:rFonts w:cstheme="minorHAnsi"/>
          <w:shd w:val="clear" w:color="auto" w:fill="FFFFFF"/>
        </w:rPr>
        <w:t>.</w:t>
      </w:r>
      <w:r w:rsidRPr="002560D1">
        <w:rPr>
          <w:rFonts w:cstheme="minorHAnsi"/>
        </w:rPr>
        <w:t xml:space="preserve"> </w:t>
      </w:r>
      <w:r>
        <w:rPr>
          <w:rFonts w:cstheme="minorHAnsi"/>
        </w:rPr>
        <w:t xml:space="preserve"> </w:t>
      </w:r>
      <w:r w:rsidRPr="00B00B69">
        <w:t>Additional research to develop automatic methods for detecting birth defects through social media data is needed. With additional inputs and broader algorithms, we may be able to capture additional pregnancies with birth defects in future work.</w:t>
      </w:r>
    </w:p>
    <w:p w14:paraId="15ECF154" w14:textId="77777777" w:rsidR="00463FA6" w:rsidRPr="00ED204F" w:rsidRDefault="00463FA6" w:rsidP="00792030">
      <w:pPr>
        <w:pStyle w:val="ListParagraph"/>
        <w:rPr>
          <w:lang w:val="en-US"/>
        </w:rPr>
      </w:pPr>
    </w:p>
    <w:p w14:paraId="3DF2EEBE" w14:textId="77777777" w:rsidR="00463FA6" w:rsidRPr="008A10E7" w:rsidRDefault="00463FA6" w:rsidP="00792030">
      <w:pPr>
        <w:pStyle w:val="Heading3"/>
        <w:numPr>
          <w:ilvl w:val="0"/>
          <w:numId w:val="14"/>
        </w:numPr>
        <w:rPr>
          <w:rFonts w:asciiTheme="minorHAnsi" w:hAnsiTheme="minorHAnsi" w:cstheme="minorHAnsi"/>
          <w:sz w:val="22"/>
          <w:szCs w:val="22"/>
          <w:shd w:val="clear" w:color="auto" w:fill="FFFFFF"/>
        </w:rPr>
      </w:pPr>
      <w:r w:rsidRPr="008A10E7">
        <w:rPr>
          <w:rFonts w:asciiTheme="minorHAnsi" w:hAnsiTheme="minorHAnsi" w:cstheme="minorHAnsi"/>
          <w:sz w:val="22"/>
          <w:szCs w:val="22"/>
          <w:shd w:val="clear" w:color="auto" w:fill="FFFFFF"/>
        </w:rPr>
        <w:t>Conclusion</w:t>
      </w:r>
    </w:p>
    <w:p w14:paraId="2BBDD6F3" w14:textId="77777777" w:rsidR="00463FA6" w:rsidRPr="00FB4F7D" w:rsidRDefault="00463FA6" w:rsidP="003A14E8">
      <w:pPr>
        <w:rPr>
          <w:rFonts w:cstheme="minorHAnsi"/>
          <w:shd w:val="clear" w:color="auto" w:fill="FFFFFF"/>
        </w:rPr>
      </w:pPr>
      <w:r w:rsidRPr="00FB4F7D">
        <w:rPr>
          <w:rFonts w:cstheme="minorHAnsi"/>
          <w:shd w:val="clear" w:color="auto" w:fill="FFFFFF"/>
        </w:rPr>
        <w:t xml:space="preserve">In future research, the study design should ideally incorporate matching of cases and controls by key factors including age, race, geography, gestational timeline and volume of tweets in order to have greater certainty on conclusions drawn regarding association between drug use and outcomes of interest. The specific focus on matching on volume of tweets is to reduce the likelihood that key medical information would be missing and we need to consider how to reduce the chance of false negatives among the control arms. Further, </w:t>
      </w:r>
      <w:r w:rsidRPr="00FB4F7D">
        <w:rPr>
          <w:rFonts w:cstheme="minorHAnsi"/>
        </w:rPr>
        <w:t>it cannot be</w:t>
      </w:r>
      <w:r w:rsidRPr="00FB4F7D">
        <w:rPr>
          <w:rFonts w:cstheme="minorHAnsi"/>
          <w:shd w:val="clear" w:color="auto" w:fill="FFFFFF"/>
        </w:rPr>
        <w:t xml:space="preserve"> assumed that no mention of a birth defect or medication intake indicates that no such event occurred.</w:t>
      </w:r>
      <w:r>
        <w:rPr>
          <w:rFonts w:cstheme="minorHAnsi"/>
          <w:shd w:val="clear" w:color="auto" w:fill="FFFFFF"/>
        </w:rPr>
        <w:t xml:space="preserve"> Therefore,</w:t>
      </w:r>
      <w:r w:rsidRPr="00FB4F7D">
        <w:rPr>
          <w:rFonts w:cstheme="minorHAnsi"/>
          <w:shd w:val="clear" w:color="auto" w:fill="FFFFFF"/>
        </w:rPr>
        <w:t xml:space="preserve"> a validation of cases of birth defects identified through pregnancy timelines against diagnoses from medical records would provide additional certainty regarding the specificity and sensitivity for case ascertainment.</w:t>
      </w:r>
      <w:r w:rsidRPr="00FB4F7D">
        <w:rPr>
          <w:rFonts w:cstheme="minorHAnsi"/>
        </w:rPr>
        <w:t xml:space="preserve"> The associations (positive or negative) derived from social media data </w:t>
      </w:r>
      <w:r>
        <w:rPr>
          <w:rFonts w:cstheme="minorHAnsi"/>
        </w:rPr>
        <w:t>should be</w:t>
      </w:r>
      <w:r w:rsidRPr="00FB4F7D">
        <w:rPr>
          <w:rFonts w:cstheme="minorHAnsi"/>
        </w:rPr>
        <w:t xml:space="preserve"> validat</w:t>
      </w:r>
      <w:r>
        <w:rPr>
          <w:rFonts w:cstheme="minorHAnsi"/>
        </w:rPr>
        <w:t>ed</w:t>
      </w:r>
      <w:r w:rsidRPr="00FB4F7D">
        <w:rPr>
          <w:rFonts w:cstheme="minorHAnsi"/>
        </w:rPr>
        <w:t xml:space="preserve"> against the association estimated from other data sources, including voluntary registries, and claims/EHR </w:t>
      </w:r>
      <w:r w:rsidRPr="00FB4F7D">
        <w:rPr>
          <w:rFonts w:cstheme="minorHAnsi"/>
        </w:rPr>
        <w:lastRenderedPageBreak/>
        <w:t>databases</w:t>
      </w:r>
      <w:r>
        <w:rPr>
          <w:rFonts w:cstheme="minorHAnsi"/>
          <w:shd w:val="clear" w:color="auto" w:fill="FFFFFF"/>
        </w:rPr>
        <w:t xml:space="preserve">. These validation efforts will be required to use results from studies in social media data sources in submissions to regulatory agencies as an alternative to traditional voluntary registries. Other types of social media (particularly non-microblogging sites) should be investigated as different results may be obtained with other social media. Finally, future research is needed to determine in which scenarios social media data may be most informative, including for which </w:t>
      </w:r>
      <w:r>
        <w:rPr>
          <w:rFonts w:ascii="Arial" w:hAnsi="Arial" w:cs="Arial"/>
          <w:color w:val="222222"/>
          <w:sz w:val="19"/>
          <w:szCs w:val="19"/>
          <w:shd w:val="clear" w:color="auto" w:fill="FFFFFF"/>
        </w:rPr>
        <w:t>the types of drugs, the frequency of exposure and the magnitude of association.</w:t>
      </w:r>
    </w:p>
    <w:p w14:paraId="2CEBFFA5" w14:textId="172A84A9" w:rsidR="00463FA6" w:rsidRDefault="00463FA6" w:rsidP="00765147">
      <w:pPr>
        <w:rPr>
          <w:rFonts w:cstheme="minorHAnsi"/>
        </w:rPr>
      </w:pPr>
      <w:r w:rsidRPr="00FB4F7D">
        <w:rPr>
          <w:rFonts w:cstheme="minorHAnsi"/>
        </w:rPr>
        <w:t xml:space="preserve">While social media data has its limitations, in this pilot effort, we have demonstrated that it is feasible to use </w:t>
      </w:r>
      <w:r>
        <w:rPr>
          <w:rFonts w:cstheme="minorHAnsi"/>
        </w:rPr>
        <w:t>Twitter</w:t>
      </w:r>
      <w:r w:rsidRPr="00FB4F7D">
        <w:rPr>
          <w:rFonts w:cstheme="minorHAnsi"/>
        </w:rPr>
        <w:t xml:space="preserve"> data in assessing </w:t>
      </w:r>
      <w:r>
        <w:rPr>
          <w:rFonts w:cstheme="minorHAnsi"/>
        </w:rPr>
        <w:t xml:space="preserve">medication intake and </w:t>
      </w:r>
      <w:r w:rsidRPr="00FB4F7D">
        <w:rPr>
          <w:rFonts w:cstheme="minorHAnsi"/>
        </w:rPr>
        <w:t>birth defects; however the information obtained cannot replace pregnancy registries at this time</w:t>
      </w:r>
      <w:r>
        <w:rPr>
          <w:rFonts w:cstheme="minorHAnsi"/>
        </w:rPr>
        <w:t xml:space="preserve">. With further refinement and validation social media data </w:t>
      </w:r>
      <w:r w:rsidRPr="00FB4F7D">
        <w:rPr>
          <w:rFonts w:cstheme="minorHAnsi"/>
        </w:rPr>
        <w:t xml:space="preserve">could </w:t>
      </w:r>
      <w:r>
        <w:rPr>
          <w:rFonts w:cstheme="minorHAnsi"/>
        </w:rPr>
        <w:t>potentially</w:t>
      </w:r>
      <w:r w:rsidRPr="00FB4F7D">
        <w:rPr>
          <w:rFonts w:cstheme="minorHAnsi"/>
        </w:rPr>
        <w:t xml:space="preserve"> complement other established methods in further characterizing effects of drugs after introduction to the market, including populations underrepresented or not studied (i.e.- pregnant women) in clinical development programs</w:t>
      </w:r>
      <w:r>
        <w:rPr>
          <w:rFonts w:cstheme="minorHAnsi"/>
        </w:rPr>
        <w:t xml:space="preserve">. </w:t>
      </w:r>
      <w:r w:rsidRPr="00FB4F7D">
        <w:rPr>
          <w:rFonts w:cstheme="minorHAnsi"/>
        </w:rPr>
        <w:t xml:space="preserve">Development of improved methods to automatically extract and annotate social media data may increase </w:t>
      </w:r>
      <w:r>
        <w:rPr>
          <w:rFonts w:cstheme="minorHAnsi"/>
        </w:rPr>
        <w:t xml:space="preserve">its </w:t>
      </w:r>
      <w:r w:rsidRPr="00FB4F7D">
        <w:rPr>
          <w:rFonts w:cstheme="minorHAnsi"/>
        </w:rPr>
        <w:t xml:space="preserve">value </w:t>
      </w:r>
      <w:r>
        <w:rPr>
          <w:rFonts w:cstheme="minorHAnsi"/>
        </w:rPr>
        <w:t xml:space="preserve">to support regulatory decision-making regarding pregnancy outcomes </w:t>
      </w:r>
      <w:r w:rsidRPr="00FB4F7D">
        <w:rPr>
          <w:rFonts w:cstheme="minorHAnsi"/>
        </w:rPr>
        <w:t xml:space="preserve">in women using medications during their pregnancies </w:t>
      </w:r>
    </w:p>
    <w:p w14:paraId="74BB2ED6" w14:textId="77777777" w:rsidR="00463FA6" w:rsidRPr="00FB4F7D" w:rsidRDefault="00463FA6" w:rsidP="00EB5BB0">
      <w:pPr>
        <w:rPr>
          <w:rFonts w:cstheme="minorHAnsi"/>
        </w:rPr>
      </w:pPr>
    </w:p>
    <w:p w14:paraId="4C00B609" w14:textId="552FF71F" w:rsidR="00463FA6" w:rsidRDefault="00463FA6" w:rsidP="00DC49DE">
      <w:pPr>
        <w:pStyle w:val="Heading2"/>
        <w:rPr>
          <w:rFonts w:asciiTheme="minorHAnsi" w:hAnsiTheme="minorHAnsi" w:cstheme="minorHAnsi"/>
          <w:sz w:val="22"/>
          <w:szCs w:val="22"/>
          <w:lang w:eastAsia="en-GB"/>
        </w:rPr>
      </w:pPr>
      <w:r>
        <w:rPr>
          <w:rFonts w:asciiTheme="minorHAnsi" w:hAnsiTheme="minorHAnsi" w:cstheme="minorHAnsi"/>
          <w:sz w:val="22"/>
          <w:szCs w:val="22"/>
          <w:lang w:eastAsia="en-GB"/>
        </w:rPr>
        <w:t xml:space="preserve">Compliance with </w:t>
      </w:r>
      <w:r w:rsidRPr="00062421">
        <w:rPr>
          <w:rFonts w:asciiTheme="minorHAnsi" w:hAnsiTheme="minorHAnsi" w:cstheme="minorHAnsi"/>
          <w:sz w:val="22"/>
          <w:szCs w:val="22"/>
          <w:lang w:eastAsia="en-GB"/>
        </w:rPr>
        <w:t xml:space="preserve">Ethical </w:t>
      </w:r>
      <w:r>
        <w:rPr>
          <w:rFonts w:asciiTheme="minorHAnsi" w:hAnsiTheme="minorHAnsi" w:cstheme="minorHAnsi"/>
          <w:sz w:val="22"/>
          <w:szCs w:val="22"/>
          <w:lang w:eastAsia="en-GB"/>
        </w:rPr>
        <w:t>Standards</w:t>
      </w:r>
    </w:p>
    <w:p w14:paraId="52545F7E" w14:textId="77777777" w:rsidR="00463FA6" w:rsidRDefault="00463FA6" w:rsidP="002A520E"/>
    <w:p w14:paraId="09E05804" w14:textId="77777777" w:rsidR="00463FA6" w:rsidRDefault="00463FA6" w:rsidP="002A520E">
      <w:r w:rsidRPr="00B8068B">
        <w:t>Conflict of Interest</w:t>
      </w:r>
    </w:p>
    <w:p w14:paraId="7E9D52DD" w14:textId="1084288D" w:rsidR="00463FA6" w:rsidRPr="001E42B0" w:rsidRDefault="00463FA6" w:rsidP="00354A81">
      <w:pPr>
        <w:rPr>
          <w:b/>
        </w:rPr>
      </w:pPr>
      <w:r w:rsidRPr="00064E1A">
        <w:rPr>
          <w:shd w:val="clear" w:color="auto" w:fill="FFFFFF"/>
        </w:rPr>
        <w:t>Su Golder, Stephanie Chiuve,</w:t>
      </w:r>
      <w:r>
        <w:rPr>
          <w:shd w:val="clear" w:color="auto" w:fill="FFFFFF"/>
        </w:rPr>
        <w:t xml:space="preserve"> </w:t>
      </w:r>
      <w:r w:rsidRPr="00064E1A">
        <w:rPr>
          <w:shd w:val="clear" w:color="auto" w:fill="FFFFFF"/>
        </w:rPr>
        <w:t>Davy Weissenbacher</w:t>
      </w:r>
      <w:r>
        <w:rPr>
          <w:shd w:val="clear" w:color="auto" w:fill="FFFFFF"/>
        </w:rPr>
        <w:t xml:space="preserve">, </w:t>
      </w:r>
      <w:r w:rsidRPr="00064E1A">
        <w:rPr>
          <w:shd w:val="clear" w:color="auto" w:fill="FFFFFF"/>
        </w:rPr>
        <w:t>Ari Klein, Karen O’Connor, Martin Bland, Murray Malin, Mondira Bhattacharya, Linda J Scarazzini, </w:t>
      </w:r>
      <w:r>
        <w:rPr>
          <w:shd w:val="clear" w:color="auto" w:fill="FFFFFF"/>
        </w:rPr>
        <w:t xml:space="preserve">and </w:t>
      </w:r>
      <w:r w:rsidRPr="00064E1A">
        <w:rPr>
          <w:rStyle w:val="il"/>
          <w:rFonts w:ascii="Calibri" w:hAnsi="Calibri" w:cs="Calibri"/>
          <w:shd w:val="clear" w:color="auto" w:fill="FFFFFF"/>
        </w:rPr>
        <w:t>Graciela</w:t>
      </w:r>
      <w:r w:rsidRPr="00064E1A">
        <w:rPr>
          <w:shd w:val="clear" w:color="auto" w:fill="FFFFFF"/>
        </w:rPr>
        <w:t> Gonzalez-Hernandez</w:t>
      </w:r>
      <w:r>
        <w:rPr>
          <w:shd w:val="clear" w:color="auto" w:fill="FFFFFF"/>
        </w:rPr>
        <w:t xml:space="preserve"> </w:t>
      </w:r>
      <w:r w:rsidRPr="00B8068B">
        <w:t>have no conflicts of interest that are directly relevant to the content of this study</w:t>
      </w:r>
      <w:r>
        <w:t xml:space="preserve">. </w:t>
      </w:r>
      <w:r w:rsidRPr="00D86666">
        <w:rPr>
          <w:rFonts w:cstheme="minorHAnsi"/>
        </w:rPr>
        <w:t xml:space="preserve">Stephanie Chiuve, </w:t>
      </w:r>
      <w:r w:rsidRPr="00D86666">
        <w:rPr>
          <w:rFonts w:cstheme="minorHAnsi"/>
          <w:shd w:val="clear" w:color="auto" w:fill="FFFFFF"/>
        </w:rPr>
        <w:t xml:space="preserve">Murray Malin, and Linda J Scarazzini </w:t>
      </w:r>
      <w:r w:rsidRPr="00D86666">
        <w:rPr>
          <w:rFonts w:cstheme="minorHAnsi"/>
        </w:rPr>
        <w:t xml:space="preserve">are employees of AbbVie receiving stock and/or stock options.  </w:t>
      </w:r>
      <w:r w:rsidRPr="00D86666">
        <w:rPr>
          <w:rFonts w:cstheme="minorHAnsi"/>
          <w:shd w:val="clear" w:color="auto" w:fill="FFFFFF"/>
        </w:rPr>
        <w:t>Mondira Bhattacharya</w:t>
      </w:r>
      <w:r>
        <w:rPr>
          <w:rFonts w:cstheme="minorHAnsi"/>
          <w:shd w:val="clear" w:color="auto" w:fill="FFFFFF"/>
        </w:rPr>
        <w:t xml:space="preserve"> is a former AbbVie employee and received stock and/or stock options</w:t>
      </w:r>
      <w:r w:rsidR="00B00B69">
        <w:rPr>
          <w:rFonts w:cstheme="minorHAnsi"/>
          <w:shd w:val="clear" w:color="auto" w:fill="FFFFFF"/>
        </w:rPr>
        <w:t>.</w:t>
      </w:r>
    </w:p>
    <w:p w14:paraId="7480D813" w14:textId="77777777" w:rsidR="00463FA6" w:rsidRPr="00B8068B" w:rsidRDefault="00463FA6" w:rsidP="002A520E"/>
    <w:p w14:paraId="0DEE5168" w14:textId="77777777" w:rsidR="00463FA6" w:rsidRPr="00FB4F7D" w:rsidRDefault="00463FA6" w:rsidP="002A520E">
      <w:pPr>
        <w:spacing w:after="0" w:line="240" w:lineRule="auto"/>
        <w:rPr>
          <w:rFonts w:cstheme="minorHAnsi"/>
        </w:rPr>
      </w:pPr>
    </w:p>
    <w:p w14:paraId="0AB5CA0B" w14:textId="77777777" w:rsidR="00463FA6" w:rsidRDefault="00463FA6" w:rsidP="002A520E">
      <w:pPr>
        <w:rPr>
          <w:rFonts w:cstheme="minorHAnsi"/>
          <w:color w:val="000000"/>
          <w:shd w:val="clear" w:color="auto" w:fill="FFFFFF"/>
        </w:rPr>
      </w:pPr>
      <w:r>
        <w:rPr>
          <w:rFonts w:cstheme="minorHAnsi"/>
          <w:color w:val="000000"/>
          <w:shd w:val="clear" w:color="auto" w:fill="FFFFFF"/>
        </w:rPr>
        <w:t>Funding</w:t>
      </w:r>
    </w:p>
    <w:p w14:paraId="7B14B181" w14:textId="77777777" w:rsidR="00463FA6" w:rsidRDefault="00463FA6" w:rsidP="002A520E">
      <w:pPr>
        <w:rPr>
          <w:shd w:val="clear" w:color="auto" w:fill="FFFFFF"/>
        </w:rPr>
      </w:pPr>
      <w:r>
        <w:rPr>
          <w:rFonts w:cstheme="minorHAnsi"/>
          <w:color w:val="000000"/>
          <w:shd w:val="clear" w:color="auto" w:fill="FFFFFF"/>
        </w:rPr>
        <w:t xml:space="preserve">AbbVie funding was received by the University of Pennsylvania to sponsor this research in part. </w:t>
      </w:r>
      <w:r w:rsidRPr="00064E1A">
        <w:rPr>
          <w:rStyle w:val="il"/>
          <w:rFonts w:ascii="Calibri" w:hAnsi="Calibri" w:cs="Calibri"/>
          <w:shd w:val="clear" w:color="auto" w:fill="FFFFFF"/>
        </w:rPr>
        <w:t>Graciela</w:t>
      </w:r>
      <w:r w:rsidRPr="00064E1A">
        <w:rPr>
          <w:shd w:val="clear" w:color="auto" w:fill="FFFFFF"/>
        </w:rPr>
        <w:t> Gonzalez-Hernandez</w:t>
      </w:r>
      <w:r>
        <w:rPr>
          <w:shd w:val="clear" w:color="auto" w:fill="FFFFFF"/>
        </w:rPr>
        <w:t xml:space="preserve"> is listed as principal investigator of that funding.</w:t>
      </w:r>
    </w:p>
    <w:p w14:paraId="63EA93D4" w14:textId="77777777" w:rsidR="00463FA6" w:rsidRPr="00FB4F7D" w:rsidRDefault="00463FA6" w:rsidP="002A520E">
      <w:pPr>
        <w:rPr>
          <w:rFonts w:cstheme="minorHAnsi"/>
          <w:color w:val="000000"/>
          <w:shd w:val="clear" w:color="auto" w:fill="FFFFFF"/>
        </w:rPr>
      </w:pPr>
    </w:p>
    <w:p w14:paraId="3936107F" w14:textId="77777777" w:rsidR="00463FA6" w:rsidRPr="002A520E" w:rsidRDefault="00463FA6" w:rsidP="00792030">
      <w:pPr>
        <w:rPr>
          <w:lang w:eastAsia="en-GB"/>
        </w:rPr>
      </w:pPr>
      <w:r>
        <w:rPr>
          <w:lang w:eastAsia="en-GB"/>
        </w:rPr>
        <w:t>Ethical Approval</w:t>
      </w:r>
    </w:p>
    <w:p w14:paraId="6A23A1DD" w14:textId="77777777" w:rsidR="00463FA6" w:rsidRPr="00062421" w:rsidRDefault="00463FA6">
      <w:pPr>
        <w:rPr>
          <w:rFonts w:cstheme="minorHAnsi"/>
          <w:color w:val="000000"/>
          <w:shd w:val="clear" w:color="auto" w:fill="FFFFFF"/>
        </w:rPr>
      </w:pPr>
      <w:r w:rsidRPr="006B0226">
        <w:rPr>
          <w:rFonts w:cstheme="minorHAnsi"/>
        </w:rPr>
        <w:t>All d</w:t>
      </w:r>
      <w:r w:rsidRPr="00FB4F7D">
        <w:rPr>
          <w:rFonts w:cstheme="minorHAnsi"/>
        </w:rPr>
        <w:t>ata used in this study was collected according to the Twitter terms of use and was publicly available at the time of collection and analysis. We have IRB certificate of exemption from the University of Pennsylvania</w:t>
      </w:r>
      <w:r w:rsidRPr="00FB4F7D">
        <w:rPr>
          <w:rFonts w:cstheme="minorHAnsi"/>
          <w:lang w:eastAsia="en-GB"/>
        </w:rPr>
        <w:t>.</w:t>
      </w:r>
    </w:p>
    <w:p w14:paraId="3F451135" w14:textId="10DA0706" w:rsidR="00B00B69" w:rsidRDefault="00B00B69">
      <w:pPr>
        <w:rPr>
          <w:rFonts w:cstheme="minorHAnsi"/>
          <w:color w:val="000000"/>
          <w:shd w:val="clear" w:color="auto" w:fill="FFFFFF"/>
        </w:rPr>
      </w:pPr>
      <w:r>
        <w:rPr>
          <w:rFonts w:cstheme="minorHAnsi"/>
          <w:color w:val="000000"/>
          <w:shd w:val="clear" w:color="auto" w:fill="FFFFFF"/>
        </w:rPr>
        <w:br w:type="page"/>
      </w:r>
    </w:p>
    <w:p w14:paraId="57B1F47F" w14:textId="2C285527" w:rsidR="00463FA6" w:rsidRPr="00F80096" w:rsidRDefault="00463FA6" w:rsidP="00F80096">
      <w:pPr>
        <w:rPr>
          <w:b/>
        </w:rPr>
      </w:pPr>
      <w:r w:rsidRPr="00F80096">
        <w:rPr>
          <w:b/>
        </w:rPr>
        <w:lastRenderedPageBreak/>
        <w:t>Table 1: Birth Defects by M</w:t>
      </w:r>
      <w:r>
        <w:rPr>
          <w:b/>
        </w:rPr>
        <w:t>ed</w:t>
      </w:r>
      <w:r w:rsidRPr="00F80096">
        <w:rPr>
          <w:b/>
        </w:rPr>
        <w:t xml:space="preserve">DRA </w:t>
      </w:r>
    </w:p>
    <w:p w14:paraId="60FD8899" w14:textId="77777777" w:rsidR="00463FA6" w:rsidRPr="00062421" w:rsidRDefault="00463FA6" w:rsidP="00050DE8">
      <w:pPr>
        <w:pStyle w:val="m-6987256047149701944xmsonormal"/>
        <w:shd w:val="clear" w:color="auto" w:fill="FFFFFF"/>
        <w:spacing w:before="0" w:beforeAutospacing="0" w:after="0" w:afterAutospacing="0"/>
        <w:rPr>
          <w:rFonts w:asciiTheme="minorHAnsi" w:hAnsiTheme="minorHAnsi" w:cstheme="minorHAnsi"/>
          <w:color w:val="222222"/>
          <w:sz w:val="22"/>
          <w:szCs w:val="22"/>
        </w:rPr>
      </w:pPr>
      <w:r w:rsidRPr="00062421">
        <w:rPr>
          <w:rFonts w:asciiTheme="minorHAnsi" w:hAnsiTheme="minorHAnsi" w:cstheme="minorHAnsi"/>
          <w:color w:val="222222"/>
          <w:sz w:val="22"/>
          <w:szCs w:val="22"/>
        </w:rPr>
        <w:t> </w:t>
      </w:r>
    </w:p>
    <w:tbl>
      <w:tblPr>
        <w:tblW w:w="0" w:type="auto"/>
        <w:shd w:val="clear" w:color="auto" w:fill="FFFFFF"/>
        <w:tblCellMar>
          <w:left w:w="0" w:type="dxa"/>
          <w:right w:w="0" w:type="dxa"/>
        </w:tblCellMar>
        <w:tblLook w:val="04A0" w:firstRow="1" w:lastRow="0" w:firstColumn="1" w:lastColumn="0" w:noHBand="0" w:noVBand="1"/>
      </w:tblPr>
      <w:tblGrid>
        <w:gridCol w:w="8310"/>
        <w:gridCol w:w="696"/>
      </w:tblGrid>
      <w:tr w:rsidR="00463FA6" w:rsidRPr="00FB4F7D" w14:paraId="64492094" w14:textId="77777777" w:rsidTr="00202508">
        <w:trPr>
          <w:trHeight w:val="288"/>
        </w:trPr>
        <w:tc>
          <w:tcPr>
            <w:tcW w:w="8635" w:type="dxa"/>
            <w:tcBorders>
              <w:top w:val="single" w:sz="8" w:space="0" w:color="auto"/>
              <w:left w:val="single" w:sz="8" w:space="0" w:color="auto"/>
              <w:bottom w:val="single" w:sz="8" w:space="0" w:color="auto"/>
              <w:right w:val="single" w:sz="8" w:space="0" w:color="auto"/>
            </w:tcBorders>
            <w:shd w:val="clear" w:color="auto" w:fill="AEAAAA" w:themeFill="background2" w:themeFillShade="BF"/>
            <w:noWrap/>
            <w:tcMar>
              <w:top w:w="0" w:type="dxa"/>
              <w:left w:w="108" w:type="dxa"/>
              <w:bottom w:w="0" w:type="dxa"/>
              <w:right w:w="108" w:type="dxa"/>
            </w:tcMar>
            <w:vAlign w:val="bottom"/>
            <w:hideMark/>
          </w:tcPr>
          <w:p w14:paraId="796E34F6" w14:textId="22577A6F" w:rsidR="00463FA6" w:rsidRPr="00062421" w:rsidRDefault="00463FA6" w:rsidP="00926913">
            <w:pPr>
              <w:pStyle w:val="m-6987256047149701944xmsonormal"/>
              <w:spacing w:before="0" w:beforeAutospacing="0" w:after="0" w:afterAutospacing="0" w:line="202" w:lineRule="atLeast"/>
              <w:rPr>
                <w:rFonts w:asciiTheme="minorHAnsi" w:hAnsiTheme="minorHAnsi" w:cstheme="minorHAnsi"/>
                <w:color w:val="222222"/>
                <w:sz w:val="22"/>
                <w:szCs w:val="22"/>
              </w:rPr>
            </w:pPr>
            <w:r w:rsidRPr="00062421">
              <w:rPr>
                <w:rFonts w:asciiTheme="minorHAnsi" w:hAnsiTheme="minorHAnsi" w:cstheme="minorHAnsi"/>
                <w:b/>
                <w:bCs/>
                <w:color w:val="000000"/>
                <w:sz w:val="22"/>
                <w:szCs w:val="22"/>
              </w:rPr>
              <w:t>M</w:t>
            </w:r>
            <w:r>
              <w:rPr>
                <w:rFonts w:asciiTheme="minorHAnsi" w:hAnsiTheme="minorHAnsi" w:cstheme="minorHAnsi"/>
                <w:b/>
                <w:bCs/>
                <w:color w:val="000000"/>
                <w:sz w:val="22"/>
                <w:szCs w:val="22"/>
              </w:rPr>
              <w:t>ed</w:t>
            </w:r>
            <w:r w:rsidRPr="00062421">
              <w:rPr>
                <w:rFonts w:asciiTheme="minorHAnsi" w:hAnsiTheme="minorHAnsi" w:cstheme="minorHAnsi"/>
                <w:b/>
                <w:bCs/>
                <w:color w:val="000000"/>
                <w:sz w:val="22"/>
                <w:szCs w:val="22"/>
              </w:rPr>
              <w:t>DRA Sub-class of </w:t>
            </w:r>
            <w:hyperlink r:id="rId9" w:tgtFrame="_blank" w:history="1">
              <w:r w:rsidRPr="00062421">
                <w:rPr>
                  <w:rStyle w:val="m-6987256047149701944xpreflabel"/>
                  <w:rFonts w:asciiTheme="minorHAnsi" w:hAnsiTheme="minorHAnsi" w:cstheme="minorHAnsi"/>
                  <w:b/>
                  <w:bCs/>
                  <w:color w:val="000000"/>
                  <w:sz w:val="22"/>
                  <w:szCs w:val="22"/>
                </w:rPr>
                <w:t>Congenital, Familial and Genetic Disorders</w:t>
              </w:r>
            </w:hyperlink>
          </w:p>
        </w:tc>
        <w:tc>
          <w:tcPr>
            <w:tcW w:w="715" w:type="dxa"/>
            <w:tcBorders>
              <w:top w:val="single" w:sz="8" w:space="0" w:color="auto"/>
              <w:left w:val="nil"/>
              <w:bottom w:val="single" w:sz="8" w:space="0" w:color="auto"/>
              <w:right w:val="single" w:sz="8" w:space="0" w:color="auto"/>
            </w:tcBorders>
            <w:shd w:val="clear" w:color="auto" w:fill="AEAAAA" w:themeFill="background2" w:themeFillShade="BF"/>
            <w:noWrap/>
            <w:tcMar>
              <w:top w:w="0" w:type="dxa"/>
              <w:left w:w="108" w:type="dxa"/>
              <w:bottom w:w="0" w:type="dxa"/>
              <w:right w:w="108" w:type="dxa"/>
            </w:tcMar>
            <w:vAlign w:val="bottom"/>
            <w:hideMark/>
          </w:tcPr>
          <w:p w14:paraId="13F2CA57" w14:textId="77777777" w:rsidR="00463FA6" w:rsidRPr="00062421" w:rsidRDefault="00463FA6" w:rsidP="00202508">
            <w:pPr>
              <w:pStyle w:val="m-6987256047149701944xmsonormal"/>
              <w:spacing w:before="0" w:beforeAutospacing="0" w:after="0" w:afterAutospacing="0" w:line="202" w:lineRule="atLeast"/>
              <w:rPr>
                <w:rFonts w:asciiTheme="minorHAnsi" w:hAnsiTheme="minorHAnsi" w:cstheme="minorHAnsi"/>
                <w:color w:val="222222"/>
                <w:sz w:val="22"/>
                <w:szCs w:val="22"/>
              </w:rPr>
            </w:pPr>
            <w:r w:rsidRPr="00062421">
              <w:rPr>
                <w:rFonts w:asciiTheme="minorHAnsi" w:hAnsiTheme="minorHAnsi" w:cstheme="minorHAnsi"/>
                <w:b/>
                <w:bCs/>
                <w:color w:val="000000"/>
                <w:sz w:val="22"/>
                <w:szCs w:val="22"/>
              </w:rPr>
              <w:t>Freq.</w:t>
            </w:r>
          </w:p>
        </w:tc>
      </w:tr>
      <w:tr w:rsidR="00463FA6" w:rsidRPr="00FB4F7D" w14:paraId="48288311" w14:textId="77777777" w:rsidTr="00202508">
        <w:trPr>
          <w:trHeight w:val="288"/>
        </w:trPr>
        <w:tc>
          <w:tcPr>
            <w:tcW w:w="863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73B7B6" w14:textId="77777777" w:rsidR="00463FA6" w:rsidRPr="00062421" w:rsidRDefault="00463FA6" w:rsidP="00202508">
            <w:pPr>
              <w:pStyle w:val="m-6987256047149701944xmsonormal"/>
              <w:spacing w:before="0" w:beforeAutospacing="0" w:after="0" w:afterAutospacing="0" w:line="202" w:lineRule="atLeast"/>
              <w:rPr>
                <w:rFonts w:asciiTheme="minorHAnsi" w:hAnsiTheme="minorHAnsi" w:cstheme="minorHAnsi"/>
                <w:color w:val="222222"/>
                <w:sz w:val="22"/>
                <w:szCs w:val="22"/>
              </w:rPr>
            </w:pPr>
            <w:r w:rsidRPr="00062421">
              <w:rPr>
                <w:rFonts w:asciiTheme="minorHAnsi" w:hAnsiTheme="minorHAnsi" w:cstheme="minorHAnsi"/>
                <w:color w:val="000000"/>
                <w:sz w:val="22"/>
                <w:szCs w:val="22"/>
              </w:rPr>
              <w:t>Musculoskeletal and connective tissue disorders congenital</w:t>
            </w:r>
          </w:p>
        </w:tc>
        <w:tc>
          <w:tcPr>
            <w:tcW w:w="7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65BBB2D" w14:textId="77777777" w:rsidR="00463FA6" w:rsidRPr="00062421" w:rsidRDefault="00463FA6" w:rsidP="00202508">
            <w:pPr>
              <w:pStyle w:val="m-6987256047149701944xmsonormal"/>
              <w:spacing w:before="0" w:beforeAutospacing="0" w:after="0" w:afterAutospacing="0" w:line="202" w:lineRule="atLeast"/>
              <w:jc w:val="right"/>
              <w:rPr>
                <w:rFonts w:asciiTheme="minorHAnsi" w:hAnsiTheme="minorHAnsi" w:cstheme="minorHAnsi"/>
                <w:color w:val="222222"/>
                <w:sz w:val="22"/>
                <w:szCs w:val="22"/>
              </w:rPr>
            </w:pPr>
            <w:r w:rsidRPr="00062421">
              <w:rPr>
                <w:rFonts w:asciiTheme="minorHAnsi" w:hAnsiTheme="minorHAnsi" w:cstheme="minorHAnsi"/>
                <w:color w:val="000000"/>
                <w:sz w:val="22"/>
                <w:szCs w:val="22"/>
              </w:rPr>
              <w:t>63</w:t>
            </w:r>
          </w:p>
        </w:tc>
      </w:tr>
      <w:tr w:rsidR="00463FA6" w:rsidRPr="00FB4F7D" w14:paraId="5FC02462" w14:textId="77777777" w:rsidTr="00202508">
        <w:trPr>
          <w:trHeight w:val="288"/>
        </w:trPr>
        <w:tc>
          <w:tcPr>
            <w:tcW w:w="863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38F539" w14:textId="77777777" w:rsidR="00463FA6" w:rsidRPr="00062421" w:rsidRDefault="00463FA6" w:rsidP="00202508">
            <w:pPr>
              <w:pStyle w:val="m-6987256047149701944xmsonormal"/>
              <w:spacing w:before="0" w:beforeAutospacing="0" w:after="0" w:afterAutospacing="0" w:line="202" w:lineRule="atLeast"/>
              <w:rPr>
                <w:rFonts w:asciiTheme="minorHAnsi" w:hAnsiTheme="minorHAnsi" w:cstheme="minorHAnsi"/>
                <w:color w:val="222222"/>
                <w:sz w:val="22"/>
                <w:szCs w:val="22"/>
              </w:rPr>
            </w:pPr>
            <w:r w:rsidRPr="00062421">
              <w:rPr>
                <w:rFonts w:asciiTheme="minorHAnsi" w:hAnsiTheme="minorHAnsi" w:cstheme="minorHAnsi"/>
                <w:color w:val="000000"/>
                <w:sz w:val="22"/>
                <w:szCs w:val="22"/>
              </w:rPr>
              <w:t>Cardiac and vascular disorders congenital</w:t>
            </w:r>
          </w:p>
        </w:tc>
        <w:tc>
          <w:tcPr>
            <w:tcW w:w="7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5246194" w14:textId="77777777" w:rsidR="00463FA6" w:rsidRPr="00062421" w:rsidRDefault="00463FA6" w:rsidP="00202508">
            <w:pPr>
              <w:pStyle w:val="m-6987256047149701944xmsonormal"/>
              <w:spacing w:before="0" w:beforeAutospacing="0" w:after="0" w:afterAutospacing="0" w:line="202" w:lineRule="atLeast"/>
              <w:jc w:val="right"/>
              <w:rPr>
                <w:rFonts w:asciiTheme="minorHAnsi" w:hAnsiTheme="minorHAnsi" w:cstheme="minorHAnsi"/>
                <w:color w:val="222222"/>
                <w:sz w:val="22"/>
                <w:szCs w:val="22"/>
              </w:rPr>
            </w:pPr>
            <w:r w:rsidRPr="00062421">
              <w:rPr>
                <w:rFonts w:asciiTheme="minorHAnsi" w:hAnsiTheme="minorHAnsi" w:cstheme="minorHAnsi"/>
                <w:color w:val="000000"/>
                <w:sz w:val="22"/>
                <w:szCs w:val="22"/>
              </w:rPr>
              <w:t>46</w:t>
            </w:r>
          </w:p>
        </w:tc>
      </w:tr>
      <w:tr w:rsidR="00463FA6" w:rsidRPr="00FB4F7D" w14:paraId="3019F370" w14:textId="77777777" w:rsidTr="00202508">
        <w:trPr>
          <w:trHeight w:val="288"/>
        </w:trPr>
        <w:tc>
          <w:tcPr>
            <w:tcW w:w="863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40B797" w14:textId="77777777" w:rsidR="00463FA6" w:rsidRPr="00062421" w:rsidRDefault="0028258C" w:rsidP="00202508">
            <w:pPr>
              <w:pStyle w:val="m-6987256047149701944xmsonormal"/>
              <w:spacing w:before="0" w:beforeAutospacing="0" w:after="0" w:afterAutospacing="0" w:line="202" w:lineRule="atLeast"/>
              <w:rPr>
                <w:rFonts w:asciiTheme="minorHAnsi" w:hAnsiTheme="minorHAnsi" w:cstheme="minorHAnsi"/>
                <w:color w:val="222222"/>
                <w:sz w:val="22"/>
                <w:szCs w:val="22"/>
              </w:rPr>
            </w:pPr>
            <w:hyperlink r:id="rId10" w:tgtFrame="_blank" w:history="1">
              <w:r w:rsidR="00463FA6" w:rsidRPr="00062421">
                <w:rPr>
                  <w:rStyle w:val="m-6987256047149701944xpreflabel"/>
                  <w:rFonts w:asciiTheme="minorHAnsi" w:hAnsiTheme="minorHAnsi" w:cstheme="minorHAnsi"/>
                  <w:color w:val="000000"/>
                  <w:sz w:val="22"/>
                  <w:szCs w:val="22"/>
                </w:rPr>
                <w:t>Gastrointestinal tract disorders congenital</w:t>
              </w:r>
            </w:hyperlink>
          </w:p>
        </w:tc>
        <w:tc>
          <w:tcPr>
            <w:tcW w:w="7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2CFFC96" w14:textId="77777777" w:rsidR="00463FA6" w:rsidRPr="00062421" w:rsidRDefault="00463FA6" w:rsidP="00202508">
            <w:pPr>
              <w:pStyle w:val="m-6987256047149701944xmsonormal"/>
              <w:spacing w:before="0" w:beforeAutospacing="0" w:after="0" w:afterAutospacing="0" w:line="202" w:lineRule="atLeast"/>
              <w:jc w:val="right"/>
              <w:rPr>
                <w:rFonts w:asciiTheme="minorHAnsi" w:hAnsiTheme="minorHAnsi" w:cstheme="minorHAnsi"/>
                <w:color w:val="222222"/>
                <w:sz w:val="22"/>
                <w:szCs w:val="22"/>
              </w:rPr>
            </w:pPr>
            <w:r w:rsidRPr="00062421">
              <w:rPr>
                <w:rFonts w:asciiTheme="minorHAnsi" w:hAnsiTheme="minorHAnsi" w:cstheme="minorHAnsi"/>
                <w:color w:val="000000"/>
                <w:sz w:val="22"/>
                <w:szCs w:val="22"/>
              </w:rPr>
              <w:t>45</w:t>
            </w:r>
          </w:p>
        </w:tc>
      </w:tr>
      <w:tr w:rsidR="00463FA6" w:rsidRPr="00FB4F7D" w14:paraId="0590BCE7" w14:textId="77777777" w:rsidTr="00202508">
        <w:trPr>
          <w:trHeight w:val="288"/>
        </w:trPr>
        <w:tc>
          <w:tcPr>
            <w:tcW w:w="863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E9CEDB8" w14:textId="77777777" w:rsidR="00463FA6" w:rsidRPr="00062421" w:rsidRDefault="0028258C" w:rsidP="00202508">
            <w:pPr>
              <w:pStyle w:val="m-6987256047149701944xmsonormal"/>
              <w:spacing w:before="0" w:beforeAutospacing="0" w:after="0" w:afterAutospacing="0" w:line="202" w:lineRule="atLeast"/>
              <w:rPr>
                <w:rFonts w:asciiTheme="minorHAnsi" w:hAnsiTheme="minorHAnsi" w:cstheme="minorHAnsi"/>
                <w:color w:val="222222"/>
                <w:sz w:val="22"/>
                <w:szCs w:val="22"/>
              </w:rPr>
            </w:pPr>
            <w:hyperlink r:id="rId11" w:tgtFrame="_blank" w:history="1">
              <w:r w:rsidR="00463FA6" w:rsidRPr="00062421">
                <w:rPr>
                  <w:rStyle w:val="m-6987256047149701944xpreflabel"/>
                  <w:rFonts w:asciiTheme="minorHAnsi" w:hAnsiTheme="minorHAnsi" w:cstheme="minorHAnsi"/>
                  <w:color w:val="000000"/>
                  <w:sz w:val="22"/>
                  <w:szCs w:val="22"/>
                </w:rPr>
                <w:t>Chromosomal abnormalities and abnormal gene carriers</w:t>
              </w:r>
            </w:hyperlink>
          </w:p>
        </w:tc>
        <w:tc>
          <w:tcPr>
            <w:tcW w:w="7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558AA7A" w14:textId="77777777" w:rsidR="00463FA6" w:rsidRPr="00062421" w:rsidRDefault="00463FA6" w:rsidP="00202508">
            <w:pPr>
              <w:pStyle w:val="m-6987256047149701944xmsonormal"/>
              <w:spacing w:before="0" w:beforeAutospacing="0" w:after="0" w:afterAutospacing="0" w:line="202" w:lineRule="atLeast"/>
              <w:jc w:val="right"/>
              <w:rPr>
                <w:rFonts w:asciiTheme="minorHAnsi" w:hAnsiTheme="minorHAnsi" w:cstheme="minorHAnsi"/>
                <w:color w:val="222222"/>
                <w:sz w:val="22"/>
                <w:szCs w:val="22"/>
              </w:rPr>
            </w:pPr>
            <w:r w:rsidRPr="00062421">
              <w:rPr>
                <w:rFonts w:asciiTheme="minorHAnsi" w:hAnsiTheme="minorHAnsi" w:cstheme="minorHAnsi"/>
                <w:color w:val="000000"/>
                <w:sz w:val="22"/>
                <w:szCs w:val="22"/>
              </w:rPr>
              <w:t>21</w:t>
            </w:r>
          </w:p>
        </w:tc>
      </w:tr>
      <w:tr w:rsidR="00463FA6" w:rsidRPr="00FB4F7D" w14:paraId="5DD88E26" w14:textId="77777777" w:rsidTr="00202508">
        <w:trPr>
          <w:trHeight w:val="288"/>
        </w:trPr>
        <w:tc>
          <w:tcPr>
            <w:tcW w:w="863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CAB8E56" w14:textId="77777777" w:rsidR="00463FA6" w:rsidRPr="00062421" w:rsidRDefault="0028258C" w:rsidP="00202508">
            <w:pPr>
              <w:pStyle w:val="m-6987256047149701944xmsonormal"/>
              <w:spacing w:before="0" w:beforeAutospacing="0" w:after="0" w:afterAutospacing="0" w:line="202" w:lineRule="atLeast"/>
              <w:rPr>
                <w:rFonts w:asciiTheme="minorHAnsi" w:hAnsiTheme="minorHAnsi" w:cstheme="minorHAnsi"/>
                <w:color w:val="222222"/>
                <w:sz w:val="22"/>
                <w:szCs w:val="22"/>
              </w:rPr>
            </w:pPr>
            <w:hyperlink r:id="rId12" w:tgtFrame="_blank" w:history="1">
              <w:r w:rsidR="00463FA6" w:rsidRPr="00062421">
                <w:rPr>
                  <w:rStyle w:val="m-6987256047149701944xpreflabel"/>
                  <w:rFonts w:asciiTheme="minorHAnsi" w:hAnsiTheme="minorHAnsi" w:cstheme="minorHAnsi"/>
                  <w:color w:val="000000"/>
                  <w:sz w:val="22"/>
                  <w:szCs w:val="22"/>
                </w:rPr>
                <w:t>Neurological disorders congenital</w:t>
              </w:r>
            </w:hyperlink>
          </w:p>
        </w:tc>
        <w:tc>
          <w:tcPr>
            <w:tcW w:w="7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C80375B" w14:textId="77777777" w:rsidR="00463FA6" w:rsidRPr="00062421" w:rsidRDefault="00463FA6" w:rsidP="00202508">
            <w:pPr>
              <w:pStyle w:val="m-6987256047149701944xmsonormal"/>
              <w:spacing w:before="0" w:beforeAutospacing="0" w:after="0" w:afterAutospacing="0" w:line="202" w:lineRule="atLeast"/>
              <w:jc w:val="right"/>
              <w:rPr>
                <w:rFonts w:asciiTheme="minorHAnsi" w:hAnsiTheme="minorHAnsi" w:cstheme="minorHAnsi"/>
                <w:color w:val="222222"/>
                <w:sz w:val="22"/>
                <w:szCs w:val="22"/>
              </w:rPr>
            </w:pPr>
            <w:r w:rsidRPr="00062421">
              <w:rPr>
                <w:rFonts w:asciiTheme="minorHAnsi" w:hAnsiTheme="minorHAnsi" w:cstheme="minorHAnsi"/>
                <w:color w:val="000000"/>
                <w:sz w:val="22"/>
                <w:szCs w:val="22"/>
              </w:rPr>
              <w:t>13</w:t>
            </w:r>
          </w:p>
        </w:tc>
      </w:tr>
      <w:tr w:rsidR="00463FA6" w:rsidRPr="00FB4F7D" w14:paraId="372E4F51" w14:textId="77777777" w:rsidTr="00202508">
        <w:trPr>
          <w:trHeight w:val="288"/>
        </w:trPr>
        <w:tc>
          <w:tcPr>
            <w:tcW w:w="863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7D23DD1" w14:textId="77777777" w:rsidR="00463FA6" w:rsidRPr="00062421" w:rsidRDefault="0028258C" w:rsidP="00202508">
            <w:pPr>
              <w:pStyle w:val="m-6987256047149701944xmsonormal"/>
              <w:spacing w:before="0" w:beforeAutospacing="0" w:after="0" w:afterAutospacing="0" w:line="202" w:lineRule="atLeast"/>
              <w:rPr>
                <w:rFonts w:asciiTheme="minorHAnsi" w:hAnsiTheme="minorHAnsi" w:cstheme="minorHAnsi"/>
                <w:color w:val="222222"/>
                <w:sz w:val="22"/>
                <w:szCs w:val="22"/>
              </w:rPr>
            </w:pPr>
            <w:hyperlink r:id="rId13" w:tgtFrame="_blank" w:history="1">
              <w:r w:rsidR="00463FA6" w:rsidRPr="00062421">
                <w:rPr>
                  <w:rStyle w:val="m-6987256047149701944xpreflabel"/>
                  <w:rFonts w:asciiTheme="minorHAnsi" w:hAnsiTheme="minorHAnsi" w:cstheme="minorHAnsi"/>
                  <w:color w:val="000000"/>
                  <w:sz w:val="22"/>
                  <w:szCs w:val="22"/>
                </w:rPr>
                <w:t>Renal and urinary tract disorders congenital</w:t>
              </w:r>
            </w:hyperlink>
          </w:p>
        </w:tc>
        <w:tc>
          <w:tcPr>
            <w:tcW w:w="7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79A57FD" w14:textId="77777777" w:rsidR="00463FA6" w:rsidRPr="00062421" w:rsidRDefault="00463FA6" w:rsidP="00202508">
            <w:pPr>
              <w:pStyle w:val="m-6987256047149701944xmsonormal"/>
              <w:spacing w:before="0" w:beforeAutospacing="0" w:after="0" w:afterAutospacing="0" w:line="202" w:lineRule="atLeast"/>
              <w:jc w:val="right"/>
              <w:rPr>
                <w:rFonts w:asciiTheme="minorHAnsi" w:hAnsiTheme="minorHAnsi" w:cstheme="minorHAnsi"/>
                <w:color w:val="222222"/>
                <w:sz w:val="22"/>
                <w:szCs w:val="22"/>
              </w:rPr>
            </w:pPr>
            <w:r w:rsidRPr="00062421">
              <w:rPr>
                <w:rFonts w:asciiTheme="minorHAnsi" w:hAnsiTheme="minorHAnsi" w:cstheme="minorHAnsi"/>
                <w:color w:val="000000"/>
                <w:sz w:val="22"/>
                <w:szCs w:val="22"/>
              </w:rPr>
              <w:t>5</w:t>
            </w:r>
          </w:p>
        </w:tc>
      </w:tr>
      <w:tr w:rsidR="00463FA6" w:rsidRPr="00FB4F7D" w14:paraId="14F28B95" w14:textId="77777777" w:rsidTr="00202508">
        <w:trPr>
          <w:trHeight w:val="288"/>
        </w:trPr>
        <w:tc>
          <w:tcPr>
            <w:tcW w:w="863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6A59811" w14:textId="77777777" w:rsidR="00463FA6" w:rsidRPr="00062421" w:rsidRDefault="0028258C" w:rsidP="00202508">
            <w:pPr>
              <w:pStyle w:val="m-6987256047149701944xmsonormal"/>
              <w:spacing w:before="0" w:beforeAutospacing="0" w:after="0" w:afterAutospacing="0" w:line="202" w:lineRule="atLeast"/>
              <w:rPr>
                <w:rFonts w:asciiTheme="minorHAnsi" w:hAnsiTheme="minorHAnsi" w:cstheme="minorHAnsi"/>
                <w:color w:val="222222"/>
                <w:sz w:val="22"/>
                <w:szCs w:val="22"/>
              </w:rPr>
            </w:pPr>
            <w:hyperlink r:id="rId14" w:tgtFrame="_blank" w:history="1">
              <w:r w:rsidR="00463FA6" w:rsidRPr="00062421">
                <w:rPr>
                  <w:rStyle w:val="m-6987256047149701944xpreflabel"/>
                  <w:rFonts w:asciiTheme="minorHAnsi" w:hAnsiTheme="minorHAnsi" w:cstheme="minorHAnsi"/>
                  <w:color w:val="000000"/>
                  <w:sz w:val="22"/>
                  <w:szCs w:val="22"/>
                </w:rPr>
                <w:t>Eye disorders congenital</w:t>
              </w:r>
            </w:hyperlink>
          </w:p>
        </w:tc>
        <w:tc>
          <w:tcPr>
            <w:tcW w:w="7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9C77C26" w14:textId="77777777" w:rsidR="00463FA6" w:rsidRPr="00062421" w:rsidRDefault="00463FA6" w:rsidP="00202508">
            <w:pPr>
              <w:pStyle w:val="m-6987256047149701944xmsonormal"/>
              <w:spacing w:before="0" w:beforeAutospacing="0" w:after="0" w:afterAutospacing="0" w:line="202" w:lineRule="atLeast"/>
              <w:jc w:val="right"/>
              <w:rPr>
                <w:rFonts w:asciiTheme="minorHAnsi" w:hAnsiTheme="minorHAnsi" w:cstheme="minorHAnsi"/>
                <w:color w:val="222222"/>
                <w:sz w:val="22"/>
                <w:szCs w:val="22"/>
              </w:rPr>
            </w:pPr>
            <w:r w:rsidRPr="00062421">
              <w:rPr>
                <w:rFonts w:asciiTheme="minorHAnsi" w:hAnsiTheme="minorHAnsi" w:cstheme="minorHAnsi"/>
                <w:color w:val="000000"/>
                <w:sz w:val="22"/>
                <w:szCs w:val="22"/>
              </w:rPr>
              <w:t>3</w:t>
            </w:r>
          </w:p>
        </w:tc>
      </w:tr>
      <w:tr w:rsidR="00463FA6" w:rsidRPr="00FB4F7D" w14:paraId="6B63A92D" w14:textId="77777777" w:rsidTr="00202508">
        <w:trPr>
          <w:trHeight w:val="288"/>
        </w:trPr>
        <w:tc>
          <w:tcPr>
            <w:tcW w:w="863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7E19B6F" w14:textId="77777777" w:rsidR="00463FA6" w:rsidRPr="00062421" w:rsidRDefault="0028258C" w:rsidP="00202508">
            <w:pPr>
              <w:pStyle w:val="m-6987256047149701944xmsonormal"/>
              <w:spacing w:before="0" w:beforeAutospacing="0" w:after="0" w:afterAutospacing="0" w:line="202" w:lineRule="atLeast"/>
              <w:rPr>
                <w:rFonts w:asciiTheme="minorHAnsi" w:hAnsiTheme="minorHAnsi" w:cstheme="minorHAnsi"/>
                <w:color w:val="222222"/>
                <w:sz w:val="22"/>
                <w:szCs w:val="22"/>
              </w:rPr>
            </w:pPr>
            <w:hyperlink r:id="rId15" w:tgtFrame="_blank" w:history="1">
              <w:r w:rsidR="00463FA6" w:rsidRPr="00062421">
                <w:rPr>
                  <w:rStyle w:val="m-6987256047149701944xpreflabel"/>
                  <w:rFonts w:asciiTheme="minorHAnsi" w:hAnsiTheme="minorHAnsi" w:cstheme="minorHAnsi"/>
                  <w:color w:val="000000"/>
                  <w:sz w:val="22"/>
                  <w:szCs w:val="22"/>
                </w:rPr>
                <w:t>Respiratory disorders congenital</w:t>
              </w:r>
            </w:hyperlink>
          </w:p>
        </w:tc>
        <w:tc>
          <w:tcPr>
            <w:tcW w:w="7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514D607" w14:textId="77777777" w:rsidR="00463FA6" w:rsidRPr="00062421" w:rsidRDefault="00463FA6" w:rsidP="00202508">
            <w:pPr>
              <w:pStyle w:val="m-6987256047149701944xmsonormal"/>
              <w:spacing w:before="0" w:beforeAutospacing="0" w:after="0" w:afterAutospacing="0" w:line="202" w:lineRule="atLeast"/>
              <w:jc w:val="right"/>
              <w:rPr>
                <w:rFonts w:asciiTheme="minorHAnsi" w:hAnsiTheme="minorHAnsi" w:cstheme="minorHAnsi"/>
                <w:color w:val="222222"/>
                <w:sz w:val="22"/>
                <w:szCs w:val="22"/>
              </w:rPr>
            </w:pPr>
            <w:r w:rsidRPr="00062421">
              <w:rPr>
                <w:rFonts w:asciiTheme="minorHAnsi" w:hAnsiTheme="minorHAnsi" w:cstheme="minorHAnsi"/>
                <w:color w:val="000000"/>
                <w:sz w:val="22"/>
                <w:szCs w:val="22"/>
              </w:rPr>
              <w:t>3</w:t>
            </w:r>
          </w:p>
        </w:tc>
      </w:tr>
      <w:tr w:rsidR="00463FA6" w:rsidRPr="00FB4F7D" w14:paraId="2F6BCE3C" w14:textId="77777777" w:rsidTr="00202508">
        <w:trPr>
          <w:trHeight w:val="288"/>
        </w:trPr>
        <w:tc>
          <w:tcPr>
            <w:tcW w:w="863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5E0CFF" w14:textId="77777777" w:rsidR="00463FA6" w:rsidRPr="00062421" w:rsidRDefault="0028258C" w:rsidP="00202508">
            <w:pPr>
              <w:pStyle w:val="m-6987256047149701944xmsonormal"/>
              <w:spacing w:before="0" w:beforeAutospacing="0" w:after="0" w:afterAutospacing="0" w:line="202" w:lineRule="atLeast"/>
              <w:rPr>
                <w:rFonts w:asciiTheme="minorHAnsi" w:hAnsiTheme="minorHAnsi" w:cstheme="minorHAnsi"/>
                <w:color w:val="222222"/>
                <w:sz w:val="22"/>
                <w:szCs w:val="22"/>
              </w:rPr>
            </w:pPr>
            <w:hyperlink r:id="rId16" w:tgtFrame="_blank" w:history="1">
              <w:r w:rsidR="00463FA6" w:rsidRPr="00062421">
                <w:rPr>
                  <w:rStyle w:val="m-6987256047149701944xpreflabel"/>
                  <w:rFonts w:asciiTheme="minorHAnsi" w:hAnsiTheme="minorHAnsi" w:cstheme="minorHAnsi"/>
                  <w:color w:val="000000"/>
                  <w:sz w:val="22"/>
                  <w:szCs w:val="22"/>
                </w:rPr>
                <w:t>Skin and subcutaneous tissue disorders congenital</w:t>
              </w:r>
            </w:hyperlink>
          </w:p>
        </w:tc>
        <w:tc>
          <w:tcPr>
            <w:tcW w:w="7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82570F8" w14:textId="77777777" w:rsidR="00463FA6" w:rsidRPr="00062421" w:rsidRDefault="00463FA6" w:rsidP="00202508">
            <w:pPr>
              <w:pStyle w:val="m-6987256047149701944xmsonormal"/>
              <w:spacing w:before="0" w:beforeAutospacing="0" w:after="0" w:afterAutospacing="0" w:line="202" w:lineRule="atLeast"/>
              <w:jc w:val="right"/>
              <w:rPr>
                <w:rFonts w:asciiTheme="minorHAnsi" w:hAnsiTheme="minorHAnsi" w:cstheme="minorHAnsi"/>
                <w:color w:val="222222"/>
                <w:sz w:val="22"/>
                <w:szCs w:val="22"/>
              </w:rPr>
            </w:pPr>
            <w:r w:rsidRPr="00062421">
              <w:rPr>
                <w:rFonts w:asciiTheme="minorHAnsi" w:hAnsiTheme="minorHAnsi" w:cstheme="minorHAnsi"/>
                <w:color w:val="000000"/>
                <w:sz w:val="22"/>
                <w:szCs w:val="22"/>
              </w:rPr>
              <w:t>2</w:t>
            </w:r>
          </w:p>
        </w:tc>
      </w:tr>
      <w:tr w:rsidR="00463FA6" w:rsidRPr="00FB4F7D" w14:paraId="6F796E70" w14:textId="77777777" w:rsidTr="00202508">
        <w:trPr>
          <w:trHeight w:val="288"/>
        </w:trPr>
        <w:tc>
          <w:tcPr>
            <w:tcW w:w="863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D39C1A" w14:textId="77777777" w:rsidR="00463FA6" w:rsidRPr="00926913" w:rsidRDefault="0028258C" w:rsidP="00202508">
            <w:pPr>
              <w:pStyle w:val="m-6987256047149701944xmsonormal"/>
              <w:spacing w:before="0" w:beforeAutospacing="0" w:after="0" w:afterAutospacing="0" w:line="202" w:lineRule="atLeast"/>
              <w:rPr>
                <w:rFonts w:asciiTheme="minorHAnsi" w:hAnsiTheme="minorHAnsi" w:cstheme="minorHAnsi"/>
                <w:color w:val="222222"/>
                <w:sz w:val="22"/>
                <w:szCs w:val="22"/>
              </w:rPr>
            </w:pPr>
            <w:hyperlink r:id="rId17" w:tgtFrame="_blank" w:history="1">
              <w:r w:rsidR="00463FA6" w:rsidRPr="00792030">
                <w:rPr>
                  <w:rStyle w:val="Hyperlink"/>
                  <w:rFonts w:asciiTheme="minorHAnsi" w:hAnsiTheme="minorHAnsi" w:cstheme="minorHAnsi"/>
                  <w:color w:val="000000"/>
                  <w:sz w:val="22"/>
                  <w:szCs w:val="22"/>
                </w:rPr>
                <w:t>Blood and lymphatic system disorders congenital</w:t>
              </w:r>
            </w:hyperlink>
          </w:p>
        </w:tc>
        <w:tc>
          <w:tcPr>
            <w:tcW w:w="7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2187626" w14:textId="77777777" w:rsidR="00463FA6" w:rsidRPr="00062421" w:rsidRDefault="00463FA6" w:rsidP="00202508">
            <w:pPr>
              <w:pStyle w:val="m-6987256047149701944xmsonormal"/>
              <w:spacing w:before="0" w:beforeAutospacing="0" w:after="0" w:afterAutospacing="0" w:line="202" w:lineRule="atLeast"/>
              <w:jc w:val="right"/>
              <w:rPr>
                <w:rFonts w:asciiTheme="minorHAnsi" w:hAnsiTheme="minorHAnsi" w:cstheme="minorHAnsi"/>
                <w:color w:val="222222"/>
                <w:sz w:val="22"/>
                <w:szCs w:val="22"/>
              </w:rPr>
            </w:pPr>
            <w:r w:rsidRPr="00062421">
              <w:rPr>
                <w:rFonts w:asciiTheme="minorHAnsi" w:hAnsiTheme="minorHAnsi" w:cstheme="minorHAnsi"/>
                <w:color w:val="000000"/>
                <w:sz w:val="22"/>
                <w:szCs w:val="22"/>
              </w:rPr>
              <w:t>2</w:t>
            </w:r>
          </w:p>
        </w:tc>
      </w:tr>
      <w:tr w:rsidR="00463FA6" w:rsidRPr="00FB4F7D" w14:paraId="002E008C" w14:textId="77777777" w:rsidTr="00202508">
        <w:trPr>
          <w:trHeight w:val="288"/>
        </w:trPr>
        <w:tc>
          <w:tcPr>
            <w:tcW w:w="863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08EA857" w14:textId="77777777" w:rsidR="00463FA6" w:rsidRPr="00062421" w:rsidRDefault="0028258C" w:rsidP="00202508">
            <w:pPr>
              <w:pStyle w:val="m-6987256047149701944xmsonormal"/>
              <w:spacing w:before="0" w:beforeAutospacing="0" w:after="0" w:afterAutospacing="0" w:line="202" w:lineRule="atLeast"/>
              <w:rPr>
                <w:rFonts w:asciiTheme="minorHAnsi" w:hAnsiTheme="minorHAnsi" w:cstheme="minorHAnsi"/>
                <w:color w:val="222222"/>
                <w:sz w:val="22"/>
                <w:szCs w:val="22"/>
              </w:rPr>
            </w:pPr>
            <w:hyperlink r:id="rId18" w:tgtFrame="_blank" w:history="1">
              <w:r w:rsidR="00463FA6" w:rsidRPr="00062421">
                <w:rPr>
                  <w:rStyle w:val="m-6987256047149701944xpreflabel"/>
                  <w:rFonts w:asciiTheme="minorHAnsi" w:hAnsiTheme="minorHAnsi" w:cstheme="minorHAnsi"/>
                  <w:color w:val="000000"/>
                  <w:sz w:val="22"/>
                  <w:szCs w:val="22"/>
                </w:rPr>
                <w:t>Hepatobiliary disorders congenital</w:t>
              </w:r>
            </w:hyperlink>
          </w:p>
        </w:tc>
        <w:tc>
          <w:tcPr>
            <w:tcW w:w="7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BDCC994" w14:textId="77777777" w:rsidR="00463FA6" w:rsidRPr="00062421" w:rsidRDefault="00463FA6" w:rsidP="00202508">
            <w:pPr>
              <w:pStyle w:val="m-6987256047149701944xmsonormal"/>
              <w:spacing w:before="0" w:beforeAutospacing="0" w:after="0" w:afterAutospacing="0" w:line="202" w:lineRule="atLeast"/>
              <w:jc w:val="right"/>
              <w:rPr>
                <w:rFonts w:asciiTheme="minorHAnsi" w:hAnsiTheme="minorHAnsi" w:cstheme="minorHAnsi"/>
                <w:color w:val="222222"/>
                <w:sz w:val="22"/>
                <w:szCs w:val="22"/>
              </w:rPr>
            </w:pPr>
            <w:r w:rsidRPr="00062421">
              <w:rPr>
                <w:rFonts w:asciiTheme="minorHAnsi" w:hAnsiTheme="minorHAnsi" w:cstheme="minorHAnsi"/>
                <w:color w:val="000000"/>
                <w:sz w:val="22"/>
                <w:szCs w:val="22"/>
              </w:rPr>
              <w:t>1</w:t>
            </w:r>
          </w:p>
        </w:tc>
      </w:tr>
      <w:tr w:rsidR="00463FA6" w:rsidRPr="00FB4F7D" w14:paraId="65AF305E" w14:textId="77777777" w:rsidTr="00202508">
        <w:trPr>
          <w:trHeight w:val="288"/>
        </w:trPr>
        <w:tc>
          <w:tcPr>
            <w:tcW w:w="863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D79CCC" w14:textId="77777777" w:rsidR="00463FA6" w:rsidRPr="00926913" w:rsidRDefault="0028258C" w:rsidP="00202508">
            <w:pPr>
              <w:pStyle w:val="m-6987256047149701944xmsonormal"/>
              <w:spacing w:before="0" w:beforeAutospacing="0" w:after="0" w:afterAutospacing="0" w:line="202" w:lineRule="atLeast"/>
              <w:rPr>
                <w:rFonts w:asciiTheme="minorHAnsi" w:hAnsiTheme="minorHAnsi" w:cstheme="minorHAnsi"/>
                <w:color w:val="222222"/>
                <w:sz w:val="22"/>
                <w:szCs w:val="22"/>
              </w:rPr>
            </w:pPr>
            <w:hyperlink r:id="rId19" w:tgtFrame="_blank" w:history="1">
              <w:r w:rsidR="00463FA6" w:rsidRPr="00792030">
                <w:rPr>
                  <w:rStyle w:val="Hyperlink"/>
                  <w:rFonts w:asciiTheme="minorHAnsi" w:hAnsiTheme="minorHAnsi" w:cstheme="minorHAnsi"/>
                  <w:color w:val="000000"/>
                  <w:sz w:val="22"/>
                  <w:szCs w:val="22"/>
                </w:rPr>
                <w:t>Reproductive tract and breast disorders congenital</w:t>
              </w:r>
            </w:hyperlink>
          </w:p>
        </w:tc>
        <w:tc>
          <w:tcPr>
            <w:tcW w:w="7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DA7492E" w14:textId="77777777" w:rsidR="00463FA6" w:rsidRPr="00062421" w:rsidRDefault="00463FA6" w:rsidP="00202508">
            <w:pPr>
              <w:pStyle w:val="m-6987256047149701944xmsonormal"/>
              <w:spacing w:before="0" w:beforeAutospacing="0" w:after="0" w:afterAutospacing="0" w:line="202" w:lineRule="atLeast"/>
              <w:jc w:val="right"/>
              <w:rPr>
                <w:rFonts w:asciiTheme="minorHAnsi" w:hAnsiTheme="minorHAnsi" w:cstheme="minorHAnsi"/>
                <w:color w:val="222222"/>
                <w:sz w:val="22"/>
                <w:szCs w:val="22"/>
              </w:rPr>
            </w:pPr>
            <w:r w:rsidRPr="00062421">
              <w:rPr>
                <w:rFonts w:asciiTheme="minorHAnsi" w:hAnsiTheme="minorHAnsi" w:cstheme="minorHAnsi"/>
                <w:color w:val="000000"/>
                <w:sz w:val="22"/>
                <w:szCs w:val="22"/>
              </w:rPr>
              <w:t>1</w:t>
            </w:r>
          </w:p>
        </w:tc>
      </w:tr>
      <w:tr w:rsidR="00463FA6" w:rsidRPr="00FB4F7D" w14:paraId="3C468172" w14:textId="77777777" w:rsidTr="00202508">
        <w:trPr>
          <w:trHeight w:val="288"/>
        </w:trPr>
        <w:tc>
          <w:tcPr>
            <w:tcW w:w="863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CDF6B01" w14:textId="77777777" w:rsidR="00463FA6" w:rsidRPr="00062421" w:rsidRDefault="0028258C" w:rsidP="00202508">
            <w:pPr>
              <w:pStyle w:val="m-6987256047149701944xmsonormal"/>
              <w:spacing w:before="0" w:beforeAutospacing="0" w:after="0" w:afterAutospacing="0" w:line="202" w:lineRule="atLeast"/>
              <w:rPr>
                <w:rFonts w:asciiTheme="minorHAnsi" w:hAnsiTheme="minorHAnsi" w:cstheme="minorHAnsi"/>
                <w:color w:val="222222"/>
                <w:sz w:val="22"/>
                <w:szCs w:val="22"/>
              </w:rPr>
            </w:pPr>
            <w:hyperlink r:id="rId20" w:tgtFrame="_blank" w:history="1">
              <w:r w:rsidR="00463FA6" w:rsidRPr="00062421">
                <w:rPr>
                  <w:rStyle w:val="m-6987256047149701944xpreflabel"/>
                  <w:rFonts w:asciiTheme="minorHAnsi" w:hAnsiTheme="minorHAnsi" w:cstheme="minorHAnsi"/>
                  <w:color w:val="000000"/>
                  <w:sz w:val="22"/>
                  <w:szCs w:val="22"/>
                </w:rPr>
                <w:t>Ear and labyrinth disorders</w:t>
              </w:r>
            </w:hyperlink>
            <w:r w:rsidR="00463FA6" w:rsidRPr="00062421">
              <w:rPr>
                <w:rFonts w:asciiTheme="minorHAnsi" w:hAnsiTheme="minorHAnsi" w:cstheme="minorHAnsi"/>
                <w:color w:val="222222"/>
                <w:sz w:val="22"/>
                <w:szCs w:val="22"/>
              </w:rPr>
              <w:t> congenital</w:t>
            </w:r>
          </w:p>
        </w:tc>
        <w:tc>
          <w:tcPr>
            <w:tcW w:w="715"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218CB92" w14:textId="77777777" w:rsidR="00463FA6" w:rsidRPr="00062421" w:rsidRDefault="00463FA6" w:rsidP="00202508">
            <w:pPr>
              <w:pStyle w:val="m-6987256047149701944xmsonormal"/>
              <w:spacing w:before="0" w:beforeAutospacing="0" w:after="0" w:afterAutospacing="0" w:line="202" w:lineRule="atLeast"/>
              <w:jc w:val="right"/>
              <w:rPr>
                <w:rFonts w:asciiTheme="minorHAnsi" w:hAnsiTheme="minorHAnsi" w:cstheme="minorHAnsi"/>
                <w:color w:val="222222"/>
                <w:sz w:val="22"/>
                <w:szCs w:val="22"/>
              </w:rPr>
            </w:pPr>
            <w:r w:rsidRPr="00062421">
              <w:rPr>
                <w:rFonts w:asciiTheme="minorHAnsi" w:hAnsiTheme="minorHAnsi" w:cstheme="minorHAnsi"/>
                <w:color w:val="000000"/>
                <w:sz w:val="22"/>
                <w:szCs w:val="22"/>
              </w:rPr>
              <w:t>1</w:t>
            </w:r>
          </w:p>
        </w:tc>
      </w:tr>
    </w:tbl>
    <w:p w14:paraId="77E0D158" w14:textId="77777777" w:rsidR="00463FA6" w:rsidRPr="00062421" w:rsidRDefault="00463FA6" w:rsidP="00050DE8">
      <w:pPr>
        <w:pStyle w:val="m-6987256047149701944xmsonormal"/>
        <w:shd w:val="clear" w:color="auto" w:fill="FFFFFF"/>
        <w:spacing w:before="0" w:beforeAutospacing="0" w:after="0" w:afterAutospacing="0"/>
        <w:rPr>
          <w:rFonts w:asciiTheme="minorHAnsi" w:hAnsiTheme="minorHAnsi" w:cstheme="minorHAnsi"/>
          <w:color w:val="222222"/>
          <w:sz w:val="22"/>
          <w:szCs w:val="22"/>
        </w:rPr>
      </w:pPr>
      <w:r w:rsidRPr="00062421">
        <w:rPr>
          <w:rFonts w:asciiTheme="minorHAnsi" w:hAnsiTheme="minorHAnsi" w:cstheme="minorHAnsi"/>
          <w:color w:val="222222"/>
          <w:sz w:val="22"/>
          <w:szCs w:val="22"/>
        </w:rPr>
        <w:t> </w:t>
      </w:r>
    </w:p>
    <w:p w14:paraId="06CC227F" w14:textId="77777777" w:rsidR="00463FA6" w:rsidRPr="00FB4F7D" w:rsidRDefault="00463FA6" w:rsidP="00050DE8">
      <w:pPr>
        <w:rPr>
          <w:rFonts w:cstheme="minorHAnsi"/>
        </w:rPr>
      </w:pPr>
      <w:r w:rsidRPr="006B0226">
        <w:rPr>
          <w:rFonts w:cstheme="minorHAnsi"/>
        </w:rPr>
        <w:t xml:space="preserve">The sum of the frequencies is slightly greater than the number of cases; this is </w:t>
      </w:r>
      <w:r w:rsidRPr="00FB4F7D">
        <w:rPr>
          <w:rFonts w:cstheme="minorHAnsi"/>
        </w:rPr>
        <w:t>because, in some of the individual cases, the child had multiple birth defects and the defects belonged to different sub-classes.</w:t>
      </w:r>
    </w:p>
    <w:p w14:paraId="6054099F" w14:textId="77777777" w:rsidR="00463FA6" w:rsidRPr="00F80096" w:rsidRDefault="00463FA6" w:rsidP="00050DE8">
      <w:pPr>
        <w:rPr>
          <w:rFonts w:cstheme="minorHAnsi"/>
          <w:b/>
        </w:rPr>
      </w:pPr>
      <w:r w:rsidRPr="00F80096">
        <w:rPr>
          <w:rFonts w:cstheme="minorHAnsi"/>
          <w:b/>
        </w:rPr>
        <w:t xml:space="preserve">Table 2. </w:t>
      </w:r>
      <w:r w:rsidRPr="00F80096">
        <w:rPr>
          <w:rFonts w:cstheme="minorHAnsi"/>
          <w:b/>
          <w:shd w:val="clear" w:color="auto" w:fill="FFFFFF"/>
        </w:rPr>
        <w:t xml:space="preserve">Characteristics of the cases and controls among women who gave birth </w:t>
      </w:r>
    </w:p>
    <w:tbl>
      <w:tblPr>
        <w:tblStyle w:val="TableGrid"/>
        <w:tblW w:w="0" w:type="auto"/>
        <w:tblLook w:val="04A0" w:firstRow="1" w:lastRow="0" w:firstColumn="1" w:lastColumn="0" w:noHBand="0" w:noVBand="1"/>
      </w:tblPr>
      <w:tblGrid>
        <w:gridCol w:w="3573"/>
        <w:gridCol w:w="1815"/>
        <w:gridCol w:w="2016"/>
        <w:gridCol w:w="1612"/>
      </w:tblGrid>
      <w:tr w:rsidR="00463FA6" w:rsidRPr="00FB4F7D" w14:paraId="18DF7253" w14:textId="77777777" w:rsidTr="00F80096">
        <w:tc>
          <w:tcPr>
            <w:tcW w:w="3573" w:type="dxa"/>
            <w:shd w:val="clear" w:color="auto" w:fill="auto"/>
          </w:tcPr>
          <w:p w14:paraId="13020E67" w14:textId="77777777" w:rsidR="00463FA6" w:rsidRPr="00F80096" w:rsidRDefault="00463FA6" w:rsidP="00202508">
            <w:pPr>
              <w:rPr>
                <w:rFonts w:cstheme="minorHAnsi"/>
                <w:b/>
                <w:shd w:val="clear" w:color="auto" w:fill="FFFFFF"/>
              </w:rPr>
            </w:pPr>
          </w:p>
        </w:tc>
        <w:tc>
          <w:tcPr>
            <w:tcW w:w="1815" w:type="dxa"/>
            <w:shd w:val="clear" w:color="auto" w:fill="auto"/>
          </w:tcPr>
          <w:p w14:paraId="50EF3FA3" w14:textId="77777777" w:rsidR="00463FA6" w:rsidRPr="00F80096" w:rsidRDefault="00463FA6" w:rsidP="00202508">
            <w:pPr>
              <w:rPr>
                <w:rFonts w:cstheme="minorHAnsi"/>
                <w:b/>
                <w:shd w:val="clear" w:color="auto" w:fill="FFFFFF"/>
              </w:rPr>
            </w:pPr>
            <w:r w:rsidRPr="00F80096">
              <w:rPr>
                <w:rFonts w:cstheme="minorHAnsi"/>
                <w:b/>
                <w:shd w:val="clear" w:color="auto" w:fill="FFFFFF"/>
              </w:rPr>
              <w:t>Cases (n=196)</w:t>
            </w:r>
          </w:p>
        </w:tc>
        <w:tc>
          <w:tcPr>
            <w:tcW w:w="2016" w:type="dxa"/>
            <w:shd w:val="clear" w:color="auto" w:fill="auto"/>
          </w:tcPr>
          <w:p w14:paraId="05692F3A" w14:textId="77777777" w:rsidR="00463FA6" w:rsidRPr="00F80096" w:rsidRDefault="00463FA6" w:rsidP="00202508">
            <w:pPr>
              <w:rPr>
                <w:rFonts w:cstheme="minorHAnsi"/>
                <w:b/>
                <w:shd w:val="clear" w:color="auto" w:fill="FFFFFF"/>
              </w:rPr>
            </w:pPr>
            <w:r w:rsidRPr="00F80096">
              <w:rPr>
                <w:rFonts w:cstheme="minorHAnsi"/>
                <w:b/>
                <w:shd w:val="clear" w:color="auto" w:fill="FFFFFF"/>
              </w:rPr>
              <w:t>Controls (n=196)</w:t>
            </w:r>
          </w:p>
        </w:tc>
        <w:tc>
          <w:tcPr>
            <w:tcW w:w="1612" w:type="dxa"/>
            <w:shd w:val="clear" w:color="auto" w:fill="auto"/>
          </w:tcPr>
          <w:p w14:paraId="2F4583D6" w14:textId="77777777" w:rsidR="00463FA6" w:rsidRPr="00F80096" w:rsidRDefault="00463FA6" w:rsidP="00202508">
            <w:pPr>
              <w:rPr>
                <w:rFonts w:cstheme="minorHAnsi"/>
                <w:b/>
                <w:shd w:val="clear" w:color="auto" w:fill="FFFFFF"/>
              </w:rPr>
            </w:pPr>
            <w:r w:rsidRPr="00F80096">
              <w:rPr>
                <w:rFonts w:cstheme="minorHAnsi"/>
                <w:b/>
                <w:shd w:val="clear" w:color="auto" w:fill="FFFFFF"/>
              </w:rPr>
              <w:t>P, difference*</w:t>
            </w:r>
          </w:p>
        </w:tc>
      </w:tr>
      <w:tr w:rsidR="00463FA6" w:rsidRPr="00FB4F7D" w14:paraId="3D355297" w14:textId="77777777" w:rsidTr="00202508">
        <w:tc>
          <w:tcPr>
            <w:tcW w:w="9016" w:type="dxa"/>
            <w:gridSpan w:val="4"/>
            <w:shd w:val="clear" w:color="auto" w:fill="F2F2F2" w:themeFill="background1" w:themeFillShade="F2"/>
          </w:tcPr>
          <w:p w14:paraId="4F319BDD" w14:textId="77777777" w:rsidR="00463FA6" w:rsidRPr="00F80096" w:rsidRDefault="00463FA6" w:rsidP="00202508">
            <w:pPr>
              <w:rPr>
                <w:rFonts w:cstheme="minorHAnsi"/>
                <w:b/>
                <w:lang w:val="en-US"/>
              </w:rPr>
            </w:pPr>
            <w:r w:rsidRPr="00F80096">
              <w:rPr>
                <w:rFonts w:cstheme="minorHAnsi"/>
                <w:b/>
                <w:lang w:val="en-US"/>
              </w:rPr>
              <w:t>Age</w:t>
            </w:r>
          </w:p>
        </w:tc>
      </w:tr>
      <w:tr w:rsidR="00463FA6" w:rsidRPr="00FB4F7D" w14:paraId="64C84A50" w14:textId="77777777" w:rsidTr="00202508">
        <w:tc>
          <w:tcPr>
            <w:tcW w:w="3573" w:type="dxa"/>
          </w:tcPr>
          <w:p w14:paraId="41AE3483" w14:textId="77777777" w:rsidR="00463FA6" w:rsidRPr="00FB4F7D" w:rsidRDefault="00463FA6" w:rsidP="00202508">
            <w:pPr>
              <w:rPr>
                <w:rFonts w:cstheme="minorHAnsi"/>
                <w:shd w:val="clear" w:color="auto" w:fill="FFFFFF"/>
              </w:rPr>
            </w:pPr>
            <w:r w:rsidRPr="00FB4F7D">
              <w:rPr>
                <w:rFonts w:cstheme="minorHAnsi"/>
                <w:shd w:val="clear" w:color="auto" w:fill="FFFFFF"/>
              </w:rPr>
              <w:t>Median Age (IQR)</w:t>
            </w:r>
          </w:p>
        </w:tc>
        <w:tc>
          <w:tcPr>
            <w:tcW w:w="1815" w:type="dxa"/>
          </w:tcPr>
          <w:p w14:paraId="53214E45" w14:textId="77777777" w:rsidR="00463FA6" w:rsidRPr="00FB4F7D" w:rsidRDefault="00463FA6" w:rsidP="00202508">
            <w:pPr>
              <w:rPr>
                <w:rFonts w:cstheme="minorHAnsi"/>
                <w:shd w:val="clear" w:color="auto" w:fill="FFFFFF"/>
              </w:rPr>
            </w:pPr>
            <w:r w:rsidRPr="00FB4F7D">
              <w:rPr>
                <w:rFonts w:cstheme="minorHAnsi"/>
                <w:shd w:val="clear" w:color="auto" w:fill="FFFFFF"/>
              </w:rPr>
              <w:t>23 (20 to 28)</w:t>
            </w:r>
          </w:p>
        </w:tc>
        <w:tc>
          <w:tcPr>
            <w:tcW w:w="2016" w:type="dxa"/>
          </w:tcPr>
          <w:p w14:paraId="3FC48E40" w14:textId="77777777" w:rsidR="00463FA6" w:rsidRPr="00FB4F7D" w:rsidRDefault="00463FA6" w:rsidP="00202508">
            <w:pPr>
              <w:rPr>
                <w:rFonts w:cstheme="minorHAnsi"/>
                <w:shd w:val="clear" w:color="auto" w:fill="FFFFFF"/>
              </w:rPr>
            </w:pPr>
            <w:r w:rsidRPr="00FB4F7D">
              <w:rPr>
                <w:rFonts w:cstheme="minorHAnsi"/>
                <w:shd w:val="clear" w:color="auto" w:fill="FFFFFF"/>
              </w:rPr>
              <w:t>21 (19 to 23)</w:t>
            </w:r>
          </w:p>
        </w:tc>
        <w:tc>
          <w:tcPr>
            <w:tcW w:w="1612" w:type="dxa"/>
          </w:tcPr>
          <w:p w14:paraId="7291F747" w14:textId="77777777" w:rsidR="00463FA6" w:rsidRPr="00FB4F7D" w:rsidRDefault="00463FA6" w:rsidP="00202508">
            <w:pPr>
              <w:rPr>
                <w:rFonts w:cstheme="minorHAnsi"/>
                <w:shd w:val="clear" w:color="auto" w:fill="FFFFFF"/>
              </w:rPr>
            </w:pPr>
            <w:r w:rsidRPr="00FB4F7D">
              <w:rPr>
                <w:rFonts w:cstheme="minorHAnsi"/>
                <w:shd w:val="clear" w:color="auto" w:fill="FFFFFF"/>
              </w:rPr>
              <w:t>0.0001</w:t>
            </w:r>
          </w:p>
        </w:tc>
      </w:tr>
      <w:tr w:rsidR="00463FA6" w:rsidRPr="00FB4F7D" w14:paraId="75DEB433" w14:textId="77777777" w:rsidTr="00202508">
        <w:tc>
          <w:tcPr>
            <w:tcW w:w="3573" w:type="dxa"/>
          </w:tcPr>
          <w:p w14:paraId="72D7D213" w14:textId="77777777" w:rsidR="00463FA6" w:rsidRPr="00FB4F7D" w:rsidRDefault="00463FA6" w:rsidP="00202508">
            <w:pPr>
              <w:rPr>
                <w:rFonts w:cstheme="minorHAnsi"/>
                <w:shd w:val="clear" w:color="auto" w:fill="FFFFFF"/>
              </w:rPr>
            </w:pPr>
            <w:r w:rsidRPr="00FB4F7D">
              <w:rPr>
                <w:rFonts w:cstheme="minorHAnsi"/>
                <w:shd w:val="clear" w:color="auto" w:fill="FFFFFF"/>
              </w:rPr>
              <w:t>Mean Age (range)</w:t>
            </w:r>
          </w:p>
        </w:tc>
        <w:tc>
          <w:tcPr>
            <w:tcW w:w="1815" w:type="dxa"/>
          </w:tcPr>
          <w:p w14:paraId="5CA31C23" w14:textId="77777777" w:rsidR="00463FA6" w:rsidRPr="00FB4F7D" w:rsidRDefault="00463FA6" w:rsidP="00202508">
            <w:pPr>
              <w:rPr>
                <w:rFonts w:cstheme="minorHAnsi"/>
                <w:shd w:val="clear" w:color="auto" w:fill="FFFFFF"/>
              </w:rPr>
            </w:pPr>
            <w:r w:rsidRPr="00FB4F7D">
              <w:rPr>
                <w:rFonts w:cstheme="minorHAnsi"/>
                <w:shd w:val="clear" w:color="auto" w:fill="FFFFFF"/>
              </w:rPr>
              <w:t>25 (17 to 42)</w:t>
            </w:r>
          </w:p>
        </w:tc>
        <w:tc>
          <w:tcPr>
            <w:tcW w:w="2016" w:type="dxa"/>
          </w:tcPr>
          <w:p w14:paraId="787B40A8" w14:textId="77777777" w:rsidR="00463FA6" w:rsidRPr="00FB4F7D" w:rsidRDefault="00463FA6" w:rsidP="00202508">
            <w:pPr>
              <w:rPr>
                <w:rFonts w:cstheme="minorHAnsi"/>
                <w:shd w:val="clear" w:color="auto" w:fill="FFFFFF"/>
              </w:rPr>
            </w:pPr>
            <w:r w:rsidRPr="00FB4F7D">
              <w:rPr>
                <w:rFonts w:cstheme="minorHAnsi"/>
                <w:shd w:val="clear" w:color="auto" w:fill="FFFFFF"/>
              </w:rPr>
              <w:t>22 (16 to 37)</w:t>
            </w:r>
          </w:p>
        </w:tc>
        <w:tc>
          <w:tcPr>
            <w:tcW w:w="1612" w:type="dxa"/>
          </w:tcPr>
          <w:p w14:paraId="2B6C53FC" w14:textId="77777777" w:rsidR="00463FA6" w:rsidRPr="00FB4F7D" w:rsidRDefault="00463FA6" w:rsidP="00202508">
            <w:pPr>
              <w:rPr>
                <w:rFonts w:cstheme="minorHAnsi"/>
                <w:shd w:val="clear" w:color="auto" w:fill="FFFFFF"/>
              </w:rPr>
            </w:pPr>
            <w:r w:rsidRPr="00FB4F7D">
              <w:rPr>
                <w:rFonts w:cstheme="minorHAnsi"/>
                <w:shd w:val="clear" w:color="auto" w:fill="FFFFFF"/>
              </w:rPr>
              <w:t>&lt;0.0001</w:t>
            </w:r>
          </w:p>
        </w:tc>
      </w:tr>
      <w:tr w:rsidR="00463FA6" w:rsidRPr="00FB4F7D" w14:paraId="11B10F2A" w14:textId="77777777" w:rsidTr="00202508">
        <w:tc>
          <w:tcPr>
            <w:tcW w:w="3573" w:type="dxa"/>
          </w:tcPr>
          <w:p w14:paraId="7BB3F791" w14:textId="77777777" w:rsidR="00463FA6" w:rsidRPr="00FB4F7D" w:rsidRDefault="00463FA6" w:rsidP="00202508">
            <w:pPr>
              <w:rPr>
                <w:rFonts w:cstheme="minorHAnsi"/>
                <w:shd w:val="clear" w:color="auto" w:fill="FFFFFF"/>
              </w:rPr>
            </w:pPr>
            <w:r w:rsidRPr="00FB4F7D">
              <w:rPr>
                <w:rFonts w:cstheme="minorHAnsi"/>
                <w:shd w:val="clear" w:color="auto" w:fill="FFFFFF"/>
              </w:rPr>
              <w:t>Women &lt;30 years</w:t>
            </w:r>
          </w:p>
        </w:tc>
        <w:tc>
          <w:tcPr>
            <w:tcW w:w="1815" w:type="dxa"/>
          </w:tcPr>
          <w:p w14:paraId="422D7D5F" w14:textId="77777777" w:rsidR="00463FA6" w:rsidRPr="00FB4F7D" w:rsidRDefault="00463FA6" w:rsidP="00202508">
            <w:pPr>
              <w:rPr>
                <w:rFonts w:cstheme="minorHAnsi"/>
                <w:shd w:val="clear" w:color="auto" w:fill="FFFFFF"/>
              </w:rPr>
            </w:pPr>
            <w:r w:rsidRPr="00FB4F7D">
              <w:rPr>
                <w:rFonts w:cstheme="minorHAnsi"/>
                <w:shd w:val="clear" w:color="auto" w:fill="FFFFFF"/>
              </w:rPr>
              <w:t xml:space="preserve">68% </w:t>
            </w:r>
          </w:p>
        </w:tc>
        <w:tc>
          <w:tcPr>
            <w:tcW w:w="2016" w:type="dxa"/>
          </w:tcPr>
          <w:p w14:paraId="662F7D8D" w14:textId="77777777" w:rsidR="00463FA6" w:rsidRPr="00FB4F7D" w:rsidRDefault="00463FA6" w:rsidP="00202508">
            <w:pPr>
              <w:rPr>
                <w:rFonts w:cstheme="minorHAnsi"/>
                <w:shd w:val="clear" w:color="auto" w:fill="FFFFFF"/>
              </w:rPr>
            </w:pPr>
            <w:r w:rsidRPr="00FB4F7D">
              <w:rPr>
                <w:rFonts w:cstheme="minorHAnsi"/>
                <w:shd w:val="clear" w:color="auto" w:fill="FFFFFF"/>
              </w:rPr>
              <w:t xml:space="preserve">66% </w:t>
            </w:r>
          </w:p>
        </w:tc>
        <w:tc>
          <w:tcPr>
            <w:tcW w:w="1612" w:type="dxa"/>
          </w:tcPr>
          <w:p w14:paraId="46F07479" w14:textId="77777777" w:rsidR="00463FA6" w:rsidRPr="00FB4F7D" w:rsidRDefault="00463FA6" w:rsidP="00202508">
            <w:pPr>
              <w:rPr>
                <w:rFonts w:cstheme="minorHAnsi"/>
                <w:shd w:val="clear" w:color="auto" w:fill="FFFFFF"/>
              </w:rPr>
            </w:pPr>
            <w:r w:rsidRPr="00FB4F7D">
              <w:rPr>
                <w:rFonts w:cstheme="minorHAnsi"/>
                <w:shd w:val="clear" w:color="auto" w:fill="FFFFFF"/>
              </w:rPr>
              <w:t>0.004</w:t>
            </w:r>
          </w:p>
        </w:tc>
      </w:tr>
      <w:tr w:rsidR="00463FA6" w:rsidRPr="00FB4F7D" w14:paraId="71AA2FB5" w14:textId="77777777" w:rsidTr="00202508">
        <w:tc>
          <w:tcPr>
            <w:tcW w:w="3573" w:type="dxa"/>
          </w:tcPr>
          <w:p w14:paraId="509F837E" w14:textId="77777777" w:rsidR="00463FA6" w:rsidRPr="00FB4F7D" w:rsidRDefault="00463FA6" w:rsidP="00202508">
            <w:pPr>
              <w:rPr>
                <w:rFonts w:cstheme="minorHAnsi"/>
                <w:shd w:val="clear" w:color="auto" w:fill="FFFFFF"/>
              </w:rPr>
            </w:pPr>
            <w:r w:rsidRPr="00FB4F7D">
              <w:rPr>
                <w:rFonts w:cstheme="minorHAnsi"/>
                <w:shd w:val="clear" w:color="auto" w:fill="FFFFFF"/>
              </w:rPr>
              <w:t xml:space="preserve">Women   &lt;35 years </w:t>
            </w:r>
          </w:p>
        </w:tc>
        <w:tc>
          <w:tcPr>
            <w:tcW w:w="1815" w:type="dxa"/>
          </w:tcPr>
          <w:p w14:paraId="12844C52" w14:textId="77777777" w:rsidR="00463FA6" w:rsidRPr="00FB4F7D" w:rsidRDefault="00463FA6" w:rsidP="00202508">
            <w:pPr>
              <w:rPr>
                <w:rFonts w:cstheme="minorHAnsi"/>
                <w:shd w:val="clear" w:color="auto" w:fill="FFFFFF"/>
              </w:rPr>
            </w:pPr>
            <w:r w:rsidRPr="00FB4F7D">
              <w:rPr>
                <w:rFonts w:cstheme="minorHAnsi"/>
                <w:shd w:val="clear" w:color="auto" w:fill="FFFFFF"/>
              </w:rPr>
              <w:t xml:space="preserve">80% </w:t>
            </w:r>
          </w:p>
        </w:tc>
        <w:tc>
          <w:tcPr>
            <w:tcW w:w="2016" w:type="dxa"/>
          </w:tcPr>
          <w:p w14:paraId="7870AD91" w14:textId="77777777" w:rsidR="00463FA6" w:rsidRPr="00FB4F7D" w:rsidRDefault="00463FA6" w:rsidP="00202508">
            <w:pPr>
              <w:rPr>
                <w:rFonts w:cstheme="minorHAnsi"/>
                <w:shd w:val="clear" w:color="auto" w:fill="FFFFFF"/>
              </w:rPr>
            </w:pPr>
            <w:r w:rsidRPr="00FB4F7D">
              <w:rPr>
                <w:rFonts w:cstheme="minorHAnsi"/>
                <w:shd w:val="clear" w:color="auto" w:fill="FFFFFF"/>
              </w:rPr>
              <w:t xml:space="preserve">70% </w:t>
            </w:r>
          </w:p>
        </w:tc>
        <w:tc>
          <w:tcPr>
            <w:tcW w:w="1612" w:type="dxa"/>
          </w:tcPr>
          <w:p w14:paraId="15BF9455" w14:textId="77777777" w:rsidR="00463FA6" w:rsidRPr="00FB4F7D" w:rsidRDefault="00463FA6" w:rsidP="00202508">
            <w:pPr>
              <w:rPr>
                <w:rFonts w:cstheme="minorHAnsi"/>
                <w:shd w:val="clear" w:color="auto" w:fill="FFFFFF"/>
              </w:rPr>
            </w:pPr>
            <w:r w:rsidRPr="00FB4F7D">
              <w:rPr>
                <w:rFonts w:cstheme="minorHAnsi"/>
                <w:shd w:val="clear" w:color="auto" w:fill="FFFFFF"/>
              </w:rPr>
              <w:t>0.04</w:t>
            </w:r>
          </w:p>
        </w:tc>
      </w:tr>
      <w:tr w:rsidR="00463FA6" w:rsidRPr="00FB4F7D" w14:paraId="3E770D0D" w14:textId="77777777" w:rsidTr="00202508">
        <w:tc>
          <w:tcPr>
            <w:tcW w:w="3573" w:type="dxa"/>
          </w:tcPr>
          <w:p w14:paraId="28F520C0" w14:textId="77777777" w:rsidR="00463FA6" w:rsidRPr="00FB4F7D" w:rsidRDefault="00463FA6" w:rsidP="00202508">
            <w:pPr>
              <w:rPr>
                <w:rFonts w:cstheme="minorHAnsi"/>
                <w:shd w:val="clear" w:color="auto" w:fill="FFFFFF"/>
              </w:rPr>
            </w:pPr>
            <w:r w:rsidRPr="00FB4F7D">
              <w:rPr>
                <w:rFonts w:cstheme="minorHAnsi"/>
                <w:shd w:val="clear" w:color="auto" w:fill="FFFFFF"/>
              </w:rPr>
              <w:t xml:space="preserve">Missing data on age </w:t>
            </w:r>
          </w:p>
        </w:tc>
        <w:tc>
          <w:tcPr>
            <w:tcW w:w="1815" w:type="dxa"/>
          </w:tcPr>
          <w:p w14:paraId="5EF6321A" w14:textId="77777777" w:rsidR="00463FA6" w:rsidRPr="00FB4F7D" w:rsidRDefault="00463FA6" w:rsidP="00202508">
            <w:pPr>
              <w:rPr>
                <w:rFonts w:cstheme="minorHAnsi"/>
                <w:shd w:val="clear" w:color="auto" w:fill="FFFFFF"/>
              </w:rPr>
            </w:pPr>
            <w:r w:rsidRPr="00FB4F7D">
              <w:rPr>
                <w:rFonts w:cstheme="minorHAnsi"/>
                <w:shd w:val="clear" w:color="auto" w:fill="FFFFFF"/>
              </w:rPr>
              <w:t xml:space="preserve">14% </w:t>
            </w:r>
          </w:p>
        </w:tc>
        <w:tc>
          <w:tcPr>
            <w:tcW w:w="2016" w:type="dxa"/>
          </w:tcPr>
          <w:p w14:paraId="25ECECCF" w14:textId="77777777" w:rsidR="00463FA6" w:rsidRPr="00FB4F7D" w:rsidRDefault="00463FA6" w:rsidP="00202508">
            <w:pPr>
              <w:rPr>
                <w:rFonts w:cstheme="minorHAnsi"/>
                <w:shd w:val="clear" w:color="auto" w:fill="FFFFFF"/>
              </w:rPr>
            </w:pPr>
            <w:r w:rsidRPr="00FB4F7D">
              <w:rPr>
                <w:rFonts w:cstheme="minorHAnsi"/>
                <w:shd w:val="clear" w:color="auto" w:fill="FFFFFF"/>
              </w:rPr>
              <w:t xml:space="preserve">28% </w:t>
            </w:r>
          </w:p>
        </w:tc>
        <w:tc>
          <w:tcPr>
            <w:tcW w:w="1612" w:type="dxa"/>
          </w:tcPr>
          <w:p w14:paraId="0D45811E" w14:textId="77777777" w:rsidR="00463FA6" w:rsidRPr="00FB4F7D" w:rsidRDefault="00463FA6" w:rsidP="00202508">
            <w:pPr>
              <w:rPr>
                <w:rFonts w:cstheme="minorHAnsi"/>
                <w:shd w:val="clear" w:color="auto" w:fill="FFFFFF"/>
              </w:rPr>
            </w:pPr>
            <w:r w:rsidRPr="00FB4F7D">
              <w:rPr>
                <w:rFonts w:cstheme="minorHAnsi"/>
                <w:shd w:val="clear" w:color="auto" w:fill="FFFFFF"/>
              </w:rPr>
              <w:t>0.0008</w:t>
            </w:r>
          </w:p>
        </w:tc>
      </w:tr>
      <w:tr w:rsidR="00463FA6" w:rsidRPr="00FB4F7D" w14:paraId="45C2ACA3" w14:textId="77777777" w:rsidTr="00202508">
        <w:tc>
          <w:tcPr>
            <w:tcW w:w="9016" w:type="dxa"/>
            <w:gridSpan w:val="4"/>
            <w:shd w:val="clear" w:color="auto" w:fill="F2F2F2" w:themeFill="background1" w:themeFillShade="F2"/>
          </w:tcPr>
          <w:p w14:paraId="783C8B8E" w14:textId="77777777" w:rsidR="00463FA6" w:rsidRPr="00F80096" w:rsidRDefault="00463FA6" w:rsidP="00202508">
            <w:pPr>
              <w:rPr>
                <w:rFonts w:cstheme="minorHAnsi"/>
                <w:b/>
                <w:lang w:val="en-US"/>
              </w:rPr>
            </w:pPr>
            <w:r w:rsidRPr="00F80096">
              <w:rPr>
                <w:rFonts w:cstheme="minorHAnsi"/>
                <w:b/>
                <w:lang w:val="en-US"/>
              </w:rPr>
              <w:t>Race/ethnicity</w:t>
            </w:r>
          </w:p>
        </w:tc>
      </w:tr>
      <w:tr w:rsidR="00463FA6" w:rsidRPr="00FB4F7D" w14:paraId="3DCECE67" w14:textId="77777777" w:rsidTr="00202508">
        <w:tc>
          <w:tcPr>
            <w:tcW w:w="3573" w:type="dxa"/>
          </w:tcPr>
          <w:p w14:paraId="5865D257" w14:textId="77777777" w:rsidR="00463FA6" w:rsidRPr="00FB4F7D" w:rsidRDefault="00463FA6" w:rsidP="00202508">
            <w:pPr>
              <w:rPr>
                <w:rFonts w:cstheme="minorHAnsi"/>
                <w:shd w:val="clear" w:color="auto" w:fill="FFFFFF"/>
              </w:rPr>
            </w:pPr>
            <w:r w:rsidRPr="00FB4F7D">
              <w:rPr>
                <w:rFonts w:cstheme="minorHAnsi"/>
                <w:shd w:val="clear" w:color="auto" w:fill="FFFFFF"/>
              </w:rPr>
              <w:t>Caucasian</w:t>
            </w:r>
          </w:p>
        </w:tc>
        <w:tc>
          <w:tcPr>
            <w:tcW w:w="1815" w:type="dxa"/>
          </w:tcPr>
          <w:p w14:paraId="55432760" w14:textId="77777777" w:rsidR="00463FA6" w:rsidRPr="00FB4F7D" w:rsidRDefault="00463FA6" w:rsidP="00202508">
            <w:pPr>
              <w:rPr>
                <w:rFonts w:cstheme="minorHAnsi"/>
                <w:shd w:val="clear" w:color="auto" w:fill="FFFFFF"/>
              </w:rPr>
            </w:pPr>
            <w:r w:rsidRPr="00FB4F7D">
              <w:rPr>
                <w:rFonts w:cstheme="minorHAnsi"/>
                <w:shd w:val="clear" w:color="auto" w:fill="FFFFFF"/>
              </w:rPr>
              <w:t>61%</w:t>
            </w:r>
          </w:p>
        </w:tc>
        <w:tc>
          <w:tcPr>
            <w:tcW w:w="2016" w:type="dxa"/>
          </w:tcPr>
          <w:p w14:paraId="0C4A6A91" w14:textId="77777777" w:rsidR="00463FA6" w:rsidRPr="00FB4F7D" w:rsidRDefault="00463FA6" w:rsidP="00202508">
            <w:pPr>
              <w:rPr>
                <w:rFonts w:cstheme="minorHAnsi"/>
                <w:shd w:val="clear" w:color="auto" w:fill="FFFFFF"/>
              </w:rPr>
            </w:pPr>
            <w:r w:rsidRPr="00FB4F7D">
              <w:rPr>
                <w:rFonts w:cstheme="minorHAnsi"/>
                <w:shd w:val="clear" w:color="auto" w:fill="FFFFFF"/>
              </w:rPr>
              <w:t>52%</w:t>
            </w:r>
          </w:p>
        </w:tc>
        <w:tc>
          <w:tcPr>
            <w:tcW w:w="1612" w:type="dxa"/>
            <w:vMerge w:val="restart"/>
          </w:tcPr>
          <w:p w14:paraId="1DE6E43E" w14:textId="77777777" w:rsidR="00463FA6" w:rsidRPr="00FB4F7D" w:rsidRDefault="00463FA6" w:rsidP="00202508">
            <w:pPr>
              <w:rPr>
                <w:rFonts w:cstheme="minorHAnsi"/>
                <w:shd w:val="clear" w:color="auto" w:fill="FFFFFF"/>
              </w:rPr>
            </w:pPr>
            <w:r w:rsidRPr="00FB4F7D">
              <w:rPr>
                <w:rFonts w:cstheme="minorHAnsi"/>
                <w:shd w:val="clear" w:color="auto" w:fill="FFFFFF"/>
              </w:rPr>
              <w:t>P &lt; 0.001</w:t>
            </w:r>
          </w:p>
        </w:tc>
      </w:tr>
      <w:tr w:rsidR="00463FA6" w:rsidRPr="00FB4F7D" w14:paraId="20DFD37F" w14:textId="77777777" w:rsidTr="00202508">
        <w:tc>
          <w:tcPr>
            <w:tcW w:w="3573" w:type="dxa"/>
          </w:tcPr>
          <w:p w14:paraId="41D121E1" w14:textId="77777777" w:rsidR="00463FA6" w:rsidRPr="00FB4F7D" w:rsidRDefault="00463FA6" w:rsidP="00202508">
            <w:pPr>
              <w:rPr>
                <w:rFonts w:cstheme="minorHAnsi"/>
                <w:shd w:val="clear" w:color="auto" w:fill="FFFFFF"/>
              </w:rPr>
            </w:pPr>
            <w:r w:rsidRPr="00FB4F7D">
              <w:rPr>
                <w:rFonts w:cstheme="minorHAnsi"/>
                <w:shd w:val="clear" w:color="auto" w:fill="FFFFFF"/>
              </w:rPr>
              <w:t>Black</w:t>
            </w:r>
          </w:p>
        </w:tc>
        <w:tc>
          <w:tcPr>
            <w:tcW w:w="1815" w:type="dxa"/>
          </w:tcPr>
          <w:p w14:paraId="0F0D9420" w14:textId="77777777" w:rsidR="00463FA6" w:rsidRPr="00FB4F7D" w:rsidRDefault="00463FA6" w:rsidP="00202508">
            <w:pPr>
              <w:rPr>
                <w:rFonts w:cstheme="minorHAnsi"/>
                <w:shd w:val="clear" w:color="auto" w:fill="FFFFFF"/>
              </w:rPr>
            </w:pPr>
            <w:r w:rsidRPr="00FB4F7D">
              <w:rPr>
                <w:rFonts w:cstheme="minorHAnsi"/>
                <w:shd w:val="clear" w:color="auto" w:fill="FFFFFF"/>
              </w:rPr>
              <w:t>11%</w:t>
            </w:r>
          </w:p>
        </w:tc>
        <w:tc>
          <w:tcPr>
            <w:tcW w:w="2016" w:type="dxa"/>
          </w:tcPr>
          <w:p w14:paraId="16F84BDF" w14:textId="77777777" w:rsidR="00463FA6" w:rsidRPr="00FB4F7D" w:rsidRDefault="00463FA6" w:rsidP="00202508">
            <w:pPr>
              <w:rPr>
                <w:rFonts w:cstheme="minorHAnsi"/>
                <w:shd w:val="clear" w:color="auto" w:fill="FFFFFF"/>
              </w:rPr>
            </w:pPr>
            <w:r w:rsidRPr="00FB4F7D">
              <w:rPr>
                <w:rFonts w:cstheme="minorHAnsi"/>
                <w:shd w:val="clear" w:color="auto" w:fill="FFFFFF"/>
              </w:rPr>
              <w:t>26%</w:t>
            </w:r>
          </w:p>
        </w:tc>
        <w:tc>
          <w:tcPr>
            <w:tcW w:w="1612" w:type="dxa"/>
            <w:vMerge/>
          </w:tcPr>
          <w:p w14:paraId="4E835EFC" w14:textId="77777777" w:rsidR="00463FA6" w:rsidRPr="00FB4F7D" w:rsidRDefault="00463FA6" w:rsidP="00202508">
            <w:pPr>
              <w:rPr>
                <w:rFonts w:cstheme="minorHAnsi"/>
                <w:shd w:val="clear" w:color="auto" w:fill="FFFFFF"/>
              </w:rPr>
            </w:pPr>
          </w:p>
        </w:tc>
      </w:tr>
      <w:tr w:rsidR="00463FA6" w:rsidRPr="00FB4F7D" w14:paraId="5E2CBC8A" w14:textId="77777777" w:rsidTr="00202508">
        <w:tc>
          <w:tcPr>
            <w:tcW w:w="3573" w:type="dxa"/>
          </w:tcPr>
          <w:p w14:paraId="45C182D5" w14:textId="77777777" w:rsidR="00463FA6" w:rsidRPr="00FB4F7D" w:rsidRDefault="00463FA6" w:rsidP="00202508">
            <w:pPr>
              <w:rPr>
                <w:rFonts w:cstheme="minorHAnsi"/>
                <w:shd w:val="clear" w:color="auto" w:fill="FFFFFF"/>
              </w:rPr>
            </w:pPr>
            <w:r w:rsidRPr="00FB4F7D">
              <w:rPr>
                <w:rFonts w:cstheme="minorHAnsi"/>
                <w:shd w:val="clear" w:color="auto" w:fill="FFFFFF"/>
              </w:rPr>
              <w:t>Hispanic</w:t>
            </w:r>
          </w:p>
        </w:tc>
        <w:tc>
          <w:tcPr>
            <w:tcW w:w="1815" w:type="dxa"/>
          </w:tcPr>
          <w:p w14:paraId="2BC4FB19" w14:textId="77777777" w:rsidR="00463FA6" w:rsidRPr="00FB4F7D" w:rsidRDefault="00463FA6" w:rsidP="00202508">
            <w:pPr>
              <w:rPr>
                <w:rFonts w:cstheme="minorHAnsi"/>
                <w:shd w:val="clear" w:color="auto" w:fill="FFFFFF"/>
              </w:rPr>
            </w:pPr>
            <w:r w:rsidRPr="00FB4F7D">
              <w:rPr>
                <w:rFonts w:cstheme="minorHAnsi"/>
                <w:shd w:val="clear" w:color="auto" w:fill="FFFFFF"/>
              </w:rPr>
              <w:t>6%</w:t>
            </w:r>
          </w:p>
        </w:tc>
        <w:tc>
          <w:tcPr>
            <w:tcW w:w="2016" w:type="dxa"/>
          </w:tcPr>
          <w:p w14:paraId="3EE1C021" w14:textId="77777777" w:rsidR="00463FA6" w:rsidRPr="00FB4F7D" w:rsidRDefault="00463FA6" w:rsidP="00202508">
            <w:pPr>
              <w:rPr>
                <w:rFonts w:cstheme="minorHAnsi"/>
                <w:shd w:val="clear" w:color="auto" w:fill="FFFFFF"/>
              </w:rPr>
            </w:pPr>
            <w:r w:rsidRPr="00FB4F7D">
              <w:rPr>
                <w:rFonts w:cstheme="minorHAnsi"/>
                <w:shd w:val="clear" w:color="auto" w:fill="FFFFFF"/>
              </w:rPr>
              <w:t>11%</w:t>
            </w:r>
          </w:p>
        </w:tc>
        <w:tc>
          <w:tcPr>
            <w:tcW w:w="1612" w:type="dxa"/>
            <w:vMerge/>
          </w:tcPr>
          <w:p w14:paraId="759487DA" w14:textId="77777777" w:rsidR="00463FA6" w:rsidRPr="00FB4F7D" w:rsidRDefault="00463FA6" w:rsidP="00202508">
            <w:pPr>
              <w:rPr>
                <w:rFonts w:cstheme="minorHAnsi"/>
                <w:shd w:val="clear" w:color="auto" w:fill="FFFFFF"/>
              </w:rPr>
            </w:pPr>
          </w:p>
        </w:tc>
      </w:tr>
      <w:tr w:rsidR="00463FA6" w:rsidRPr="00FB4F7D" w14:paraId="7969FF21" w14:textId="77777777" w:rsidTr="00202508">
        <w:tc>
          <w:tcPr>
            <w:tcW w:w="3573" w:type="dxa"/>
          </w:tcPr>
          <w:p w14:paraId="7549EE32" w14:textId="77777777" w:rsidR="00463FA6" w:rsidRPr="00FB4F7D" w:rsidRDefault="00463FA6" w:rsidP="00202508">
            <w:pPr>
              <w:rPr>
                <w:rFonts w:cstheme="minorHAnsi"/>
                <w:shd w:val="clear" w:color="auto" w:fill="FFFFFF"/>
              </w:rPr>
            </w:pPr>
            <w:r w:rsidRPr="00FB4F7D">
              <w:rPr>
                <w:rFonts w:cstheme="minorHAnsi"/>
                <w:shd w:val="clear" w:color="auto" w:fill="FFFFFF"/>
              </w:rPr>
              <w:t>Asian</w:t>
            </w:r>
          </w:p>
        </w:tc>
        <w:tc>
          <w:tcPr>
            <w:tcW w:w="1815" w:type="dxa"/>
          </w:tcPr>
          <w:p w14:paraId="3043DBDE" w14:textId="77777777" w:rsidR="00463FA6" w:rsidRPr="00FB4F7D" w:rsidRDefault="00463FA6" w:rsidP="00202508">
            <w:pPr>
              <w:rPr>
                <w:rFonts w:cstheme="minorHAnsi"/>
                <w:shd w:val="clear" w:color="auto" w:fill="FFFFFF"/>
              </w:rPr>
            </w:pPr>
            <w:r w:rsidRPr="00FB4F7D">
              <w:rPr>
                <w:rFonts w:cstheme="minorHAnsi"/>
                <w:shd w:val="clear" w:color="auto" w:fill="FFFFFF"/>
              </w:rPr>
              <w:t>2%</w:t>
            </w:r>
          </w:p>
        </w:tc>
        <w:tc>
          <w:tcPr>
            <w:tcW w:w="2016" w:type="dxa"/>
          </w:tcPr>
          <w:p w14:paraId="3656961C" w14:textId="77777777" w:rsidR="00463FA6" w:rsidRPr="00FB4F7D" w:rsidRDefault="00463FA6" w:rsidP="00202508">
            <w:pPr>
              <w:rPr>
                <w:rFonts w:cstheme="minorHAnsi"/>
                <w:shd w:val="clear" w:color="auto" w:fill="FFFFFF"/>
              </w:rPr>
            </w:pPr>
            <w:r w:rsidRPr="00FB4F7D">
              <w:rPr>
                <w:rFonts w:cstheme="minorHAnsi"/>
                <w:shd w:val="clear" w:color="auto" w:fill="FFFFFF"/>
              </w:rPr>
              <w:t>3%</w:t>
            </w:r>
          </w:p>
        </w:tc>
        <w:tc>
          <w:tcPr>
            <w:tcW w:w="1612" w:type="dxa"/>
            <w:vMerge/>
          </w:tcPr>
          <w:p w14:paraId="32C98E6F" w14:textId="77777777" w:rsidR="00463FA6" w:rsidRPr="00FB4F7D" w:rsidRDefault="00463FA6" w:rsidP="00202508">
            <w:pPr>
              <w:rPr>
                <w:rFonts w:cstheme="minorHAnsi"/>
                <w:shd w:val="clear" w:color="auto" w:fill="FFFFFF"/>
              </w:rPr>
            </w:pPr>
          </w:p>
        </w:tc>
      </w:tr>
      <w:tr w:rsidR="00463FA6" w:rsidRPr="00FB4F7D" w14:paraId="4544856A" w14:textId="77777777" w:rsidTr="00202508">
        <w:tc>
          <w:tcPr>
            <w:tcW w:w="3573" w:type="dxa"/>
          </w:tcPr>
          <w:p w14:paraId="726D87C7" w14:textId="77777777" w:rsidR="00463FA6" w:rsidRPr="00FB4F7D" w:rsidRDefault="00463FA6" w:rsidP="00202508">
            <w:pPr>
              <w:rPr>
                <w:rFonts w:cstheme="minorHAnsi"/>
                <w:shd w:val="clear" w:color="auto" w:fill="FFFFFF"/>
              </w:rPr>
            </w:pPr>
            <w:r w:rsidRPr="00FB4F7D">
              <w:rPr>
                <w:rFonts w:cstheme="minorHAnsi"/>
                <w:shd w:val="clear" w:color="auto" w:fill="FFFFFF"/>
              </w:rPr>
              <w:t xml:space="preserve">Other </w:t>
            </w:r>
          </w:p>
        </w:tc>
        <w:tc>
          <w:tcPr>
            <w:tcW w:w="1815" w:type="dxa"/>
          </w:tcPr>
          <w:p w14:paraId="6EFEC19F" w14:textId="77777777" w:rsidR="00463FA6" w:rsidRPr="00FB4F7D" w:rsidRDefault="00463FA6" w:rsidP="00202508">
            <w:pPr>
              <w:rPr>
                <w:rFonts w:cstheme="minorHAnsi"/>
              </w:rPr>
            </w:pPr>
            <w:r w:rsidRPr="00FB4F7D">
              <w:rPr>
                <w:rFonts w:cstheme="minorHAnsi"/>
                <w:shd w:val="clear" w:color="auto" w:fill="FFFFFF"/>
              </w:rPr>
              <w:t>2%</w:t>
            </w:r>
          </w:p>
        </w:tc>
        <w:tc>
          <w:tcPr>
            <w:tcW w:w="2016" w:type="dxa"/>
          </w:tcPr>
          <w:p w14:paraId="3E56D2FE" w14:textId="77777777" w:rsidR="00463FA6" w:rsidRPr="00FB4F7D" w:rsidRDefault="00463FA6" w:rsidP="00202508">
            <w:pPr>
              <w:rPr>
                <w:rFonts w:cstheme="minorHAnsi"/>
                <w:shd w:val="clear" w:color="auto" w:fill="FFFFFF"/>
              </w:rPr>
            </w:pPr>
            <w:r w:rsidRPr="00FB4F7D">
              <w:rPr>
                <w:rFonts w:cstheme="minorHAnsi"/>
                <w:shd w:val="clear" w:color="auto" w:fill="FFFFFF"/>
              </w:rPr>
              <w:t>3%</w:t>
            </w:r>
          </w:p>
        </w:tc>
        <w:tc>
          <w:tcPr>
            <w:tcW w:w="1612" w:type="dxa"/>
            <w:vMerge/>
          </w:tcPr>
          <w:p w14:paraId="23E93936" w14:textId="77777777" w:rsidR="00463FA6" w:rsidRPr="00FB4F7D" w:rsidRDefault="00463FA6" w:rsidP="00202508">
            <w:pPr>
              <w:rPr>
                <w:rFonts w:cstheme="minorHAnsi"/>
                <w:shd w:val="clear" w:color="auto" w:fill="FFFFFF"/>
              </w:rPr>
            </w:pPr>
          </w:p>
        </w:tc>
      </w:tr>
      <w:tr w:rsidR="00463FA6" w:rsidRPr="00FB4F7D" w14:paraId="0884B996" w14:textId="77777777" w:rsidTr="00202508">
        <w:tc>
          <w:tcPr>
            <w:tcW w:w="3573" w:type="dxa"/>
          </w:tcPr>
          <w:p w14:paraId="70BF0135" w14:textId="77777777" w:rsidR="00463FA6" w:rsidRPr="00FB4F7D" w:rsidRDefault="00463FA6" w:rsidP="00202508">
            <w:pPr>
              <w:rPr>
                <w:rFonts w:cstheme="minorHAnsi"/>
                <w:shd w:val="clear" w:color="auto" w:fill="FFFFFF"/>
              </w:rPr>
            </w:pPr>
            <w:r w:rsidRPr="00FB4F7D">
              <w:rPr>
                <w:rFonts w:cstheme="minorHAnsi"/>
                <w:shd w:val="clear" w:color="auto" w:fill="FFFFFF"/>
              </w:rPr>
              <w:t>Missing data on race</w:t>
            </w:r>
          </w:p>
        </w:tc>
        <w:tc>
          <w:tcPr>
            <w:tcW w:w="1815" w:type="dxa"/>
          </w:tcPr>
          <w:p w14:paraId="6A9E35F4" w14:textId="77777777" w:rsidR="00463FA6" w:rsidRPr="00FB4F7D" w:rsidRDefault="00463FA6" w:rsidP="00202508">
            <w:pPr>
              <w:rPr>
                <w:rFonts w:cstheme="minorHAnsi"/>
                <w:shd w:val="clear" w:color="auto" w:fill="FFFFFF"/>
              </w:rPr>
            </w:pPr>
            <w:r w:rsidRPr="00FB4F7D">
              <w:rPr>
                <w:rFonts w:cstheme="minorHAnsi"/>
                <w:shd w:val="clear" w:color="auto" w:fill="FFFFFF"/>
              </w:rPr>
              <w:t xml:space="preserve">16% </w:t>
            </w:r>
          </w:p>
        </w:tc>
        <w:tc>
          <w:tcPr>
            <w:tcW w:w="2016" w:type="dxa"/>
          </w:tcPr>
          <w:p w14:paraId="5288BA77" w14:textId="77777777" w:rsidR="00463FA6" w:rsidRPr="00FB4F7D" w:rsidRDefault="00463FA6" w:rsidP="00202508">
            <w:pPr>
              <w:rPr>
                <w:rFonts w:cstheme="minorHAnsi"/>
                <w:shd w:val="clear" w:color="auto" w:fill="FFFFFF"/>
              </w:rPr>
            </w:pPr>
            <w:r w:rsidRPr="00FB4F7D">
              <w:rPr>
                <w:rFonts w:cstheme="minorHAnsi"/>
                <w:shd w:val="clear" w:color="auto" w:fill="FFFFFF"/>
              </w:rPr>
              <w:t>6%</w:t>
            </w:r>
          </w:p>
        </w:tc>
        <w:tc>
          <w:tcPr>
            <w:tcW w:w="1612" w:type="dxa"/>
            <w:vMerge/>
          </w:tcPr>
          <w:p w14:paraId="6266457D" w14:textId="77777777" w:rsidR="00463FA6" w:rsidRPr="00FB4F7D" w:rsidRDefault="00463FA6" w:rsidP="00202508">
            <w:pPr>
              <w:rPr>
                <w:rFonts w:cstheme="minorHAnsi"/>
                <w:shd w:val="clear" w:color="auto" w:fill="FFFFFF"/>
              </w:rPr>
            </w:pPr>
          </w:p>
        </w:tc>
      </w:tr>
      <w:tr w:rsidR="00463FA6" w:rsidRPr="00FB4F7D" w14:paraId="616F0CEA" w14:textId="77777777" w:rsidTr="00202508">
        <w:tc>
          <w:tcPr>
            <w:tcW w:w="9016" w:type="dxa"/>
            <w:gridSpan w:val="4"/>
            <w:shd w:val="clear" w:color="auto" w:fill="F2F2F2" w:themeFill="background1" w:themeFillShade="F2"/>
          </w:tcPr>
          <w:p w14:paraId="66D0558E" w14:textId="77777777" w:rsidR="00463FA6" w:rsidRPr="00F80096" w:rsidRDefault="00463FA6" w:rsidP="00202508">
            <w:pPr>
              <w:rPr>
                <w:rFonts w:cstheme="minorHAnsi"/>
                <w:b/>
                <w:lang w:val="en-US"/>
              </w:rPr>
            </w:pPr>
            <w:r w:rsidRPr="00F80096">
              <w:rPr>
                <w:rFonts w:cstheme="minorHAnsi"/>
                <w:b/>
                <w:lang w:val="en-US"/>
              </w:rPr>
              <w:t>Place of residence</w:t>
            </w:r>
          </w:p>
        </w:tc>
      </w:tr>
      <w:tr w:rsidR="00463FA6" w:rsidRPr="00FB4F7D" w14:paraId="703240B4" w14:textId="77777777" w:rsidTr="00202508">
        <w:tc>
          <w:tcPr>
            <w:tcW w:w="3573" w:type="dxa"/>
          </w:tcPr>
          <w:p w14:paraId="7C4F4F29" w14:textId="77777777" w:rsidR="00463FA6" w:rsidRPr="00FB4F7D" w:rsidRDefault="00463FA6" w:rsidP="00202508">
            <w:pPr>
              <w:rPr>
                <w:rFonts w:cstheme="minorHAnsi"/>
                <w:shd w:val="clear" w:color="auto" w:fill="FFFFFF"/>
              </w:rPr>
            </w:pPr>
            <w:r w:rsidRPr="00FB4F7D">
              <w:rPr>
                <w:rFonts w:cstheme="minorHAnsi"/>
                <w:shd w:val="clear" w:color="auto" w:fill="FFFFFF"/>
              </w:rPr>
              <w:t>USA</w:t>
            </w:r>
          </w:p>
        </w:tc>
        <w:tc>
          <w:tcPr>
            <w:tcW w:w="1815" w:type="dxa"/>
          </w:tcPr>
          <w:p w14:paraId="099CD627" w14:textId="77777777" w:rsidR="00463FA6" w:rsidRPr="00FB4F7D" w:rsidRDefault="00463FA6" w:rsidP="00202508">
            <w:pPr>
              <w:rPr>
                <w:rFonts w:cstheme="minorHAnsi"/>
                <w:shd w:val="clear" w:color="auto" w:fill="FFFFFF"/>
              </w:rPr>
            </w:pPr>
            <w:r w:rsidRPr="00FB4F7D">
              <w:rPr>
                <w:rFonts w:cstheme="minorHAnsi"/>
                <w:shd w:val="clear" w:color="auto" w:fill="FFFFFF"/>
              </w:rPr>
              <w:t>66%</w:t>
            </w:r>
          </w:p>
        </w:tc>
        <w:tc>
          <w:tcPr>
            <w:tcW w:w="2016" w:type="dxa"/>
          </w:tcPr>
          <w:p w14:paraId="60D04C31" w14:textId="77777777" w:rsidR="00463FA6" w:rsidRPr="00FB4F7D" w:rsidRDefault="00463FA6" w:rsidP="00202508">
            <w:pPr>
              <w:rPr>
                <w:rFonts w:cstheme="minorHAnsi"/>
                <w:shd w:val="clear" w:color="auto" w:fill="FFFFFF"/>
              </w:rPr>
            </w:pPr>
            <w:r w:rsidRPr="00FB4F7D">
              <w:rPr>
                <w:rFonts w:cstheme="minorHAnsi"/>
                <w:shd w:val="clear" w:color="auto" w:fill="FFFFFF"/>
              </w:rPr>
              <w:t>77%</w:t>
            </w:r>
          </w:p>
        </w:tc>
        <w:tc>
          <w:tcPr>
            <w:tcW w:w="1612" w:type="dxa"/>
            <w:vMerge w:val="restart"/>
          </w:tcPr>
          <w:p w14:paraId="3207CC38" w14:textId="77777777" w:rsidR="00463FA6" w:rsidRPr="00FB4F7D" w:rsidRDefault="00463FA6" w:rsidP="00202508">
            <w:pPr>
              <w:rPr>
                <w:rFonts w:cstheme="minorHAnsi"/>
                <w:shd w:val="clear" w:color="auto" w:fill="FFFFFF"/>
              </w:rPr>
            </w:pPr>
            <w:r w:rsidRPr="00FB4F7D">
              <w:rPr>
                <w:rFonts w:cstheme="minorHAnsi"/>
                <w:lang w:val="en-US"/>
              </w:rPr>
              <w:t>P = 0.04</w:t>
            </w:r>
          </w:p>
        </w:tc>
      </w:tr>
      <w:tr w:rsidR="00463FA6" w:rsidRPr="00FB4F7D" w14:paraId="4FEDBABB" w14:textId="77777777" w:rsidTr="00202508">
        <w:tc>
          <w:tcPr>
            <w:tcW w:w="3573" w:type="dxa"/>
          </w:tcPr>
          <w:p w14:paraId="52E93AB7" w14:textId="77777777" w:rsidR="00463FA6" w:rsidRPr="00FB4F7D" w:rsidDel="00592567" w:rsidRDefault="00463FA6" w:rsidP="00202508">
            <w:pPr>
              <w:rPr>
                <w:rFonts w:cstheme="minorHAnsi"/>
                <w:shd w:val="clear" w:color="auto" w:fill="FFFFFF"/>
              </w:rPr>
            </w:pPr>
            <w:r w:rsidRPr="00FB4F7D">
              <w:rPr>
                <w:rFonts w:cstheme="minorHAnsi"/>
                <w:shd w:val="clear" w:color="auto" w:fill="FFFFFF"/>
              </w:rPr>
              <w:t>UK</w:t>
            </w:r>
          </w:p>
        </w:tc>
        <w:tc>
          <w:tcPr>
            <w:tcW w:w="1815" w:type="dxa"/>
          </w:tcPr>
          <w:p w14:paraId="587E6C19" w14:textId="77777777" w:rsidR="00463FA6" w:rsidRPr="00FB4F7D" w:rsidRDefault="00463FA6" w:rsidP="00202508">
            <w:pPr>
              <w:rPr>
                <w:rFonts w:cstheme="minorHAnsi"/>
                <w:shd w:val="clear" w:color="auto" w:fill="FFFFFF"/>
              </w:rPr>
            </w:pPr>
            <w:r w:rsidRPr="00FB4F7D">
              <w:rPr>
                <w:rFonts w:cstheme="minorHAnsi"/>
                <w:shd w:val="clear" w:color="auto" w:fill="FFFFFF"/>
              </w:rPr>
              <w:t>16%</w:t>
            </w:r>
          </w:p>
        </w:tc>
        <w:tc>
          <w:tcPr>
            <w:tcW w:w="2016" w:type="dxa"/>
          </w:tcPr>
          <w:p w14:paraId="0505F153" w14:textId="77777777" w:rsidR="00463FA6" w:rsidRPr="00FB4F7D" w:rsidRDefault="00463FA6" w:rsidP="00202508">
            <w:pPr>
              <w:rPr>
                <w:rFonts w:cstheme="minorHAnsi"/>
                <w:shd w:val="clear" w:color="auto" w:fill="FFFFFF"/>
              </w:rPr>
            </w:pPr>
            <w:r w:rsidRPr="00FB4F7D">
              <w:rPr>
                <w:rFonts w:cstheme="minorHAnsi"/>
                <w:shd w:val="clear" w:color="auto" w:fill="FFFFFF"/>
              </w:rPr>
              <w:t>8%</w:t>
            </w:r>
          </w:p>
        </w:tc>
        <w:tc>
          <w:tcPr>
            <w:tcW w:w="1612" w:type="dxa"/>
            <w:vMerge/>
          </w:tcPr>
          <w:p w14:paraId="5007A264" w14:textId="77777777" w:rsidR="00463FA6" w:rsidRPr="00FB4F7D" w:rsidRDefault="00463FA6" w:rsidP="00202508">
            <w:pPr>
              <w:rPr>
                <w:rFonts w:cstheme="minorHAnsi"/>
                <w:shd w:val="clear" w:color="auto" w:fill="FFFFFF"/>
              </w:rPr>
            </w:pPr>
          </w:p>
        </w:tc>
      </w:tr>
      <w:tr w:rsidR="00463FA6" w:rsidRPr="00FB4F7D" w14:paraId="4EE14E67" w14:textId="77777777" w:rsidTr="00202508">
        <w:tc>
          <w:tcPr>
            <w:tcW w:w="3573" w:type="dxa"/>
          </w:tcPr>
          <w:p w14:paraId="6E21810E" w14:textId="77777777" w:rsidR="00463FA6" w:rsidRPr="00FB4F7D" w:rsidDel="00592567" w:rsidRDefault="00463FA6" w:rsidP="00202508">
            <w:pPr>
              <w:rPr>
                <w:rFonts w:cstheme="minorHAnsi"/>
                <w:shd w:val="clear" w:color="auto" w:fill="FFFFFF"/>
              </w:rPr>
            </w:pPr>
            <w:r w:rsidRPr="00FB4F7D">
              <w:rPr>
                <w:rFonts w:cstheme="minorHAnsi"/>
                <w:shd w:val="clear" w:color="auto" w:fill="FFFFFF"/>
              </w:rPr>
              <w:t>Canada</w:t>
            </w:r>
          </w:p>
        </w:tc>
        <w:tc>
          <w:tcPr>
            <w:tcW w:w="1815" w:type="dxa"/>
          </w:tcPr>
          <w:p w14:paraId="1660F039" w14:textId="77777777" w:rsidR="00463FA6" w:rsidRPr="00FB4F7D" w:rsidRDefault="00463FA6" w:rsidP="00202508">
            <w:pPr>
              <w:rPr>
                <w:rFonts w:cstheme="minorHAnsi"/>
                <w:shd w:val="clear" w:color="auto" w:fill="FFFFFF"/>
              </w:rPr>
            </w:pPr>
            <w:r w:rsidRPr="00FB4F7D">
              <w:rPr>
                <w:rFonts w:cstheme="minorHAnsi"/>
                <w:shd w:val="clear" w:color="auto" w:fill="FFFFFF"/>
              </w:rPr>
              <w:t>4%</w:t>
            </w:r>
          </w:p>
        </w:tc>
        <w:tc>
          <w:tcPr>
            <w:tcW w:w="2016" w:type="dxa"/>
          </w:tcPr>
          <w:p w14:paraId="1FEC712F" w14:textId="77777777" w:rsidR="00463FA6" w:rsidRPr="00FB4F7D" w:rsidRDefault="00463FA6" w:rsidP="00202508">
            <w:pPr>
              <w:rPr>
                <w:rFonts w:cstheme="minorHAnsi"/>
                <w:shd w:val="clear" w:color="auto" w:fill="FFFFFF"/>
              </w:rPr>
            </w:pPr>
            <w:r w:rsidRPr="00FB4F7D">
              <w:rPr>
                <w:rFonts w:cstheme="minorHAnsi"/>
                <w:shd w:val="clear" w:color="auto" w:fill="FFFFFF"/>
              </w:rPr>
              <w:t>3%</w:t>
            </w:r>
          </w:p>
        </w:tc>
        <w:tc>
          <w:tcPr>
            <w:tcW w:w="1612" w:type="dxa"/>
            <w:vMerge/>
          </w:tcPr>
          <w:p w14:paraId="4CBECD93" w14:textId="77777777" w:rsidR="00463FA6" w:rsidRPr="00FB4F7D" w:rsidRDefault="00463FA6" w:rsidP="00202508">
            <w:pPr>
              <w:rPr>
                <w:rFonts w:cstheme="minorHAnsi"/>
                <w:shd w:val="clear" w:color="auto" w:fill="FFFFFF"/>
              </w:rPr>
            </w:pPr>
          </w:p>
        </w:tc>
      </w:tr>
      <w:tr w:rsidR="00463FA6" w:rsidRPr="00FB4F7D" w14:paraId="4748BD2F" w14:textId="77777777" w:rsidTr="00202508">
        <w:tc>
          <w:tcPr>
            <w:tcW w:w="3573" w:type="dxa"/>
          </w:tcPr>
          <w:p w14:paraId="3489A2A1" w14:textId="77777777" w:rsidR="00463FA6" w:rsidRPr="00FB4F7D" w:rsidRDefault="00463FA6" w:rsidP="00202508">
            <w:pPr>
              <w:rPr>
                <w:rFonts w:cstheme="minorHAnsi"/>
                <w:shd w:val="clear" w:color="auto" w:fill="FFFFFF"/>
              </w:rPr>
            </w:pPr>
            <w:r w:rsidRPr="00FB4F7D">
              <w:rPr>
                <w:rFonts w:cstheme="minorHAnsi"/>
                <w:shd w:val="clear" w:color="auto" w:fill="FFFFFF"/>
              </w:rPr>
              <w:t xml:space="preserve">Other </w:t>
            </w:r>
          </w:p>
        </w:tc>
        <w:tc>
          <w:tcPr>
            <w:tcW w:w="1815" w:type="dxa"/>
          </w:tcPr>
          <w:p w14:paraId="1F30D2D5" w14:textId="77777777" w:rsidR="00463FA6" w:rsidRPr="00FB4F7D" w:rsidRDefault="00463FA6" w:rsidP="00202508">
            <w:pPr>
              <w:rPr>
                <w:rFonts w:cstheme="minorHAnsi"/>
                <w:shd w:val="clear" w:color="auto" w:fill="FFFFFF"/>
              </w:rPr>
            </w:pPr>
            <w:r w:rsidRPr="00FB4F7D">
              <w:rPr>
                <w:rFonts w:cstheme="minorHAnsi"/>
                <w:shd w:val="clear" w:color="auto" w:fill="FFFFFF"/>
              </w:rPr>
              <w:t>2%</w:t>
            </w:r>
          </w:p>
        </w:tc>
        <w:tc>
          <w:tcPr>
            <w:tcW w:w="2016" w:type="dxa"/>
          </w:tcPr>
          <w:p w14:paraId="2F14EEC6" w14:textId="77777777" w:rsidR="00463FA6" w:rsidRPr="00FB4F7D" w:rsidRDefault="00463FA6" w:rsidP="00202508">
            <w:pPr>
              <w:rPr>
                <w:rFonts w:cstheme="minorHAnsi"/>
                <w:shd w:val="clear" w:color="auto" w:fill="FFFFFF"/>
              </w:rPr>
            </w:pPr>
            <w:r w:rsidRPr="00FB4F7D">
              <w:rPr>
                <w:rFonts w:cstheme="minorHAnsi"/>
                <w:shd w:val="clear" w:color="auto" w:fill="FFFFFF"/>
              </w:rPr>
              <w:t>3%</w:t>
            </w:r>
          </w:p>
        </w:tc>
        <w:tc>
          <w:tcPr>
            <w:tcW w:w="1612" w:type="dxa"/>
            <w:vMerge/>
          </w:tcPr>
          <w:p w14:paraId="51190103" w14:textId="77777777" w:rsidR="00463FA6" w:rsidRPr="00FB4F7D" w:rsidRDefault="00463FA6" w:rsidP="00202508">
            <w:pPr>
              <w:rPr>
                <w:rFonts w:cstheme="minorHAnsi"/>
                <w:shd w:val="clear" w:color="auto" w:fill="FFFFFF"/>
              </w:rPr>
            </w:pPr>
          </w:p>
        </w:tc>
      </w:tr>
      <w:tr w:rsidR="00463FA6" w:rsidRPr="00FB4F7D" w14:paraId="54D9394B" w14:textId="77777777" w:rsidTr="00202508">
        <w:tc>
          <w:tcPr>
            <w:tcW w:w="3573" w:type="dxa"/>
          </w:tcPr>
          <w:p w14:paraId="4C8E9FE5" w14:textId="77777777" w:rsidR="00463FA6" w:rsidRPr="00FB4F7D" w:rsidDel="00592567" w:rsidRDefault="00463FA6" w:rsidP="00202508">
            <w:pPr>
              <w:rPr>
                <w:rFonts w:cstheme="minorHAnsi"/>
                <w:shd w:val="clear" w:color="auto" w:fill="FFFFFF"/>
              </w:rPr>
            </w:pPr>
            <w:r w:rsidRPr="00FB4F7D">
              <w:rPr>
                <w:rFonts w:cstheme="minorHAnsi"/>
                <w:shd w:val="clear" w:color="auto" w:fill="FFFFFF"/>
              </w:rPr>
              <w:t>Missing data on place of residence</w:t>
            </w:r>
          </w:p>
        </w:tc>
        <w:tc>
          <w:tcPr>
            <w:tcW w:w="1815" w:type="dxa"/>
          </w:tcPr>
          <w:p w14:paraId="1698FCA5" w14:textId="77777777" w:rsidR="00463FA6" w:rsidRPr="00FB4F7D" w:rsidRDefault="00463FA6" w:rsidP="00202508">
            <w:pPr>
              <w:rPr>
                <w:rFonts w:cstheme="minorHAnsi"/>
                <w:shd w:val="clear" w:color="auto" w:fill="FFFFFF"/>
              </w:rPr>
            </w:pPr>
            <w:r w:rsidRPr="00FB4F7D">
              <w:rPr>
                <w:rFonts w:cstheme="minorHAnsi"/>
                <w:shd w:val="clear" w:color="auto" w:fill="FFFFFF"/>
              </w:rPr>
              <w:t>6%</w:t>
            </w:r>
          </w:p>
        </w:tc>
        <w:tc>
          <w:tcPr>
            <w:tcW w:w="2016" w:type="dxa"/>
          </w:tcPr>
          <w:p w14:paraId="0621015D" w14:textId="77777777" w:rsidR="00463FA6" w:rsidRPr="00FB4F7D" w:rsidRDefault="00463FA6" w:rsidP="00202508">
            <w:pPr>
              <w:rPr>
                <w:rFonts w:cstheme="minorHAnsi"/>
                <w:shd w:val="clear" w:color="auto" w:fill="FFFFFF"/>
              </w:rPr>
            </w:pPr>
            <w:r w:rsidRPr="00FB4F7D">
              <w:rPr>
                <w:rFonts w:cstheme="minorHAnsi"/>
                <w:shd w:val="clear" w:color="auto" w:fill="FFFFFF"/>
              </w:rPr>
              <w:t>9%</w:t>
            </w:r>
          </w:p>
        </w:tc>
        <w:tc>
          <w:tcPr>
            <w:tcW w:w="1612" w:type="dxa"/>
            <w:vMerge/>
          </w:tcPr>
          <w:p w14:paraId="3B3E01D6" w14:textId="77777777" w:rsidR="00463FA6" w:rsidRPr="00FB4F7D" w:rsidRDefault="00463FA6" w:rsidP="00202508">
            <w:pPr>
              <w:rPr>
                <w:rFonts w:cstheme="minorHAnsi"/>
                <w:shd w:val="clear" w:color="auto" w:fill="FFFFFF"/>
              </w:rPr>
            </w:pPr>
          </w:p>
        </w:tc>
      </w:tr>
    </w:tbl>
    <w:p w14:paraId="2C77E82F" w14:textId="1100AFD2" w:rsidR="00463FA6" w:rsidRPr="00FB4F7D" w:rsidRDefault="00463FA6" w:rsidP="00050DE8">
      <w:pPr>
        <w:rPr>
          <w:rFonts w:cstheme="minorHAnsi"/>
          <w:shd w:val="clear" w:color="auto" w:fill="FFFFFF"/>
        </w:rPr>
      </w:pPr>
      <w:r w:rsidRPr="00B00B69">
        <w:rPr>
          <w:rFonts w:cstheme="minorHAnsi"/>
          <w:shd w:val="clear" w:color="auto" w:fill="FFFFFF"/>
        </w:rPr>
        <w:t>* p values were estimated using the Chi-Squared</w:t>
      </w:r>
      <w:r w:rsidRPr="00354A81">
        <w:rPr>
          <w:rFonts w:cstheme="minorHAnsi"/>
          <w:shd w:val="clear" w:color="auto" w:fill="FFFFFF"/>
        </w:rPr>
        <w:t xml:space="preserve"> test</w:t>
      </w:r>
    </w:p>
    <w:p w14:paraId="6D1F2525" w14:textId="5E5FD9D5" w:rsidR="00463FA6" w:rsidRDefault="00463FA6" w:rsidP="00050DE8">
      <w:pPr>
        <w:rPr>
          <w:rFonts w:cstheme="minorHAnsi"/>
        </w:rPr>
      </w:pPr>
    </w:p>
    <w:p w14:paraId="1E34A635" w14:textId="77777777" w:rsidR="00B00B69" w:rsidRPr="00FB4F7D" w:rsidRDefault="00B00B69" w:rsidP="00050DE8">
      <w:pPr>
        <w:rPr>
          <w:rFonts w:cstheme="minorHAnsi"/>
        </w:rPr>
      </w:pPr>
    </w:p>
    <w:p w14:paraId="5EE0E411" w14:textId="77777777" w:rsidR="00463FA6" w:rsidRPr="00B00B69" w:rsidRDefault="00463FA6" w:rsidP="00B00B69">
      <w:pPr>
        <w:rPr>
          <w:b/>
          <w:shd w:val="clear" w:color="auto" w:fill="FFFFFF"/>
        </w:rPr>
      </w:pPr>
      <w:r w:rsidRPr="00B00B69">
        <w:rPr>
          <w:b/>
        </w:rPr>
        <w:lastRenderedPageBreak/>
        <w:t xml:space="preserve">Table 3: Medication intake, timing and type </w:t>
      </w:r>
      <w:r w:rsidRPr="00B00B69">
        <w:rPr>
          <w:b/>
          <w:shd w:val="clear" w:color="auto" w:fill="FFFFFF"/>
        </w:rPr>
        <w:t xml:space="preserve">in the cases and controls </w:t>
      </w:r>
    </w:p>
    <w:tbl>
      <w:tblPr>
        <w:tblStyle w:val="TableGrid"/>
        <w:tblW w:w="0" w:type="auto"/>
        <w:tblLook w:val="04A0" w:firstRow="1" w:lastRow="0" w:firstColumn="1" w:lastColumn="0" w:noHBand="0" w:noVBand="1"/>
      </w:tblPr>
      <w:tblGrid>
        <w:gridCol w:w="2402"/>
        <w:gridCol w:w="1808"/>
        <w:gridCol w:w="1997"/>
        <w:gridCol w:w="1483"/>
      </w:tblGrid>
      <w:tr w:rsidR="00463FA6" w:rsidRPr="00FB4F7D" w14:paraId="17337503" w14:textId="77777777" w:rsidTr="00F80096">
        <w:tc>
          <w:tcPr>
            <w:tcW w:w="2402" w:type="dxa"/>
            <w:shd w:val="clear" w:color="auto" w:fill="auto"/>
          </w:tcPr>
          <w:p w14:paraId="5CE6EF28" w14:textId="77777777" w:rsidR="00463FA6" w:rsidRPr="00FB4F7D" w:rsidRDefault="00463FA6" w:rsidP="00202508">
            <w:pPr>
              <w:rPr>
                <w:rFonts w:cstheme="minorHAnsi"/>
                <w:shd w:val="clear" w:color="auto" w:fill="FFFFFF"/>
              </w:rPr>
            </w:pPr>
          </w:p>
        </w:tc>
        <w:tc>
          <w:tcPr>
            <w:tcW w:w="1808" w:type="dxa"/>
            <w:shd w:val="clear" w:color="auto" w:fill="auto"/>
          </w:tcPr>
          <w:p w14:paraId="2271BA5C" w14:textId="77777777" w:rsidR="00463FA6" w:rsidRPr="00F80096" w:rsidRDefault="00463FA6" w:rsidP="00202508">
            <w:pPr>
              <w:rPr>
                <w:rFonts w:cstheme="minorHAnsi"/>
                <w:b/>
                <w:shd w:val="clear" w:color="auto" w:fill="FFFFFF"/>
              </w:rPr>
            </w:pPr>
            <w:r w:rsidRPr="00F80096">
              <w:rPr>
                <w:rFonts w:cstheme="minorHAnsi"/>
                <w:b/>
                <w:shd w:val="clear" w:color="auto" w:fill="FFFFFF"/>
              </w:rPr>
              <w:t xml:space="preserve">Cases </w:t>
            </w:r>
          </w:p>
        </w:tc>
        <w:tc>
          <w:tcPr>
            <w:tcW w:w="1997" w:type="dxa"/>
            <w:shd w:val="clear" w:color="auto" w:fill="auto"/>
          </w:tcPr>
          <w:p w14:paraId="00071353" w14:textId="77777777" w:rsidR="00463FA6" w:rsidRPr="00F80096" w:rsidRDefault="00463FA6" w:rsidP="00202508">
            <w:pPr>
              <w:rPr>
                <w:rFonts w:cstheme="minorHAnsi"/>
                <w:b/>
                <w:shd w:val="clear" w:color="auto" w:fill="FFFFFF"/>
              </w:rPr>
            </w:pPr>
            <w:r w:rsidRPr="00F80096">
              <w:rPr>
                <w:rFonts w:cstheme="minorHAnsi"/>
                <w:b/>
                <w:shd w:val="clear" w:color="auto" w:fill="FFFFFF"/>
              </w:rPr>
              <w:t xml:space="preserve">Controls </w:t>
            </w:r>
          </w:p>
        </w:tc>
        <w:tc>
          <w:tcPr>
            <w:tcW w:w="1483" w:type="dxa"/>
            <w:shd w:val="clear" w:color="auto" w:fill="auto"/>
          </w:tcPr>
          <w:p w14:paraId="2A7CF799" w14:textId="77777777" w:rsidR="00463FA6" w:rsidRPr="00F80096" w:rsidRDefault="00463FA6" w:rsidP="00202508">
            <w:pPr>
              <w:rPr>
                <w:rFonts w:cstheme="minorHAnsi"/>
                <w:b/>
                <w:shd w:val="clear" w:color="auto" w:fill="FFFFFF"/>
              </w:rPr>
            </w:pPr>
            <w:r w:rsidRPr="00F80096">
              <w:rPr>
                <w:rFonts w:cstheme="minorHAnsi"/>
                <w:b/>
                <w:shd w:val="clear" w:color="auto" w:fill="FFFFFF"/>
              </w:rPr>
              <w:t>P-value</w:t>
            </w:r>
          </w:p>
        </w:tc>
      </w:tr>
      <w:tr w:rsidR="00463FA6" w:rsidRPr="00FB4F7D" w14:paraId="65F2CDB4" w14:textId="77777777" w:rsidTr="00F80096">
        <w:tc>
          <w:tcPr>
            <w:tcW w:w="7690" w:type="dxa"/>
            <w:gridSpan w:val="4"/>
            <w:shd w:val="clear" w:color="auto" w:fill="auto"/>
          </w:tcPr>
          <w:p w14:paraId="2C1CBFB2" w14:textId="77777777" w:rsidR="00463FA6" w:rsidRPr="00F80096" w:rsidRDefault="00463FA6" w:rsidP="00202508">
            <w:pPr>
              <w:rPr>
                <w:rFonts w:cstheme="minorHAnsi"/>
                <w:b/>
                <w:shd w:val="clear" w:color="auto" w:fill="FFFFFF"/>
              </w:rPr>
            </w:pPr>
            <w:r w:rsidRPr="00F80096">
              <w:rPr>
                <w:rFonts w:cstheme="minorHAnsi"/>
                <w:b/>
                <w:shd w:val="clear" w:color="auto" w:fill="FFFFFF"/>
              </w:rPr>
              <w:t>Medication use</w:t>
            </w:r>
          </w:p>
        </w:tc>
      </w:tr>
      <w:tr w:rsidR="00463FA6" w:rsidRPr="00FB4F7D" w14:paraId="2D33E724" w14:textId="77777777" w:rsidTr="00202508">
        <w:tc>
          <w:tcPr>
            <w:tcW w:w="2402" w:type="dxa"/>
          </w:tcPr>
          <w:p w14:paraId="2ECA5B84" w14:textId="77777777" w:rsidR="00463FA6" w:rsidRPr="00FB4F7D" w:rsidRDefault="00463FA6" w:rsidP="00202508">
            <w:pPr>
              <w:rPr>
                <w:rFonts w:cstheme="minorHAnsi"/>
                <w:shd w:val="clear" w:color="auto" w:fill="FFFFFF"/>
              </w:rPr>
            </w:pPr>
            <w:r w:rsidRPr="00FB4F7D">
              <w:rPr>
                <w:rFonts w:cstheme="minorHAnsi"/>
                <w:shd w:val="clear" w:color="auto" w:fill="FFFFFF"/>
              </w:rPr>
              <w:t>Any medication use during pregnancy</w:t>
            </w:r>
          </w:p>
        </w:tc>
        <w:tc>
          <w:tcPr>
            <w:tcW w:w="1808" w:type="dxa"/>
          </w:tcPr>
          <w:p w14:paraId="2425AABA" w14:textId="77777777" w:rsidR="00463FA6" w:rsidRPr="00FB4F7D" w:rsidRDefault="00463FA6" w:rsidP="00202508">
            <w:pPr>
              <w:rPr>
                <w:rFonts w:cstheme="minorHAnsi"/>
                <w:shd w:val="clear" w:color="auto" w:fill="FFFFFF"/>
              </w:rPr>
            </w:pPr>
            <w:r w:rsidRPr="00FB4F7D">
              <w:rPr>
                <w:rFonts w:cstheme="minorHAnsi"/>
                <w:shd w:val="clear" w:color="auto" w:fill="FFFFFF"/>
              </w:rPr>
              <w:t>35% (68/196)</w:t>
            </w:r>
          </w:p>
        </w:tc>
        <w:tc>
          <w:tcPr>
            <w:tcW w:w="1997" w:type="dxa"/>
          </w:tcPr>
          <w:p w14:paraId="541357E4" w14:textId="77777777" w:rsidR="00463FA6" w:rsidRPr="00FB4F7D" w:rsidRDefault="00463FA6" w:rsidP="00202508">
            <w:pPr>
              <w:rPr>
                <w:rFonts w:cstheme="minorHAnsi"/>
                <w:shd w:val="clear" w:color="auto" w:fill="FFFFFF"/>
              </w:rPr>
            </w:pPr>
            <w:r w:rsidRPr="00FB4F7D">
              <w:rPr>
                <w:rFonts w:cstheme="minorHAnsi"/>
                <w:shd w:val="clear" w:color="auto" w:fill="FFFFFF"/>
              </w:rPr>
              <w:t>17% (34/196)</w:t>
            </w:r>
          </w:p>
        </w:tc>
        <w:tc>
          <w:tcPr>
            <w:tcW w:w="1483" w:type="dxa"/>
          </w:tcPr>
          <w:p w14:paraId="051FBA1F" w14:textId="77777777" w:rsidR="00463FA6" w:rsidRPr="00FB4F7D" w:rsidRDefault="00463FA6" w:rsidP="00202508">
            <w:pPr>
              <w:rPr>
                <w:rFonts w:cstheme="minorHAnsi"/>
                <w:shd w:val="clear" w:color="auto" w:fill="FFFFFF"/>
              </w:rPr>
            </w:pPr>
            <w:r w:rsidRPr="00FB4F7D">
              <w:rPr>
                <w:rFonts w:cstheme="minorHAnsi"/>
                <w:shd w:val="clear" w:color="auto" w:fill="FFFFFF"/>
              </w:rPr>
              <w:t>P=0.0001</w:t>
            </w:r>
          </w:p>
        </w:tc>
      </w:tr>
      <w:tr w:rsidR="00463FA6" w:rsidRPr="00FB4F7D" w14:paraId="4EB48984" w14:textId="77777777" w:rsidTr="00F80096">
        <w:tc>
          <w:tcPr>
            <w:tcW w:w="7690" w:type="dxa"/>
            <w:gridSpan w:val="4"/>
            <w:shd w:val="clear" w:color="auto" w:fill="auto"/>
          </w:tcPr>
          <w:p w14:paraId="3B372C8A" w14:textId="759BE821" w:rsidR="00463FA6" w:rsidRPr="00F80096" w:rsidRDefault="00463FA6" w:rsidP="001928A8">
            <w:pPr>
              <w:rPr>
                <w:rFonts w:cstheme="minorHAnsi"/>
                <w:b/>
                <w:shd w:val="clear" w:color="auto" w:fill="FFFFFF"/>
              </w:rPr>
            </w:pPr>
            <w:r w:rsidRPr="00F80096">
              <w:rPr>
                <w:rFonts w:cstheme="minorHAnsi"/>
                <w:b/>
                <w:shd w:val="clear" w:color="auto" w:fill="FFFFFF"/>
              </w:rPr>
              <w:t xml:space="preserve">Timing </w:t>
            </w:r>
            <w:r w:rsidRPr="00F80096">
              <w:rPr>
                <w:rFonts w:cstheme="minorHAnsi"/>
                <w:b/>
              </w:rPr>
              <w:t>of Medication intake among Women taking Medications**</w:t>
            </w:r>
          </w:p>
        </w:tc>
      </w:tr>
      <w:tr w:rsidR="00463FA6" w:rsidRPr="00FB4F7D" w14:paraId="1378BF7F" w14:textId="77777777" w:rsidTr="00202508">
        <w:tc>
          <w:tcPr>
            <w:tcW w:w="2402" w:type="dxa"/>
          </w:tcPr>
          <w:p w14:paraId="7F0C6F8E" w14:textId="77777777" w:rsidR="00463FA6" w:rsidRPr="00FB4F7D" w:rsidRDefault="00463FA6" w:rsidP="00202508">
            <w:pPr>
              <w:rPr>
                <w:rFonts w:cstheme="minorHAnsi"/>
                <w:shd w:val="clear" w:color="auto" w:fill="FFFFFF"/>
              </w:rPr>
            </w:pPr>
            <w:r w:rsidRPr="00FB4F7D">
              <w:rPr>
                <w:rFonts w:cstheme="minorHAnsi"/>
                <w:shd w:val="clear" w:color="auto" w:fill="FFFFFF"/>
              </w:rPr>
              <w:t>Any medication use during first trimester</w:t>
            </w:r>
          </w:p>
        </w:tc>
        <w:tc>
          <w:tcPr>
            <w:tcW w:w="1808" w:type="dxa"/>
          </w:tcPr>
          <w:p w14:paraId="1B209C4A" w14:textId="77777777" w:rsidR="00463FA6" w:rsidRPr="00FB4F7D" w:rsidRDefault="00463FA6" w:rsidP="00202508">
            <w:pPr>
              <w:rPr>
                <w:rFonts w:cstheme="minorHAnsi"/>
                <w:shd w:val="clear" w:color="auto" w:fill="FFFFFF"/>
              </w:rPr>
            </w:pPr>
            <w:r w:rsidRPr="00FB4F7D">
              <w:rPr>
                <w:rFonts w:cstheme="minorHAnsi"/>
                <w:shd w:val="clear" w:color="auto" w:fill="FFFFFF"/>
              </w:rPr>
              <w:t>34% (23/68)</w:t>
            </w:r>
          </w:p>
        </w:tc>
        <w:tc>
          <w:tcPr>
            <w:tcW w:w="1997" w:type="dxa"/>
          </w:tcPr>
          <w:p w14:paraId="4D18868B" w14:textId="77777777" w:rsidR="00463FA6" w:rsidRPr="00FB4F7D" w:rsidRDefault="00463FA6" w:rsidP="00202508">
            <w:pPr>
              <w:rPr>
                <w:rFonts w:cstheme="minorHAnsi"/>
                <w:shd w:val="clear" w:color="auto" w:fill="FFFFFF"/>
              </w:rPr>
            </w:pPr>
            <w:r w:rsidRPr="00FB4F7D">
              <w:rPr>
                <w:rFonts w:cstheme="minorHAnsi"/>
                <w:shd w:val="clear" w:color="auto" w:fill="FFFFFF"/>
              </w:rPr>
              <w:t>21% (7/34)</w:t>
            </w:r>
          </w:p>
        </w:tc>
        <w:tc>
          <w:tcPr>
            <w:tcW w:w="1483" w:type="dxa"/>
          </w:tcPr>
          <w:p w14:paraId="40EE5D29" w14:textId="77777777" w:rsidR="00463FA6" w:rsidRPr="00FB4F7D" w:rsidRDefault="00463FA6" w:rsidP="00202508">
            <w:pPr>
              <w:rPr>
                <w:rFonts w:cstheme="minorHAnsi"/>
                <w:shd w:val="clear" w:color="auto" w:fill="FFFFFF"/>
              </w:rPr>
            </w:pPr>
            <w:r w:rsidRPr="00FB4F7D">
              <w:rPr>
                <w:rFonts w:cstheme="minorHAnsi"/>
                <w:shd w:val="clear" w:color="auto" w:fill="FFFFFF"/>
              </w:rPr>
              <w:t>P=0.2</w:t>
            </w:r>
          </w:p>
        </w:tc>
      </w:tr>
      <w:tr w:rsidR="00463FA6" w:rsidRPr="00FB4F7D" w14:paraId="78B22E57" w14:textId="77777777" w:rsidTr="00202508">
        <w:tc>
          <w:tcPr>
            <w:tcW w:w="2402" w:type="dxa"/>
          </w:tcPr>
          <w:p w14:paraId="1A571732" w14:textId="77777777" w:rsidR="00463FA6" w:rsidRPr="00FB4F7D" w:rsidRDefault="00463FA6" w:rsidP="00202508">
            <w:pPr>
              <w:rPr>
                <w:rFonts w:cstheme="minorHAnsi"/>
                <w:shd w:val="clear" w:color="auto" w:fill="FFFFFF"/>
              </w:rPr>
            </w:pPr>
            <w:r w:rsidRPr="00FB4F7D">
              <w:rPr>
                <w:rFonts w:cstheme="minorHAnsi"/>
                <w:shd w:val="clear" w:color="auto" w:fill="FFFFFF"/>
              </w:rPr>
              <w:t>Any medication use during second trimester</w:t>
            </w:r>
          </w:p>
        </w:tc>
        <w:tc>
          <w:tcPr>
            <w:tcW w:w="1808" w:type="dxa"/>
          </w:tcPr>
          <w:p w14:paraId="1A21AB83" w14:textId="77777777" w:rsidR="00463FA6" w:rsidRPr="00FB4F7D" w:rsidRDefault="00463FA6" w:rsidP="00202508">
            <w:pPr>
              <w:rPr>
                <w:rFonts w:cstheme="minorHAnsi"/>
                <w:shd w:val="clear" w:color="auto" w:fill="FFFFFF"/>
              </w:rPr>
            </w:pPr>
            <w:r w:rsidRPr="00FB4F7D">
              <w:rPr>
                <w:rFonts w:cstheme="minorHAnsi"/>
                <w:shd w:val="clear" w:color="auto" w:fill="FFFFFF"/>
              </w:rPr>
              <w:t>32% (22/68)</w:t>
            </w:r>
          </w:p>
        </w:tc>
        <w:tc>
          <w:tcPr>
            <w:tcW w:w="1997" w:type="dxa"/>
          </w:tcPr>
          <w:p w14:paraId="18BD8BF8" w14:textId="77777777" w:rsidR="00463FA6" w:rsidRPr="00FB4F7D" w:rsidRDefault="00463FA6" w:rsidP="00202508">
            <w:pPr>
              <w:rPr>
                <w:rFonts w:cstheme="minorHAnsi"/>
                <w:shd w:val="clear" w:color="auto" w:fill="FFFFFF"/>
              </w:rPr>
            </w:pPr>
            <w:r w:rsidRPr="00FB4F7D">
              <w:rPr>
                <w:rFonts w:cstheme="minorHAnsi"/>
                <w:shd w:val="clear" w:color="auto" w:fill="FFFFFF"/>
              </w:rPr>
              <w:t>35% (12/34)</w:t>
            </w:r>
          </w:p>
        </w:tc>
        <w:tc>
          <w:tcPr>
            <w:tcW w:w="1483" w:type="dxa"/>
          </w:tcPr>
          <w:p w14:paraId="3AAF7898" w14:textId="77777777" w:rsidR="00463FA6" w:rsidRPr="00FB4F7D" w:rsidRDefault="00463FA6" w:rsidP="00202508">
            <w:pPr>
              <w:rPr>
                <w:rFonts w:cstheme="minorHAnsi"/>
                <w:shd w:val="clear" w:color="auto" w:fill="FFFFFF"/>
              </w:rPr>
            </w:pPr>
            <w:r w:rsidRPr="00FB4F7D">
              <w:rPr>
                <w:rFonts w:cstheme="minorHAnsi"/>
                <w:shd w:val="clear" w:color="auto" w:fill="FFFFFF"/>
              </w:rPr>
              <w:t>P=0.8</w:t>
            </w:r>
          </w:p>
        </w:tc>
      </w:tr>
      <w:tr w:rsidR="00463FA6" w:rsidRPr="00FB4F7D" w14:paraId="25A67C37" w14:textId="77777777" w:rsidTr="00202508">
        <w:tc>
          <w:tcPr>
            <w:tcW w:w="2402" w:type="dxa"/>
          </w:tcPr>
          <w:p w14:paraId="66A8B89D" w14:textId="77777777" w:rsidR="00463FA6" w:rsidRPr="00FB4F7D" w:rsidRDefault="00463FA6" w:rsidP="00202508">
            <w:pPr>
              <w:rPr>
                <w:rFonts w:cstheme="minorHAnsi"/>
                <w:shd w:val="clear" w:color="auto" w:fill="FFFFFF"/>
              </w:rPr>
            </w:pPr>
            <w:r w:rsidRPr="00FB4F7D">
              <w:rPr>
                <w:rFonts w:cstheme="minorHAnsi"/>
                <w:shd w:val="clear" w:color="auto" w:fill="FFFFFF"/>
              </w:rPr>
              <w:t>Any medication use during third trimester</w:t>
            </w:r>
          </w:p>
        </w:tc>
        <w:tc>
          <w:tcPr>
            <w:tcW w:w="1808" w:type="dxa"/>
          </w:tcPr>
          <w:p w14:paraId="71BF465C" w14:textId="77777777" w:rsidR="00463FA6" w:rsidRPr="00FB4F7D" w:rsidRDefault="00463FA6" w:rsidP="00202508">
            <w:pPr>
              <w:rPr>
                <w:rFonts w:cstheme="minorHAnsi"/>
                <w:shd w:val="clear" w:color="auto" w:fill="FFFFFF"/>
              </w:rPr>
            </w:pPr>
            <w:r w:rsidRPr="00FB4F7D">
              <w:rPr>
                <w:rFonts w:cstheme="minorHAnsi"/>
                <w:shd w:val="clear" w:color="auto" w:fill="FFFFFF"/>
              </w:rPr>
              <w:t>63% (43/68)</w:t>
            </w:r>
          </w:p>
        </w:tc>
        <w:tc>
          <w:tcPr>
            <w:tcW w:w="1997" w:type="dxa"/>
          </w:tcPr>
          <w:p w14:paraId="51FB23C4" w14:textId="77777777" w:rsidR="00463FA6" w:rsidRPr="00FB4F7D" w:rsidRDefault="00463FA6" w:rsidP="00202508">
            <w:pPr>
              <w:rPr>
                <w:rFonts w:cstheme="minorHAnsi"/>
                <w:shd w:val="clear" w:color="auto" w:fill="FFFFFF"/>
              </w:rPr>
            </w:pPr>
            <w:r w:rsidRPr="00FB4F7D">
              <w:rPr>
                <w:rFonts w:cstheme="minorHAnsi"/>
                <w:shd w:val="clear" w:color="auto" w:fill="FFFFFF"/>
              </w:rPr>
              <w:t>65% (22/34)</w:t>
            </w:r>
          </w:p>
        </w:tc>
        <w:tc>
          <w:tcPr>
            <w:tcW w:w="1483" w:type="dxa"/>
          </w:tcPr>
          <w:p w14:paraId="2A980938" w14:textId="77777777" w:rsidR="00463FA6" w:rsidRPr="00FB4F7D" w:rsidRDefault="00463FA6" w:rsidP="00202508">
            <w:pPr>
              <w:rPr>
                <w:rFonts w:cstheme="minorHAnsi"/>
                <w:shd w:val="clear" w:color="auto" w:fill="FFFFFF"/>
              </w:rPr>
            </w:pPr>
            <w:r w:rsidRPr="00FB4F7D">
              <w:rPr>
                <w:rFonts w:cstheme="minorHAnsi"/>
                <w:shd w:val="clear" w:color="auto" w:fill="FFFFFF"/>
              </w:rPr>
              <w:t>P=0.9</w:t>
            </w:r>
          </w:p>
        </w:tc>
      </w:tr>
      <w:tr w:rsidR="00463FA6" w:rsidRPr="00FB4F7D" w14:paraId="0FE7C7F3" w14:textId="77777777" w:rsidTr="00F80096">
        <w:tc>
          <w:tcPr>
            <w:tcW w:w="7690" w:type="dxa"/>
            <w:gridSpan w:val="4"/>
            <w:shd w:val="clear" w:color="auto" w:fill="FFFFFF" w:themeFill="background1"/>
          </w:tcPr>
          <w:p w14:paraId="7EF81FC5" w14:textId="7925304C" w:rsidR="00463FA6" w:rsidRPr="00F80096" w:rsidRDefault="00463FA6" w:rsidP="001928A8">
            <w:pPr>
              <w:rPr>
                <w:rFonts w:cstheme="minorHAnsi"/>
                <w:b/>
                <w:shd w:val="clear" w:color="auto" w:fill="FFFFFF"/>
              </w:rPr>
            </w:pPr>
            <w:r w:rsidRPr="00F80096">
              <w:rPr>
                <w:rFonts w:cstheme="minorHAnsi"/>
                <w:b/>
              </w:rPr>
              <w:t>Type of Medication intake among Women taking Medications**</w:t>
            </w:r>
          </w:p>
        </w:tc>
      </w:tr>
      <w:tr w:rsidR="00463FA6" w:rsidRPr="00FB4F7D" w14:paraId="2CE29F6A" w14:textId="77777777" w:rsidTr="00202508">
        <w:tc>
          <w:tcPr>
            <w:tcW w:w="2402" w:type="dxa"/>
          </w:tcPr>
          <w:p w14:paraId="49EE60A9" w14:textId="22BACC9F" w:rsidR="00463FA6" w:rsidRPr="00FB4F7D" w:rsidRDefault="00463FA6" w:rsidP="001928A8">
            <w:pPr>
              <w:rPr>
                <w:rFonts w:cstheme="minorHAnsi"/>
                <w:shd w:val="clear" w:color="auto" w:fill="FFFFFF"/>
              </w:rPr>
            </w:pPr>
            <w:r w:rsidRPr="00FB4F7D">
              <w:rPr>
                <w:rFonts w:cstheme="minorHAnsi"/>
              </w:rPr>
              <w:t>‘Probably safe’ medications only*</w:t>
            </w:r>
          </w:p>
        </w:tc>
        <w:tc>
          <w:tcPr>
            <w:tcW w:w="1808" w:type="dxa"/>
          </w:tcPr>
          <w:p w14:paraId="58FF13C0" w14:textId="77777777" w:rsidR="00463FA6" w:rsidRPr="00FB4F7D" w:rsidRDefault="00463FA6" w:rsidP="00202508">
            <w:pPr>
              <w:rPr>
                <w:rFonts w:cstheme="minorHAnsi"/>
                <w:shd w:val="clear" w:color="auto" w:fill="FFFFFF"/>
              </w:rPr>
            </w:pPr>
            <w:r w:rsidRPr="00FB4F7D">
              <w:rPr>
                <w:rFonts w:cstheme="minorHAnsi"/>
              </w:rPr>
              <w:t>62% (42/68)</w:t>
            </w:r>
          </w:p>
        </w:tc>
        <w:tc>
          <w:tcPr>
            <w:tcW w:w="1997" w:type="dxa"/>
          </w:tcPr>
          <w:p w14:paraId="4CA59D38" w14:textId="77777777" w:rsidR="00463FA6" w:rsidRPr="00FB4F7D" w:rsidRDefault="00463FA6" w:rsidP="00202508">
            <w:pPr>
              <w:rPr>
                <w:rFonts w:cstheme="minorHAnsi"/>
                <w:shd w:val="clear" w:color="auto" w:fill="FFFFFF"/>
              </w:rPr>
            </w:pPr>
            <w:r w:rsidRPr="00FB4F7D">
              <w:rPr>
                <w:rFonts w:cstheme="minorHAnsi"/>
              </w:rPr>
              <w:t>65% (22/34)</w:t>
            </w:r>
          </w:p>
        </w:tc>
        <w:tc>
          <w:tcPr>
            <w:tcW w:w="1483" w:type="dxa"/>
            <w:vMerge w:val="restart"/>
          </w:tcPr>
          <w:p w14:paraId="088D3979" w14:textId="77777777" w:rsidR="00463FA6" w:rsidRPr="00FB4F7D" w:rsidRDefault="00463FA6" w:rsidP="00202508">
            <w:pPr>
              <w:rPr>
                <w:rFonts w:cstheme="minorHAnsi"/>
                <w:shd w:val="clear" w:color="auto" w:fill="FFFFFF"/>
              </w:rPr>
            </w:pPr>
            <w:r w:rsidRPr="00FB4F7D">
              <w:rPr>
                <w:rFonts w:cstheme="minorHAnsi"/>
                <w:shd w:val="clear" w:color="auto" w:fill="FFFFFF"/>
              </w:rPr>
              <w:t>P = 0.9</w:t>
            </w:r>
          </w:p>
        </w:tc>
      </w:tr>
      <w:tr w:rsidR="00463FA6" w:rsidRPr="00FB4F7D" w14:paraId="3F0ACF92" w14:textId="77777777" w:rsidTr="00202508">
        <w:tc>
          <w:tcPr>
            <w:tcW w:w="2402" w:type="dxa"/>
          </w:tcPr>
          <w:p w14:paraId="0D0A71CA" w14:textId="77777777" w:rsidR="00463FA6" w:rsidRPr="00FB4F7D" w:rsidRDefault="00463FA6" w:rsidP="00202508">
            <w:pPr>
              <w:rPr>
                <w:rFonts w:cstheme="minorHAnsi"/>
                <w:shd w:val="clear" w:color="auto" w:fill="FFFFFF"/>
              </w:rPr>
            </w:pPr>
            <w:r w:rsidRPr="00FB4F7D">
              <w:rPr>
                <w:rFonts w:cstheme="minorHAnsi"/>
              </w:rPr>
              <w:t>At least one ‘potentially risky’ medication*</w:t>
            </w:r>
          </w:p>
        </w:tc>
        <w:tc>
          <w:tcPr>
            <w:tcW w:w="1808" w:type="dxa"/>
          </w:tcPr>
          <w:p w14:paraId="64BC0269" w14:textId="77777777" w:rsidR="00463FA6" w:rsidRPr="00FB4F7D" w:rsidRDefault="00463FA6" w:rsidP="00202508">
            <w:pPr>
              <w:rPr>
                <w:rFonts w:cstheme="minorHAnsi"/>
                <w:shd w:val="clear" w:color="auto" w:fill="FFFFFF"/>
              </w:rPr>
            </w:pPr>
            <w:r w:rsidRPr="00FB4F7D">
              <w:rPr>
                <w:rFonts w:cstheme="minorHAnsi"/>
              </w:rPr>
              <w:t>21% (14/68)</w:t>
            </w:r>
          </w:p>
        </w:tc>
        <w:tc>
          <w:tcPr>
            <w:tcW w:w="1997" w:type="dxa"/>
          </w:tcPr>
          <w:p w14:paraId="1BB5608C" w14:textId="77777777" w:rsidR="00463FA6" w:rsidRPr="00FB4F7D" w:rsidRDefault="00463FA6" w:rsidP="00202508">
            <w:pPr>
              <w:rPr>
                <w:rFonts w:cstheme="minorHAnsi"/>
                <w:shd w:val="clear" w:color="auto" w:fill="FFFFFF"/>
              </w:rPr>
            </w:pPr>
            <w:r w:rsidRPr="00FB4F7D">
              <w:rPr>
                <w:rFonts w:cstheme="minorHAnsi"/>
              </w:rPr>
              <w:t>18% (6/34)</w:t>
            </w:r>
          </w:p>
        </w:tc>
        <w:tc>
          <w:tcPr>
            <w:tcW w:w="1483" w:type="dxa"/>
            <w:vMerge/>
          </w:tcPr>
          <w:p w14:paraId="18458BA4" w14:textId="77777777" w:rsidR="00463FA6" w:rsidRPr="00FB4F7D" w:rsidRDefault="00463FA6" w:rsidP="00202508">
            <w:pPr>
              <w:rPr>
                <w:rFonts w:cstheme="minorHAnsi"/>
                <w:shd w:val="clear" w:color="auto" w:fill="FFFFFF"/>
              </w:rPr>
            </w:pPr>
          </w:p>
        </w:tc>
      </w:tr>
      <w:tr w:rsidR="00463FA6" w:rsidRPr="00FB4F7D" w14:paraId="3A06C916" w14:textId="77777777" w:rsidTr="00202508">
        <w:tc>
          <w:tcPr>
            <w:tcW w:w="2402" w:type="dxa"/>
          </w:tcPr>
          <w:p w14:paraId="1CC9E856" w14:textId="77777777" w:rsidR="00463FA6" w:rsidRPr="00FB4F7D" w:rsidRDefault="00463FA6" w:rsidP="00202508">
            <w:pPr>
              <w:rPr>
                <w:rFonts w:cstheme="minorHAnsi"/>
                <w:highlight w:val="yellow"/>
                <w:shd w:val="clear" w:color="auto" w:fill="FFFFFF"/>
              </w:rPr>
            </w:pPr>
            <w:r w:rsidRPr="00FB4F7D">
              <w:rPr>
                <w:rFonts w:cstheme="minorHAnsi"/>
              </w:rPr>
              <w:t>At least one unclassified medication*</w:t>
            </w:r>
          </w:p>
        </w:tc>
        <w:tc>
          <w:tcPr>
            <w:tcW w:w="1808" w:type="dxa"/>
          </w:tcPr>
          <w:p w14:paraId="08E2EBFC" w14:textId="77777777" w:rsidR="00463FA6" w:rsidRPr="00FB4F7D" w:rsidRDefault="00463FA6" w:rsidP="00202508">
            <w:pPr>
              <w:rPr>
                <w:rFonts w:cstheme="minorHAnsi"/>
                <w:highlight w:val="yellow"/>
                <w:shd w:val="clear" w:color="auto" w:fill="FFFFFF"/>
              </w:rPr>
            </w:pPr>
            <w:r w:rsidRPr="00FB4F7D">
              <w:rPr>
                <w:rFonts w:cstheme="minorHAnsi"/>
                <w:shd w:val="clear" w:color="auto" w:fill="FFFFFF"/>
              </w:rPr>
              <w:t>18% (12/68)</w:t>
            </w:r>
          </w:p>
        </w:tc>
        <w:tc>
          <w:tcPr>
            <w:tcW w:w="1997" w:type="dxa"/>
          </w:tcPr>
          <w:p w14:paraId="0483D3A1" w14:textId="77777777" w:rsidR="00463FA6" w:rsidRPr="00FB4F7D" w:rsidRDefault="00463FA6" w:rsidP="00202508">
            <w:pPr>
              <w:rPr>
                <w:rFonts w:cstheme="minorHAnsi"/>
                <w:shd w:val="clear" w:color="auto" w:fill="FFFFFF"/>
              </w:rPr>
            </w:pPr>
            <w:r w:rsidRPr="00FB4F7D">
              <w:rPr>
                <w:rFonts w:cstheme="minorHAnsi"/>
              </w:rPr>
              <w:t>18% (6/34)</w:t>
            </w:r>
          </w:p>
        </w:tc>
        <w:tc>
          <w:tcPr>
            <w:tcW w:w="1483" w:type="dxa"/>
            <w:vMerge/>
          </w:tcPr>
          <w:p w14:paraId="505A79FD" w14:textId="77777777" w:rsidR="00463FA6" w:rsidRPr="00FB4F7D" w:rsidRDefault="00463FA6" w:rsidP="00202508">
            <w:pPr>
              <w:rPr>
                <w:rFonts w:cstheme="minorHAnsi"/>
                <w:shd w:val="clear" w:color="auto" w:fill="FFFFFF"/>
              </w:rPr>
            </w:pPr>
          </w:p>
        </w:tc>
      </w:tr>
    </w:tbl>
    <w:p w14:paraId="315D133B" w14:textId="77777777" w:rsidR="00463FA6" w:rsidRPr="00FB4F7D" w:rsidRDefault="00463FA6" w:rsidP="001029C9">
      <w:pPr>
        <w:rPr>
          <w:rFonts w:cstheme="minorHAnsi"/>
          <w:shd w:val="clear" w:color="auto" w:fill="FFFFFF"/>
        </w:rPr>
      </w:pPr>
      <w:r w:rsidRPr="001B2CDB">
        <w:rPr>
          <w:rFonts w:cstheme="minorHAnsi"/>
          <w:shd w:val="clear" w:color="auto" w:fill="FFFFFF"/>
        </w:rPr>
        <w:t>* p values were estimated using the Chi-</w:t>
      </w:r>
      <w:r w:rsidRPr="00B00B69">
        <w:rPr>
          <w:rFonts w:cstheme="minorHAnsi"/>
          <w:shd w:val="clear" w:color="auto" w:fill="FFFFFF"/>
        </w:rPr>
        <w:t>Squared test</w:t>
      </w:r>
    </w:p>
    <w:p w14:paraId="511DC9E3" w14:textId="0F153809" w:rsidR="00463FA6" w:rsidRPr="00FB4F7D" w:rsidRDefault="00463FA6" w:rsidP="00045755">
      <w:pPr>
        <w:rPr>
          <w:rFonts w:cstheme="minorHAnsi"/>
          <w:shd w:val="clear" w:color="auto" w:fill="FFFFFF"/>
        </w:rPr>
      </w:pPr>
      <w:r w:rsidRPr="00FB4F7D">
        <w:rPr>
          <w:rFonts w:cstheme="minorHAnsi"/>
          <w:shd w:val="clear" w:color="auto" w:fill="FFFFFF"/>
        </w:rPr>
        <w:t>*Multiple medications were taken by some women and some medications were taken more than once.</w:t>
      </w:r>
    </w:p>
    <w:p w14:paraId="7ED6F85B" w14:textId="3C1360D9" w:rsidR="00463FA6" w:rsidRPr="00FB4F7D" w:rsidRDefault="00463FA6" w:rsidP="00045755">
      <w:pPr>
        <w:rPr>
          <w:rFonts w:cstheme="minorHAnsi"/>
          <w:shd w:val="clear" w:color="auto" w:fill="FFFFFF"/>
        </w:rPr>
      </w:pPr>
      <w:r w:rsidRPr="00FB4F7D">
        <w:rPr>
          <w:rFonts w:cstheme="minorHAnsi"/>
          <w:shd w:val="clear" w:color="auto" w:fill="FFFFFF"/>
        </w:rPr>
        <w:t>**Among Women taking medications means the denominator used was only those women who reported taking any medication as opposed to the whole group of women.</w:t>
      </w:r>
    </w:p>
    <w:p w14:paraId="1802B4AC" w14:textId="77777777" w:rsidR="00463FA6" w:rsidRPr="00FB4F7D" w:rsidRDefault="00463FA6" w:rsidP="00973F25">
      <w:pPr>
        <w:rPr>
          <w:rFonts w:cstheme="minorHAnsi"/>
        </w:rPr>
      </w:pPr>
      <w:r w:rsidRPr="00FB4F7D">
        <w:rPr>
          <w:rFonts w:cstheme="minorHAnsi"/>
        </w:rPr>
        <w:t>The ‘probably safe’ category consisted of A, B1 and B2 classifications and the ‘potentially risky’ of categories B3, C, D and X</w:t>
      </w:r>
      <w:r w:rsidRPr="00FB4F7D">
        <w:rPr>
          <w:rFonts w:cstheme="minorHAnsi"/>
          <w:shd w:val="clear" w:color="auto" w:fill="FFFFFF"/>
        </w:rPr>
        <w:t xml:space="preserve"> as per </w:t>
      </w:r>
      <w:r w:rsidRPr="00FB4F7D">
        <w:rPr>
          <w:rFonts w:cstheme="minorHAnsi"/>
        </w:rPr>
        <w:t>The Australian categorisation system (</w:t>
      </w:r>
      <w:hyperlink r:id="rId21" w:history="1">
        <w:r w:rsidRPr="00FB4F7D">
          <w:rPr>
            <w:rStyle w:val="Hyperlink"/>
            <w:rFonts w:cstheme="minorHAnsi"/>
          </w:rPr>
          <w:t>https://www.tga.gov.au/prescribing-medicines-pregnancy-database</w:t>
        </w:r>
      </w:hyperlink>
      <w:r w:rsidRPr="006B0226">
        <w:rPr>
          <w:rFonts w:cstheme="minorHAnsi"/>
        </w:rPr>
        <w:t>).</w:t>
      </w:r>
    </w:p>
    <w:p w14:paraId="3AD9D678" w14:textId="77777777" w:rsidR="00463FA6" w:rsidRPr="00FB4F7D" w:rsidRDefault="00463FA6" w:rsidP="00045755">
      <w:pPr>
        <w:rPr>
          <w:rFonts w:cstheme="minorHAnsi"/>
          <w:shd w:val="clear" w:color="auto" w:fill="FFFFFF"/>
        </w:rPr>
      </w:pPr>
    </w:p>
    <w:p w14:paraId="520584F9" w14:textId="34B1F8E0" w:rsidR="00B00B69" w:rsidRDefault="00B00B69">
      <w:pPr>
        <w:rPr>
          <w:rFonts w:cstheme="minorHAnsi"/>
          <w:shd w:val="clear" w:color="auto" w:fill="FFFFFF"/>
        </w:rPr>
      </w:pPr>
      <w:r>
        <w:rPr>
          <w:rFonts w:cstheme="minorHAnsi"/>
          <w:shd w:val="clear" w:color="auto" w:fill="FFFFFF"/>
        </w:rPr>
        <w:br w:type="page"/>
      </w:r>
    </w:p>
    <w:p w14:paraId="38CB13F5" w14:textId="77777777" w:rsidR="00463FA6" w:rsidRDefault="00463FA6" w:rsidP="003B6174">
      <w:pPr>
        <w:rPr>
          <w:b/>
        </w:rPr>
      </w:pPr>
      <w:r w:rsidRPr="00A50FCD">
        <w:rPr>
          <w:b/>
        </w:rPr>
        <w:lastRenderedPageBreak/>
        <w:t xml:space="preserve">Table </w:t>
      </w:r>
      <w:r>
        <w:rPr>
          <w:b/>
        </w:rPr>
        <w:t>4</w:t>
      </w:r>
      <w:r w:rsidRPr="00A50FCD">
        <w:rPr>
          <w:b/>
        </w:rPr>
        <w:t>: Percentage of Instances of Intake of ‘Probably safe’</w:t>
      </w:r>
      <w:r>
        <w:rPr>
          <w:b/>
        </w:rPr>
        <w:t xml:space="preserve">, ‘Potentially risky’ and ‘Unclassified’ </w:t>
      </w:r>
      <w:r w:rsidRPr="00A50FCD">
        <w:rPr>
          <w:b/>
        </w:rPr>
        <w:t>Medication</w:t>
      </w:r>
    </w:p>
    <w:tbl>
      <w:tblPr>
        <w:tblStyle w:val="TableGrid"/>
        <w:tblW w:w="0" w:type="auto"/>
        <w:tblLook w:val="04A0" w:firstRow="1" w:lastRow="0" w:firstColumn="1" w:lastColumn="0" w:noHBand="0" w:noVBand="1"/>
      </w:tblPr>
      <w:tblGrid>
        <w:gridCol w:w="2830"/>
        <w:gridCol w:w="1560"/>
        <w:gridCol w:w="1559"/>
        <w:gridCol w:w="1559"/>
      </w:tblGrid>
      <w:tr w:rsidR="00463FA6" w14:paraId="782EC046" w14:textId="77777777" w:rsidTr="00064F51">
        <w:tc>
          <w:tcPr>
            <w:tcW w:w="2830" w:type="dxa"/>
          </w:tcPr>
          <w:p w14:paraId="61C96D20" w14:textId="77777777" w:rsidR="00463FA6" w:rsidRDefault="00463FA6" w:rsidP="00064F51">
            <w:pPr>
              <w:rPr>
                <w:b/>
              </w:rPr>
            </w:pPr>
          </w:p>
        </w:tc>
        <w:tc>
          <w:tcPr>
            <w:tcW w:w="1560" w:type="dxa"/>
          </w:tcPr>
          <w:p w14:paraId="076C5DA3" w14:textId="77777777" w:rsidR="00463FA6" w:rsidRPr="00AA6099" w:rsidRDefault="00463FA6" w:rsidP="00064F51">
            <w:pPr>
              <w:rPr>
                <w:b/>
              </w:rPr>
            </w:pPr>
            <w:r>
              <w:rPr>
                <w:b/>
                <w:shd w:val="clear" w:color="auto" w:fill="FFFFFF"/>
              </w:rPr>
              <w:t xml:space="preserve">Instances in </w:t>
            </w:r>
            <w:r w:rsidRPr="009C3C01">
              <w:rPr>
                <w:b/>
                <w:shd w:val="clear" w:color="auto" w:fill="FFFFFF"/>
              </w:rPr>
              <w:t xml:space="preserve">Cases </w:t>
            </w:r>
          </w:p>
        </w:tc>
        <w:tc>
          <w:tcPr>
            <w:tcW w:w="1559" w:type="dxa"/>
          </w:tcPr>
          <w:p w14:paraId="6350F71A" w14:textId="77777777" w:rsidR="00463FA6" w:rsidRPr="00AA6099" w:rsidRDefault="00463FA6" w:rsidP="00064F51">
            <w:pPr>
              <w:rPr>
                <w:b/>
              </w:rPr>
            </w:pPr>
            <w:r>
              <w:rPr>
                <w:b/>
                <w:shd w:val="clear" w:color="auto" w:fill="FFFFFF"/>
              </w:rPr>
              <w:t xml:space="preserve">Instances in </w:t>
            </w:r>
            <w:r w:rsidRPr="009C3C01">
              <w:rPr>
                <w:b/>
                <w:shd w:val="clear" w:color="auto" w:fill="FFFFFF"/>
              </w:rPr>
              <w:t xml:space="preserve">Controls </w:t>
            </w:r>
          </w:p>
        </w:tc>
        <w:tc>
          <w:tcPr>
            <w:tcW w:w="1559" w:type="dxa"/>
          </w:tcPr>
          <w:p w14:paraId="342485D3" w14:textId="77777777" w:rsidR="00463FA6" w:rsidRPr="009C3C01" w:rsidRDefault="00463FA6" w:rsidP="00064F51">
            <w:pPr>
              <w:rPr>
                <w:b/>
                <w:shd w:val="clear" w:color="auto" w:fill="FFFFFF"/>
              </w:rPr>
            </w:pPr>
            <w:r>
              <w:rPr>
                <w:b/>
                <w:shd w:val="clear" w:color="auto" w:fill="FFFFFF"/>
              </w:rPr>
              <w:t>P value*</w:t>
            </w:r>
          </w:p>
        </w:tc>
      </w:tr>
      <w:tr w:rsidR="00463FA6" w14:paraId="2873315E" w14:textId="77777777" w:rsidTr="00064F51">
        <w:tc>
          <w:tcPr>
            <w:tcW w:w="2830" w:type="dxa"/>
            <w:shd w:val="clear" w:color="auto" w:fill="E7E6E6" w:themeFill="background2"/>
          </w:tcPr>
          <w:p w14:paraId="3493285A" w14:textId="77777777" w:rsidR="00463FA6" w:rsidRPr="009C3C01" w:rsidRDefault="00463FA6" w:rsidP="00064F51">
            <w:pPr>
              <w:rPr>
                <w:b/>
              </w:rPr>
            </w:pPr>
            <w:r w:rsidRPr="009C3C01">
              <w:rPr>
                <w:rFonts w:ascii="Calibri" w:eastAsia="Times New Roman" w:hAnsi="Calibri" w:cs="Calibri"/>
                <w:b/>
                <w:color w:val="000000"/>
                <w:lang w:val="en-US"/>
              </w:rPr>
              <w:t>First trimester, N</w:t>
            </w:r>
          </w:p>
        </w:tc>
        <w:tc>
          <w:tcPr>
            <w:tcW w:w="1560" w:type="dxa"/>
            <w:shd w:val="clear" w:color="auto" w:fill="E7E6E6" w:themeFill="background2"/>
            <w:vAlign w:val="bottom"/>
          </w:tcPr>
          <w:p w14:paraId="0C7FE655" w14:textId="77777777" w:rsidR="00463FA6" w:rsidRPr="009C3C01" w:rsidRDefault="00463FA6" w:rsidP="00064F51">
            <w:pPr>
              <w:rPr>
                <w:b/>
              </w:rPr>
            </w:pPr>
            <w:r w:rsidRPr="009C3C01">
              <w:rPr>
                <w:rFonts w:ascii="Calibri" w:eastAsia="Times New Roman" w:hAnsi="Calibri" w:cs="Calibri"/>
                <w:color w:val="000000"/>
                <w:lang w:val="en-US"/>
              </w:rPr>
              <w:t>27</w:t>
            </w:r>
          </w:p>
        </w:tc>
        <w:tc>
          <w:tcPr>
            <w:tcW w:w="1559" w:type="dxa"/>
            <w:shd w:val="clear" w:color="auto" w:fill="E7E6E6" w:themeFill="background2"/>
            <w:vAlign w:val="bottom"/>
          </w:tcPr>
          <w:p w14:paraId="21B3F1FE" w14:textId="77777777" w:rsidR="00463FA6" w:rsidRPr="009C3C01" w:rsidRDefault="00463FA6" w:rsidP="00064F51">
            <w:pPr>
              <w:rPr>
                <w:b/>
              </w:rPr>
            </w:pPr>
            <w:r w:rsidRPr="009C3C01">
              <w:rPr>
                <w:rFonts w:ascii="Calibri" w:eastAsia="Times New Roman" w:hAnsi="Calibri" w:cs="Calibri"/>
                <w:color w:val="000000"/>
                <w:lang w:val="en-US"/>
              </w:rPr>
              <w:t>8</w:t>
            </w:r>
          </w:p>
        </w:tc>
        <w:tc>
          <w:tcPr>
            <w:tcW w:w="1559" w:type="dxa"/>
            <w:shd w:val="clear" w:color="auto" w:fill="E7E6E6" w:themeFill="background2"/>
          </w:tcPr>
          <w:p w14:paraId="0F577013" w14:textId="77777777" w:rsidR="00463FA6" w:rsidRPr="009C3C01" w:rsidRDefault="00463FA6" w:rsidP="00064F51">
            <w:pPr>
              <w:rPr>
                <w:rFonts w:ascii="Calibri" w:eastAsia="Times New Roman" w:hAnsi="Calibri" w:cs="Calibri"/>
                <w:color w:val="000000"/>
                <w:lang w:val="en-US"/>
              </w:rPr>
            </w:pPr>
          </w:p>
        </w:tc>
      </w:tr>
      <w:tr w:rsidR="00463FA6" w14:paraId="0897AB90" w14:textId="77777777" w:rsidTr="00064F51">
        <w:tc>
          <w:tcPr>
            <w:tcW w:w="2830" w:type="dxa"/>
            <w:vAlign w:val="center"/>
          </w:tcPr>
          <w:p w14:paraId="663999EB" w14:textId="77777777" w:rsidR="00463FA6" w:rsidRDefault="00463FA6" w:rsidP="00064F51">
            <w:pPr>
              <w:rPr>
                <w:b/>
              </w:rPr>
            </w:pPr>
            <w:r w:rsidRPr="00777A5D">
              <w:rPr>
                <w:rFonts w:ascii="Calibri" w:eastAsia="Times New Roman" w:hAnsi="Calibri" w:cs="Calibri"/>
                <w:color w:val="000000"/>
                <w:lang w:val="en-US"/>
              </w:rPr>
              <w:t>‘Probably safe’ Medication</w:t>
            </w:r>
          </w:p>
        </w:tc>
        <w:tc>
          <w:tcPr>
            <w:tcW w:w="1560" w:type="dxa"/>
            <w:vAlign w:val="center"/>
          </w:tcPr>
          <w:p w14:paraId="4AD2C41B" w14:textId="77777777" w:rsidR="00463FA6" w:rsidRDefault="00463FA6" w:rsidP="00064F51">
            <w:pPr>
              <w:rPr>
                <w:b/>
              </w:rPr>
            </w:pPr>
            <w:r w:rsidRPr="00777A5D">
              <w:rPr>
                <w:rFonts w:ascii="Calibri" w:eastAsia="Times New Roman" w:hAnsi="Calibri" w:cs="Calibri"/>
                <w:color w:val="000000"/>
                <w:lang w:val="en-US"/>
              </w:rPr>
              <w:t>67% (18</w:t>
            </w:r>
            <w:r>
              <w:rPr>
                <w:rFonts w:ascii="Calibri" w:eastAsia="Times New Roman" w:hAnsi="Calibri" w:cs="Calibri"/>
                <w:color w:val="000000"/>
                <w:lang w:val="en-US"/>
              </w:rPr>
              <w:t>/27</w:t>
            </w:r>
            <w:r w:rsidRPr="00777A5D">
              <w:rPr>
                <w:rFonts w:ascii="Calibri" w:eastAsia="Times New Roman" w:hAnsi="Calibri" w:cs="Calibri"/>
                <w:color w:val="000000"/>
                <w:lang w:val="en-US"/>
              </w:rPr>
              <w:t>)</w:t>
            </w:r>
          </w:p>
        </w:tc>
        <w:tc>
          <w:tcPr>
            <w:tcW w:w="1559" w:type="dxa"/>
            <w:vAlign w:val="bottom"/>
          </w:tcPr>
          <w:p w14:paraId="12BA23B1" w14:textId="77777777" w:rsidR="00463FA6" w:rsidRDefault="00463FA6" w:rsidP="00064F51">
            <w:pPr>
              <w:jc w:val="both"/>
              <w:rPr>
                <w:b/>
              </w:rPr>
            </w:pPr>
            <w:r w:rsidRPr="00777A5D">
              <w:rPr>
                <w:rFonts w:ascii="Calibri" w:eastAsia="Times New Roman" w:hAnsi="Calibri" w:cs="Calibri"/>
                <w:color w:val="000000"/>
                <w:lang w:val="en-US"/>
              </w:rPr>
              <w:t>63% (5</w:t>
            </w:r>
            <w:r>
              <w:rPr>
                <w:rFonts w:ascii="Calibri" w:eastAsia="Times New Roman" w:hAnsi="Calibri" w:cs="Calibri"/>
                <w:color w:val="000000"/>
                <w:lang w:val="en-US"/>
              </w:rPr>
              <w:t>/8</w:t>
            </w:r>
            <w:r w:rsidRPr="00777A5D">
              <w:rPr>
                <w:rFonts w:ascii="Calibri" w:eastAsia="Times New Roman" w:hAnsi="Calibri" w:cs="Calibri"/>
                <w:color w:val="000000"/>
                <w:lang w:val="en-US"/>
              </w:rPr>
              <w:t>)</w:t>
            </w:r>
          </w:p>
        </w:tc>
        <w:tc>
          <w:tcPr>
            <w:tcW w:w="1559" w:type="dxa"/>
            <w:vMerge w:val="restart"/>
          </w:tcPr>
          <w:p w14:paraId="09F7F5A7" w14:textId="77777777" w:rsidR="00463FA6" w:rsidRPr="00777A5D" w:rsidRDefault="00463FA6" w:rsidP="00064F51">
            <w:pPr>
              <w:jc w:val="both"/>
              <w:rPr>
                <w:rFonts w:ascii="Calibri" w:eastAsia="Times New Roman" w:hAnsi="Calibri" w:cs="Calibri"/>
                <w:color w:val="000000"/>
                <w:lang w:val="en-US"/>
              </w:rPr>
            </w:pPr>
            <w:r>
              <w:rPr>
                <w:rFonts w:ascii="Calibri" w:eastAsia="Times New Roman" w:hAnsi="Calibri" w:cs="Calibri"/>
                <w:color w:val="000000"/>
                <w:lang w:val="en-US"/>
              </w:rPr>
              <w:t>P=0.70</w:t>
            </w:r>
          </w:p>
        </w:tc>
      </w:tr>
      <w:tr w:rsidR="00463FA6" w14:paraId="045305B9" w14:textId="77777777" w:rsidTr="00064F51">
        <w:tc>
          <w:tcPr>
            <w:tcW w:w="2830" w:type="dxa"/>
          </w:tcPr>
          <w:p w14:paraId="3D9D6703" w14:textId="77777777" w:rsidR="00463FA6" w:rsidRDefault="00463FA6" w:rsidP="00064F51">
            <w:pPr>
              <w:rPr>
                <w:b/>
              </w:rPr>
            </w:pPr>
            <w:r w:rsidRPr="00777A5D">
              <w:rPr>
                <w:rFonts w:ascii="Calibri" w:eastAsia="Times New Roman" w:hAnsi="Calibri" w:cs="Calibri"/>
                <w:color w:val="000000"/>
                <w:lang w:val="en-US"/>
              </w:rPr>
              <w:t>‘Potentially risky’ Medication</w:t>
            </w:r>
          </w:p>
        </w:tc>
        <w:tc>
          <w:tcPr>
            <w:tcW w:w="1560" w:type="dxa"/>
            <w:vAlign w:val="bottom"/>
          </w:tcPr>
          <w:p w14:paraId="5A85C4AA" w14:textId="77777777" w:rsidR="00463FA6" w:rsidRDefault="00463FA6" w:rsidP="00064F51">
            <w:pPr>
              <w:rPr>
                <w:b/>
              </w:rPr>
            </w:pPr>
            <w:r w:rsidRPr="00777A5D">
              <w:rPr>
                <w:rFonts w:ascii="Calibri" w:eastAsia="Times New Roman" w:hAnsi="Calibri" w:cs="Calibri"/>
                <w:color w:val="000000"/>
                <w:lang w:val="en-US"/>
              </w:rPr>
              <w:t>22% (6</w:t>
            </w:r>
            <w:r>
              <w:rPr>
                <w:rFonts w:ascii="Calibri" w:eastAsia="Times New Roman" w:hAnsi="Calibri" w:cs="Calibri"/>
                <w:color w:val="000000"/>
                <w:lang w:val="en-US"/>
              </w:rPr>
              <w:t>/27</w:t>
            </w:r>
            <w:r w:rsidRPr="00777A5D">
              <w:rPr>
                <w:rFonts w:ascii="Calibri" w:eastAsia="Times New Roman" w:hAnsi="Calibri" w:cs="Calibri"/>
                <w:color w:val="000000"/>
                <w:lang w:val="en-US"/>
              </w:rPr>
              <w:t>)</w:t>
            </w:r>
          </w:p>
        </w:tc>
        <w:tc>
          <w:tcPr>
            <w:tcW w:w="1559" w:type="dxa"/>
            <w:vAlign w:val="bottom"/>
          </w:tcPr>
          <w:p w14:paraId="58D6A125" w14:textId="77777777" w:rsidR="00463FA6" w:rsidRDefault="00463FA6" w:rsidP="00064F51">
            <w:pPr>
              <w:rPr>
                <w:b/>
              </w:rPr>
            </w:pPr>
            <w:r w:rsidRPr="00777A5D">
              <w:rPr>
                <w:rFonts w:ascii="Calibri" w:eastAsia="Times New Roman" w:hAnsi="Calibri" w:cs="Calibri"/>
                <w:color w:val="000000"/>
                <w:lang w:val="en-US"/>
              </w:rPr>
              <w:t>13% (1</w:t>
            </w:r>
            <w:r>
              <w:rPr>
                <w:rFonts w:ascii="Calibri" w:eastAsia="Times New Roman" w:hAnsi="Calibri" w:cs="Calibri"/>
                <w:color w:val="000000"/>
                <w:lang w:val="en-US"/>
              </w:rPr>
              <w:t>/8</w:t>
            </w:r>
            <w:r w:rsidRPr="00777A5D">
              <w:rPr>
                <w:rFonts w:ascii="Calibri" w:eastAsia="Times New Roman" w:hAnsi="Calibri" w:cs="Calibri"/>
                <w:color w:val="000000"/>
                <w:lang w:val="en-US"/>
              </w:rPr>
              <w:t>)</w:t>
            </w:r>
          </w:p>
        </w:tc>
        <w:tc>
          <w:tcPr>
            <w:tcW w:w="1559" w:type="dxa"/>
            <w:vMerge/>
          </w:tcPr>
          <w:p w14:paraId="3CF0FE27" w14:textId="77777777" w:rsidR="00463FA6" w:rsidRPr="00777A5D" w:rsidRDefault="00463FA6" w:rsidP="00064F51">
            <w:pPr>
              <w:rPr>
                <w:rFonts w:ascii="Calibri" w:eastAsia="Times New Roman" w:hAnsi="Calibri" w:cs="Calibri"/>
                <w:color w:val="000000"/>
                <w:lang w:val="en-US"/>
              </w:rPr>
            </w:pPr>
          </w:p>
        </w:tc>
      </w:tr>
      <w:tr w:rsidR="00463FA6" w14:paraId="22CE0333" w14:textId="77777777" w:rsidTr="00064F51">
        <w:tc>
          <w:tcPr>
            <w:tcW w:w="2830" w:type="dxa"/>
            <w:vAlign w:val="bottom"/>
          </w:tcPr>
          <w:p w14:paraId="000F3EBC" w14:textId="77777777" w:rsidR="00463FA6" w:rsidRDefault="00463FA6" w:rsidP="00064F51">
            <w:pPr>
              <w:rPr>
                <w:b/>
              </w:rPr>
            </w:pPr>
            <w:r w:rsidRPr="00777A5D">
              <w:rPr>
                <w:rFonts w:ascii="Calibri" w:eastAsia="Times New Roman" w:hAnsi="Calibri" w:cs="Calibri"/>
                <w:color w:val="000000"/>
                <w:lang w:val="en-US"/>
              </w:rPr>
              <w:t>‘Unclassified’ Medication</w:t>
            </w:r>
          </w:p>
        </w:tc>
        <w:tc>
          <w:tcPr>
            <w:tcW w:w="1560" w:type="dxa"/>
            <w:vAlign w:val="bottom"/>
          </w:tcPr>
          <w:p w14:paraId="63E6726F" w14:textId="77777777" w:rsidR="00463FA6" w:rsidRDefault="00463FA6" w:rsidP="00064F51">
            <w:pPr>
              <w:rPr>
                <w:b/>
              </w:rPr>
            </w:pPr>
            <w:r w:rsidRPr="00777A5D">
              <w:rPr>
                <w:rFonts w:ascii="Calibri" w:eastAsia="Times New Roman" w:hAnsi="Calibri" w:cs="Calibri"/>
                <w:color w:val="000000"/>
                <w:lang w:val="en-US"/>
              </w:rPr>
              <w:t>11% (3</w:t>
            </w:r>
            <w:r>
              <w:rPr>
                <w:rFonts w:ascii="Calibri" w:eastAsia="Times New Roman" w:hAnsi="Calibri" w:cs="Calibri"/>
                <w:color w:val="000000"/>
                <w:lang w:val="en-US"/>
              </w:rPr>
              <w:t>/27</w:t>
            </w:r>
            <w:r w:rsidRPr="00777A5D">
              <w:rPr>
                <w:rFonts w:ascii="Calibri" w:eastAsia="Times New Roman" w:hAnsi="Calibri" w:cs="Calibri"/>
                <w:color w:val="000000"/>
                <w:lang w:val="en-US"/>
              </w:rPr>
              <w:t>)</w:t>
            </w:r>
          </w:p>
        </w:tc>
        <w:tc>
          <w:tcPr>
            <w:tcW w:w="1559" w:type="dxa"/>
            <w:vAlign w:val="bottom"/>
          </w:tcPr>
          <w:p w14:paraId="1AC0F8C0" w14:textId="77777777" w:rsidR="00463FA6" w:rsidRDefault="00463FA6" w:rsidP="00064F51">
            <w:pPr>
              <w:rPr>
                <w:b/>
              </w:rPr>
            </w:pPr>
            <w:r w:rsidRPr="00777A5D">
              <w:rPr>
                <w:rFonts w:ascii="Calibri" w:eastAsia="Times New Roman" w:hAnsi="Calibri" w:cs="Calibri"/>
                <w:color w:val="000000"/>
                <w:lang w:val="en-US"/>
              </w:rPr>
              <w:t>25% (2</w:t>
            </w:r>
            <w:r>
              <w:rPr>
                <w:rFonts w:ascii="Calibri" w:eastAsia="Times New Roman" w:hAnsi="Calibri" w:cs="Calibri"/>
                <w:color w:val="000000"/>
                <w:lang w:val="en-US"/>
              </w:rPr>
              <w:t>/8</w:t>
            </w:r>
            <w:r w:rsidRPr="00777A5D">
              <w:rPr>
                <w:rFonts w:ascii="Calibri" w:eastAsia="Times New Roman" w:hAnsi="Calibri" w:cs="Calibri"/>
                <w:color w:val="000000"/>
                <w:lang w:val="en-US"/>
              </w:rPr>
              <w:t>)</w:t>
            </w:r>
          </w:p>
        </w:tc>
        <w:tc>
          <w:tcPr>
            <w:tcW w:w="1559" w:type="dxa"/>
            <w:vMerge/>
          </w:tcPr>
          <w:p w14:paraId="7813987E" w14:textId="77777777" w:rsidR="00463FA6" w:rsidRPr="00777A5D" w:rsidRDefault="00463FA6" w:rsidP="00064F51">
            <w:pPr>
              <w:rPr>
                <w:rFonts w:ascii="Calibri" w:eastAsia="Times New Roman" w:hAnsi="Calibri" w:cs="Calibri"/>
                <w:color w:val="000000"/>
                <w:lang w:val="en-US"/>
              </w:rPr>
            </w:pPr>
          </w:p>
        </w:tc>
      </w:tr>
      <w:tr w:rsidR="00463FA6" w14:paraId="205AFD43" w14:textId="77777777" w:rsidTr="00064F51">
        <w:tc>
          <w:tcPr>
            <w:tcW w:w="2830" w:type="dxa"/>
            <w:shd w:val="clear" w:color="auto" w:fill="E7E6E6" w:themeFill="background2"/>
            <w:vAlign w:val="bottom"/>
          </w:tcPr>
          <w:p w14:paraId="545D84E2" w14:textId="77777777" w:rsidR="00463FA6" w:rsidRPr="00AA6099" w:rsidRDefault="00463FA6" w:rsidP="00064F51">
            <w:pPr>
              <w:rPr>
                <w:b/>
              </w:rPr>
            </w:pPr>
            <w:r w:rsidRPr="009C3C01">
              <w:rPr>
                <w:rFonts w:ascii="Calibri" w:eastAsia="Times New Roman" w:hAnsi="Calibri" w:cs="Calibri"/>
                <w:b/>
                <w:color w:val="000000"/>
                <w:lang w:val="en-US"/>
              </w:rPr>
              <w:t>Second trimester, N</w:t>
            </w:r>
          </w:p>
        </w:tc>
        <w:tc>
          <w:tcPr>
            <w:tcW w:w="1560" w:type="dxa"/>
            <w:shd w:val="clear" w:color="auto" w:fill="E7E6E6" w:themeFill="background2"/>
            <w:vAlign w:val="bottom"/>
          </w:tcPr>
          <w:p w14:paraId="22BFA546" w14:textId="77777777" w:rsidR="00463FA6" w:rsidRDefault="00463FA6" w:rsidP="00064F51">
            <w:pPr>
              <w:rPr>
                <w:b/>
              </w:rPr>
            </w:pPr>
            <w:r>
              <w:rPr>
                <w:rFonts w:ascii="Calibri" w:eastAsia="Times New Roman" w:hAnsi="Calibri" w:cs="Calibri"/>
                <w:color w:val="000000"/>
                <w:lang w:val="en-US"/>
              </w:rPr>
              <w:t>39</w:t>
            </w:r>
          </w:p>
        </w:tc>
        <w:tc>
          <w:tcPr>
            <w:tcW w:w="1559" w:type="dxa"/>
            <w:shd w:val="clear" w:color="auto" w:fill="E7E6E6" w:themeFill="background2"/>
            <w:vAlign w:val="bottom"/>
          </w:tcPr>
          <w:p w14:paraId="2D3439BC" w14:textId="77777777" w:rsidR="00463FA6" w:rsidRDefault="00463FA6" w:rsidP="00064F51">
            <w:pPr>
              <w:rPr>
                <w:b/>
              </w:rPr>
            </w:pPr>
            <w:r w:rsidRPr="00777A5D">
              <w:rPr>
                <w:rFonts w:ascii="Calibri" w:eastAsia="Times New Roman" w:hAnsi="Calibri" w:cs="Calibri"/>
                <w:color w:val="000000"/>
                <w:lang w:val="en-US"/>
              </w:rPr>
              <w:t>14</w:t>
            </w:r>
          </w:p>
        </w:tc>
        <w:tc>
          <w:tcPr>
            <w:tcW w:w="1559" w:type="dxa"/>
            <w:shd w:val="clear" w:color="auto" w:fill="E7E6E6" w:themeFill="background2"/>
          </w:tcPr>
          <w:p w14:paraId="4797A9D4" w14:textId="77777777" w:rsidR="00463FA6" w:rsidRPr="00777A5D" w:rsidRDefault="00463FA6" w:rsidP="00064F51">
            <w:pPr>
              <w:rPr>
                <w:rFonts w:ascii="Calibri" w:eastAsia="Times New Roman" w:hAnsi="Calibri" w:cs="Calibri"/>
                <w:color w:val="000000"/>
                <w:lang w:val="en-US"/>
              </w:rPr>
            </w:pPr>
          </w:p>
        </w:tc>
      </w:tr>
      <w:tr w:rsidR="00463FA6" w14:paraId="7F265AFB" w14:textId="77777777" w:rsidTr="00064F51">
        <w:tc>
          <w:tcPr>
            <w:tcW w:w="2830" w:type="dxa"/>
            <w:vAlign w:val="center"/>
          </w:tcPr>
          <w:p w14:paraId="5DB2C59C" w14:textId="77777777" w:rsidR="00463FA6" w:rsidRDefault="00463FA6" w:rsidP="00064F51">
            <w:pPr>
              <w:rPr>
                <w:b/>
              </w:rPr>
            </w:pPr>
            <w:r w:rsidRPr="00777A5D">
              <w:rPr>
                <w:rFonts w:ascii="Calibri" w:eastAsia="Times New Roman" w:hAnsi="Calibri" w:cs="Calibri"/>
                <w:color w:val="000000"/>
                <w:lang w:val="en-US"/>
              </w:rPr>
              <w:t>‘Probably safe’ Medication</w:t>
            </w:r>
          </w:p>
        </w:tc>
        <w:tc>
          <w:tcPr>
            <w:tcW w:w="1560" w:type="dxa"/>
            <w:vAlign w:val="bottom"/>
          </w:tcPr>
          <w:p w14:paraId="2E53DC72" w14:textId="77777777" w:rsidR="00463FA6" w:rsidRDefault="00463FA6" w:rsidP="00064F51">
            <w:pPr>
              <w:rPr>
                <w:b/>
              </w:rPr>
            </w:pPr>
            <w:r>
              <w:rPr>
                <w:rFonts w:ascii="Calibri" w:eastAsia="Times New Roman" w:hAnsi="Calibri" w:cs="Calibri"/>
                <w:color w:val="000000"/>
                <w:lang w:val="en-US"/>
              </w:rPr>
              <w:t>61</w:t>
            </w:r>
            <w:r w:rsidRPr="00777A5D">
              <w:rPr>
                <w:rFonts w:ascii="Calibri" w:eastAsia="Times New Roman" w:hAnsi="Calibri" w:cs="Calibri"/>
                <w:color w:val="000000"/>
                <w:lang w:val="en-US"/>
              </w:rPr>
              <w:t>% (2</w:t>
            </w:r>
            <w:r>
              <w:rPr>
                <w:rFonts w:ascii="Calibri" w:eastAsia="Times New Roman" w:hAnsi="Calibri" w:cs="Calibri"/>
                <w:color w:val="000000"/>
                <w:lang w:val="en-US"/>
              </w:rPr>
              <w:t>4/39</w:t>
            </w:r>
            <w:r w:rsidRPr="00777A5D">
              <w:rPr>
                <w:rFonts w:ascii="Calibri" w:eastAsia="Times New Roman" w:hAnsi="Calibri" w:cs="Calibri"/>
                <w:color w:val="000000"/>
                <w:lang w:val="en-US"/>
              </w:rPr>
              <w:t>)</w:t>
            </w:r>
          </w:p>
        </w:tc>
        <w:tc>
          <w:tcPr>
            <w:tcW w:w="1559" w:type="dxa"/>
            <w:vAlign w:val="bottom"/>
          </w:tcPr>
          <w:p w14:paraId="623CD508" w14:textId="77777777" w:rsidR="00463FA6" w:rsidRDefault="00463FA6" w:rsidP="00064F51">
            <w:pPr>
              <w:rPr>
                <w:b/>
              </w:rPr>
            </w:pPr>
            <w:r>
              <w:rPr>
                <w:rFonts w:ascii="Calibri" w:eastAsia="Times New Roman" w:hAnsi="Calibri" w:cs="Calibri"/>
                <w:color w:val="000000"/>
                <w:lang w:val="en-US"/>
              </w:rPr>
              <w:t>64</w:t>
            </w:r>
            <w:r w:rsidRPr="00777A5D">
              <w:rPr>
                <w:rFonts w:ascii="Calibri" w:eastAsia="Times New Roman" w:hAnsi="Calibri" w:cs="Calibri"/>
                <w:color w:val="000000"/>
                <w:lang w:val="en-US"/>
              </w:rPr>
              <w:t>% (</w:t>
            </w:r>
            <w:r>
              <w:rPr>
                <w:rFonts w:ascii="Calibri" w:eastAsia="Times New Roman" w:hAnsi="Calibri" w:cs="Calibri"/>
                <w:color w:val="000000"/>
                <w:lang w:val="en-US"/>
              </w:rPr>
              <w:t>9/14</w:t>
            </w:r>
            <w:r w:rsidRPr="00777A5D">
              <w:rPr>
                <w:rFonts w:ascii="Calibri" w:eastAsia="Times New Roman" w:hAnsi="Calibri" w:cs="Calibri"/>
                <w:color w:val="000000"/>
                <w:lang w:val="en-US"/>
              </w:rPr>
              <w:t>)</w:t>
            </w:r>
          </w:p>
        </w:tc>
        <w:tc>
          <w:tcPr>
            <w:tcW w:w="1559" w:type="dxa"/>
            <w:vMerge w:val="restart"/>
          </w:tcPr>
          <w:p w14:paraId="52C58905" w14:textId="77777777" w:rsidR="00463FA6" w:rsidRDefault="00463FA6" w:rsidP="00064F51">
            <w:pPr>
              <w:rPr>
                <w:rFonts w:ascii="Calibri" w:eastAsia="Times New Roman" w:hAnsi="Calibri" w:cs="Calibri"/>
                <w:color w:val="000000"/>
                <w:lang w:val="en-US"/>
              </w:rPr>
            </w:pPr>
            <w:r>
              <w:rPr>
                <w:rFonts w:ascii="Calibri" w:eastAsia="Times New Roman" w:hAnsi="Calibri" w:cs="Calibri"/>
                <w:color w:val="000000"/>
                <w:lang w:val="en-US"/>
              </w:rPr>
              <w:t>P=0.75</w:t>
            </w:r>
          </w:p>
        </w:tc>
      </w:tr>
      <w:tr w:rsidR="00463FA6" w14:paraId="5594E236" w14:textId="77777777" w:rsidTr="00064F51">
        <w:tc>
          <w:tcPr>
            <w:tcW w:w="2830" w:type="dxa"/>
            <w:vAlign w:val="bottom"/>
          </w:tcPr>
          <w:p w14:paraId="7D7D4B09" w14:textId="77777777" w:rsidR="00463FA6" w:rsidRDefault="00463FA6" w:rsidP="00064F51">
            <w:pPr>
              <w:rPr>
                <w:b/>
              </w:rPr>
            </w:pPr>
            <w:r w:rsidRPr="00777A5D">
              <w:rPr>
                <w:rFonts w:ascii="Calibri" w:eastAsia="Times New Roman" w:hAnsi="Calibri" w:cs="Calibri"/>
                <w:color w:val="000000"/>
                <w:lang w:val="en-US"/>
              </w:rPr>
              <w:t>‘Potentially risky’ Medication</w:t>
            </w:r>
          </w:p>
        </w:tc>
        <w:tc>
          <w:tcPr>
            <w:tcW w:w="1560" w:type="dxa"/>
            <w:vAlign w:val="bottom"/>
          </w:tcPr>
          <w:p w14:paraId="4AB4A236" w14:textId="77777777" w:rsidR="00463FA6" w:rsidRDefault="00463FA6" w:rsidP="00064F51">
            <w:pPr>
              <w:rPr>
                <w:b/>
              </w:rPr>
            </w:pPr>
            <w:r w:rsidRPr="00777A5D">
              <w:rPr>
                <w:rFonts w:ascii="Calibri" w:eastAsia="Times New Roman" w:hAnsi="Calibri" w:cs="Calibri"/>
                <w:color w:val="000000"/>
                <w:lang w:val="en-US"/>
              </w:rPr>
              <w:t>15% (</w:t>
            </w:r>
            <w:r>
              <w:rPr>
                <w:rFonts w:ascii="Calibri" w:eastAsia="Times New Roman" w:hAnsi="Calibri" w:cs="Calibri"/>
                <w:color w:val="000000"/>
                <w:lang w:val="en-US"/>
              </w:rPr>
              <w:t>6/39</w:t>
            </w:r>
            <w:r w:rsidRPr="00777A5D">
              <w:rPr>
                <w:rFonts w:ascii="Calibri" w:eastAsia="Times New Roman" w:hAnsi="Calibri" w:cs="Calibri"/>
                <w:color w:val="000000"/>
                <w:lang w:val="en-US"/>
              </w:rPr>
              <w:t>)</w:t>
            </w:r>
          </w:p>
        </w:tc>
        <w:tc>
          <w:tcPr>
            <w:tcW w:w="1559" w:type="dxa"/>
            <w:vAlign w:val="bottom"/>
          </w:tcPr>
          <w:p w14:paraId="0EBFDAE5" w14:textId="77777777" w:rsidR="00463FA6" w:rsidRDefault="00463FA6" w:rsidP="00064F51">
            <w:pPr>
              <w:rPr>
                <w:b/>
              </w:rPr>
            </w:pPr>
            <w:r>
              <w:rPr>
                <w:rFonts w:ascii="Calibri" w:eastAsia="Times New Roman" w:hAnsi="Calibri" w:cs="Calibri"/>
                <w:color w:val="000000"/>
                <w:lang w:val="en-US"/>
              </w:rPr>
              <w:t>21</w:t>
            </w:r>
            <w:r w:rsidRPr="00777A5D">
              <w:rPr>
                <w:rFonts w:ascii="Calibri" w:eastAsia="Times New Roman" w:hAnsi="Calibri" w:cs="Calibri"/>
                <w:color w:val="000000"/>
                <w:lang w:val="en-US"/>
              </w:rPr>
              <w:t>% (</w:t>
            </w:r>
            <w:r>
              <w:rPr>
                <w:rFonts w:ascii="Calibri" w:eastAsia="Times New Roman" w:hAnsi="Calibri" w:cs="Calibri"/>
                <w:color w:val="000000"/>
                <w:lang w:val="en-US"/>
              </w:rPr>
              <w:t>3/14</w:t>
            </w:r>
            <w:r w:rsidRPr="00777A5D">
              <w:rPr>
                <w:rFonts w:ascii="Calibri" w:eastAsia="Times New Roman" w:hAnsi="Calibri" w:cs="Calibri"/>
                <w:color w:val="000000"/>
                <w:lang w:val="en-US"/>
              </w:rPr>
              <w:t>)</w:t>
            </w:r>
          </w:p>
        </w:tc>
        <w:tc>
          <w:tcPr>
            <w:tcW w:w="1559" w:type="dxa"/>
            <w:vMerge/>
          </w:tcPr>
          <w:p w14:paraId="713D3E88" w14:textId="77777777" w:rsidR="00463FA6" w:rsidRDefault="00463FA6" w:rsidP="00064F51">
            <w:pPr>
              <w:rPr>
                <w:rFonts w:ascii="Calibri" w:eastAsia="Times New Roman" w:hAnsi="Calibri" w:cs="Calibri"/>
                <w:color w:val="000000"/>
                <w:lang w:val="en-US"/>
              </w:rPr>
            </w:pPr>
          </w:p>
        </w:tc>
      </w:tr>
      <w:tr w:rsidR="00463FA6" w14:paraId="2432F689" w14:textId="77777777" w:rsidTr="00064F51">
        <w:tc>
          <w:tcPr>
            <w:tcW w:w="2830" w:type="dxa"/>
            <w:vAlign w:val="bottom"/>
          </w:tcPr>
          <w:p w14:paraId="4BB726BB" w14:textId="77777777" w:rsidR="00463FA6" w:rsidRPr="00777A5D" w:rsidRDefault="00463FA6" w:rsidP="00064F51">
            <w:pPr>
              <w:rPr>
                <w:rFonts w:ascii="Calibri" w:eastAsia="Times New Roman" w:hAnsi="Calibri" w:cs="Calibri"/>
                <w:color w:val="000000"/>
                <w:lang w:val="en-US"/>
              </w:rPr>
            </w:pPr>
            <w:r w:rsidRPr="00777A5D">
              <w:rPr>
                <w:rFonts w:ascii="Calibri" w:eastAsia="Times New Roman" w:hAnsi="Calibri" w:cs="Calibri"/>
                <w:color w:val="000000"/>
                <w:lang w:val="en-US"/>
              </w:rPr>
              <w:t>‘Unclassified’ Medication</w:t>
            </w:r>
          </w:p>
        </w:tc>
        <w:tc>
          <w:tcPr>
            <w:tcW w:w="1560" w:type="dxa"/>
            <w:vAlign w:val="bottom"/>
          </w:tcPr>
          <w:p w14:paraId="4C55AA1A" w14:textId="77777777" w:rsidR="00463FA6" w:rsidRPr="00777A5D" w:rsidRDefault="00463FA6" w:rsidP="00064F51">
            <w:pPr>
              <w:rPr>
                <w:rFonts w:ascii="Calibri" w:eastAsia="Times New Roman" w:hAnsi="Calibri" w:cs="Calibri"/>
                <w:color w:val="000000"/>
                <w:lang w:val="en-US"/>
              </w:rPr>
            </w:pPr>
            <w:r w:rsidRPr="00777A5D">
              <w:rPr>
                <w:rFonts w:ascii="Calibri" w:eastAsia="Times New Roman" w:hAnsi="Calibri" w:cs="Calibri"/>
                <w:color w:val="000000"/>
                <w:lang w:val="en-US"/>
              </w:rPr>
              <w:t>2</w:t>
            </w:r>
            <w:r>
              <w:rPr>
                <w:rFonts w:ascii="Calibri" w:eastAsia="Times New Roman" w:hAnsi="Calibri" w:cs="Calibri"/>
                <w:color w:val="000000"/>
                <w:lang w:val="en-US"/>
              </w:rPr>
              <w:t>3</w:t>
            </w:r>
            <w:r w:rsidRPr="00777A5D">
              <w:rPr>
                <w:rFonts w:ascii="Calibri" w:eastAsia="Times New Roman" w:hAnsi="Calibri" w:cs="Calibri"/>
                <w:color w:val="000000"/>
                <w:lang w:val="en-US"/>
              </w:rPr>
              <w:t>% (9</w:t>
            </w:r>
            <w:r>
              <w:rPr>
                <w:rFonts w:ascii="Calibri" w:eastAsia="Times New Roman" w:hAnsi="Calibri" w:cs="Calibri"/>
                <w:color w:val="000000"/>
                <w:lang w:val="en-US"/>
              </w:rPr>
              <w:t>/39</w:t>
            </w:r>
            <w:r w:rsidRPr="00777A5D">
              <w:rPr>
                <w:rFonts w:ascii="Calibri" w:eastAsia="Times New Roman" w:hAnsi="Calibri" w:cs="Calibri"/>
                <w:color w:val="000000"/>
                <w:lang w:val="en-US"/>
              </w:rPr>
              <w:t>)</w:t>
            </w:r>
          </w:p>
        </w:tc>
        <w:tc>
          <w:tcPr>
            <w:tcW w:w="1559" w:type="dxa"/>
            <w:vAlign w:val="bottom"/>
          </w:tcPr>
          <w:p w14:paraId="0D6B7CF1" w14:textId="77777777" w:rsidR="00463FA6" w:rsidRPr="00777A5D" w:rsidRDefault="00463FA6" w:rsidP="00064F51">
            <w:pPr>
              <w:rPr>
                <w:rFonts w:ascii="Calibri" w:eastAsia="Times New Roman" w:hAnsi="Calibri" w:cs="Calibri"/>
                <w:color w:val="000000"/>
                <w:lang w:val="en-US"/>
              </w:rPr>
            </w:pPr>
            <w:r w:rsidRPr="00777A5D">
              <w:rPr>
                <w:rFonts w:ascii="Calibri" w:eastAsia="Times New Roman" w:hAnsi="Calibri" w:cs="Calibri"/>
                <w:color w:val="000000"/>
                <w:lang w:val="en-US"/>
              </w:rPr>
              <w:t>14% (2</w:t>
            </w:r>
            <w:r>
              <w:rPr>
                <w:rFonts w:ascii="Calibri" w:eastAsia="Times New Roman" w:hAnsi="Calibri" w:cs="Calibri"/>
                <w:color w:val="000000"/>
                <w:lang w:val="en-US"/>
              </w:rPr>
              <w:t>/14</w:t>
            </w:r>
            <w:r w:rsidRPr="00777A5D">
              <w:rPr>
                <w:rFonts w:ascii="Calibri" w:eastAsia="Times New Roman" w:hAnsi="Calibri" w:cs="Calibri"/>
                <w:color w:val="000000"/>
                <w:lang w:val="en-US"/>
              </w:rPr>
              <w:t>)</w:t>
            </w:r>
          </w:p>
        </w:tc>
        <w:tc>
          <w:tcPr>
            <w:tcW w:w="1559" w:type="dxa"/>
            <w:vMerge/>
          </w:tcPr>
          <w:p w14:paraId="6FA4E6B1" w14:textId="77777777" w:rsidR="00463FA6" w:rsidRPr="00777A5D" w:rsidRDefault="00463FA6" w:rsidP="00064F51">
            <w:pPr>
              <w:rPr>
                <w:rFonts w:ascii="Calibri" w:eastAsia="Times New Roman" w:hAnsi="Calibri" w:cs="Calibri"/>
                <w:color w:val="000000"/>
                <w:lang w:val="en-US"/>
              </w:rPr>
            </w:pPr>
          </w:p>
        </w:tc>
      </w:tr>
      <w:tr w:rsidR="00463FA6" w14:paraId="7B3DD917" w14:textId="77777777" w:rsidTr="00064F51">
        <w:tc>
          <w:tcPr>
            <w:tcW w:w="2830" w:type="dxa"/>
            <w:shd w:val="clear" w:color="auto" w:fill="E7E6E6" w:themeFill="background2"/>
            <w:vAlign w:val="bottom"/>
          </w:tcPr>
          <w:p w14:paraId="52289E57" w14:textId="77777777" w:rsidR="00463FA6" w:rsidRPr="009C3C01" w:rsidRDefault="00463FA6" w:rsidP="00064F51">
            <w:pPr>
              <w:rPr>
                <w:rFonts w:ascii="Calibri" w:eastAsia="Times New Roman" w:hAnsi="Calibri" w:cs="Calibri"/>
                <w:b/>
                <w:color w:val="000000"/>
                <w:lang w:val="en-US"/>
              </w:rPr>
            </w:pPr>
            <w:r w:rsidRPr="009C3C01">
              <w:rPr>
                <w:rFonts w:ascii="Calibri" w:eastAsia="Times New Roman" w:hAnsi="Calibri" w:cs="Calibri"/>
                <w:b/>
                <w:color w:val="000000"/>
                <w:lang w:val="en-US"/>
              </w:rPr>
              <w:t>Third trimester, N</w:t>
            </w:r>
          </w:p>
        </w:tc>
        <w:tc>
          <w:tcPr>
            <w:tcW w:w="1560" w:type="dxa"/>
            <w:shd w:val="clear" w:color="auto" w:fill="E7E6E6" w:themeFill="background2"/>
            <w:vAlign w:val="bottom"/>
          </w:tcPr>
          <w:p w14:paraId="7B4F4EC3" w14:textId="77777777" w:rsidR="00463FA6" w:rsidRPr="00777A5D" w:rsidRDefault="00463FA6" w:rsidP="00064F51">
            <w:pPr>
              <w:rPr>
                <w:rFonts w:ascii="Calibri" w:eastAsia="Times New Roman" w:hAnsi="Calibri" w:cs="Calibri"/>
                <w:color w:val="000000"/>
                <w:lang w:val="en-US"/>
              </w:rPr>
            </w:pPr>
            <w:r>
              <w:rPr>
                <w:rFonts w:ascii="Calibri" w:eastAsia="Times New Roman" w:hAnsi="Calibri" w:cs="Calibri"/>
                <w:color w:val="000000"/>
                <w:lang w:val="en-US"/>
              </w:rPr>
              <w:t>60</w:t>
            </w:r>
          </w:p>
        </w:tc>
        <w:tc>
          <w:tcPr>
            <w:tcW w:w="1559" w:type="dxa"/>
            <w:shd w:val="clear" w:color="auto" w:fill="E7E6E6" w:themeFill="background2"/>
            <w:vAlign w:val="bottom"/>
          </w:tcPr>
          <w:p w14:paraId="2C8D82E8" w14:textId="77777777" w:rsidR="00463FA6" w:rsidRPr="00777A5D" w:rsidRDefault="00463FA6" w:rsidP="00064F51">
            <w:pPr>
              <w:rPr>
                <w:rFonts w:ascii="Calibri" w:eastAsia="Times New Roman" w:hAnsi="Calibri" w:cs="Calibri"/>
                <w:color w:val="000000"/>
                <w:lang w:val="en-US"/>
              </w:rPr>
            </w:pPr>
            <w:r w:rsidRPr="00777A5D">
              <w:rPr>
                <w:rFonts w:ascii="Calibri" w:eastAsia="Times New Roman" w:hAnsi="Calibri" w:cs="Calibri"/>
                <w:color w:val="000000"/>
                <w:lang w:val="en-US"/>
              </w:rPr>
              <w:t>26</w:t>
            </w:r>
          </w:p>
        </w:tc>
        <w:tc>
          <w:tcPr>
            <w:tcW w:w="1559" w:type="dxa"/>
            <w:shd w:val="clear" w:color="auto" w:fill="E7E6E6" w:themeFill="background2"/>
          </w:tcPr>
          <w:p w14:paraId="4BE3BFB1" w14:textId="77777777" w:rsidR="00463FA6" w:rsidRPr="00777A5D" w:rsidRDefault="00463FA6" w:rsidP="00064F51">
            <w:pPr>
              <w:rPr>
                <w:rFonts w:ascii="Calibri" w:eastAsia="Times New Roman" w:hAnsi="Calibri" w:cs="Calibri"/>
                <w:color w:val="000000"/>
                <w:lang w:val="en-US"/>
              </w:rPr>
            </w:pPr>
          </w:p>
        </w:tc>
      </w:tr>
      <w:tr w:rsidR="00463FA6" w14:paraId="77A6F11F" w14:textId="77777777" w:rsidTr="00064F51">
        <w:tc>
          <w:tcPr>
            <w:tcW w:w="2830" w:type="dxa"/>
            <w:vAlign w:val="center"/>
          </w:tcPr>
          <w:p w14:paraId="0EBE47DC" w14:textId="77777777" w:rsidR="00463FA6" w:rsidRPr="00777A5D" w:rsidRDefault="00463FA6" w:rsidP="00064F51">
            <w:pPr>
              <w:rPr>
                <w:rFonts w:ascii="Calibri" w:eastAsia="Times New Roman" w:hAnsi="Calibri" w:cs="Calibri"/>
                <w:color w:val="000000"/>
                <w:lang w:val="en-US"/>
              </w:rPr>
            </w:pPr>
            <w:r w:rsidRPr="00777A5D">
              <w:rPr>
                <w:rFonts w:ascii="Calibri" w:eastAsia="Times New Roman" w:hAnsi="Calibri" w:cs="Calibri"/>
                <w:color w:val="000000"/>
                <w:lang w:val="en-US"/>
              </w:rPr>
              <w:t>‘Probably safe’ Medication</w:t>
            </w:r>
          </w:p>
        </w:tc>
        <w:tc>
          <w:tcPr>
            <w:tcW w:w="1560" w:type="dxa"/>
            <w:vAlign w:val="bottom"/>
          </w:tcPr>
          <w:p w14:paraId="34D78A2E" w14:textId="77777777" w:rsidR="00463FA6" w:rsidRPr="00777A5D" w:rsidRDefault="00463FA6" w:rsidP="00064F51">
            <w:pPr>
              <w:rPr>
                <w:rFonts w:ascii="Calibri" w:eastAsia="Times New Roman" w:hAnsi="Calibri" w:cs="Calibri"/>
                <w:color w:val="000000"/>
                <w:lang w:val="en-US"/>
              </w:rPr>
            </w:pPr>
            <w:r w:rsidRPr="00777A5D">
              <w:rPr>
                <w:rFonts w:ascii="Calibri" w:eastAsia="Times New Roman" w:hAnsi="Calibri" w:cs="Calibri"/>
                <w:color w:val="000000"/>
                <w:lang w:val="en-US"/>
              </w:rPr>
              <w:t>7</w:t>
            </w:r>
            <w:r>
              <w:rPr>
                <w:rFonts w:ascii="Calibri" w:eastAsia="Times New Roman" w:hAnsi="Calibri" w:cs="Calibri"/>
                <w:color w:val="000000"/>
                <w:lang w:val="en-US"/>
              </w:rPr>
              <w:t>3</w:t>
            </w:r>
            <w:r w:rsidRPr="00777A5D">
              <w:rPr>
                <w:rFonts w:ascii="Calibri" w:eastAsia="Times New Roman" w:hAnsi="Calibri" w:cs="Calibri"/>
                <w:color w:val="000000"/>
                <w:lang w:val="en-US"/>
              </w:rPr>
              <w:t>% (44</w:t>
            </w:r>
            <w:r>
              <w:rPr>
                <w:rFonts w:ascii="Calibri" w:eastAsia="Times New Roman" w:hAnsi="Calibri" w:cs="Calibri"/>
                <w:color w:val="000000"/>
                <w:lang w:val="en-US"/>
              </w:rPr>
              <w:t>/60</w:t>
            </w:r>
            <w:r w:rsidRPr="00777A5D">
              <w:rPr>
                <w:rFonts w:ascii="Calibri" w:eastAsia="Times New Roman" w:hAnsi="Calibri" w:cs="Calibri"/>
                <w:color w:val="000000"/>
                <w:lang w:val="en-US"/>
              </w:rPr>
              <w:t>)</w:t>
            </w:r>
          </w:p>
        </w:tc>
        <w:tc>
          <w:tcPr>
            <w:tcW w:w="1559" w:type="dxa"/>
            <w:vAlign w:val="bottom"/>
          </w:tcPr>
          <w:p w14:paraId="4BDCD696" w14:textId="77777777" w:rsidR="00463FA6" w:rsidRPr="00777A5D" w:rsidRDefault="00463FA6" w:rsidP="00064F51">
            <w:pPr>
              <w:rPr>
                <w:rFonts w:ascii="Calibri" w:eastAsia="Times New Roman" w:hAnsi="Calibri" w:cs="Calibri"/>
                <w:color w:val="000000"/>
                <w:lang w:val="en-US"/>
              </w:rPr>
            </w:pPr>
            <w:r>
              <w:rPr>
                <w:rFonts w:ascii="Calibri" w:eastAsia="Times New Roman" w:hAnsi="Calibri" w:cs="Calibri"/>
                <w:color w:val="000000"/>
                <w:lang w:val="en-US"/>
              </w:rPr>
              <w:t>77</w:t>
            </w:r>
            <w:r w:rsidRPr="00777A5D">
              <w:rPr>
                <w:rFonts w:ascii="Calibri" w:eastAsia="Times New Roman" w:hAnsi="Calibri" w:cs="Calibri"/>
                <w:color w:val="000000"/>
                <w:lang w:val="en-US"/>
              </w:rPr>
              <w:t>% (2</w:t>
            </w:r>
            <w:r>
              <w:rPr>
                <w:rFonts w:ascii="Calibri" w:eastAsia="Times New Roman" w:hAnsi="Calibri" w:cs="Calibri"/>
                <w:color w:val="000000"/>
                <w:lang w:val="en-US"/>
              </w:rPr>
              <w:t>0/26</w:t>
            </w:r>
            <w:r w:rsidRPr="00777A5D">
              <w:rPr>
                <w:rFonts w:ascii="Calibri" w:eastAsia="Times New Roman" w:hAnsi="Calibri" w:cs="Calibri"/>
                <w:color w:val="000000"/>
                <w:lang w:val="en-US"/>
              </w:rPr>
              <w:t>)</w:t>
            </w:r>
          </w:p>
        </w:tc>
        <w:tc>
          <w:tcPr>
            <w:tcW w:w="1559" w:type="dxa"/>
            <w:vMerge w:val="restart"/>
          </w:tcPr>
          <w:p w14:paraId="72210418" w14:textId="77777777" w:rsidR="00463FA6" w:rsidRDefault="00463FA6" w:rsidP="00064F51">
            <w:pPr>
              <w:rPr>
                <w:rFonts w:ascii="Calibri" w:eastAsia="Times New Roman" w:hAnsi="Calibri" w:cs="Calibri"/>
                <w:color w:val="000000"/>
                <w:lang w:val="en-US"/>
              </w:rPr>
            </w:pPr>
            <w:r>
              <w:rPr>
                <w:rFonts w:ascii="Calibri" w:eastAsia="Times New Roman" w:hAnsi="Calibri" w:cs="Calibri"/>
                <w:color w:val="000000"/>
                <w:lang w:val="en-US"/>
              </w:rPr>
              <w:t>P=0.93</w:t>
            </w:r>
          </w:p>
        </w:tc>
      </w:tr>
      <w:tr w:rsidR="00463FA6" w14:paraId="1C019568" w14:textId="77777777" w:rsidTr="00064F51">
        <w:tc>
          <w:tcPr>
            <w:tcW w:w="2830" w:type="dxa"/>
            <w:vAlign w:val="bottom"/>
          </w:tcPr>
          <w:p w14:paraId="5A7D1B63" w14:textId="77777777" w:rsidR="00463FA6" w:rsidRPr="00777A5D" w:rsidRDefault="00463FA6" w:rsidP="00064F51">
            <w:pPr>
              <w:rPr>
                <w:rFonts w:ascii="Calibri" w:eastAsia="Times New Roman" w:hAnsi="Calibri" w:cs="Calibri"/>
                <w:color w:val="000000"/>
                <w:lang w:val="en-US"/>
              </w:rPr>
            </w:pPr>
            <w:r w:rsidRPr="00777A5D">
              <w:rPr>
                <w:rFonts w:ascii="Calibri" w:eastAsia="Times New Roman" w:hAnsi="Calibri" w:cs="Calibri"/>
                <w:color w:val="000000"/>
                <w:lang w:val="en-US"/>
              </w:rPr>
              <w:t>‘Potentially risky’ Medication</w:t>
            </w:r>
          </w:p>
        </w:tc>
        <w:tc>
          <w:tcPr>
            <w:tcW w:w="1560" w:type="dxa"/>
            <w:vAlign w:val="bottom"/>
          </w:tcPr>
          <w:p w14:paraId="0C9078D0" w14:textId="77777777" w:rsidR="00463FA6" w:rsidRPr="00777A5D" w:rsidRDefault="00463FA6" w:rsidP="00064F51">
            <w:pPr>
              <w:rPr>
                <w:rFonts w:ascii="Calibri" w:eastAsia="Times New Roman" w:hAnsi="Calibri" w:cs="Calibri"/>
                <w:color w:val="000000"/>
                <w:lang w:val="en-US"/>
              </w:rPr>
            </w:pPr>
            <w:r w:rsidRPr="00777A5D">
              <w:rPr>
                <w:rFonts w:ascii="Calibri" w:eastAsia="Times New Roman" w:hAnsi="Calibri" w:cs="Calibri"/>
                <w:color w:val="000000"/>
                <w:lang w:val="en-US"/>
              </w:rPr>
              <w:t>1</w:t>
            </w:r>
            <w:r>
              <w:rPr>
                <w:rFonts w:ascii="Calibri" w:eastAsia="Times New Roman" w:hAnsi="Calibri" w:cs="Calibri"/>
                <w:color w:val="000000"/>
                <w:lang w:val="en-US"/>
              </w:rPr>
              <w:t>5</w:t>
            </w:r>
            <w:r w:rsidRPr="00777A5D">
              <w:rPr>
                <w:rFonts w:ascii="Calibri" w:eastAsia="Times New Roman" w:hAnsi="Calibri" w:cs="Calibri"/>
                <w:color w:val="000000"/>
                <w:lang w:val="en-US"/>
              </w:rPr>
              <w:t>% (</w:t>
            </w:r>
            <w:r>
              <w:rPr>
                <w:rFonts w:ascii="Calibri" w:eastAsia="Times New Roman" w:hAnsi="Calibri" w:cs="Calibri"/>
                <w:color w:val="000000"/>
                <w:lang w:val="en-US"/>
              </w:rPr>
              <w:t>9/60</w:t>
            </w:r>
            <w:r w:rsidRPr="00777A5D">
              <w:rPr>
                <w:rFonts w:ascii="Calibri" w:eastAsia="Times New Roman" w:hAnsi="Calibri" w:cs="Calibri"/>
                <w:color w:val="000000"/>
                <w:lang w:val="en-US"/>
              </w:rPr>
              <w:t>)</w:t>
            </w:r>
          </w:p>
        </w:tc>
        <w:tc>
          <w:tcPr>
            <w:tcW w:w="1559" w:type="dxa"/>
            <w:vAlign w:val="bottom"/>
          </w:tcPr>
          <w:p w14:paraId="1D7780DB" w14:textId="77777777" w:rsidR="00463FA6" w:rsidRPr="00777A5D" w:rsidRDefault="00463FA6" w:rsidP="00064F51">
            <w:pPr>
              <w:rPr>
                <w:rFonts w:ascii="Calibri" w:eastAsia="Times New Roman" w:hAnsi="Calibri" w:cs="Calibri"/>
                <w:color w:val="000000"/>
                <w:lang w:val="en-US"/>
              </w:rPr>
            </w:pPr>
            <w:r w:rsidRPr="00777A5D">
              <w:rPr>
                <w:rFonts w:ascii="Calibri" w:eastAsia="Times New Roman" w:hAnsi="Calibri" w:cs="Calibri"/>
                <w:color w:val="000000"/>
                <w:lang w:val="en-US"/>
              </w:rPr>
              <w:t>15% (4</w:t>
            </w:r>
            <w:r>
              <w:rPr>
                <w:rFonts w:ascii="Calibri" w:eastAsia="Times New Roman" w:hAnsi="Calibri" w:cs="Calibri"/>
                <w:color w:val="000000"/>
                <w:lang w:val="en-US"/>
              </w:rPr>
              <w:t>/26</w:t>
            </w:r>
            <w:r w:rsidRPr="00777A5D">
              <w:rPr>
                <w:rFonts w:ascii="Calibri" w:eastAsia="Times New Roman" w:hAnsi="Calibri" w:cs="Calibri"/>
                <w:color w:val="000000"/>
                <w:lang w:val="en-US"/>
              </w:rPr>
              <w:t>)</w:t>
            </w:r>
          </w:p>
        </w:tc>
        <w:tc>
          <w:tcPr>
            <w:tcW w:w="1559" w:type="dxa"/>
            <w:vMerge/>
          </w:tcPr>
          <w:p w14:paraId="0C971B5E" w14:textId="77777777" w:rsidR="00463FA6" w:rsidRPr="00777A5D" w:rsidRDefault="00463FA6" w:rsidP="00064F51">
            <w:pPr>
              <w:rPr>
                <w:rFonts w:ascii="Calibri" w:eastAsia="Times New Roman" w:hAnsi="Calibri" w:cs="Calibri"/>
                <w:color w:val="000000"/>
                <w:lang w:val="en-US"/>
              </w:rPr>
            </w:pPr>
          </w:p>
        </w:tc>
      </w:tr>
      <w:tr w:rsidR="00463FA6" w14:paraId="2A816406" w14:textId="77777777" w:rsidTr="00064F51">
        <w:tc>
          <w:tcPr>
            <w:tcW w:w="2830" w:type="dxa"/>
            <w:vAlign w:val="bottom"/>
          </w:tcPr>
          <w:p w14:paraId="03CD695D" w14:textId="77777777" w:rsidR="00463FA6" w:rsidRPr="00777A5D" w:rsidRDefault="00463FA6" w:rsidP="00064F51">
            <w:pPr>
              <w:rPr>
                <w:rFonts w:ascii="Calibri" w:eastAsia="Times New Roman" w:hAnsi="Calibri" w:cs="Calibri"/>
                <w:color w:val="000000"/>
                <w:lang w:val="en-US"/>
              </w:rPr>
            </w:pPr>
            <w:r w:rsidRPr="00777A5D">
              <w:rPr>
                <w:rFonts w:ascii="Calibri" w:eastAsia="Times New Roman" w:hAnsi="Calibri" w:cs="Calibri"/>
                <w:color w:val="000000"/>
                <w:lang w:val="en-US"/>
              </w:rPr>
              <w:t>‘Unclassified’ Medication</w:t>
            </w:r>
          </w:p>
        </w:tc>
        <w:tc>
          <w:tcPr>
            <w:tcW w:w="1560" w:type="dxa"/>
            <w:vAlign w:val="bottom"/>
          </w:tcPr>
          <w:p w14:paraId="7A4FB932" w14:textId="77777777" w:rsidR="00463FA6" w:rsidRPr="00777A5D" w:rsidRDefault="00463FA6" w:rsidP="00064F51">
            <w:pPr>
              <w:rPr>
                <w:rFonts w:ascii="Calibri" w:eastAsia="Times New Roman" w:hAnsi="Calibri" w:cs="Calibri"/>
                <w:color w:val="000000"/>
                <w:lang w:val="en-US"/>
              </w:rPr>
            </w:pPr>
            <w:r w:rsidRPr="00777A5D">
              <w:rPr>
                <w:rFonts w:ascii="Calibri" w:eastAsia="Times New Roman" w:hAnsi="Calibri" w:cs="Calibri"/>
                <w:color w:val="000000"/>
                <w:lang w:val="en-US"/>
              </w:rPr>
              <w:t>1</w:t>
            </w:r>
            <w:r>
              <w:rPr>
                <w:rFonts w:ascii="Calibri" w:eastAsia="Times New Roman" w:hAnsi="Calibri" w:cs="Calibri"/>
                <w:color w:val="000000"/>
                <w:lang w:val="en-US"/>
              </w:rPr>
              <w:t>2</w:t>
            </w:r>
            <w:r w:rsidRPr="00777A5D">
              <w:rPr>
                <w:rFonts w:ascii="Calibri" w:eastAsia="Times New Roman" w:hAnsi="Calibri" w:cs="Calibri"/>
                <w:color w:val="000000"/>
                <w:lang w:val="en-US"/>
              </w:rPr>
              <w:t>% (</w:t>
            </w:r>
            <w:r>
              <w:rPr>
                <w:rFonts w:ascii="Calibri" w:eastAsia="Times New Roman" w:hAnsi="Calibri" w:cs="Calibri"/>
                <w:color w:val="000000"/>
                <w:lang w:val="en-US"/>
              </w:rPr>
              <w:t>7/60</w:t>
            </w:r>
            <w:r w:rsidRPr="00777A5D">
              <w:rPr>
                <w:rFonts w:ascii="Calibri" w:eastAsia="Times New Roman" w:hAnsi="Calibri" w:cs="Calibri"/>
                <w:color w:val="000000"/>
                <w:lang w:val="en-US"/>
              </w:rPr>
              <w:t>)</w:t>
            </w:r>
          </w:p>
        </w:tc>
        <w:tc>
          <w:tcPr>
            <w:tcW w:w="1559" w:type="dxa"/>
            <w:vAlign w:val="bottom"/>
          </w:tcPr>
          <w:p w14:paraId="5F80BE01" w14:textId="77777777" w:rsidR="00463FA6" w:rsidRPr="00777A5D" w:rsidRDefault="00463FA6" w:rsidP="00064F51">
            <w:pPr>
              <w:rPr>
                <w:rFonts w:ascii="Calibri" w:eastAsia="Times New Roman" w:hAnsi="Calibri" w:cs="Calibri"/>
                <w:color w:val="000000"/>
                <w:lang w:val="en-US"/>
              </w:rPr>
            </w:pPr>
            <w:r>
              <w:rPr>
                <w:rFonts w:ascii="Calibri" w:eastAsia="Times New Roman" w:hAnsi="Calibri" w:cs="Calibri"/>
                <w:color w:val="000000"/>
                <w:lang w:val="en-US"/>
              </w:rPr>
              <w:t>8</w:t>
            </w:r>
            <w:r w:rsidRPr="00777A5D">
              <w:rPr>
                <w:rFonts w:ascii="Calibri" w:eastAsia="Times New Roman" w:hAnsi="Calibri" w:cs="Calibri"/>
                <w:color w:val="000000"/>
                <w:lang w:val="en-US"/>
              </w:rPr>
              <w:t>% (</w:t>
            </w:r>
            <w:r>
              <w:rPr>
                <w:rFonts w:ascii="Calibri" w:eastAsia="Times New Roman" w:hAnsi="Calibri" w:cs="Calibri"/>
                <w:color w:val="000000"/>
                <w:lang w:val="en-US"/>
              </w:rPr>
              <w:t>2/26</w:t>
            </w:r>
            <w:r w:rsidRPr="00777A5D">
              <w:rPr>
                <w:rFonts w:ascii="Calibri" w:eastAsia="Times New Roman" w:hAnsi="Calibri" w:cs="Calibri"/>
                <w:color w:val="000000"/>
                <w:lang w:val="en-US"/>
              </w:rPr>
              <w:t>)</w:t>
            </w:r>
          </w:p>
        </w:tc>
        <w:tc>
          <w:tcPr>
            <w:tcW w:w="1559" w:type="dxa"/>
            <w:vMerge/>
          </w:tcPr>
          <w:p w14:paraId="69061C87" w14:textId="77777777" w:rsidR="00463FA6" w:rsidRDefault="00463FA6" w:rsidP="00064F51">
            <w:pPr>
              <w:rPr>
                <w:rFonts w:ascii="Calibri" w:eastAsia="Times New Roman" w:hAnsi="Calibri" w:cs="Calibri"/>
                <w:color w:val="000000"/>
                <w:lang w:val="en-US"/>
              </w:rPr>
            </w:pPr>
          </w:p>
        </w:tc>
      </w:tr>
      <w:tr w:rsidR="00463FA6" w14:paraId="41A27139" w14:textId="77777777" w:rsidTr="00064F51">
        <w:tc>
          <w:tcPr>
            <w:tcW w:w="2830" w:type="dxa"/>
            <w:shd w:val="clear" w:color="auto" w:fill="E7E6E6" w:themeFill="background2"/>
            <w:vAlign w:val="bottom"/>
          </w:tcPr>
          <w:p w14:paraId="40E7131F" w14:textId="77777777" w:rsidR="00463FA6" w:rsidRPr="00A7122B" w:rsidRDefault="00463FA6" w:rsidP="00064F51">
            <w:pPr>
              <w:rPr>
                <w:rFonts w:ascii="Calibri" w:eastAsia="Times New Roman" w:hAnsi="Calibri" w:cs="Calibri"/>
                <w:b/>
                <w:color w:val="000000"/>
                <w:lang w:val="en-US"/>
              </w:rPr>
            </w:pPr>
            <w:r w:rsidRPr="00A7122B">
              <w:rPr>
                <w:rFonts w:ascii="Calibri" w:eastAsia="Times New Roman" w:hAnsi="Calibri" w:cs="Calibri"/>
                <w:b/>
                <w:color w:val="000000"/>
                <w:lang w:val="en-US"/>
              </w:rPr>
              <w:t>Total Pregnancy, N</w:t>
            </w:r>
          </w:p>
        </w:tc>
        <w:tc>
          <w:tcPr>
            <w:tcW w:w="1560" w:type="dxa"/>
            <w:shd w:val="clear" w:color="auto" w:fill="E7E6E6" w:themeFill="background2"/>
            <w:vAlign w:val="bottom"/>
          </w:tcPr>
          <w:p w14:paraId="7BD55709" w14:textId="77777777" w:rsidR="00463FA6" w:rsidRPr="00777A5D" w:rsidRDefault="00463FA6" w:rsidP="00064F51">
            <w:pPr>
              <w:rPr>
                <w:rFonts w:ascii="Calibri" w:eastAsia="Times New Roman" w:hAnsi="Calibri" w:cs="Calibri"/>
                <w:color w:val="000000"/>
                <w:lang w:val="en-US"/>
              </w:rPr>
            </w:pPr>
            <w:r w:rsidRPr="00777A5D">
              <w:rPr>
                <w:rFonts w:ascii="Calibri" w:eastAsia="Times New Roman" w:hAnsi="Calibri" w:cs="Calibri"/>
                <w:color w:val="000000"/>
                <w:lang w:val="en-US"/>
              </w:rPr>
              <w:t>12</w:t>
            </w:r>
            <w:r>
              <w:rPr>
                <w:rFonts w:ascii="Calibri" w:eastAsia="Times New Roman" w:hAnsi="Calibri" w:cs="Calibri"/>
                <w:color w:val="000000"/>
                <w:lang w:val="en-US"/>
              </w:rPr>
              <w:t>6</w:t>
            </w:r>
          </w:p>
        </w:tc>
        <w:tc>
          <w:tcPr>
            <w:tcW w:w="1559" w:type="dxa"/>
            <w:shd w:val="clear" w:color="auto" w:fill="E7E6E6" w:themeFill="background2"/>
            <w:vAlign w:val="bottom"/>
          </w:tcPr>
          <w:p w14:paraId="4278FF1D" w14:textId="77777777" w:rsidR="00463FA6" w:rsidRPr="00777A5D" w:rsidRDefault="00463FA6" w:rsidP="00064F51">
            <w:pPr>
              <w:rPr>
                <w:rFonts w:ascii="Calibri" w:eastAsia="Times New Roman" w:hAnsi="Calibri" w:cs="Calibri"/>
                <w:color w:val="000000"/>
                <w:lang w:val="en-US"/>
              </w:rPr>
            </w:pPr>
            <w:r w:rsidRPr="00777A5D">
              <w:rPr>
                <w:rFonts w:ascii="Calibri" w:eastAsia="Times New Roman" w:hAnsi="Calibri" w:cs="Calibri"/>
                <w:color w:val="000000"/>
                <w:lang w:val="en-US"/>
              </w:rPr>
              <w:t>48</w:t>
            </w:r>
          </w:p>
        </w:tc>
        <w:tc>
          <w:tcPr>
            <w:tcW w:w="1559" w:type="dxa"/>
            <w:shd w:val="clear" w:color="auto" w:fill="E7E6E6" w:themeFill="background2"/>
          </w:tcPr>
          <w:p w14:paraId="36DFC557" w14:textId="77777777" w:rsidR="00463FA6" w:rsidRPr="00777A5D" w:rsidRDefault="00463FA6" w:rsidP="00064F51">
            <w:pPr>
              <w:rPr>
                <w:rFonts w:ascii="Calibri" w:eastAsia="Times New Roman" w:hAnsi="Calibri" w:cs="Calibri"/>
                <w:color w:val="000000"/>
                <w:lang w:val="en-US"/>
              </w:rPr>
            </w:pPr>
          </w:p>
        </w:tc>
      </w:tr>
      <w:tr w:rsidR="00463FA6" w14:paraId="5C943D91" w14:textId="77777777" w:rsidTr="00064F51">
        <w:tc>
          <w:tcPr>
            <w:tcW w:w="2830" w:type="dxa"/>
            <w:vAlign w:val="center"/>
          </w:tcPr>
          <w:p w14:paraId="0FDE70A6" w14:textId="77777777" w:rsidR="00463FA6" w:rsidRPr="00777A5D" w:rsidRDefault="00463FA6" w:rsidP="00064F51">
            <w:pPr>
              <w:rPr>
                <w:rFonts w:ascii="Calibri" w:eastAsia="Times New Roman" w:hAnsi="Calibri" w:cs="Calibri"/>
                <w:color w:val="000000"/>
                <w:lang w:val="en-US"/>
              </w:rPr>
            </w:pPr>
            <w:r w:rsidRPr="00777A5D">
              <w:rPr>
                <w:rFonts w:ascii="Calibri" w:eastAsia="Times New Roman" w:hAnsi="Calibri" w:cs="Calibri"/>
                <w:color w:val="000000"/>
                <w:lang w:val="en-US"/>
              </w:rPr>
              <w:t>‘Probably safe’ Medication</w:t>
            </w:r>
          </w:p>
        </w:tc>
        <w:tc>
          <w:tcPr>
            <w:tcW w:w="1560" w:type="dxa"/>
            <w:vAlign w:val="bottom"/>
          </w:tcPr>
          <w:p w14:paraId="63945B15" w14:textId="77777777" w:rsidR="00463FA6" w:rsidRPr="00777A5D" w:rsidRDefault="00463FA6" w:rsidP="00064F51">
            <w:pPr>
              <w:rPr>
                <w:rFonts w:ascii="Calibri" w:eastAsia="Times New Roman" w:hAnsi="Calibri" w:cs="Calibri"/>
                <w:color w:val="000000"/>
                <w:lang w:val="en-US"/>
              </w:rPr>
            </w:pPr>
            <w:r w:rsidRPr="00777A5D">
              <w:rPr>
                <w:rFonts w:ascii="Calibri" w:eastAsia="Times New Roman" w:hAnsi="Calibri" w:cs="Calibri"/>
                <w:color w:val="000000"/>
                <w:lang w:val="en-US"/>
              </w:rPr>
              <w:t>68% (8</w:t>
            </w:r>
            <w:r>
              <w:rPr>
                <w:rFonts w:ascii="Calibri" w:eastAsia="Times New Roman" w:hAnsi="Calibri" w:cs="Calibri"/>
                <w:color w:val="000000"/>
                <w:lang w:val="en-US"/>
              </w:rPr>
              <w:t>6/126</w:t>
            </w:r>
            <w:r w:rsidRPr="00777A5D">
              <w:rPr>
                <w:rFonts w:ascii="Calibri" w:eastAsia="Times New Roman" w:hAnsi="Calibri" w:cs="Calibri"/>
                <w:color w:val="000000"/>
                <w:lang w:val="en-US"/>
              </w:rPr>
              <w:t>)</w:t>
            </w:r>
          </w:p>
        </w:tc>
        <w:tc>
          <w:tcPr>
            <w:tcW w:w="1559" w:type="dxa"/>
            <w:vAlign w:val="bottom"/>
          </w:tcPr>
          <w:p w14:paraId="4D77191B" w14:textId="77777777" w:rsidR="00463FA6" w:rsidRPr="00777A5D" w:rsidRDefault="00463FA6" w:rsidP="00064F51">
            <w:pPr>
              <w:rPr>
                <w:rFonts w:ascii="Calibri" w:eastAsia="Times New Roman" w:hAnsi="Calibri" w:cs="Calibri"/>
                <w:color w:val="000000"/>
                <w:lang w:val="en-US"/>
              </w:rPr>
            </w:pPr>
            <w:r>
              <w:rPr>
                <w:rFonts w:ascii="Calibri" w:eastAsia="Times New Roman" w:hAnsi="Calibri" w:cs="Calibri"/>
                <w:color w:val="000000"/>
                <w:lang w:val="en-US"/>
              </w:rPr>
              <w:t>71</w:t>
            </w:r>
            <w:r w:rsidRPr="00777A5D">
              <w:rPr>
                <w:rFonts w:ascii="Calibri" w:eastAsia="Times New Roman" w:hAnsi="Calibri" w:cs="Calibri"/>
                <w:color w:val="000000"/>
                <w:lang w:val="en-US"/>
              </w:rPr>
              <w:t>% (3</w:t>
            </w:r>
            <w:r>
              <w:rPr>
                <w:rFonts w:ascii="Calibri" w:eastAsia="Times New Roman" w:hAnsi="Calibri" w:cs="Calibri"/>
                <w:color w:val="000000"/>
                <w:lang w:val="en-US"/>
              </w:rPr>
              <w:t>4/48</w:t>
            </w:r>
            <w:r w:rsidRPr="00777A5D">
              <w:rPr>
                <w:rFonts w:ascii="Calibri" w:eastAsia="Times New Roman" w:hAnsi="Calibri" w:cs="Calibri"/>
                <w:color w:val="000000"/>
                <w:lang w:val="en-US"/>
              </w:rPr>
              <w:t>)</w:t>
            </w:r>
          </w:p>
        </w:tc>
        <w:tc>
          <w:tcPr>
            <w:tcW w:w="1559" w:type="dxa"/>
            <w:vMerge w:val="restart"/>
          </w:tcPr>
          <w:p w14:paraId="6D0B10E6" w14:textId="77777777" w:rsidR="00463FA6" w:rsidRDefault="00463FA6" w:rsidP="00064F51">
            <w:pPr>
              <w:rPr>
                <w:rFonts w:ascii="Calibri" w:eastAsia="Times New Roman" w:hAnsi="Calibri" w:cs="Calibri"/>
                <w:color w:val="000000"/>
                <w:lang w:val="en-US"/>
              </w:rPr>
            </w:pPr>
            <w:r>
              <w:rPr>
                <w:rFonts w:ascii="Calibri" w:eastAsia="Times New Roman" w:hAnsi="Calibri" w:cs="Calibri"/>
                <w:color w:val="000000"/>
                <w:lang w:val="en-US"/>
              </w:rPr>
              <w:t>P=0.97</w:t>
            </w:r>
          </w:p>
        </w:tc>
      </w:tr>
      <w:tr w:rsidR="00463FA6" w14:paraId="0F7E27B4" w14:textId="77777777" w:rsidTr="00064F51">
        <w:tc>
          <w:tcPr>
            <w:tcW w:w="2830" w:type="dxa"/>
            <w:vAlign w:val="bottom"/>
          </w:tcPr>
          <w:p w14:paraId="3E0AC0D0" w14:textId="77777777" w:rsidR="00463FA6" w:rsidRPr="00777A5D" w:rsidRDefault="00463FA6" w:rsidP="00064F51">
            <w:pPr>
              <w:rPr>
                <w:rFonts w:ascii="Calibri" w:eastAsia="Times New Roman" w:hAnsi="Calibri" w:cs="Calibri"/>
                <w:color w:val="000000"/>
                <w:lang w:val="en-US"/>
              </w:rPr>
            </w:pPr>
            <w:r w:rsidRPr="00777A5D">
              <w:rPr>
                <w:rFonts w:ascii="Calibri" w:eastAsia="Times New Roman" w:hAnsi="Calibri" w:cs="Calibri"/>
                <w:color w:val="000000"/>
                <w:lang w:val="en-US"/>
              </w:rPr>
              <w:t>‘Potentially risky’ Medication</w:t>
            </w:r>
          </w:p>
        </w:tc>
        <w:tc>
          <w:tcPr>
            <w:tcW w:w="1560" w:type="dxa"/>
            <w:vAlign w:val="bottom"/>
          </w:tcPr>
          <w:p w14:paraId="3D93BCEF" w14:textId="77777777" w:rsidR="00463FA6" w:rsidRPr="00777A5D" w:rsidRDefault="00463FA6" w:rsidP="00064F51">
            <w:pPr>
              <w:rPr>
                <w:rFonts w:ascii="Calibri" w:eastAsia="Times New Roman" w:hAnsi="Calibri" w:cs="Calibri"/>
                <w:color w:val="000000"/>
                <w:lang w:val="en-US"/>
              </w:rPr>
            </w:pPr>
            <w:r w:rsidRPr="00777A5D">
              <w:rPr>
                <w:rFonts w:ascii="Calibri" w:eastAsia="Times New Roman" w:hAnsi="Calibri" w:cs="Calibri"/>
                <w:color w:val="000000"/>
                <w:lang w:val="en-US"/>
              </w:rPr>
              <w:t>1</w:t>
            </w:r>
            <w:r>
              <w:rPr>
                <w:rFonts w:ascii="Calibri" w:eastAsia="Times New Roman" w:hAnsi="Calibri" w:cs="Calibri"/>
                <w:color w:val="000000"/>
                <w:lang w:val="en-US"/>
              </w:rPr>
              <w:t>7</w:t>
            </w:r>
            <w:r w:rsidRPr="00777A5D">
              <w:rPr>
                <w:rFonts w:ascii="Calibri" w:eastAsia="Times New Roman" w:hAnsi="Calibri" w:cs="Calibri"/>
                <w:color w:val="000000"/>
                <w:lang w:val="en-US"/>
              </w:rPr>
              <w:t>% (</w:t>
            </w:r>
            <w:r>
              <w:rPr>
                <w:rFonts w:ascii="Calibri" w:eastAsia="Times New Roman" w:hAnsi="Calibri" w:cs="Calibri"/>
                <w:color w:val="000000"/>
                <w:lang w:val="en-US"/>
              </w:rPr>
              <w:t>21/126</w:t>
            </w:r>
            <w:r w:rsidRPr="00777A5D">
              <w:rPr>
                <w:rFonts w:ascii="Calibri" w:eastAsia="Times New Roman" w:hAnsi="Calibri" w:cs="Calibri"/>
                <w:color w:val="000000"/>
                <w:lang w:val="en-US"/>
              </w:rPr>
              <w:t>)</w:t>
            </w:r>
          </w:p>
        </w:tc>
        <w:tc>
          <w:tcPr>
            <w:tcW w:w="1559" w:type="dxa"/>
            <w:vAlign w:val="bottom"/>
          </w:tcPr>
          <w:p w14:paraId="67C400B4" w14:textId="77777777" w:rsidR="00463FA6" w:rsidRPr="00777A5D" w:rsidRDefault="00463FA6" w:rsidP="00064F51">
            <w:pPr>
              <w:rPr>
                <w:rFonts w:ascii="Calibri" w:eastAsia="Times New Roman" w:hAnsi="Calibri" w:cs="Calibri"/>
                <w:color w:val="000000"/>
                <w:lang w:val="en-US"/>
              </w:rPr>
            </w:pPr>
            <w:r>
              <w:rPr>
                <w:rFonts w:ascii="Calibri" w:eastAsia="Times New Roman" w:hAnsi="Calibri" w:cs="Calibri"/>
                <w:color w:val="000000"/>
                <w:lang w:val="en-US"/>
              </w:rPr>
              <w:t>17</w:t>
            </w:r>
            <w:r w:rsidRPr="00777A5D">
              <w:rPr>
                <w:rFonts w:ascii="Calibri" w:eastAsia="Times New Roman" w:hAnsi="Calibri" w:cs="Calibri"/>
                <w:color w:val="000000"/>
                <w:lang w:val="en-US"/>
              </w:rPr>
              <w:t>% (</w:t>
            </w:r>
            <w:r>
              <w:rPr>
                <w:rFonts w:ascii="Calibri" w:eastAsia="Times New Roman" w:hAnsi="Calibri" w:cs="Calibri"/>
                <w:color w:val="000000"/>
                <w:lang w:val="en-US"/>
              </w:rPr>
              <w:t>8/48</w:t>
            </w:r>
            <w:r w:rsidRPr="00777A5D">
              <w:rPr>
                <w:rFonts w:ascii="Calibri" w:eastAsia="Times New Roman" w:hAnsi="Calibri" w:cs="Calibri"/>
                <w:color w:val="000000"/>
                <w:lang w:val="en-US"/>
              </w:rPr>
              <w:t>)</w:t>
            </w:r>
          </w:p>
        </w:tc>
        <w:tc>
          <w:tcPr>
            <w:tcW w:w="1559" w:type="dxa"/>
            <w:vMerge/>
          </w:tcPr>
          <w:p w14:paraId="655BD819" w14:textId="77777777" w:rsidR="00463FA6" w:rsidRDefault="00463FA6" w:rsidP="00064F51">
            <w:pPr>
              <w:rPr>
                <w:rFonts w:ascii="Calibri" w:eastAsia="Times New Roman" w:hAnsi="Calibri" w:cs="Calibri"/>
                <w:color w:val="000000"/>
                <w:lang w:val="en-US"/>
              </w:rPr>
            </w:pPr>
          </w:p>
        </w:tc>
      </w:tr>
      <w:tr w:rsidR="00463FA6" w14:paraId="1D9CCCF1" w14:textId="77777777" w:rsidTr="00064F51">
        <w:tc>
          <w:tcPr>
            <w:tcW w:w="2830" w:type="dxa"/>
            <w:vAlign w:val="bottom"/>
          </w:tcPr>
          <w:p w14:paraId="75C5D817" w14:textId="77777777" w:rsidR="00463FA6" w:rsidRPr="00777A5D" w:rsidRDefault="00463FA6" w:rsidP="00064F51">
            <w:pPr>
              <w:rPr>
                <w:rFonts w:ascii="Calibri" w:eastAsia="Times New Roman" w:hAnsi="Calibri" w:cs="Calibri"/>
                <w:color w:val="000000"/>
                <w:lang w:val="en-US"/>
              </w:rPr>
            </w:pPr>
            <w:r w:rsidRPr="00777A5D">
              <w:rPr>
                <w:rFonts w:ascii="Calibri" w:eastAsia="Times New Roman" w:hAnsi="Calibri" w:cs="Calibri"/>
                <w:color w:val="000000"/>
                <w:lang w:val="en-US"/>
              </w:rPr>
              <w:t>‘Unclassified’ Medication</w:t>
            </w:r>
          </w:p>
        </w:tc>
        <w:tc>
          <w:tcPr>
            <w:tcW w:w="1560" w:type="dxa"/>
            <w:vAlign w:val="bottom"/>
          </w:tcPr>
          <w:p w14:paraId="41FFD0EF" w14:textId="77777777" w:rsidR="00463FA6" w:rsidRPr="00777A5D" w:rsidRDefault="00463FA6" w:rsidP="00064F51">
            <w:pPr>
              <w:rPr>
                <w:rFonts w:ascii="Calibri" w:eastAsia="Times New Roman" w:hAnsi="Calibri" w:cs="Calibri"/>
                <w:color w:val="000000"/>
                <w:lang w:val="en-US"/>
              </w:rPr>
            </w:pPr>
            <w:r w:rsidRPr="00777A5D">
              <w:rPr>
                <w:rFonts w:ascii="Calibri" w:eastAsia="Times New Roman" w:hAnsi="Calibri" w:cs="Calibri"/>
                <w:color w:val="000000"/>
                <w:lang w:val="en-US"/>
              </w:rPr>
              <w:t>1</w:t>
            </w:r>
            <w:r>
              <w:rPr>
                <w:rFonts w:ascii="Calibri" w:eastAsia="Times New Roman" w:hAnsi="Calibri" w:cs="Calibri"/>
                <w:color w:val="000000"/>
                <w:lang w:val="en-US"/>
              </w:rPr>
              <w:t>5</w:t>
            </w:r>
            <w:r w:rsidRPr="00777A5D">
              <w:rPr>
                <w:rFonts w:ascii="Calibri" w:eastAsia="Times New Roman" w:hAnsi="Calibri" w:cs="Calibri"/>
                <w:color w:val="000000"/>
                <w:lang w:val="en-US"/>
              </w:rPr>
              <w:t>% (</w:t>
            </w:r>
            <w:r>
              <w:rPr>
                <w:rFonts w:ascii="Calibri" w:eastAsia="Times New Roman" w:hAnsi="Calibri" w:cs="Calibri"/>
                <w:color w:val="000000"/>
                <w:lang w:val="en-US"/>
              </w:rPr>
              <w:t>19/126</w:t>
            </w:r>
            <w:r w:rsidRPr="00777A5D">
              <w:rPr>
                <w:rFonts w:ascii="Calibri" w:eastAsia="Times New Roman" w:hAnsi="Calibri" w:cs="Calibri"/>
                <w:color w:val="000000"/>
                <w:lang w:val="en-US"/>
              </w:rPr>
              <w:t>)</w:t>
            </w:r>
          </w:p>
        </w:tc>
        <w:tc>
          <w:tcPr>
            <w:tcW w:w="1559" w:type="dxa"/>
            <w:vAlign w:val="bottom"/>
          </w:tcPr>
          <w:p w14:paraId="0DFF2DEE" w14:textId="77777777" w:rsidR="00463FA6" w:rsidRPr="00777A5D" w:rsidRDefault="00463FA6" w:rsidP="00064F51">
            <w:pPr>
              <w:rPr>
                <w:rFonts w:ascii="Calibri" w:eastAsia="Times New Roman" w:hAnsi="Calibri" w:cs="Calibri"/>
                <w:color w:val="000000"/>
                <w:lang w:val="en-US"/>
              </w:rPr>
            </w:pPr>
            <w:r w:rsidRPr="00777A5D">
              <w:rPr>
                <w:rFonts w:ascii="Calibri" w:eastAsia="Times New Roman" w:hAnsi="Calibri" w:cs="Calibri"/>
                <w:color w:val="000000"/>
                <w:lang w:val="en-US"/>
              </w:rPr>
              <w:t>1</w:t>
            </w:r>
            <w:r>
              <w:rPr>
                <w:rFonts w:ascii="Calibri" w:eastAsia="Times New Roman" w:hAnsi="Calibri" w:cs="Calibri"/>
                <w:color w:val="000000"/>
                <w:lang w:val="en-US"/>
              </w:rPr>
              <w:t>3</w:t>
            </w:r>
            <w:r w:rsidRPr="00777A5D">
              <w:rPr>
                <w:rFonts w:ascii="Calibri" w:eastAsia="Times New Roman" w:hAnsi="Calibri" w:cs="Calibri"/>
                <w:color w:val="000000"/>
                <w:lang w:val="en-US"/>
              </w:rPr>
              <w:t>% (</w:t>
            </w:r>
            <w:r>
              <w:rPr>
                <w:rFonts w:ascii="Calibri" w:eastAsia="Times New Roman" w:hAnsi="Calibri" w:cs="Calibri"/>
                <w:color w:val="000000"/>
                <w:lang w:val="en-US"/>
              </w:rPr>
              <w:t>6/48</w:t>
            </w:r>
            <w:r w:rsidRPr="00777A5D">
              <w:rPr>
                <w:rFonts w:ascii="Calibri" w:eastAsia="Times New Roman" w:hAnsi="Calibri" w:cs="Calibri"/>
                <w:color w:val="000000"/>
                <w:lang w:val="en-US"/>
              </w:rPr>
              <w:t>)</w:t>
            </w:r>
          </w:p>
        </w:tc>
        <w:tc>
          <w:tcPr>
            <w:tcW w:w="1559" w:type="dxa"/>
            <w:vMerge/>
          </w:tcPr>
          <w:p w14:paraId="1191B36B" w14:textId="77777777" w:rsidR="00463FA6" w:rsidRPr="00777A5D" w:rsidRDefault="00463FA6" w:rsidP="00064F51">
            <w:pPr>
              <w:rPr>
                <w:rFonts w:ascii="Calibri" w:eastAsia="Times New Roman" w:hAnsi="Calibri" w:cs="Calibri"/>
                <w:color w:val="000000"/>
                <w:lang w:val="en-US"/>
              </w:rPr>
            </w:pPr>
          </w:p>
        </w:tc>
      </w:tr>
    </w:tbl>
    <w:p w14:paraId="236EEE74" w14:textId="77777777" w:rsidR="00463FA6" w:rsidRDefault="00463FA6" w:rsidP="00F86E3D">
      <w:pPr>
        <w:pStyle w:val="ListParagraph"/>
        <w:ind w:left="405"/>
        <w:rPr>
          <w:rFonts w:cstheme="minorHAnsi"/>
          <w:highlight w:val="yellow"/>
          <w:shd w:val="clear" w:color="auto" w:fill="FFFFFF"/>
        </w:rPr>
      </w:pPr>
    </w:p>
    <w:p w14:paraId="71BE94C1" w14:textId="77777777" w:rsidR="00463FA6" w:rsidRDefault="00463FA6" w:rsidP="003B6174">
      <w:pPr>
        <w:rPr>
          <w:b/>
        </w:rPr>
      </w:pPr>
    </w:p>
    <w:p w14:paraId="375DAE4B" w14:textId="77777777" w:rsidR="00463FA6" w:rsidRPr="006A3C39" w:rsidRDefault="00463FA6" w:rsidP="003B6174">
      <w:pPr>
        <w:rPr>
          <w:b/>
        </w:rPr>
      </w:pPr>
      <w:r>
        <w:rPr>
          <w:b/>
        </w:rPr>
        <w:t>*</w:t>
      </w:r>
      <w:r w:rsidRPr="00EB0207">
        <w:t>Fisher’s exact t test</w:t>
      </w:r>
    </w:p>
    <w:p w14:paraId="1FF44897" w14:textId="77777777" w:rsidR="00463FA6" w:rsidRDefault="00463FA6" w:rsidP="003B6174">
      <w:r w:rsidRPr="005A7BFA">
        <w:t>The ‘probably safe’ category consisted of A, B1 and B2 classifications and the ‘potentially risk</w:t>
      </w:r>
      <w:r>
        <w:t>y’ of categories B3, C, D and X</w:t>
      </w:r>
      <w:r w:rsidRPr="00973F25">
        <w:rPr>
          <w:shd w:val="clear" w:color="auto" w:fill="FFFFFF"/>
        </w:rPr>
        <w:t xml:space="preserve"> </w:t>
      </w:r>
      <w:r>
        <w:rPr>
          <w:shd w:val="clear" w:color="auto" w:fill="FFFFFF"/>
        </w:rPr>
        <w:t xml:space="preserve">as per </w:t>
      </w:r>
      <w:r w:rsidRPr="00353B19">
        <w:t xml:space="preserve">The Australian categorisation system </w:t>
      </w:r>
      <w:r>
        <w:t>(</w:t>
      </w:r>
      <w:hyperlink r:id="rId22" w:history="1">
        <w:r w:rsidRPr="00CF23DB">
          <w:rPr>
            <w:rStyle w:val="Hyperlink"/>
          </w:rPr>
          <w:t>https://www.tga.gov.au/prescribing-medicines-pregnancy-database</w:t>
        </w:r>
      </w:hyperlink>
      <w:r>
        <w:t>).</w:t>
      </w:r>
    </w:p>
    <w:p w14:paraId="79919E6C" w14:textId="781C137D" w:rsidR="00B00B69" w:rsidRDefault="00B00B69">
      <w:pPr>
        <w:rPr>
          <w:rFonts w:cstheme="minorHAnsi"/>
          <w:b/>
        </w:rPr>
      </w:pPr>
      <w:r>
        <w:rPr>
          <w:rFonts w:cstheme="minorHAnsi"/>
          <w:b/>
        </w:rPr>
        <w:br w:type="page"/>
      </w:r>
    </w:p>
    <w:p w14:paraId="62777FB5" w14:textId="77777777" w:rsidR="00463FA6" w:rsidRDefault="00463FA6" w:rsidP="00BA2B9D">
      <w:pPr>
        <w:rPr>
          <w:b/>
        </w:rPr>
      </w:pPr>
      <w:r>
        <w:rPr>
          <w:b/>
        </w:rPr>
        <w:lastRenderedPageBreak/>
        <w:t>Table 5: Odd ratios (95% confidence intervals) for birth defects by various demographic and lifestyle factors</w:t>
      </w:r>
    </w:p>
    <w:p w14:paraId="1D6B20F1" w14:textId="77777777" w:rsidR="00463FA6" w:rsidRDefault="00463FA6" w:rsidP="00BA2B9D">
      <w:pPr>
        <w:rPr>
          <w:b/>
        </w:rPr>
      </w:pPr>
    </w:p>
    <w:tbl>
      <w:tblPr>
        <w:tblW w:w="8937"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540"/>
        <w:gridCol w:w="1764"/>
        <w:gridCol w:w="1560"/>
        <w:gridCol w:w="2409"/>
        <w:gridCol w:w="1664"/>
      </w:tblGrid>
      <w:tr w:rsidR="00463FA6" w:rsidRPr="00D528E3" w14:paraId="082DB655" w14:textId="77777777" w:rsidTr="00CE126C">
        <w:trPr>
          <w:trHeight w:val="300"/>
        </w:trPr>
        <w:tc>
          <w:tcPr>
            <w:tcW w:w="1540" w:type="dxa"/>
            <w:shd w:val="clear" w:color="auto" w:fill="D0CECE" w:themeFill="background2" w:themeFillShade="E6"/>
            <w:noWrap/>
            <w:vAlign w:val="bottom"/>
            <w:hideMark/>
          </w:tcPr>
          <w:p w14:paraId="31DB7D64" w14:textId="77777777" w:rsidR="00463FA6" w:rsidRPr="00CE126C" w:rsidRDefault="00463FA6" w:rsidP="00BA2B9D">
            <w:pPr>
              <w:spacing w:after="0" w:line="240" w:lineRule="auto"/>
              <w:rPr>
                <w:rFonts w:ascii="Calibri" w:eastAsia="Times New Roman" w:hAnsi="Calibri" w:cs="Calibri"/>
                <w:b/>
                <w:color w:val="2D2926"/>
                <w:lang w:val="en-US"/>
              </w:rPr>
            </w:pPr>
          </w:p>
        </w:tc>
        <w:tc>
          <w:tcPr>
            <w:tcW w:w="7397" w:type="dxa"/>
            <w:gridSpan w:val="4"/>
            <w:shd w:val="clear" w:color="auto" w:fill="D0CECE" w:themeFill="background2" w:themeFillShade="E6"/>
          </w:tcPr>
          <w:p w14:paraId="4C6635E0" w14:textId="4E774BC8" w:rsidR="00463FA6" w:rsidRPr="00CE126C" w:rsidRDefault="00463FA6" w:rsidP="00926913">
            <w:pPr>
              <w:spacing w:after="0" w:line="240" w:lineRule="auto"/>
              <w:jc w:val="center"/>
              <w:rPr>
                <w:rFonts w:ascii="Calibri" w:eastAsia="Times New Roman" w:hAnsi="Calibri" w:cs="Calibri"/>
                <w:b/>
                <w:color w:val="2D2926"/>
                <w:lang w:val="en-US"/>
              </w:rPr>
            </w:pPr>
            <w:r w:rsidRPr="00CE126C">
              <w:rPr>
                <w:rFonts w:ascii="Calibri" w:eastAsia="Times New Roman" w:hAnsi="Calibri" w:cs="Calibri"/>
                <w:b/>
                <w:color w:val="2D2926"/>
                <w:lang w:val="en-US"/>
              </w:rPr>
              <w:t>OR (95%CI) (logistic regression estimates)</w:t>
            </w:r>
          </w:p>
        </w:tc>
      </w:tr>
      <w:tr w:rsidR="00463FA6" w:rsidRPr="00D528E3" w14:paraId="48BF9E49" w14:textId="77777777" w:rsidTr="00CE126C">
        <w:trPr>
          <w:trHeight w:val="300"/>
        </w:trPr>
        <w:tc>
          <w:tcPr>
            <w:tcW w:w="1540" w:type="dxa"/>
            <w:shd w:val="clear" w:color="auto" w:fill="D0CECE" w:themeFill="background2" w:themeFillShade="E6"/>
            <w:noWrap/>
            <w:vAlign w:val="bottom"/>
            <w:hideMark/>
          </w:tcPr>
          <w:p w14:paraId="5CB89A31" w14:textId="77777777" w:rsidR="00463FA6" w:rsidRPr="00CE126C" w:rsidRDefault="00463FA6" w:rsidP="00BA2B9D">
            <w:pPr>
              <w:spacing w:after="0" w:line="240" w:lineRule="auto"/>
              <w:rPr>
                <w:rFonts w:ascii="Calibri" w:eastAsia="Times New Roman" w:hAnsi="Calibri" w:cs="Calibri"/>
                <w:b/>
                <w:color w:val="2D2926"/>
                <w:lang w:val="en-US"/>
              </w:rPr>
            </w:pPr>
            <w:r w:rsidRPr="00CE126C">
              <w:rPr>
                <w:rFonts w:ascii="Calibri" w:eastAsia="Times New Roman" w:hAnsi="Calibri" w:cs="Calibri"/>
                <w:b/>
                <w:color w:val="2D2926"/>
                <w:lang w:val="en-US"/>
              </w:rPr>
              <w:t>Variable</w:t>
            </w:r>
          </w:p>
        </w:tc>
        <w:tc>
          <w:tcPr>
            <w:tcW w:w="1764" w:type="dxa"/>
            <w:shd w:val="clear" w:color="auto" w:fill="D0CECE" w:themeFill="background2" w:themeFillShade="E6"/>
            <w:noWrap/>
            <w:vAlign w:val="bottom"/>
          </w:tcPr>
          <w:p w14:paraId="3100364C" w14:textId="77777777" w:rsidR="00463FA6" w:rsidRPr="00CE126C" w:rsidRDefault="00463FA6" w:rsidP="00BA2B9D">
            <w:pPr>
              <w:spacing w:after="0" w:line="240" w:lineRule="auto"/>
              <w:rPr>
                <w:rFonts w:ascii="Calibri" w:eastAsia="Times New Roman" w:hAnsi="Calibri" w:cs="Calibri"/>
                <w:b/>
                <w:color w:val="2D2926"/>
                <w:lang w:val="en-US"/>
              </w:rPr>
            </w:pPr>
            <w:r w:rsidRPr="00CE126C">
              <w:rPr>
                <w:rFonts w:ascii="Calibri" w:eastAsia="Times New Roman" w:hAnsi="Calibri" w:cs="Calibri"/>
                <w:b/>
                <w:color w:val="2D2926"/>
                <w:lang w:val="en-US"/>
              </w:rPr>
              <w:t xml:space="preserve">Univariable, unadjusted </w:t>
            </w:r>
          </w:p>
        </w:tc>
        <w:tc>
          <w:tcPr>
            <w:tcW w:w="1560" w:type="dxa"/>
            <w:shd w:val="clear" w:color="auto" w:fill="D0CECE" w:themeFill="background2" w:themeFillShade="E6"/>
          </w:tcPr>
          <w:p w14:paraId="702FDC0C" w14:textId="77777777" w:rsidR="00463FA6" w:rsidRPr="00CE126C" w:rsidRDefault="00463FA6" w:rsidP="00BA2B9D">
            <w:pPr>
              <w:spacing w:after="0" w:line="240" w:lineRule="auto"/>
              <w:rPr>
                <w:rFonts w:ascii="Calibri" w:eastAsia="Times New Roman" w:hAnsi="Calibri" w:cs="Calibri"/>
                <w:b/>
                <w:color w:val="2D2926"/>
                <w:lang w:val="en-US"/>
              </w:rPr>
            </w:pPr>
          </w:p>
        </w:tc>
        <w:tc>
          <w:tcPr>
            <w:tcW w:w="2409" w:type="dxa"/>
            <w:shd w:val="clear" w:color="auto" w:fill="D0CECE" w:themeFill="background2" w:themeFillShade="E6"/>
            <w:noWrap/>
            <w:vAlign w:val="bottom"/>
            <w:hideMark/>
          </w:tcPr>
          <w:p w14:paraId="77199B69" w14:textId="77777777" w:rsidR="00463FA6" w:rsidRPr="00CE126C" w:rsidRDefault="00463FA6" w:rsidP="00BA2B9D">
            <w:pPr>
              <w:spacing w:after="0" w:line="240" w:lineRule="auto"/>
              <w:rPr>
                <w:rFonts w:ascii="Calibri" w:eastAsia="Times New Roman" w:hAnsi="Calibri" w:cs="Calibri"/>
                <w:b/>
                <w:color w:val="2D2926"/>
                <w:lang w:val="en-US"/>
              </w:rPr>
            </w:pPr>
            <w:r w:rsidRPr="00CE126C">
              <w:rPr>
                <w:rFonts w:ascii="Calibri" w:eastAsia="Times New Roman" w:hAnsi="Calibri" w:cs="Calibri"/>
                <w:b/>
                <w:color w:val="2D2926"/>
                <w:lang w:val="en-US"/>
              </w:rPr>
              <w:t>Multivariable, adjusted for other variables</w:t>
            </w:r>
          </w:p>
        </w:tc>
        <w:tc>
          <w:tcPr>
            <w:tcW w:w="1664" w:type="dxa"/>
            <w:shd w:val="clear" w:color="auto" w:fill="D0CECE" w:themeFill="background2" w:themeFillShade="E6"/>
          </w:tcPr>
          <w:p w14:paraId="2C6C1072" w14:textId="77777777" w:rsidR="00463FA6" w:rsidRPr="00CE126C" w:rsidRDefault="00463FA6" w:rsidP="00BA2B9D">
            <w:pPr>
              <w:spacing w:after="0" w:line="240" w:lineRule="auto"/>
              <w:rPr>
                <w:rFonts w:ascii="Calibri" w:eastAsia="Times New Roman" w:hAnsi="Calibri" w:cs="Calibri"/>
                <w:b/>
                <w:color w:val="2D2926"/>
                <w:lang w:val="en-US"/>
              </w:rPr>
            </w:pPr>
          </w:p>
        </w:tc>
      </w:tr>
      <w:tr w:rsidR="00463FA6" w:rsidRPr="00D528E3" w14:paraId="209EFBBA" w14:textId="77777777" w:rsidTr="00BA2B9D">
        <w:trPr>
          <w:trHeight w:val="300"/>
        </w:trPr>
        <w:tc>
          <w:tcPr>
            <w:tcW w:w="1540" w:type="dxa"/>
            <w:shd w:val="clear" w:color="auto" w:fill="auto"/>
            <w:noWrap/>
            <w:vAlign w:val="bottom"/>
            <w:hideMark/>
          </w:tcPr>
          <w:p w14:paraId="7A282B2F" w14:textId="77777777" w:rsidR="00463FA6" w:rsidRPr="00CE126C" w:rsidRDefault="00463FA6" w:rsidP="00BA2B9D">
            <w:pPr>
              <w:spacing w:after="0" w:line="240" w:lineRule="auto"/>
              <w:rPr>
                <w:rFonts w:ascii="Calibri" w:eastAsia="Times New Roman" w:hAnsi="Calibri" w:cs="Calibri"/>
                <w:b/>
                <w:color w:val="2D2926"/>
                <w:lang w:val="en-US"/>
              </w:rPr>
            </w:pPr>
            <w:r w:rsidRPr="00CE126C">
              <w:rPr>
                <w:rFonts w:ascii="Calibri" w:eastAsia="Times New Roman" w:hAnsi="Calibri" w:cs="Calibri"/>
                <w:b/>
                <w:color w:val="2D2926"/>
                <w:lang w:val="en-US"/>
              </w:rPr>
              <w:t>Age (per year)</w:t>
            </w:r>
          </w:p>
        </w:tc>
        <w:tc>
          <w:tcPr>
            <w:tcW w:w="1764" w:type="dxa"/>
            <w:shd w:val="clear" w:color="auto" w:fill="auto"/>
            <w:noWrap/>
            <w:vAlign w:val="bottom"/>
            <w:hideMark/>
          </w:tcPr>
          <w:p w14:paraId="720DB404" w14:textId="77777777" w:rsidR="00463FA6" w:rsidRPr="00D528E3" w:rsidRDefault="00463FA6" w:rsidP="00BA2B9D">
            <w:pPr>
              <w:spacing w:after="0" w:line="240" w:lineRule="auto"/>
              <w:rPr>
                <w:rFonts w:ascii="Calibri" w:eastAsia="Times New Roman" w:hAnsi="Calibri" w:cs="Calibri"/>
                <w:color w:val="2D2926"/>
                <w:lang w:val="en-US"/>
              </w:rPr>
            </w:pPr>
            <w:r w:rsidRPr="00D528E3">
              <w:rPr>
                <w:rFonts w:ascii="Calibri" w:eastAsia="Times New Roman" w:hAnsi="Calibri" w:cs="Calibri"/>
                <w:color w:val="2D2926"/>
                <w:lang w:val="en-US"/>
              </w:rPr>
              <w:t>1.10 (1.05, 1.15)</w:t>
            </w:r>
          </w:p>
        </w:tc>
        <w:tc>
          <w:tcPr>
            <w:tcW w:w="1560" w:type="dxa"/>
          </w:tcPr>
          <w:p w14:paraId="12BFE6BB" w14:textId="77777777" w:rsidR="00463FA6" w:rsidRPr="00D528E3" w:rsidRDefault="00463FA6" w:rsidP="00BA2B9D">
            <w:pPr>
              <w:spacing w:after="0" w:line="240" w:lineRule="auto"/>
              <w:rPr>
                <w:rFonts w:ascii="Calibri" w:eastAsia="Times New Roman" w:hAnsi="Calibri" w:cs="Calibri"/>
                <w:color w:val="2D2926"/>
                <w:lang w:val="en-US"/>
              </w:rPr>
            </w:pPr>
            <w:r>
              <w:rPr>
                <w:rFonts w:ascii="Calibri" w:eastAsia="Times New Roman" w:hAnsi="Calibri" w:cs="Calibri"/>
                <w:color w:val="2D2926"/>
                <w:lang w:val="en-US"/>
              </w:rPr>
              <w:t>P&lt;0.001</w:t>
            </w:r>
          </w:p>
        </w:tc>
        <w:tc>
          <w:tcPr>
            <w:tcW w:w="2409" w:type="dxa"/>
            <w:shd w:val="clear" w:color="auto" w:fill="auto"/>
            <w:noWrap/>
            <w:vAlign w:val="bottom"/>
            <w:hideMark/>
          </w:tcPr>
          <w:p w14:paraId="67034F5A" w14:textId="77777777" w:rsidR="00463FA6" w:rsidRPr="00D528E3" w:rsidRDefault="00463FA6" w:rsidP="00BA2B9D">
            <w:pPr>
              <w:spacing w:after="0" w:line="240" w:lineRule="auto"/>
              <w:rPr>
                <w:rFonts w:ascii="Calibri" w:eastAsia="Times New Roman" w:hAnsi="Calibri" w:cs="Calibri"/>
                <w:color w:val="2D2926"/>
                <w:lang w:val="en-US"/>
              </w:rPr>
            </w:pPr>
            <w:r>
              <w:rPr>
                <w:rFonts w:ascii="Calibri" w:eastAsia="Times New Roman" w:hAnsi="Calibri" w:cs="Calibri"/>
                <w:color w:val="2D2926"/>
                <w:lang w:val="en-US"/>
              </w:rPr>
              <w:t>1.09 (1.03, 1.15)</w:t>
            </w:r>
          </w:p>
        </w:tc>
        <w:tc>
          <w:tcPr>
            <w:tcW w:w="1664" w:type="dxa"/>
          </w:tcPr>
          <w:p w14:paraId="05080B1D" w14:textId="77777777" w:rsidR="00463FA6" w:rsidRPr="00D528E3" w:rsidRDefault="00463FA6" w:rsidP="00BA2B9D">
            <w:pPr>
              <w:spacing w:after="0" w:line="240" w:lineRule="auto"/>
              <w:rPr>
                <w:rFonts w:ascii="Calibri" w:eastAsia="Times New Roman" w:hAnsi="Calibri" w:cs="Calibri"/>
                <w:color w:val="2D2926"/>
                <w:lang w:val="en-US"/>
              </w:rPr>
            </w:pPr>
            <w:r>
              <w:rPr>
                <w:rFonts w:ascii="Calibri" w:eastAsia="Times New Roman" w:hAnsi="Calibri" w:cs="Calibri"/>
                <w:color w:val="2D2926"/>
                <w:lang w:val="en-US"/>
              </w:rPr>
              <w:t>P=0.002</w:t>
            </w:r>
          </w:p>
        </w:tc>
      </w:tr>
      <w:tr w:rsidR="00463FA6" w:rsidRPr="00D528E3" w14:paraId="43F60789" w14:textId="77777777" w:rsidTr="006C4819">
        <w:trPr>
          <w:trHeight w:val="300"/>
        </w:trPr>
        <w:tc>
          <w:tcPr>
            <w:tcW w:w="8937" w:type="dxa"/>
            <w:gridSpan w:val="5"/>
            <w:shd w:val="clear" w:color="auto" w:fill="auto"/>
            <w:noWrap/>
            <w:vAlign w:val="bottom"/>
            <w:hideMark/>
          </w:tcPr>
          <w:p w14:paraId="0E2BDE26" w14:textId="77777777" w:rsidR="00463FA6" w:rsidRPr="00CE126C" w:rsidRDefault="00463FA6" w:rsidP="00BA2B9D">
            <w:pPr>
              <w:spacing w:after="0" w:line="240" w:lineRule="auto"/>
              <w:rPr>
                <w:rFonts w:ascii="Calibri" w:eastAsia="Times New Roman" w:hAnsi="Calibri" w:cs="Calibri"/>
                <w:b/>
                <w:color w:val="2D2926"/>
                <w:lang w:val="en-US"/>
              </w:rPr>
            </w:pPr>
            <w:r w:rsidRPr="00CE126C">
              <w:rPr>
                <w:rFonts w:ascii="Calibri" w:eastAsia="Times New Roman" w:hAnsi="Calibri" w:cs="Calibri"/>
                <w:b/>
                <w:color w:val="2D2926"/>
                <w:lang w:val="en-US"/>
              </w:rPr>
              <w:t xml:space="preserve">Medication use </w:t>
            </w:r>
          </w:p>
        </w:tc>
      </w:tr>
      <w:tr w:rsidR="00463FA6" w:rsidRPr="00D528E3" w14:paraId="6A5F1A8D" w14:textId="77777777" w:rsidTr="00BA2B9D">
        <w:trPr>
          <w:trHeight w:val="300"/>
        </w:trPr>
        <w:tc>
          <w:tcPr>
            <w:tcW w:w="1540" w:type="dxa"/>
            <w:shd w:val="clear" w:color="auto" w:fill="auto"/>
            <w:noWrap/>
            <w:vAlign w:val="bottom"/>
          </w:tcPr>
          <w:p w14:paraId="508BE14B" w14:textId="77777777" w:rsidR="00463FA6" w:rsidRPr="00D528E3" w:rsidRDefault="00463FA6" w:rsidP="00BA2B9D">
            <w:pPr>
              <w:spacing w:after="0" w:line="240" w:lineRule="auto"/>
              <w:rPr>
                <w:rFonts w:ascii="Calibri" w:eastAsia="Times New Roman" w:hAnsi="Calibri" w:cs="Calibri"/>
                <w:color w:val="2D2926"/>
                <w:lang w:val="en-US"/>
              </w:rPr>
            </w:pPr>
            <w:r>
              <w:rPr>
                <w:rFonts w:ascii="Calibri" w:eastAsia="Times New Roman" w:hAnsi="Calibri" w:cs="Calibri"/>
                <w:color w:val="2D2926"/>
                <w:lang w:val="en-US"/>
              </w:rPr>
              <w:t xml:space="preserve">  Yes</w:t>
            </w:r>
          </w:p>
        </w:tc>
        <w:tc>
          <w:tcPr>
            <w:tcW w:w="1764" w:type="dxa"/>
            <w:shd w:val="clear" w:color="auto" w:fill="auto"/>
            <w:noWrap/>
            <w:vAlign w:val="bottom"/>
          </w:tcPr>
          <w:p w14:paraId="214EE1E0" w14:textId="77777777" w:rsidR="00463FA6" w:rsidRPr="00D528E3" w:rsidRDefault="00463FA6" w:rsidP="00BA2B9D">
            <w:pPr>
              <w:spacing w:after="0" w:line="240" w:lineRule="auto"/>
              <w:rPr>
                <w:rFonts w:ascii="Calibri" w:eastAsia="Times New Roman" w:hAnsi="Calibri" w:cs="Calibri"/>
                <w:color w:val="2D2926"/>
                <w:lang w:val="en-US"/>
              </w:rPr>
            </w:pPr>
            <w:r w:rsidRPr="00D528E3">
              <w:rPr>
                <w:rFonts w:ascii="Calibri" w:eastAsia="Times New Roman" w:hAnsi="Calibri" w:cs="Calibri"/>
                <w:color w:val="2D2926"/>
                <w:lang w:val="en-US"/>
              </w:rPr>
              <w:t>2.53 (1.</w:t>
            </w:r>
            <w:r>
              <w:rPr>
                <w:rFonts w:ascii="Calibri" w:eastAsia="Times New Roman" w:hAnsi="Calibri" w:cs="Calibri"/>
                <w:color w:val="2D2926"/>
                <w:lang w:val="en-US"/>
              </w:rPr>
              <w:t>58</w:t>
            </w:r>
            <w:r w:rsidRPr="00D528E3">
              <w:rPr>
                <w:rFonts w:ascii="Calibri" w:eastAsia="Times New Roman" w:hAnsi="Calibri" w:cs="Calibri"/>
                <w:color w:val="2D2926"/>
                <w:lang w:val="en-US"/>
              </w:rPr>
              <w:t>, 4.</w:t>
            </w:r>
            <w:r>
              <w:rPr>
                <w:rFonts w:ascii="Calibri" w:eastAsia="Times New Roman" w:hAnsi="Calibri" w:cs="Calibri"/>
                <w:color w:val="2D2926"/>
                <w:lang w:val="en-US"/>
              </w:rPr>
              <w:t>06</w:t>
            </w:r>
            <w:r w:rsidRPr="00D528E3">
              <w:rPr>
                <w:rFonts w:ascii="Calibri" w:eastAsia="Times New Roman" w:hAnsi="Calibri" w:cs="Calibri"/>
                <w:color w:val="2D2926"/>
                <w:lang w:val="en-US"/>
              </w:rPr>
              <w:t>)</w:t>
            </w:r>
          </w:p>
        </w:tc>
        <w:tc>
          <w:tcPr>
            <w:tcW w:w="1560" w:type="dxa"/>
          </w:tcPr>
          <w:p w14:paraId="6A3C09DE" w14:textId="77777777" w:rsidR="00463FA6" w:rsidRDefault="00463FA6" w:rsidP="00BA2B9D">
            <w:pPr>
              <w:spacing w:after="0" w:line="240" w:lineRule="auto"/>
              <w:rPr>
                <w:rFonts w:ascii="Calibri" w:eastAsia="Times New Roman" w:hAnsi="Calibri" w:cs="Calibri"/>
                <w:color w:val="2D2926"/>
                <w:lang w:val="en-US"/>
              </w:rPr>
            </w:pPr>
            <w:r>
              <w:rPr>
                <w:rFonts w:ascii="Calibri" w:eastAsia="Times New Roman" w:hAnsi="Calibri" w:cs="Calibri"/>
                <w:color w:val="2D2926"/>
                <w:lang w:val="en-US"/>
              </w:rPr>
              <w:t>P&lt;0.001</w:t>
            </w:r>
          </w:p>
        </w:tc>
        <w:tc>
          <w:tcPr>
            <w:tcW w:w="2409" w:type="dxa"/>
            <w:shd w:val="clear" w:color="auto" w:fill="auto"/>
            <w:noWrap/>
            <w:vAlign w:val="bottom"/>
          </w:tcPr>
          <w:p w14:paraId="1C536C08" w14:textId="77777777" w:rsidR="00463FA6" w:rsidRPr="00D528E3" w:rsidRDefault="00463FA6" w:rsidP="00BA2B9D">
            <w:pPr>
              <w:spacing w:after="0" w:line="240" w:lineRule="auto"/>
              <w:rPr>
                <w:rFonts w:ascii="Calibri" w:eastAsia="Times New Roman" w:hAnsi="Calibri" w:cs="Calibri"/>
                <w:color w:val="2D2926"/>
                <w:lang w:val="en-US"/>
              </w:rPr>
            </w:pPr>
            <w:r>
              <w:rPr>
                <w:rFonts w:ascii="Calibri" w:eastAsia="Times New Roman" w:hAnsi="Calibri" w:cs="Calibri"/>
                <w:color w:val="2D2926"/>
                <w:lang w:val="en-US"/>
              </w:rPr>
              <w:t>2.34 (1.24, 4.44)</w:t>
            </w:r>
          </w:p>
        </w:tc>
        <w:tc>
          <w:tcPr>
            <w:tcW w:w="1664" w:type="dxa"/>
          </w:tcPr>
          <w:p w14:paraId="47643557" w14:textId="77777777" w:rsidR="00463FA6" w:rsidRDefault="00463FA6" w:rsidP="00BA2B9D">
            <w:pPr>
              <w:spacing w:after="0" w:line="240" w:lineRule="auto"/>
              <w:rPr>
                <w:rFonts w:ascii="Calibri" w:eastAsia="Times New Roman" w:hAnsi="Calibri" w:cs="Calibri"/>
                <w:color w:val="2D2926"/>
                <w:lang w:val="en-US"/>
              </w:rPr>
            </w:pPr>
            <w:r>
              <w:rPr>
                <w:rFonts w:ascii="Calibri" w:eastAsia="Times New Roman" w:hAnsi="Calibri" w:cs="Calibri"/>
                <w:color w:val="2D2926"/>
                <w:lang w:val="en-US"/>
              </w:rPr>
              <w:t>P=0.004</w:t>
            </w:r>
          </w:p>
        </w:tc>
      </w:tr>
      <w:tr w:rsidR="00463FA6" w:rsidRPr="00D528E3" w14:paraId="2D4402DD" w14:textId="77777777" w:rsidTr="00BA2B9D">
        <w:trPr>
          <w:trHeight w:val="300"/>
        </w:trPr>
        <w:tc>
          <w:tcPr>
            <w:tcW w:w="1540" w:type="dxa"/>
            <w:shd w:val="clear" w:color="auto" w:fill="auto"/>
            <w:noWrap/>
            <w:vAlign w:val="bottom"/>
          </w:tcPr>
          <w:p w14:paraId="5D8A8C28" w14:textId="77777777" w:rsidR="00463FA6" w:rsidRPr="00D528E3" w:rsidRDefault="00463FA6" w:rsidP="00BA2B9D">
            <w:pPr>
              <w:spacing w:after="0" w:line="240" w:lineRule="auto"/>
              <w:rPr>
                <w:rFonts w:ascii="Calibri" w:eastAsia="Times New Roman" w:hAnsi="Calibri" w:cs="Calibri"/>
                <w:color w:val="2D2926"/>
                <w:lang w:val="en-US"/>
              </w:rPr>
            </w:pPr>
            <w:r>
              <w:rPr>
                <w:rFonts w:ascii="Calibri" w:eastAsia="Times New Roman" w:hAnsi="Calibri" w:cs="Calibri"/>
                <w:color w:val="2D2926"/>
                <w:lang w:val="en-US"/>
              </w:rPr>
              <w:t xml:space="preserve">  No</w:t>
            </w:r>
          </w:p>
        </w:tc>
        <w:tc>
          <w:tcPr>
            <w:tcW w:w="1764" w:type="dxa"/>
            <w:shd w:val="clear" w:color="auto" w:fill="auto"/>
            <w:noWrap/>
            <w:vAlign w:val="bottom"/>
          </w:tcPr>
          <w:p w14:paraId="272FBAD1" w14:textId="77777777" w:rsidR="00463FA6" w:rsidRPr="00D528E3" w:rsidRDefault="00463FA6" w:rsidP="00BA2B9D">
            <w:pPr>
              <w:spacing w:after="0" w:line="240" w:lineRule="auto"/>
              <w:rPr>
                <w:rFonts w:ascii="Calibri" w:eastAsia="Times New Roman" w:hAnsi="Calibri" w:cs="Calibri"/>
                <w:color w:val="2D2926"/>
                <w:lang w:val="en-US"/>
              </w:rPr>
            </w:pPr>
            <w:r w:rsidRPr="00D528E3">
              <w:rPr>
                <w:rFonts w:ascii="Calibri" w:eastAsia="Times New Roman" w:hAnsi="Calibri" w:cs="Calibri"/>
                <w:color w:val="2D2926"/>
                <w:lang w:val="en-US"/>
              </w:rPr>
              <w:t>1.0 (ref)</w:t>
            </w:r>
          </w:p>
        </w:tc>
        <w:tc>
          <w:tcPr>
            <w:tcW w:w="1560" w:type="dxa"/>
          </w:tcPr>
          <w:p w14:paraId="6D1EA70F" w14:textId="77777777" w:rsidR="00463FA6" w:rsidRPr="00D528E3" w:rsidRDefault="00463FA6" w:rsidP="00BA2B9D">
            <w:pPr>
              <w:spacing w:after="0" w:line="240" w:lineRule="auto"/>
              <w:rPr>
                <w:rFonts w:ascii="Calibri" w:eastAsia="Times New Roman" w:hAnsi="Calibri" w:cs="Calibri"/>
                <w:color w:val="2D2926"/>
                <w:lang w:val="en-US"/>
              </w:rPr>
            </w:pPr>
          </w:p>
        </w:tc>
        <w:tc>
          <w:tcPr>
            <w:tcW w:w="2409" w:type="dxa"/>
            <w:shd w:val="clear" w:color="auto" w:fill="auto"/>
            <w:noWrap/>
            <w:vAlign w:val="bottom"/>
          </w:tcPr>
          <w:p w14:paraId="4BFBE10F" w14:textId="77777777" w:rsidR="00463FA6" w:rsidRPr="00D528E3" w:rsidRDefault="00463FA6" w:rsidP="00BA2B9D">
            <w:pPr>
              <w:spacing w:after="0" w:line="240" w:lineRule="auto"/>
              <w:rPr>
                <w:rFonts w:ascii="Calibri" w:eastAsia="Times New Roman" w:hAnsi="Calibri" w:cs="Calibri"/>
                <w:color w:val="2D2926"/>
                <w:lang w:val="en-US"/>
              </w:rPr>
            </w:pPr>
            <w:r w:rsidRPr="00D528E3">
              <w:rPr>
                <w:rFonts w:ascii="Calibri" w:eastAsia="Times New Roman" w:hAnsi="Calibri" w:cs="Calibri"/>
                <w:color w:val="2D2926"/>
                <w:lang w:val="en-US"/>
              </w:rPr>
              <w:t>1.0 (ref)</w:t>
            </w:r>
          </w:p>
        </w:tc>
        <w:tc>
          <w:tcPr>
            <w:tcW w:w="1664" w:type="dxa"/>
          </w:tcPr>
          <w:p w14:paraId="18F5EAF9" w14:textId="77777777" w:rsidR="00463FA6" w:rsidRPr="00D528E3" w:rsidRDefault="00463FA6" w:rsidP="00BA2B9D">
            <w:pPr>
              <w:spacing w:after="0" w:line="240" w:lineRule="auto"/>
              <w:rPr>
                <w:rFonts w:ascii="Calibri" w:eastAsia="Times New Roman" w:hAnsi="Calibri" w:cs="Calibri"/>
                <w:color w:val="2D2926"/>
                <w:lang w:val="en-US"/>
              </w:rPr>
            </w:pPr>
          </w:p>
        </w:tc>
      </w:tr>
      <w:tr w:rsidR="00463FA6" w:rsidRPr="00D528E3" w14:paraId="07A8B303" w14:textId="77777777" w:rsidTr="006C4819">
        <w:trPr>
          <w:trHeight w:val="300"/>
        </w:trPr>
        <w:tc>
          <w:tcPr>
            <w:tcW w:w="8937" w:type="dxa"/>
            <w:gridSpan w:val="5"/>
            <w:shd w:val="clear" w:color="auto" w:fill="auto"/>
            <w:noWrap/>
            <w:vAlign w:val="bottom"/>
            <w:hideMark/>
          </w:tcPr>
          <w:p w14:paraId="252E98CD" w14:textId="77777777" w:rsidR="00463FA6" w:rsidRPr="00CE126C" w:rsidRDefault="00463FA6" w:rsidP="00BA2B9D">
            <w:pPr>
              <w:spacing w:after="0" w:line="240" w:lineRule="auto"/>
              <w:rPr>
                <w:rFonts w:ascii="Calibri" w:eastAsia="Times New Roman" w:hAnsi="Calibri" w:cs="Calibri"/>
                <w:b/>
                <w:color w:val="2D2926"/>
                <w:lang w:val="en-US"/>
              </w:rPr>
            </w:pPr>
            <w:r w:rsidRPr="00CE126C">
              <w:rPr>
                <w:rFonts w:ascii="Calibri" w:eastAsia="Times New Roman" w:hAnsi="Calibri" w:cs="Calibri"/>
                <w:b/>
                <w:color w:val="2D2926"/>
                <w:lang w:val="en-US"/>
              </w:rPr>
              <w:t>Ethnicity</w:t>
            </w:r>
          </w:p>
        </w:tc>
      </w:tr>
      <w:tr w:rsidR="00463FA6" w:rsidRPr="00D528E3" w14:paraId="6D5AC6A3" w14:textId="77777777" w:rsidTr="00BA2B9D">
        <w:trPr>
          <w:trHeight w:val="315"/>
        </w:trPr>
        <w:tc>
          <w:tcPr>
            <w:tcW w:w="1540" w:type="dxa"/>
            <w:shd w:val="clear" w:color="auto" w:fill="auto"/>
            <w:noWrap/>
            <w:vAlign w:val="bottom"/>
            <w:hideMark/>
          </w:tcPr>
          <w:p w14:paraId="6DE838F4" w14:textId="77777777" w:rsidR="00463FA6" w:rsidRPr="00D528E3" w:rsidRDefault="00463FA6" w:rsidP="00BA2B9D">
            <w:pPr>
              <w:spacing w:after="0" w:line="240" w:lineRule="auto"/>
              <w:rPr>
                <w:rFonts w:ascii="Calibri" w:eastAsia="Times New Roman" w:hAnsi="Calibri" w:cs="Calibri"/>
                <w:color w:val="2D2926"/>
                <w:lang w:val="en-US"/>
              </w:rPr>
            </w:pPr>
            <w:r>
              <w:rPr>
                <w:rFonts w:ascii="Calibri" w:eastAsia="Times New Roman" w:hAnsi="Calibri" w:cs="Calibri"/>
                <w:color w:val="2D2926"/>
                <w:lang w:val="en-US"/>
              </w:rPr>
              <w:t xml:space="preserve">  C</w:t>
            </w:r>
            <w:r w:rsidRPr="00D528E3">
              <w:rPr>
                <w:rFonts w:ascii="Calibri" w:eastAsia="Times New Roman" w:hAnsi="Calibri" w:cs="Calibri"/>
                <w:color w:val="2D2926"/>
                <w:lang w:val="en-US"/>
              </w:rPr>
              <w:t xml:space="preserve">aucasian </w:t>
            </w:r>
          </w:p>
        </w:tc>
        <w:tc>
          <w:tcPr>
            <w:tcW w:w="1764" w:type="dxa"/>
            <w:shd w:val="clear" w:color="auto" w:fill="auto"/>
            <w:noWrap/>
            <w:vAlign w:val="bottom"/>
            <w:hideMark/>
          </w:tcPr>
          <w:p w14:paraId="00DDD1B2" w14:textId="77777777" w:rsidR="00463FA6" w:rsidRPr="00D528E3" w:rsidRDefault="00463FA6" w:rsidP="00BA2B9D">
            <w:pPr>
              <w:spacing w:after="0" w:line="240" w:lineRule="auto"/>
              <w:rPr>
                <w:rFonts w:ascii="Calibri" w:eastAsia="Times New Roman" w:hAnsi="Calibri" w:cs="Calibri"/>
                <w:color w:val="2D2926"/>
                <w:lang w:val="en-US"/>
              </w:rPr>
            </w:pPr>
            <w:r w:rsidRPr="00D528E3">
              <w:rPr>
                <w:rFonts w:ascii="Calibri" w:eastAsia="Times New Roman" w:hAnsi="Calibri" w:cs="Calibri"/>
                <w:color w:val="2D2926"/>
                <w:lang w:val="en-US"/>
              </w:rPr>
              <w:t>1.0 (ref)</w:t>
            </w:r>
          </w:p>
        </w:tc>
        <w:tc>
          <w:tcPr>
            <w:tcW w:w="1560" w:type="dxa"/>
          </w:tcPr>
          <w:p w14:paraId="58C24040" w14:textId="77777777" w:rsidR="00463FA6" w:rsidRPr="00D528E3" w:rsidRDefault="00463FA6" w:rsidP="00BA2B9D">
            <w:pPr>
              <w:spacing w:after="0" w:line="240" w:lineRule="auto"/>
              <w:rPr>
                <w:rFonts w:ascii="Calibri" w:eastAsia="Times New Roman" w:hAnsi="Calibri" w:cs="Calibri"/>
                <w:color w:val="2D2926"/>
                <w:lang w:val="en-US"/>
              </w:rPr>
            </w:pPr>
            <w:r>
              <w:rPr>
                <w:rFonts w:ascii="Calibri" w:eastAsia="Times New Roman" w:hAnsi="Calibri" w:cs="Calibri"/>
                <w:color w:val="2D2926"/>
                <w:lang w:val="en-US"/>
              </w:rPr>
              <w:t>P&lt;0.001</w:t>
            </w:r>
          </w:p>
        </w:tc>
        <w:tc>
          <w:tcPr>
            <w:tcW w:w="2409" w:type="dxa"/>
            <w:shd w:val="clear" w:color="auto" w:fill="auto"/>
            <w:noWrap/>
            <w:vAlign w:val="bottom"/>
            <w:hideMark/>
          </w:tcPr>
          <w:p w14:paraId="2F27C5FF" w14:textId="77777777" w:rsidR="00463FA6" w:rsidRPr="00D528E3" w:rsidRDefault="00463FA6" w:rsidP="00BA2B9D">
            <w:pPr>
              <w:spacing w:after="0" w:line="240" w:lineRule="auto"/>
              <w:rPr>
                <w:rFonts w:ascii="Calibri" w:eastAsia="Times New Roman" w:hAnsi="Calibri" w:cs="Calibri"/>
                <w:color w:val="2D2926"/>
                <w:lang w:val="en-US"/>
              </w:rPr>
            </w:pPr>
            <w:r w:rsidRPr="00D528E3">
              <w:rPr>
                <w:rFonts w:ascii="Calibri" w:eastAsia="Times New Roman" w:hAnsi="Calibri" w:cs="Calibri"/>
                <w:color w:val="2D2926"/>
                <w:lang w:val="en-US"/>
              </w:rPr>
              <w:t>1.0 (ref)</w:t>
            </w:r>
          </w:p>
        </w:tc>
        <w:tc>
          <w:tcPr>
            <w:tcW w:w="1664" w:type="dxa"/>
          </w:tcPr>
          <w:p w14:paraId="23E39869" w14:textId="77777777" w:rsidR="00463FA6" w:rsidRPr="00D528E3" w:rsidRDefault="00463FA6" w:rsidP="00BA2B9D">
            <w:pPr>
              <w:spacing w:after="0" w:line="240" w:lineRule="auto"/>
              <w:rPr>
                <w:rFonts w:ascii="Calibri" w:eastAsia="Times New Roman" w:hAnsi="Calibri" w:cs="Calibri"/>
                <w:color w:val="2D2926"/>
                <w:lang w:val="en-US"/>
              </w:rPr>
            </w:pPr>
            <w:r>
              <w:rPr>
                <w:rFonts w:ascii="Calibri" w:eastAsia="Times New Roman" w:hAnsi="Calibri" w:cs="Calibri"/>
                <w:color w:val="2D2926"/>
                <w:lang w:val="en-US"/>
              </w:rPr>
              <w:t>P=0.008</w:t>
            </w:r>
          </w:p>
        </w:tc>
      </w:tr>
      <w:tr w:rsidR="00463FA6" w:rsidRPr="00D528E3" w14:paraId="570856B8" w14:textId="77777777" w:rsidTr="00BA2B9D">
        <w:trPr>
          <w:trHeight w:val="315"/>
        </w:trPr>
        <w:tc>
          <w:tcPr>
            <w:tcW w:w="1540" w:type="dxa"/>
            <w:shd w:val="clear" w:color="auto" w:fill="auto"/>
            <w:vAlign w:val="center"/>
            <w:hideMark/>
          </w:tcPr>
          <w:p w14:paraId="4E835AE4" w14:textId="77777777" w:rsidR="00463FA6" w:rsidRPr="00D528E3" w:rsidRDefault="00463FA6" w:rsidP="00BA2B9D">
            <w:pPr>
              <w:spacing w:after="0" w:line="240" w:lineRule="auto"/>
              <w:rPr>
                <w:rFonts w:ascii="Calibri" w:eastAsia="Times New Roman" w:hAnsi="Calibri" w:cs="Calibri"/>
                <w:color w:val="2D2926"/>
                <w:lang w:val="en-US"/>
              </w:rPr>
            </w:pPr>
            <w:r>
              <w:rPr>
                <w:rFonts w:ascii="Calibri" w:eastAsia="Times New Roman" w:hAnsi="Calibri" w:cs="Calibri"/>
                <w:color w:val="2D2926"/>
              </w:rPr>
              <w:t xml:space="preserve">  </w:t>
            </w:r>
            <w:r w:rsidRPr="00D528E3">
              <w:rPr>
                <w:rFonts w:ascii="Calibri" w:eastAsia="Times New Roman" w:hAnsi="Calibri" w:cs="Calibri"/>
                <w:color w:val="2D2926"/>
              </w:rPr>
              <w:t>Black</w:t>
            </w:r>
          </w:p>
        </w:tc>
        <w:tc>
          <w:tcPr>
            <w:tcW w:w="1764" w:type="dxa"/>
            <w:shd w:val="clear" w:color="auto" w:fill="auto"/>
            <w:noWrap/>
            <w:vAlign w:val="bottom"/>
            <w:hideMark/>
          </w:tcPr>
          <w:p w14:paraId="2042CA73" w14:textId="77777777" w:rsidR="00463FA6" w:rsidRPr="00D528E3" w:rsidRDefault="00463FA6" w:rsidP="00BA2B9D">
            <w:pPr>
              <w:spacing w:after="0" w:line="240" w:lineRule="auto"/>
              <w:rPr>
                <w:rFonts w:ascii="Calibri" w:eastAsia="Times New Roman" w:hAnsi="Calibri" w:cs="Calibri"/>
                <w:color w:val="2D2926"/>
                <w:lang w:val="en-US"/>
              </w:rPr>
            </w:pPr>
            <w:r>
              <w:rPr>
                <w:rFonts w:ascii="Calibri" w:eastAsia="Times New Roman" w:hAnsi="Calibri" w:cs="Calibri"/>
                <w:color w:val="2D2926"/>
                <w:lang w:val="en-US"/>
              </w:rPr>
              <w:t>0.37 (0.21, 0.65)</w:t>
            </w:r>
          </w:p>
        </w:tc>
        <w:tc>
          <w:tcPr>
            <w:tcW w:w="1560" w:type="dxa"/>
          </w:tcPr>
          <w:p w14:paraId="3D5D6DA7" w14:textId="77777777" w:rsidR="00463FA6" w:rsidRPr="00D528E3" w:rsidRDefault="00463FA6" w:rsidP="00BA2B9D">
            <w:pPr>
              <w:spacing w:after="0" w:line="240" w:lineRule="auto"/>
              <w:rPr>
                <w:rFonts w:ascii="Calibri" w:eastAsia="Times New Roman" w:hAnsi="Calibri" w:cs="Calibri"/>
                <w:color w:val="2D2926"/>
                <w:lang w:val="en-US"/>
              </w:rPr>
            </w:pPr>
          </w:p>
        </w:tc>
        <w:tc>
          <w:tcPr>
            <w:tcW w:w="2409" w:type="dxa"/>
            <w:shd w:val="clear" w:color="auto" w:fill="auto"/>
            <w:noWrap/>
            <w:vAlign w:val="bottom"/>
            <w:hideMark/>
          </w:tcPr>
          <w:p w14:paraId="44446B45" w14:textId="77777777" w:rsidR="00463FA6" w:rsidRPr="00D528E3" w:rsidRDefault="00463FA6" w:rsidP="00BA2B9D">
            <w:pPr>
              <w:spacing w:after="0" w:line="240" w:lineRule="auto"/>
              <w:rPr>
                <w:rFonts w:ascii="Calibri" w:eastAsia="Times New Roman" w:hAnsi="Calibri" w:cs="Calibri"/>
                <w:color w:val="2D2926"/>
                <w:lang w:val="en-US"/>
              </w:rPr>
            </w:pPr>
            <w:r>
              <w:rPr>
                <w:rFonts w:ascii="Calibri" w:eastAsia="Times New Roman" w:hAnsi="Calibri" w:cs="Calibri"/>
                <w:color w:val="2D2926"/>
                <w:lang w:val="en-US"/>
              </w:rPr>
              <w:t>0.40 (0.21, 0.79)</w:t>
            </w:r>
          </w:p>
        </w:tc>
        <w:tc>
          <w:tcPr>
            <w:tcW w:w="1664" w:type="dxa"/>
          </w:tcPr>
          <w:p w14:paraId="0FD41A79" w14:textId="77777777" w:rsidR="00463FA6" w:rsidRPr="00D528E3" w:rsidRDefault="00463FA6" w:rsidP="00BA2B9D">
            <w:pPr>
              <w:spacing w:after="0" w:line="240" w:lineRule="auto"/>
              <w:rPr>
                <w:rFonts w:ascii="Calibri" w:eastAsia="Times New Roman" w:hAnsi="Calibri" w:cs="Calibri"/>
                <w:color w:val="2D2926"/>
                <w:lang w:val="en-US"/>
              </w:rPr>
            </w:pPr>
          </w:p>
        </w:tc>
      </w:tr>
      <w:tr w:rsidR="00463FA6" w:rsidRPr="00D528E3" w14:paraId="0E2CA1CD" w14:textId="77777777" w:rsidTr="00BA2B9D">
        <w:trPr>
          <w:trHeight w:val="315"/>
        </w:trPr>
        <w:tc>
          <w:tcPr>
            <w:tcW w:w="1540" w:type="dxa"/>
            <w:shd w:val="clear" w:color="auto" w:fill="auto"/>
            <w:vAlign w:val="center"/>
            <w:hideMark/>
          </w:tcPr>
          <w:p w14:paraId="75F3A49C" w14:textId="77777777" w:rsidR="00463FA6" w:rsidRPr="00D528E3" w:rsidRDefault="00463FA6" w:rsidP="00BA2B9D">
            <w:pPr>
              <w:spacing w:after="0" w:line="240" w:lineRule="auto"/>
              <w:rPr>
                <w:rFonts w:ascii="Calibri" w:eastAsia="Times New Roman" w:hAnsi="Calibri" w:cs="Calibri"/>
                <w:color w:val="2D2926"/>
                <w:lang w:val="en-US"/>
              </w:rPr>
            </w:pPr>
            <w:r>
              <w:rPr>
                <w:rFonts w:ascii="Calibri" w:eastAsia="Times New Roman" w:hAnsi="Calibri" w:cs="Calibri"/>
                <w:color w:val="2D2926"/>
              </w:rPr>
              <w:t xml:space="preserve">  </w:t>
            </w:r>
            <w:r w:rsidRPr="00D528E3">
              <w:rPr>
                <w:rFonts w:ascii="Calibri" w:eastAsia="Times New Roman" w:hAnsi="Calibri" w:cs="Calibri"/>
                <w:color w:val="2D2926"/>
              </w:rPr>
              <w:t>Hispanic</w:t>
            </w:r>
          </w:p>
        </w:tc>
        <w:tc>
          <w:tcPr>
            <w:tcW w:w="1764" w:type="dxa"/>
            <w:shd w:val="clear" w:color="auto" w:fill="auto"/>
            <w:noWrap/>
            <w:vAlign w:val="bottom"/>
            <w:hideMark/>
          </w:tcPr>
          <w:p w14:paraId="1EFEF7B9" w14:textId="77777777" w:rsidR="00463FA6" w:rsidRPr="00D528E3" w:rsidRDefault="00463FA6" w:rsidP="00BA2B9D">
            <w:pPr>
              <w:spacing w:after="0" w:line="240" w:lineRule="auto"/>
              <w:rPr>
                <w:rFonts w:ascii="Calibri" w:eastAsia="Times New Roman" w:hAnsi="Calibri" w:cs="Calibri"/>
                <w:color w:val="2D2926"/>
                <w:lang w:val="en-US"/>
              </w:rPr>
            </w:pPr>
            <w:r>
              <w:rPr>
                <w:rFonts w:ascii="Calibri" w:eastAsia="Times New Roman" w:hAnsi="Calibri" w:cs="Calibri"/>
                <w:color w:val="2D2926"/>
                <w:lang w:val="en-US"/>
              </w:rPr>
              <w:t>0.57 (0.27, 1.17)</w:t>
            </w:r>
          </w:p>
        </w:tc>
        <w:tc>
          <w:tcPr>
            <w:tcW w:w="1560" w:type="dxa"/>
          </w:tcPr>
          <w:p w14:paraId="36724235" w14:textId="77777777" w:rsidR="00463FA6" w:rsidRPr="00D528E3" w:rsidRDefault="00463FA6" w:rsidP="00BA2B9D">
            <w:pPr>
              <w:spacing w:after="0" w:line="240" w:lineRule="auto"/>
              <w:rPr>
                <w:rFonts w:ascii="Calibri" w:eastAsia="Times New Roman" w:hAnsi="Calibri" w:cs="Calibri"/>
                <w:color w:val="2D2926"/>
                <w:lang w:val="en-US"/>
              </w:rPr>
            </w:pPr>
          </w:p>
        </w:tc>
        <w:tc>
          <w:tcPr>
            <w:tcW w:w="2409" w:type="dxa"/>
            <w:shd w:val="clear" w:color="auto" w:fill="auto"/>
            <w:noWrap/>
            <w:vAlign w:val="bottom"/>
            <w:hideMark/>
          </w:tcPr>
          <w:p w14:paraId="5862C877" w14:textId="77777777" w:rsidR="00463FA6" w:rsidRPr="00D528E3" w:rsidRDefault="00463FA6" w:rsidP="00BA2B9D">
            <w:pPr>
              <w:spacing w:after="0" w:line="240" w:lineRule="auto"/>
              <w:rPr>
                <w:rFonts w:ascii="Calibri" w:eastAsia="Times New Roman" w:hAnsi="Calibri" w:cs="Calibri"/>
                <w:color w:val="2D2926"/>
                <w:lang w:val="en-US"/>
              </w:rPr>
            </w:pPr>
            <w:r>
              <w:rPr>
                <w:rFonts w:ascii="Calibri" w:eastAsia="Times New Roman" w:hAnsi="Calibri" w:cs="Calibri"/>
                <w:color w:val="2D2926"/>
                <w:lang w:val="en-US"/>
              </w:rPr>
              <w:t>0.86 (0.36, 2.04)</w:t>
            </w:r>
          </w:p>
        </w:tc>
        <w:tc>
          <w:tcPr>
            <w:tcW w:w="1664" w:type="dxa"/>
          </w:tcPr>
          <w:p w14:paraId="60B15592" w14:textId="77777777" w:rsidR="00463FA6" w:rsidRPr="00D528E3" w:rsidRDefault="00463FA6" w:rsidP="00BA2B9D">
            <w:pPr>
              <w:spacing w:after="0" w:line="240" w:lineRule="auto"/>
              <w:rPr>
                <w:rFonts w:ascii="Calibri" w:eastAsia="Times New Roman" w:hAnsi="Calibri" w:cs="Calibri"/>
                <w:color w:val="2D2926"/>
                <w:lang w:val="en-US"/>
              </w:rPr>
            </w:pPr>
          </w:p>
        </w:tc>
      </w:tr>
      <w:tr w:rsidR="00463FA6" w:rsidRPr="00D528E3" w14:paraId="1021746D" w14:textId="77777777" w:rsidTr="00BA2B9D">
        <w:trPr>
          <w:trHeight w:val="315"/>
        </w:trPr>
        <w:tc>
          <w:tcPr>
            <w:tcW w:w="1540" w:type="dxa"/>
            <w:shd w:val="clear" w:color="auto" w:fill="auto"/>
            <w:vAlign w:val="center"/>
            <w:hideMark/>
          </w:tcPr>
          <w:p w14:paraId="6147EE31" w14:textId="77777777" w:rsidR="00463FA6" w:rsidRPr="00D528E3" w:rsidRDefault="00463FA6" w:rsidP="00BA2B9D">
            <w:pPr>
              <w:spacing w:after="0" w:line="240" w:lineRule="auto"/>
              <w:rPr>
                <w:rFonts w:ascii="Calibri" w:eastAsia="Times New Roman" w:hAnsi="Calibri" w:cs="Calibri"/>
                <w:color w:val="2D2926"/>
                <w:lang w:val="en-US"/>
              </w:rPr>
            </w:pPr>
            <w:r>
              <w:rPr>
                <w:rFonts w:ascii="Calibri" w:eastAsia="Times New Roman" w:hAnsi="Calibri" w:cs="Calibri"/>
                <w:color w:val="2D2926"/>
              </w:rPr>
              <w:t xml:space="preserve">  </w:t>
            </w:r>
            <w:r w:rsidRPr="00D528E3">
              <w:rPr>
                <w:rFonts w:ascii="Calibri" w:eastAsia="Times New Roman" w:hAnsi="Calibri" w:cs="Calibri"/>
                <w:color w:val="2D2926"/>
              </w:rPr>
              <w:t>Asian</w:t>
            </w:r>
          </w:p>
        </w:tc>
        <w:tc>
          <w:tcPr>
            <w:tcW w:w="1764" w:type="dxa"/>
            <w:shd w:val="clear" w:color="auto" w:fill="auto"/>
            <w:noWrap/>
            <w:vAlign w:val="bottom"/>
            <w:hideMark/>
          </w:tcPr>
          <w:p w14:paraId="1F89BAE6" w14:textId="77777777" w:rsidR="00463FA6" w:rsidRPr="00D528E3" w:rsidRDefault="00463FA6" w:rsidP="00BA2B9D">
            <w:pPr>
              <w:spacing w:after="0" w:line="240" w:lineRule="auto"/>
              <w:rPr>
                <w:rFonts w:ascii="Calibri" w:eastAsia="Times New Roman" w:hAnsi="Calibri" w:cs="Calibri"/>
                <w:color w:val="2D2926"/>
                <w:lang w:val="en-US"/>
              </w:rPr>
            </w:pPr>
            <w:r>
              <w:rPr>
                <w:rFonts w:ascii="Calibri" w:eastAsia="Times New Roman" w:hAnsi="Calibri" w:cs="Calibri"/>
                <w:color w:val="2D2926"/>
                <w:lang w:val="en-US"/>
              </w:rPr>
              <w:t>0.68 (0.18, 2.60)</w:t>
            </w:r>
          </w:p>
        </w:tc>
        <w:tc>
          <w:tcPr>
            <w:tcW w:w="1560" w:type="dxa"/>
          </w:tcPr>
          <w:p w14:paraId="01D3CF04" w14:textId="77777777" w:rsidR="00463FA6" w:rsidRPr="00D528E3" w:rsidRDefault="00463FA6" w:rsidP="00BA2B9D">
            <w:pPr>
              <w:spacing w:after="0" w:line="240" w:lineRule="auto"/>
              <w:rPr>
                <w:rFonts w:ascii="Calibri" w:eastAsia="Times New Roman" w:hAnsi="Calibri" w:cs="Calibri"/>
                <w:color w:val="2D2926"/>
                <w:lang w:val="en-US"/>
              </w:rPr>
            </w:pPr>
          </w:p>
        </w:tc>
        <w:tc>
          <w:tcPr>
            <w:tcW w:w="2409" w:type="dxa"/>
            <w:shd w:val="clear" w:color="auto" w:fill="auto"/>
            <w:noWrap/>
            <w:vAlign w:val="bottom"/>
            <w:hideMark/>
          </w:tcPr>
          <w:p w14:paraId="35B98E8A" w14:textId="77777777" w:rsidR="00463FA6" w:rsidRPr="00D528E3" w:rsidRDefault="00463FA6" w:rsidP="00BA2B9D">
            <w:pPr>
              <w:spacing w:after="0" w:line="240" w:lineRule="auto"/>
              <w:rPr>
                <w:rFonts w:ascii="Calibri" w:eastAsia="Times New Roman" w:hAnsi="Calibri" w:cs="Calibri"/>
                <w:color w:val="2D2926"/>
                <w:lang w:val="en-US"/>
              </w:rPr>
            </w:pPr>
            <w:r>
              <w:rPr>
                <w:rFonts w:ascii="Calibri" w:eastAsia="Times New Roman" w:hAnsi="Calibri" w:cs="Calibri"/>
                <w:color w:val="2D2926"/>
                <w:lang w:val="en-US"/>
              </w:rPr>
              <w:t>0.83 (0.25, 1.55)</w:t>
            </w:r>
          </w:p>
        </w:tc>
        <w:tc>
          <w:tcPr>
            <w:tcW w:w="1664" w:type="dxa"/>
          </w:tcPr>
          <w:p w14:paraId="2A9E25EB" w14:textId="77777777" w:rsidR="00463FA6" w:rsidRPr="00D528E3" w:rsidRDefault="00463FA6" w:rsidP="00BA2B9D">
            <w:pPr>
              <w:spacing w:after="0" w:line="240" w:lineRule="auto"/>
              <w:rPr>
                <w:rFonts w:ascii="Calibri" w:eastAsia="Times New Roman" w:hAnsi="Calibri" w:cs="Calibri"/>
                <w:color w:val="2D2926"/>
                <w:lang w:val="en-US"/>
              </w:rPr>
            </w:pPr>
          </w:p>
        </w:tc>
      </w:tr>
      <w:tr w:rsidR="00463FA6" w:rsidRPr="00D528E3" w14:paraId="3354D361" w14:textId="77777777" w:rsidTr="00BA2B9D">
        <w:trPr>
          <w:trHeight w:val="315"/>
        </w:trPr>
        <w:tc>
          <w:tcPr>
            <w:tcW w:w="1540" w:type="dxa"/>
            <w:shd w:val="clear" w:color="auto" w:fill="auto"/>
            <w:vAlign w:val="center"/>
            <w:hideMark/>
          </w:tcPr>
          <w:p w14:paraId="6E7C3B15" w14:textId="77777777" w:rsidR="00463FA6" w:rsidRPr="00D528E3" w:rsidRDefault="00463FA6" w:rsidP="00BA2B9D">
            <w:pPr>
              <w:spacing w:after="0" w:line="240" w:lineRule="auto"/>
              <w:rPr>
                <w:rFonts w:ascii="Calibri" w:eastAsia="Times New Roman" w:hAnsi="Calibri" w:cs="Calibri"/>
                <w:color w:val="2D2926"/>
                <w:lang w:val="en-US"/>
              </w:rPr>
            </w:pPr>
            <w:r>
              <w:rPr>
                <w:rFonts w:ascii="Calibri" w:eastAsia="Times New Roman" w:hAnsi="Calibri" w:cs="Calibri"/>
                <w:color w:val="2D2926"/>
              </w:rPr>
              <w:t xml:space="preserve">  </w:t>
            </w:r>
            <w:r w:rsidRPr="00D528E3">
              <w:rPr>
                <w:rFonts w:ascii="Calibri" w:eastAsia="Times New Roman" w:hAnsi="Calibri" w:cs="Calibri"/>
                <w:color w:val="2D2926"/>
              </w:rPr>
              <w:t>Other</w:t>
            </w:r>
          </w:p>
        </w:tc>
        <w:tc>
          <w:tcPr>
            <w:tcW w:w="1764" w:type="dxa"/>
            <w:shd w:val="clear" w:color="auto" w:fill="auto"/>
            <w:noWrap/>
            <w:vAlign w:val="bottom"/>
            <w:hideMark/>
          </w:tcPr>
          <w:p w14:paraId="2EF38B64" w14:textId="77777777" w:rsidR="00463FA6" w:rsidRPr="00D528E3" w:rsidRDefault="00463FA6" w:rsidP="00BA2B9D">
            <w:pPr>
              <w:spacing w:after="0" w:line="240" w:lineRule="auto"/>
              <w:rPr>
                <w:rFonts w:ascii="Calibri" w:eastAsia="Times New Roman" w:hAnsi="Calibri" w:cs="Calibri"/>
                <w:color w:val="2D2926"/>
                <w:lang w:val="en-US"/>
              </w:rPr>
            </w:pPr>
            <w:r>
              <w:rPr>
                <w:rFonts w:ascii="Calibri" w:eastAsia="Times New Roman" w:hAnsi="Calibri" w:cs="Calibri"/>
                <w:color w:val="2D2926"/>
                <w:lang w:val="en-US"/>
              </w:rPr>
              <w:t>0.68 (0.18, 2.60)</w:t>
            </w:r>
          </w:p>
        </w:tc>
        <w:tc>
          <w:tcPr>
            <w:tcW w:w="1560" w:type="dxa"/>
          </w:tcPr>
          <w:p w14:paraId="5037516C" w14:textId="77777777" w:rsidR="00463FA6" w:rsidRPr="00D528E3" w:rsidRDefault="00463FA6" w:rsidP="00BA2B9D">
            <w:pPr>
              <w:spacing w:after="0" w:line="240" w:lineRule="auto"/>
              <w:rPr>
                <w:rFonts w:ascii="Calibri" w:eastAsia="Times New Roman" w:hAnsi="Calibri" w:cs="Calibri"/>
                <w:color w:val="2D2926"/>
                <w:lang w:val="en-US"/>
              </w:rPr>
            </w:pPr>
          </w:p>
        </w:tc>
        <w:tc>
          <w:tcPr>
            <w:tcW w:w="2409" w:type="dxa"/>
            <w:shd w:val="clear" w:color="auto" w:fill="auto"/>
            <w:noWrap/>
            <w:vAlign w:val="bottom"/>
            <w:hideMark/>
          </w:tcPr>
          <w:p w14:paraId="753B6AC2" w14:textId="77777777" w:rsidR="00463FA6" w:rsidRPr="00D528E3" w:rsidRDefault="00463FA6" w:rsidP="00BA2B9D">
            <w:pPr>
              <w:spacing w:after="0" w:line="240" w:lineRule="auto"/>
              <w:rPr>
                <w:rFonts w:ascii="Calibri" w:eastAsia="Times New Roman" w:hAnsi="Calibri" w:cs="Calibri"/>
                <w:color w:val="2D2926"/>
                <w:lang w:val="en-US"/>
              </w:rPr>
            </w:pPr>
            <w:r>
              <w:rPr>
                <w:rFonts w:ascii="Calibri" w:eastAsia="Times New Roman" w:hAnsi="Calibri" w:cs="Calibri"/>
                <w:color w:val="2D2926"/>
                <w:lang w:val="en-US"/>
              </w:rPr>
              <w:t>0.80 (0.19, 3.48)</w:t>
            </w:r>
          </w:p>
        </w:tc>
        <w:tc>
          <w:tcPr>
            <w:tcW w:w="1664" w:type="dxa"/>
          </w:tcPr>
          <w:p w14:paraId="037B7C1B" w14:textId="77777777" w:rsidR="00463FA6" w:rsidRPr="00D528E3" w:rsidRDefault="00463FA6" w:rsidP="00BA2B9D">
            <w:pPr>
              <w:spacing w:after="0" w:line="240" w:lineRule="auto"/>
              <w:rPr>
                <w:rFonts w:ascii="Calibri" w:eastAsia="Times New Roman" w:hAnsi="Calibri" w:cs="Calibri"/>
                <w:color w:val="2D2926"/>
                <w:lang w:val="en-US"/>
              </w:rPr>
            </w:pPr>
          </w:p>
        </w:tc>
      </w:tr>
      <w:tr w:rsidR="00463FA6" w:rsidRPr="00D528E3" w14:paraId="49F722ED" w14:textId="77777777" w:rsidTr="00BA2B9D">
        <w:trPr>
          <w:trHeight w:val="315"/>
        </w:trPr>
        <w:tc>
          <w:tcPr>
            <w:tcW w:w="1540" w:type="dxa"/>
            <w:shd w:val="clear" w:color="auto" w:fill="auto"/>
            <w:vAlign w:val="center"/>
            <w:hideMark/>
          </w:tcPr>
          <w:p w14:paraId="583DF339" w14:textId="77777777" w:rsidR="00463FA6" w:rsidRPr="00D528E3" w:rsidRDefault="00463FA6" w:rsidP="00BA2B9D">
            <w:pPr>
              <w:spacing w:after="0" w:line="240" w:lineRule="auto"/>
              <w:rPr>
                <w:rFonts w:ascii="Calibri" w:eastAsia="Times New Roman" w:hAnsi="Calibri" w:cs="Calibri"/>
                <w:color w:val="2D2926"/>
                <w:lang w:val="en-US"/>
              </w:rPr>
            </w:pPr>
            <w:r>
              <w:rPr>
                <w:rFonts w:ascii="Calibri" w:eastAsia="Times New Roman" w:hAnsi="Calibri" w:cs="Calibri"/>
                <w:color w:val="2D2926"/>
              </w:rPr>
              <w:t xml:space="preserve">  </w:t>
            </w:r>
            <w:r w:rsidRPr="00D528E3">
              <w:rPr>
                <w:rFonts w:ascii="Calibri" w:eastAsia="Times New Roman" w:hAnsi="Calibri" w:cs="Calibri"/>
                <w:color w:val="2D2926"/>
              </w:rPr>
              <w:t xml:space="preserve">Missing </w:t>
            </w:r>
          </w:p>
        </w:tc>
        <w:tc>
          <w:tcPr>
            <w:tcW w:w="1764" w:type="dxa"/>
            <w:shd w:val="clear" w:color="auto" w:fill="auto"/>
            <w:noWrap/>
            <w:vAlign w:val="bottom"/>
            <w:hideMark/>
          </w:tcPr>
          <w:p w14:paraId="5BA8BA61" w14:textId="77777777" w:rsidR="00463FA6" w:rsidRPr="00D528E3" w:rsidRDefault="00463FA6" w:rsidP="00BA2B9D">
            <w:pPr>
              <w:spacing w:after="0" w:line="240" w:lineRule="auto"/>
              <w:rPr>
                <w:rFonts w:ascii="Calibri" w:eastAsia="Times New Roman" w:hAnsi="Calibri" w:cs="Calibri"/>
                <w:color w:val="2D2926"/>
                <w:lang w:val="en-US"/>
              </w:rPr>
            </w:pPr>
            <w:r>
              <w:rPr>
                <w:rFonts w:ascii="Calibri" w:eastAsia="Times New Roman" w:hAnsi="Calibri" w:cs="Calibri"/>
                <w:color w:val="2D2926"/>
                <w:lang w:val="en-US"/>
              </w:rPr>
              <w:t>2.27 (1.11, 4.62)</w:t>
            </w:r>
          </w:p>
        </w:tc>
        <w:tc>
          <w:tcPr>
            <w:tcW w:w="1560" w:type="dxa"/>
          </w:tcPr>
          <w:p w14:paraId="730311EC" w14:textId="77777777" w:rsidR="00463FA6" w:rsidRPr="00D528E3" w:rsidRDefault="00463FA6" w:rsidP="00BA2B9D">
            <w:pPr>
              <w:spacing w:after="0" w:line="240" w:lineRule="auto"/>
              <w:rPr>
                <w:rFonts w:ascii="Calibri" w:eastAsia="Times New Roman" w:hAnsi="Calibri" w:cs="Calibri"/>
                <w:color w:val="2D2926"/>
                <w:lang w:val="en-US"/>
              </w:rPr>
            </w:pPr>
          </w:p>
        </w:tc>
        <w:tc>
          <w:tcPr>
            <w:tcW w:w="2409" w:type="dxa"/>
            <w:shd w:val="clear" w:color="auto" w:fill="auto"/>
            <w:noWrap/>
            <w:vAlign w:val="bottom"/>
            <w:hideMark/>
          </w:tcPr>
          <w:p w14:paraId="57D38025" w14:textId="77777777" w:rsidR="00463FA6" w:rsidRPr="00D528E3" w:rsidRDefault="00463FA6" w:rsidP="00BA2B9D">
            <w:pPr>
              <w:spacing w:after="0" w:line="240" w:lineRule="auto"/>
              <w:rPr>
                <w:rFonts w:ascii="Calibri" w:eastAsia="Times New Roman" w:hAnsi="Calibri" w:cs="Calibri"/>
                <w:color w:val="2D2926"/>
                <w:lang w:val="en-US"/>
              </w:rPr>
            </w:pPr>
            <w:r>
              <w:rPr>
                <w:rFonts w:ascii="Calibri" w:eastAsia="Times New Roman" w:hAnsi="Calibri" w:cs="Calibri"/>
                <w:color w:val="2D2926"/>
                <w:lang w:val="en-US"/>
              </w:rPr>
              <w:t>3.42 (1.25, 9.40)</w:t>
            </w:r>
          </w:p>
        </w:tc>
        <w:tc>
          <w:tcPr>
            <w:tcW w:w="1664" w:type="dxa"/>
          </w:tcPr>
          <w:p w14:paraId="67E7FD8E" w14:textId="77777777" w:rsidR="00463FA6" w:rsidRPr="00D528E3" w:rsidRDefault="00463FA6" w:rsidP="00BA2B9D">
            <w:pPr>
              <w:spacing w:after="0" w:line="240" w:lineRule="auto"/>
              <w:rPr>
                <w:rFonts w:ascii="Calibri" w:eastAsia="Times New Roman" w:hAnsi="Calibri" w:cs="Calibri"/>
                <w:color w:val="2D2926"/>
                <w:lang w:val="en-US"/>
              </w:rPr>
            </w:pPr>
          </w:p>
        </w:tc>
      </w:tr>
      <w:tr w:rsidR="00463FA6" w:rsidRPr="00D528E3" w14:paraId="0FC277B5" w14:textId="77777777" w:rsidTr="006C4819">
        <w:trPr>
          <w:trHeight w:val="315"/>
        </w:trPr>
        <w:tc>
          <w:tcPr>
            <w:tcW w:w="8937" w:type="dxa"/>
            <w:gridSpan w:val="5"/>
            <w:shd w:val="clear" w:color="auto" w:fill="auto"/>
            <w:vAlign w:val="center"/>
          </w:tcPr>
          <w:p w14:paraId="2903BEFB" w14:textId="77777777" w:rsidR="00463FA6" w:rsidRPr="00CE126C" w:rsidRDefault="00463FA6" w:rsidP="00BA2B9D">
            <w:pPr>
              <w:spacing w:after="0" w:line="240" w:lineRule="auto"/>
              <w:rPr>
                <w:rFonts w:ascii="Calibri" w:eastAsia="Times New Roman" w:hAnsi="Calibri" w:cs="Calibri"/>
                <w:b/>
                <w:color w:val="2D2926"/>
                <w:lang w:val="en-US"/>
              </w:rPr>
            </w:pPr>
            <w:r>
              <w:rPr>
                <w:rFonts w:ascii="Calibri" w:eastAsia="Times New Roman" w:hAnsi="Calibri" w:cs="Calibri"/>
                <w:b/>
                <w:color w:val="2D2926"/>
              </w:rPr>
              <w:t>Place of Residence</w:t>
            </w:r>
          </w:p>
        </w:tc>
      </w:tr>
      <w:tr w:rsidR="00463FA6" w:rsidRPr="00D528E3" w14:paraId="54C2DE5E" w14:textId="77777777" w:rsidTr="00BA2B9D">
        <w:trPr>
          <w:trHeight w:val="315"/>
        </w:trPr>
        <w:tc>
          <w:tcPr>
            <w:tcW w:w="1540" w:type="dxa"/>
            <w:shd w:val="clear" w:color="auto" w:fill="auto"/>
            <w:vAlign w:val="center"/>
            <w:hideMark/>
          </w:tcPr>
          <w:p w14:paraId="32770A09" w14:textId="77777777" w:rsidR="00463FA6" w:rsidRPr="00D528E3" w:rsidRDefault="00463FA6" w:rsidP="00BA2B9D">
            <w:pPr>
              <w:spacing w:after="0" w:line="240" w:lineRule="auto"/>
              <w:rPr>
                <w:rFonts w:ascii="Calibri" w:eastAsia="Times New Roman" w:hAnsi="Calibri" w:cs="Calibri"/>
                <w:color w:val="2D2926"/>
                <w:lang w:val="en-US"/>
              </w:rPr>
            </w:pPr>
            <w:r>
              <w:rPr>
                <w:rFonts w:ascii="Calibri" w:eastAsia="Times New Roman" w:hAnsi="Calibri" w:cs="Calibri"/>
                <w:color w:val="2D2926"/>
              </w:rPr>
              <w:t xml:space="preserve"> </w:t>
            </w:r>
            <w:r w:rsidRPr="00D528E3">
              <w:rPr>
                <w:rFonts w:ascii="Calibri" w:eastAsia="Times New Roman" w:hAnsi="Calibri" w:cs="Calibri"/>
                <w:color w:val="2D2926"/>
              </w:rPr>
              <w:t xml:space="preserve"> USA</w:t>
            </w:r>
          </w:p>
        </w:tc>
        <w:tc>
          <w:tcPr>
            <w:tcW w:w="1764" w:type="dxa"/>
            <w:shd w:val="clear" w:color="auto" w:fill="auto"/>
            <w:noWrap/>
            <w:vAlign w:val="bottom"/>
            <w:hideMark/>
          </w:tcPr>
          <w:p w14:paraId="1BC8C65A" w14:textId="77777777" w:rsidR="00463FA6" w:rsidRPr="00D528E3" w:rsidRDefault="00463FA6" w:rsidP="00BA2B9D">
            <w:pPr>
              <w:spacing w:after="0" w:line="240" w:lineRule="auto"/>
              <w:rPr>
                <w:rFonts w:ascii="Calibri" w:eastAsia="Times New Roman" w:hAnsi="Calibri" w:cs="Calibri"/>
                <w:color w:val="2D2926"/>
                <w:lang w:val="en-US"/>
              </w:rPr>
            </w:pPr>
            <w:r>
              <w:rPr>
                <w:rFonts w:ascii="Calibri" w:eastAsia="Times New Roman" w:hAnsi="Calibri" w:cs="Calibri"/>
                <w:color w:val="2D2926"/>
                <w:lang w:val="en-US"/>
              </w:rPr>
              <w:t>1.0 (ref</w:t>
            </w:r>
            <w:r w:rsidRPr="00D528E3">
              <w:rPr>
                <w:rFonts w:ascii="Calibri" w:eastAsia="Times New Roman" w:hAnsi="Calibri" w:cs="Calibri"/>
                <w:color w:val="2D2926"/>
                <w:lang w:val="en-US"/>
              </w:rPr>
              <w:t>)</w:t>
            </w:r>
          </w:p>
        </w:tc>
        <w:tc>
          <w:tcPr>
            <w:tcW w:w="1560" w:type="dxa"/>
          </w:tcPr>
          <w:p w14:paraId="006E1E53" w14:textId="77777777" w:rsidR="00463FA6" w:rsidRPr="00D528E3" w:rsidRDefault="00463FA6" w:rsidP="00BA2B9D">
            <w:pPr>
              <w:spacing w:after="0" w:line="240" w:lineRule="auto"/>
              <w:rPr>
                <w:rFonts w:ascii="Calibri" w:eastAsia="Times New Roman" w:hAnsi="Calibri" w:cs="Calibri"/>
                <w:color w:val="2D2926"/>
                <w:lang w:val="en-US"/>
              </w:rPr>
            </w:pPr>
            <w:r>
              <w:rPr>
                <w:rFonts w:ascii="Calibri" w:eastAsia="Times New Roman" w:hAnsi="Calibri" w:cs="Calibri"/>
                <w:color w:val="2D2926"/>
                <w:lang w:val="en-US"/>
              </w:rPr>
              <w:t>P=0.01</w:t>
            </w:r>
          </w:p>
        </w:tc>
        <w:tc>
          <w:tcPr>
            <w:tcW w:w="2409" w:type="dxa"/>
            <w:shd w:val="clear" w:color="auto" w:fill="auto"/>
            <w:noWrap/>
            <w:vAlign w:val="bottom"/>
            <w:hideMark/>
          </w:tcPr>
          <w:p w14:paraId="1B8E0F66" w14:textId="77777777" w:rsidR="00463FA6" w:rsidRPr="00D528E3" w:rsidRDefault="00463FA6" w:rsidP="00BA2B9D">
            <w:pPr>
              <w:spacing w:after="0" w:line="240" w:lineRule="auto"/>
              <w:rPr>
                <w:rFonts w:ascii="Calibri" w:eastAsia="Times New Roman" w:hAnsi="Calibri" w:cs="Calibri"/>
                <w:color w:val="2D2926"/>
                <w:lang w:val="en-US"/>
              </w:rPr>
            </w:pPr>
            <w:r w:rsidRPr="00D528E3">
              <w:rPr>
                <w:rFonts w:ascii="Calibri" w:eastAsia="Times New Roman" w:hAnsi="Calibri" w:cs="Calibri"/>
                <w:color w:val="2D2926"/>
                <w:lang w:val="en-US"/>
              </w:rPr>
              <w:t>1.0 (ref)</w:t>
            </w:r>
          </w:p>
        </w:tc>
        <w:tc>
          <w:tcPr>
            <w:tcW w:w="1664" w:type="dxa"/>
          </w:tcPr>
          <w:p w14:paraId="33F18D34" w14:textId="77777777" w:rsidR="00463FA6" w:rsidRPr="00D528E3" w:rsidRDefault="00463FA6" w:rsidP="00BA2B9D">
            <w:pPr>
              <w:spacing w:after="0" w:line="240" w:lineRule="auto"/>
              <w:rPr>
                <w:rFonts w:ascii="Calibri" w:eastAsia="Times New Roman" w:hAnsi="Calibri" w:cs="Calibri"/>
                <w:color w:val="2D2926"/>
                <w:lang w:val="en-US"/>
              </w:rPr>
            </w:pPr>
            <w:r>
              <w:rPr>
                <w:rFonts w:ascii="Calibri" w:eastAsia="Times New Roman" w:hAnsi="Calibri" w:cs="Calibri"/>
                <w:color w:val="2D2926"/>
                <w:lang w:val="en-US"/>
              </w:rPr>
              <w:t>P=0.3</w:t>
            </w:r>
          </w:p>
        </w:tc>
      </w:tr>
      <w:tr w:rsidR="00463FA6" w:rsidRPr="00D528E3" w14:paraId="04F0D666" w14:textId="77777777" w:rsidTr="00BA2B9D">
        <w:trPr>
          <w:trHeight w:val="315"/>
        </w:trPr>
        <w:tc>
          <w:tcPr>
            <w:tcW w:w="1540" w:type="dxa"/>
            <w:shd w:val="clear" w:color="auto" w:fill="auto"/>
            <w:vAlign w:val="center"/>
            <w:hideMark/>
          </w:tcPr>
          <w:p w14:paraId="52D98F81" w14:textId="77777777" w:rsidR="00463FA6" w:rsidRPr="00D528E3" w:rsidRDefault="00463FA6" w:rsidP="00BA2B9D">
            <w:pPr>
              <w:spacing w:after="0" w:line="240" w:lineRule="auto"/>
              <w:rPr>
                <w:rFonts w:ascii="Calibri" w:eastAsia="Times New Roman" w:hAnsi="Calibri" w:cs="Calibri"/>
                <w:color w:val="2D2926"/>
                <w:lang w:val="en-US"/>
              </w:rPr>
            </w:pPr>
            <w:r>
              <w:rPr>
                <w:rFonts w:ascii="Calibri" w:eastAsia="Times New Roman" w:hAnsi="Calibri" w:cs="Calibri"/>
                <w:color w:val="2D2926"/>
              </w:rPr>
              <w:t xml:space="preserve">  </w:t>
            </w:r>
            <w:r w:rsidRPr="00D528E3">
              <w:rPr>
                <w:rFonts w:ascii="Calibri" w:eastAsia="Times New Roman" w:hAnsi="Calibri" w:cs="Calibri"/>
                <w:color w:val="2D2926"/>
              </w:rPr>
              <w:t>UK</w:t>
            </w:r>
          </w:p>
        </w:tc>
        <w:tc>
          <w:tcPr>
            <w:tcW w:w="1764" w:type="dxa"/>
            <w:shd w:val="clear" w:color="auto" w:fill="auto"/>
            <w:noWrap/>
            <w:vAlign w:val="bottom"/>
            <w:hideMark/>
          </w:tcPr>
          <w:p w14:paraId="7F6337CD" w14:textId="77777777" w:rsidR="00463FA6" w:rsidRPr="00D528E3" w:rsidRDefault="00463FA6" w:rsidP="00BA2B9D">
            <w:pPr>
              <w:spacing w:after="0" w:line="240" w:lineRule="auto"/>
              <w:rPr>
                <w:rFonts w:ascii="Calibri" w:eastAsia="Times New Roman" w:hAnsi="Calibri" w:cs="Calibri"/>
                <w:color w:val="2D2926"/>
                <w:lang w:val="en-US"/>
              </w:rPr>
            </w:pPr>
            <w:r>
              <w:rPr>
                <w:rFonts w:ascii="Calibri" w:eastAsia="Times New Roman" w:hAnsi="Calibri" w:cs="Calibri"/>
                <w:color w:val="2D2926"/>
                <w:lang w:val="en-US"/>
              </w:rPr>
              <w:t>2.28 (1.19, 4.36)</w:t>
            </w:r>
          </w:p>
        </w:tc>
        <w:tc>
          <w:tcPr>
            <w:tcW w:w="1560" w:type="dxa"/>
          </w:tcPr>
          <w:p w14:paraId="1C60C1EA" w14:textId="77777777" w:rsidR="00463FA6" w:rsidRPr="00D528E3" w:rsidRDefault="00463FA6" w:rsidP="00BA2B9D">
            <w:pPr>
              <w:spacing w:after="0" w:line="240" w:lineRule="auto"/>
              <w:rPr>
                <w:rFonts w:ascii="Calibri" w:eastAsia="Times New Roman" w:hAnsi="Calibri" w:cs="Calibri"/>
                <w:color w:val="2D2926"/>
                <w:lang w:val="en-US"/>
              </w:rPr>
            </w:pPr>
          </w:p>
        </w:tc>
        <w:tc>
          <w:tcPr>
            <w:tcW w:w="2409" w:type="dxa"/>
            <w:shd w:val="clear" w:color="auto" w:fill="auto"/>
            <w:noWrap/>
            <w:vAlign w:val="bottom"/>
            <w:hideMark/>
          </w:tcPr>
          <w:p w14:paraId="46FBED06" w14:textId="77777777" w:rsidR="00463FA6" w:rsidRPr="00D528E3" w:rsidRDefault="00463FA6" w:rsidP="00BA2B9D">
            <w:pPr>
              <w:spacing w:after="0" w:line="240" w:lineRule="auto"/>
              <w:rPr>
                <w:rFonts w:ascii="Calibri" w:eastAsia="Times New Roman" w:hAnsi="Calibri" w:cs="Calibri"/>
                <w:color w:val="2D2926"/>
                <w:lang w:val="en-US"/>
              </w:rPr>
            </w:pPr>
            <w:r>
              <w:rPr>
                <w:rFonts w:ascii="Calibri" w:eastAsia="Times New Roman" w:hAnsi="Calibri" w:cs="Calibri"/>
                <w:color w:val="2D2926"/>
                <w:lang w:val="en-US"/>
              </w:rPr>
              <w:t>1.97 (0.85, 4.57)</w:t>
            </w:r>
          </w:p>
        </w:tc>
        <w:tc>
          <w:tcPr>
            <w:tcW w:w="1664" w:type="dxa"/>
          </w:tcPr>
          <w:p w14:paraId="49C0CFCD" w14:textId="77777777" w:rsidR="00463FA6" w:rsidRPr="00D528E3" w:rsidRDefault="00463FA6" w:rsidP="00BA2B9D">
            <w:pPr>
              <w:spacing w:after="0" w:line="240" w:lineRule="auto"/>
              <w:rPr>
                <w:rFonts w:ascii="Calibri" w:eastAsia="Times New Roman" w:hAnsi="Calibri" w:cs="Calibri"/>
                <w:color w:val="2D2926"/>
                <w:lang w:val="en-US"/>
              </w:rPr>
            </w:pPr>
          </w:p>
        </w:tc>
      </w:tr>
      <w:tr w:rsidR="00463FA6" w:rsidRPr="00D528E3" w14:paraId="28B27047" w14:textId="77777777" w:rsidTr="00BA2B9D">
        <w:trPr>
          <w:trHeight w:val="315"/>
        </w:trPr>
        <w:tc>
          <w:tcPr>
            <w:tcW w:w="1540" w:type="dxa"/>
            <w:shd w:val="clear" w:color="auto" w:fill="auto"/>
            <w:vAlign w:val="center"/>
            <w:hideMark/>
          </w:tcPr>
          <w:p w14:paraId="265DC240" w14:textId="77777777" w:rsidR="00463FA6" w:rsidRPr="00D528E3" w:rsidRDefault="00463FA6" w:rsidP="00BA2B9D">
            <w:pPr>
              <w:spacing w:after="0" w:line="240" w:lineRule="auto"/>
              <w:rPr>
                <w:rFonts w:ascii="Calibri" w:eastAsia="Times New Roman" w:hAnsi="Calibri" w:cs="Calibri"/>
                <w:color w:val="2D2926"/>
                <w:lang w:val="en-US"/>
              </w:rPr>
            </w:pPr>
            <w:r>
              <w:rPr>
                <w:rFonts w:ascii="Calibri" w:eastAsia="Times New Roman" w:hAnsi="Calibri" w:cs="Calibri"/>
                <w:color w:val="2D2926"/>
              </w:rPr>
              <w:t xml:space="preserve">  </w:t>
            </w:r>
            <w:r w:rsidRPr="00D528E3">
              <w:rPr>
                <w:rFonts w:ascii="Calibri" w:eastAsia="Times New Roman" w:hAnsi="Calibri" w:cs="Calibri"/>
                <w:color w:val="2D2926"/>
              </w:rPr>
              <w:t>Canada</w:t>
            </w:r>
          </w:p>
        </w:tc>
        <w:tc>
          <w:tcPr>
            <w:tcW w:w="1764" w:type="dxa"/>
            <w:shd w:val="clear" w:color="auto" w:fill="auto"/>
            <w:noWrap/>
            <w:vAlign w:val="bottom"/>
            <w:hideMark/>
          </w:tcPr>
          <w:p w14:paraId="75F1D7C1" w14:textId="77777777" w:rsidR="00463FA6" w:rsidRPr="00D528E3" w:rsidRDefault="00463FA6" w:rsidP="00BA2B9D">
            <w:pPr>
              <w:spacing w:after="0" w:line="240" w:lineRule="auto"/>
              <w:rPr>
                <w:rFonts w:ascii="Calibri" w:eastAsia="Times New Roman" w:hAnsi="Calibri" w:cs="Calibri"/>
                <w:color w:val="2D2926"/>
                <w:lang w:val="en-US"/>
              </w:rPr>
            </w:pPr>
            <w:r>
              <w:rPr>
                <w:rFonts w:ascii="Calibri" w:eastAsia="Times New Roman" w:hAnsi="Calibri" w:cs="Calibri"/>
                <w:color w:val="2D2926"/>
                <w:lang w:val="en-US"/>
              </w:rPr>
              <w:t>1.89 (0.60, 5.90)</w:t>
            </w:r>
          </w:p>
        </w:tc>
        <w:tc>
          <w:tcPr>
            <w:tcW w:w="1560" w:type="dxa"/>
          </w:tcPr>
          <w:p w14:paraId="59EF0464" w14:textId="77777777" w:rsidR="00463FA6" w:rsidRPr="00D528E3" w:rsidRDefault="00463FA6" w:rsidP="00BA2B9D">
            <w:pPr>
              <w:spacing w:after="0" w:line="240" w:lineRule="auto"/>
              <w:rPr>
                <w:rFonts w:ascii="Calibri" w:eastAsia="Times New Roman" w:hAnsi="Calibri" w:cs="Calibri"/>
                <w:color w:val="2D2926"/>
                <w:lang w:val="en-US"/>
              </w:rPr>
            </w:pPr>
          </w:p>
        </w:tc>
        <w:tc>
          <w:tcPr>
            <w:tcW w:w="2409" w:type="dxa"/>
            <w:shd w:val="clear" w:color="auto" w:fill="auto"/>
            <w:noWrap/>
            <w:vAlign w:val="bottom"/>
            <w:hideMark/>
          </w:tcPr>
          <w:p w14:paraId="41886524" w14:textId="77777777" w:rsidR="00463FA6" w:rsidRPr="00D528E3" w:rsidRDefault="00463FA6" w:rsidP="00BA2B9D">
            <w:pPr>
              <w:spacing w:after="0" w:line="240" w:lineRule="auto"/>
              <w:rPr>
                <w:rFonts w:ascii="Calibri" w:eastAsia="Times New Roman" w:hAnsi="Calibri" w:cs="Calibri"/>
                <w:color w:val="2D2926"/>
                <w:lang w:val="en-US"/>
              </w:rPr>
            </w:pPr>
            <w:r>
              <w:rPr>
                <w:rFonts w:ascii="Calibri" w:eastAsia="Times New Roman" w:hAnsi="Calibri" w:cs="Calibri"/>
                <w:color w:val="2D2926"/>
                <w:lang w:val="en-US"/>
              </w:rPr>
              <w:t>1.06 (0.22, 5.03)</w:t>
            </w:r>
          </w:p>
        </w:tc>
        <w:tc>
          <w:tcPr>
            <w:tcW w:w="1664" w:type="dxa"/>
          </w:tcPr>
          <w:p w14:paraId="289CF6BD" w14:textId="77777777" w:rsidR="00463FA6" w:rsidRPr="00D528E3" w:rsidRDefault="00463FA6" w:rsidP="00BA2B9D">
            <w:pPr>
              <w:spacing w:after="0" w:line="240" w:lineRule="auto"/>
              <w:rPr>
                <w:rFonts w:ascii="Calibri" w:eastAsia="Times New Roman" w:hAnsi="Calibri" w:cs="Calibri"/>
                <w:color w:val="2D2926"/>
                <w:lang w:val="en-US"/>
              </w:rPr>
            </w:pPr>
          </w:p>
        </w:tc>
      </w:tr>
      <w:tr w:rsidR="00463FA6" w:rsidRPr="00D528E3" w14:paraId="63EBD8AF" w14:textId="77777777" w:rsidTr="00BA2B9D">
        <w:trPr>
          <w:trHeight w:val="315"/>
        </w:trPr>
        <w:tc>
          <w:tcPr>
            <w:tcW w:w="1540" w:type="dxa"/>
            <w:shd w:val="clear" w:color="auto" w:fill="auto"/>
            <w:vAlign w:val="center"/>
            <w:hideMark/>
          </w:tcPr>
          <w:p w14:paraId="608A0F6F" w14:textId="77777777" w:rsidR="00463FA6" w:rsidRPr="00D528E3" w:rsidRDefault="00463FA6" w:rsidP="00BA2B9D">
            <w:pPr>
              <w:spacing w:after="0" w:line="240" w:lineRule="auto"/>
              <w:rPr>
                <w:rFonts w:ascii="Calibri" w:eastAsia="Times New Roman" w:hAnsi="Calibri" w:cs="Calibri"/>
                <w:color w:val="2D2926"/>
                <w:lang w:val="en-US"/>
              </w:rPr>
            </w:pPr>
            <w:r>
              <w:rPr>
                <w:rFonts w:ascii="Calibri" w:eastAsia="Times New Roman" w:hAnsi="Calibri" w:cs="Calibri"/>
                <w:color w:val="2D2926"/>
              </w:rPr>
              <w:t xml:space="preserve">  </w:t>
            </w:r>
            <w:r w:rsidRPr="00D528E3">
              <w:rPr>
                <w:rFonts w:ascii="Calibri" w:eastAsia="Times New Roman" w:hAnsi="Calibri" w:cs="Calibri"/>
                <w:color w:val="2D2926"/>
              </w:rPr>
              <w:t xml:space="preserve">Other </w:t>
            </w:r>
          </w:p>
        </w:tc>
        <w:tc>
          <w:tcPr>
            <w:tcW w:w="1764" w:type="dxa"/>
            <w:shd w:val="clear" w:color="auto" w:fill="auto"/>
            <w:noWrap/>
            <w:vAlign w:val="bottom"/>
            <w:hideMark/>
          </w:tcPr>
          <w:p w14:paraId="2B7F05A5" w14:textId="77777777" w:rsidR="00463FA6" w:rsidRPr="00D528E3" w:rsidRDefault="00463FA6" w:rsidP="00BA2B9D">
            <w:pPr>
              <w:spacing w:after="0" w:line="240" w:lineRule="auto"/>
              <w:rPr>
                <w:rFonts w:ascii="Calibri" w:eastAsia="Times New Roman" w:hAnsi="Calibri" w:cs="Calibri"/>
                <w:color w:val="2D2926"/>
                <w:lang w:val="en-US"/>
              </w:rPr>
            </w:pPr>
            <w:r>
              <w:rPr>
                <w:rFonts w:ascii="Calibri" w:eastAsia="Times New Roman" w:hAnsi="Calibri" w:cs="Calibri"/>
                <w:color w:val="2D2926"/>
                <w:lang w:val="en-US"/>
              </w:rPr>
              <w:t>0.20 (0.02, 1.65)</w:t>
            </w:r>
          </w:p>
        </w:tc>
        <w:tc>
          <w:tcPr>
            <w:tcW w:w="1560" w:type="dxa"/>
          </w:tcPr>
          <w:p w14:paraId="43084922" w14:textId="77777777" w:rsidR="00463FA6" w:rsidRPr="00D528E3" w:rsidRDefault="00463FA6" w:rsidP="00BA2B9D">
            <w:pPr>
              <w:spacing w:after="0" w:line="240" w:lineRule="auto"/>
              <w:rPr>
                <w:rFonts w:ascii="Calibri" w:eastAsia="Times New Roman" w:hAnsi="Calibri" w:cs="Calibri"/>
                <w:color w:val="2D2926"/>
                <w:lang w:val="en-US"/>
              </w:rPr>
            </w:pPr>
          </w:p>
        </w:tc>
        <w:tc>
          <w:tcPr>
            <w:tcW w:w="2409" w:type="dxa"/>
            <w:shd w:val="clear" w:color="auto" w:fill="auto"/>
            <w:noWrap/>
            <w:vAlign w:val="bottom"/>
            <w:hideMark/>
          </w:tcPr>
          <w:p w14:paraId="2FEA6E0D" w14:textId="77777777" w:rsidR="00463FA6" w:rsidRPr="00D528E3" w:rsidRDefault="00463FA6" w:rsidP="00BA2B9D">
            <w:pPr>
              <w:spacing w:after="0" w:line="240" w:lineRule="auto"/>
              <w:rPr>
                <w:rFonts w:ascii="Calibri" w:eastAsia="Times New Roman" w:hAnsi="Calibri" w:cs="Calibri"/>
                <w:color w:val="2D2926"/>
                <w:lang w:val="en-US"/>
              </w:rPr>
            </w:pPr>
            <w:r>
              <w:rPr>
                <w:rFonts w:ascii="Calibri" w:eastAsia="Times New Roman" w:hAnsi="Calibri" w:cs="Calibri"/>
                <w:color w:val="2D2926"/>
                <w:lang w:val="en-US"/>
              </w:rPr>
              <w:t>0.24 (0.01, 4.43)</w:t>
            </w:r>
          </w:p>
        </w:tc>
        <w:tc>
          <w:tcPr>
            <w:tcW w:w="1664" w:type="dxa"/>
          </w:tcPr>
          <w:p w14:paraId="4F8CB440" w14:textId="77777777" w:rsidR="00463FA6" w:rsidRPr="00D528E3" w:rsidRDefault="00463FA6" w:rsidP="00BA2B9D">
            <w:pPr>
              <w:spacing w:after="0" w:line="240" w:lineRule="auto"/>
              <w:rPr>
                <w:rFonts w:ascii="Calibri" w:eastAsia="Times New Roman" w:hAnsi="Calibri" w:cs="Calibri"/>
                <w:color w:val="2D2926"/>
                <w:lang w:val="en-US"/>
              </w:rPr>
            </w:pPr>
          </w:p>
        </w:tc>
      </w:tr>
      <w:tr w:rsidR="00463FA6" w:rsidRPr="00D528E3" w14:paraId="2B470734" w14:textId="77777777" w:rsidTr="00BA2B9D">
        <w:trPr>
          <w:trHeight w:val="80"/>
        </w:trPr>
        <w:tc>
          <w:tcPr>
            <w:tcW w:w="1540" w:type="dxa"/>
            <w:shd w:val="clear" w:color="auto" w:fill="auto"/>
            <w:vAlign w:val="center"/>
            <w:hideMark/>
          </w:tcPr>
          <w:p w14:paraId="69E49ED1" w14:textId="77777777" w:rsidR="00463FA6" w:rsidRPr="00D528E3" w:rsidRDefault="00463FA6" w:rsidP="00BA2B9D">
            <w:pPr>
              <w:spacing w:after="0" w:line="240" w:lineRule="auto"/>
              <w:rPr>
                <w:rFonts w:ascii="Calibri" w:eastAsia="Times New Roman" w:hAnsi="Calibri" w:cs="Calibri"/>
                <w:color w:val="2D2926"/>
                <w:lang w:val="en-US"/>
              </w:rPr>
            </w:pPr>
            <w:r>
              <w:rPr>
                <w:rFonts w:ascii="Calibri" w:eastAsia="Times New Roman" w:hAnsi="Calibri" w:cs="Calibri"/>
                <w:color w:val="2D2926"/>
              </w:rPr>
              <w:t xml:space="preserve">  </w:t>
            </w:r>
            <w:r w:rsidRPr="00D528E3">
              <w:rPr>
                <w:rFonts w:ascii="Calibri" w:eastAsia="Times New Roman" w:hAnsi="Calibri" w:cs="Calibri"/>
                <w:color w:val="2D2926"/>
              </w:rPr>
              <w:t xml:space="preserve">Missing </w:t>
            </w:r>
          </w:p>
        </w:tc>
        <w:tc>
          <w:tcPr>
            <w:tcW w:w="1764" w:type="dxa"/>
            <w:shd w:val="clear" w:color="auto" w:fill="auto"/>
            <w:noWrap/>
            <w:vAlign w:val="bottom"/>
            <w:hideMark/>
          </w:tcPr>
          <w:p w14:paraId="02ADB1B0" w14:textId="77777777" w:rsidR="00463FA6" w:rsidRPr="00D528E3" w:rsidRDefault="00463FA6" w:rsidP="00BA2B9D">
            <w:pPr>
              <w:spacing w:after="0" w:line="240" w:lineRule="auto"/>
              <w:rPr>
                <w:rFonts w:ascii="Calibri" w:eastAsia="Times New Roman" w:hAnsi="Calibri" w:cs="Calibri"/>
                <w:color w:val="2D2926"/>
                <w:lang w:val="en-US"/>
              </w:rPr>
            </w:pPr>
            <w:r>
              <w:rPr>
                <w:rFonts w:ascii="Calibri" w:eastAsia="Times New Roman" w:hAnsi="Calibri" w:cs="Calibri"/>
                <w:color w:val="2D2926"/>
                <w:lang w:val="en-US"/>
              </w:rPr>
              <w:t>1.73 (0.90, 3.35)</w:t>
            </w:r>
          </w:p>
        </w:tc>
        <w:tc>
          <w:tcPr>
            <w:tcW w:w="1560" w:type="dxa"/>
          </w:tcPr>
          <w:p w14:paraId="5C8666C8" w14:textId="77777777" w:rsidR="00463FA6" w:rsidRPr="00D528E3" w:rsidRDefault="00463FA6" w:rsidP="00BA2B9D">
            <w:pPr>
              <w:spacing w:after="0" w:line="240" w:lineRule="auto"/>
              <w:rPr>
                <w:rFonts w:ascii="Calibri" w:eastAsia="Times New Roman" w:hAnsi="Calibri" w:cs="Calibri"/>
                <w:color w:val="2D2926"/>
                <w:lang w:val="en-US"/>
              </w:rPr>
            </w:pPr>
          </w:p>
        </w:tc>
        <w:tc>
          <w:tcPr>
            <w:tcW w:w="2409" w:type="dxa"/>
            <w:shd w:val="clear" w:color="auto" w:fill="auto"/>
            <w:noWrap/>
            <w:vAlign w:val="bottom"/>
            <w:hideMark/>
          </w:tcPr>
          <w:p w14:paraId="2B21E931" w14:textId="77777777" w:rsidR="00463FA6" w:rsidRPr="00D528E3" w:rsidRDefault="00463FA6" w:rsidP="00BA2B9D">
            <w:pPr>
              <w:spacing w:after="0" w:line="240" w:lineRule="auto"/>
              <w:rPr>
                <w:rFonts w:ascii="Calibri" w:eastAsia="Times New Roman" w:hAnsi="Calibri" w:cs="Calibri"/>
                <w:color w:val="2D2926"/>
                <w:lang w:val="en-US"/>
              </w:rPr>
            </w:pPr>
            <w:r>
              <w:rPr>
                <w:rFonts w:ascii="Calibri" w:eastAsia="Times New Roman" w:hAnsi="Calibri" w:cs="Calibri"/>
                <w:color w:val="2D2926"/>
                <w:lang w:val="en-US"/>
              </w:rPr>
              <w:t>1.69 (0.69, 4.11)</w:t>
            </w:r>
          </w:p>
        </w:tc>
        <w:tc>
          <w:tcPr>
            <w:tcW w:w="1664" w:type="dxa"/>
          </w:tcPr>
          <w:p w14:paraId="4EFBC1CF" w14:textId="77777777" w:rsidR="00463FA6" w:rsidRPr="00D528E3" w:rsidRDefault="00463FA6" w:rsidP="00BA2B9D">
            <w:pPr>
              <w:spacing w:after="0" w:line="240" w:lineRule="auto"/>
              <w:rPr>
                <w:rFonts w:ascii="Calibri" w:eastAsia="Times New Roman" w:hAnsi="Calibri" w:cs="Calibri"/>
                <w:color w:val="2D2926"/>
                <w:lang w:val="en-US"/>
              </w:rPr>
            </w:pPr>
          </w:p>
        </w:tc>
      </w:tr>
    </w:tbl>
    <w:p w14:paraId="5EEC2A09" w14:textId="77777777" w:rsidR="00463FA6" w:rsidRDefault="00463FA6" w:rsidP="00BA2B9D"/>
    <w:p w14:paraId="25157470" w14:textId="77777777" w:rsidR="00463FA6" w:rsidRPr="00FB4F7D" w:rsidRDefault="00463FA6" w:rsidP="00050DE8">
      <w:pPr>
        <w:rPr>
          <w:rFonts w:cstheme="minorHAnsi"/>
        </w:rPr>
      </w:pPr>
    </w:p>
    <w:p w14:paraId="5FF4FDB0" w14:textId="77777777" w:rsidR="00B00B69" w:rsidRDefault="00B00B69" w:rsidP="00050DE8">
      <w:pPr>
        <w:rPr>
          <w:rFonts w:cstheme="minorHAnsi"/>
          <w:b/>
        </w:rPr>
      </w:pPr>
    </w:p>
    <w:p w14:paraId="332A17C1" w14:textId="77777777" w:rsidR="00B00B69" w:rsidRDefault="00B00B69" w:rsidP="00050DE8">
      <w:pPr>
        <w:rPr>
          <w:rFonts w:cstheme="minorHAnsi"/>
          <w:b/>
        </w:rPr>
      </w:pPr>
    </w:p>
    <w:p w14:paraId="4ADD2153" w14:textId="77777777" w:rsidR="00B00B69" w:rsidRDefault="00B00B69" w:rsidP="00050DE8">
      <w:pPr>
        <w:rPr>
          <w:rFonts w:cstheme="minorHAnsi"/>
          <w:b/>
        </w:rPr>
      </w:pPr>
    </w:p>
    <w:p w14:paraId="7766ED66" w14:textId="77777777" w:rsidR="00B00B69" w:rsidRDefault="00B00B69">
      <w:pPr>
        <w:rPr>
          <w:rFonts w:cstheme="minorHAnsi"/>
          <w:b/>
        </w:rPr>
      </w:pPr>
      <w:r>
        <w:rPr>
          <w:rFonts w:cstheme="minorHAnsi"/>
          <w:b/>
        </w:rPr>
        <w:br w:type="page"/>
      </w:r>
    </w:p>
    <w:p w14:paraId="4320A602" w14:textId="5AE752F8" w:rsidR="00463FA6" w:rsidRPr="00F80096" w:rsidRDefault="00463FA6" w:rsidP="00050DE8">
      <w:pPr>
        <w:rPr>
          <w:rFonts w:cstheme="minorHAnsi"/>
          <w:b/>
        </w:rPr>
      </w:pPr>
      <w:r w:rsidRPr="00F80096">
        <w:rPr>
          <w:rFonts w:cstheme="minorHAnsi"/>
          <w:b/>
        </w:rPr>
        <w:lastRenderedPageBreak/>
        <w:t xml:space="preserve">Figure 1: Overall Methods </w:t>
      </w:r>
    </w:p>
    <w:p w14:paraId="568D72D7" w14:textId="77777777" w:rsidR="00463FA6" w:rsidRPr="00FB4F7D" w:rsidRDefault="00463FA6">
      <w:pPr>
        <w:rPr>
          <w:rFonts w:cstheme="minorHAnsi"/>
          <w:color w:val="000000"/>
          <w:shd w:val="clear" w:color="auto" w:fill="FFFFFF"/>
        </w:rPr>
      </w:pPr>
    </w:p>
    <w:p w14:paraId="0B7B9353" w14:textId="77777777" w:rsidR="00463FA6" w:rsidRPr="006B0226" w:rsidRDefault="00463FA6">
      <w:pPr>
        <w:rPr>
          <w:rFonts w:cstheme="minorHAnsi"/>
        </w:rPr>
      </w:pPr>
      <w:r w:rsidRPr="006B0226">
        <w:rPr>
          <w:rFonts w:cstheme="minorHAnsi"/>
          <w:noProof/>
          <w:lang w:eastAsia="en-GB"/>
        </w:rPr>
        <w:drawing>
          <wp:inline distT="0" distB="0" distL="0" distR="0" wp14:anchorId="26C261BA" wp14:editId="0A2BD8BE">
            <wp:extent cx="5731510" cy="3254375"/>
            <wp:effectExtent l="0" t="0" r="254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1510" cy="3254375"/>
                    </a:xfrm>
                    <a:prstGeom prst="rect">
                      <a:avLst/>
                    </a:prstGeom>
                  </pic:spPr>
                </pic:pic>
              </a:graphicData>
            </a:graphic>
          </wp:inline>
        </w:drawing>
      </w:r>
    </w:p>
    <w:p w14:paraId="1ECF9C3D" w14:textId="77777777" w:rsidR="00463FA6" w:rsidRPr="00FB4F7D" w:rsidRDefault="00463FA6">
      <w:pPr>
        <w:rPr>
          <w:rFonts w:cstheme="minorHAnsi"/>
        </w:rPr>
      </w:pPr>
    </w:p>
    <w:p w14:paraId="1DA995C5" w14:textId="77777777" w:rsidR="00463FA6" w:rsidRPr="00F80096" w:rsidRDefault="00463FA6" w:rsidP="00050DE8">
      <w:pPr>
        <w:rPr>
          <w:rFonts w:cstheme="minorHAnsi"/>
          <w:b/>
          <w:shd w:val="clear" w:color="auto" w:fill="FFFFFF"/>
        </w:rPr>
      </w:pPr>
      <w:r w:rsidRPr="00F80096">
        <w:rPr>
          <w:rFonts w:cstheme="minorHAnsi"/>
          <w:b/>
          <w:shd w:val="clear" w:color="auto" w:fill="FFFFFF"/>
        </w:rPr>
        <w:t xml:space="preserve">Figure 2: Age of the women who gave birth to a baby with a </w:t>
      </w:r>
      <w:r>
        <w:rPr>
          <w:rFonts w:cstheme="minorHAnsi"/>
          <w:b/>
          <w:shd w:val="clear" w:color="auto" w:fill="FFFFFF"/>
        </w:rPr>
        <w:t>birth defect</w:t>
      </w:r>
      <w:r w:rsidRPr="00F80096">
        <w:rPr>
          <w:rFonts w:cstheme="minorHAnsi"/>
          <w:b/>
          <w:shd w:val="clear" w:color="auto" w:fill="FFFFFF"/>
        </w:rPr>
        <w:t xml:space="preserve"> (cases) and without a </w:t>
      </w:r>
      <w:r>
        <w:rPr>
          <w:rFonts w:cstheme="minorHAnsi"/>
          <w:b/>
          <w:shd w:val="clear" w:color="auto" w:fill="FFFFFF"/>
        </w:rPr>
        <w:t xml:space="preserve">birth defect </w:t>
      </w:r>
      <w:r w:rsidRPr="00F80096">
        <w:rPr>
          <w:rFonts w:cstheme="minorHAnsi"/>
          <w:b/>
          <w:shd w:val="clear" w:color="auto" w:fill="FFFFFF"/>
        </w:rPr>
        <w:t>(controls)</w:t>
      </w:r>
    </w:p>
    <w:p w14:paraId="0DE37698" w14:textId="77777777" w:rsidR="00463FA6" w:rsidRPr="006B0226" w:rsidRDefault="00463FA6" w:rsidP="00050DE8">
      <w:pPr>
        <w:rPr>
          <w:rFonts w:cstheme="minorHAnsi"/>
          <w:shd w:val="clear" w:color="auto" w:fill="FFFFFF"/>
        </w:rPr>
      </w:pPr>
      <w:r w:rsidRPr="006B0226">
        <w:rPr>
          <w:rFonts w:cstheme="minorHAnsi"/>
          <w:noProof/>
          <w:lang w:eastAsia="en-GB"/>
        </w:rPr>
        <w:drawing>
          <wp:inline distT="0" distB="0" distL="0" distR="0" wp14:anchorId="4F269F07" wp14:editId="17AFBD9E">
            <wp:extent cx="5731510" cy="3317875"/>
            <wp:effectExtent l="0" t="0" r="2540" b="1587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A495864" w14:textId="77777777" w:rsidR="00463FA6" w:rsidRPr="00FB4F7D" w:rsidRDefault="00463FA6" w:rsidP="00050DE8">
      <w:pPr>
        <w:rPr>
          <w:rFonts w:cstheme="minorHAnsi"/>
        </w:rPr>
      </w:pPr>
    </w:p>
    <w:p w14:paraId="1AD0F6DB" w14:textId="77777777" w:rsidR="00463FA6" w:rsidRPr="00FB4F7D" w:rsidRDefault="00463FA6" w:rsidP="00050DE8">
      <w:pPr>
        <w:rPr>
          <w:rFonts w:cstheme="minorHAnsi"/>
          <w:shd w:val="clear" w:color="auto" w:fill="FFFFFF"/>
        </w:rPr>
      </w:pPr>
    </w:p>
    <w:p w14:paraId="5D9AF311" w14:textId="77777777" w:rsidR="00463FA6" w:rsidRDefault="00463FA6">
      <w:pPr>
        <w:rPr>
          <w:rFonts w:cstheme="minorHAnsi"/>
        </w:rPr>
      </w:pPr>
    </w:p>
    <w:p w14:paraId="263B6651" w14:textId="77777777" w:rsidR="00B00B69" w:rsidRDefault="00B00B69">
      <w:pPr>
        <w:rPr>
          <w:rFonts w:cstheme="minorHAnsi"/>
          <w:b/>
        </w:rPr>
      </w:pPr>
    </w:p>
    <w:p w14:paraId="1C6BC645" w14:textId="38516924" w:rsidR="00463FA6" w:rsidRPr="00B00B69" w:rsidRDefault="00463FA6">
      <w:pPr>
        <w:rPr>
          <w:rFonts w:cstheme="minorHAnsi"/>
          <w:b/>
        </w:rPr>
      </w:pPr>
      <w:r w:rsidRPr="00B00B69">
        <w:rPr>
          <w:rFonts w:cstheme="minorHAnsi"/>
          <w:b/>
        </w:rPr>
        <w:t>References</w:t>
      </w:r>
    </w:p>
    <w:p w14:paraId="6DA1F88A" w14:textId="77777777" w:rsidR="00463FA6" w:rsidRPr="006972D0" w:rsidRDefault="00463FA6" w:rsidP="006972D0">
      <w:pPr>
        <w:pStyle w:val="EndNoteBibliography"/>
        <w:spacing w:after="0"/>
      </w:pPr>
      <w:r w:rsidRPr="006972D0">
        <w:t xml:space="preserve">1. Chambers C, Cohen L, Koren G. Pregnancy registries: advantages and disadvantages. Ob Gyn News. 2012;26 October 2012. </w:t>
      </w:r>
    </w:p>
    <w:p w14:paraId="79C8BE2A" w14:textId="77062A60" w:rsidR="00463FA6" w:rsidRPr="006972D0" w:rsidRDefault="00463FA6" w:rsidP="006972D0">
      <w:pPr>
        <w:pStyle w:val="EndNoteBibliography"/>
        <w:spacing w:after="0"/>
      </w:pPr>
      <w:r w:rsidRPr="006972D0">
        <w:t>2. Lupattelli A, Spigset O, Twigg MJ, Zagorodnikova K, Mardby AC, Moretti ME et al. Medication use in pregnancy: a cross-sectional, mult</w:t>
      </w:r>
      <w:r w:rsidR="00431A05">
        <w:t>inational web-based study. BMJ O</w:t>
      </w:r>
      <w:r w:rsidRPr="006972D0">
        <w:t>pen. 2014;4(2):e004365. doi:10.1136/bmjopen-2013-004365.</w:t>
      </w:r>
    </w:p>
    <w:p w14:paraId="2534512A" w14:textId="77777777" w:rsidR="00463FA6" w:rsidRPr="006972D0" w:rsidRDefault="00463FA6" w:rsidP="006972D0">
      <w:pPr>
        <w:pStyle w:val="EndNoteBibliography"/>
        <w:spacing w:after="0"/>
      </w:pPr>
      <w:r w:rsidRPr="006972D0">
        <w:t>3. Finer LB, Zolna MR. Declines in Unintended Pregnancy in the United States, 2008-2011. NEJM. 2016;374(9):843-52. doi:10.1056/NEJMsa1506575.</w:t>
      </w:r>
    </w:p>
    <w:p w14:paraId="631A6E21" w14:textId="77777777" w:rsidR="00463FA6" w:rsidRPr="006972D0" w:rsidRDefault="00463FA6" w:rsidP="006972D0">
      <w:pPr>
        <w:pStyle w:val="EndNoteBibliography"/>
        <w:spacing w:after="0"/>
      </w:pPr>
      <w:r w:rsidRPr="006972D0">
        <w:t>4. Koren G, Pastuszak A, Ito S. Drugs in pregnancy. NEJM. 1998;338(16):1128-37. doi:10.1056/nejm199804163381607.</w:t>
      </w:r>
    </w:p>
    <w:p w14:paraId="07FFD8D6" w14:textId="77777777" w:rsidR="00463FA6" w:rsidRPr="006972D0" w:rsidRDefault="00463FA6" w:rsidP="006972D0">
      <w:pPr>
        <w:pStyle w:val="EndNoteBibliography"/>
        <w:spacing w:after="0"/>
      </w:pPr>
      <w:r w:rsidRPr="006972D0">
        <w:t xml:space="preserve">5. DSRU. Registries. </w:t>
      </w:r>
      <w:r w:rsidRPr="00463FA6">
        <w:t>http://www.dsru.org/studies-for-risk-management/registries/</w:t>
      </w:r>
      <w:r w:rsidRPr="006972D0">
        <w:t>.</w:t>
      </w:r>
    </w:p>
    <w:p w14:paraId="7D2E2BFB" w14:textId="10D3D37B" w:rsidR="00463FA6" w:rsidRPr="006972D0" w:rsidRDefault="00463FA6" w:rsidP="006972D0">
      <w:pPr>
        <w:pStyle w:val="EndNoteBibliography"/>
        <w:spacing w:after="0"/>
      </w:pPr>
      <w:r w:rsidRPr="006972D0">
        <w:t>6. Hernandez-Diaz S, Oberg AS. Are epidemiological approaches suitable to study risk/preventive factors for human birth</w:t>
      </w:r>
      <w:r w:rsidR="00431A05">
        <w:t xml:space="preserve"> defects? Curr Epidemiol R</w:t>
      </w:r>
      <w:r w:rsidRPr="006972D0">
        <w:t>ep. 2015;2(1):31-6. doi:10.1007/s40471-015-0037-5.</w:t>
      </w:r>
    </w:p>
    <w:p w14:paraId="6F5A3CC2" w14:textId="69872BA1" w:rsidR="00463FA6" w:rsidRPr="006972D0" w:rsidRDefault="00463FA6" w:rsidP="006972D0">
      <w:pPr>
        <w:pStyle w:val="EndNoteBibliography"/>
        <w:spacing w:after="0"/>
      </w:pPr>
      <w:r w:rsidRPr="006972D0">
        <w:t xml:space="preserve">7. Krueger WS, Anthony MS, Saltus CW, Margulis AV, Rivero-Ferrer E, Monz B et al. Evaluating the Safety of Medication Exposures During Pregnancy: A Case Study of Study Designs and Data Sources in Multiple Sclerosis. Drugs </w:t>
      </w:r>
      <w:r w:rsidR="00431A05">
        <w:t>R</w:t>
      </w:r>
      <w:r w:rsidRPr="006972D0">
        <w:t xml:space="preserve">eal </w:t>
      </w:r>
      <w:r w:rsidR="00431A05">
        <w:t>W</w:t>
      </w:r>
      <w:r w:rsidRPr="006972D0">
        <w:t xml:space="preserve">orld </w:t>
      </w:r>
      <w:r w:rsidR="00431A05">
        <w:t>O</w:t>
      </w:r>
      <w:r w:rsidRPr="006972D0">
        <w:t>utcomes. 2017;4(3):139-49. doi:10.1007/s40801-017-0114-9.</w:t>
      </w:r>
    </w:p>
    <w:p w14:paraId="73D9D2FD" w14:textId="48C47E21" w:rsidR="00463FA6" w:rsidRPr="006972D0" w:rsidRDefault="00463FA6" w:rsidP="006972D0">
      <w:pPr>
        <w:pStyle w:val="EndNoteBibliography"/>
        <w:spacing w:after="0"/>
      </w:pPr>
      <w:r w:rsidRPr="006972D0">
        <w:t>8. Bird ST, Gelperin K, Taylor L, Sahin L, Hammad H, Andrade SE et al. Enrollment and Retention in 34 United States Pregnancy Registries Contrasted with the Manufacturer's Capture of Spontaneous Reports</w:t>
      </w:r>
      <w:r w:rsidR="00431A05">
        <w:t xml:space="preserve"> for Exposed Pregnancies. Drug S</w:t>
      </w:r>
      <w:r w:rsidRPr="006972D0">
        <w:t>af. 2018;41(1):87-94. doi:10.1007/s40264-017-0591-5.</w:t>
      </w:r>
    </w:p>
    <w:p w14:paraId="06801F23" w14:textId="4839AF3F" w:rsidR="00463FA6" w:rsidRPr="006972D0" w:rsidRDefault="00463FA6" w:rsidP="006972D0">
      <w:pPr>
        <w:pStyle w:val="EndNoteBibliography"/>
        <w:spacing w:after="0"/>
      </w:pPr>
      <w:r w:rsidRPr="006972D0">
        <w:t xml:space="preserve">9. Gelperin K, Hammad H, Leishear K, Bird ST, Taylor L, Hampp C et al. A systematic review of pregnancy exposure registries: examination of protocol-specified pregnancy outcomes, target sample size, and comparator selection. Pharmacoepidemiol </w:t>
      </w:r>
      <w:r w:rsidR="00431A05">
        <w:t>D</w:t>
      </w:r>
      <w:r w:rsidRPr="006972D0">
        <w:t xml:space="preserve">rug </w:t>
      </w:r>
      <w:r w:rsidR="00431A05">
        <w:t>S</w:t>
      </w:r>
      <w:r w:rsidRPr="006972D0">
        <w:t>af. 2017;26(2):208-14. doi:10.1002/pds.4150.</w:t>
      </w:r>
    </w:p>
    <w:p w14:paraId="7C37327D" w14:textId="401E4D65" w:rsidR="00463FA6" w:rsidRPr="006972D0" w:rsidRDefault="00463FA6" w:rsidP="006972D0">
      <w:pPr>
        <w:pStyle w:val="EndNoteBibliography"/>
        <w:spacing w:after="0"/>
      </w:pPr>
      <w:r w:rsidRPr="006972D0">
        <w:t>10. AHRQ Methods for Effective Health Care. In: Gliklich RE, Dreyer NA, Leavy MB, editors. Registries for Evaluating Patient Outcomes: A User's Guide. Rockville (MD): Agency for Healthcare Research and Quality (US); 2014.</w:t>
      </w:r>
    </w:p>
    <w:p w14:paraId="6C98EF20" w14:textId="7F7CA9BB" w:rsidR="00463FA6" w:rsidRPr="006972D0" w:rsidRDefault="00463FA6" w:rsidP="006972D0">
      <w:pPr>
        <w:pStyle w:val="EndNoteBibliography"/>
        <w:spacing w:after="0"/>
      </w:pPr>
      <w:r w:rsidRPr="006972D0">
        <w:t xml:space="preserve">11. Mitchell AA. Systematic identification of drugs that cause birth defects--a new opportunity. </w:t>
      </w:r>
      <w:r w:rsidR="00431A05">
        <w:t>NEJM</w:t>
      </w:r>
      <w:r w:rsidRPr="006972D0">
        <w:t>. 2003;349(26):2556-9. doi:10.1056/NEJMsb031395.</w:t>
      </w:r>
    </w:p>
    <w:p w14:paraId="421A996F" w14:textId="4B90C013" w:rsidR="00463FA6" w:rsidRPr="006972D0" w:rsidRDefault="00463FA6" w:rsidP="006972D0">
      <w:pPr>
        <w:pStyle w:val="EndNoteBibliography"/>
        <w:spacing w:after="0"/>
      </w:pPr>
      <w:r w:rsidRPr="006972D0">
        <w:t xml:space="preserve">12. Charlton RA, Cunnington MC, de Vries CS, Weil JG. Data resources for investigating drug exposure during pregnancy and associated outcomes: the General Practice Research Database (GPRD) as an alternative to pregnancy registries. Drug </w:t>
      </w:r>
      <w:r w:rsidR="00431A05">
        <w:t>S</w:t>
      </w:r>
      <w:r w:rsidRPr="006972D0">
        <w:t xml:space="preserve">af. 2008;31(1):39-51. </w:t>
      </w:r>
    </w:p>
    <w:p w14:paraId="117D0614" w14:textId="3D06B644" w:rsidR="00463FA6" w:rsidRPr="006972D0" w:rsidRDefault="00463FA6" w:rsidP="006972D0">
      <w:pPr>
        <w:pStyle w:val="EndNoteBibliography"/>
        <w:spacing w:after="0"/>
      </w:pPr>
      <w:r w:rsidRPr="006972D0">
        <w:t>13. Bateman BT, Patorno E, Desai RJ, Seely EW, Mogun H, Dejene SZ et al. Angiotensin-Converting Enzyme Inhibitors and the Risk of Congenital Malformations. Obs</w:t>
      </w:r>
      <w:r w:rsidR="00431A05">
        <w:t xml:space="preserve"> G</w:t>
      </w:r>
      <w:r w:rsidRPr="006972D0">
        <w:t>yn. 2017;129(1):174-84. doi:10.1097/aog.0000000000001775.</w:t>
      </w:r>
    </w:p>
    <w:p w14:paraId="045EDD13" w14:textId="0A2C90D1" w:rsidR="00463FA6" w:rsidRPr="006972D0" w:rsidRDefault="00463FA6" w:rsidP="006972D0">
      <w:pPr>
        <w:pStyle w:val="EndNoteBibliography"/>
        <w:spacing w:after="0"/>
      </w:pPr>
      <w:r w:rsidRPr="006972D0">
        <w:t xml:space="preserve">14. Petersen I, Sammon CJ, McCrea RL, Osborn DPJ, Evans SJ, Cowen PJ et al. Risks associated with antipsychotic treatment in pregnancy: Comparative cohort studies based on electronic health records. Schizophr </w:t>
      </w:r>
      <w:r w:rsidR="00431A05">
        <w:t>R</w:t>
      </w:r>
      <w:r w:rsidRPr="006972D0">
        <w:t>es. 2016;176(2-3):349-56. doi:10.1016/j.schres.2016.07.023.</w:t>
      </w:r>
    </w:p>
    <w:p w14:paraId="4653D108" w14:textId="7357B448" w:rsidR="00463FA6" w:rsidRPr="006972D0" w:rsidRDefault="00463FA6" w:rsidP="006972D0">
      <w:pPr>
        <w:pStyle w:val="EndNoteBibliography"/>
        <w:spacing w:after="0"/>
      </w:pPr>
      <w:r w:rsidRPr="006972D0">
        <w:t xml:space="preserve">15. Huybrechts KF, Hernandez-Diaz S, Avorn J. Antidepressant use in pregnancy and the risk of cardiac defects. </w:t>
      </w:r>
      <w:r w:rsidR="00431A05">
        <w:t>NEJM</w:t>
      </w:r>
      <w:r w:rsidRPr="006972D0">
        <w:t>. 2014;371(12):1168-9. doi:10.1056/NEJMc1409203.</w:t>
      </w:r>
    </w:p>
    <w:p w14:paraId="1887036A" w14:textId="2549AE22" w:rsidR="00463FA6" w:rsidRPr="006972D0" w:rsidRDefault="00463FA6" w:rsidP="006972D0">
      <w:pPr>
        <w:pStyle w:val="EndNoteBibliography"/>
        <w:spacing w:after="0"/>
      </w:pPr>
      <w:r w:rsidRPr="006972D0">
        <w:t>16. Baril L, Rosillon D, Willame C, Angelo MG, Zima J, van den Bosch JH et al. Risk of spontaneous abortion and other pregnancy outcomes in 15-25 year old women exposed to human papillomavirus-16/18 AS04-adjuvanted vaccine in the United Kingdom. Vaccine. 2015;33(48):6884-91. doi:10.1016/j.</w:t>
      </w:r>
      <w:r w:rsidR="00431A05">
        <w:t xml:space="preserve"> V</w:t>
      </w:r>
      <w:r w:rsidRPr="006972D0">
        <w:t>accine.2015.07.024.</w:t>
      </w:r>
    </w:p>
    <w:p w14:paraId="0E9AB561" w14:textId="0805E6A7" w:rsidR="00463FA6" w:rsidRPr="006972D0" w:rsidRDefault="00463FA6" w:rsidP="006972D0">
      <w:pPr>
        <w:pStyle w:val="EndNoteBibliography"/>
        <w:spacing w:after="0"/>
      </w:pPr>
      <w:r w:rsidRPr="006972D0">
        <w:lastRenderedPageBreak/>
        <w:t>17. Huybrechts KF, Bateman BT, Palmsten K, Desai RJ, Patorno E, Gopalakrishnan C et al. Antidepressant use late in pregnancy and risk of persistent pulmonary hypertension of the newborn. J</w:t>
      </w:r>
      <w:r w:rsidR="00431A05">
        <w:t>AMA</w:t>
      </w:r>
      <w:r w:rsidRPr="006972D0">
        <w:t>. 2015;313(21):2142-51. doi:10.1001/jama.2015.5605.</w:t>
      </w:r>
    </w:p>
    <w:p w14:paraId="602D02BC" w14:textId="00B44A78" w:rsidR="00463FA6" w:rsidRPr="006972D0" w:rsidRDefault="00463FA6" w:rsidP="006972D0">
      <w:pPr>
        <w:pStyle w:val="EndNoteBibliography"/>
        <w:spacing w:after="0"/>
      </w:pPr>
      <w:r w:rsidRPr="006972D0">
        <w:t xml:space="preserve">18. Thyagarajan V, Robin Clifford C, Wurst KE, Ephross SA, Seeger JD. Bupropion therapy in pregnancy and the occurrence of cardiovascular malformations in infants. Pharmacoepidemiol </w:t>
      </w:r>
      <w:r w:rsidR="00431A05">
        <w:t>Drug S</w:t>
      </w:r>
      <w:r w:rsidRPr="006972D0">
        <w:t>af. 2012;21(11):1240-2. doi:10.1002/pds.3271.</w:t>
      </w:r>
    </w:p>
    <w:p w14:paraId="39CEBE7D" w14:textId="77777777" w:rsidR="00463FA6" w:rsidRPr="006972D0" w:rsidRDefault="00463FA6" w:rsidP="006972D0">
      <w:pPr>
        <w:pStyle w:val="EndNoteBibliography"/>
        <w:spacing w:after="0"/>
      </w:pPr>
      <w:r w:rsidRPr="006972D0">
        <w:t>19. Green MW, Seeger JD, Peterson C, Bhattacharyya A. Utilization of topiramate during pregnancy and risk of birth defects. Headache. 2012;52(7):1070-84. doi:10.1111/j.1526-4610.2012.02190.x.</w:t>
      </w:r>
    </w:p>
    <w:p w14:paraId="4B6E933B" w14:textId="78504209" w:rsidR="00463FA6" w:rsidRPr="006972D0" w:rsidRDefault="00463FA6" w:rsidP="006972D0">
      <w:pPr>
        <w:pStyle w:val="EndNoteBibliography"/>
        <w:spacing w:after="0"/>
      </w:pPr>
      <w:r w:rsidRPr="006972D0">
        <w:t>20. Molgaard-Nielsen D, Hviid A. Newer-generation antiepileptic drugs and the risk of major birth defects. J</w:t>
      </w:r>
      <w:r w:rsidR="00431A05">
        <w:t>AMA</w:t>
      </w:r>
      <w:r w:rsidRPr="006972D0">
        <w:t>. 2011;305(19):1996-2002. doi:10.1001/jama.2011.624.</w:t>
      </w:r>
    </w:p>
    <w:p w14:paraId="6C1325C2" w14:textId="70575DF2" w:rsidR="00463FA6" w:rsidRPr="006972D0" w:rsidRDefault="00463FA6" w:rsidP="006972D0">
      <w:pPr>
        <w:pStyle w:val="EndNoteBibliography"/>
        <w:spacing w:after="0"/>
      </w:pPr>
      <w:r w:rsidRPr="006972D0">
        <w:t>21. Watts DH, Covington DL, Beckerman K, Garcia P, Scheuerle A, Dominguez K et al. Assessing the risk of birth defects associated with antiretroviral exposure during pregnancy. Am</w:t>
      </w:r>
      <w:r w:rsidR="00431A05">
        <w:t xml:space="preserve"> J</w:t>
      </w:r>
      <w:r w:rsidRPr="006972D0">
        <w:t xml:space="preserve"> </w:t>
      </w:r>
      <w:r w:rsidR="00431A05">
        <w:t>O</w:t>
      </w:r>
      <w:r w:rsidRPr="006972D0">
        <w:t>bs</w:t>
      </w:r>
      <w:r w:rsidR="00431A05">
        <w:t xml:space="preserve"> G</w:t>
      </w:r>
      <w:r w:rsidRPr="006972D0">
        <w:t>yn. 2004;191(3):985-92. doi:10.1016/j.ajog.2004.05.061.</w:t>
      </w:r>
    </w:p>
    <w:p w14:paraId="359C6FD3" w14:textId="77777777" w:rsidR="00463FA6" w:rsidRPr="006972D0" w:rsidRDefault="00463FA6" w:rsidP="006972D0">
      <w:pPr>
        <w:pStyle w:val="EndNoteBibliography"/>
        <w:spacing w:after="0"/>
      </w:pPr>
      <w:r w:rsidRPr="006972D0">
        <w:t>22. Hernandez-Diaz S, Smith CR, Shen A, Mittendorf R, Hauser WA, Yerby M et al. Comparative safety of antiepileptic drugs during pregnancy. Neurology. 2012;78(21):1692-9. doi:10.1212/WNL.0b013e3182574f39.</w:t>
      </w:r>
    </w:p>
    <w:p w14:paraId="4D7ABE4E" w14:textId="361D5B09" w:rsidR="00463FA6" w:rsidRPr="006972D0" w:rsidRDefault="00463FA6" w:rsidP="006972D0">
      <w:pPr>
        <w:pStyle w:val="EndNoteBibliography"/>
        <w:spacing w:after="0"/>
      </w:pPr>
      <w:r w:rsidRPr="006972D0">
        <w:t xml:space="preserve">23. Charlton R, de Vries C. Systematic overview of data sources for drug safety in pregnancy research. Consultancy </w:t>
      </w:r>
      <w:r w:rsidR="00431A05">
        <w:t xml:space="preserve">EMA/2010/29/CN June 2016. </w:t>
      </w:r>
    </w:p>
    <w:p w14:paraId="78E38934" w14:textId="77777777" w:rsidR="00463FA6" w:rsidRPr="006972D0" w:rsidRDefault="00463FA6" w:rsidP="006972D0">
      <w:pPr>
        <w:pStyle w:val="EndNoteBibliography"/>
        <w:spacing w:after="0"/>
      </w:pPr>
      <w:r w:rsidRPr="006972D0">
        <w:t xml:space="preserve">24. Tucker E. How pharmaceuticals can avoid the side effects of social media. MITSloan Management Review; 08 April. 2013. </w:t>
      </w:r>
      <w:r w:rsidRPr="00463FA6">
        <w:t>https://sloanreview.mit.edu/article/how-pharmaceuticals-can-avoid-the-side-effects-of-social-media/</w:t>
      </w:r>
      <w:r w:rsidRPr="006972D0">
        <w:t>.</w:t>
      </w:r>
    </w:p>
    <w:p w14:paraId="4C138C0C" w14:textId="0FD1FE4D" w:rsidR="00463FA6" w:rsidRPr="006972D0" w:rsidRDefault="00463FA6" w:rsidP="006972D0">
      <w:pPr>
        <w:pStyle w:val="EndNoteBibliography"/>
        <w:spacing w:after="0"/>
      </w:pPr>
      <w:r w:rsidRPr="006972D0">
        <w:t>25. Sarker A, Chandrashekar P, Magge A, Cai H, Klein A, Gonzalez G. Discovering Cohorts of Pregnant Women From Social Media for Safety Surveillance and Analysis. J</w:t>
      </w:r>
      <w:r w:rsidR="00431A05">
        <w:t xml:space="preserve"> Med</w:t>
      </w:r>
      <w:r w:rsidRPr="006972D0">
        <w:t xml:space="preserve"> Internet </w:t>
      </w:r>
      <w:r w:rsidR="00431A05">
        <w:t>R</w:t>
      </w:r>
      <w:r w:rsidRPr="006972D0">
        <w:t>es. 2017;19(10):e361. doi:10.2196/jmir.8164.</w:t>
      </w:r>
    </w:p>
    <w:p w14:paraId="24F08173" w14:textId="4B0ED683" w:rsidR="00463FA6" w:rsidRPr="006972D0" w:rsidRDefault="00463FA6" w:rsidP="006972D0">
      <w:pPr>
        <w:pStyle w:val="EndNoteBibliography"/>
        <w:spacing w:after="0"/>
      </w:pPr>
      <w:r w:rsidRPr="006972D0">
        <w:t xml:space="preserve">26. Klein AZ, Sarker A, Haitao C, Weissenbacher D, Gonzalez G. Social Media Mining for Birth Defects Research: A Rule-Based Approach to Identifying Self-Reported Cases on Twitter. Submitted to the Journal of Biomedical Informatics (JBI) March 2018. </w:t>
      </w:r>
    </w:p>
    <w:p w14:paraId="39A2F17E" w14:textId="77777777" w:rsidR="00463FA6" w:rsidRPr="006972D0" w:rsidRDefault="00463FA6" w:rsidP="006972D0">
      <w:pPr>
        <w:pStyle w:val="EndNoteBibliography"/>
        <w:spacing w:after="0"/>
      </w:pPr>
      <w:r w:rsidRPr="006972D0">
        <w:t xml:space="preserve">27. Sever LE. Guidelines for Conducting Birth Defects Surveillance. In: National Birth Defects Prevention Network. 2004. </w:t>
      </w:r>
      <w:r w:rsidRPr="00463FA6">
        <w:t>www.nbdpn.org/bdsurveillance.html</w:t>
      </w:r>
      <w:r w:rsidRPr="006972D0">
        <w:t>.</w:t>
      </w:r>
    </w:p>
    <w:p w14:paraId="3B174B03" w14:textId="77777777" w:rsidR="00463FA6" w:rsidRPr="006972D0" w:rsidRDefault="00463FA6" w:rsidP="006972D0">
      <w:pPr>
        <w:pStyle w:val="EndNoteBibliography"/>
        <w:spacing w:after="0"/>
      </w:pPr>
      <w:r w:rsidRPr="006972D0">
        <w:t>28. Correa A, Cragan JD, Kucik JE, Alverson CJ, Gilboa SM, Balakrishnan R et al. Reporting birth defects surveillance data 1968-2003. Birth defects research Part A, Clinical and molecular teratology. 2007;79(2):65-186. doi:10.1002/bdra.20350.</w:t>
      </w:r>
    </w:p>
    <w:p w14:paraId="07A57C93" w14:textId="77777777" w:rsidR="00463FA6" w:rsidRPr="006972D0" w:rsidRDefault="00463FA6" w:rsidP="006972D0">
      <w:pPr>
        <w:pStyle w:val="EndNoteBibliography"/>
        <w:spacing w:after="0"/>
      </w:pPr>
      <w:r w:rsidRPr="006972D0">
        <w:t xml:space="preserve">29. Fornoff JE, Shen T. Birth Defects and Other Adverse Pregnancy Outcomes in Illinois 2005-2009: A Report on County-Specific Prevalence. 2013. </w:t>
      </w:r>
      <w:r w:rsidRPr="00463FA6">
        <w:t>http://www.dph.illinois.gov/sites/default/files/publications/ers14-03-birth-defects-inillinois-2005-2009-041516.pdf</w:t>
      </w:r>
      <w:r w:rsidRPr="006972D0">
        <w:t xml:space="preserve"> </w:t>
      </w:r>
    </w:p>
    <w:p w14:paraId="72A8B5A4" w14:textId="77777777" w:rsidR="00463FA6" w:rsidRPr="006972D0" w:rsidRDefault="00463FA6" w:rsidP="006972D0">
      <w:pPr>
        <w:pStyle w:val="EndNoteBibliography"/>
        <w:spacing w:after="0"/>
      </w:pPr>
      <w:r w:rsidRPr="006972D0">
        <w:t xml:space="preserve">30. EUROCAT. Guide 1.4: Instruction for the Registration of Congenital Anomalies. 2013. </w:t>
      </w:r>
      <w:r w:rsidRPr="00463FA6">
        <w:t>http://www.eurocat-network.eu/content/Section%203.3-%2027_Oct2016.pdf</w:t>
      </w:r>
      <w:r w:rsidRPr="006972D0">
        <w:t>.</w:t>
      </w:r>
    </w:p>
    <w:p w14:paraId="4D4D5528" w14:textId="77777777" w:rsidR="00463FA6" w:rsidRPr="006972D0" w:rsidRDefault="00463FA6" w:rsidP="006972D0">
      <w:pPr>
        <w:pStyle w:val="EndNoteBibliography"/>
        <w:spacing w:after="0"/>
      </w:pPr>
      <w:r w:rsidRPr="006972D0">
        <w:t xml:space="preserve">31. U.S. National Library of Medicine. UMLS Reference Manual. 2009. </w:t>
      </w:r>
      <w:r w:rsidRPr="00463FA6">
        <w:t>https://www.ncbi.nlm.nih.gov/books/NBK9676/pdf/Bookshelf_NBK9676.pdf</w:t>
      </w:r>
      <w:r w:rsidRPr="006972D0">
        <w:t>.</w:t>
      </w:r>
    </w:p>
    <w:p w14:paraId="2AC8ADAF" w14:textId="5404AAA9" w:rsidR="00463FA6" w:rsidRPr="006972D0" w:rsidRDefault="00463FA6" w:rsidP="006972D0">
      <w:pPr>
        <w:pStyle w:val="EndNoteBibliography"/>
        <w:spacing w:after="0"/>
      </w:pPr>
      <w:r w:rsidRPr="006972D0">
        <w:t>32. Klein AZ, Sarker A, Rouhizadeh M, O’Connor K, Gonzalez G. Detecting Personal Medication Intake in Twitter: An Annotated Corpus and Baseline Classification System. In: Proceedings of the BioNLP 2017 worksho</w:t>
      </w:r>
      <w:r w:rsidR="00431A05">
        <w:t>p, Vancouver, Canada: ACM Press</w:t>
      </w:r>
      <w:r w:rsidRPr="006972D0">
        <w:t xml:space="preserve">: 136–42. 2017. </w:t>
      </w:r>
      <w:r w:rsidRPr="00463FA6">
        <w:t>http://www.aclweb.org/anthology/W17-2316</w:t>
      </w:r>
      <w:r w:rsidRPr="006972D0">
        <w:t>.</w:t>
      </w:r>
    </w:p>
    <w:p w14:paraId="6FBBD75B" w14:textId="77777777" w:rsidR="00463FA6" w:rsidRPr="006972D0" w:rsidRDefault="00463FA6" w:rsidP="006972D0">
      <w:pPr>
        <w:pStyle w:val="EndNoteBibliography"/>
        <w:spacing w:after="0"/>
      </w:pPr>
      <w:r w:rsidRPr="006972D0">
        <w:t xml:space="preserve">33. Rouhizadeh M, Magge A, Klein A, Sarker A, Gonzalez G. A Rule-Based Approach to Determining Pregnancy Timeframe from Contextual Social Media Postings. Pp. 16–20 in Proceedings of the 2018 International Conference on Digital Health  - DH ’18. New York, New York, USA: ACM Press. 2018. </w:t>
      </w:r>
      <w:r w:rsidRPr="00463FA6">
        <w:t>http://dl.acm.org/citation.cfm?doid=3194658.3194679</w:t>
      </w:r>
      <w:r w:rsidRPr="006972D0">
        <w:t>.</w:t>
      </w:r>
    </w:p>
    <w:p w14:paraId="1441B486" w14:textId="77777777" w:rsidR="00463FA6" w:rsidRPr="006972D0" w:rsidRDefault="00463FA6" w:rsidP="006972D0">
      <w:pPr>
        <w:pStyle w:val="EndNoteBibliography"/>
        <w:spacing w:after="0"/>
      </w:pPr>
      <w:r w:rsidRPr="006972D0">
        <w:t>34. Cunningham H, Tablan V, Roberts A, Bontcheva K. Getting more out of biomedical documents with GATE's full lifecycle open source text analytics. PLoS computational biology. 2013;9(2):e1002854. doi:10.1371/journal.pcbi.1002854.</w:t>
      </w:r>
    </w:p>
    <w:p w14:paraId="37B732E6" w14:textId="1EF550BC" w:rsidR="00463FA6" w:rsidRPr="006972D0" w:rsidRDefault="00463FA6" w:rsidP="006972D0">
      <w:pPr>
        <w:pStyle w:val="EndNoteBibliography"/>
        <w:spacing w:after="0"/>
      </w:pPr>
      <w:r w:rsidRPr="006972D0">
        <w:lastRenderedPageBreak/>
        <w:t xml:space="preserve">35. Tronnes JN, Lupattelli A, Nordeng H. Safety profile of medication used during pregnancy: results of a multinational European study. Pharmacoepidemiol </w:t>
      </w:r>
      <w:r w:rsidR="00431A05">
        <w:t>Drug S</w:t>
      </w:r>
      <w:r w:rsidRPr="006972D0">
        <w:t>af. 2017;26(7):802-11. doi:10.1002/pds.4213.</w:t>
      </w:r>
    </w:p>
    <w:p w14:paraId="0A288091" w14:textId="340D50FD" w:rsidR="00463FA6" w:rsidRPr="006972D0" w:rsidRDefault="00463FA6" w:rsidP="006972D0">
      <w:pPr>
        <w:pStyle w:val="EndNoteBibliography"/>
        <w:spacing w:after="0"/>
      </w:pPr>
      <w:r w:rsidRPr="006972D0">
        <w:t>36. Giles EL, Adams JM. Capturing Public Opinion on Public Health Topics: A Comparison of Experiences from a Systematic Review, Focus Group Study, and Analysis of Online, User-Generate</w:t>
      </w:r>
      <w:r w:rsidR="00431A05">
        <w:t>d Content. Frontiers in Public H</w:t>
      </w:r>
      <w:r w:rsidRPr="006972D0">
        <w:t>ealth. 2015;3:200. doi:10.3389/fpubh.2015.00200.</w:t>
      </w:r>
    </w:p>
    <w:p w14:paraId="4ED8FA70" w14:textId="77777777" w:rsidR="00463FA6" w:rsidRPr="006972D0" w:rsidRDefault="00463FA6" w:rsidP="006972D0">
      <w:pPr>
        <w:pStyle w:val="EndNoteBibliography"/>
        <w:spacing w:after="0"/>
      </w:pPr>
      <w:r w:rsidRPr="006972D0">
        <w:t xml:space="preserve">37. Centers for Disease Control and Prevention’s (CDC’s) National Center for Health Statistics. Mean Age of Mothers is on the Rise: United States, 2000–2014. In: NCHS Data Brief No. 232, January 2016. </w:t>
      </w:r>
      <w:r w:rsidRPr="00463FA6">
        <w:t>https://www.cdc.gov/nchs/products/databriefs/db232.htm</w:t>
      </w:r>
      <w:r w:rsidRPr="006972D0">
        <w:t>.</w:t>
      </w:r>
    </w:p>
    <w:p w14:paraId="750C8AA1" w14:textId="77777777" w:rsidR="00463FA6" w:rsidRPr="006972D0" w:rsidRDefault="00463FA6" w:rsidP="006972D0">
      <w:pPr>
        <w:pStyle w:val="EndNoteBibliography"/>
        <w:spacing w:after="0"/>
      </w:pPr>
      <w:r w:rsidRPr="006972D0">
        <w:t xml:space="preserve">38. Office of National Statistics (ONS). Statistical bulletin: Births by parents' characteristics in England and Wales. 2016. </w:t>
      </w:r>
      <w:r w:rsidRPr="00463FA6">
        <w:t>https://www.ons.gov.uk/peoplepopulationandcommunity/birthsdeathsandmarriages/livebirths/bulletins/birthsbyparentscharacteristicsinenglandandwales/2016</w:t>
      </w:r>
      <w:r w:rsidRPr="006972D0">
        <w:t>.</w:t>
      </w:r>
    </w:p>
    <w:p w14:paraId="7D2F2A8F" w14:textId="634734FC" w:rsidR="00463FA6" w:rsidRPr="006972D0" w:rsidRDefault="00463FA6" w:rsidP="006972D0">
      <w:pPr>
        <w:pStyle w:val="EndNoteBibliography"/>
        <w:spacing w:after="0"/>
      </w:pPr>
      <w:r w:rsidRPr="006972D0">
        <w:t xml:space="preserve">39. Parker SE, Mai CT, Canfield MA, Rickard R, Wang Y, Meyer RE et al. Updated National Birth Prevalence estimates for selected birth defects in the United States, 2004-2006. Birth defects research </w:t>
      </w:r>
      <w:r w:rsidR="00431A05">
        <w:t>Part A, Clin Molecular T</w:t>
      </w:r>
      <w:r w:rsidRPr="006972D0">
        <w:t>eratol. 2010;88(12):1008-16. doi:10.1002/bdra.20735.</w:t>
      </w:r>
    </w:p>
    <w:p w14:paraId="1580BBB2" w14:textId="26E5D5E4" w:rsidR="00463FA6" w:rsidRPr="006972D0" w:rsidRDefault="00463FA6" w:rsidP="006972D0">
      <w:pPr>
        <w:pStyle w:val="EndNoteBibliography"/>
        <w:spacing w:after="0"/>
      </w:pPr>
      <w:r w:rsidRPr="006972D0">
        <w:t>40. Hoyert DL, Xu J. Deaths: Preliminary data for 2011.  National vital statistics reports. Hyattsville, MD: National Center for Health Statistics</w:t>
      </w:r>
      <w:r w:rsidR="00431A05">
        <w:t xml:space="preserve"> </w:t>
      </w:r>
      <w:r w:rsidRPr="006972D0">
        <w:t>2012.</w:t>
      </w:r>
    </w:p>
    <w:p w14:paraId="06AD4601" w14:textId="4FA82979" w:rsidR="00463FA6" w:rsidRPr="006972D0" w:rsidRDefault="00463FA6" w:rsidP="006972D0">
      <w:pPr>
        <w:pStyle w:val="EndNoteBibliography"/>
        <w:spacing w:after="0"/>
      </w:pPr>
      <w:r w:rsidRPr="006972D0">
        <w:t xml:space="preserve">41. Illoh OA, Toh S, Andrade SE, Hampp C, Sahin L, Gelperin K et al. Utilization of drugs with pregnancy exposure registries during pregnancy. Pharmacoepidemiol </w:t>
      </w:r>
      <w:r w:rsidR="00431A05">
        <w:t>D</w:t>
      </w:r>
      <w:r w:rsidRPr="006972D0">
        <w:t xml:space="preserve">rug </w:t>
      </w:r>
      <w:r w:rsidR="00431A05">
        <w:t>S</w:t>
      </w:r>
      <w:r w:rsidRPr="006972D0">
        <w:t>af. 2018. doi:10.1002/pds.4409.</w:t>
      </w:r>
    </w:p>
    <w:p w14:paraId="40633987" w14:textId="367BAB7E" w:rsidR="00463FA6" w:rsidRPr="006972D0" w:rsidRDefault="00463FA6" w:rsidP="006972D0">
      <w:pPr>
        <w:pStyle w:val="EndNoteBibliography"/>
        <w:spacing w:after="0"/>
      </w:pPr>
      <w:r w:rsidRPr="006972D0">
        <w:t xml:space="preserve">42. Golder S, Ahmed S, Norman G, Booth A. Attitudes Toward the Ethics of Research Using Social Media: A Systematic Review. J </w:t>
      </w:r>
      <w:r w:rsidR="00431A05">
        <w:t>Med</w:t>
      </w:r>
      <w:r w:rsidRPr="006972D0">
        <w:t xml:space="preserve"> Internet </w:t>
      </w:r>
      <w:r w:rsidR="00431A05">
        <w:t>R</w:t>
      </w:r>
      <w:r w:rsidRPr="006972D0">
        <w:t>es. 2017;19(6):e195. doi:10.2196/jmir.7082.</w:t>
      </w:r>
    </w:p>
    <w:p w14:paraId="39A2CD7B" w14:textId="3B19D5A2" w:rsidR="00463FA6" w:rsidRPr="006972D0" w:rsidRDefault="00463FA6" w:rsidP="006972D0">
      <w:pPr>
        <w:pStyle w:val="EndNoteBibliography"/>
        <w:spacing w:after="0"/>
      </w:pPr>
      <w:r w:rsidRPr="006972D0">
        <w:t xml:space="preserve">43. Thorpe PG, Gilboa SM, Hernandez-Diaz S, Lind J, Cragan JD, Briggs G et al. Medications in the first trimester of pregnancy: most common exposures and critical gaps in understanding fetal risk. Pharmacoepidemiol </w:t>
      </w:r>
      <w:r w:rsidR="00431A05">
        <w:t>D</w:t>
      </w:r>
      <w:r w:rsidRPr="006972D0">
        <w:t xml:space="preserve">rug </w:t>
      </w:r>
      <w:r w:rsidR="00431A05">
        <w:t>S</w:t>
      </w:r>
      <w:r w:rsidRPr="006972D0">
        <w:t>af. 2013;22(9):1013-8. doi:10.1002/pds.3495.</w:t>
      </w:r>
    </w:p>
    <w:p w14:paraId="35B1AE91" w14:textId="3FC9A1CE" w:rsidR="00463FA6" w:rsidRPr="006972D0" w:rsidRDefault="00463FA6" w:rsidP="006972D0">
      <w:pPr>
        <w:pStyle w:val="EndNoteBibliography"/>
        <w:spacing w:after="0"/>
      </w:pPr>
      <w:r w:rsidRPr="006972D0">
        <w:t>44. Nezvalova-Henriksen K, Spigset O, Nordeng H. Effects of ibuprofen, diclofenac, naproxen, and piroxicam on the course of pregnancy and pregnancy outcome: a prospective cohort study. BJOG. 2013;120(8):948-59. doi:10.1111/1471-0528.12192.</w:t>
      </w:r>
    </w:p>
    <w:p w14:paraId="7C82C411" w14:textId="446B56C4" w:rsidR="00463FA6" w:rsidRPr="006972D0" w:rsidRDefault="00463FA6" w:rsidP="006972D0">
      <w:pPr>
        <w:pStyle w:val="EndNoteBibliography"/>
        <w:spacing w:after="0"/>
      </w:pPr>
      <w:r w:rsidRPr="006972D0">
        <w:t>45. Li DK, Liu L, Odouli R. Exposure to non-steroidal anti-inflammatory drugs during pregnancy and risk of miscarriage: pop</w:t>
      </w:r>
      <w:r w:rsidR="00431A05">
        <w:t>ulation based cohort study. BMJ</w:t>
      </w:r>
      <w:r w:rsidRPr="006972D0">
        <w:t>. 2003;327(7411):368. doi:10.1136/bmj.327.7411.368.</w:t>
      </w:r>
    </w:p>
    <w:p w14:paraId="3FA8C6BF" w14:textId="77777777" w:rsidR="00463FA6" w:rsidRPr="006972D0" w:rsidRDefault="00463FA6" w:rsidP="006972D0">
      <w:pPr>
        <w:pStyle w:val="EndNoteBibliography"/>
      </w:pPr>
      <w:r w:rsidRPr="006972D0">
        <w:t>46. Van Marter LJ, Hernandez-Diaz S, Werler MM, Louik C, Mitchell AA. Nonsteroidal antiinflammatory drugs in late pregnancy and persistent pulmonary hypertension of the newborn. Pediatrics. 2013;131(1):79-87. doi:10.1542/peds.2012-0496.</w:t>
      </w:r>
    </w:p>
    <w:p w14:paraId="48DD6FEB" w14:textId="77777777" w:rsidR="00463FA6" w:rsidRPr="00FB4F7D" w:rsidRDefault="00463FA6">
      <w:pPr>
        <w:rPr>
          <w:rFonts w:cstheme="minorHAnsi"/>
        </w:rPr>
      </w:pPr>
    </w:p>
    <w:p w14:paraId="721B5EBD" w14:textId="77777777" w:rsidR="00F2724B" w:rsidRDefault="00F2724B"/>
    <w:sectPr w:rsidR="00F2724B">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228FC" w14:textId="77777777" w:rsidR="00463FA6" w:rsidRDefault="00463FA6" w:rsidP="00463FA6">
      <w:pPr>
        <w:spacing w:after="0" w:line="240" w:lineRule="auto"/>
      </w:pPr>
      <w:r>
        <w:separator/>
      </w:r>
    </w:p>
  </w:endnote>
  <w:endnote w:type="continuationSeparator" w:id="0">
    <w:p w14:paraId="44554723" w14:textId="77777777" w:rsidR="00463FA6" w:rsidRDefault="00463FA6" w:rsidP="00463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647798"/>
      <w:docPartObj>
        <w:docPartGallery w:val="Page Numbers (Bottom of Page)"/>
        <w:docPartUnique/>
      </w:docPartObj>
    </w:sdtPr>
    <w:sdtEndPr>
      <w:rPr>
        <w:noProof/>
      </w:rPr>
    </w:sdtEndPr>
    <w:sdtContent>
      <w:p w14:paraId="36C12375" w14:textId="164B16A6" w:rsidR="00E11762" w:rsidRDefault="00300770">
        <w:pPr>
          <w:pStyle w:val="Footer"/>
          <w:jc w:val="right"/>
        </w:pPr>
        <w:r>
          <w:fldChar w:fldCharType="begin"/>
        </w:r>
        <w:r>
          <w:instrText xml:space="preserve"> PAGE   \* MERGEFORMAT </w:instrText>
        </w:r>
        <w:r>
          <w:fldChar w:fldCharType="separate"/>
        </w:r>
        <w:r w:rsidR="0028258C">
          <w:rPr>
            <w:noProof/>
          </w:rPr>
          <w:t>4</w:t>
        </w:r>
        <w:r>
          <w:rPr>
            <w:noProof/>
          </w:rPr>
          <w:fldChar w:fldCharType="end"/>
        </w:r>
      </w:p>
    </w:sdtContent>
  </w:sdt>
  <w:p w14:paraId="2A7A008B" w14:textId="77777777" w:rsidR="00E11762" w:rsidRDefault="00282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D250E" w14:textId="77777777" w:rsidR="00463FA6" w:rsidRDefault="00463FA6" w:rsidP="00463FA6">
      <w:pPr>
        <w:spacing w:after="0" w:line="240" w:lineRule="auto"/>
      </w:pPr>
      <w:r>
        <w:separator/>
      </w:r>
    </w:p>
  </w:footnote>
  <w:footnote w:type="continuationSeparator" w:id="0">
    <w:p w14:paraId="6AAAD478" w14:textId="77777777" w:rsidR="00463FA6" w:rsidRDefault="00463FA6" w:rsidP="00463FA6">
      <w:pPr>
        <w:spacing w:after="0" w:line="240" w:lineRule="auto"/>
      </w:pPr>
      <w:r>
        <w:continuationSeparator/>
      </w:r>
    </w:p>
  </w:footnote>
  <w:footnote w:id="1">
    <w:p w14:paraId="4E38C734" w14:textId="77777777" w:rsidR="00463FA6" w:rsidRDefault="00463FA6">
      <w:pPr>
        <w:pStyle w:val="FootnoteText"/>
        <w:rPr>
          <w:rFonts w:ascii="Calibri" w:eastAsia="Calibri" w:hAnsi="Calibri" w:cs="Calibri"/>
          <w:i/>
          <w:iCs/>
          <w:color w:val="000000" w:themeColor="text1"/>
          <w:lang w:val="en-US"/>
        </w:rPr>
      </w:pPr>
      <w:r>
        <w:rPr>
          <w:rStyle w:val="FootnoteReference"/>
        </w:rPr>
        <w:footnoteRef/>
      </w:r>
      <w:r>
        <w:t xml:space="preserve"> A</w:t>
      </w:r>
      <w:r w:rsidRPr="34A20D10">
        <w:t>vailable a</w:t>
      </w:r>
      <w:r>
        <w:t>t</w:t>
      </w:r>
      <w:r w:rsidRPr="34A20D10">
        <w:t xml:space="preserve"> </w:t>
      </w:r>
      <w:hyperlink r:id="rId1" w:history="1">
        <w:r w:rsidRPr="00303561">
          <w:rPr>
            <w:rStyle w:val="Hyperlink"/>
            <w:rFonts w:ascii="Calibri" w:eastAsia="Calibri" w:hAnsi="Calibri" w:cs="Calibri"/>
            <w:i/>
            <w:iCs/>
            <w:lang w:val="en-US"/>
          </w:rPr>
          <w:t>https://www.fda.gov/Drugs/InformationOnDrugs/ucm135821.htm</w:t>
        </w:r>
      </w:hyperlink>
    </w:p>
    <w:p w14:paraId="733EF067" w14:textId="77777777" w:rsidR="00463FA6" w:rsidRDefault="00463FA6">
      <w:pPr>
        <w:pStyle w:val="FootnoteText"/>
        <w:rPr>
          <w:rStyle w:val="Hyperlink"/>
          <w:rFonts w:cstheme="minorHAnsi"/>
          <w:i/>
        </w:rPr>
      </w:pPr>
      <w:r w:rsidRPr="00062421">
        <w:rPr>
          <w:vertAlign w:val="superscript"/>
          <w:lang w:val="en-US"/>
        </w:rPr>
        <w:t>2</w:t>
      </w:r>
      <w:r>
        <w:rPr>
          <w:vertAlign w:val="superscript"/>
          <w:lang w:val="en-US"/>
        </w:rPr>
        <w:t xml:space="preserve"> </w:t>
      </w:r>
      <w:r>
        <w:rPr>
          <w:lang w:val="en-US"/>
        </w:rPr>
        <w:t xml:space="preserve">Available at </w:t>
      </w:r>
      <w:hyperlink r:id="rId2" w:history="1">
        <w:r w:rsidRPr="00062421">
          <w:rPr>
            <w:rStyle w:val="Hyperlink"/>
            <w:rFonts w:cstheme="minorHAnsi"/>
            <w:i/>
          </w:rPr>
          <w:t>https://www.tga.gov.au/prescribing-medicines-pregnancy-database</w:t>
        </w:r>
      </w:hyperlink>
    </w:p>
    <w:p w14:paraId="50998971" w14:textId="77777777" w:rsidR="00463FA6" w:rsidRPr="00062421" w:rsidRDefault="00463FA6" w:rsidP="00A52862">
      <w:pPr>
        <w:pStyle w:val="FootnoteText"/>
        <w:rPr>
          <w:lang w:val="en-US"/>
        </w:rPr>
      </w:pPr>
      <w:r w:rsidRPr="00030443">
        <w:rPr>
          <w:rFonts w:cstheme="minorHAnsi"/>
          <w:vertAlign w:val="superscript"/>
        </w:rPr>
        <w:t>3</w:t>
      </w:r>
      <w:r w:rsidRPr="00FB4F7D">
        <w:rPr>
          <w:rFonts w:cstheme="minorHAnsi"/>
        </w:rPr>
        <w:t xml:space="preserve"> </w:t>
      </w:r>
      <w:r>
        <w:rPr>
          <w:rFonts w:cstheme="minorHAnsi"/>
        </w:rPr>
        <w:t xml:space="preserve">Available at </w:t>
      </w:r>
      <w:hyperlink r:id="rId3" w:history="1">
        <w:r w:rsidRPr="006B0226">
          <w:rPr>
            <w:rStyle w:val="Hyperlink"/>
            <w:rFonts w:cstheme="minorHAnsi"/>
          </w:rPr>
          <w:t>https://www.babymed.com/tools/retro-conce</w:t>
        </w:r>
        <w:r w:rsidRPr="00FB4F7D">
          <w:rPr>
            <w:rStyle w:val="Hyperlink"/>
            <w:rFonts w:cstheme="minorHAnsi"/>
          </w:rPr>
          <w:t>ption-birthday</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17B53"/>
    <w:multiLevelType w:val="hybridMultilevel"/>
    <w:tmpl w:val="10FE25E2"/>
    <w:lvl w:ilvl="0" w:tplc="E5546C60">
      <w:numFmt w:val="bullet"/>
      <w:lvlText w:val=""/>
      <w:lvlJc w:val="left"/>
      <w:pPr>
        <w:ind w:left="720" w:hanging="360"/>
      </w:pPr>
      <w:rPr>
        <w:rFonts w:ascii="Symbol" w:eastAsia="Times New Roman" w:hAnsi="Symbol" w:cs="Arial" w:hint="default"/>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8142AD"/>
    <w:multiLevelType w:val="hybridMultilevel"/>
    <w:tmpl w:val="6A3AA340"/>
    <w:lvl w:ilvl="0" w:tplc="49E8DF30">
      <w:start w:val="1"/>
      <w:numFmt w:val="upperRoman"/>
      <w:lvlText w:val="%1."/>
      <w:lvlJc w:val="left"/>
      <w:pPr>
        <w:ind w:left="720" w:hanging="360"/>
      </w:pPr>
    </w:lvl>
    <w:lvl w:ilvl="1" w:tplc="F4563A94">
      <w:start w:val="1"/>
      <w:numFmt w:val="lowerLetter"/>
      <w:lvlText w:val="%2."/>
      <w:lvlJc w:val="left"/>
      <w:pPr>
        <w:ind w:left="1440" w:hanging="360"/>
      </w:pPr>
    </w:lvl>
    <w:lvl w:ilvl="2" w:tplc="8E18A70A">
      <w:start w:val="1"/>
      <w:numFmt w:val="lowerRoman"/>
      <w:lvlText w:val="%3."/>
      <w:lvlJc w:val="right"/>
      <w:pPr>
        <w:ind w:left="2160" w:hanging="180"/>
      </w:pPr>
    </w:lvl>
    <w:lvl w:ilvl="3" w:tplc="9F005CE4">
      <w:start w:val="1"/>
      <w:numFmt w:val="decimal"/>
      <w:lvlText w:val="%4."/>
      <w:lvlJc w:val="left"/>
      <w:pPr>
        <w:ind w:left="2880" w:hanging="360"/>
      </w:pPr>
    </w:lvl>
    <w:lvl w:ilvl="4" w:tplc="14B0EC18">
      <w:start w:val="1"/>
      <w:numFmt w:val="lowerLetter"/>
      <w:lvlText w:val="%5."/>
      <w:lvlJc w:val="left"/>
      <w:pPr>
        <w:ind w:left="3600" w:hanging="360"/>
      </w:pPr>
    </w:lvl>
    <w:lvl w:ilvl="5" w:tplc="F942007C">
      <w:start w:val="1"/>
      <w:numFmt w:val="lowerRoman"/>
      <w:lvlText w:val="%6."/>
      <w:lvlJc w:val="right"/>
      <w:pPr>
        <w:ind w:left="4320" w:hanging="180"/>
      </w:pPr>
    </w:lvl>
    <w:lvl w:ilvl="6" w:tplc="FC68DAD4">
      <w:start w:val="1"/>
      <w:numFmt w:val="decimal"/>
      <w:lvlText w:val="%7."/>
      <w:lvlJc w:val="left"/>
      <w:pPr>
        <w:ind w:left="5040" w:hanging="360"/>
      </w:pPr>
    </w:lvl>
    <w:lvl w:ilvl="7" w:tplc="A176D684">
      <w:start w:val="1"/>
      <w:numFmt w:val="lowerLetter"/>
      <w:lvlText w:val="%8."/>
      <w:lvlJc w:val="left"/>
      <w:pPr>
        <w:ind w:left="5760" w:hanging="360"/>
      </w:pPr>
    </w:lvl>
    <w:lvl w:ilvl="8" w:tplc="2CC25256">
      <w:start w:val="1"/>
      <w:numFmt w:val="lowerRoman"/>
      <w:lvlText w:val="%9."/>
      <w:lvlJc w:val="right"/>
      <w:pPr>
        <w:ind w:left="6480" w:hanging="180"/>
      </w:pPr>
    </w:lvl>
  </w:abstractNum>
  <w:abstractNum w:abstractNumId="2" w15:restartNumberingAfterBreak="0">
    <w:nsid w:val="2E7743B3"/>
    <w:multiLevelType w:val="hybridMultilevel"/>
    <w:tmpl w:val="D6588CE8"/>
    <w:lvl w:ilvl="0" w:tplc="EB7CAFCC">
      <w:start w:val="12"/>
      <w:numFmt w:val="bullet"/>
      <w:lvlText w:val=""/>
      <w:lvlJc w:val="left"/>
      <w:pPr>
        <w:ind w:left="405" w:hanging="360"/>
      </w:pPr>
      <w:rPr>
        <w:rFonts w:ascii="Symbol" w:eastAsiaTheme="minorHAnsi" w:hAnsi="Symbol"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2EE845F1"/>
    <w:multiLevelType w:val="hybridMultilevel"/>
    <w:tmpl w:val="C12C3234"/>
    <w:lvl w:ilvl="0" w:tplc="2FB48384">
      <w:start w:val="19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D00E07"/>
    <w:multiLevelType w:val="hybridMultilevel"/>
    <w:tmpl w:val="4BA8F0C4"/>
    <w:lvl w:ilvl="0" w:tplc="3D961E9A">
      <w:start w:val="1"/>
      <w:numFmt w:val="decimal"/>
      <w:lvlText w:val="%1."/>
      <w:lvlJc w:val="left"/>
      <w:pPr>
        <w:ind w:left="720" w:hanging="360"/>
      </w:pPr>
      <w:rPr>
        <w:rFonts w:hint="default"/>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C97549"/>
    <w:multiLevelType w:val="multilevel"/>
    <w:tmpl w:val="7D92C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0B0450"/>
    <w:multiLevelType w:val="singleLevel"/>
    <w:tmpl w:val="B0E6167E"/>
    <w:name w:val="ABRE"/>
    <w:lvl w:ilvl="0">
      <w:start w:val="1"/>
      <w:numFmt w:val="decimal"/>
      <w:pStyle w:val="References"/>
      <w:lvlText w:val="%1."/>
      <w:lvlJc w:val="right"/>
      <w:pPr>
        <w:tabs>
          <w:tab w:val="num" w:pos="648"/>
        </w:tabs>
        <w:ind w:left="648" w:hanging="360"/>
      </w:pPr>
      <w:rPr>
        <w:rFonts w:ascii="Times New Roman" w:hAnsi="Times New Roman" w:cs="Times New Roman"/>
        <w:b w:val="0"/>
        <w:i w:val="0"/>
        <w:caps w:val="0"/>
        <w:sz w:val="24"/>
        <w:u w:val="none"/>
        <w:vertAlign w:val="baseline"/>
      </w:rPr>
    </w:lvl>
  </w:abstractNum>
  <w:abstractNum w:abstractNumId="7" w15:restartNumberingAfterBreak="0">
    <w:nsid w:val="4BE25BE6"/>
    <w:multiLevelType w:val="hybridMultilevel"/>
    <w:tmpl w:val="2CAE5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7275C3"/>
    <w:multiLevelType w:val="hybridMultilevel"/>
    <w:tmpl w:val="3F4EF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DB3847"/>
    <w:multiLevelType w:val="hybridMultilevel"/>
    <w:tmpl w:val="91725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D70783"/>
    <w:multiLevelType w:val="multilevel"/>
    <w:tmpl w:val="CD94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EC394A"/>
    <w:multiLevelType w:val="hybridMultilevel"/>
    <w:tmpl w:val="36A0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4E798B"/>
    <w:multiLevelType w:val="hybridMultilevel"/>
    <w:tmpl w:val="3C947370"/>
    <w:lvl w:ilvl="0" w:tplc="29E8F0CE">
      <w:start w:val="1"/>
      <w:numFmt w:val="upperRoman"/>
      <w:lvlText w:val="%1."/>
      <w:lvlJc w:val="left"/>
      <w:pPr>
        <w:ind w:left="720" w:hanging="360"/>
      </w:pPr>
    </w:lvl>
    <w:lvl w:ilvl="1" w:tplc="A2368B10">
      <w:start w:val="1"/>
      <w:numFmt w:val="lowerLetter"/>
      <w:lvlText w:val="%2."/>
      <w:lvlJc w:val="left"/>
      <w:pPr>
        <w:ind w:left="1440" w:hanging="360"/>
      </w:pPr>
    </w:lvl>
    <w:lvl w:ilvl="2" w:tplc="6EEA60EA">
      <w:start w:val="1"/>
      <w:numFmt w:val="lowerRoman"/>
      <w:lvlText w:val="%3."/>
      <w:lvlJc w:val="right"/>
      <w:pPr>
        <w:ind w:left="2160" w:hanging="180"/>
      </w:pPr>
    </w:lvl>
    <w:lvl w:ilvl="3" w:tplc="762E39D6">
      <w:start w:val="1"/>
      <w:numFmt w:val="decimal"/>
      <w:lvlText w:val="%4."/>
      <w:lvlJc w:val="left"/>
      <w:pPr>
        <w:ind w:left="2880" w:hanging="360"/>
      </w:pPr>
    </w:lvl>
    <w:lvl w:ilvl="4" w:tplc="0E38EAF8">
      <w:start w:val="1"/>
      <w:numFmt w:val="lowerLetter"/>
      <w:lvlText w:val="%5."/>
      <w:lvlJc w:val="left"/>
      <w:pPr>
        <w:ind w:left="3600" w:hanging="360"/>
      </w:pPr>
    </w:lvl>
    <w:lvl w:ilvl="5" w:tplc="C6821FDA">
      <w:start w:val="1"/>
      <w:numFmt w:val="lowerRoman"/>
      <w:lvlText w:val="%6."/>
      <w:lvlJc w:val="right"/>
      <w:pPr>
        <w:ind w:left="4320" w:hanging="180"/>
      </w:pPr>
    </w:lvl>
    <w:lvl w:ilvl="6" w:tplc="3C9826B4">
      <w:start w:val="1"/>
      <w:numFmt w:val="decimal"/>
      <w:lvlText w:val="%7."/>
      <w:lvlJc w:val="left"/>
      <w:pPr>
        <w:ind w:left="5040" w:hanging="360"/>
      </w:pPr>
    </w:lvl>
    <w:lvl w:ilvl="7" w:tplc="3A3A2CEC">
      <w:start w:val="1"/>
      <w:numFmt w:val="lowerLetter"/>
      <w:lvlText w:val="%8."/>
      <w:lvlJc w:val="left"/>
      <w:pPr>
        <w:ind w:left="5760" w:hanging="360"/>
      </w:pPr>
    </w:lvl>
    <w:lvl w:ilvl="8" w:tplc="B14ADC84">
      <w:start w:val="1"/>
      <w:numFmt w:val="lowerRoman"/>
      <w:lvlText w:val="%9."/>
      <w:lvlJc w:val="right"/>
      <w:pPr>
        <w:ind w:left="6480" w:hanging="180"/>
      </w:pPr>
    </w:lvl>
  </w:abstractNum>
  <w:abstractNum w:abstractNumId="13" w15:restartNumberingAfterBreak="0">
    <w:nsid w:val="6806073F"/>
    <w:multiLevelType w:val="hybridMultilevel"/>
    <w:tmpl w:val="7F5C6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D3233B"/>
    <w:multiLevelType w:val="multilevel"/>
    <w:tmpl w:val="4B6A6E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2"/>
  </w:num>
  <w:num w:numId="3">
    <w:abstractNumId w:val="1"/>
  </w:num>
  <w:num w:numId="4">
    <w:abstractNumId w:val="5"/>
  </w:num>
  <w:num w:numId="5">
    <w:abstractNumId w:val="7"/>
  </w:num>
  <w:num w:numId="6">
    <w:abstractNumId w:val="4"/>
  </w:num>
  <w:num w:numId="7">
    <w:abstractNumId w:val="6"/>
  </w:num>
  <w:num w:numId="8">
    <w:abstractNumId w:val="3"/>
  </w:num>
  <w:num w:numId="9">
    <w:abstractNumId w:val="2"/>
  </w:num>
  <w:num w:numId="10">
    <w:abstractNumId w:val="8"/>
  </w:num>
  <w:num w:numId="11">
    <w:abstractNumId w:val="13"/>
  </w:num>
  <w:num w:numId="12">
    <w:abstractNumId w:val="9"/>
  </w:num>
  <w:num w:numId="13">
    <w:abstractNumId w:val="10"/>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463FA6"/>
    <w:rsid w:val="00224F27"/>
    <w:rsid w:val="0028258C"/>
    <w:rsid w:val="00300770"/>
    <w:rsid w:val="003D4110"/>
    <w:rsid w:val="00431A05"/>
    <w:rsid w:val="00463FA6"/>
    <w:rsid w:val="00B00B69"/>
    <w:rsid w:val="00F27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D9D01"/>
  <w15:chartTrackingRefBased/>
  <w15:docId w15:val="{7A465CD6-44E5-4A56-BF90-9434D8766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FA6"/>
  </w:style>
  <w:style w:type="paragraph" w:styleId="Heading1">
    <w:name w:val="heading 1"/>
    <w:basedOn w:val="Normal"/>
    <w:link w:val="Heading1Char"/>
    <w:uiPriority w:val="9"/>
    <w:qFormat/>
    <w:rsid w:val="00463F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463F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63FA6"/>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FA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63FA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63FA6"/>
    <w:rPr>
      <w:rFonts w:asciiTheme="majorHAnsi" w:eastAsiaTheme="majorEastAsia" w:hAnsiTheme="majorHAnsi" w:cstheme="majorBidi"/>
      <w:color w:val="1F4D78" w:themeColor="accent1" w:themeShade="7F"/>
      <w:sz w:val="24"/>
      <w:szCs w:val="24"/>
      <w:lang w:val="en-US"/>
    </w:rPr>
  </w:style>
  <w:style w:type="character" w:styleId="Hyperlink">
    <w:name w:val="Hyperlink"/>
    <w:basedOn w:val="DefaultParagraphFont"/>
    <w:uiPriority w:val="99"/>
    <w:unhideWhenUsed/>
    <w:rsid w:val="00463FA6"/>
    <w:rPr>
      <w:color w:val="0000FF"/>
      <w:u w:val="single"/>
    </w:rPr>
  </w:style>
  <w:style w:type="character" w:customStyle="1" w:styleId="il">
    <w:name w:val="il"/>
    <w:basedOn w:val="DefaultParagraphFont"/>
    <w:rsid w:val="00463FA6"/>
  </w:style>
  <w:style w:type="paragraph" w:customStyle="1" w:styleId="Title1">
    <w:name w:val="Title1"/>
    <w:basedOn w:val="Normal"/>
    <w:rsid w:val="00463F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sc">
    <w:name w:val="desc"/>
    <w:basedOn w:val="Normal"/>
    <w:rsid w:val="00463F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tails">
    <w:name w:val="details"/>
    <w:basedOn w:val="Normal"/>
    <w:rsid w:val="00463F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rnl">
    <w:name w:val="jrnl"/>
    <w:basedOn w:val="DefaultParagraphFont"/>
    <w:rsid w:val="00463FA6"/>
  </w:style>
  <w:style w:type="character" w:customStyle="1" w:styleId="highlight">
    <w:name w:val="highlight"/>
    <w:basedOn w:val="DefaultParagraphFont"/>
    <w:rsid w:val="00463FA6"/>
  </w:style>
  <w:style w:type="paragraph" w:styleId="ListParagraph">
    <w:name w:val="List Paragraph"/>
    <w:basedOn w:val="Normal"/>
    <w:uiPriority w:val="34"/>
    <w:qFormat/>
    <w:rsid w:val="00463FA6"/>
    <w:pPr>
      <w:ind w:left="720"/>
      <w:contextualSpacing/>
    </w:pPr>
  </w:style>
  <w:style w:type="character" w:customStyle="1" w:styleId="ref-journal">
    <w:name w:val="ref-journal"/>
    <w:basedOn w:val="DefaultParagraphFont"/>
    <w:rsid w:val="00463FA6"/>
  </w:style>
  <w:style w:type="character" w:customStyle="1" w:styleId="ref-vol">
    <w:name w:val="ref-vol"/>
    <w:basedOn w:val="DefaultParagraphFont"/>
    <w:rsid w:val="00463FA6"/>
  </w:style>
  <w:style w:type="paragraph" w:styleId="NoSpacing">
    <w:name w:val="No Spacing"/>
    <w:uiPriority w:val="1"/>
    <w:qFormat/>
    <w:rsid w:val="00463FA6"/>
    <w:pPr>
      <w:spacing w:after="0" w:line="240" w:lineRule="auto"/>
    </w:pPr>
  </w:style>
  <w:style w:type="paragraph" w:styleId="Title">
    <w:name w:val="Title"/>
    <w:basedOn w:val="Normal"/>
    <w:next w:val="Normal"/>
    <w:link w:val="TitleChar"/>
    <w:uiPriority w:val="10"/>
    <w:qFormat/>
    <w:rsid w:val="00463F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FA6"/>
    <w:rPr>
      <w:rFonts w:asciiTheme="majorHAnsi" w:eastAsiaTheme="majorEastAsia" w:hAnsiTheme="majorHAnsi" w:cstheme="majorBidi"/>
      <w:spacing w:val="-10"/>
      <w:kern w:val="28"/>
      <w:sz w:val="56"/>
      <w:szCs w:val="56"/>
    </w:rPr>
  </w:style>
  <w:style w:type="paragraph" w:customStyle="1" w:styleId="m-6987256047149701944xmsonormal">
    <w:name w:val="m_-6987256047149701944x_msonormal"/>
    <w:basedOn w:val="Normal"/>
    <w:rsid w:val="00463F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6987256047149701944xpreflabel">
    <w:name w:val="m_-6987256047149701944x_preflabel"/>
    <w:basedOn w:val="DefaultParagraphFont"/>
    <w:rsid w:val="00463FA6"/>
  </w:style>
  <w:style w:type="paragraph" w:styleId="BalloonText">
    <w:name w:val="Balloon Text"/>
    <w:basedOn w:val="Normal"/>
    <w:link w:val="BalloonTextChar"/>
    <w:uiPriority w:val="99"/>
    <w:semiHidden/>
    <w:unhideWhenUsed/>
    <w:rsid w:val="00463F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FA6"/>
    <w:rPr>
      <w:rFonts w:ascii="Segoe UI" w:hAnsi="Segoe UI" w:cs="Segoe UI"/>
      <w:sz w:val="18"/>
      <w:szCs w:val="18"/>
    </w:rPr>
  </w:style>
  <w:style w:type="character" w:styleId="Emphasis">
    <w:name w:val="Emphasis"/>
    <w:basedOn w:val="DefaultParagraphFont"/>
    <w:uiPriority w:val="20"/>
    <w:qFormat/>
    <w:rsid w:val="00463FA6"/>
    <w:rPr>
      <w:i/>
      <w:iCs/>
    </w:rPr>
  </w:style>
  <w:style w:type="character" w:styleId="CommentReference">
    <w:name w:val="annotation reference"/>
    <w:basedOn w:val="DefaultParagraphFont"/>
    <w:uiPriority w:val="99"/>
    <w:unhideWhenUsed/>
    <w:rsid w:val="00463FA6"/>
    <w:rPr>
      <w:sz w:val="16"/>
      <w:szCs w:val="16"/>
    </w:rPr>
  </w:style>
  <w:style w:type="paragraph" w:styleId="CommentText">
    <w:name w:val="annotation text"/>
    <w:basedOn w:val="Normal"/>
    <w:link w:val="CommentTextChar"/>
    <w:uiPriority w:val="99"/>
    <w:unhideWhenUsed/>
    <w:rsid w:val="00463FA6"/>
    <w:pPr>
      <w:spacing w:line="240" w:lineRule="auto"/>
    </w:pPr>
    <w:rPr>
      <w:sz w:val="20"/>
      <w:szCs w:val="20"/>
    </w:rPr>
  </w:style>
  <w:style w:type="character" w:customStyle="1" w:styleId="CommentTextChar">
    <w:name w:val="Comment Text Char"/>
    <w:basedOn w:val="DefaultParagraphFont"/>
    <w:link w:val="CommentText"/>
    <w:uiPriority w:val="99"/>
    <w:rsid w:val="00463FA6"/>
    <w:rPr>
      <w:sz w:val="20"/>
      <w:szCs w:val="20"/>
    </w:rPr>
  </w:style>
  <w:style w:type="paragraph" w:styleId="CommentSubject">
    <w:name w:val="annotation subject"/>
    <w:basedOn w:val="CommentText"/>
    <w:next w:val="CommentText"/>
    <w:link w:val="CommentSubjectChar"/>
    <w:uiPriority w:val="99"/>
    <w:semiHidden/>
    <w:unhideWhenUsed/>
    <w:rsid w:val="00463FA6"/>
    <w:rPr>
      <w:b/>
      <w:bCs/>
    </w:rPr>
  </w:style>
  <w:style w:type="character" w:customStyle="1" w:styleId="CommentSubjectChar">
    <w:name w:val="Comment Subject Char"/>
    <w:basedOn w:val="CommentTextChar"/>
    <w:link w:val="CommentSubject"/>
    <w:uiPriority w:val="99"/>
    <w:semiHidden/>
    <w:rsid w:val="00463FA6"/>
    <w:rPr>
      <w:b/>
      <w:bCs/>
      <w:sz w:val="20"/>
      <w:szCs w:val="20"/>
    </w:rPr>
  </w:style>
  <w:style w:type="character" w:customStyle="1" w:styleId="page-introtype">
    <w:name w:val="page-intro__type"/>
    <w:basedOn w:val="DefaultParagraphFont"/>
    <w:rsid w:val="00463FA6"/>
  </w:style>
  <w:style w:type="table" w:styleId="TableGrid">
    <w:name w:val="Table Grid"/>
    <w:basedOn w:val="TableNormal"/>
    <w:uiPriority w:val="39"/>
    <w:rsid w:val="00463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rsid w:val="00463FA6"/>
    <w:pPr>
      <w:numPr>
        <w:numId w:val="7"/>
      </w:numPr>
      <w:spacing w:before="60" w:after="60" w:line="360" w:lineRule="exact"/>
    </w:pPr>
    <w:rPr>
      <w:rFonts w:ascii="Times New Roman" w:eastAsia="MS Mincho" w:hAnsi="Times New Roman" w:cs="Times New Roman"/>
      <w:sz w:val="24"/>
      <w:szCs w:val="24"/>
      <w:lang w:val="en-US" w:eastAsia="ja-JP"/>
    </w:rPr>
  </w:style>
  <w:style w:type="character" w:customStyle="1" w:styleId="Citation">
    <w:name w:val="Citation"/>
    <w:rsid w:val="00463FA6"/>
    <w:rPr>
      <w:color w:val="auto"/>
      <w:vertAlign w:val="superscript"/>
      <w:lang w:val="en-US" w:eastAsia="ja-JP"/>
    </w:rPr>
  </w:style>
  <w:style w:type="paragraph" w:styleId="Revision">
    <w:name w:val="Revision"/>
    <w:hidden/>
    <w:uiPriority w:val="99"/>
    <w:semiHidden/>
    <w:rsid w:val="00463FA6"/>
    <w:pPr>
      <w:spacing w:after="0" w:line="240" w:lineRule="auto"/>
    </w:pPr>
  </w:style>
  <w:style w:type="paragraph" w:customStyle="1" w:styleId="EndNoteBibliography">
    <w:name w:val="EndNote Bibliography"/>
    <w:basedOn w:val="Normal"/>
    <w:link w:val="EndNoteBibliographyChar"/>
    <w:rsid w:val="00463FA6"/>
    <w:pPr>
      <w:spacing w:after="200"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463FA6"/>
    <w:rPr>
      <w:rFonts w:ascii="Calibri" w:hAnsi="Calibri" w:cs="Calibri"/>
      <w:noProof/>
      <w:lang w:val="en-US"/>
    </w:rPr>
  </w:style>
  <w:style w:type="paragraph" w:styleId="Header">
    <w:name w:val="header"/>
    <w:basedOn w:val="Normal"/>
    <w:link w:val="HeaderChar"/>
    <w:uiPriority w:val="99"/>
    <w:unhideWhenUsed/>
    <w:rsid w:val="00463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FA6"/>
  </w:style>
  <w:style w:type="paragraph" w:styleId="Footer">
    <w:name w:val="footer"/>
    <w:basedOn w:val="Normal"/>
    <w:link w:val="FooterChar"/>
    <w:uiPriority w:val="99"/>
    <w:unhideWhenUsed/>
    <w:rsid w:val="00463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FA6"/>
  </w:style>
  <w:style w:type="paragraph" w:styleId="FootnoteText">
    <w:name w:val="footnote text"/>
    <w:basedOn w:val="Normal"/>
    <w:link w:val="FootnoteTextChar"/>
    <w:uiPriority w:val="99"/>
    <w:semiHidden/>
    <w:unhideWhenUsed/>
    <w:rsid w:val="00463F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3FA6"/>
    <w:rPr>
      <w:sz w:val="20"/>
      <w:szCs w:val="20"/>
    </w:rPr>
  </w:style>
  <w:style w:type="character" w:styleId="FootnoteReference">
    <w:name w:val="footnote reference"/>
    <w:basedOn w:val="DefaultParagraphFont"/>
    <w:uiPriority w:val="99"/>
    <w:semiHidden/>
    <w:unhideWhenUsed/>
    <w:rsid w:val="00463FA6"/>
    <w:rPr>
      <w:vertAlign w:val="superscript"/>
    </w:rPr>
  </w:style>
  <w:style w:type="paragraph" w:customStyle="1" w:styleId="Title2">
    <w:name w:val="Title2"/>
    <w:basedOn w:val="Normal"/>
    <w:rsid w:val="00463FA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ndNoteBibliographyTitle">
    <w:name w:val="EndNote Bibliography Title"/>
    <w:basedOn w:val="Normal"/>
    <w:link w:val="EndNoteBibliographyTitleChar"/>
    <w:rsid w:val="00463FA6"/>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63FA6"/>
    <w:rPr>
      <w:rFonts w:ascii="Calibri" w:hAnsi="Calibri" w:cs="Calibri"/>
      <w:noProof/>
      <w:lang w:val="en-US"/>
    </w:rPr>
  </w:style>
  <w:style w:type="paragraph" w:styleId="EndnoteText">
    <w:name w:val="endnote text"/>
    <w:basedOn w:val="Normal"/>
    <w:link w:val="EndnoteTextChar"/>
    <w:uiPriority w:val="99"/>
    <w:semiHidden/>
    <w:unhideWhenUsed/>
    <w:rsid w:val="00463F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3FA6"/>
    <w:rPr>
      <w:sz w:val="20"/>
      <w:szCs w:val="20"/>
    </w:rPr>
  </w:style>
  <w:style w:type="character" w:styleId="EndnoteReference">
    <w:name w:val="endnote reference"/>
    <w:basedOn w:val="DefaultParagraphFont"/>
    <w:uiPriority w:val="99"/>
    <w:semiHidden/>
    <w:unhideWhenUsed/>
    <w:rsid w:val="00463F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ioportal.bioontology.org/ontologies/MEDDRA/?p=classes&amp;conceptid=http%3A%2F%2Fpurl.bioontology.org%2Fontology%2FMEDDRA%2F10038360" TargetMode="External"/><Relationship Id="rId18" Type="http://schemas.openxmlformats.org/officeDocument/2006/relationships/hyperlink" Target="http://bioportal.bioontology.org/ontologies/MEDDRA/?p=classes&amp;conceptid=http%3A%2F%2Fpurl.bioontology.org%2Fontology%2FMEDDRA%2F1001980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tga.gov.au/prescribing-medicines-pregnancy-database" TargetMode="External"/><Relationship Id="rId7" Type="http://schemas.openxmlformats.org/officeDocument/2006/relationships/hyperlink" Target="mailto:su.golder@york.ac.uk" TargetMode="External"/><Relationship Id="rId12" Type="http://schemas.openxmlformats.org/officeDocument/2006/relationships/hyperlink" Target="http://bioportal.bioontology.org/ontologies/MEDDRA/?p=classes&amp;conceptid=http%3A%2F%2Fpurl.bioontology.org%2Fontology%2FMEDDRA%2F10029299" TargetMode="External"/><Relationship Id="rId17" Type="http://schemas.openxmlformats.org/officeDocument/2006/relationships/hyperlink" Target="http://bioportal.bioontology.org/ontologies/MEDDRA/?p=classes&amp;conceptid=http%3A%2F%2Fpurl.bioontology.org%2Fontology%2FMEDDRA%2F1000533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bioportal.bioontology.org/ontologies/MEDDRA/?p=classes&amp;conceptid=http%3A%2F%2Fpurl.bioontology.org%2Fontology%2FMEDDRA%2F10040789" TargetMode="External"/><Relationship Id="rId20" Type="http://schemas.openxmlformats.org/officeDocument/2006/relationships/hyperlink" Target="http://bioportal.bioontology.org/ontologies/MEDDRA/?p=classes&amp;conceptid=http%3A%2F%2Fpurl.bioontology.org%2Fontology%2FMEDDRA%2F1001399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oportal.bioontology.org/ontologies/MEDDRA/?p=classes&amp;conceptid=http%3A%2F%2Fpurl.bioontology.org%2Fontology%2FMEDDRA%2F10008804" TargetMode="External"/><Relationship Id="rId24"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yperlink" Target="http://bioportal.bioontology.org/ontologies/MEDDRA/?p=classes&amp;conceptid=http%3A%2F%2Fpurl.bioontology.org%2Fontology%2FMEDDRA%2F10038686" TargetMode="External"/><Relationship Id="rId23" Type="http://schemas.openxmlformats.org/officeDocument/2006/relationships/image" Target="media/image2.png"/><Relationship Id="rId10" Type="http://schemas.openxmlformats.org/officeDocument/2006/relationships/hyperlink" Target="http://bioportal.bioontology.org/ontologies/MEDDRA/?p=classes&amp;conceptid=http%3A%2F%2Fpurl.bioontology.org%2Fontology%2FMEDDRA%2F10018018" TargetMode="External"/><Relationship Id="rId19" Type="http://schemas.openxmlformats.org/officeDocument/2006/relationships/hyperlink" Target="http://bioportal.bioontology.org/ontologies/MEDDRA/?p=classes&amp;conceptid=http%3A%2F%2Fpurl.bioontology.org%2Fontology%2FMEDDRA%2F10038608" TargetMode="External"/><Relationship Id="rId4" Type="http://schemas.openxmlformats.org/officeDocument/2006/relationships/webSettings" Target="webSettings.xml"/><Relationship Id="rId9" Type="http://schemas.openxmlformats.org/officeDocument/2006/relationships/hyperlink" Target="http://bioportal.bioontology.org/ontologies/MEDDRA/?p=classes&amp;conceptid=http%3A%2F%2Fpurl.bioontology.org%2Fontology%2FMEDDRA%2F10010331" TargetMode="External"/><Relationship Id="rId14" Type="http://schemas.openxmlformats.org/officeDocument/2006/relationships/hyperlink" Target="http://bioportal.bioontology.org/ontologies/MEDDRA/?p=classes&amp;conceptid=http%3A%2F%2Fpurl.bioontology.org%2Fontology%2FMEDDRA%2F10015920" TargetMode="External"/><Relationship Id="rId22" Type="http://schemas.openxmlformats.org/officeDocument/2006/relationships/hyperlink" Target="https://www.tga.gov.au/prescribing-medicines-pregnancy-database"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abymed.com/tools/retro-conception-birthday" TargetMode="External"/><Relationship Id="rId2" Type="http://schemas.openxmlformats.org/officeDocument/2006/relationships/hyperlink" Target="https://www.tga.gov.au/prescribing-medicines-pregnancy-database" TargetMode="External"/><Relationship Id="rId1" Type="http://schemas.openxmlformats.org/officeDocument/2006/relationships/hyperlink" Target="https://www.fda.gov/Drugs/InformationOnDrugs/ucm135821.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hscifs6\usershomedir$\spg3\Documents\Graciela\GraphsC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Age </a:t>
            </a:r>
            <a:r>
              <a:rPr lang="en-GB" sz="1400" b="0" i="0" u="none" strike="noStrike" baseline="0">
                <a:effectLst/>
              </a:rPr>
              <a:t>of the women who gave birth to a baby with a malformation (Cases) and without a malformation (controls)</a:t>
            </a:r>
            <a:endParaRPr lang="en-GB"/>
          </a:p>
        </c:rich>
      </c:tx>
      <c:layout/>
      <c:overlay val="0"/>
      <c:spPr>
        <a:noFill/>
        <a:ln>
          <a:noFill/>
        </a:ln>
        <a:effectLst/>
      </c:spPr>
    </c:title>
    <c:autoTitleDeleted val="0"/>
    <c:plotArea>
      <c:layout/>
      <c:barChart>
        <c:barDir val="col"/>
        <c:grouping val="clustered"/>
        <c:varyColors val="0"/>
        <c:ser>
          <c:idx val="0"/>
          <c:order val="0"/>
          <c:tx>
            <c:strRef>
              <c:f>Sheet1!$K$1</c:f>
              <c:strCache>
                <c:ptCount val="1"/>
                <c:pt idx="0">
                  <c:v>CM (cases)</c:v>
                </c:pt>
              </c:strCache>
            </c:strRef>
          </c:tx>
          <c:spPr>
            <a:solidFill>
              <a:schemeClr val="accent1"/>
            </a:solidFill>
            <a:ln>
              <a:noFill/>
            </a:ln>
            <a:effectLst/>
          </c:spPr>
          <c:invertIfNegative val="0"/>
          <c:cat>
            <c:numRef>
              <c:f>Sheet1!$J$2:$J$28</c:f>
              <c:numCache>
                <c:formatCode>General</c:formatCode>
                <c:ptCount val="27"/>
                <c:pt idx="0">
                  <c:v>16</c:v>
                </c:pt>
                <c:pt idx="1">
                  <c:v>17</c:v>
                </c:pt>
                <c:pt idx="2">
                  <c:v>18</c:v>
                </c:pt>
                <c:pt idx="3">
                  <c:v>19</c:v>
                </c:pt>
                <c:pt idx="4">
                  <c:v>20</c:v>
                </c:pt>
                <c:pt idx="5">
                  <c:v>21</c:v>
                </c:pt>
                <c:pt idx="6">
                  <c:v>22</c:v>
                </c:pt>
                <c:pt idx="7">
                  <c:v>23</c:v>
                </c:pt>
                <c:pt idx="8">
                  <c:v>24</c:v>
                </c:pt>
                <c:pt idx="9">
                  <c:v>25</c:v>
                </c:pt>
                <c:pt idx="10">
                  <c:v>26</c:v>
                </c:pt>
                <c:pt idx="11">
                  <c:v>27</c:v>
                </c:pt>
                <c:pt idx="12">
                  <c:v>28</c:v>
                </c:pt>
                <c:pt idx="13">
                  <c:v>29</c:v>
                </c:pt>
                <c:pt idx="14">
                  <c:v>30</c:v>
                </c:pt>
                <c:pt idx="15">
                  <c:v>31</c:v>
                </c:pt>
                <c:pt idx="16">
                  <c:v>32</c:v>
                </c:pt>
                <c:pt idx="17">
                  <c:v>33</c:v>
                </c:pt>
                <c:pt idx="18">
                  <c:v>34</c:v>
                </c:pt>
                <c:pt idx="19">
                  <c:v>35</c:v>
                </c:pt>
                <c:pt idx="20">
                  <c:v>36</c:v>
                </c:pt>
                <c:pt idx="21">
                  <c:v>37</c:v>
                </c:pt>
                <c:pt idx="22">
                  <c:v>38</c:v>
                </c:pt>
                <c:pt idx="23">
                  <c:v>39</c:v>
                </c:pt>
                <c:pt idx="24">
                  <c:v>40</c:v>
                </c:pt>
                <c:pt idx="25">
                  <c:v>41</c:v>
                </c:pt>
                <c:pt idx="26">
                  <c:v>42</c:v>
                </c:pt>
              </c:numCache>
            </c:numRef>
          </c:cat>
          <c:val>
            <c:numRef>
              <c:f>Sheet1!$K$2:$K$28</c:f>
              <c:numCache>
                <c:formatCode>General</c:formatCode>
                <c:ptCount val="27"/>
                <c:pt idx="0">
                  <c:v>0</c:v>
                </c:pt>
                <c:pt idx="1">
                  <c:v>3</c:v>
                </c:pt>
                <c:pt idx="2">
                  <c:v>4</c:v>
                </c:pt>
                <c:pt idx="3">
                  <c:v>21</c:v>
                </c:pt>
                <c:pt idx="4">
                  <c:v>24</c:v>
                </c:pt>
                <c:pt idx="5">
                  <c:v>16</c:v>
                </c:pt>
                <c:pt idx="6">
                  <c:v>11</c:v>
                </c:pt>
                <c:pt idx="7">
                  <c:v>11</c:v>
                </c:pt>
                <c:pt idx="8">
                  <c:v>8</c:v>
                </c:pt>
                <c:pt idx="9">
                  <c:v>7</c:v>
                </c:pt>
                <c:pt idx="10">
                  <c:v>12</c:v>
                </c:pt>
                <c:pt idx="11">
                  <c:v>6</c:v>
                </c:pt>
                <c:pt idx="12">
                  <c:v>9</c:v>
                </c:pt>
                <c:pt idx="13">
                  <c:v>2</c:v>
                </c:pt>
                <c:pt idx="14">
                  <c:v>5</c:v>
                </c:pt>
                <c:pt idx="15">
                  <c:v>3</c:v>
                </c:pt>
                <c:pt idx="16">
                  <c:v>5</c:v>
                </c:pt>
                <c:pt idx="17">
                  <c:v>4</c:v>
                </c:pt>
                <c:pt idx="18">
                  <c:v>5</c:v>
                </c:pt>
                <c:pt idx="19">
                  <c:v>4</c:v>
                </c:pt>
                <c:pt idx="20">
                  <c:v>0</c:v>
                </c:pt>
                <c:pt idx="21">
                  <c:v>0</c:v>
                </c:pt>
                <c:pt idx="22">
                  <c:v>2</c:v>
                </c:pt>
                <c:pt idx="23">
                  <c:v>0</c:v>
                </c:pt>
                <c:pt idx="24">
                  <c:v>4</c:v>
                </c:pt>
                <c:pt idx="25">
                  <c:v>1</c:v>
                </c:pt>
                <c:pt idx="26">
                  <c:v>1</c:v>
                </c:pt>
              </c:numCache>
            </c:numRef>
          </c:val>
          <c:extLst>
            <c:ext xmlns:c16="http://schemas.microsoft.com/office/drawing/2014/chart" uri="{C3380CC4-5D6E-409C-BE32-E72D297353CC}">
              <c16:uniqueId val="{00000000-6D4D-4395-BC15-B442D134E444}"/>
            </c:ext>
          </c:extLst>
        </c:ser>
        <c:ser>
          <c:idx val="1"/>
          <c:order val="1"/>
          <c:tx>
            <c:strRef>
              <c:f>Sheet1!$L$1</c:f>
              <c:strCache>
                <c:ptCount val="1"/>
                <c:pt idx="0">
                  <c:v>Non-CM (control)</c:v>
                </c:pt>
              </c:strCache>
            </c:strRef>
          </c:tx>
          <c:spPr>
            <a:solidFill>
              <a:schemeClr val="accent2"/>
            </a:solidFill>
            <a:ln>
              <a:noFill/>
            </a:ln>
            <a:effectLst/>
          </c:spPr>
          <c:invertIfNegative val="0"/>
          <c:cat>
            <c:numRef>
              <c:f>Sheet1!$J$2:$J$28</c:f>
              <c:numCache>
                <c:formatCode>General</c:formatCode>
                <c:ptCount val="27"/>
                <c:pt idx="0">
                  <c:v>16</c:v>
                </c:pt>
                <c:pt idx="1">
                  <c:v>17</c:v>
                </c:pt>
                <c:pt idx="2">
                  <c:v>18</c:v>
                </c:pt>
                <c:pt idx="3">
                  <c:v>19</c:v>
                </c:pt>
                <c:pt idx="4">
                  <c:v>20</c:v>
                </c:pt>
                <c:pt idx="5">
                  <c:v>21</c:v>
                </c:pt>
                <c:pt idx="6">
                  <c:v>22</c:v>
                </c:pt>
                <c:pt idx="7">
                  <c:v>23</c:v>
                </c:pt>
                <c:pt idx="8">
                  <c:v>24</c:v>
                </c:pt>
                <c:pt idx="9">
                  <c:v>25</c:v>
                </c:pt>
                <c:pt idx="10">
                  <c:v>26</c:v>
                </c:pt>
                <c:pt idx="11">
                  <c:v>27</c:v>
                </c:pt>
                <c:pt idx="12">
                  <c:v>28</c:v>
                </c:pt>
                <c:pt idx="13">
                  <c:v>29</c:v>
                </c:pt>
                <c:pt idx="14">
                  <c:v>30</c:v>
                </c:pt>
                <c:pt idx="15">
                  <c:v>31</c:v>
                </c:pt>
                <c:pt idx="16">
                  <c:v>32</c:v>
                </c:pt>
                <c:pt idx="17">
                  <c:v>33</c:v>
                </c:pt>
                <c:pt idx="18">
                  <c:v>34</c:v>
                </c:pt>
                <c:pt idx="19">
                  <c:v>35</c:v>
                </c:pt>
                <c:pt idx="20">
                  <c:v>36</c:v>
                </c:pt>
                <c:pt idx="21">
                  <c:v>37</c:v>
                </c:pt>
                <c:pt idx="22">
                  <c:v>38</c:v>
                </c:pt>
                <c:pt idx="23">
                  <c:v>39</c:v>
                </c:pt>
                <c:pt idx="24">
                  <c:v>40</c:v>
                </c:pt>
                <c:pt idx="25">
                  <c:v>41</c:v>
                </c:pt>
                <c:pt idx="26">
                  <c:v>42</c:v>
                </c:pt>
              </c:numCache>
            </c:numRef>
          </c:cat>
          <c:val>
            <c:numRef>
              <c:f>Sheet1!$L$2:$L$28</c:f>
              <c:numCache>
                <c:formatCode>General</c:formatCode>
                <c:ptCount val="27"/>
                <c:pt idx="0">
                  <c:v>1</c:v>
                </c:pt>
                <c:pt idx="1">
                  <c:v>9</c:v>
                </c:pt>
                <c:pt idx="2">
                  <c:v>11</c:v>
                </c:pt>
                <c:pt idx="3">
                  <c:v>20</c:v>
                </c:pt>
                <c:pt idx="4">
                  <c:v>18</c:v>
                </c:pt>
                <c:pt idx="5">
                  <c:v>23</c:v>
                </c:pt>
                <c:pt idx="6">
                  <c:v>14</c:v>
                </c:pt>
                <c:pt idx="7">
                  <c:v>11</c:v>
                </c:pt>
                <c:pt idx="8">
                  <c:v>4</c:v>
                </c:pt>
                <c:pt idx="9">
                  <c:v>6</c:v>
                </c:pt>
                <c:pt idx="10">
                  <c:v>5</c:v>
                </c:pt>
                <c:pt idx="11">
                  <c:v>0</c:v>
                </c:pt>
                <c:pt idx="12">
                  <c:v>0</c:v>
                </c:pt>
                <c:pt idx="13">
                  <c:v>7</c:v>
                </c:pt>
                <c:pt idx="14">
                  <c:v>2</c:v>
                </c:pt>
                <c:pt idx="15">
                  <c:v>2</c:v>
                </c:pt>
                <c:pt idx="16">
                  <c:v>1</c:v>
                </c:pt>
                <c:pt idx="17">
                  <c:v>2</c:v>
                </c:pt>
                <c:pt idx="18">
                  <c:v>2</c:v>
                </c:pt>
                <c:pt idx="19">
                  <c:v>1</c:v>
                </c:pt>
                <c:pt idx="20">
                  <c:v>1</c:v>
                </c:pt>
                <c:pt idx="21">
                  <c:v>1</c:v>
                </c:pt>
                <c:pt idx="22">
                  <c:v>0</c:v>
                </c:pt>
                <c:pt idx="23">
                  <c:v>0</c:v>
                </c:pt>
                <c:pt idx="24">
                  <c:v>0</c:v>
                </c:pt>
                <c:pt idx="25">
                  <c:v>0</c:v>
                </c:pt>
                <c:pt idx="26">
                  <c:v>0</c:v>
                </c:pt>
              </c:numCache>
            </c:numRef>
          </c:val>
          <c:extLst>
            <c:ext xmlns:c16="http://schemas.microsoft.com/office/drawing/2014/chart" uri="{C3380CC4-5D6E-409C-BE32-E72D297353CC}">
              <c16:uniqueId val="{00000001-6D4D-4395-BC15-B442D134E444}"/>
            </c:ext>
          </c:extLst>
        </c:ser>
        <c:dLbls>
          <c:showLegendKey val="0"/>
          <c:showVal val="0"/>
          <c:showCatName val="0"/>
          <c:showSerName val="0"/>
          <c:showPercent val="0"/>
          <c:showBubbleSize val="0"/>
        </c:dLbls>
        <c:gapWidth val="219"/>
        <c:axId val="528892672"/>
        <c:axId val="528894976"/>
      </c:barChart>
      <c:catAx>
        <c:axId val="5288926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Age (years)</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894976"/>
        <c:crosses val="autoZero"/>
        <c:auto val="1"/>
        <c:lblAlgn val="ctr"/>
        <c:lblOffset val="100"/>
        <c:noMultiLvlLbl val="0"/>
      </c:catAx>
      <c:valAx>
        <c:axId val="528894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women</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892672"/>
        <c:crosses val="autoZero"/>
        <c:crossBetween val="between"/>
      </c:valAx>
      <c:spPr>
        <a:noFill/>
        <a:ln>
          <a:noFill/>
        </a:ln>
        <a:effectLst/>
      </c:spPr>
    </c:plotArea>
    <c:legend>
      <c:legendPos val="b"/>
      <c:layout>
        <c:manualLayout>
          <c:xMode val="edge"/>
          <c:yMode val="edge"/>
          <c:x val="0.38810915985659522"/>
          <c:y val="0.29927295872757048"/>
          <c:w val="0.31210975599658869"/>
          <c:h val="6.130833100903260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7927</Words>
  <Characters>45185</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53006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Golder, S.P.</dc:creator>
  <cp:keywords/>
  <dc:description/>
  <cp:lastModifiedBy>Newby, S.H.</cp:lastModifiedBy>
  <cp:revision>2</cp:revision>
  <dcterms:created xsi:type="dcterms:W3CDTF">2018-10-26T09:27:00Z</dcterms:created>
  <dcterms:modified xsi:type="dcterms:W3CDTF">2018-10-26T09:27:00Z</dcterms:modified>
</cp:coreProperties>
</file>