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F6C33" w14:textId="3629A84A" w:rsidR="007B3619" w:rsidRDefault="007B3619" w:rsidP="004126F8">
      <w:pPr>
        <w:rPr>
          <w:rFonts w:cs="Times New Roman"/>
          <w:b/>
          <w:sz w:val="28"/>
          <w:szCs w:val="28"/>
        </w:rPr>
      </w:pPr>
      <w:r>
        <w:rPr>
          <w:rFonts w:cs="Times New Roman"/>
          <w:b/>
          <w:sz w:val="28"/>
          <w:szCs w:val="28"/>
        </w:rPr>
        <w:t>Do care plans and annual reviews of physical health influence unplanned hospital utilisation for people with serious mental illness? Analysis of linked longitudinal primary and secondary healthcare records</w:t>
      </w:r>
      <w:r w:rsidR="000C1B76">
        <w:rPr>
          <w:rFonts w:cs="Times New Roman"/>
          <w:b/>
          <w:sz w:val="28"/>
          <w:szCs w:val="28"/>
        </w:rPr>
        <w:t xml:space="preserve"> in England. </w:t>
      </w:r>
    </w:p>
    <w:p w14:paraId="05637B26" w14:textId="77777777" w:rsidR="008B4652" w:rsidRDefault="008B4652">
      <w:pPr>
        <w:spacing w:after="200" w:line="276" w:lineRule="auto"/>
      </w:pPr>
      <w:bookmarkStart w:id="0" w:name="_Toc370308473"/>
      <w:bookmarkStart w:id="1" w:name="_Toc443297909"/>
      <w:bookmarkStart w:id="2" w:name="_Toc444002009"/>
      <w:bookmarkStart w:id="3" w:name="_Toc369785745"/>
      <w:bookmarkStart w:id="4" w:name="_Ref369216495"/>
      <w:bookmarkStart w:id="5" w:name="_Ref370122160"/>
    </w:p>
    <w:p w14:paraId="36FBEB50" w14:textId="77777777" w:rsidR="008B4652" w:rsidRDefault="008B4652">
      <w:pPr>
        <w:spacing w:after="200" w:line="276" w:lineRule="auto"/>
        <w:rPr>
          <w:b/>
        </w:rPr>
      </w:pPr>
      <w:r>
        <w:rPr>
          <w:b/>
        </w:rPr>
        <w:t xml:space="preserve">Authors: </w:t>
      </w:r>
    </w:p>
    <w:p w14:paraId="1F803963" w14:textId="6ED64DAD" w:rsidR="008B4652" w:rsidRDefault="008B4652">
      <w:pPr>
        <w:spacing w:after="200" w:line="276" w:lineRule="auto"/>
      </w:pPr>
      <w:r>
        <w:t>Jemimah Ride</w:t>
      </w:r>
      <w:r w:rsidR="00553222">
        <w:t xml:space="preserve"> (corresponding author): Centre for Health Economics, Alcuin ‘A’ Block, University of York, Heslington, YO10 5DD, United Kingdom. </w:t>
      </w:r>
      <w:hyperlink r:id="rId8" w:history="1">
        <w:r w:rsidR="00553222" w:rsidRPr="00743D50">
          <w:rPr>
            <w:rStyle w:val="Hyperlink"/>
          </w:rPr>
          <w:t>jemimah.ride@york.ac.uk</w:t>
        </w:r>
      </w:hyperlink>
      <w:r w:rsidR="00553222">
        <w:t xml:space="preserve"> (+44)</w:t>
      </w:r>
      <w:r w:rsidR="00553222" w:rsidRPr="00553222">
        <w:t xml:space="preserve"> </w:t>
      </w:r>
      <w:r w:rsidR="00553222">
        <w:t xml:space="preserve"> </w:t>
      </w:r>
      <w:r w:rsidR="00553222" w:rsidRPr="00553222">
        <w:t>01904 321 459</w:t>
      </w:r>
    </w:p>
    <w:p w14:paraId="54781DA5" w14:textId="1DE1E4C3" w:rsidR="008B4652" w:rsidRDefault="003171BF">
      <w:pPr>
        <w:spacing w:after="200" w:line="276" w:lineRule="auto"/>
      </w:pPr>
      <w:r>
        <w:t>Panagiotis</w:t>
      </w:r>
      <w:r w:rsidR="00553222">
        <w:t xml:space="preserve"> Kasteridis</w:t>
      </w:r>
      <w:r w:rsidR="00553222">
        <w:rPr>
          <w:vertAlign w:val="superscript"/>
        </w:rPr>
        <w:t>a</w:t>
      </w:r>
      <w:r w:rsidR="00553222">
        <w:t xml:space="preserve"> (</w:t>
      </w:r>
      <w:hyperlink r:id="rId9" w:history="1">
        <w:r w:rsidR="00553222" w:rsidRPr="00743D50">
          <w:rPr>
            <w:rStyle w:val="Hyperlink"/>
          </w:rPr>
          <w:t>panos.kasteridis@york.ac.uk)</w:t>
        </w:r>
      </w:hyperlink>
      <w:r w:rsidR="00553222">
        <w:t xml:space="preserve">; </w:t>
      </w:r>
      <w:r w:rsidR="008B4652">
        <w:t>Nils G</w:t>
      </w:r>
      <w:r w:rsidR="00553222">
        <w:t>utacker</w:t>
      </w:r>
      <w:r w:rsidR="00553222" w:rsidRPr="00553222">
        <w:rPr>
          <w:vertAlign w:val="superscript"/>
        </w:rPr>
        <w:t xml:space="preserve"> </w:t>
      </w:r>
      <w:r w:rsidR="00553222">
        <w:rPr>
          <w:vertAlign w:val="superscript"/>
        </w:rPr>
        <w:t xml:space="preserve">a </w:t>
      </w:r>
      <w:r w:rsidR="00553222">
        <w:t>(</w:t>
      </w:r>
      <w:hyperlink r:id="rId10" w:history="1">
        <w:r w:rsidR="00553222" w:rsidRPr="00743D50">
          <w:rPr>
            <w:rStyle w:val="Hyperlink"/>
          </w:rPr>
          <w:t>nils.gutacker@york.ac.uk)</w:t>
        </w:r>
      </w:hyperlink>
      <w:r w:rsidR="00553222">
        <w:t xml:space="preserve">; </w:t>
      </w:r>
      <w:r w:rsidR="008B4652">
        <w:t>Christoph Kronenberg</w:t>
      </w:r>
      <w:r w:rsidR="00553222" w:rsidRPr="00553222">
        <w:rPr>
          <w:vertAlign w:val="superscript"/>
        </w:rPr>
        <w:t xml:space="preserve"> </w:t>
      </w:r>
      <w:r w:rsidR="00553222">
        <w:rPr>
          <w:vertAlign w:val="superscript"/>
        </w:rPr>
        <w:t>b</w:t>
      </w:r>
      <w:r w:rsidR="00553222">
        <w:t xml:space="preserve"> (</w:t>
      </w:r>
      <w:hyperlink r:id="rId11" w:history="1">
        <w:r w:rsidR="008411AE" w:rsidRPr="00743D50">
          <w:rPr>
            <w:rStyle w:val="Hyperlink"/>
          </w:rPr>
          <w:t>christoph.kronenberg@uni-due.de</w:t>
        </w:r>
      </w:hyperlink>
      <w:r w:rsidR="008411AE">
        <w:t>)</w:t>
      </w:r>
      <w:r w:rsidR="00553222">
        <w:t xml:space="preserve">; </w:t>
      </w:r>
      <w:r w:rsidR="008B4652">
        <w:t>Tim D</w:t>
      </w:r>
      <w:r w:rsidR="00553222">
        <w:t>oran</w:t>
      </w:r>
      <w:r w:rsidR="00553222">
        <w:rPr>
          <w:vertAlign w:val="superscript"/>
        </w:rPr>
        <w:t>c</w:t>
      </w:r>
      <w:r w:rsidR="00553222">
        <w:t xml:space="preserve"> (</w:t>
      </w:r>
      <w:hyperlink r:id="rId12" w:history="1">
        <w:r w:rsidR="008411AE" w:rsidRPr="00743D50">
          <w:rPr>
            <w:rStyle w:val="Hyperlink"/>
          </w:rPr>
          <w:t>tim.doran@york.ac.uk</w:t>
        </w:r>
      </w:hyperlink>
      <w:r w:rsidR="008411AE">
        <w:t>)</w:t>
      </w:r>
      <w:r w:rsidR="00553222">
        <w:t xml:space="preserve">; </w:t>
      </w:r>
      <w:r w:rsidR="008B4652">
        <w:t>Anne Mason</w:t>
      </w:r>
      <w:r w:rsidR="00553222" w:rsidRPr="00553222">
        <w:rPr>
          <w:vertAlign w:val="superscript"/>
        </w:rPr>
        <w:t xml:space="preserve"> </w:t>
      </w:r>
      <w:r w:rsidR="00553222">
        <w:rPr>
          <w:vertAlign w:val="superscript"/>
        </w:rPr>
        <w:t>a</w:t>
      </w:r>
      <w:r w:rsidR="00553222">
        <w:t xml:space="preserve"> </w:t>
      </w:r>
      <w:r w:rsidR="008411AE">
        <w:t>(</w:t>
      </w:r>
      <w:hyperlink r:id="rId13" w:history="1">
        <w:r w:rsidR="008411AE" w:rsidRPr="00743D50">
          <w:rPr>
            <w:rStyle w:val="Hyperlink"/>
          </w:rPr>
          <w:t>anne.mason@york.ac.uk)</w:t>
        </w:r>
      </w:hyperlink>
      <w:r w:rsidR="008411AE">
        <w:t xml:space="preserve">; </w:t>
      </w:r>
      <w:r w:rsidR="008B4652">
        <w:t>Nigel Rice</w:t>
      </w:r>
      <w:r w:rsidR="00553222" w:rsidRPr="00553222">
        <w:rPr>
          <w:vertAlign w:val="superscript"/>
        </w:rPr>
        <w:t xml:space="preserve"> </w:t>
      </w:r>
      <w:r w:rsidR="00553222">
        <w:rPr>
          <w:vertAlign w:val="superscript"/>
        </w:rPr>
        <w:t>a</w:t>
      </w:r>
      <w:r w:rsidR="00553222">
        <w:t xml:space="preserve"> </w:t>
      </w:r>
      <w:r w:rsidR="008411AE">
        <w:t>(</w:t>
      </w:r>
      <w:hyperlink r:id="rId14" w:history="1">
        <w:r w:rsidR="008411AE" w:rsidRPr="00743D50">
          <w:rPr>
            <w:rStyle w:val="Hyperlink"/>
          </w:rPr>
          <w:t>nigel.rice@york.ac.uk)</w:t>
        </w:r>
      </w:hyperlink>
      <w:r w:rsidR="008411AE">
        <w:t xml:space="preserve">; </w:t>
      </w:r>
      <w:r w:rsidR="008B4652">
        <w:t>Hugh G</w:t>
      </w:r>
      <w:r w:rsidR="00553222">
        <w:t>ravelle</w:t>
      </w:r>
      <w:r w:rsidR="00553222" w:rsidRPr="00553222">
        <w:rPr>
          <w:vertAlign w:val="superscript"/>
        </w:rPr>
        <w:t xml:space="preserve"> </w:t>
      </w:r>
      <w:r w:rsidR="00553222">
        <w:rPr>
          <w:vertAlign w:val="superscript"/>
        </w:rPr>
        <w:t>a</w:t>
      </w:r>
      <w:r w:rsidR="00553222">
        <w:t xml:space="preserve"> </w:t>
      </w:r>
      <w:r w:rsidR="008411AE">
        <w:t>(</w:t>
      </w:r>
      <w:hyperlink r:id="rId15" w:history="1">
        <w:r w:rsidR="008411AE" w:rsidRPr="00743D50">
          <w:rPr>
            <w:rStyle w:val="Hyperlink"/>
          </w:rPr>
          <w:t>hugh.gravelle@york.ac.uk)</w:t>
        </w:r>
      </w:hyperlink>
      <w:r w:rsidR="008411AE">
        <w:t xml:space="preserve">; </w:t>
      </w:r>
      <w:r w:rsidR="008B4652">
        <w:t xml:space="preserve">Maria </w:t>
      </w:r>
      <w:r w:rsidR="00553222">
        <w:t>Goddard</w:t>
      </w:r>
      <w:r w:rsidR="00553222" w:rsidRPr="00553222">
        <w:rPr>
          <w:vertAlign w:val="superscript"/>
        </w:rPr>
        <w:t xml:space="preserve"> </w:t>
      </w:r>
      <w:r w:rsidR="00553222">
        <w:rPr>
          <w:vertAlign w:val="superscript"/>
        </w:rPr>
        <w:t>a</w:t>
      </w:r>
      <w:r w:rsidR="00553222">
        <w:t xml:space="preserve"> </w:t>
      </w:r>
      <w:r w:rsidR="008411AE">
        <w:t>(</w:t>
      </w:r>
      <w:hyperlink r:id="rId16" w:history="1">
        <w:r w:rsidR="008411AE" w:rsidRPr="00743D50">
          <w:rPr>
            <w:rStyle w:val="Hyperlink"/>
          </w:rPr>
          <w:t>maria.goddard@york.ac.uk</w:t>
        </w:r>
      </w:hyperlink>
      <w:r w:rsidR="008411AE">
        <w:t>);</w:t>
      </w:r>
      <w:r w:rsidR="008B4652">
        <w:t xml:space="preserve"> Tony Kendrick</w:t>
      </w:r>
      <w:r w:rsidR="00553222" w:rsidRPr="00553222">
        <w:rPr>
          <w:vertAlign w:val="superscript"/>
        </w:rPr>
        <w:t xml:space="preserve"> </w:t>
      </w:r>
      <w:r w:rsidR="00553222">
        <w:rPr>
          <w:vertAlign w:val="superscript"/>
        </w:rPr>
        <w:t>d</w:t>
      </w:r>
      <w:r w:rsidR="008411AE">
        <w:t xml:space="preserve"> (</w:t>
      </w:r>
      <w:hyperlink r:id="rId17" w:history="1">
        <w:r w:rsidR="004F5C64" w:rsidRPr="00743D50">
          <w:rPr>
            <w:rStyle w:val="Hyperlink"/>
          </w:rPr>
          <w:t>A.R.Kendrick@soton.ac.uk</w:t>
        </w:r>
      </w:hyperlink>
      <w:r w:rsidR="004F5C64">
        <w:t>)</w:t>
      </w:r>
      <w:r w:rsidR="008411AE">
        <w:t xml:space="preserve">; </w:t>
      </w:r>
      <w:r w:rsidR="008B4652">
        <w:t>Najma Siddi</w:t>
      </w:r>
      <w:r w:rsidR="00553222">
        <w:t>qi</w:t>
      </w:r>
      <w:r w:rsidR="00553222" w:rsidRPr="00553222">
        <w:rPr>
          <w:vertAlign w:val="superscript"/>
        </w:rPr>
        <w:t xml:space="preserve"> </w:t>
      </w:r>
      <w:r w:rsidR="00553222">
        <w:rPr>
          <w:vertAlign w:val="superscript"/>
        </w:rPr>
        <w:t>c</w:t>
      </w:r>
      <w:r w:rsidR="00553222">
        <w:t xml:space="preserve"> </w:t>
      </w:r>
      <w:r w:rsidR="008411AE">
        <w:t>(</w:t>
      </w:r>
      <w:hyperlink r:id="rId18" w:history="1">
        <w:r w:rsidR="008411AE" w:rsidRPr="00743D50">
          <w:rPr>
            <w:rStyle w:val="Hyperlink"/>
          </w:rPr>
          <w:t>najma.siddiqi@york.ac.uk)</w:t>
        </w:r>
      </w:hyperlink>
      <w:r w:rsidR="008411AE">
        <w:t xml:space="preserve">; </w:t>
      </w:r>
      <w:r w:rsidR="008B4652">
        <w:t>Simo</w:t>
      </w:r>
      <w:r w:rsidR="00553222">
        <w:t>n Gilbody</w:t>
      </w:r>
      <w:r w:rsidR="00553222" w:rsidRPr="00553222">
        <w:rPr>
          <w:vertAlign w:val="superscript"/>
        </w:rPr>
        <w:t xml:space="preserve"> </w:t>
      </w:r>
      <w:r w:rsidR="00553222">
        <w:rPr>
          <w:vertAlign w:val="superscript"/>
        </w:rPr>
        <w:t>c</w:t>
      </w:r>
      <w:r w:rsidR="00553222">
        <w:t xml:space="preserve"> </w:t>
      </w:r>
      <w:r w:rsidR="008411AE">
        <w:t>(</w:t>
      </w:r>
      <w:hyperlink r:id="rId19" w:history="1">
        <w:r w:rsidR="008411AE" w:rsidRPr="00743D50">
          <w:rPr>
            <w:rStyle w:val="Hyperlink"/>
          </w:rPr>
          <w:t>simon.gilbody@york.ac.uk</w:t>
        </w:r>
      </w:hyperlink>
      <w:r w:rsidR="008411AE">
        <w:t>);</w:t>
      </w:r>
      <w:r w:rsidR="008B4652">
        <w:t xml:space="preserve"> Ceri R Dare</w:t>
      </w:r>
      <w:r w:rsidR="00AB471C">
        <w:rPr>
          <w:vertAlign w:val="superscript"/>
        </w:rPr>
        <w:t>e</w:t>
      </w:r>
      <w:r w:rsidR="008411AE">
        <w:t xml:space="preserve"> (</w:t>
      </w:r>
      <w:hyperlink r:id="rId20" w:history="1">
        <w:r w:rsidR="00AB471C" w:rsidRPr="00743D50">
          <w:rPr>
            <w:rStyle w:val="Hyperlink"/>
          </w:rPr>
          <w:t>ceri.owen@gmail.com</w:t>
        </w:r>
      </w:hyperlink>
      <w:r w:rsidR="00AB471C">
        <w:t>)</w:t>
      </w:r>
      <w:r w:rsidR="008411AE">
        <w:t xml:space="preserve">; </w:t>
      </w:r>
      <w:r w:rsidR="008B4652">
        <w:t>Laur</w:t>
      </w:r>
      <w:r w:rsidR="00553222">
        <w:t>en Aylott</w:t>
      </w:r>
      <w:r w:rsidR="00E048F2">
        <w:rPr>
          <w:vertAlign w:val="superscript"/>
        </w:rPr>
        <w:t>e</w:t>
      </w:r>
      <w:r w:rsidR="008411AE">
        <w:t xml:space="preserve"> (</w:t>
      </w:r>
      <w:hyperlink r:id="rId21" w:history="1">
        <w:r w:rsidR="00E048F2" w:rsidRPr="00743D50">
          <w:rPr>
            <w:rStyle w:val="Hyperlink"/>
          </w:rPr>
          <w:t>lmeaylott@gmail.com</w:t>
        </w:r>
      </w:hyperlink>
      <w:r w:rsidR="00E048F2">
        <w:t>)</w:t>
      </w:r>
      <w:r w:rsidR="008411AE">
        <w:t xml:space="preserve">; </w:t>
      </w:r>
      <w:r w:rsidR="008B4652">
        <w:t>Rachae</w:t>
      </w:r>
      <w:r w:rsidR="00553222">
        <w:t>l Williams</w:t>
      </w:r>
      <w:r w:rsidR="00E048F2">
        <w:rPr>
          <w:vertAlign w:val="superscript"/>
        </w:rPr>
        <w:t>f</w:t>
      </w:r>
      <w:r w:rsidR="008411AE">
        <w:t xml:space="preserve"> (</w:t>
      </w:r>
      <w:hyperlink r:id="rId22" w:history="1">
        <w:r w:rsidR="00DD1D45" w:rsidRPr="00743D50">
          <w:rPr>
            <w:rStyle w:val="Hyperlink"/>
          </w:rPr>
          <w:t>Rachael.Williams@mhra.gov.uk</w:t>
        </w:r>
      </w:hyperlink>
      <w:r w:rsidR="00DD1D45">
        <w:t>)</w:t>
      </w:r>
      <w:r w:rsidR="008411AE">
        <w:t xml:space="preserve">; </w:t>
      </w:r>
      <w:r w:rsidR="00553222">
        <w:t>Rowena Jacobs</w:t>
      </w:r>
      <w:r w:rsidR="00553222">
        <w:rPr>
          <w:vertAlign w:val="superscript"/>
        </w:rPr>
        <w:t>a</w:t>
      </w:r>
      <w:r w:rsidR="008411AE">
        <w:t xml:space="preserve"> (</w:t>
      </w:r>
      <w:hyperlink r:id="rId23" w:history="1">
        <w:r w:rsidR="008411AE" w:rsidRPr="00743D50">
          <w:rPr>
            <w:rStyle w:val="Hyperlink"/>
          </w:rPr>
          <w:t>rowena.jacobs@york.ac.uk</w:t>
        </w:r>
      </w:hyperlink>
      <w:r w:rsidR="008411AE">
        <w:t xml:space="preserve">) </w:t>
      </w:r>
    </w:p>
    <w:p w14:paraId="64FB14C6" w14:textId="77777777" w:rsidR="00E048F2" w:rsidRDefault="00E048F2">
      <w:pPr>
        <w:spacing w:after="200" w:line="276" w:lineRule="auto"/>
      </w:pPr>
    </w:p>
    <w:p w14:paraId="0115AA58" w14:textId="1EB21026" w:rsidR="00553222" w:rsidRDefault="00553222">
      <w:pPr>
        <w:spacing w:after="200" w:line="276" w:lineRule="auto"/>
      </w:pPr>
      <w:r>
        <w:t xml:space="preserve">a: Centre for Health Economics, University of York </w:t>
      </w:r>
    </w:p>
    <w:p w14:paraId="3EECD4F2" w14:textId="2BF8561B" w:rsidR="00553222" w:rsidRDefault="00553222">
      <w:pPr>
        <w:spacing w:after="200" w:line="276" w:lineRule="auto"/>
        <w:rPr>
          <w:lang w:val="en-AU"/>
        </w:rPr>
      </w:pPr>
      <w:r>
        <w:t xml:space="preserve">b: </w:t>
      </w:r>
      <w:r w:rsidRPr="00553222">
        <w:rPr>
          <w:lang w:val="en-AU"/>
        </w:rPr>
        <w:t>CINCH, University Duisburg-Essen, Essen, Germany</w:t>
      </w:r>
      <w:r>
        <w:rPr>
          <w:lang w:val="en-AU"/>
        </w:rPr>
        <w:t xml:space="preserve">; </w:t>
      </w:r>
      <w:r w:rsidRPr="00553222">
        <w:rPr>
          <w:lang w:val="en-AU"/>
        </w:rPr>
        <w:t>Leibniz Science Campus Ruhr, Essen, Germany</w:t>
      </w:r>
      <w:r>
        <w:rPr>
          <w:lang w:val="en-AU"/>
        </w:rPr>
        <w:t xml:space="preserve">; </w:t>
      </w:r>
      <w:r w:rsidRPr="00553222">
        <w:rPr>
          <w:lang w:val="en-AU"/>
        </w:rPr>
        <w:t>RWI – Leibniz-Institute for Economic Research, Essen, Germany</w:t>
      </w:r>
    </w:p>
    <w:p w14:paraId="710C0CB8" w14:textId="155D85AB" w:rsidR="00553222" w:rsidRDefault="00553222">
      <w:pPr>
        <w:spacing w:after="200" w:line="276" w:lineRule="auto"/>
        <w:rPr>
          <w:lang w:val="en-AU"/>
        </w:rPr>
      </w:pPr>
      <w:r>
        <w:rPr>
          <w:lang w:val="en-AU"/>
        </w:rPr>
        <w:t>c: Department of Health Sciences, University of York</w:t>
      </w:r>
    </w:p>
    <w:p w14:paraId="47D97BF2" w14:textId="5063A1CE" w:rsidR="00553222" w:rsidRDefault="00553222">
      <w:pPr>
        <w:spacing w:after="200" w:line="276" w:lineRule="auto"/>
        <w:rPr>
          <w:lang w:val="en-AU"/>
        </w:rPr>
      </w:pPr>
      <w:r>
        <w:rPr>
          <w:lang w:val="en-AU"/>
        </w:rPr>
        <w:t xml:space="preserve">d: </w:t>
      </w:r>
      <w:r w:rsidR="004F5C64">
        <w:rPr>
          <w:lang w:val="en-AU"/>
        </w:rPr>
        <w:t>Primary Care and Population Sciences, University of Southampton</w:t>
      </w:r>
    </w:p>
    <w:p w14:paraId="7650D08C" w14:textId="2D16237F" w:rsidR="00553222" w:rsidRDefault="008411AE">
      <w:pPr>
        <w:spacing w:after="200" w:line="276" w:lineRule="auto"/>
      </w:pPr>
      <w:r>
        <w:t xml:space="preserve">e: </w:t>
      </w:r>
      <w:r w:rsidR="00E048F2">
        <w:t>Service user</w:t>
      </w:r>
      <w:r w:rsidR="00AB471C">
        <w:t xml:space="preserve"> </w:t>
      </w:r>
    </w:p>
    <w:p w14:paraId="5048A6A3" w14:textId="4FD978C6" w:rsidR="008411AE" w:rsidRPr="008B4652" w:rsidRDefault="008411AE">
      <w:pPr>
        <w:spacing w:after="200" w:line="276" w:lineRule="auto"/>
      </w:pPr>
      <w:r>
        <w:t xml:space="preserve">f: </w:t>
      </w:r>
      <w:r w:rsidR="00E048F2">
        <w:t>Clinical Practice Research Datalink</w:t>
      </w:r>
    </w:p>
    <w:p w14:paraId="1054D5DF" w14:textId="77777777" w:rsidR="002F02C1" w:rsidRDefault="002F02C1">
      <w:pPr>
        <w:spacing w:after="200" w:line="276" w:lineRule="auto"/>
      </w:pPr>
    </w:p>
    <w:p w14:paraId="16C10181" w14:textId="6A4BE041" w:rsidR="008B4652" w:rsidRDefault="002F02C1">
      <w:pPr>
        <w:spacing w:after="200" w:line="276" w:lineRule="auto"/>
        <w:rPr>
          <w:rFonts w:asciiTheme="majorHAnsi" w:eastAsiaTheme="majorEastAsia" w:hAnsiTheme="majorHAnsi" w:cstheme="majorBidi"/>
          <w:b/>
          <w:bCs/>
          <w:caps/>
          <w:color w:val="000000" w:themeColor="text1"/>
          <w:szCs w:val="28"/>
        </w:rPr>
      </w:pPr>
      <w:r>
        <w:t xml:space="preserve">Word count: </w:t>
      </w:r>
      <w:r w:rsidR="00656700">
        <w:t>3,9</w:t>
      </w:r>
      <w:r w:rsidR="0083514E">
        <w:t>22</w:t>
      </w:r>
      <w:bookmarkStart w:id="6" w:name="_GoBack"/>
      <w:bookmarkEnd w:id="6"/>
      <w:r w:rsidR="008B4652">
        <w:br w:type="page"/>
      </w:r>
    </w:p>
    <w:p w14:paraId="6A4F54E8" w14:textId="01B84F25" w:rsidR="004126F8" w:rsidRPr="00976A9A" w:rsidRDefault="004126F8" w:rsidP="00E5596C">
      <w:pPr>
        <w:pStyle w:val="Heading1"/>
      </w:pPr>
      <w:r w:rsidRPr="00976A9A">
        <w:lastRenderedPageBreak/>
        <w:t>Abstract</w:t>
      </w:r>
    </w:p>
    <w:p w14:paraId="00792F29" w14:textId="2FD8679F" w:rsidR="00BA009A" w:rsidRDefault="00BA009A" w:rsidP="005D4A97">
      <w:pPr>
        <w:spacing w:after="0" w:line="480" w:lineRule="auto"/>
        <w:rPr>
          <w:rFonts w:cs="Times New Roman"/>
        </w:rPr>
      </w:pPr>
      <w:r w:rsidRPr="00976A9A">
        <w:rPr>
          <w:rStyle w:val="Heading2Char"/>
        </w:rPr>
        <w:t>Objective:</w:t>
      </w:r>
      <w:r w:rsidRPr="00976A9A">
        <w:rPr>
          <w:rFonts w:cs="Times New Roman"/>
        </w:rPr>
        <w:t xml:space="preserve"> </w:t>
      </w:r>
      <w:r w:rsidR="00CE3CF7" w:rsidRPr="00976A9A">
        <w:rPr>
          <w:rFonts w:cs="Times New Roman"/>
        </w:rPr>
        <w:t>To</w:t>
      </w:r>
      <w:r w:rsidR="00B927A9" w:rsidRPr="00976A9A">
        <w:rPr>
          <w:rFonts w:cs="Times New Roman"/>
        </w:rPr>
        <w:t xml:space="preserve"> investigate whether</w:t>
      </w:r>
      <w:r w:rsidR="00B250DC">
        <w:rPr>
          <w:rFonts w:cs="Times New Roman"/>
        </w:rPr>
        <w:t xml:space="preserve"> </w:t>
      </w:r>
      <w:r w:rsidR="007B3619">
        <w:rPr>
          <w:rFonts w:cs="Times New Roman"/>
        </w:rPr>
        <w:t xml:space="preserve">two </w:t>
      </w:r>
      <w:r w:rsidR="00B250DC">
        <w:rPr>
          <w:rFonts w:cs="Times New Roman"/>
        </w:rPr>
        <w:t>primary care activities</w:t>
      </w:r>
      <w:r w:rsidR="007B3619">
        <w:rPr>
          <w:rFonts w:cs="Times New Roman"/>
        </w:rPr>
        <w:t xml:space="preserve"> that are framed as indicators of primary care quality</w:t>
      </w:r>
      <w:r w:rsidR="00B250DC">
        <w:rPr>
          <w:rFonts w:cs="Times New Roman"/>
        </w:rPr>
        <w:t xml:space="preserve"> (</w:t>
      </w:r>
      <w:r w:rsidR="006B6B51">
        <w:rPr>
          <w:rFonts w:cs="Times New Roman"/>
        </w:rPr>
        <w:t>comprehensive care plans</w:t>
      </w:r>
      <w:r w:rsidR="006B6B51" w:rsidRPr="00976A9A">
        <w:rPr>
          <w:rFonts w:cs="Times New Roman"/>
        </w:rPr>
        <w:t xml:space="preserve"> and a</w:t>
      </w:r>
      <w:r w:rsidR="00B250DC">
        <w:rPr>
          <w:rFonts w:cs="Times New Roman"/>
        </w:rPr>
        <w:t xml:space="preserve">nnual reviews of physical health) </w:t>
      </w:r>
      <w:r w:rsidR="00AB78C3">
        <w:rPr>
          <w:rFonts w:cs="Times New Roman"/>
        </w:rPr>
        <w:t>influence</w:t>
      </w:r>
      <w:r w:rsidR="00B250DC">
        <w:rPr>
          <w:rFonts w:cs="Times New Roman"/>
        </w:rPr>
        <w:t xml:space="preserve"> unplanned</w:t>
      </w:r>
      <w:r w:rsidR="00AB78C3">
        <w:rPr>
          <w:rFonts w:cs="Times New Roman"/>
        </w:rPr>
        <w:t xml:space="preserve"> utilisation of</w:t>
      </w:r>
      <w:r w:rsidR="00B250DC">
        <w:rPr>
          <w:rFonts w:cs="Times New Roman"/>
        </w:rPr>
        <w:t xml:space="preserve"> hospital</w:t>
      </w:r>
      <w:r w:rsidR="00AB78C3">
        <w:rPr>
          <w:rFonts w:cs="Times New Roman"/>
        </w:rPr>
        <w:t xml:space="preserve"> services</w:t>
      </w:r>
      <w:r w:rsidR="006B6B51">
        <w:rPr>
          <w:rFonts w:cs="Times New Roman"/>
        </w:rPr>
        <w:t xml:space="preserve"> for </w:t>
      </w:r>
      <w:r w:rsidR="006B6B51" w:rsidRPr="00976A9A">
        <w:rPr>
          <w:rFonts w:cs="Times New Roman"/>
        </w:rPr>
        <w:t>people with serious mental illness (SMI)</w:t>
      </w:r>
      <w:r w:rsidR="00B250DC">
        <w:rPr>
          <w:rFonts w:cs="Times New Roman"/>
        </w:rPr>
        <w:t>.</w:t>
      </w:r>
    </w:p>
    <w:p w14:paraId="6167A246" w14:textId="7BE6FCD8" w:rsidR="000C1B76" w:rsidRDefault="00034730" w:rsidP="00313D45">
      <w:pPr>
        <w:spacing w:after="0" w:line="480" w:lineRule="auto"/>
        <w:rPr>
          <w:rFonts w:cs="Times New Roman"/>
        </w:rPr>
      </w:pPr>
      <w:r w:rsidRPr="00034730">
        <w:rPr>
          <w:rFonts w:cs="Times New Roman"/>
          <w:b/>
        </w:rPr>
        <w:t>Design</w:t>
      </w:r>
      <w:r w:rsidR="000C1B76">
        <w:rPr>
          <w:rFonts w:cs="Times New Roman"/>
          <w:b/>
        </w:rPr>
        <w:t>,</w:t>
      </w:r>
      <w:r w:rsidRPr="00034730">
        <w:rPr>
          <w:rFonts w:cs="Times New Roman"/>
          <w:b/>
        </w:rPr>
        <w:t xml:space="preserve"> setting</w:t>
      </w:r>
      <w:r w:rsidR="000C1B76">
        <w:rPr>
          <w:rFonts w:cs="Times New Roman"/>
          <w:b/>
        </w:rPr>
        <w:t>, participants</w:t>
      </w:r>
      <w:r>
        <w:rPr>
          <w:rFonts w:cs="Times New Roman"/>
          <w:b/>
        </w:rPr>
        <w:t>:</w:t>
      </w:r>
      <w:r w:rsidRPr="00034730">
        <w:rPr>
          <w:rFonts w:cs="Times New Roman"/>
          <w:b/>
        </w:rPr>
        <w:t xml:space="preserve"> </w:t>
      </w:r>
      <w:r>
        <w:rPr>
          <w:rFonts w:cs="Times New Roman"/>
        </w:rPr>
        <w:t xml:space="preserve">Retrospective observational </w:t>
      </w:r>
      <w:r w:rsidR="009F089B">
        <w:rPr>
          <w:rFonts w:cs="Times New Roman"/>
        </w:rPr>
        <w:t xml:space="preserve">cohort </w:t>
      </w:r>
      <w:r>
        <w:rPr>
          <w:rFonts w:cs="Times New Roman"/>
        </w:rPr>
        <w:t xml:space="preserve">study using </w:t>
      </w:r>
      <w:r w:rsidR="0011371A">
        <w:rPr>
          <w:rFonts w:cs="Times New Roman"/>
        </w:rPr>
        <w:t xml:space="preserve">linked </w:t>
      </w:r>
      <w:r>
        <w:rPr>
          <w:rFonts w:cs="Times New Roman"/>
        </w:rPr>
        <w:t>p</w:t>
      </w:r>
      <w:r w:rsidRPr="00976A9A">
        <w:rPr>
          <w:rFonts w:cs="Times New Roman"/>
        </w:rPr>
        <w:t>r</w:t>
      </w:r>
      <w:r>
        <w:rPr>
          <w:rFonts w:cs="Times New Roman"/>
        </w:rPr>
        <w:t>imary care and hospital</w:t>
      </w:r>
      <w:r w:rsidR="00270E57">
        <w:rPr>
          <w:rFonts w:cs="Times New Roman"/>
        </w:rPr>
        <w:t xml:space="preserve"> records (</w:t>
      </w:r>
      <w:r w:rsidR="009F089B">
        <w:rPr>
          <w:rFonts w:cs="Times New Roman"/>
        </w:rPr>
        <w:t>Hospital Episode Statistics</w:t>
      </w:r>
      <w:r w:rsidR="00270E57">
        <w:rPr>
          <w:rFonts w:cs="Times New Roman"/>
        </w:rPr>
        <w:t>)</w:t>
      </w:r>
      <w:r w:rsidRPr="00976A9A">
        <w:rPr>
          <w:rFonts w:cs="Times New Roman"/>
        </w:rPr>
        <w:t xml:space="preserve"> </w:t>
      </w:r>
      <w:r w:rsidR="00313D45">
        <w:rPr>
          <w:rFonts w:cs="Times New Roman"/>
        </w:rPr>
        <w:t xml:space="preserve">for </w:t>
      </w:r>
      <w:r w:rsidR="00313D45" w:rsidRPr="00976A9A">
        <w:rPr>
          <w:rFonts w:cs="Times New Roman"/>
        </w:rPr>
        <w:t>5</w:t>
      </w:r>
      <w:r w:rsidR="00313D45">
        <w:rPr>
          <w:rFonts w:cs="Times New Roman"/>
        </w:rPr>
        <w:t>,158</w:t>
      </w:r>
      <w:r w:rsidR="00313D45" w:rsidRPr="00976A9A">
        <w:rPr>
          <w:rFonts w:cs="Times New Roman"/>
        </w:rPr>
        <w:t xml:space="preserve"> patients </w:t>
      </w:r>
      <w:r w:rsidR="007C5979">
        <w:rPr>
          <w:rFonts w:cs="Times New Roman"/>
        </w:rPr>
        <w:t xml:space="preserve">diagnosed </w:t>
      </w:r>
      <w:r w:rsidR="00313D45" w:rsidRPr="00976A9A">
        <w:rPr>
          <w:rFonts w:cs="Times New Roman"/>
        </w:rPr>
        <w:t xml:space="preserve">with SMI </w:t>
      </w:r>
      <w:r w:rsidR="009F089B">
        <w:rPr>
          <w:rFonts w:cs="Times New Roman"/>
        </w:rPr>
        <w:t>between April 2006 and March 2014</w:t>
      </w:r>
      <w:r w:rsidR="006D503C">
        <w:rPr>
          <w:rFonts w:cs="Times New Roman"/>
        </w:rPr>
        <w:t>, who</w:t>
      </w:r>
      <w:r w:rsidR="009F089B">
        <w:rPr>
          <w:rFonts w:cs="Times New Roman"/>
        </w:rPr>
        <w:t xml:space="preserve"> </w:t>
      </w:r>
      <w:r w:rsidR="00313D45">
        <w:rPr>
          <w:rFonts w:cs="Times New Roman"/>
        </w:rPr>
        <w:t>attend</w:t>
      </w:r>
      <w:r w:rsidR="006D503C">
        <w:rPr>
          <w:rFonts w:cs="Times New Roman"/>
        </w:rPr>
        <w:t>ed</w:t>
      </w:r>
      <w:r w:rsidR="00313D45">
        <w:rPr>
          <w:rFonts w:cs="Times New Roman"/>
        </w:rPr>
        <w:t xml:space="preserve"> </w:t>
      </w:r>
      <w:r w:rsidR="00E574C0">
        <w:rPr>
          <w:rFonts w:cs="Times New Roman"/>
        </w:rPr>
        <w:t>213</w:t>
      </w:r>
      <w:r w:rsidR="00313D45">
        <w:rPr>
          <w:rFonts w:cs="Times New Roman"/>
        </w:rPr>
        <w:t xml:space="preserve"> primary care practices in England </w:t>
      </w:r>
      <w:r w:rsidR="006D503C">
        <w:rPr>
          <w:rFonts w:cs="Times New Roman"/>
        </w:rPr>
        <w:t>that contribute</w:t>
      </w:r>
      <w:r w:rsidR="00313D45">
        <w:rPr>
          <w:rFonts w:cs="Times New Roman"/>
        </w:rPr>
        <w:t xml:space="preserve"> to the </w:t>
      </w:r>
      <w:r w:rsidR="00313D45" w:rsidRPr="00976A9A">
        <w:rPr>
          <w:rFonts w:cs="Times New Roman"/>
        </w:rPr>
        <w:t xml:space="preserve">Clinical Practice Research Datalink </w:t>
      </w:r>
      <w:r w:rsidR="009F089B">
        <w:rPr>
          <w:rFonts w:cs="Times New Roman"/>
        </w:rPr>
        <w:t xml:space="preserve">GOLD </w:t>
      </w:r>
      <w:r w:rsidR="00313D45" w:rsidRPr="00976A9A">
        <w:rPr>
          <w:rFonts w:cs="Times New Roman"/>
        </w:rPr>
        <w:t>database.</w:t>
      </w:r>
      <w:r w:rsidR="00B250DC">
        <w:rPr>
          <w:rFonts w:cs="Times New Roman"/>
        </w:rPr>
        <w:t xml:space="preserve"> </w:t>
      </w:r>
    </w:p>
    <w:p w14:paraId="58CCDF27" w14:textId="65A1F29B" w:rsidR="00313D45" w:rsidRDefault="000C1B76" w:rsidP="00313D45">
      <w:pPr>
        <w:spacing w:after="0" w:line="480" w:lineRule="auto"/>
        <w:rPr>
          <w:rFonts w:cs="Times New Roman"/>
        </w:rPr>
      </w:pPr>
      <w:r w:rsidRPr="00CF07A6">
        <w:rPr>
          <w:rFonts w:cs="Times New Roman"/>
          <w:b/>
        </w:rPr>
        <w:t>Outcomes &amp; analysis:</w:t>
      </w:r>
      <w:r>
        <w:rPr>
          <w:rFonts w:cs="Times New Roman"/>
        </w:rPr>
        <w:t xml:space="preserve"> </w:t>
      </w:r>
      <w:r w:rsidR="00034730" w:rsidRPr="00976A9A">
        <w:rPr>
          <w:rFonts w:cs="Times New Roman"/>
        </w:rPr>
        <w:t xml:space="preserve">Cox </w:t>
      </w:r>
      <w:r w:rsidR="008B2B05">
        <w:rPr>
          <w:rFonts w:cs="Times New Roman"/>
        </w:rPr>
        <w:t>survival</w:t>
      </w:r>
      <w:r w:rsidR="008B2B05" w:rsidRPr="00976A9A">
        <w:rPr>
          <w:rFonts w:cs="Times New Roman"/>
        </w:rPr>
        <w:t xml:space="preserve"> </w:t>
      </w:r>
      <w:r w:rsidR="00034730" w:rsidRPr="00976A9A">
        <w:rPr>
          <w:rFonts w:cs="Times New Roman"/>
        </w:rPr>
        <w:t xml:space="preserve">models </w:t>
      </w:r>
      <w:r w:rsidR="000161C0">
        <w:rPr>
          <w:rFonts w:cs="Times New Roman"/>
        </w:rPr>
        <w:t xml:space="preserve">were used to </w:t>
      </w:r>
      <w:r w:rsidR="00034730" w:rsidRPr="00976A9A">
        <w:rPr>
          <w:rFonts w:cs="Times New Roman"/>
        </w:rPr>
        <w:t xml:space="preserve">estimate the </w:t>
      </w:r>
      <w:r w:rsidR="00313D45">
        <w:rPr>
          <w:rFonts w:cs="Times New Roman"/>
        </w:rPr>
        <w:t>association</w:t>
      </w:r>
      <w:r w:rsidR="006D503C">
        <w:rPr>
          <w:rFonts w:cs="Times New Roman"/>
        </w:rPr>
        <w:t>s</w:t>
      </w:r>
      <w:r w:rsidR="00313D45">
        <w:rPr>
          <w:rFonts w:cs="Times New Roman"/>
        </w:rPr>
        <w:t xml:space="preserve"> </w:t>
      </w:r>
      <w:r w:rsidR="007B3619">
        <w:rPr>
          <w:rFonts w:cs="Times New Roman"/>
        </w:rPr>
        <w:t xml:space="preserve">between </w:t>
      </w:r>
      <w:r w:rsidR="006D503C">
        <w:rPr>
          <w:rFonts w:cs="Times New Roman"/>
        </w:rPr>
        <w:t>two</w:t>
      </w:r>
      <w:r w:rsidR="007B3619">
        <w:rPr>
          <w:rFonts w:cs="Times New Roman"/>
        </w:rPr>
        <w:t xml:space="preserve"> primary care </w:t>
      </w:r>
      <w:r w:rsidR="006D503C">
        <w:rPr>
          <w:rFonts w:cs="Times New Roman"/>
        </w:rPr>
        <w:t>quality indicators</w:t>
      </w:r>
      <w:r w:rsidR="007B3619">
        <w:rPr>
          <w:rFonts w:cs="Times New Roman"/>
        </w:rPr>
        <w:t xml:space="preserve"> </w:t>
      </w:r>
      <w:r w:rsidR="006D503C">
        <w:rPr>
          <w:rFonts w:cs="Times New Roman"/>
        </w:rPr>
        <w:t xml:space="preserve">(care plans and annual reviews of physical health) </w:t>
      </w:r>
      <w:r w:rsidR="007B3619">
        <w:rPr>
          <w:rFonts w:cs="Times New Roman"/>
        </w:rPr>
        <w:t>and</w:t>
      </w:r>
      <w:r w:rsidR="00313D45">
        <w:rPr>
          <w:rFonts w:cs="Times New Roman"/>
        </w:rPr>
        <w:t xml:space="preserve"> the </w:t>
      </w:r>
      <w:r w:rsidR="006D503C">
        <w:rPr>
          <w:rFonts w:cs="Times New Roman"/>
        </w:rPr>
        <w:t>hazards of three types of unplanned hospital utilisation: p</w:t>
      </w:r>
      <w:r w:rsidR="00313D45">
        <w:rPr>
          <w:rFonts w:cs="Times New Roman"/>
        </w:rPr>
        <w:t xml:space="preserve">resentation to Accident &amp; Emergency departments (A&amp;E), </w:t>
      </w:r>
      <w:r w:rsidR="00313D45" w:rsidRPr="00976A9A">
        <w:rPr>
          <w:rFonts w:cs="Times New Roman"/>
        </w:rPr>
        <w:t>admission</w:t>
      </w:r>
      <w:r w:rsidR="00313D45">
        <w:rPr>
          <w:rFonts w:cs="Times New Roman"/>
        </w:rPr>
        <w:t xml:space="preserve"> for SMI</w:t>
      </w:r>
      <w:r w:rsidR="00313D45" w:rsidRPr="00976A9A">
        <w:rPr>
          <w:rFonts w:cs="Times New Roman"/>
        </w:rPr>
        <w:t xml:space="preserve">, </w:t>
      </w:r>
      <w:r w:rsidR="00313D45">
        <w:rPr>
          <w:rFonts w:cs="Times New Roman"/>
        </w:rPr>
        <w:t xml:space="preserve">and admission for </w:t>
      </w:r>
      <w:r w:rsidR="00313D45" w:rsidRPr="00976A9A">
        <w:rPr>
          <w:rFonts w:cs="Times New Roman"/>
        </w:rPr>
        <w:t>ambulatory care sensitive c</w:t>
      </w:r>
      <w:r w:rsidR="006D503C">
        <w:rPr>
          <w:rFonts w:cs="Times New Roman"/>
        </w:rPr>
        <w:t>onditions</w:t>
      </w:r>
      <w:r w:rsidR="008E7EE0">
        <w:rPr>
          <w:rFonts w:cs="Times New Roman"/>
        </w:rPr>
        <w:t xml:space="preserve"> (ACSC)</w:t>
      </w:r>
      <w:r w:rsidR="007B3619">
        <w:rPr>
          <w:rFonts w:cs="Times New Roman"/>
        </w:rPr>
        <w:t xml:space="preserve">. </w:t>
      </w:r>
    </w:p>
    <w:p w14:paraId="703812B2" w14:textId="051AFF36" w:rsidR="00717662" w:rsidRPr="00717662" w:rsidRDefault="00034730" w:rsidP="005D4A97">
      <w:pPr>
        <w:spacing w:after="0" w:line="480" w:lineRule="auto"/>
        <w:rPr>
          <w:rFonts w:cs="Times New Roman"/>
        </w:rPr>
      </w:pPr>
      <w:r w:rsidRPr="00717662">
        <w:rPr>
          <w:rFonts w:cs="Times New Roman"/>
          <w:b/>
        </w:rPr>
        <w:t>Results</w:t>
      </w:r>
      <w:r w:rsidR="00717662" w:rsidRPr="00717662">
        <w:rPr>
          <w:rFonts w:cs="Times New Roman"/>
          <w:b/>
        </w:rPr>
        <w:t>:</w:t>
      </w:r>
      <w:r w:rsidR="00717662">
        <w:rPr>
          <w:rFonts w:cs="Times New Roman"/>
          <w:b/>
        </w:rPr>
        <w:t xml:space="preserve"> </w:t>
      </w:r>
      <w:r w:rsidR="00717662" w:rsidRPr="00976A9A">
        <w:rPr>
          <w:rFonts w:cs="Times New Roman"/>
        </w:rPr>
        <w:t xml:space="preserve">Risk of </w:t>
      </w:r>
      <w:r w:rsidR="00717662">
        <w:rPr>
          <w:rFonts w:cs="Times New Roman"/>
        </w:rPr>
        <w:t>A&amp;E presentation</w:t>
      </w:r>
      <w:r w:rsidR="00717662" w:rsidRPr="00976A9A">
        <w:rPr>
          <w:rFonts w:cs="Times New Roman"/>
        </w:rPr>
        <w:t xml:space="preserve"> was </w:t>
      </w:r>
      <w:r w:rsidR="008147E2">
        <w:rPr>
          <w:rFonts w:cs="Times New Roman"/>
        </w:rPr>
        <w:t>1</w:t>
      </w:r>
      <w:r w:rsidR="009D2E1B">
        <w:rPr>
          <w:rFonts w:cs="Times New Roman"/>
        </w:rPr>
        <w:t>3</w:t>
      </w:r>
      <w:r w:rsidR="00717662" w:rsidRPr="00976A9A">
        <w:rPr>
          <w:rFonts w:cs="Times New Roman"/>
        </w:rPr>
        <w:t xml:space="preserve">% lower </w:t>
      </w:r>
      <w:r w:rsidR="006D503C">
        <w:rPr>
          <w:rFonts w:cs="Times New Roman"/>
        </w:rPr>
        <w:t>(hazard ratio</w:t>
      </w:r>
      <w:r w:rsidR="006D503C" w:rsidRPr="00976A9A">
        <w:rPr>
          <w:rFonts w:cs="Times New Roman"/>
        </w:rPr>
        <w:t xml:space="preserve"> </w:t>
      </w:r>
      <w:r w:rsidR="006D503C">
        <w:rPr>
          <w:rFonts w:cs="Times New Roman"/>
        </w:rPr>
        <w:t xml:space="preserve">(HR) </w:t>
      </w:r>
      <w:r w:rsidR="006D503C" w:rsidRPr="00976A9A">
        <w:rPr>
          <w:rFonts w:cs="Times New Roman"/>
        </w:rPr>
        <w:t>0.</w:t>
      </w:r>
      <w:r w:rsidR="006D503C">
        <w:rPr>
          <w:rFonts w:cs="Times New Roman"/>
        </w:rPr>
        <w:t>8</w:t>
      </w:r>
      <w:r w:rsidR="009D2E1B">
        <w:rPr>
          <w:rFonts w:cs="Times New Roman"/>
        </w:rPr>
        <w:t>7</w:t>
      </w:r>
      <w:r w:rsidR="006D503C" w:rsidRPr="00976A9A">
        <w:rPr>
          <w:rFonts w:cs="Times New Roman"/>
        </w:rPr>
        <w:t xml:space="preserve">, </w:t>
      </w:r>
      <w:r w:rsidR="006D503C">
        <w:rPr>
          <w:rFonts w:cs="Times New Roman"/>
        </w:rPr>
        <w:t>95% CI 0.7</w:t>
      </w:r>
      <w:r w:rsidR="009D2E1B">
        <w:rPr>
          <w:rFonts w:cs="Times New Roman"/>
        </w:rPr>
        <w:t>7</w:t>
      </w:r>
      <w:r w:rsidR="006D503C">
        <w:rPr>
          <w:rFonts w:cs="Times New Roman"/>
        </w:rPr>
        <w:t>-0.98</w:t>
      </w:r>
      <w:r w:rsidR="006D503C" w:rsidRPr="00976A9A">
        <w:rPr>
          <w:rFonts w:cs="Times New Roman"/>
        </w:rPr>
        <w:t>)</w:t>
      </w:r>
      <w:r w:rsidR="008E7EE0">
        <w:rPr>
          <w:rFonts w:cs="Times New Roman"/>
        </w:rPr>
        <w:t xml:space="preserve"> and risk </w:t>
      </w:r>
      <w:r w:rsidR="008E7EE0">
        <w:rPr>
          <w:rFonts w:cs="Times New Roman"/>
          <w:szCs w:val="24"/>
        </w:rPr>
        <w:t>of admission to hospital for ACSC was</w:t>
      </w:r>
      <w:r w:rsidR="006D503C">
        <w:rPr>
          <w:rFonts w:cs="Times New Roman"/>
        </w:rPr>
        <w:t xml:space="preserve"> </w:t>
      </w:r>
      <w:r w:rsidR="008E7EE0">
        <w:rPr>
          <w:rFonts w:cs="Times New Roman"/>
          <w:szCs w:val="24"/>
        </w:rPr>
        <w:t>23% lower</w:t>
      </w:r>
      <w:r w:rsidR="00CE4DCA">
        <w:rPr>
          <w:rFonts w:cs="Times New Roman"/>
          <w:szCs w:val="24"/>
        </w:rPr>
        <w:t xml:space="preserve"> (HR 0.77, 95%CI 0.60-0.99)</w:t>
      </w:r>
      <w:r w:rsidR="008E7EE0">
        <w:rPr>
          <w:rFonts w:cs="Times New Roman"/>
          <w:szCs w:val="24"/>
        </w:rPr>
        <w:t xml:space="preserve"> </w:t>
      </w:r>
      <w:r w:rsidR="00717662" w:rsidRPr="00976A9A">
        <w:rPr>
          <w:rFonts w:cs="Times New Roman"/>
        </w:rPr>
        <w:t>for patients with a care plan do</w:t>
      </w:r>
      <w:r w:rsidR="00DA587C">
        <w:rPr>
          <w:rFonts w:cs="Times New Roman"/>
        </w:rPr>
        <w:t xml:space="preserve">cumented in the </w:t>
      </w:r>
      <w:r w:rsidR="00AD7EE3">
        <w:rPr>
          <w:rFonts w:cs="Times New Roman"/>
        </w:rPr>
        <w:t xml:space="preserve">previous </w:t>
      </w:r>
      <w:r w:rsidR="00DA587C">
        <w:rPr>
          <w:rFonts w:cs="Times New Roman"/>
        </w:rPr>
        <w:t xml:space="preserve">year </w:t>
      </w:r>
      <w:r w:rsidR="006D503C">
        <w:rPr>
          <w:rFonts w:cs="Times New Roman"/>
        </w:rPr>
        <w:t>compared to</w:t>
      </w:r>
      <w:r w:rsidR="00C820E3">
        <w:rPr>
          <w:rFonts w:cs="Times New Roman"/>
        </w:rPr>
        <w:t xml:space="preserve"> those without a care plan</w:t>
      </w:r>
      <w:r w:rsidR="008E7EE0">
        <w:rPr>
          <w:rFonts w:cs="Times New Roman"/>
        </w:rPr>
        <w:t>. Risk of A&amp;E presentation was</w:t>
      </w:r>
      <w:r w:rsidR="008147E2">
        <w:rPr>
          <w:rFonts w:cs="Times New Roman"/>
        </w:rPr>
        <w:t xml:space="preserve"> 19</w:t>
      </w:r>
      <w:r w:rsidR="00717662" w:rsidRPr="00976A9A">
        <w:rPr>
          <w:rFonts w:cs="Times New Roman"/>
        </w:rPr>
        <w:t>% lower</w:t>
      </w:r>
      <w:r w:rsidR="008E7EE0">
        <w:rPr>
          <w:rFonts w:cs="Times New Roman"/>
        </w:rPr>
        <w:t xml:space="preserve"> </w:t>
      </w:r>
      <w:r w:rsidR="00717662" w:rsidRPr="00976A9A">
        <w:rPr>
          <w:rFonts w:cs="Times New Roman"/>
        </w:rPr>
        <w:t xml:space="preserve">for those who </w:t>
      </w:r>
      <w:r w:rsidR="008147E2">
        <w:rPr>
          <w:rFonts w:cs="Times New Roman"/>
        </w:rPr>
        <w:t xml:space="preserve">had a care plan documented earlier but not updated in the </w:t>
      </w:r>
      <w:r w:rsidR="00AD7EE3">
        <w:rPr>
          <w:rFonts w:cs="Times New Roman"/>
        </w:rPr>
        <w:t xml:space="preserve">previous </w:t>
      </w:r>
      <w:r w:rsidR="008147E2">
        <w:rPr>
          <w:rFonts w:cs="Times New Roman"/>
        </w:rPr>
        <w:t>year (</w:t>
      </w:r>
      <w:r w:rsidR="00AD7EE3">
        <w:rPr>
          <w:rFonts w:cs="Times New Roman"/>
        </w:rPr>
        <w:t>HR:</w:t>
      </w:r>
      <w:r w:rsidR="008147E2">
        <w:rPr>
          <w:rFonts w:cs="Times New Roman"/>
        </w:rPr>
        <w:t xml:space="preserve"> 0.81, 95% CI 0.6</w:t>
      </w:r>
      <w:r w:rsidR="00CC2E1A">
        <w:rPr>
          <w:rFonts w:cs="Times New Roman"/>
        </w:rPr>
        <w:t>7</w:t>
      </w:r>
      <w:r w:rsidR="008147E2">
        <w:rPr>
          <w:rFonts w:cs="Times New Roman"/>
        </w:rPr>
        <w:t>-0.9</w:t>
      </w:r>
      <w:r w:rsidR="00CC2E1A">
        <w:rPr>
          <w:rFonts w:cs="Times New Roman"/>
        </w:rPr>
        <w:t>7</w:t>
      </w:r>
      <w:r w:rsidR="008147E2">
        <w:rPr>
          <w:rFonts w:cs="Times New Roman"/>
        </w:rPr>
        <w:t>)</w:t>
      </w:r>
      <w:r w:rsidR="008E7EE0">
        <w:rPr>
          <w:rFonts w:cs="Times New Roman"/>
        </w:rPr>
        <w:t xml:space="preserve"> compared to those without a care plan</w:t>
      </w:r>
      <w:r w:rsidR="00C820E3">
        <w:rPr>
          <w:rFonts w:cs="Times New Roman"/>
        </w:rPr>
        <w:t>.</w:t>
      </w:r>
      <w:r w:rsidR="008147E2">
        <w:rPr>
          <w:rFonts w:cs="Times New Roman"/>
        </w:rPr>
        <w:t xml:space="preserve"> </w:t>
      </w:r>
      <w:r w:rsidR="007B3619">
        <w:rPr>
          <w:rFonts w:cs="Times New Roman"/>
        </w:rPr>
        <w:t>Risk</w:t>
      </w:r>
      <w:r w:rsidR="00466919">
        <w:rPr>
          <w:rFonts w:cs="Times New Roman"/>
        </w:rPr>
        <w:t>s</w:t>
      </w:r>
      <w:r w:rsidR="007B3619">
        <w:rPr>
          <w:rFonts w:cs="Times New Roman"/>
        </w:rPr>
        <w:t xml:space="preserve"> of hospital admission for </w:t>
      </w:r>
      <w:r w:rsidR="008E7EE0">
        <w:rPr>
          <w:rFonts w:cs="Times New Roman"/>
        </w:rPr>
        <w:t xml:space="preserve">SMI </w:t>
      </w:r>
      <w:r w:rsidR="00466919">
        <w:rPr>
          <w:rFonts w:cs="Times New Roman"/>
        </w:rPr>
        <w:t>were</w:t>
      </w:r>
      <w:r w:rsidR="007B3619">
        <w:rPr>
          <w:rFonts w:cs="Times New Roman"/>
        </w:rPr>
        <w:t xml:space="preserve"> not associated with c</w:t>
      </w:r>
      <w:r w:rsidR="00717662">
        <w:rPr>
          <w:rFonts w:cs="Times New Roman"/>
        </w:rPr>
        <w:t>are plans</w:t>
      </w:r>
      <w:r w:rsidR="008E7EE0">
        <w:rPr>
          <w:rFonts w:cs="Times New Roman"/>
        </w:rPr>
        <w:t xml:space="preserve">, and none of the outcomes </w:t>
      </w:r>
      <w:r w:rsidR="00E12139">
        <w:rPr>
          <w:rFonts w:cs="Times New Roman"/>
        </w:rPr>
        <w:t>were</w:t>
      </w:r>
      <w:r w:rsidR="008E7EE0">
        <w:rPr>
          <w:rFonts w:cs="Times New Roman"/>
        </w:rPr>
        <w:t xml:space="preserve"> associated with</w:t>
      </w:r>
      <w:r w:rsidR="00717662">
        <w:rPr>
          <w:rFonts w:cs="Times New Roman"/>
        </w:rPr>
        <w:t xml:space="preserve"> annual reviews.</w:t>
      </w:r>
    </w:p>
    <w:p w14:paraId="3232173F" w14:textId="77C240C3" w:rsidR="00BA009A" w:rsidRPr="00976A9A" w:rsidRDefault="00BA009A" w:rsidP="00BA009A">
      <w:pPr>
        <w:spacing w:after="0" w:line="480" w:lineRule="auto"/>
        <w:rPr>
          <w:rFonts w:cs="Times New Roman"/>
        </w:rPr>
      </w:pPr>
      <w:r w:rsidRPr="00976A9A">
        <w:rPr>
          <w:rStyle w:val="Heading2Char"/>
        </w:rPr>
        <w:t>Conclusions</w:t>
      </w:r>
      <w:r w:rsidRPr="00976A9A">
        <w:rPr>
          <w:rFonts w:cs="Times New Roman"/>
          <w:i/>
        </w:rPr>
        <w:t>:</w:t>
      </w:r>
      <w:r w:rsidR="00CE3CF7" w:rsidRPr="00976A9A">
        <w:rPr>
          <w:rFonts w:cs="Times New Roman"/>
          <w:szCs w:val="24"/>
        </w:rPr>
        <w:t xml:space="preserve"> </w:t>
      </w:r>
      <w:r w:rsidR="00A4626E">
        <w:rPr>
          <w:rFonts w:cs="Times New Roman"/>
          <w:szCs w:val="24"/>
        </w:rPr>
        <w:t xml:space="preserve">Care plans </w:t>
      </w:r>
      <w:r w:rsidR="00E12139">
        <w:rPr>
          <w:rFonts w:cs="Times New Roman"/>
          <w:szCs w:val="24"/>
        </w:rPr>
        <w:t xml:space="preserve">documented in primary care </w:t>
      </w:r>
      <w:r w:rsidR="00A4626E">
        <w:rPr>
          <w:rFonts w:cs="Times New Roman"/>
          <w:szCs w:val="24"/>
        </w:rPr>
        <w:t xml:space="preserve">for </w:t>
      </w:r>
      <w:r w:rsidR="00034730">
        <w:rPr>
          <w:rFonts w:cs="Times New Roman"/>
          <w:szCs w:val="24"/>
        </w:rPr>
        <w:t xml:space="preserve">people with SMI </w:t>
      </w:r>
      <w:r w:rsidR="00A4626E">
        <w:rPr>
          <w:rFonts w:cs="Times New Roman"/>
          <w:szCs w:val="24"/>
        </w:rPr>
        <w:t xml:space="preserve">are associated with reduced </w:t>
      </w:r>
      <w:r w:rsidR="00C820E3">
        <w:rPr>
          <w:rFonts w:cs="Times New Roman"/>
          <w:szCs w:val="24"/>
        </w:rPr>
        <w:t>risk of A&amp;E attendance</w:t>
      </w:r>
      <w:r w:rsidR="00E12139">
        <w:rPr>
          <w:rFonts w:cs="Times New Roman"/>
          <w:szCs w:val="24"/>
        </w:rPr>
        <w:t xml:space="preserve"> and reduced risk of unplanned </w:t>
      </w:r>
      <w:r w:rsidR="00E12139">
        <w:rPr>
          <w:rFonts w:cs="Times New Roman"/>
          <w:szCs w:val="24"/>
        </w:rPr>
        <w:lastRenderedPageBreak/>
        <w:t>admission to hospital for physical health problems</w:t>
      </w:r>
      <w:r w:rsidR="00C820E3">
        <w:rPr>
          <w:rFonts w:cs="Times New Roman"/>
          <w:szCs w:val="24"/>
        </w:rPr>
        <w:t xml:space="preserve">, </w:t>
      </w:r>
      <w:r w:rsidR="00CE3CF7" w:rsidRPr="00976A9A">
        <w:rPr>
          <w:rFonts w:cs="Times New Roman"/>
          <w:szCs w:val="24"/>
        </w:rPr>
        <w:t xml:space="preserve">but </w:t>
      </w:r>
      <w:r w:rsidR="00A4626E">
        <w:rPr>
          <w:rFonts w:cs="Times New Roman"/>
          <w:szCs w:val="24"/>
        </w:rPr>
        <w:t xml:space="preserve">not with risk of </w:t>
      </w:r>
      <w:r w:rsidR="00E12139">
        <w:rPr>
          <w:rFonts w:cs="Times New Roman"/>
          <w:szCs w:val="24"/>
        </w:rPr>
        <w:t>admission for mental health problems</w:t>
      </w:r>
      <w:r w:rsidR="00A4626E">
        <w:rPr>
          <w:rFonts w:cs="Times New Roman"/>
          <w:szCs w:val="24"/>
        </w:rPr>
        <w:t xml:space="preserve">. </w:t>
      </w:r>
      <w:r w:rsidR="003571A6">
        <w:rPr>
          <w:rFonts w:cs="Times New Roman"/>
          <w:szCs w:val="24"/>
        </w:rPr>
        <w:t xml:space="preserve"> </w:t>
      </w:r>
      <w:r w:rsidR="00E12139">
        <w:rPr>
          <w:rFonts w:cs="Times New Roman"/>
          <w:szCs w:val="24"/>
        </w:rPr>
        <w:t xml:space="preserve">Annual reviews of physical health are not associated with risk of unplanned hospital utilisation. </w:t>
      </w:r>
    </w:p>
    <w:p w14:paraId="46B2AAF8" w14:textId="77777777" w:rsidR="000D3D82" w:rsidRDefault="000D3D82">
      <w:pPr>
        <w:spacing w:after="200" w:line="276" w:lineRule="auto"/>
        <w:rPr>
          <w:rStyle w:val="Heading2Char"/>
        </w:rPr>
      </w:pPr>
      <w:r>
        <w:rPr>
          <w:rStyle w:val="Heading2Char"/>
        </w:rPr>
        <w:br w:type="page"/>
      </w:r>
    </w:p>
    <w:p w14:paraId="4F55D930" w14:textId="61CF18CB" w:rsidR="000D3D82" w:rsidRDefault="000D3D82" w:rsidP="009365BF">
      <w:pPr>
        <w:spacing w:after="0" w:line="480" w:lineRule="auto"/>
        <w:rPr>
          <w:rFonts w:cs="Times New Roman"/>
        </w:rPr>
      </w:pPr>
      <w:r>
        <w:rPr>
          <w:rFonts w:cs="Times New Roman"/>
          <w:b/>
        </w:rPr>
        <w:lastRenderedPageBreak/>
        <w:t>Strengths and limitations</w:t>
      </w:r>
      <w:r w:rsidR="008B4652">
        <w:rPr>
          <w:rFonts w:cs="Times New Roman"/>
          <w:b/>
        </w:rPr>
        <w:t xml:space="preserve"> of this study</w:t>
      </w:r>
    </w:p>
    <w:p w14:paraId="2B79F243" w14:textId="403443C1" w:rsidR="000D3D82" w:rsidRDefault="00267600" w:rsidP="000D3D82">
      <w:pPr>
        <w:pStyle w:val="ListParagraph"/>
        <w:numPr>
          <w:ilvl w:val="0"/>
          <w:numId w:val="9"/>
        </w:numPr>
        <w:spacing w:after="0" w:line="480" w:lineRule="auto"/>
        <w:rPr>
          <w:rFonts w:cs="Times New Roman"/>
        </w:rPr>
      </w:pPr>
      <w:r>
        <w:rPr>
          <w:rFonts w:cs="Times New Roman"/>
        </w:rPr>
        <w:t>Innovative use of l</w:t>
      </w:r>
      <w:r w:rsidR="009C18D4">
        <w:rPr>
          <w:rFonts w:cs="Times New Roman"/>
        </w:rPr>
        <w:t xml:space="preserve">inked individual-level patient data from primary care, inpatient admissions and A&amp;E, allowing the sequence of care indicators and </w:t>
      </w:r>
      <w:r w:rsidR="0046253D">
        <w:rPr>
          <w:rFonts w:cs="Times New Roman"/>
        </w:rPr>
        <w:t>unplanned hospital utilisation</w:t>
      </w:r>
      <w:r w:rsidR="009C18D4">
        <w:rPr>
          <w:rFonts w:cs="Times New Roman"/>
        </w:rPr>
        <w:t xml:space="preserve"> to be identified</w:t>
      </w:r>
      <w:r w:rsidR="0011371A">
        <w:rPr>
          <w:rFonts w:cs="Times New Roman"/>
        </w:rPr>
        <w:t>.</w:t>
      </w:r>
    </w:p>
    <w:p w14:paraId="004FB66E" w14:textId="6380AF3E" w:rsidR="009C18D4" w:rsidRDefault="00BD7F5C" w:rsidP="000D3D82">
      <w:pPr>
        <w:pStyle w:val="ListParagraph"/>
        <w:numPr>
          <w:ilvl w:val="0"/>
          <w:numId w:val="9"/>
        </w:numPr>
        <w:spacing w:after="0" w:line="480" w:lineRule="auto"/>
        <w:rPr>
          <w:rFonts w:cs="Times New Roman"/>
        </w:rPr>
      </w:pPr>
      <w:r>
        <w:rPr>
          <w:rFonts w:cs="Times New Roman"/>
        </w:rPr>
        <w:t>Contributes</w:t>
      </w:r>
      <w:r w:rsidR="009C18D4">
        <w:rPr>
          <w:rFonts w:cs="Times New Roman"/>
        </w:rPr>
        <w:t xml:space="preserve"> to a limited evidence </w:t>
      </w:r>
      <w:r w:rsidR="00AD7EE3">
        <w:rPr>
          <w:rFonts w:cs="Times New Roman"/>
        </w:rPr>
        <w:t xml:space="preserve">base </w:t>
      </w:r>
      <w:r w:rsidR="009C18D4">
        <w:rPr>
          <w:rFonts w:cs="Times New Roman"/>
        </w:rPr>
        <w:t xml:space="preserve">on the </w:t>
      </w:r>
      <w:r>
        <w:rPr>
          <w:rFonts w:cs="Times New Roman"/>
        </w:rPr>
        <w:t xml:space="preserve">association of patient outcomes with </w:t>
      </w:r>
      <w:r w:rsidR="009C18D4">
        <w:rPr>
          <w:rFonts w:cs="Times New Roman"/>
        </w:rPr>
        <w:t>the type</w:t>
      </w:r>
      <w:r>
        <w:rPr>
          <w:rFonts w:cs="Times New Roman"/>
        </w:rPr>
        <w:t>s</w:t>
      </w:r>
      <w:r w:rsidR="009C18D4">
        <w:rPr>
          <w:rFonts w:cs="Times New Roman"/>
        </w:rPr>
        <w:t xml:space="preserve"> of care incentivised under a </w:t>
      </w:r>
      <w:r w:rsidR="0011371A">
        <w:rPr>
          <w:rFonts w:cs="Times New Roman"/>
        </w:rPr>
        <w:t xml:space="preserve">national </w:t>
      </w:r>
      <w:r>
        <w:rPr>
          <w:rFonts w:cs="Times New Roman"/>
        </w:rPr>
        <w:t xml:space="preserve">primary care </w:t>
      </w:r>
      <w:r w:rsidR="009C18D4">
        <w:rPr>
          <w:rFonts w:cs="Times New Roman"/>
        </w:rPr>
        <w:t>physician incentive scheme</w:t>
      </w:r>
      <w:r w:rsidR="0011371A">
        <w:rPr>
          <w:rFonts w:cs="Times New Roman"/>
        </w:rPr>
        <w:t>.</w:t>
      </w:r>
      <w:r w:rsidR="009C18D4">
        <w:rPr>
          <w:rFonts w:cs="Times New Roman"/>
        </w:rPr>
        <w:t xml:space="preserve"> </w:t>
      </w:r>
    </w:p>
    <w:p w14:paraId="0D165562" w14:textId="77777777" w:rsidR="009C18D4" w:rsidRDefault="00BD7F5C" w:rsidP="000D3D82">
      <w:pPr>
        <w:pStyle w:val="ListParagraph"/>
        <w:numPr>
          <w:ilvl w:val="0"/>
          <w:numId w:val="9"/>
        </w:numPr>
        <w:spacing w:after="0" w:line="480" w:lineRule="auto"/>
        <w:rPr>
          <w:rFonts w:cs="Times New Roman"/>
        </w:rPr>
      </w:pPr>
      <w:r>
        <w:rPr>
          <w:rFonts w:cs="Times New Roman"/>
        </w:rPr>
        <w:t xml:space="preserve">Due to the observational nature of the data, no information was available on the circumstances leading to documentation of care quality indicators, or their quality or content. </w:t>
      </w:r>
    </w:p>
    <w:p w14:paraId="2CD645A7" w14:textId="66BE563E" w:rsidR="00BD7F5C" w:rsidRDefault="00E755E3" w:rsidP="000D3D82">
      <w:pPr>
        <w:pStyle w:val="ListParagraph"/>
        <w:numPr>
          <w:ilvl w:val="0"/>
          <w:numId w:val="9"/>
        </w:numPr>
        <w:spacing w:after="0" w:line="480" w:lineRule="auto"/>
        <w:rPr>
          <w:rFonts w:cs="Times New Roman"/>
        </w:rPr>
      </w:pPr>
      <w:r>
        <w:rPr>
          <w:rFonts w:cs="Times New Roman"/>
        </w:rPr>
        <w:t xml:space="preserve">Partial </w:t>
      </w:r>
      <w:r w:rsidR="00BD7F5C">
        <w:rPr>
          <w:rFonts w:cs="Times New Roman"/>
        </w:rPr>
        <w:t>capacity to account for patient health status and factors driving utilisation of primary and secondary care</w:t>
      </w:r>
      <w:r w:rsidR="0011371A">
        <w:rPr>
          <w:rFonts w:cs="Times New Roman"/>
        </w:rPr>
        <w:t>.</w:t>
      </w:r>
      <w:r w:rsidR="00BD7F5C">
        <w:rPr>
          <w:rFonts w:cs="Times New Roman"/>
        </w:rPr>
        <w:t xml:space="preserve"> </w:t>
      </w:r>
    </w:p>
    <w:p w14:paraId="333AF099" w14:textId="77777777" w:rsidR="000D3D82" w:rsidRDefault="000D3D82" w:rsidP="000D3D82">
      <w:pPr>
        <w:spacing w:after="0" w:line="480" w:lineRule="auto"/>
        <w:rPr>
          <w:rFonts w:cs="Times New Roman"/>
        </w:rPr>
      </w:pPr>
    </w:p>
    <w:p w14:paraId="194EB316" w14:textId="7B3917EC" w:rsidR="008B4652" w:rsidRDefault="008B4652" w:rsidP="000D3D82">
      <w:pPr>
        <w:spacing w:after="0" w:line="480" w:lineRule="auto"/>
        <w:rPr>
          <w:rFonts w:cs="Times New Roman"/>
        </w:rPr>
      </w:pPr>
      <w:r>
        <w:rPr>
          <w:rFonts w:cs="Times New Roman"/>
          <w:b/>
        </w:rPr>
        <w:t>Keywords</w:t>
      </w:r>
    </w:p>
    <w:p w14:paraId="5857BD22" w14:textId="5582D37A" w:rsidR="008B4652" w:rsidRDefault="004F5C64" w:rsidP="000D3D82">
      <w:pPr>
        <w:spacing w:after="0" w:line="480" w:lineRule="auto"/>
        <w:rPr>
          <w:rFonts w:cs="Times New Roman"/>
        </w:rPr>
      </w:pPr>
      <w:r>
        <w:rPr>
          <w:rFonts w:cs="Times New Roman"/>
        </w:rPr>
        <w:t>Schizophrenia &amp; psychotic disorders</w:t>
      </w:r>
      <w:r w:rsidR="008B4652">
        <w:rPr>
          <w:rFonts w:cs="Times New Roman"/>
        </w:rPr>
        <w:t>; primary care; quality</w:t>
      </w:r>
      <w:r>
        <w:rPr>
          <w:rFonts w:cs="Times New Roman"/>
        </w:rPr>
        <w:t xml:space="preserve"> in health care</w:t>
      </w:r>
      <w:r w:rsidR="008B4652">
        <w:rPr>
          <w:rFonts w:cs="Times New Roman"/>
        </w:rPr>
        <w:t xml:space="preserve">; data linkage; hospital utilisation. </w:t>
      </w:r>
    </w:p>
    <w:p w14:paraId="40B7FB0F" w14:textId="77777777" w:rsidR="008B4652" w:rsidRPr="008B4652" w:rsidRDefault="008B4652" w:rsidP="000D3D82">
      <w:pPr>
        <w:spacing w:after="0" w:line="480" w:lineRule="auto"/>
        <w:rPr>
          <w:rFonts w:cs="Times New Roman"/>
        </w:rPr>
      </w:pPr>
    </w:p>
    <w:p w14:paraId="772CFF79" w14:textId="77777777" w:rsidR="000D3D82" w:rsidRDefault="000D3D82" w:rsidP="000D3D82">
      <w:pPr>
        <w:spacing w:after="0" w:line="480" w:lineRule="auto"/>
        <w:rPr>
          <w:rFonts w:cs="Times New Roman"/>
          <w:b/>
        </w:rPr>
      </w:pPr>
      <w:r>
        <w:rPr>
          <w:rFonts w:cs="Times New Roman"/>
          <w:b/>
        </w:rPr>
        <w:t>Funding statement</w:t>
      </w:r>
    </w:p>
    <w:p w14:paraId="1451BE02" w14:textId="77777777" w:rsidR="000D3D82" w:rsidRDefault="009C18D4" w:rsidP="000D3D82">
      <w:pPr>
        <w:spacing w:after="0" w:line="480" w:lineRule="auto"/>
        <w:rPr>
          <w:rFonts w:cs="Times New Roman"/>
        </w:rPr>
      </w:pPr>
      <w:r w:rsidRPr="009C18D4">
        <w:rPr>
          <w:rFonts w:cs="Times New Roman"/>
        </w:rPr>
        <w:t>This project was funded by the National Institute for Health Research HS&amp;DR programme (project number 13/54/40). The views expressed are those of the author(s) and not necessarily those of the NHS, the NIHR or the Department of Health.</w:t>
      </w:r>
    </w:p>
    <w:p w14:paraId="1EF303F5" w14:textId="77777777" w:rsidR="009C18D4" w:rsidRPr="009C18D4" w:rsidRDefault="009C18D4" w:rsidP="000D3D82">
      <w:pPr>
        <w:spacing w:after="0" w:line="480" w:lineRule="auto"/>
        <w:rPr>
          <w:rFonts w:cs="Times New Roman"/>
        </w:rPr>
      </w:pPr>
    </w:p>
    <w:p w14:paraId="6BEB8E71" w14:textId="77777777" w:rsidR="000D3D82" w:rsidRDefault="000D3D82" w:rsidP="000D3D82">
      <w:pPr>
        <w:spacing w:after="0" w:line="480" w:lineRule="auto"/>
        <w:rPr>
          <w:rFonts w:cs="Times New Roman"/>
          <w:b/>
        </w:rPr>
      </w:pPr>
      <w:r>
        <w:rPr>
          <w:rFonts w:cs="Times New Roman"/>
          <w:b/>
        </w:rPr>
        <w:t xml:space="preserve">Competing interests </w:t>
      </w:r>
    </w:p>
    <w:p w14:paraId="46C466FB" w14:textId="77777777" w:rsidR="009C18D4" w:rsidRPr="009C18D4" w:rsidRDefault="009C18D4" w:rsidP="000D3D82">
      <w:pPr>
        <w:spacing w:after="0" w:line="480" w:lineRule="auto"/>
        <w:rPr>
          <w:rFonts w:cs="Times New Roman"/>
        </w:rPr>
      </w:pPr>
      <w:r>
        <w:rPr>
          <w:rFonts w:cs="Times New Roman"/>
        </w:rPr>
        <w:t xml:space="preserve">No competing interests. </w:t>
      </w:r>
    </w:p>
    <w:p w14:paraId="25E4EDF4" w14:textId="5650BA3F" w:rsidR="006D53CB" w:rsidRPr="00976A9A" w:rsidRDefault="006D53CB" w:rsidP="009365BF">
      <w:pPr>
        <w:spacing w:after="0" w:line="480" w:lineRule="auto"/>
        <w:rPr>
          <w:rFonts w:eastAsiaTheme="majorEastAsia" w:cs="Times New Roman"/>
          <w:b/>
          <w:bCs/>
          <w:color w:val="365F91" w:themeColor="accent1" w:themeShade="BF"/>
          <w:sz w:val="28"/>
          <w:szCs w:val="28"/>
        </w:rPr>
      </w:pPr>
    </w:p>
    <w:p w14:paraId="5A8975FE" w14:textId="77777777" w:rsidR="007C1147" w:rsidRPr="00E5596C" w:rsidRDefault="00C95DFC" w:rsidP="00E5596C">
      <w:pPr>
        <w:pStyle w:val="Heading1"/>
      </w:pPr>
      <w:r w:rsidRPr="00E5596C">
        <w:lastRenderedPageBreak/>
        <w:t>I</w:t>
      </w:r>
      <w:r w:rsidR="007C1147" w:rsidRPr="00E5596C">
        <w:t>ntroduction</w:t>
      </w:r>
      <w:bookmarkEnd w:id="0"/>
      <w:bookmarkEnd w:id="1"/>
      <w:bookmarkEnd w:id="2"/>
    </w:p>
    <w:p w14:paraId="66806EA2" w14:textId="2CBB521C" w:rsidR="00060FC9" w:rsidRPr="00976A9A" w:rsidRDefault="009D0E75" w:rsidP="005377E0">
      <w:pPr>
        <w:spacing w:after="0" w:line="480" w:lineRule="auto"/>
        <w:rPr>
          <w:rFonts w:cs="Times New Roman"/>
        </w:rPr>
      </w:pPr>
      <w:r w:rsidRPr="00976A9A">
        <w:rPr>
          <w:rFonts w:cs="Times New Roman"/>
          <w:szCs w:val="24"/>
        </w:rPr>
        <w:t xml:space="preserve">Serious mental illness (SMI) comprises </w:t>
      </w:r>
      <w:r w:rsidR="004F2EE7">
        <w:rPr>
          <w:rFonts w:cs="Times New Roman"/>
          <w:szCs w:val="24"/>
        </w:rPr>
        <w:t xml:space="preserve">a set of </w:t>
      </w:r>
      <w:r w:rsidRPr="00976A9A">
        <w:rPr>
          <w:rFonts w:cs="Times New Roman"/>
          <w:szCs w:val="24"/>
        </w:rPr>
        <w:t xml:space="preserve">conditions </w:t>
      </w:r>
      <w:r w:rsidR="00951A99">
        <w:rPr>
          <w:rFonts w:cs="Times New Roman"/>
          <w:szCs w:val="24"/>
        </w:rPr>
        <w:t>including</w:t>
      </w:r>
      <w:r w:rsidRPr="00976A9A">
        <w:rPr>
          <w:rFonts w:cs="Times New Roman"/>
          <w:szCs w:val="24"/>
        </w:rPr>
        <w:t xml:space="preserve"> schizophrenia</w:t>
      </w:r>
      <w:r w:rsidR="00234D3F" w:rsidRPr="00976A9A">
        <w:rPr>
          <w:rFonts w:cs="Times New Roman"/>
          <w:szCs w:val="24"/>
        </w:rPr>
        <w:t xml:space="preserve"> and</w:t>
      </w:r>
      <w:r w:rsidRPr="00976A9A">
        <w:rPr>
          <w:rFonts w:cs="Times New Roman"/>
          <w:szCs w:val="24"/>
        </w:rPr>
        <w:t xml:space="preserve"> </w:t>
      </w:r>
      <w:r w:rsidRPr="00976A9A">
        <w:rPr>
          <w:rFonts w:cs="Times New Roman"/>
        </w:rPr>
        <w:t>bipolar disorder</w:t>
      </w:r>
      <w:r w:rsidR="00951A99">
        <w:rPr>
          <w:rFonts w:cs="Times New Roman"/>
        </w:rPr>
        <w:t xml:space="preserve"> with profound impacts on the wellbeing of patients and high costs to</w:t>
      </w:r>
      <w:r w:rsidRPr="00976A9A">
        <w:rPr>
          <w:rFonts w:cs="Times New Roman"/>
        </w:rPr>
        <w:t xml:space="preserve"> society.</w:t>
      </w:r>
      <w:r w:rsidR="00520A46" w:rsidRPr="00976A9A">
        <w:rPr>
          <w:rFonts w:cs="Times New Roman"/>
        </w:rPr>
        <w:t xml:space="preserve"> It is linked with a high disease burden</w:t>
      </w:r>
      <w:r w:rsidR="00BB3B24" w:rsidRPr="00976A9A">
        <w:rPr>
          <w:rFonts w:cs="Times New Roman"/>
        </w:rPr>
        <w:fldChar w:fldCharType="begin"/>
      </w:r>
      <w:r w:rsidR="00701631" w:rsidRPr="00976A9A">
        <w:rPr>
          <w:rFonts w:cs="Times New Roman"/>
        </w:rPr>
        <w:instrText xml:space="preserve"> ADDIN EN.CITE &lt;EndNote&gt;&lt;Cite&gt;&lt;Author&gt;Murray&lt;/Author&gt;&lt;Year&gt;2013&lt;/Year&gt;&lt;RecNum&gt;58&lt;/RecNum&gt;&lt;DisplayText&gt;&lt;style face="superscript"&gt;1 2&lt;/style&gt;&lt;/DisplayText&gt;&lt;record&gt;&lt;rec-number&gt;58&lt;/rec-number&gt;&lt;foreign-keys&gt;&lt;key app="EN" db-id="0aaxrwtz35eps2efxtzpva5he0xztfsrzr02" timestamp="1497268409"&gt;58&lt;/key&gt;&lt;/foreign-keys&gt;&lt;ref-type name="Journal Article"&gt;17&lt;/ref-type&gt;&lt;contributors&gt;&lt;authors&gt;&lt;author&gt;Murray, Christopher JL&lt;/author&gt;&lt;author&gt;Richards, Michael A&lt;/author&gt;&lt;author&gt;Newton, John N&lt;/author&gt;&lt;author&gt;Fenton, Kevin A&lt;/author&gt;&lt;author&gt;Anderson, H Ross&lt;/author&gt;&lt;author&gt;Atkinson, Charles&lt;/author&gt;&lt;author&gt;Bennett, Derrick&lt;/author&gt;&lt;author&gt;Bernabé, Eduardo&lt;/author&gt;&lt;author&gt;Blencowe, Hannah&lt;/author&gt;&lt;author&gt;Bourne, Rupert&lt;/author&gt;&lt;/authors&gt;&lt;/contributors&gt;&lt;titles&gt;&lt;title&gt;UK health performance: findings of the Global Burden of Disease Study 2010&lt;/title&gt;&lt;secondary-title&gt;The Lancet&lt;/secondary-title&gt;&lt;/titles&gt;&lt;periodical&gt;&lt;full-title&gt;The lancet&lt;/full-title&gt;&lt;/periodical&gt;&lt;pages&gt;997-1020&lt;/pages&gt;&lt;volume&gt;381&lt;/volume&gt;&lt;number&gt;9871&lt;/number&gt;&lt;dates&gt;&lt;year&gt;2013&lt;/year&gt;&lt;/dates&gt;&lt;isbn&gt;0140-6736&lt;/isbn&gt;&lt;urls&gt;&lt;/urls&gt;&lt;/record&gt;&lt;/Cite&gt;&lt;Cite&gt;&lt;Author&gt;Vigo&lt;/Author&gt;&lt;Year&gt;2016&lt;/Year&gt;&lt;RecNum&gt;91&lt;/RecNum&gt;&lt;record&gt;&lt;rec-number&gt;91&lt;/rec-number&gt;&lt;foreign-keys&gt;&lt;key app="EN" db-id="0aaxrwtz35eps2efxtzpva5he0xztfsrzr02" timestamp="1497268454"&gt;91&lt;/key&gt;&lt;key app="ENWeb" db-id=""&gt;0&lt;/key&gt;&lt;/foreign-keys&gt;&lt;ref-type name="Journal Article"&gt;17&lt;/ref-type&gt;&lt;contributors&gt;&lt;authors&gt;&lt;author&gt;Vigo, Daniel&lt;/author&gt;&lt;author&gt;Thornicroft, Graham&lt;/author&gt;&lt;author&gt;Atun, Rifat&lt;/author&gt;&lt;/authors&gt;&lt;/contributors&gt;&lt;titles&gt;&lt;title&gt;Estimating the true global burden of mental illness&lt;/title&gt;&lt;secondary-title&gt;The Lancet Psychiatry&lt;/secondary-title&gt;&lt;/titles&gt;&lt;periodical&gt;&lt;full-title&gt;The Lancet Psychiatry&lt;/full-title&gt;&lt;/periodical&gt;&lt;pages&gt;171-178&lt;/pages&gt;&lt;volume&gt;3&lt;/volume&gt;&lt;number&gt;2&lt;/number&gt;&lt;dates&gt;&lt;year&gt;2016&lt;/year&gt;&lt;/dates&gt;&lt;isbn&gt;2215-0366&lt;/isbn&gt;&lt;urls&gt;&lt;/urls&gt;&lt;/record&gt;&lt;/Cite&gt;&lt;/EndNote&gt;</w:instrText>
      </w:r>
      <w:r w:rsidR="00BB3B24" w:rsidRPr="00976A9A">
        <w:rPr>
          <w:rFonts w:cs="Times New Roman"/>
        </w:rPr>
        <w:fldChar w:fldCharType="separate"/>
      </w:r>
      <w:hyperlink w:anchor="_ENREF_1" w:tooltip="Murray, 2013 #58" w:history="1">
        <w:r w:rsidR="002025EA" w:rsidRPr="00976A9A">
          <w:rPr>
            <w:rFonts w:cs="Times New Roman"/>
            <w:noProof/>
            <w:vertAlign w:val="superscript"/>
          </w:rPr>
          <w:t>1</w:t>
        </w:r>
      </w:hyperlink>
      <w:r w:rsidR="00701631" w:rsidRPr="00976A9A">
        <w:rPr>
          <w:rFonts w:cs="Times New Roman"/>
          <w:noProof/>
          <w:vertAlign w:val="superscript"/>
        </w:rPr>
        <w:t xml:space="preserve"> </w:t>
      </w:r>
      <w:hyperlink w:anchor="_ENREF_2" w:tooltip="Vigo, 2016 #91" w:history="1">
        <w:r w:rsidR="002025EA" w:rsidRPr="00976A9A">
          <w:rPr>
            <w:rFonts w:cs="Times New Roman"/>
            <w:noProof/>
            <w:vertAlign w:val="superscript"/>
          </w:rPr>
          <w:t>2</w:t>
        </w:r>
      </w:hyperlink>
      <w:r w:rsidR="00BB3B24" w:rsidRPr="00976A9A">
        <w:rPr>
          <w:rFonts w:cs="Times New Roman"/>
        </w:rPr>
        <w:fldChar w:fldCharType="end"/>
      </w:r>
      <w:r w:rsidR="00520A46" w:rsidRPr="00976A9A">
        <w:rPr>
          <w:rFonts w:cs="Times New Roman"/>
        </w:rPr>
        <w:t>, poor health outcomes</w:t>
      </w:r>
      <w:r w:rsidR="009071D1" w:rsidRPr="00976A9A">
        <w:rPr>
          <w:rFonts w:cs="Times New Roman"/>
        </w:rPr>
        <w:t>, high treatment costs</w:t>
      </w:r>
      <w:r w:rsidR="00234D3F" w:rsidRPr="00976A9A">
        <w:rPr>
          <w:rFonts w:cs="Times New Roman"/>
        </w:rPr>
        <w:t>,</w:t>
      </w:r>
      <w:r w:rsidR="00520A46" w:rsidRPr="00976A9A">
        <w:rPr>
          <w:rFonts w:cs="Times New Roman"/>
        </w:rPr>
        <w:t xml:space="preserve"> and </w:t>
      </w:r>
      <w:r w:rsidR="00234D3F" w:rsidRPr="00976A9A">
        <w:rPr>
          <w:rFonts w:cs="Times New Roman"/>
        </w:rPr>
        <w:t>lower</w:t>
      </w:r>
      <w:r w:rsidR="00520A46" w:rsidRPr="00976A9A">
        <w:rPr>
          <w:rFonts w:cs="Times New Roman"/>
        </w:rPr>
        <w:t xml:space="preserve"> life expectancy</w:t>
      </w:r>
      <w:r w:rsidR="009071D1" w:rsidRPr="00976A9A">
        <w:rPr>
          <w:rFonts w:cs="Times New Roman"/>
        </w:rPr>
        <w:t>,</w:t>
      </w:r>
      <w:r w:rsidR="00520A46" w:rsidRPr="00976A9A">
        <w:rPr>
          <w:rFonts w:cs="Times New Roman"/>
        </w:rPr>
        <w:t xml:space="preserve"> primarily </w:t>
      </w:r>
      <w:r w:rsidR="00234D3F" w:rsidRPr="00976A9A">
        <w:rPr>
          <w:rFonts w:cs="Times New Roman"/>
        </w:rPr>
        <w:t>attributed to</w:t>
      </w:r>
      <w:r w:rsidR="00520A46" w:rsidRPr="00976A9A">
        <w:rPr>
          <w:rFonts w:cs="Times New Roman"/>
        </w:rPr>
        <w:t xml:space="preserve"> preventable physical causes</w:t>
      </w:r>
      <w:hyperlink w:anchor="_ENREF_3" w:tooltip="Osborn, 2007 #59" w:history="1">
        <w:r w:rsidR="002025EA" w:rsidRPr="00976A9A">
          <w:rPr>
            <w:rFonts w:cs="Times New Roman"/>
          </w:rPr>
          <w:fldChar w:fldCharType="begin">
            <w:fldData xml:space="preserve">PEVuZE5vdGU+PENpdGU+PEF1dGhvcj5Pc2Jvcm48L0F1dGhvcj48WWVhcj4yMDA3PC9ZZWFyPjxS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</w:fldData>
          </w:fldChar>
        </w:r>
        <w:r w:rsidR="002025EA">
          <w:rPr>
            <w:rFonts w:cs="Times New Roman"/>
          </w:rPr>
          <w:instrText xml:space="preserve"> ADDIN EN.CITE </w:instrText>
        </w:r>
        <w:r w:rsidR="002025EA">
          <w:rPr>
            <w:rFonts w:cs="Times New Roman"/>
          </w:rPr>
          <w:fldChar w:fldCharType="begin">
            <w:fldData xml:space="preserve">PEVuZE5vdGU+PENpdGU+PEF1dGhvcj5Pc2Jvcm48L0F1dGhvcj48WWVhcj4yMDA3PC9ZZWFyPjxS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</w:fldData>
          </w:fldChar>
        </w:r>
        <w:r w:rsidR="002025EA">
          <w:rPr>
            <w:rFonts w:cs="Times New Roman"/>
          </w:rPr>
          <w:instrText xml:space="preserve"> ADDIN EN.CITE.DATA </w:instrText>
        </w:r>
        <w:r w:rsidR="002025EA">
          <w:rPr>
            <w:rFonts w:cs="Times New Roman"/>
          </w:rPr>
        </w:r>
        <w:r w:rsidR="002025EA">
          <w:rPr>
            <w:rFonts w:cs="Times New Roman"/>
          </w:rPr>
          <w:fldChar w:fldCharType="end"/>
        </w:r>
        <w:r w:rsidR="002025EA" w:rsidRPr="00976A9A">
          <w:rPr>
            <w:rFonts w:cs="Times New Roman"/>
          </w:rPr>
        </w:r>
        <w:r w:rsidR="002025EA" w:rsidRPr="00976A9A">
          <w:rPr>
            <w:rFonts w:cs="Times New Roman"/>
          </w:rPr>
          <w:fldChar w:fldCharType="separate"/>
        </w:r>
        <w:r w:rsidR="002025EA" w:rsidRPr="00BC2C01">
          <w:rPr>
            <w:rFonts w:cs="Times New Roman"/>
            <w:noProof/>
            <w:vertAlign w:val="superscript"/>
          </w:rPr>
          <w:t>3-6</w:t>
        </w:r>
        <w:r w:rsidR="002025EA" w:rsidRPr="00976A9A">
          <w:rPr>
            <w:rFonts w:cs="Times New Roman"/>
          </w:rPr>
          <w:fldChar w:fldCharType="end"/>
        </w:r>
      </w:hyperlink>
      <w:r w:rsidR="00FA291A" w:rsidRPr="00976A9A">
        <w:rPr>
          <w:rFonts w:cs="Times New Roman"/>
        </w:rPr>
        <w:t>.</w:t>
      </w:r>
      <w:r w:rsidR="00340274">
        <w:rPr>
          <w:rFonts w:cs="Times New Roman"/>
        </w:rPr>
        <w:t xml:space="preserve"> Patients with SMI </w:t>
      </w:r>
      <w:r w:rsidR="00340274">
        <w:rPr>
          <w:rFonts w:cs="Times New Roman"/>
          <w:szCs w:val="24"/>
        </w:rPr>
        <w:t>have high rates of A&amp;E attendance</w:t>
      </w:r>
      <w:r w:rsidR="00871AD8">
        <w:rPr>
          <w:rFonts w:cs="Times New Roman"/>
          <w:szCs w:val="24"/>
        </w:rPr>
        <w:t xml:space="preserve"> and hospital admission</w:t>
      </w:r>
      <w:r w:rsidR="00340274">
        <w:rPr>
          <w:rFonts w:cs="Times New Roman"/>
          <w:szCs w:val="24"/>
        </w:rPr>
        <w:t xml:space="preserve">, for </w:t>
      </w:r>
      <w:r w:rsidR="0046253D">
        <w:rPr>
          <w:rFonts w:cs="Times New Roman"/>
          <w:szCs w:val="24"/>
        </w:rPr>
        <w:t xml:space="preserve">both </w:t>
      </w:r>
      <w:r w:rsidR="00340274">
        <w:rPr>
          <w:rFonts w:cs="Times New Roman"/>
          <w:szCs w:val="24"/>
        </w:rPr>
        <w:t>physical and mental health problems</w:t>
      </w:r>
      <w:hyperlink w:anchor="_ENREF_7" w:tooltip="Hackman, 2006 #2350" w:history="1">
        <w:r w:rsidR="002025EA">
          <w:rPr>
            <w:rFonts w:cs="Times New Roman"/>
            <w:szCs w:val="24"/>
          </w:rPr>
          <w:fldChar w:fldCharType="begin">
            <w:fldData xml:space="preserve">PEVuZE5vdGU+PENpdGU+PEF1dGhvcj5IYWNrbWFuPC9BdXRob3I+PFllYXI+MjAwNjwvWWVhcj48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</w:fldData>
          </w:fldChar>
        </w:r>
        <w:r w:rsidR="002025EA">
          <w:rPr>
            <w:rFonts w:cs="Times New Roman"/>
            <w:szCs w:val="24"/>
          </w:rPr>
          <w:instrText xml:space="preserve"> ADDIN EN.CITE </w:instrText>
        </w:r>
        <w:r w:rsidR="002025EA">
          <w:rPr>
            <w:rFonts w:cs="Times New Roman"/>
            <w:szCs w:val="24"/>
          </w:rPr>
          <w:fldChar w:fldCharType="begin">
            <w:fldData xml:space="preserve">PEVuZE5vdGU+PENpdGU+PEF1dGhvcj5IYWNrbWFuPC9BdXRob3I+PFllYXI+MjAwNjwvWWVhcj48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</w:fldData>
          </w:fldChar>
        </w:r>
        <w:r w:rsidR="002025EA">
          <w:rPr>
            <w:rFonts w:cs="Times New Roman"/>
            <w:szCs w:val="24"/>
          </w:rPr>
          <w:instrText xml:space="preserve"> ADDIN EN.CITE.DATA </w:instrText>
        </w:r>
        <w:r w:rsidR="002025EA">
          <w:rPr>
            <w:rFonts w:cs="Times New Roman"/>
            <w:szCs w:val="24"/>
          </w:rPr>
        </w:r>
        <w:r w:rsidR="002025EA">
          <w:rPr>
            <w:rFonts w:cs="Times New Roman"/>
            <w:szCs w:val="24"/>
          </w:rPr>
          <w:fldChar w:fldCharType="end"/>
        </w:r>
        <w:r w:rsidR="002025EA">
          <w:rPr>
            <w:rFonts w:cs="Times New Roman"/>
            <w:szCs w:val="24"/>
          </w:rPr>
        </w:r>
        <w:r w:rsidR="002025EA">
          <w:rPr>
            <w:rFonts w:cs="Times New Roman"/>
            <w:szCs w:val="24"/>
          </w:rPr>
          <w:fldChar w:fldCharType="separate"/>
        </w:r>
        <w:r w:rsidR="002025EA" w:rsidRPr="00BC2C01">
          <w:rPr>
            <w:rFonts w:cs="Times New Roman"/>
            <w:noProof/>
            <w:szCs w:val="24"/>
            <w:vertAlign w:val="superscript"/>
          </w:rPr>
          <w:t>7-10</w:t>
        </w:r>
        <w:r w:rsidR="002025EA">
          <w:rPr>
            <w:rFonts w:cs="Times New Roman"/>
            <w:szCs w:val="24"/>
          </w:rPr>
          <w:fldChar w:fldCharType="end"/>
        </w:r>
      </w:hyperlink>
      <w:r w:rsidR="00340274">
        <w:rPr>
          <w:rFonts w:cs="Times New Roman"/>
          <w:szCs w:val="24"/>
        </w:rPr>
        <w:t xml:space="preserve">. </w:t>
      </w:r>
    </w:p>
    <w:p w14:paraId="68212320" w14:textId="77777777" w:rsidR="009071D1" w:rsidRPr="00976A9A" w:rsidRDefault="009071D1" w:rsidP="005377E0">
      <w:pPr>
        <w:spacing w:after="0" w:line="480" w:lineRule="auto"/>
        <w:rPr>
          <w:rFonts w:cs="Times New Roman"/>
        </w:rPr>
      </w:pPr>
    </w:p>
    <w:p w14:paraId="5A4D8081" w14:textId="0E0640E6" w:rsidR="0013333B" w:rsidRPr="00976A9A" w:rsidRDefault="00234D3F" w:rsidP="005377E0">
      <w:pPr>
        <w:spacing w:after="0" w:line="480" w:lineRule="auto"/>
        <w:rPr>
          <w:rFonts w:cs="Times New Roman"/>
          <w:szCs w:val="24"/>
        </w:rPr>
      </w:pPr>
      <w:r w:rsidRPr="00976A9A">
        <w:rPr>
          <w:rFonts w:cs="Times New Roman"/>
        </w:rPr>
        <w:t xml:space="preserve">In the UK, while specialist mental health services </w:t>
      </w:r>
      <w:r w:rsidR="00527478" w:rsidRPr="00976A9A">
        <w:rPr>
          <w:rFonts w:cs="Times New Roman"/>
        </w:rPr>
        <w:t>are important to</w:t>
      </w:r>
      <w:r w:rsidRPr="00976A9A">
        <w:rPr>
          <w:rFonts w:cs="Times New Roman"/>
        </w:rPr>
        <w:t xml:space="preserve"> many patients’ care, </w:t>
      </w:r>
      <w:r w:rsidR="00527478" w:rsidRPr="00976A9A">
        <w:rPr>
          <w:rFonts w:cs="Times New Roman"/>
        </w:rPr>
        <w:t>general practice provides the majority of</w:t>
      </w:r>
      <w:r w:rsidR="006D7FA2" w:rsidRPr="00976A9A">
        <w:rPr>
          <w:rFonts w:cs="Times New Roman"/>
        </w:rPr>
        <w:t xml:space="preserve"> </w:t>
      </w:r>
      <w:r w:rsidR="00527478" w:rsidRPr="00976A9A">
        <w:rPr>
          <w:rFonts w:cs="Times New Roman"/>
        </w:rPr>
        <w:t xml:space="preserve">care for </w:t>
      </w:r>
      <w:r w:rsidR="009D3A1F" w:rsidRPr="00976A9A">
        <w:rPr>
          <w:rFonts w:cs="Times New Roman"/>
        </w:rPr>
        <w:t>patients</w:t>
      </w:r>
      <w:r w:rsidR="009D0E75" w:rsidRPr="00976A9A">
        <w:rPr>
          <w:rFonts w:cs="Times New Roman"/>
        </w:rPr>
        <w:t xml:space="preserve"> with SMI</w:t>
      </w:r>
      <w:hyperlink w:anchor="_ENREF_11" w:tooltip="Reilly, 2012 #2403" w:history="1">
        <w:r w:rsidR="002025EA" w:rsidRPr="00976A9A">
          <w:rPr>
            <w:rFonts w:cs="Times New Roman"/>
          </w:rPr>
          <w:fldChar w:fldCharType="begin"/>
        </w:r>
        <w:r w:rsidR="002025EA">
          <w:rPr>
            <w:rFonts w:cs="Times New Roman"/>
          </w:rPr>
          <w:instrText xml:space="preserve"> ADDIN EN.CITE &lt;EndNote&gt;&lt;Cite&gt;&lt;Author&gt;Reilly&lt;/Author&gt;&lt;Year&gt;2012&lt;/Year&gt;&lt;RecNum&gt;2403&lt;/RecNum&gt;&lt;DisplayText&gt;&lt;style face="superscript"&gt;11&lt;/style&gt;&lt;/DisplayText&gt;&lt;record&gt;&lt;rec-number&gt;2403&lt;/rec-number&gt;&lt;foreign-keys&gt;&lt;key app="EN" db-id="fsvar0xvyasaw1ets97x2v9h905eewfvf0zf" timestamp="1524841769"&gt;2403&lt;/key&gt;&lt;/foreign-keys&gt;&lt;ref-type name="Journal Article"&gt;17&lt;/ref-type&gt;&lt;contributors&gt;&lt;authors&gt;&lt;author&gt;Reilly, Siobhan&lt;/author&gt;&lt;author&gt;Planner, Claire&lt;/author&gt;&lt;author&gt;Hann, Mark&lt;/author&gt;&lt;author&gt;Reeves, David&lt;/author&gt;&lt;author&gt;Nazareth, Irwin&lt;/author&gt;&lt;author&gt;Lester, Helen&lt;/author&gt;&lt;/authors&gt;&lt;/contributors&gt;&lt;titles&gt;&lt;title&gt;The role of primary care in service provision for people with severe mental illness in the United Kingdom&lt;/title&gt;&lt;secondary-title&gt;PloS one&lt;/secondary-title&gt;&lt;/titles&gt;&lt;periodical&gt;&lt;full-title&gt;Plos One&lt;/full-title&gt;&lt;abbr-1&gt;Plos One&lt;/abbr-1&gt;&lt;/periodical&gt;&lt;pages&gt;e36468&lt;/pages&gt;&lt;volume&gt;7&lt;/volume&gt;&lt;number&gt;5&lt;/number&gt;&lt;dates&gt;&lt;year&gt;2012&lt;/year&gt;&lt;/dates&gt;&lt;isbn&gt;1932-6203&lt;/isbn&gt;&lt;urls&gt;&lt;/urls&gt;&lt;/record&gt;&lt;/Cite&gt;&lt;/EndNote&gt;</w:instrText>
        </w:r>
        <w:r w:rsidR="002025EA" w:rsidRPr="00976A9A">
          <w:rPr>
            <w:rFonts w:cs="Times New Roman"/>
          </w:rPr>
          <w:fldChar w:fldCharType="separate"/>
        </w:r>
        <w:r w:rsidR="002025EA" w:rsidRPr="00BC2C01">
          <w:rPr>
            <w:rFonts w:cs="Times New Roman"/>
            <w:noProof/>
            <w:vertAlign w:val="superscript"/>
          </w:rPr>
          <w:t>11</w:t>
        </w:r>
        <w:r w:rsidR="002025EA" w:rsidRPr="00976A9A">
          <w:rPr>
            <w:rFonts w:cs="Times New Roman"/>
          </w:rPr>
          <w:fldChar w:fldCharType="end"/>
        </w:r>
      </w:hyperlink>
      <w:r w:rsidR="004D6CF7">
        <w:rPr>
          <w:rFonts w:cs="Times New Roman"/>
        </w:rPr>
        <w:t>.</w:t>
      </w:r>
      <w:r w:rsidR="009071D1" w:rsidRPr="00976A9A">
        <w:rPr>
          <w:rFonts w:cs="Times New Roman"/>
        </w:rPr>
        <w:t xml:space="preserve"> </w:t>
      </w:r>
      <w:r w:rsidRPr="00976A9A">
        <w:rPr>
          <w:rFonts w:cs="Times New Roman"/>
        </w:rPr>
        <w:t>H</w:t>
      </w:r>
      <w:r w:rsidR="00434C24" w:rsidRPr="00976A9A">
        <w:rPr>
          <w:rFonts w:cs="Times New Roman"/>
        </w:rPr>
        <w:t xml:space="preserve">igh </w:t>
      </w:r>
      <w:r w:rsidR="00520A46" w:rsidRPr="00976A9A">
        <w:rPr>
          <w:rFonts w:cs="Times New Roman"/>
        </w:rPr>
        <w:t>quality primary care</w:t>
      </w:r>
      <w:r w:rsidR="00951A99">
        <w:rPr>
          <w:rFonts w:cs="Times New Roman"/>
        </w:rPr>
        <w:t xml:space="preserve"> </w:t>
      </w:r>
      <w:r w:rsidRPr="00976A9A">
        <w:rPr>
          <w:rFonts w:cs="Times New Roman"/>
        </w:rPr>
        <w:t xml:space="preserve">therefore has </w:t>
      </w:r>
      <w:r w:rsidR="0011371A">
        <w:rPr>
          <w:rFonts w:cs="Times New Roman"/>
        </w:rPr>
        <w:t xml:space="preserve">the </w:t>
      </w:r>
      <w:r w:rsidR="00F44FD6">
        <w:rPr>
          <w:rFonts w:cs="Times New Roman"/>
        </w:rPr>
        <w:t>potential</w:t>
      </w:r>
      <w:r w:rsidRPr="00976A9A">
        <w:rPr>
          <w:rFonts w:cs="Times New Roman"/>
        </w:rPr>
        <w:t xml:space="preserve"> </w:t>
      </w:r>
      <w:r w:rsidR="00520A46" w:rsidRPr="00976A9A">
        <w:rPr>
          <w:rFonts w:cs="Times New Roman"/>
        </w:rPr>
        <w:t xml:space="preserve">to </w:t>
      </w:r>
      <w:r w:rsidR="004D6CF7">
        <w:rPr>
          <w:rFonts w:cs="Times New Roman"/>
        </w:rPr>
        <w:t>improve the management</w:t>
      </w:r>
      <w:r w:rsidR="00951A99">
        <w:rPr>
          <w:rFonts w:cs="Times New Roman"/>
        </w:rPr>
        <w:t xml:space="preserve">, </w:t>
      </w:r>
      <w:r w:rsidR="004D6CF7">
        <w:rPr>
          <w:rFonts w:cs="Times New Roman"/>
        </w:rPr>
        <w:t>health</w:t>
      </w:r>
      <w:r w:rsidR="00B307F4">
        <w:rPr>
          <w:rFonts w:cs="Times New Roman"/>
        </w:rPr>
        <w:t xml:space="preserve"> and wellbeing</w:t>
      </w:r>
      <w:r w:rsidR="004D6CF7">
        <w:rPr>
          <w:rFonts w:cs="Times New Roman"/>
        </w:rPr>
        <w:t xml:space="preserve"> of patients with SMI</w:t>
      </w:r>
      <w:r w:rsidR="00CE4BAC">
        <w:rPr>
          <w:rFonts w:cs="Times New Roman"/>
          <w:szCs w:val="24"/>
        </w:rPr>
        <w:t xml:space="preserve">, </w:t>
      </w:r>
      <w:r w:rsidR="0011371A">
        <w:rPr>
          <w:rFonts w:cs="Times New Roman"/>
          <w:szCs w:val="24"/>
        </w:rPr>
        <w:t xml:space="preserve">and can help meet </w:t>
      </w:r>
      <w:r w:rsidR="0046253D">
        <w:rPr>
          <w:rFonts w:cs="Times New Roman"/>
          <w:szCs w:val="24"/>
        </w:rPr>
        <w:t>t</w:t>
      </w:r>
      <w:r w:rsidR="0011371A">
        <w:rPr>
          <w:rFonts w:cs="Times New Roman"/>
          <w:szCs w:val="24"/>
        </w:rPr>
        <w:t>he aims of</w:t>
      </w:r>
      <w:r w:rsidR="00F44FD6">
        <w:rPr>
          <w:rFonts w:cs="Times New Roman"/>
          <w:szCs w:val="24"/>
        </w:rPr>
        <w:t xml:space="preserve"> </w:t>
      </w:r>
      <w:r w:rsidR="003B374A" w:rsidRPr="00976A9A">
        <w:rPr>
          <w:rFonts w:cs="Times New Roman"/>
          <w:szCs w:val="24"/>
        </w:rPr>
        <w:t xml:space="preserve">policymakers </w:t>
      </w:r>
      <w:r w:rsidR="00527478" w:rsidRPr="00976A9A">
        <w:rPr>
          <w:rFonts w:cs="Times New Roman"/>
          <w:szCs w:val="24"/>
        </w:rPr>
        <w:t xml:space="preserve">seeking </w:t>
      </w:r>
      <w:r w:rsidR="003B374A" w:rsidRPr="00976A9A">
        <w:rPr>
          <w:rFonts w:cs="Times New Roman"/>
          <w:szCs w:val="24"/>
        </w:rPr>
        <w:t xml:space="preserve">to improve population wellbeing and </w:t>
      </w:r>
      <w:r w:rsidR="00520A46" w:rsidRPr="00976A9A">
        <w:rPr>
          <w:rFonts w:cs="Times New Roman"/>
          <w:szCs w:val="24"/>
        </w:rPr>
        <w:t xml:space="preserve">contain </w:t>
      </w:r>
      <w:r w:rsidR="00527478" w:rsidRPr="00976A9A">
        <w:rPr>
          <w:rFonts w:cs="Times New Roman"/>
          <w:szCs w:val="24"/>
        </w:rPr>
        <w:t>costs</w:t>
      </w:r>
      <w:r w:rsidR="009071D1" w:rsidRPr="00976A9A">
        <w:rPr>
          <w:rFonts w:cs="Times New Roman"/>
        </w:rPr>
        <w:fldChar w:fldCharType="begin"/>
      </w:r>
      <w:r w:rsidR="00BC2C01">
        <w:rPr>
          <w:rFonts w:cs="Times New Roman"/>
        </w:rPr>
        <w:instrText xml:space="preserve"> ADDIN EN.CITE &lt;EndNote&gt;&lt;Cite&gt;&lt;Author&gt;World Health Organization&lt;/Author&gt;&lt;Year&gt;2003&lt;/Year&gt;&lt;RecNum&gt;7&lt;/RecNum&gt;&lt;DisplayText&gt;&lt;style face="superscript"&gt;12 13&lt;/style&gt;&lt;/DisplayText&gt;&lt;record&gt;&lt;rec-number&gt;7&lt;/rec-number&gt;&lt;foreign-keys&gt;&lt;key app="EN" db-id="prvazdte25xwfaex2945vtt2xvrv2fevv9er" timestamp="1499022185"&gt;7&lt;/key&gt;&lt;/foreign-keys&gt;&lt;ref-type name="Electronic Book"&gt;44&lt;/ref-type&gt;&lt;contributors&gt;&lt;authors&gt;&lt;author&gt;World Health Organization,&lt;/author&gt;&lt;/authors&gt;&lt;/contributors&gt;&lt;titles&gt;&lt;title&gt;Quality improvement for mental health: mental health policy and service guidance package&lt;/title&gt;&lt;/titles&gt;&lt;dates&gt;&lt;year&gt;2003&lt;/year&gt;&lt;/dates&gt;&lt;pub-location&gt;Geneva&lt;/pub-location&gt;&lt;publisher&gt;WHO&lt;/publisher&gt;&lt;urls&gt;&lt;/urls&gt;&lt;research-notes&gt;RJ ref&lt;/research-notes&gt;&lt;/record&gt;&lt;/Cite&gt;&lt;Cite&gt;&lt;Author&gt;World Health Organization&lt;/Author&gt;&lt;Year&gt;2012&lt;/Year&gt;&lt;RecNum&gt;8&lt;/RecNum&gt;&lt;record&gt;&lt;rec-number&gt;8&lt;/rec-number&gt;&lt;foreign-keys&gt;&lt;key app="EN" db-id="prvazdte25xwfaex2945vtt2xvrv2fevv9er" timestamp="1499022185"&gt;8&lt;/key&gt;&lt;/foreign-keys&gt;&lt;ref-type name="Electronic Book"&gt;44&lt;/ref-type&gt;&lt;contributors&gt;&lt;authors&gt;&lt;author&gt;World Health Organization,&lt;/author&gt;&lt;/authors&gt;&lt;/contributors&gt;&lt;titles&gt;&lt;title&gt;QualityRights tool kit to assess and improve quality and human rights in mental health and social care facilities&lt;/title&gt;&lt;/titles&gt;&lt;dates&gt;&lt;year&gt;2012&lt;/year&gt;&lt;/dates&gt;&lt;pub-location&gt;Geneva&lt;/pub-location&gt;&lt;publisher&gt;WHO&lt;/publisher&gt;&lt;urls&gt;&lt;related-urls&gt;&lt;url&gt;&lt;style face="underline" font="default" size="100%"&gt;http://www.who.int/mental_health/publications/QualityRights_toolkit/en/&lt;/style&gt;&lt;/url&gt;&lt;/related-urls&gt;&lt;/urls&gt;&lt;research-notes&gt;RJ ref&lt;/research-notes&gt;&lt;/record&gt;&lt;/Cite&gt;&lt;/EndNote&gt;</w:instrText>
      </w:r>
      <w:r w:rsidR="009071D1" w:rsidRPr="00976A9A">
        <w:rPr>
          <w:rFonts w:cs="Times New Roman"/>
        </w:rPr>
        <w:fldChar w:fldCharType="separate"/>
      </w:r>
      <w:hyperlink w:anchor="_ENREF_12" w:tooltip="World Health Organization, 2003 #7" w:history="1">
        <w:r w:rsidR="002025EA" w:rsidRPr="00BC2C01">
          <w:rPr>
            <w:rFonts w:cs="Times New Roman"/>
            <w:noProof/>
            <w:vertAlign w:val="superscript"/>
          </w:rPr>
          <w:t>12</w:t>
        </w:r>
      </w:hyperlink>
      <w:r w:rsidR="00BC2C01" w:rsidRPr="00BC2C01">
        <w:rPr>
          <w:rFonts w:cs="Times New Roman"/>
          <w:noProof/>
          <w:vertAlign w:val="superscript"/>
        </w:rPr>
        <w:t xml:space="preserve"> </w:t>
      </w:r>
      <w:hyperlink w:anchor="_ENREF_13" w:tooltip="World Health Organization, 2012 #8" w:history="1">
        <w:r w:rsidR="002025EA" w:rsidRPr="00BC2C01">
          <w:rPr>
            <w:rFonts w:cs="Times New Roman"/>
            <w:noProof/>
            <w:vertAlign w:val="superscript"/>
          </w:rPr>
          <w:t>13</w:t>
        </w:r>
      </w:hyperlink>
      <w:r w:rsidR="009071D1" w:rsidRPr="00976A9A">
        <w:rPr>
          <w:rFonts w:cs="Times New Roman"/>
        </w:rPr>
        <w:fldChar w:fldCharType="end"/>
      </w:r>
      <w:r w:rsidR="00520A46" w:rsidRPr="00976A9A">
        <w:rPr>
          <w:rFonts w:cs="Times New Roman"/>
          <w:szCs w:val="24"/>
        </w:rPr>
        <w:t>.</w:t>
      </w:r>
    </w:p>
    <w:p w14:paraId="6A47B4B2" w14:textId="77777777" w:rsidR="00060FC9" w:rsidRPr="00976A9A" w:rsidRDefault="00060FC9" w:rsidP="005377E0">
      <w:pPr>
        <w:spacing w:after="0" w:line="480" w:lineRule="auto"/>
        <w:rPr>
          <w:rFonts w:cs="Times New Roman"/>
        </w:rPr>
      </w:pPr>
    </w:p>
    <w:p w14:paraId="5BEBF6B7" w14:textId="0C33372D" w:rsidR="008F25DB" w:rsidRDefault="00527478" w:rsidP="005377E0">
      <w:pPr>
        <w:spacing w:after="0" w:line="480" w:lineRule="auto"/>
        <w:rPr>
          <w:rFonts w:cs="Times New Roman"/>
        </w:rPr>
      </w:pPr>
      <w:r w:rsidRPr="00976A9A">
        <w:rPr>
          <w:rFonts w:cs="Times New Roman"/>
        </w:rPr>
        <w:t>Several countries have adopted incentive</w:t>
      </w:r>
      <w:r w:rsidR="001A09CB" w:rsidRPr="00976A9A">
        <w:rPr>
          <w:rFonts w:cs="Times New Roman"/>
        </w:rPr>
        <w:t xml:space="preserve"> </w:t>
      </w:r>
      <w:r w:rsidR="000832B1" w:rsidRPr="00976A9A">
        <w:rPr>
          <w:rFonts w:cs="Times New Roman"/>
        </w:rPr>
        <w:t xml:space="preserve">programs </w:t>
      </w:r>
      <w:r w:rsidRPr="00976A9A">
        <w:rPr>
          <w:rFonts w:cs="Times New Roman"/>
        </w:rPr>
        <w:t xml:space="preserve">to </w:t>
      </w:r>
      <w:r w:rsidR="000832B1" w:rsidRPr="00976A9A">
        <w:rPr>
          <w:rFonts w:cs="Times New Roman"/>
        </w:rPr>
        <w:t>improv</w:t>
      </w:r>
      <w:r w:rsidRPr="00976A9A">
        <w:rPr>
          <w:rFonts w:cs="Times New Roman"/>
        </w:rPr>
        <w:t>e</w:t>
      </w:r>
      <w:r w:rsidR="000832B1" w:rsidRPr="00976A9A">
        <w:rPr>
          <w:rFonts w:cs="Times New Roman"/>
        </w:rPr>
        <w:t xml:space="preserve"> </w:t>
      </w:r>
      <w:r w:rsidR="00DC19BB" w:rsidRPr="00976A9A">
        <w:rPr>
          <w:rFonts w:cs="Times New Roman"/>
        </w:rPr>
        <w:t xml:space="preserve">the </w:t>
      </w:r>
      <w:r w:rsidR="000832B1" w:rsidRPr="00976A9A">
        <w:rPr>
          <w:rFonts w:cs="Times New Roman"/>
        </w:rPr>
        <w:t xml:space="preserve">quality </w:t>
      </w:r>
      <w:r w:rsidR="00DC19BB" w:rsidRPr="00976A9A">
        <w:rPr>
          <w:rFonts w:cs="Times New Roman"/>
        </w:rPr>
        <w:t xml:space="preserve">and value </w:t>
      </w:r>
      <w:r w:rsidR="000832B1" w:rsidRPr="00976A9A">
        <w:rPr>
          <w:rFonts w:cs="Times New Roman"/>
        </w:rPr>
        <w:t xml:space="preserve">of </w:t>
      </w:r>
      <w:r w:rsidR="00DC19BB" w:rsidRPr="00976A9A">
        <w:rPr>
          <w:rFonts w:cs="Times New Roman"/>
        </w:rPr>
        <w:t>health</w:t>
      </w:r>
      <w:r w:rsidR="000832B1" w:rsidRPr="00976A9A">
        <w:rPr>
          <w:rFonts w:cs="Times New Roman"/>
        </w:rPr>
        <w:t>care</w:t>
      </w:r>
      <w:hyperlink w:anchor="_ENREF_14" w:tooltip="World Health Organisation, 2014 #97" w:history="1">
        <w:r w:rsidR="002025EA" w:rsidRPr="00976A9A">
          <w:rPr>
            <w:rFonts w:cs="Times New Roman"/>
          </w:rPr>
          <w:fldChar w:fldCharType="begin"/>
        </w:r>
        <w:r w:rsidR="002025EA">
          <w:rPr>
            <w:rFonts w:cs="Times New Roman"/>
          </w:rPr>
          <w:instrText xml:space="preserve"> ADDIN EN.CITE &lt;EndNote&gt;&lt;Cite&gt;&lt;Author&gt;World Health Organisation&lt;/Author&gt;&lt;Year&gt;2014&lt;/Year&gt;&lt;RecNum&gt;97&lt;/RecNum&gt;&lt;DisplayText&gt;&lt;style face="superscript"&gt;14&lt;/style&gt;&lt;/DisplayText&gt;&lt;record&gt;&lt;rec-number&gt;97&lt;/rec-number&gt;&lt;foreign-keys&gt;&lt;key app="EN" db-id="0aaxrwtz35eps2efxtzpva5he0xztfsrzr02" timestamp="1497268459"&gt;97&lt;/key&gt;&lt;/foreign-keys&gt;&lt;ref-type name="Electronic Book"&gt;44&lt;/ref-type&gt;&lt;contributors&gt;&lt;authors&gt;&lt;author&gt;World Health Organisation,&lt;/author&gt;&lt;/authors&gt;&lt;secondary-authors&gt;&lt;author&gt;Cashin, C&lt;/author&gt;&lt;author&gt;Chi, Y-L&lt;/author&gt;&lt;author&gt;Smith, P&lt;/author&gt;&lt;author&gt;Borowitz, M&lt;/author&gt;&lt;author&gt;Thomson, S&lt;/author&gt;&lt;/secondary-authors&gt;&lt;/contributors&gt;&lt;titles&gt;&lt;title&gt;Paying for performance in health care: Implications for health system performance and accountability&lt;/title&gt;&lt;secondary-title&gt;European Observatory on Health Systems and Policies&lt;/secondary-title&gt;&lt;/titles&gt;&lt;dates&gt;&lt;year&gt;2014&lt;/year&gt;&lt;/dates&gt;&lt;pub-location&gt;Maidenhead, UK&lt;/pub-location&gt;&lt;publisher&gt;Open University Press&lt;/publisher&gt;&lt;urls&gt;&lt;/urls&gt;&lt;/record&gt;&lt;/Cite&gt;&lt;/EndNote&gt;</w:instrText>
        </w:r>
        <w:r w:rsidR="002025EA" w:rsidRPr="00976A9A">
          <w:rPr>
            <w:rFonts w:cs="Times New Roman"/>
          </w:rPr>
          <w:fldChar w:fldCharType="separate"/>
        </w:r>
        <w:r w:rsidR="002025EA" w:rsidRPr="00BC2C01">
          <w:rPr>
            <w:rFonts w:cs="Times New Roman"/>
            <w:noProof/>
            <w:vertAlign w:val="superscript"/>
          </w:rPr>
          <w:t>14</w:t>
        </w:r>
        <w:r w:rsidR="002025EA" w:rsidRPr="00976A9A">
          <w:rPr>
            <w:rFonts w:cs="Times New Roman"/>
          </w:rPr>
          <w:fldChar w:fldCharType="end"/>
        </w:r>
      </w:hyperlink>
      <w:r w:rsidR="00794F32" w:rsidRPr="00976A9A">
        <w:rPr>
          <w:rFonts w:cs="Times New Roman"/>
        </w:rPr>
        <w:t xml:space="preserve">, despite mixed evidence </w:t>
      </w:r>
      <w:r w:rsidR="00E33C7D">
        <w:rPr>
          <w:rFonts w:cs="Times New Roman"/>
        </w:rPr>
        <w:t>of their</w:t>
      </w:r>
      <w:r w:rsidR="00E33C7D" w:rsidRPr="00976A9A">
        <w:rPr>
          <w:rFonts w:cs="Times New Roman"/>
        </w:rPr>
        <w:t xml:space="preserve"> </w:t>
      </w:r>
      <w:r w:rsidR="00794F32" w:rsidRPr="00976A9A">
        <w:rPr>
          <w:rFonts w:cs="Times New Roman"/>
        </w:rPr>
        <w:t>effectiveness</w:t>
      </w:r>
      <w:hyperlink w:anchor="_ENREF_15" w:tooltip="Eijkenaar, 2013 #98" w:history="1">
        <w:r w:rsidR="002025EA" w:rsidRPr="00976A9A">
          <w:rPr>
            <w:rFonts w:cs="Times New Roman"/>
          </w:rPr>
          <w:fldChar w:fldCharType="begin">
            <w:fldData xml:space="preserve">PEVuZE5vdGU+PENpdGU+PEF1dGhvcj5FaWprZW5hYXI8L0F1dGhvcj48WWVhcj4yMDEzPC9ZZWFy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</w:fldData>
          </w:fldChar>
        </w:r>
        <w:r w:rsidR="002025EA">
          <w:rPr>
            <w:rFonts w:cs="Times New Roman"/>
          </w:rPr>
          <w:instrText xml:space="preserve"> ADDIN EN.CITE </w:instrText>
        </w:r>
        <w:r w:rsidR="002025EA">
          <w:rPr>
            <w:rFonts w:cs="Times New Roman"/>
          </w:rPr>
          <w:fldChar w:fldCharType="begin">
            <w:fldData xml:space="preserve">PEVuZE5vdGU+PENpdGU+PEF1dGhvcj5FaWprZW5hYXI8L0F1dGhvcj48WWVhcj4yMDEzPC9ZZWFy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</w:fldData>
          </w:fldChar>
        </w:r>
        <w:r w:rsidR="002025EA">
          <w:rPr>
            <w:rFonts w:cs="Times New Roman"/>
          </w:rPr>
          <w:instrText xml:space="preserve"> ADDIN EN.CITE.DATA </w:instrText>
        </w:r>
        <w:r w:rsidR="002025EA">
          <w:rPr>
            <w:rFonts w:cs="Times New Roman"/>
          </w:rPr>
        </w:r>
        <w:r w:rsidR="002025EA">
          <w:rPr>
            <w:rFonts w:cs="Times New Roman"/>
          </w:rPr>
          <w:fldChar w:fldCharType="end"/>
        </w:r>
        <w:r w:rsidR="002025EA" w:rsidRPr="00976A9A">
          <w:rPr>
            <w:rFonts w:cs="Times New Roman"/>
          </w:rPr>
        </w:r>
        <w:r w:rsidR="002025EA" w:rsidRPr="00976A9A">
          <w:rPr>
            <w:rFonts w:cs="Times New Roman"/>
          </w:rPr>
          <w:fldChar w:fldCharType="separate"/>
        </w:r>
        <w:r w:rsidR="002025EA" w:rsidRPr="00BC2C01">
          <w:rPr>
            <w:rFonts w:cs="Times New Roman"/>
            <w:noProof/>
            <w:vertAlign w:val="superscript"/>
          </w:rPr>
          <w:t>15-17</w:t>
        </w:r>
        <w:r w:rsidR="002025EA" w:rsidRPr="00976A9A">
          <w:rPr>
            <w:rFonts w:cs="Times New Roman"/>
          </w:rPr>
          <w:fldChar w:fldCharType="end"/>
        </w:r>
      </w:hyperlink>
      <w:r w:rsidR="000832B1" w:rsidRPr="00976A9A">
        <w:rPr>
          <w:rFonts w:cs="Times New Roman"/>
        </w:rPr>
        <w:t xml:space="preserve">. </w:t>
      </w:r>
      <w:r w:rsidRPr="00976A9A">
        <w:rPr>
          <w:rFonts w:cs="Times New Roman"/>
        </w:rPr>
        <w:t xml:space="preserve">England </w:t>
      </w:r>
      <w:r w:rsidRPr="00976A9A">
        <w:rPr>
          <w:rFonts w:cs="Times New Roman"/>
          <w:szCs w:val="24"/>
        </w:rPr>
        <w:t>i</w:t>
      </w:r>
      <w:r w:rsidR="009071D1" w:rsidRPr="00976A9A">
        <w:rPr>
          <w:rFonts w:cs="Times New Roman"/>
          <w:szCs w:val="24"/>
        </w:rPr>
        <w:t xml:space="preserve">ntroduced </w:t>
      </w:r>
      <w:r w:rsidRPr="00976A9A">
        <w:rPr>
          <w:rFonts w:cs="Times New Roman"/>
          <w:szCs w:val="24"/>
        </w:rPr>
        <w:t xml:space="preserve">a voluntary scheme for </w:t>
      </w:r>
      <w:r w:rsidR="00D20FA7" w:rsidRPr="00976A9A">
        <w:rPr>
          <w:rFonts w:cs="Times New Roman"/>
          <w:szCs w:val="24"/>
        </w:rPr>
        <w:t>primary care</w:t>
      </w:r>
      <w:r w:rsidRPr="00976A9A">
        <w:rPr>
          <w:rFonts w:cs="Times New Roman"/>
          <w:szCs w:val="24"/>
        </w:rPr>
        <w:t xml:space="preserve"> in 2004, the Quality and Outcomes Framework (QOF), </w:t>
      </w:r>
      <w:r w:rsidR="006A7520" w:rsidRPr="00976A9A">
        <w:rPr>
          <w:rFonts w:cs="Times New Roman"/>
          <w:szCs w:val="24"/>
        </w:rPr>
        <w:t>offer</w:t>
      </w:r>
      <w:r w:rsidRPr="00976A9A">
        <w:rPr>
          <w:rFonts w:cs="Times New Roman"/>
          <w:szCs w:val="24"/>
        </w:rPr>
        <w:t>ing</w:t>
      </w:r>
      <w:r w:rsidR="00EA3A30" w:rsidRPr="00976A9A">
        <w:rPr>
          <w:rFonts w:cs="Times New Roman"/>
          <w:szCs w:val="24"/>
        </w:rPr>
        <w:t xml:space="preserve"> GPs</w:t>
      </w:r>
      <w:r w:rsidR="006A7520" w:rsidRPr="00976A9A">
        <w:rPr>
          <w:rFonts w:cs="Times New Roman"/>
          <w:szCs w:val="24"/>
        </w:rPr>
        <w:t xml:space="preserve"> </w:t>
      </w:r>
      <w:r w:rsidRPr="00976A9A">
        <w:rPr>
          <w:rFonts w:cs="Times New Roman"/>
          <w:szCs w:val="24"/>
        </w:rPr>
        <w:t>incentives</w:t>
      </w:r>
      <w:r w:rsidR="006A7520" w:rsidRPr="00976A9A">
        <w:rPr>
          <w:rFonts w:cs="Times New Roman"/>
          <w:szCs w:val="24"/>
        </w:rPr>
        <w:t xml:space="preserve"> </w:t>
      </w:r>
      <w:r w:rsidR="00D20FA7" w:rsidRPr="00976A9A">
        <w:rPr>
          <w:rFonts w:cs="Times New Roman"/>
          <w:szCs w:val="24"/>
        </w:rPr>
        <w:t>to meet</w:t>
      </w:r>
      <w:r w:rsidR="006E2EB1" w:rsidRPr="00976A9A">
        <w:rPr>
          <w:rFonts w:cs="Times New Roman"/>
          <w:szCs w:val="24"/>
        </w:rPr>
        <w:t xml:space="preserve"> quality targe</w:t>
      </w:r>
      <w:r w:rsidR="00A21F56" w:rsidRPr="00976A9A">
        <w:rPr>
          <w:rFonts w:cs="Times New Roman"/>
          <w:szCs w:val="24"/>
        </w:rPr>
        <w:t>t</w:t>
      </w:r>
      <w:r w:rsidR="006E2EB1" w:rsidRPr="00976A9A">
        <w:rPr>
          <w:rFonts w:cs="Times New Roman"/>
          <w:szCs w:val="24"/>
        </w:rPr>
        <w:t>s</w:t>
      </w:r>
      <w:r w:rsidR="009071D1" w:rsidRPr="00976A9A">
        <w:rPr>
          <w:rFonts w:cs="Times New Roman"/>
        </w:rPr>
        <w:t xml:space="preserve"> for </w:t>
      </w:r>
      <w:r w:rsidR="00EA3A30" w:rsidRPr="00976A9A">
        <w:rPr>
          <w:rFonts w:cs="Times New Roman"/>
        </w:rPr>
        <w:t xml:space="preserve">patients with </w:t>
      </w:r>
      <w:r w:rsidRPr="00976A9A">
        <w:rPr>
          <w:rFonts w:cs="Times New Roman"/>
        </w:rPr>
        <w:t>several</w:t>
      </w:r>
      <w:r w:rsidR="009071D1" w:rsidRPr="00976A9A">
        <w:rPr>
          <w:rFonts w:cs="Times New Roman"/>
        </w:rPr>
        <w:t xml:space="preserve"> chronic conditions</w:t>
      </w:r>
      <w:r w:rsidR="006E2EB1" w:rsidRPr="00976A9A">
        <w:rPr>
          <w:rFonts w:cs="Times New Roman"/>
        </w:rPr>
        <w:t>,</w:t>
      </w:r>
      <w:r w:rsidR="009071D1" w:rsidRPr="00976A9A">
        <w:rPr>
          <w:rFonts w:cs="Times New Roman"/>
        </w:rPr>
        <w:t xml:space="preserve"> including SMI</w:t>
      </w:r>
      <w:hyperlink w:anchor="_ENREF_18" w:tooltip="Roland, 2004 #94" w:history="1">
        <w:r w:rsidR="002025EA" w:rsidRPr="00976A9A">
          <w:rPr>
            <w:rFonts w:cs="Times New Roman"/>
          </w:rPr>
          <w:fldChar w:fldCharType="begin"/>
        </w:r>
        <w:r w:rsidR="002025EA">
          <w:rPr>
            <w:rFonts w:cs="Times New Roman"/>
          </w:rPr>
          <w:instrText xml:space="preserve"> ADDIN EN.CITE &lt;EndNote&gt;&lt;Cite&gt;&lt;Author&gt;Roland&lt;/Author&gt;&lt;Year&gt;2004&lt;/Year&gt;&lt;RecNum&gt;94&lt;/RecNum&gt;&lt;DisplayText&gt;&lt;style face="superscript"&gt;18&lt;/style&gt;&lt;/DisplayText&gt;&lt;record&gt;&lt;rec-number&gt;94&lt;/rec-number&gt;&lt;foreign-keys&gt;&lt;key app="EN" db-id="0aaxrwtz35eps2efxtzpva5he0xztfsrzr02" timestamp="1497268457"&gt;94&lt;/key&gt;&lt;/foreign-keys&gt;&lt;ref-type name="Journal Article"&gt;17&lt;/ref-type&gt;&lt;contributors&gt;&lt;authors&gt;&lt;author&gt;Roland, Martin&lt;/author&gt;&lt;/authors&gt;&lt;/contributors&gt;&lt;titles&gt;&lt;title&gt;Linking physicians’ pay to the quality of care—a major experiment in the United Kingdom&lt;/title&gt;&lt;secondary-title&gt;New England Journal of Medicine&lt;/secondary-title&gt;&lt;/titles&gt;&lt;periodical&gt;&lt;full-title&gt;New England Journal of Medicine&lt;/full-title&gt;&lt;/periodical&gt;&lt;pages&gt;1448-54&lt;/pages&gt;&lt;volume&gt;351&lt;/volume&gt;&lt;dates&gt;&lt;year&gt;2004&lt;/year&gt;&lt;/dates&gt;&lt;urls&gt;&lt;/urls&gt;&lt;/record&gt;&lt;/Cite&gt;&lt;/EndNote&gt;</w:instrText>
        </w:r>
        <w:r w:rsidR="002025EA" w:rsidRPr="00976A9A">
          <w:rPr>
            <w:rFonts w:cs="Times New Roman"/>
          </w:rPr>
          <w:fldChar w:fldCharType="separate"/>
        </w:r>
        <w:r w:rsidR="002025EA" w:rsidRPr="00BC2C01">
          <w:rPr>
            <w:rFonts w:cs="Times New Roman"/>
            <w:noProof/>
            <w:vertAlign w:val="superscript"/>
          </w:rPr>
          <w:t>18</w:t>
        </w:r>
        <w:r w:rsidR="002025EA" w:rsidRPr="00976A9A">
          <w:rPr>
            <w:rFonts w:cs="Times New Roman"/>
          </w:rPr>
          <w:fldChar w:fldCharType="end"/>
        </w:r>
      </w:hyperlink>
      <w:r w:rsidR="00FC249C" w:rsidRPr="00976A9A">
        <w:rPr>
          <w:rFonts w:cs="Times New Roman"/>
        </w:rPr>
        <w:t>.</w:t>
      </w:r>
      <w:r w:rsidR="009071D1" w:rsidRPr="00976A9A">
        <w:rPr>
          <w:rFonts w:cs="Times New Roman"/>
        </w:rPr>
        <w:t xml:space="preserve"> </w:t>
      </w:r>
      <w:r w:rsidR="00D20FA7" w:rsidRPr="00976A9A">
        <w:rPr>
          <w:rFonts w:cs="Times New Roman"/>
        </w:rPr>
        <w:t xml:space="preserve">Two key </w:t>
      </w:r>
      <w:r w:rsidR="00551D85" w:rsidRPr="00976A9A">
        <w:rPr>
          <w:rFonts w:cs="Times New Roman"/>
          <w:szCs w:val="24"/>
        </w:rPr>
        <w:t>SMI indicators</w:t>
      </w:r>
      <w:r w:rsidR="0046253D">
        <w:rPr>
          <w:rFonts w:cs="Times New Roman"/>
          <w:szCs w:val="24"/>
        </w:rPr>
        <w:t xml:space="preserve"> in the QOF</w:t>
      </w:r>
      <w:r w:rsidR="006D7FA2" w:rsidRPr="00976A9A">
        <w:rPr>
          <w:rFonts w:cs="Times New Roman"/>
          <w:szCs w:val="24"/>
        </w:rPr>
        <w:t xml:space="preserve">, which apply to all </w:t>
      </w:r>
      <w:r w:rsidR="00E33C7D">
        <w:rPr>
          <w:rFonts w:cs="Times New Roman"/>
          <w:szCs w:val="24"/>
        </w:rPr>
        <w:t xml:space="preserve">registered </w:t>
      </w:r>
      <w:r w:rsidR="006D7FA2" w:rsidRPr="00976A9A">
        <w:rPr>
          <w:rFonts w:cs="Times New Roman"/>
          <w:szCs w:val="24"/>
        </w:rPr>
        <w:t>patients with SMI,</w:t>
      </w:r>
      <w:r w:rsidR="00551D85" w:rsidRPr="00976A9A">
        <w:rPr>
          <w:rFonts w:cs="Times New Roman"/>
          <w:szCs w:val="24"/>
        </w:rPr>
        <w:t xml:space="preserve"> </w:t>
      </w:r>
      <w:r w:rsidR="00AA6B2A" w:rsidRPr="00976A9A">
        <w:rPr>
          <w:rFonts w:cs="Times New Roman"/>
          <w:szCs w:val="24"/>
        </w:rPr>
        <w:t xml:space="preserve">promote </w:t>
      </w:r>
      <w:r w:rsidR="00FC249C" w:rsidRPr="00976A9A">
        <w:rPr>
          <w:rFonts w:cs="Times New Roman"/>
          <w:szCs w:val="24"/>
        </w:rPr>
        <w:t xml:space="preserve">proactive management of </w:t>
      </w:r>
      <w:r w:rsidR="00551D85" w:rsidRPr="00976A9A">
        <w:rPr>
          <w:rFonts w:cs="Times New Roman"/>
          <w:szCs w:val="24"/>
        </w:rPr>
        <w:t>physical and mental health</w:t>
      </w:r>
      <w:r w:rsidR="00D20FA7" w:rsidRPr="00976A9A">
        <w:rPr>
          <w:rFonts w:cs="Times New Roman"/>
          <w:szCs w:val="24"/>
        </w:rPr>
        <w:t>:</w:t>
      </w:r>
      <w:r w:rsidR="009071D1" w:rsidRPr="00976A9A">
        <w:rPr>
          <w:rFonts w:cs="Times New Roman"/>
          <w:szCs w:val="24"/>
        </w:rPr>
        <w:t xml:space="preserve"> </w:t>
      </w:r>
      <w:r w:rsidR="008F25DB" w:rsidRPr="00976A9A">
        <w:rPr>
          <w:rFonts w:cs="Times New Roman"/>
        </w:rPr>
        <w:t>the proportion of patients on the practice SMI register who ha</w:t>
      </w:r>
      <w:r w:rsidR="002323D7">
        <w:rPr>
          <w:rFonts w:cs="Times New Roman"/>
        </w:rPr>
        <w:t>d a</w:t>
      </w:r>
      <w:r w:rsidR="00BF0CC9">
        <w:rPr>
          <w:rFonts w:cs="Times New Roman"/>
        </w:rPr>
        <w:t>n</w:t>
      </w:r>
      <w:r w:rsidR="002323D7">
        <w:rPr>
          <w:rFonts w:cs="Times New Roman"/>
        </w:rPr>
        <w:t xml:space="preserve"> </w:t>
      </w:r>
      <w:r w:rsidR="00BF0CC9">
        <w:rPr>
          <w:rFonts w:cs="Times New Roman"/>
        </w:rPr>
        <w:t xml:space="preserve">in-date </w:t>
      </w:r>
      <w:r w:rsidR="002323D7">
        <w:rPr>
          <w:rFonts w:cs="Times New Roman"/>
        </w:rPr>
        <w:t>comprehensive care plan</w:t>
      </w:r>
      <w:r w:rsidR="008F25DB" w:rsidRPr="00976A9A">
        <w:rPr>
          <w:rFonts w:cs="Times New Roman"/>
        </w:rPr>
        <w:t>, and the proportion who had an an</w:t>
      </w:r>
      <w:r w:rsidR="002323D7">
        <w:rPr>
          <w:rFonts w:cs="Times New Roman"/>
        </w:rPr>
        <w:t>nual physical health review</w:t>
      </w:r>
      <w:r w:rsidR="008F25DB" w:rsidRPr="00976A9A">
        <w:rPr>
          <w:rFonts w:cs="Times New Roman"/>
        </w:rPr>
        <w:t>.</w:t>
      </w:r>
    </w:p>
    <w:p w14:paraId="4B8CFC71" w14:textId="181471AC" w:rsidR="005F06BD" w:rsidRDefault="005F06BD" w:rsidP="005377E0">
      <w:pPr>
        <w:spacing w:after="0" w:line="480" w:lineRule="auto"/>
        <w:rPr>
          <w:rFonts w:cs="Times New Roman"/>
        </w:rPr>
      </w:pPr>
    </w:p>
    <w:p w14:paraId="2D08A6A8" w14:textId="4024A331" w:rsidR="00F53D9C" w:rsidRDefault="00D20FA7" w:rsidP="00F1780E">
      <w:pPr>
        <w:autoSpaceDE w:val="0"/>
        <w:autoSpaceDN w:val="0"/>
        <w:adjustRightInd w:val="0"/>
        <w:spacing w:after="0" w:line="480" w:lineRule="auto"/>
        <w:jc w:val="both"/>
        <w:rPr>
          <w:rFonts w:cs="Times New Roman"/>
        </w:rPr>
      </w:pPr>
      <w:r w:rsidRPr="00976A9A">
        <w:rPr>
          <w:rFonts w:cs="Times New Roman"/>
          <w:szCs w:val="24"/>
        </w:rPr>
        <w:lastRenderedPageBreak/>
        <w:t xml:space="preserve">There is little evidence </w:t>
      </w:r>
      <w:r w:rsidR="0011371A">
        <w:rPr>
          <w:rFonts w:cs="Times New Roman"/>
          <w:szCs w:val="24"/>
        </w:rPr>
        <w:t xml:space="preserve">on </w:t>
      </w:r>
      <w:r w:rsidRPr="00976A9A">
        <w:rPr>
          <w:rFonts w:cs="Times New Roman"/>
          <w:szCs w:val="24"/>
        </w:rPr>
        <w:t xml:space="preserve">whether these incentivised activities improve </w:t>
      </w:r>
      <w:r w:rsidR="005377E0" w:rsidRPr="00976A9A">
        <w:rPr>
          <w:rFonts w:cs="Times New Roman"/>
          <w:szCs w:val="24"/>
        </w:rPr>
        <w:t xml:space="preserve">patients’ </w:t>
      </w:r>
      <w:r w:rsidR="00297ECD" w:rsidRPr="00976A9A">
        <w:rPr>
          <w:rFonts w:cs="Times New Roman"/>
          <w:szCs w:val="24"/>
        </w:rPr>
        <w:t>mental or physical health</w:t>
      </w:r>
      <w:r w:rsidRPr="00976A9A">
        <w:rPr>
          <w:rFonts w:cs="Times New Roman"/>
          <w:szCs w:val="24"/>
        </w:rPr>
        <w:t xml:space="preserve">, </w:t>
      </w:r>
      <w:r w:rsidR="00CE4BAC">
        <w:rPr>
          <w:rFonts w:cs="Times New Roman"/>
          <w:szCs w:val="24"/>
        </w:rPr>
        <w:t xml:space="preserve">modify patterns of healthcare utilisation, </w:t>
      </w:r>
      <w:r w:rsidRPr="00976A9A">
        <w:rPr>
          <w:rFonts w:cs="Times New Roman"/>
          <w:szCs w:val="24"/>
        </w:rPr>
        <w:t>or reduce</w:t>
      </w:r>
      <w:r w:rsidR="00804228" w:rsidRPr="00976A9A">
        <w:rPr>
          <w:rFonts w:cs="Times New Roman"/>
          <w:szCs w:val="24"/>
        </w:rPr>
        <w:t xml:space="preserve"> </w:t>
      </w:r>
      <w:r w:rsidR="00297ECD" w:rsidRPr="00976A9A">
        <w:rPr>
          <w:rFonts w:cs="Times New Roman"/>
          <w:szCs w:val="24"/>
        </w:rPr>
        <w:t>costs</w:t>
      </w:r>
      <w:r w:rsidR="00804228" w:rsidRPr="00976A9A">
        <w:rPr>
          <w:rFonts w:cs="Times New Roman"/>
          <w:szCs w:val="24"/>
        </w:rPr>
        <w:t xml:space="preserve">. </w:t>
      </w:r>
      <w:r w:rsidR="0094164A" w:rsidRPr="00976A9A">
        <w:rPr>
          <w:rFonts w:cs="Times New Roman"/>
        </w:rPr>
        <w:t>The</w:t>
      </w:r>
      <w:r w:rsidR="00EC317A">
        <w:rPr>
          <w:rFonts w:cs="Times New Roman"/>
        </w:rPr>
        <w:t>y</w:t>
      </w:r>
      <w:r w:rsidR="0094164A" w:rsidRPr="00976A9A">
        <w:rPr>
          <w:rFonts w:cs="Times New Roman"/>
        </w:rPr>
        <w:t xml:space="preserve"> </w:t>
      </w:r>
      <w:r w:rsidR="00CE4BAC">
        <w:rPr>
          <w:rFonts w:cs="Times New Roman"/>
        </w:rPr>
        <w:t>derive from</w:t>
      </w:r>
      <w:r w:rsidR="0094164A" w:rsidRPr="00976A9A">
        <w:rPr>
          <w:rFonts w:cs="Times New Roman"/>
        </w:rPr>
        <w:t xml:space="preserve"> </w:t>
      </w:r>
      <w:r w:rsidR="00443AD4" w:rsidRPr="00976A9A">
        <w:rPr>
          <w:rFonts w:cs="Times New Roman"/>
        </w:rPr>
        <w:t>NICE guideline</w:t>
      </w:r>
      <w:r w:rsidR="00E33C7D">
        <w:rPr>
          <w:rFonts w:cs="Times New Roman"/>
        </w:rPr>
        <w:t xml:space="preserve"> </w:t>
      </w:r>
      <w:r w:rsidR="00443AD4" w:rsidRPr="00976A9A">
        <w:rPr>
          <w:rFonts w:cs="Times New Roman"/>
        </w:rPr>
        <w:t>recommendations for primary care management of SMI</w:t>
      </w:r>
      <w:r w:rsidR="00E33C7D">
        <w:rPr>
          <w:rFonts w:cs="Times New Roman"/>
        </w:rPr>
        <w:t>, which</w:t>
      </w:r>
      <w:r w:rsidR="00443AD4" w:rsidRPr="00976A9A">
        <w:rPr>
          <w:rFonts w:cs="Times New Roman"/>
        </w:rPr>
        <w:t xml:space="preserve"> are based on consensus in the absence of robust evidence</w:t>
      </w:r>
      <w:r w:rsidR="00747348" w:rsidRPr="00976A9A">
        <w:rPr>
          <w:rFonts w:cs="Times New Roman"/>
        </w:rPr>
        <w:fldChar w:fldCharType="begin"/>
      </w:r>
      <w:r w:rsidR="00A47262">
        <w:rPr>
          <w:rFonts w:cs="Times New Roman"/>
        </w:rPr>
        <w:instrText xml:space="preserve"> ADDIN EN.CITE &lt;EndNote&gt;&lt;Cite&gt;&lt;Author&gt;National collaborating Centre for Mental Health&lt;/Author&gt;&lt;Year&gt;2014&lt;/Year&gt;&lt;RecNum&gt;150&lt;/RecNum&gt;&lt;DisplayText&gt;&lt;style face="superscript"&gt;19 20&lt;/style&gt;&lt;/DisplayText&gt;&lt;record&gt;&lt;rec-number&gt;150&lt;/rec-number&gt;&lt;foreign-keys&gt;&lt;key app="EN" db-id="0aaxrwtz35eps2efxtzpva5he0xztfsrzr02" timestamp="1507548175"&gt;150&lt;/key&gt;&lt;/foreign-keys&gt;&lt;ref-type name="Report"&gt;27&lt;/ref-type&gt;&lt;contributors&gt;&lt;authors&gt;&lt;author&gt;National collaborating Centre for Mental Health,&lt;/author&gt;&lt;/authors&gt;&lt;tertiary-authors&gt;&lt;author&gt;NICE&lt;/author&gt;&lt;/tertiary-authors&gt;&lt;/contributors&gt;&lt;titles&gt;&lt;title&gt;Psychosis and Schizophrenia in Adults: Treatment and Management. NICE Clinical Guideline 178&lt;/title&gt;&lt;/titles&gt;&lt;dates&gt;&lt;year&gt;2014&lt;/year&gt;&lt;/dates&gt;&lt;urls&gt;&lt;/urls&gt;&lt;/record&gt;&lt;/Cite&gt;&lt;Cite&gt;&lt;Author&gt;National Collaborating Centre for Mental Health&lt;/Author&gt;&lt;Year&gt;2014&lt;/Year&gt;&lt;RecNum&gt;203&lt;/RecNum&gt;&lt;record&gt;&lt;rec-number&gt;203&lt;/rec-number&gt;&lt;foreign-keys&gt;&lt;key app="EN" db-id="0aaxrwtz35eps2efxtzpva5he0xztfsrzr02" timestamp="1521123008"&gt;203&lt;/key&gt;&lt;/foreign-keys&gt;&lt;ref-type name="Journal Article"&gt;17&lt;/ref-type&gt;&lt;contributors&gt;&lt;authors&gt;&lt;author&gt;National Collaborating Centre for Mental Health,&lt;/author&gt;&lt;/authors&gt;&lt;/contributors&gt;&lt;titles&gt;&lt;title&gt;Bipolar disorder: The assessment and management of bipolar disorder in adults, children and young people in primary and secondary care&lt;/title&gt;&lt;secondary-title&gt;Leicester UK: The British Psychological Society&lt;/secondary-title&gt;&lt;/titles&gt;&lt;periodical&gt;&lt;full-title&gt;Leicester UK: The British Psychological Society&lt;/full-title&gt;&lt;/periodical&gt;&lt;dates&gt;&lt;year&gt;2014&lt;/year&gt;&lt;/dates&gt;&lt;urls&gt;&lt;/urls&gt;&lt;/record&gt;&lt;/Cite&gt;&lt;/EndNote&gt;</w:instrText>
      </w:r>
      <w:r w:rsidR="00747348" w:rsidRPr="00976A9A">
        <w:rPr>
          <w:rFonts w:cs="Times New Roman"/>
        </w:rPr>
        <w:fldChar w:fldCharType="separate"/>
      </w:r>
      <w:hyperlink w:anchor="_ENREF_19" w:tooltip="National collaborating Centre for Mental Health, 2014 #150" w:history="1">
        <w:r w:rsidR="002025EA" w:rsidRPr="00A47262">
          <w:rPr>
            <w:rFonts w:cs="Times New Roman"/>
            <w:noProof/>
            <w:vertAlign w:val="superscript"/>
          </w:rPr>
          <w:t>19</w:t>
        </w:r>
      </w:hyperlink>
      <w:r w:rsidR="00A47262" w:rsidRPr="00A47262">
        <w:rPr>
          <w:rFonts w:cs="Times New Roman"/>
          <w:noProof/>
          <w:vertAlign w:val="superscript"/>
        </w:rPr>
        <w:t xml:space="preserve"> </w:t>
      </w:r>
      <w:hyperlink w:anchor="_ENREF_20" w:tooltip="National Collaborating Centre for Mental Health, 2014 #203" w:history="1">
        <w:r w:rsidR="002025EA" w:rsidRPr="00A47262">
          <w:rPr>
            <w:rFonts w:cs="Times New Roman"/>
            <w:noProof/>
            <w:vertAlign w:val="superscript"/>
          </w:rPr>
          <w:t>20</w:t>
        </w:r>
      </w:hyperlink>
      <w:r w:rsidR="00747348" w:rsidRPr="00976A9A">
        <w:rPr>
          <w:rFonts w:cs="Times New Roman"/>
        </w:rPr>
        <w:fldChar w:fldCharType="end"/>
      </w:r>
      <w:r w:rsidR="00A47262">
        <w:rPr>
          <w:rFonts w:cs="Times New Roman"/>
        </w:rPr>
        <w:t>.</w:t>
      </w:r>
      <w:r w:rsidR="00B3442C" w:rsidRPr="00976A9A">
        <w:rPr>
          <w:rFonts w:cs="Times New Roman"/>
        </w:rPr>
        <w:t xml:space="preserve"> </w:t>
      </w:r>
    </w:p>
    <w:p w14:paraId="72F79973" w14:textId="35C7087E" w:rsidR="00F53D9C" w:rsidRPr="00976A9A" w:rsidRDefault="00F53D9C" w:rsidP="00F53D9C">
      <w:pPr>
        <w:autoSpaceDE w:val="0"/>
        <w:autoSpaceDN w:val="0"/>
        <w:adjustRightInd w:val="0"/>
        <w:spacing w:after="0" w:line="480" w:lineRule="auto"/>
        <w:jc w:val="both"/>
        <w:rPr>
          <w:rFonts w:cs="Times New Roman"/>
          <w:szCs w:val="24"/>
        </w:rPr>
      </w:pPr>
    </w:p>
    <w:p w14:paraId="53A11818" w14:textId="07FC096B" w:rsidR="00AC347E" w:rsidRPr="00976A9A" w:rsidRDefault="00B641C4" w:rsidP="005377E0">
      <w:pPr>
        <w:spacing w:after="0" w:line="480" w:lineRule="auto"/>
        <w:rPr>
          <w:rFonts w:cs="Times New Roman"/>
          <w:szCs w:val="24"/>
        </w:rPr>
      </w:pPr>
      <w:r w:rsidRPr="00976A9A">
        <w:rPr>
          <w:rFonts w:cs="Times New Roman"/>
          <w:szCs w:val="24"/>
        </w:rPr>
        <w:t xml:space="preserve">A previous study </w:t>
      </w:r>
      <w:r w:rsidR="004F6B81">
        <w:rPr>
          <w:rFonts w:cs="Times New Roman"/>
          <w:szCs w:val="24"/>
        </w:rPr>
        <w:t xml:space="preserve">using data aggregated to </w:t>
      </w:r>
      <w:r w:rsidR="002E6D1B">
        <w:rPr>
          <w:rFonts w:cs="Times New Roman"/>
          <w:szCs w:val="24"/>
        </w:rPr>
        <w:t xml:space="preserve">practice </w:t>
      </w:r>
      <w:r w:rsidR="007D47F7" w:rsidRPr="00976A9A">
        <w:rPr>
          <w:rFonts w:cs="Times New Roman"/>
          <w:szCs w:val="24"/>
        </w:rPr>
        <w:t xml:space="preserve">level found </w:t>
      </w:r>
      <w:r w:rsidR="002E6D1B">
        <w:rPr>
          <w:rFonts w:cs="Times New Roman"/>
          <w:szCs w:val="24"/>
        </w:rPr>
        <w:t xml:space="preserve">that </w:t>
      </w:r>
      <w:r w:rsidR="002E6D1B" w:rsidRPr="00976A9A">
        <w:rPr>
          <w:rFonts w:cs="Times New Roman"/>
          <w:szCs w:val="24"/>
        </w:rPr>
        <w:t xml:space="preserve">higher rates of SMI admission </w:t>
      </w:r>
      <w:r w:rsidR="002E6D1B">
        <w:rPr>
          <w:rFonts w:cs="Times New Roman"/>
          <w:szCs w:val="24"/>
        </w:rPr>
        <w:t xml:space="preserve">were associated with </w:t>
      </w:r>
      <w:r w:rsidR="006D7FA2" w:rsidRPr="00976A9A">
        <w:rPr>
          <w:rFonts w:cs="Times New Roman"/>
          <w:szCs w:val="24"/>
        </w:rPr>
        <w:t xml:space="preserve">higher </w:t>
      </w:r>
      <w:r w:rsidR="007D47F7" w:rsidRPr="00976A9A">
        <w:rPr>
          <w:rFonts w:cs="Times New Roman"/>
          <w:szCs w:val="24"/>
        </w:rPr>
        <w:t>achievement</w:t>
      </w:r>
      <w:r w:rsidR="006D7FA2" w:rsidRPr="00976A9A">
        <w:rPr>
          <w:rFonts w:cs="Times New Roman"/>
          <w:szCs w:val="24"/>
        </w:rPr>
        <w:t xml:space="preserve"> on</w:t>
      </w:r>
      <w:r w:rsidR="007D47F7" w:rsidRPr="00976A9A">
        <w:rPr>
          <w:rFonts w:cs="Times New Roman"/>
          <w:szCs w:val="24"/>
        </w:rPr>
        <w:t xml:space="preserve"> the </w:t>
      </w:r>
      <w:r w:rsidR="002323D7">
        <w:rPr>
          <w:rFonts w:cs="Times New Roman"/>
          <w:szCs w:val="24"/>
        </w:rPr>
        <w:t xml:space="preserve">annual </w:t>
      </w:r>
      <w:r w:rsidR="00092811">
        <w:rPr>
          <w:rFonts w:cs="Times New Roman"/>
          <w:szCs w:val="24"/>
        </w:rPr>
        <w:t xml:space="preserve">physical </w:t>
      </w:r>
      <w:r w:rsidR="002323D7">
        <w:rPr>
          <w:rFonts w:cs="Times New Roman"/>
          <w:szCs w:val="24"/>
        </w:rPr>
        <w:t>review</w:t>
      </w:r>
      <w:r w:rsidR="007D47F7" w:rsidRPr="00976A9A">
        <w:rPr>
          <w:rFonts w:cs="Times New Roman"/>
          <w:szCs w:val="24"/>
        </w:rPr>
        <w:t xml:space="preserve"> indicator</w:t>
      </w:r>
      <w:r w:rsidR="002E6D1B">
        <w:rPr>
          <w:rFonts w:cs="Times New Roman"/>
          <w:szCs w:val="24"/>
        </w:rPr>
        <w:t>,</w:t>
      </w:r>
      <w:r w:rsidR="007D47F7" w:rsidRPr="00976A9A">
        <w:rPr>
          <w:rFonts w:cs="Times New Roman"/>
          <w:szCs w:val="24"/>
        </w:rPr>
        <w:t xml:space="preserve"> </w:t>
      </w:r>
      <w:r w:rsidR="002E6D1B" w:rsidRPr="00976A9A">
        <w:rPr>
          <w:rFonts w:cs="Times New Roman"/>
          <w:szCs w:val="24"/>
        </w:rPr>
        <w:t>but no</w:t>
      </w:r>
      <w:r w:rsidR="002E6D1B">
        <w:rPr>
          <w:rFonts w:cs="Times New Roman"/>
          <w:szCs w:val="24"/>
        </w:rPr>
        <w:t>t</w:t>
      </w:r>
      <w:r w:rsidR="002E6D1B" w:rsidRPr="00976A9A">
        <w:rPr>
          <w:rFonts w:cs="Times New Roman"/>
          <w:szCs w:val="24"/>
        </w:rPr>
        <w:t xml:space="preserve"> the </w:t>
      </w:r>
      <w:r w:rsidR="002E6D1B">
        <w:rPr>
          <w:rFonts w:cs="Times New Roman"/>
          <w:szCs w:val="24"/>
        </w:rPr>
        <w:t>care plan</w:t>
      </w:r>
      <w:r w:rsidR="002E6D1B" w:rsidRPr="00976A9A">
        <w:rPr>
          <w:rFonts w:cs="Times New Roman"/>
          <w:szCs w:val="24"/>
        </w:rPr>
        <w:t xml:space="preserve"> indicator</w:t>
      </w:r>
      <w:hyperlink w:anchor="_ENREF_21" w:tooltip="Gutacker, 2015 #2340" w:history="1">
        <w:r w:rsidR="002025EA" w:rsidRPr="00976A9A">
          <w:rPr>
            <w:rFonts w:cs="Times New Roman"/>
            <w:szCs w:val="24"/>
          </w:rPr>
          <w:fldChar w:fldCharType="begin"/>
        </w:r>
        <w:r w:rsidR="002025EA">
          <w:rPr>
            <w:rFonts w:cs="Times New Roman"/>
            <w:szCs w:val="24"/>
          </w:rPr>
          <w:instrText xml:space="preserve"> ADDIN EN.CITE &lt;EndNote&gt;&lt;Cite&gt;&lt;Author&gt;Gutacker&lt;/Author&gt;&lt;Year&gt;2015&lt;/Year&gt;&lt;RecNum&gt;2340&lt;/RecNum&gt;&lt;DisplayText&gt;&lt;style face="superscript"&gt;21&lt;/style&gt;&lt;/DisplayText&gt;&lt;record&gt;&lt;rec-number&gt;2340&lt;/rec-number&gt;&lt;foreign-keys&gt;&lt;key app="EN" db-id="fsvar0xvyasaw1ets97x2v9h905eewfvf0zf" timestamp="1519749520"&gt;2340&lt;/key&gt;&lt;/foreign-keys&gt;&lt;ref-type name="Journal Article"&gt;17&lt;/ref-type&gt;&lt;contributors&gt;&lt;authors&gt;&lt;author&gt;Gutacker, Nils&lt;/author&gt;&lt;author&gt;Mason, Anne R&lt;/author&gt;&lt;author&gt;Kendrick, Tony&lt;/author&gt;&lt;author&gt;Goddard, Maria&lt;/author&gt;&lt;author&gt;Gravelle, Hugh&lt;/author&gt;&lt;author&gt;Gilbody, Simon&lt;/author&gt;&lt;author&gt;Aylott, Lauren&lt;/author&gt;&lt;author&gt;Wainwright, June&lt;/author&gt;&lt;author&gt;Jacobs, Rowena&lt;/author&gt;&lt;/authors&gt;&lt;/contributors&gt;&lt;titles&gt;&lt;title&gt;Does the quality and outcomes framework reduce psychiatric admissions in people with serious mental illness? A regression analysis&lt;/title&gt;&lt;secondary-title&gt;BMJ open&lt;/secondary-title&gt;&lt;/titles&gt;&lt;periodical&gt;&lt;full-title&gt;Bmj Open&lt;/full-title&gt;&lt;abbr-1&gt;Bmj Open&lt;/abbr-1&gt;&lt;/periodical&gt;&lt;pages&gt;e007342&lt;/pages&gt;&lt;volume&gt;5&lt;/volume&gt;&lt;number&gt;4&lt;/number&gt;&lt;dates&gt;&lt;year&gt;2015&lt;/year&gt;&lt;/dates&gt;&lt;isbn&gt;2044-6055&lt;/isbn&gt;&lt;urls&gt;&lt;/urls&gt;&lt;/record&gt;&lt;/Cite&gt;&lt;/EndNote&gt;</w:instrText>
        </w:r>
        <w:r w:rsidR="002025EA" w:rsidRPr="00976A9A">
          <w:rPr>
            <w:rFonts w:cs="Times New Roman"/>
            <w:szCs w:val="24"/>
          </w:rPr>
          <w:fldChar w:fldCharType="separate"/>
        </w:r>
        <w:r w:rsidR="002025EA" w:rsidRPr="00A47262">
          <w:rPr>
            <w:rFonts w:cs="Times New Roman"/>
            <w:noProof/>
            <w:szCs w:val="24"/>
            <w:vertAlign w:val="superscript"/>
          </w:rPr>
          <w:t>21</w:t>
        </w:r>
        <w:r w:rsidR="002025EA" w:rsidRPr="00976A9A">
          <w:rPr>
            <w:rFonts w:cs="Times New Roman"/>
            <w:szCs w:val="24"/>
          </w:rPr>
          <w:fldChar w:fldCharType="end"/>
        </w:r>
      </w:hyperlink>
      <w:r w:rsidRPr="00976A9A">
        <w:rPr>
          <w:rFonts w:cs="Times New Roman"/>
          <w:szCs w:val="24"/>
        </w:rPr>
        <w:t>. However, th</w:t>
      </w:r>
      <w:r w:rsidR="000B4102" w:rsidRPr="00976A9A">
        <w:rPr>
          <w:rFonts w:cs="Times New Roman"/>
          <w:szCs w:val="24"/>
        </w:rPr>
        <w:t xml:space="preserve">at study </w:t>
      </w:r>
      <w:r w:rsidRPr="00976A9A">
        <w:rPr>
          <w:rFonts w:cs="Times New Roman"/>
          <w:szCs w:val="24"/>
        </w:rPr>
        <w:t xml:space="preserve">could not ascertain </w:t>
      </w:r>
      <w:r w:rsidR="00F67AAB">
        <w:rPr>
          <w:rFonts w:cs="Times New Roman"/>
          <w:szCs w:val="24"/>
        </w:rPr>
        <w:t>which individuals</w:t>
      </w:r>
      <w:r w:rsidR="00F67AAB" w:rsidRPr="00976A9A">
        <w:rPr>
          <w:rFonts w:cs="Times New Roman"/>
          <w:szCs w:val="24"/>
        </w:rPr>
        <w:t xml:space="preserve"> </w:t>
      </w:r>
      <w:r w:rsidR="0046253D">
        <w:rPr>
          <w:rFonts w:cs="Times New Roman"/>
          <w:szCs w:val="24"/>
        </w:rPr>
        <w:t xml:space="preserve">within a practice </w:t>
      </w:r>
      <w:r w:rsidR="000C15D4" w:rsidRPr="00976A9A">
        <w:rPr>
          <w:rFonts w:cs="Times New Roman"/>
          <w:szCs w:val="24"/>
        </w:rPr>
        <w:t xml:space="preserve">received care </w:t>
      </w:r>
      <w:r w:rsidR="00F67AAB">
        <w:rPr>
          <w:rFonts w:cs="Times New Roman"/>
          <w:szCs w:val="24"/>
        </w:rPr>
        <w:t>or</w:t>
      </w:r>
      <w:r w:rsidR="00F67AAB" w:rsidRPr="00976A9A">
        <w:rPr>
          <w:rFonts w:cs="Times New Roman"/>
          <w:szCs w:val="24"/>
        </w:rPr>
        <w:t xml:space="preserve"> </w:t>
      </w:r>
      <w:r w:rsidR="00ED2C17" w:rsidRPr="00976A9A">
        <w:rPr>
          <w:rFonts w:cs="Times New Roman"/>
          <w:szCs w:val="24"/>
        </w:rPr>
        <w:t>whether the care preceded or followed admissions</w:t>
      </w:r>
      <w:r w:rsidR="00FA291A" w:rsidRPr="00976A9A">
        <w:rPr>
          <w:rFonts w:cs="Times New Roman"/>
          <w:szCs w:val="24"/>
        </w:rPr>
        <w:t>.</w:t>
      </w:r>
      <w:r w:rsidR="008A6AD1">
        <w:rPr>
          <w:rFonts w:cs="Times New Roman"/>
          <w:szCs w:val="24"/>
        </w:rPr>
        <w:t xml:space="preserve"> </w:t>
      </w:r>
    </w:p>
    <w:p w14:paraId="66263366" w14:textId="77777777" w:rsidR="00701631" w:rsidRPr="00976A9A" w:rsidRDefault="00701631" w:rsidP="005377E0">
      <w:pPr>
        <w:spacing w:after="0" w:line="480" w:lineRule="auto"/>
        <w:rPr>
          <w:rFonts w:cs="Times New Roman"/>
          <w:szCs w:val="24"/>
        </w:rPr>
      </w:pPr>
    </w:p>
    <w:p w14:paraId="5C8E33F7" w14:textId="1A8E805C" w:rsidR="00B44D24" w:rsidRPr="00976A9A" w:rsidRDefault="005F06BD" w:rsidP="00B44D24">
      <w:pPr>
        <w:spacing w:after="0" w:line="480" w:lineRule="auto"/>
        <w:rPr>
          <w:rFonts w:cs="Times New Roman"/>
        </w:rPr>
      </w:pPr>
      <w:bookmarkStart w:id="7" w:name="_Toc369779973"/>
      <w:bookmarkStart w:id="8" w:name="_Toc369253793"/>
      <w:bookmarkStart w:id="9" w:name="_Toc369253843"/>
      <w:bookmarkStart w:id="10" w:name="_Toc369253794"/>
      <w:bookmarkStart w:id="11" w:name="_Toc369253844"/>
      <w:bookmarkStart w:id="12" w:name="_Toc369272910"/>
      <w:bookmarkEnd w:id="7"/>
      <w:bookmarkEnd w:id="8"/>
      <w:bookmarkEnd w:id="9"/>
      <w:bookmarkEnd w:id="10"/>
      <w:bookmarkEnd w:id="11"/>
      <w:bookmarkEnd w:id="12"/>
      <w:r>
        <w:rPr>
          <w:rFonts w:cs="Times New Roman"/>
        </w:rPr>
        <w:t>As t</w:t>
      </w:r>
      <w:r w:rsidRPr="00976A9A">
        <w:rPr>
          <w:rFonts w:cs="Times New Roman"/>
        </w:rPr>
        <w:t xml:space="preserve">he </w:t>
      </w:r>
      <w:r>
        <w:rPr>
          <w:rFonts w:cs="Times New Roman"/>
        </w:rPr>
        <w:t xml:space="preserve">QOF </w:t>
      </w:r>
      <w:r w:rsidRPr="00976A9A">
        <w:rPr>
          <w:rFonts w:cs="Times New Roman"/>
        </w:rPr>
        <w:t xml:space="preserve">indicators are regularly reviewed and revised, new evidence on </w:t>
      </w:r>
      <w:r>
        <w:rPr>
          <w:rFonts w:cs="Times New Roman"/>
        </w:rPr>
        <w:t>their potential impacts is useful for</w:t>
      </w:r>
      <w:r w:rsidRPr="00976A9A">
        <w:rPr>
          <w:rFonts w:cs="Times New Roman"/>
        </w:rPr>
        <w:t xml:space="preserve"> decision-makers. </w:t>
      </w:r>
      <w:r>
        <w:rPr>
          <w:rFonts w:cs="Times New Roman"/>
        </w:rPr>
        <w:t>Our study</w:t>
      </w:r>
      <w:r w:rsidRPr="00976A9A">
        <w:rPr>
          <w:rFonts w:cs="Times New Roman"/>
        </w:rPr>
        <w:t xml:space="preserve"> contribute</w:t>
      </w:r>
      <w:r>
        <w:rPr>
          <w:rFonts w:cs="Times New Roman"/>
        </w:rPr>
        <w:t xml:space="preserve">s </w:t>
      </w:r>
      <w:r w:rsidRPr="00976A9A">
        <w:rPr>
          <w:rFonts w:cs="Times New Roman"/>
        </w:rPr>
        <w:t xml:space="preserve">such evidence, </w:t>
      </w:r>
      <w:r w:rsidRPr="00976A9A">
        <w:rPr>
          <w:rFonts w:cs="Times New Roman"/>
          <w:szCs w:val="24"/>
        </w:rPr>
        <w:t xml:space="preserve">examining whether </w:t>
      </w:r>
      <w:r>
        <w:rPr>
          <w:rFonts w:cs="Times New Roman"/>
          <w:szCs w:val="24"/>
        </w:rPr>
        <w:t>care plans</w:t>
      </w:r>
      <w:r w:rsidRPr="00976A9A">
        <w:rPr>
          <w:rFonts w:cs="Times New Roman"/>
          <w:szCs w:val="24"/>
        </w:rPr>
        <w:t xml:space="preserve"> and </w:t>
      </w:r>
      <w:r>
        <w:rPr>
          <w:rFonts w:cs="Times New Roman"/>
          <w:szCs w:val="24"/>
        </w:rPr>
        <w:t xml:space="preserve">annual reviews </w:t>
      </w:r>
      <w:r w:rsidRPr="00976A9A">
        <w:rPr>
          <w:rFonts w:cs="Times New Roman"/>
          <w:szCs w:val="24"/>
        </w:rPr>
        <w:t xml:space="preserve">are associated with </w:t>
      </w:r>
      <w:r>
        <w:rPr>
          <w:rFonts w:cs="Times New Roman"/>
          <w:szCs w:val="24"/>
        </w:rPr>
        <w:t>utilisation of unplanned secondary care</w:t>
      </w:r>
      <w:r w:rsidRPr="00976A9A">
        <w:rPr>
          <w:rFonts w:cs="Times New Roman"/>
          <w:szCs w:val="24"/>
        </w:rPr>
        <w:t xml:space="preserve"> for patients with SMI</w:t>
      </w:r>
      <w:r>
        <w:rPr>
          <w:rFonts w:cs="Times New Roman"/>
          <w:szCs w:val="24"/>
        </w:rPr>
        <w:t>,</w:t>
      </w:r>
      <w:r w:rsidRPr="00976A9A">
        <w:rPr>
          <w:rFonts w:cs="Times New Roman"/>
          <w:szCs w:val="24"/>
        </w:rPr>
        <w:t xml:space="preserve"> by analysing linked</w:t>
      </w:r>
      <w:r>
        <w:rPr>
          <w:rFonts w:cs="Times New Roman"/>
          <w:szCs w:val="24"/>
        </w:rPr>
        <w:t xml:space="preserve"> primary care and hospital</w:t>
      </w:r>
      <w:r w:rsidRPr="00976A9A">
        <w:rPr>
          <w:rFonts w:cs="Times New Roman"/>
          <w:szCs w:val="24"/>
        </w:rPr>
        <w:t xml:space="preserve"> </w:t>
      </w:r>
      <w:r>
        <w:rPr>
          <w:rFonts w:cs="Times New Roman"/>
          <w:szCs w:val="24"/>
        </w:rPr>
        <w:t>records</w:t>
      </w:r>
      <w:r w:rsidRPr="00976A9A">
        <w:rPr>
          <w:rFonts w:cs="Times New Roman"/>
          <w:szCs w:val="24"/>
        </w:rPr>
        <w:t xml:space="preserve">. </w:t>
      </w:r>
      <w:r w:rsidR="00B44D24" w:rsidRPr="00976A9A">
        <w:rPr>
          <w:rFonts w:eastAsiaTheme="majorEastAsia" w:cs="Times New Roman"/>
          <w:color w:val="000000" w:themeColor="text1"/>
          <w:szCs w:val="28"/>
        </w:rPr>
        <w:t xml:space="preserve">We hypothesise that </w:t>
      </w:r>
      <w:r w:rsidR="00B44D24">
        <w:rPr>
          <w:rFonts w:eastAsiaTheme="majorEastAsia" w:cs="Times New Roman"/>
          <w:color w:val="000000" w:themeColor="text1"/>
          <w:szCs w:val="28"/>
        </w:rPr>
        <w:t>care plan</w:t>
      </w:r>
      <w:r w:rsidR="00B44D24" w:rsidRPr="00976A9A">
        <w:rPr>
          <w:rFonts w:cs="Times New Roman"/>
          <w:szCs w:val="24"/>
        </w:rPr>
        <w:t xml:space="preserve">s and </w:t>
      </w:r>
      <w:r w:rsidR="00B44D24">
        <w:rPr>
          <w:rFonts w:cs="Times New Roman"/>
          <w:szCs w:val="24"/>
        </w:rPr>
        <w:t>annual review</w:t>
      </w:r>
      <w:r w:rsidR="00B44D24" w:rsidRPr="00976A9A">
        <w:rPr>
          <w:rFonts w:cs="Times New Roman"/>
          <w:szCs w:val="24"/>
        </w:rPr>
        <w:t xml:space="preserve">s may modify risk of </w:t>
      </w:r>
      <w:r w:rsidR="00E116D0">
        <w:rPr>
          <w:rFonts w:cs="Times New Roman"/>
          <w:szCs w:val="24"/>
        </w:rPr>
        <w:t xml:space="preserve">unplanned hospital utilisation, </w:t>
      </w:r>
      <w:r w:rsidR="00A240EB">
        <w:rPr>
          <w:rFonts w:cs="Times New Roman"/>
          <w:szCs w:val="24"/>
        </w:rPr>
        <w:t xml:space="preserve">which </w:t>
      </w:r>
      <w:r w:rsidR="00E116D0">
        <w:rPr>
          <w:rFonts w:cs="Times New Roman"/>
          <w:szCs w:val="24"/>
        </w:rPr>
        <w:t>is</w:t>
      </w:r>
      <w:r w:rsidR="00A240EB">
        <w:rPr>
          <w:rFonts w:cs="Times New Roman"/>
          <w:szCs w:val="24"/>
        </w:rPr>
        <w:t xml:space="preserve"> potentially preventable by high-quality primary care</w:t>
      </w:r>
      <w:hyperlink w:anchor="_ENREF_22" w:tooltip="Purdy, 2009 #2346" w:history="1">
        <w:r w:rsidR="002025EA">
          <w:rPr>
            <w:rFonts w:cs="Times New Roman"/>
            <w:szCs w:val="24"/>
          </w:rPr>
          <w:fldChar w:fldCharType="begin"/>
        </w:r>
        <w:r w:rsidR="002025EA">
          <w:rPr>
            <w:rFonts w:cs="Times New Roman"/>
            <w:szCs w:val="24"/>
          </w:rPr>
          <w:instrText xml:space="preserve"> ADDIN EN.CITE &lt;EndNote&gt;&lt;Cite&gt;&lt;Author&gt;Purdy&lt;/Author&gt;&lt;Year&gt;2009&lt;/Year&gt;&lt;RecNum&gt;2346&lt;/RecNum&gt;&lt;DisplayText&gt;&lt;style face="superscript"&gt;22&lt;/style&gt;&lt;/DisplayText&gt;&lt;record&gt;&lt;rec-number&gt;2346&lt;/rec-number&gt;&lt;foreign-keys&gt;&lt;key app="EN" db-id="fsvar0xvyasaw1ets97x2v9h905eewfvf0zf" timestamp="1519756729"&gt;2346&lt;/key&gt;&lt;/foreign-keys&gt;&lt;ref-type name="Journal Article"&gt;17&lt;/ref-type&gt;&lt;contributors&gt;&lt;authors&gt;&lt;author&gt;Purdy, S&lt;/author&gt;&lt;author&gt;Griffin, T&lt;/author&gt;&lt;author&gt;Salisbury, C&lt;/author&gt;&lt;author&gt;Sharp, D&lt;/author&gt;&lt;/authors&gt;&lt;/contributors&gt;&lt;titles&gt;&lt;title&gt;Ambulatory care sensitive conditions: terminology and disease coding need to be more specific to aid policy makers and clinicians&lt;/title&gt;&lt;secondary-title&gt;Public health&lt;/secondary-title&gt;&lt;/titles&gt;&lt;periodical&gt;&lt;full-title&gt;Public Health&lt;/full-title&gt;&lt;abbr-1&gt;Public Health&lt;/abbr-1&gt;&lt;/periodical&gt;&lt;pages&gt;169-173&lt;/pages&gt;&lt;volume&gt;123&lt;/volume&gt;&lt;number&gt;2&lt;/number&gt;&lt;dates&gt;&lt;year&gt;2009&lt;/year&gt;&lt;/dates&gt;&lt;isbn&gt;0033-3506&lt;/isbn&gt;&lt;urls&gt;&lt;/urls&gt;&lt;/record&gt;&lt;/Cite&gt;&lt;/EndNote&gt;</w:instrText>
        </w:r>
        <w:r w:rsidR="002025EA">
          <w:rPr>
            <w:rFonts w:cs="Times New Roman"/>
            <w:szCs w:val="24"/>
          </w:rPr>
          <w:fldChar w:fldCharType="separate"/>
        </w:r>
        <w:r w:rsidR="002025EA" w:rsidRPr="00A47262">
          <w:rPr>
            <w:rFonts w:cs="Times New Roman"/>
            <w:noProof/>
            <w:szCs w:val="24"/>
            <w:vertAlign w:val="superscript"/>
          </w:rPr>
          <w:t>22</w:t>
        </w:r>
        <w:r w:rsidR="002025EA">
          <w:rPr>
            <w:rFonts w:cs="Times New Roman"/>
            <w:szCs w:val="24"/>
          </w:rPr>
          <w:fldChar w:fldCharType="end"/>
        </w:r>
      </w:hyperlink>
      <w:r w:rsidR="00B44D24" w:rsidRPr="00976A9A">
        <w:rPr>
          <w:rFonts w:cs="Times New Roman"/>
          <w:szCs w:val="24"/>
        </w:rPr>
        <w:t>. Patients with SMI</w:t>
      </w:r>
      <w:r w:rsidR="00B44D24">
        <w:rPr>
          <w:rFonts w:cs="Times New Roman"/>
          <w:szCs w:val="24"/>
        </w:rPr>
        <w:t xml:space="preserve"> are </w:t>
      </w:r>
      <w:r w:rsidR="00B44D24" w:rsidRPr="00976A9A">
        <w:rPr>
          <w:rFonts w:cs="Times New Roman"/>
          <w:szCs w:val="24"/>
        </w:rPr>
        <w:t xml:space="preserve">less likely to report health problems </w:t>
      </w:r>
      <w:r w:rsidR="00B44D24">
        <w:rPr>
          <w:rFonts w:cs="Times New Roman"/>
          <w:szCs w:val="24"/>
        </w:rPr>
        <w:t>than</w:t>
      </w:r>
      <w:r w:rsidR="00B44D24" w:rsidRPr="00976A9A">
        <w:rPr>
          <w:rFonts w:cs="Times New Roman"/>
          <w:szCs w:val="24"/>
        </w:rPr>
        <w:t xml:space="preserve"> their peers due to self-neglect, impaired motivation, and social withdrawal</w:t>
      </w:r>
      <w:r w:rsidR="00B44D24" w:rsidRPr="00976A9A">
        <w:rPr>
          <w:rFonts w:cs="Times New Roman"/>
          <w:szCs w:val="24"/>
        </w:rPr>
        <w:fldChar w:fldCharType="begin"/>
      </w:r>
      <w:r w:rsidR="00A47262">
        <w:rPr>
          <w:rFonts w:cs="Times New Roman"/>
          <w:szCs w:val="24"/>
        </w:rPr>
        <w:instrText xml:space="preserve"> ADDIN EN.CITE &lt;EndNote&gt;&lt;Cite&gt;&lt;Author&gt;Wykes&lt;/Author&gt;&lt;Year&gt;2016&lt;/Year&gt;&lt;RecNum&gt;72&lt;/RecNum&gt;&lt;DisplayText&gt;&lt;style face="superscript"&gt;23 24&lt;/style&gt;&lt;/DisplayText&gt;&lt;record&gt;&lt;rec-number&gt;72&lt;/rec-number&gt;&lt;foreign-keys&gt;&lt;key app="EN" db-id="0aaxrwtz35eps2efxtzpva5he0xztfsrzr02" timestamp="1497268422"&gt;72&lt;/key&gt;&lt;/foreign-keys&gt;&lt;ref-type name="Journal Article"&gt;17&lt;/ref-type&gt;&lt;contributors&gt;&lt;authors&gt;&lt;author&gt;Wykes, Thomas L&lt;/author&gt;&lt;author&gt;Lee, Aaron A&lt;/author&gt;&lt;author&gt;McKibbin, Christine L&lt;/author&gt;&lt;author&gt;Laurent, Sean M&lt;/author&gt;&lt;/authors&gt;&lt;/contributors&gt;&lt;titles&gt;&lt;title&gt;Self-Efficacy and Hemoglobin A1C Among Adults With Serious Mental Illness and Type 2 Diabetes: The Roles of Cognitive Functioning and Psychiatric Symptom Severity&lt;/title&gt;&lt;secondary-title&gt;Psychosomatic Medicine&lt;/secondary-title&gt;&lt;/titles&gt;&lt;periodical&gt;&lt;full-title&gt;Psychosomatic medicine&lt;/full-title&gt;&lt;/periodical&gt;&lt;pages&gt;263-270&lt;/pages&gt;&lt;volume&gt;78&lt;/volume&gt;&lt;number&gt;3&lt;/number&gt;&lt;dates&gt;&lt;year&gt;2016&lt;/year&gt;&lt;/dates&gt;&lt;isbn&gt;0033-3174&lt;/isbn&gt;&lt;urls&gt;&lt;/urls&gt;&lt;/record&gt;&lt;/Cite&gt;&lt;Cite&gt;&lt;Author&gt;Chen&lt;/Author&gt;&lt;Year&gt;2014&lt;/Year&gt;&lt;RecNum&gt;71&lt;/RecNum&gt;&lt;record&gt;&lt;rec-number&gt;71&lt;/rec-number&gt;&lt;foreign-keys&gt;&lt;key app="EN" db-id="0aaxrwtz35eps2efxtzpva5he0xztfsrzr02" timestamp="1497268422"&gt;71&lt;/key&gt;&lt;/foreign-keys&gt;&lt;ref-type name="Journal Article"&gt;17&lt;/ref-type&gt;&lt;contributors&gt;</w:instrText>
      </w:r>
      <w:r w:rsidR="00A47262">
        <w:rPr>
          <w:rFonts w:cs="Times New Roman" w:hint="eastAsia"/>
          <w:szCs w:val="24"/>
        </w:rPr>
        <w:instrText>&lt;authors&gt;&lt;author&gt;Chen, S</w:instrText>
      </w:r>
      <w:r w:rsidR="00A47262">
        <w:rPr>
          <w:rFonts w:cs="Times New Roman" w:hint="eastAsia"/>
          <w:szCs w:val="24"/>
        </w:rPr>
        <w:instrText>‐</w:instrText>
      </w:r>
      <w:r w:rsidR="00A47262">
        <w:rPr>
          <w:rFonts w:cs="Times New Roman" w:hint="eastAsia"/>
          <w:szCs w:val="24"/>
        </w:rPr>
        <w:instrText>R&lt;/author&gt;&lt;author&gt;Chien, Y</w:instrText>
      </w:r>
      <w:r w:rsidR="00A47262">
        <w:rPr>
          <w:rFonts w:cs="Times New Roman" w:hint="eastAsia"/>
          <w:szCs w:val="24"/>
        </w:rPr>
        <w:instrText>‐</w:instrText>
      </w:r>
      <w:r w:rsidR="00A47262">
        <w:rPr>
          <w:rFonts w:cs="Times New Roman" w:hint="eastAsia"/>
          <w:szCs w:val="24"/>
        </w:rPr>
        <w:instrText>P&lt;/author&gt;&lt;author&gt;Kang, C</w:instrText>
      </w:r>
      <w:r w:rsidR="00A47262">
        <w:rPr>
          <w:rFonts w:cs="Times New Roman" w:hint="eastAsia"/>
          <w:szCs w:val="24"/>
        </w:rPr>
        <w:instrText>‐</w:instrText>
      </w:r>
      <w:r w:rsidR="00A47262">
        <w:rPr>
          <w:rFonts w:cs="Times New Roman" w:hint="eastAsia"/>
          <w:szCs w:val="24"/>
        </w:rPr>
        <w:instrText>M&lt;/author&gt;&lt;author&gt;Jeng, Chii&lt;/author&gt;&lt;author&gt;Chang, W</w:instrText>
      </w:r>
      <w:r w:rsidR="00A47262">
        <w:rPr>
          <w:rFonts w:cs="Times New Roman" w:hint="eastAsia"/>
          <w:szCs w:val="24"/>
        </w:rPr>
        <w:instrText>‐</w:instrText>
      </w:r>
      <w:r w:rsidR="00A47262">
        <w:rPr>
          <w:rFonts w:cs="Times New Roman" w:hint="eastAsia"/>
          <w:szCs w:val="24"/>
        </w:rPr>
        <w:instrText>Y&lt;/author&gt;&lt;/authors&gt;&lt;/contributors&gt;&lt;titles&gt;&lt;title&gt;Comparing self</w:instrText>
      </w:r>
      <w:r w:rsidR="00A47262">
        <w:rPr>
          <w:rFonts w:cs="Times New Roman" w:hint="eastAsia"/>
          <w:szCs w:val="24"/>
        </w:rPr>
        <w:instrText>‐</w:instrText>
      </w:r>
      <w:r w:rsidR="00A47262">
        <w:rPr>
          <w:rFonts w:cs="Times New Roman" w:hint="eastAsia"/>
          <w:szCs w:val="24"/>
        </w:rPr>
        <w:instrText>efficacy and self</w:instrText>
      </w:r>
      <w:r w:rsidR="00A47262">
        <w:rPr>
          <w:rFonts w:cs="Times New Roman" w:hint="eastAsia"/>
          <w:szCs w:val="24"/>
        </w:rPr>
        <w:instrText>‐</w:instrText>
      </w:r>
      <w:r w:rsidR="00A47262">
        <w:rPr>
          <w:rFonts w:cs="Times New Roman" w:hint="eastAsia"/>
          <w:szCs w:val="24"/>
        </w:rPr>
        <w:instrText>care behaviours between outpatients with</w:instrText>
      </w:r>
      <w:r w:rsidR="00A47262">
        <w:rPr>
          <w:rFonts w:cs="Times New Roman"/>
          <w:szCs w:val="24"/>
        </w:rPr>
        <w:instrText xml:space="preserve"> comorbid schizophrenia and type 2 diabetes and outpatients with only type 2 diabetes&lt;/title&gt;&lt;secondary-title&gt;Journal of Psychiatric and Mental Health Nursing&lt;/secondary-title&gt;&lt;/titles&gt;&lt;periodical&gt;&lt;full-title&gt;Journal of psychiatric and mental health nursing&lt;/full-title&gt;&lt;/periodical&gt;&lt;pages&gt;414-422&lt;/pages&gt;&lt;volume&gt;21&lt;/volume&gt;&lt;number&gt;5&lt;/number&gt;&lt;dates&gt;&lt;year&gt;2014&lt;/year&gt;&lt;/dates&gt;&lt;isbn&gt;1365-2850&lt;/isbn&gt;&lt;urls&gt;&lt;/urls&gt;&lt;/record&gt;&lt;/Cite&gt;&lt;/EndNote&gt;</w:instrText>
      </w:r>
      <w:r w:rsidR="00B44D24" w:rsidRPr="00976A9A">
        <w:rPr>
          <w:rFonts w:cs="Times New Roman"/>
          <w:szCs w:val="24"/>
        </w:rPr>
        <w:fldChar w:fldCharType="separate"/>
      </w:r>
      <w:hyperlink w:anchor="_ENREF_23" w:tooltip="Wykes, 2016 #72" w:history="1">
        <w:r w:rsidR="002025EA" w:rsidRPr="00A47262">
          <w:rPr>
            <w:rFonts w:cs="Times New Roman"/>
            <w:noProof/>
            <w:szCs w:val="24"/>
            <w:vertAlign w:val="superscript"/>
          </w:rPr>
          <w:t>23</w:t>
        </w:r>
      </w:hyperlink>
      <w:r w:rsidR="00A47262" w:rsidRPr="00A47262">
        <w:rPr>
          <w:rFonts w:cs="Times New Roman"/>
          <w:noProof/>
          <w:szCs w:val="24"/>
          <w:vertAlign w:val="superscript"/>
        </w:rPr>
        <w:t xml:space="preserve"> </w:t>
      </w:r>
      <w:hyperlink w:anchor="_ENREF_24" w:tooltip="Chen, 2014 #71" w:history="1">
        <w:r w:rsidR="002025EA" w:rsidRPr="00A47262">
          <w:rPr>
            <w:rFonts w:cs="Times New Roman"/>
            <w:noProof/>
            <w:szCs w:val="24"/>
            <w:vertAlign w:val="superscript"/>
          </w:rPr>
          <w:t>24</w:t>
        </w:r>
      </w:hyperlink>
      <w:r w:rsidR="00B44D24" w:rsidRPr="00976A9A">
        <w:rPr>
          <w:rFonts w:cs="Times New Roman"/>
          <w:szCs w:val="24"/>
        </w:rPr>
        <w:fldChar w:fldCharType="end"/>
      </w:r>
      <w:r w:rsidR="00B44D24">
        <w:rPr>
          <w:rFonts w:cs="Times New Roman"/>
          <w:szCs w:val="24"/>
        </w:rPr>
        <w:t>. P</w:t>
      </w:r>
      <w:r w:rsidR="00B44D24" w:rsidRPr="00976A9A">
        <w:rPr>
          <w:rFonts w:cs="Times New Roman"/>
          <w:szCs w:val="24"/>
        </w:rPr>
        <w:t xml:space="preserve">roactive care by GPs may help to identify and manage physical and mental health problems </w:t>
      </w:r>
      <w:r w:rsidR="00B44D24">
        <w:rPr>
          <w:rFonts w:cs="Times New Roman"/>
          <w:szCs w:val="24"/>
        </w:rPr>
        <w:t>without the need for hospital care</w:t>
      </w:r>
      <w:r w:rsidR="00B44D24" w:rsidRPr="00976A9A">
        <w:rPr>
          <w:rFonts w:cs="Times New Roman"/>
          <w:szCs w:val="24"/>
        </w:rPr>
        <w:t>.</w:t>
      </w:r>
      <w:r w:rsidR="00B44D24">
        <w:rPr>
          <w:rFonts w:cs="Times New Roman"/>
          <w:szCs w:val="24"/>
        </w:rPr>
        <w:t xml:space="preserve"> </w:t>
      </w:r>
    </w:p>
    <w:p w14:paraId="6DFB03FC" w14:textId="77777777" w:rsidR="00B44D24" w:rsidRPr="00976A9A" w:rsidRDefault="00B44D24" w:rsidP="00EE0C26">
      <w:pPr>
        <w:spacing w:after="0" w:line="480" w:lineRule="auto"/>
        <w:rPr>
          <w:rFonts w:cs="Times New Roman"/>
        </w:rPr>
      </w:pPr>
    </w:p>
    <w:p w14:paraId="290FD699" w14:textId="4A32803A" w:rsidR="002A205C" w:rsidRPr="00976A9A" w:rsidRDefault="005F06BD" w:rsidP="00F1780E">
      <w:pPr>
        <w:pStyle w:val="Heading1"/>
      </w:pPr>
      <w:r>
        <w:lastRenderedPageBreak/>
        <w:t>Methods</w:t>
      </w:r>
    </w:p>
    <w:p w14:paraId="23B5CBB7" w14:textId="09E3FA88" w:rsidR="005F06BD" w:rsidRDefault="005F06BD" w:rsidP="00F1780E">
      <w:pPr>
        <w:pStyle w:val="Heading2"/>
      </w:pPr>
      <w:bookmarkStart w:id="13" w:name="_Ref368582220"/>
      <w:bookmarkStart w:id="14" w:name="_Toc369697034"/>
      <w:bookmarkStart w:id="15" w:name="_Toc370128645"/>
      <w:bookmarkStart w:id="16" w:name="_Toc370308481"/>
      <w:bookmarkStart w:id="17" w:name="_Toc443297917"/>
      <w:bookmarkStart w:id="18" w:name="_Toc444002016"/>
      <w:r>
        <w:t xml:space="preserve">Study design </w:t>
      </w:r>
    </w:p>
    <w:p w14:paraId="0A0EECF4" w14:textId="688CBC3B" w:rsidR="005F06BD" w:rsidRDefault="00E116D0" w:rsidP="00F1780E">
      <w:pPr>
        <w:spacing w:line="480" w:lineRule="auto"/>
      </w:pPr>
      <w:r>
        <w:t>In this retrospective</w:t>
      </w:r>
      <w:r w:rsidR="008E7EE0">
        <w:t xml:space="preserve"> observational</w:t>
      </w:r>
      <w:r>
        <w:t xml:space="preserve"> cohort study using linked primary care and hospital data, w</w:t>
      </w:r>
      <w:r w:rsidR="005F06BD" w:rsidRPr="005F06BD">
        <w:t xml:space="preserve">e investigate the relationship between having a care plan </w:t>
      </w:r>
      <w:r w:rsidR="00102BBE">
        <w:t>and/</w:t>
      </w:r>
      <w:r w:rsidR="005F06BD" w:rsidRPr="005F06BD">
        <w:t>or an annual physical</w:t>
      </w:r>
      <w:r>
        <w:t xml:space="preserve"> health review, and time from diagnosis of SMI to unplanned hospital utilisation. </w:t>
      </w:r>
    </w:p>
    <w:p w14:paraId="77CA4EAD" w14:textId="77777777" w:rsidR="005F06BD" w:rsidRPr="005F06BD" w:rsidRDefault="005F06BD"/>
    <w:bookmarkEnd w:id="13"/>
    <w:bookmarkEnd w:id="14"/>
    <w:bookmarkEnd w:id="15"/>
    <w:bookmarkEnd w:id="16"/>
    <w:bookmarkEnd w:id="17"/>
    <w:bookmarkEnd w:id="18"/>
    <w:p w14:paraId="5FA86C2B" w14:textId="67DF17B8" w:rsidR="00310241" w:rsidRPr="00976A9A" w:rsidRDefault="005F06BD" w:rsidP="00F1780E">
      <w:pPr>
        <w:pStyle w:val="Heading2"/>
      </w:pPr>
      <w:r>
        <w:t>Data sources and linkage</w:t>
      </w:r>
    </w:p>
    <w:p w14:paraId="6C0E5CBB" w14:textId="3D4EAD7D" w:rsidR="005F06BD" w:rsidRDefault="0017197E">
      <w:pPr>
        <w:spacing w:after="0" w:line="480" w:lineRule="auto"/>
        <w:rPr>
          <w:rFonts w:cs="Times New Roman"/>
        </w:rPr>
      </w:pPr>
      <w:r w:rsidRPr="00976A9A">
        <w:rPr>
          <w:rFonts w:cs="Times New Roman"/>
        </w:rPr>
        <w:t xml:space="preserve">The main data source </w:t>
      </w:r>
      <w:r w:rsidR="00EE69D9">
        <w:rPr>
          <w:rFonts w:cs="Times New Roman"/>
        </w:rPr>
        <w:t>i</w:t>
      </w:r>
      <w:r w:rsidR="001F6F7A" w:rsidRPr="00976A9A">
        <w:rPr>
          <w:rFonts w:cs="Times New Roman"/>
        </w:rPr>
        <w:t>s</w:t>
      </w:r>
      <w:r w:rsidRPr="00976A9A">
        <w:rPr>
          <w:rFonts w:cs="Times New Roman"/>
        </w:rPr>
        <w:t xml:space="preserve"> the Clinical Practice Research Datalink (CPRD)</w:t>
      </w:r>
      <w:r w:rsidR="00FB6843">
        <w:rPr>
          <w:rFonts w:cs="Times New Roman"/>
        </w:rPr>
        <w:t xml:space="preserve"> GOLD</w:t>
      </w:r>
      <w:r w:rsidR="003B2A73" w:rsidRPr="00976A9A">
        <w:rPr>
          <w:rFonts w:cs="Times New Roman"/>
        </w:rPr>
        <w:t xml:space="preserve">, </w:t>
      </w:r>
      <w:r w:rsidR="00D44C9D" w:rsidRPr="00976A9A">
        <w:rPr>
          <w:rFonts w:cs="Times New Roman"/>
        </w:rPr>
        <w:t>which</w:t>
      </w:r>
      <w:r w:rsidR="003B2A73" w:rsidRPr="00976A9A">
        <w:rPr>
          <w:rFonts w:cs="Times New Roman"/>
        </w:rPr>
        <w:t xml:space="preserve"> hold</w:t>
      </w:r>
      <w:r w:rsidR="00D44C9D" w:rsidRPr="00976A9A">
        <w:rPr>
          <w:rFonts w:cs="Times New Roman"/>
        </w:rPr>
        <w:t>s</w:t>
      </w:r>
      <w:r w:rsidR="00D223E8" w:rsidRPr="00976A9A">
        <w:rPr>
          <w:rFonts w:cs="Times New Roman"/>
        </w:rPr>
        <w:t xml:space="preserve"> </w:t>
      </w:r>
      <w:r w:rsidR="007A4595" w:rsidRPr="00976A9A">
        <w:rPr>
          <w:rFonts w:cs="Times New Roman"/>
          <w:lang w:eastAsia="ja-JP"/>
        </w:rPr>
        <w:t xml:space="preserve">linked individual-level </w:t>
      </w:r>
      <w:r w:rsidRPr="00976A9A">
        <w:rPr>
          <w:rFonts w:cs="Times New Roman"/>
        </w:rPr>
        <w:t>anonymi</w:t>
      </w:r>
      <w:r w:rsidR="003A0F2F" w:rsidRPr="00976A9A">
        <w:rPr>
          <w:rFonts w:cs="Times New Roman"/>
        </w:rPr>
        <w:t>z</w:t>
      </w:r>
      <w:r w:rsidRPr="00976A9A">
        <w:rPr>
          <w:rFonts w:cs="Times New Roman"/>
        </w:rPr>
        <w:t xml:space="preserve">ed primary care </w:t>
      </w:r>
      <w:r w:rsidR="003B2A73" w:rsidRPr="00976A9A">
        <w:rPr>
          <w:rFonts w:cs="Times New Roman"/>
        </w:rPr>
        <w:t xml:space="preserve">records from </w:t>
      </w:r>
      <w:r w:rsidR="00021459" w:rsidRPr="00976A9A">
        <w:rPr>
          <w:rFonts w:cs="Times New Roman"/>
        </w:rPr>
        <w:t xml:space="preserve">participating </w:t>
      </w:r>
      <w:r w:rsidR="003E6FF5" w:rsidRPr="00976A9A">
        <w:rPr>
          <w:rFonts w:cs="Times New Roman"/>
        </w:rPr>
        <w:t>general practices</w:t>
      </w:r>
      <w:r w:rsidR="005F616D" w:rsidRPr="00976A9A">
        <w:rPr>
          <w:rFonts w:cs="Times New Roman"/>
        </w:rPr>
        <w:t xml:space="preserve"> </w:t>
      </w:r>
      <w:r w:rsidR="00586666" w:rsidRPr="00976A9A">
        <w:rPr>
          <w:rFonts w:cs="Times New Roman"/>
          <w:lang w:eastAsia="ja-JP"/>
        </w:rPr>
        <w:t xml:space="preserve">in </w:t>
      </w:r>
      <w:r w:rsidR="00FB6843">
        <w:rPr>
          <w:rFonts w:cs="Times New Roman"/>
          <w:lang w:eastAsia="ja-JP"/>
        </w:rPr>
        <w:t>the UK</w:t>
      </w:r>
      <w:r w:rsidR="00586666" w:rsidRPr="00976A9A">
        <w:rPr>
          <w:rFonts w:cs="Times New Roman"/>
          <w:lang w:eastAsia="ja-JP"/>
        </w:rPr>
        <w:t xml:space="preserve">. </w:t>
      </w:r>
      <w:r w:rsidR="00EE69D9">
        <w:rPr>
          <w:rFonts w:cs="Times New Roman"/>
          <w:lang w:eastAsia="ja-JP"/>
        </w:rPr>
        <w:t>These</w:t>
      </w:r>
      <w:r w:rsidR="003D33B0" w:rsidRPr="00976A9A">
        <w:rPr>
          <w:rFonts w:cs="Times New Roman"/>
          <w:lang w:eastAsia="ja-JP"/>
        </w:rPr>
        <w:t xml:space="preserve"> </w:t>
      </w:r>
      <w:r w:rsidR="007A4595" w:rsidRPr="00976A9A">
        <w:rPr>
          <w:rFonts w:cs="Times New Roman"/>
          <w:lang w:eastAsia="ja-JP"/>
        </w:rPr>
        <w:t xml:space="preserve">data are </w:t>
      </w:r>
      <w:r w:rsidR="003D33B0" w:rsidRPr="00976A9A">
        <w:rPr>
          <w:rFonts w:cs="Times New Roman"/>
          <w:lang w:eastAsia="ja-JP"/>
        </w:rPr>
        <w:t xml:space="preserve">representative of the </w:t>
      </w:r>
      <w:r w:rsidR="0040468B" w:rsidRPr="00976A9A">
        <w:rPr>
          <w:rFonts w:cs="Times New Roman"/>
          <w:lang w:eastAsia="ja-JP"/>
        </w:rPr>
        <w:t xml:space="preserve">English </w:t>
      </w:r>
      <w:r w:rsidR="003D33B0" w:rsidRPr="00976A9A">
        <w:rPr>
          <w:rFonts w:cs="Times New Roman"/>
          <w:lang w:eastAsia="ja-JP"/>
        </w:rPr>
        <w:t xml:space="preserve">population with respect to age and gender, but not region. </w:t>
      </w:r>
      <w:r w:rsidR="00021459" w:rsidRPr="00976A9A">
        <w:rPr>
          <w:rFonts w:cs="Times New Roman"/>
          <w:lang w:eastAsia="ja-JP"/>
        </w:rPr>
        <w:t>For example, t</w:t>
      </w:r>
      <w:r w:rsidR="003D33B0" w:rsidRPr="00976A9A">
        <w:rPr>
          <w:rFonts w:cs="Times New Roman"/>
          <w:lang w:eastAsia="ja-JP"/>
        </w:rPr>
        <w:t>he north</w:t>
      </w:r>
      <w:r w:rsidR="007A4595" w:rsidRPr="00976A9A">
        <w:rPr>
          <w:rFonts w:cs="Times New Roman"/>
          <w:lang w:eastAsia="ja-JP"/>
        </w:rPr>
        <w:t>-</w:t>
      </w:r>
      <w:r w:rsidR="003D33B0" w:rsidRPr="00976A9A">
        <w:rPr>
          <w:rFonts w:cs="Times New Roman"/>
          <w:lang w:eastAsia="ja-JP"/>
        </w:rPr>
        <w:t xml:space="preserve">east of England </w:t>
      </w:r>
      <w:r w:rsidR="003E6FF5" w:rsidRPr="00976A9A">
        <w:rPr>
          <w:rFonts w:cs="Times New Roman"/>
          <w:lang w:eastAsia="ja-JP"/>
        </w:rPr>
        <w:t xml:space="preserve">is </w:t>
      </w:r>
      <w:r w:rsidR="003D33B0" w:rsidRPr="00976A9A">
        <w:rPr>
          <w:rFonts w:cs="Times New Roman"/>
          <w:lang w:eastAsia="ja-JP"/>
        </w:rPr>
        <w:t>under</w:t>
      </w:r>
      <w:r w:rsidR="001374D4" w:rsidRPr="00976A9A">
        <w:rPr>
          <w:rFonts w:cs="Times New Roman"/>
          <w:lang w:eastAsia="ja-JP"/>
        </w:rPr>
        <w:t>-</w:t>
      </w:r>
      <w:r w:rsidR="003D33B0" w:rsidRPr="00976A9A">
        <w:rPr>
          <w:rFonts w:cs="Times New Roman"/>
          <w:lang w:eastAsia="ja-JP"/>
        </w:rPr>
        <w:t>sampled</w:t>
      </w:r>
      <w:r w:rsidR="007A4595" w:rsidRPr="00976A9A">
        <w:rPr>
          <w:rFonts w:cs="Times New Roman"/>
          <w:lang w:eastAsia="ja-JP"/>
        </w:rPr>
        <w:t xml:space="preserve"> relative to </w:t>
      </w:r>
      <w:r w:rsidR="001374D4" w:rsidRPr="00976A9A">
        <w:rPr>
          <w:rFonts w:cs="Times New Roman"/>
          <w:lang w:eastAsia="ja-JP"/>
        </w:rPr>
        <w:t xml:space="preserve">areas in </w:t>
      </w:r>
      <w:r w:rsidR="003D33B0" w:rsidRPr="00976A9A">
        <w:rPr>
          <w:rFonts w:cs="Times New Roman"/>
          <w:lang w:eastAsia="ja-JP"/>
        </w:rPr>
        <w:t>the west and south</w:t>
      </w:r>
      <w:hyperlink w:anchor="_ENREF_25" w:tooltip="Herrett, 2015 #2412" w:history="1">
        <w:r w:rsidR="002025EA" w:rsidRPr="00976A9A">
          <w:rPr>
            <w:rFonts w:cs="Times New Roman"/>
            <w:lang w:eastAsia="ja-JP"/>
          </w:rPr>
          <w:fldChar w:fldCharType="begin"/>
        </w:r>
        <w:r w:rsidR="002025EA">
          <w:rPr>
            <w:rFonts w:cs="Times New Roman"/>
            <w:lang w:eastAsia="ja-JP"/>
          </w:rPr>
          <w:instrText xml:space="preserve"> ADDIN EN.CITE &lt;EndNote&gt;&lt;Cite&gt;&lt;Author&gt;Herrett&lt;/Author&gt;&lt;Year&gt;2015&lt;/Year&gt;&lt;RecNum&gt;2412&lt;/RecNum&gt;&lt;DisplayText&gt;&lt;style face="superscript"&gt;25&lt;/style&gt;&lt;/DisplayText&gt;&lt;record&gt;&lt;rec-number&gt;2412&lt;/rec-number&gt;&lt;foreign-keys&gt;&lt;key app="EN" db-id="fsvar0xvyasaw1ets97x2v9h905eewfvf0zf" timestamp="1533309113"&gt;2412&lt;/key&gt;&lt;/foreign-keys&gt;&lt;ref-type name="Journal Article"&gt;17&lt;/ref-type&gt;&lt;contributors&gt;&lt;authors&gt;&lt;author&gt;Herrett, Emily&lt;/author&gt;&lt;author&gt;Gallagher, Arlene M&lt;/author&gt;&lt;author&gt;Bhaskaran, Krishnan&lt;/author&gt;&lt;author&gt;Forbes, Harriet&lt;/author&gt;&lt;author&gt;Mathur, Rohini&lt;/author&gt;&lt;author&gt;van Staa, Tjeerd&lt;/author&gt;&lt;author&gt;Smeeth, Liam&lt;/author&gt;&lt;/authors&gt;&lt;/contributors&gt;&lt;titles&gt;&lt;title&gt;Data resource profile: clinical practice research datalink (CPRD)&lt;/title&gt;&lt;secondary-title&gt;International journal of epidemiology&lt;/secondary-title&gt;&lt;/titles&gt;&lt;periodical&gt;&lt;full-title&gt;International Journal of Epidemiology&lt;/full-title&gt;&lt;abbr-1&gt;Int J Epidemiol&lt;/abbr-1&gt;&lt;/periodical&gt;&lt;pages&gt;827-836&lt;/pages&gt;&lt;volume&gt;44&lt;/volume&gt;&lt;number&gt;3&lt;/number&gt;&lt;dates&gt;&lt;year&gt;2015&lt;/year&gt;&lt;/dates&gt;&lt;isbn&gt;1464-3685&lt;/isbn&gt;&lt;urls&gt;&lt;/urls&gt;&lt;/record&gt;&lt;/Cite&gt;&lt;/EndNote&gt;</w:instrText>
        </w:r>
        <w:r w:rsidR="002025EA" w:rsidRPr="00976A9A">
          <w:rPr>
            <w:rFonts w:cs="Times New Roman"/>
            <w:lang w:eastAsia="ja-JP"/>
          </w:rPr>
          <w:fldChar w:fldCharType="separate"/>
        </w:r>
        <w:r w:rsidR="002025EA" w:rsidRPr="00A47262">
          <w:rPr>
            <w:rFonts w:cs="Times New Roman"/>
            <w:noProof/>
            <w:vertAlign w:val="superscript"/>
            <w:lang w:eastAsia="ja-JP"/>
          </w:rPr>
          <w:t>25</w:t>
        </w:r>
        <w:r w:rsidR="002025EA" w:rsidRPr="00976A9A">
          <w:rPr>
            <w:rFonts w:cs="Times New Roman"/>
            <w:lang w:eastAsia="ja-JP"/>
          </w:rPr>
          <w:fldChar w:fldCharType="end"/>
        </w:r>
      </w:hyperlink>
      <w:r w:rsidR="003D33B0" w:rsidRPr="00976A9A">
        <w:rPr>
          <w:rFonts w:cs="Times New Roman"/>
          <w:lang w:eastAsia="ja-JP"/>
        </w:rPr>
        <w:t xml:space="preserve">. </w:t>
      </w:r>
      <w:r w:rsidR="001374D4" w:rsidRPr="00976A9A">
        <w:rPr>
          <w:rFonts w:cs="Times New Roman"/>
          <w:lang w:eastAsia="ja-JP"/>
        </w:rPr>
        <w:t xml:space="preserve">The </w:t>
      </w:r>
      <w:r w:rsidR="00E918F8" w:rsidRPr="00976A9A">
        <w:rPr>
          <w:rFonts w:cs="Times New Roman"/>
          <w:lang w:eastAsia="ja-JP"/>
        </w:rPr>
        <w:t xml:space="preserve">CPRD </w:t>
      </w:r>
      <w:r w:rsidR="001374D4" w:rsidRPr="00976A9A">
        <w:rPr>
          <w:rFonts w:cs="Times New Roman"/>
          <w:lang w:eastAsia="ja-JP"/>
        </w:rPr>
        <w:t xml:space="preserve">data service </w:t>
      </w:r>
      <w:r w:rsidR="00E918F8" w:rsidRPr="00976A9A">
        <w:rPr>
          <w:rFonts w:cs="Times New Roman"/>
          <w:lang w:eastAsia="ja-JP"/>
        </w:rPr>
        <w:t>provided information on all patients</w:t>
      </w:r>
      <w:r w:rsidR="00D223E8" w:rsidRPr="00976A9A">
        <w:rPr>
          <w:rFonts w:cs="Times New Roman"/>
          <w:lang w:eastAsia="ja-JP"/>
        </w:rPr>
        <w:t xml:space="preserve"> eligible for linkage and</w:t>
      </w:r>
      <w:r w:rsidR="00E918F8" w:rsidRPr="00976A9A">
        <w:rPr>
          <w:rFonts w:cs="Times New Roman"/>
          <w:lang w:eastAsia="ja-JP"/>
        </w:rPr>
        <w:t xml:space="preserve"> </w:t>
      </w:r>
      <w:r w:rsidR="00807679" w:rsidRPr="00976A9A">
        <w:rPr>
          <w:rFonts w:cs="Times New Roman"/>
          <w:lang w:eastAsia="ja-JP"/>
        </w:rPr>
        <w:t xml:space="preserve">registered </w:t>
      </w:r>
      <w:r w:rsidR="001475FD">
        <w:rPr>
          <w:rFonts w:cs="Times New Roman"/>
          <w:lang w:eastAsia="ja-JP"/>
        </w:rPr>
        <w:t>with</w:t>
      </w:r>
      <w:r w:rsidR="001475FD" w:rsidRPr="00976A9A">
        <w:rPr>
          <w:rFonts w:cs="Times New Roman"/>
          <w:lang w:eastAsia="ja-JP"/>
        </w:rPr>
        <w:t xml:space="preserve"> </w:t>
      </w:r>
      <w:r w:rsidR="00807679" w:rsidRPr="00976A9A">
        <w:rPr>
          <w:rFonts w:cs="Times New Roman"/>
          <w:lang w:eastAsia="ja-JP"/>
        </w:rPr>
        <w:t xml:space="preserve">a </w:t>
      </w:r>
      <w:r w:rsidR="001475FD">
        <w:rPr>
          <w:rFonts w:cs="Times New Roman"/>
          <w:lang w:eastAsia="ja-JP"/>
        </w:rPr>
        <w:t xml:space="preserve">participating </w:t>
      </w:r>
      <w:r w:rsidR="00807679" w:rsidRPr="00976A9A">
        <w:rPr>
          <w:rFonts w:cs="Times New Roman"/>
          <w:lang w:eastAsia="ja-JP"/>
        </w:rPr>
        <w:t>practice in England</w:t>
      </w:r>
      <w:r w:rsidR="001E1917" w:rsidRPr="00976A9A">
        <w:rPr>
          <w:rFonts w:cs="Times New Roman"/>
          <w:lang w:eastAsia="ja-JP"/>
        </w:rPr>
        <w:t>,</w:t>
      </w:r>
      <w:r w:rsidR="00807679" w:rsidRPr="00976A9A">
        <w:rPr>
          <w:rFonts w:cs="Times New Roman"/>
          <w:lang w:eastAsia="ja-JP"/>
        </w:rPr>
        <w:t xml:space="preserve"> </w:t>
      </w:r>
      <w:r w:rsidR="00F73A26">
        <w:rPr>
          <w:rFonts w:cs="Times New Roman"/>
          <w:lang w:eastAsia="ja-JP"/>
        </w:rPr>
        <w:t xml:space="preserve">and </w:t>
      </w:r>
      <w:r w:rsidR="00E918F8" w:rsidRPr="00976A9A">
        <w:rPr>
          <w:rFonts w:cs="Times New Roman"/>
          <w:lang w:eastAsia="ja-JP"/>
        </w:rPr>
        <w:t xml:space="preserve">with </w:t>
      </w:r>
      <w:r w:rsidR="00EE69D9">
        <w:rPr>
          <w:rFonts w:cs="Times New Roman"/>
          <w:lang w:eastAsia="ja-JP"/>
        </w:rPr>
        <w:t>a</w:t>
      </w:r>
      <w:r w:rsidR="00E918F8" w:rsidRPr="00976A9A">
        <w:rPr>
          <w:rFonts w:cs="Times New Roman"/>
          <w:lang w:eastAsia="ja-JP"/>
        </w:rPr>
        <w:t xml:space="preserve"> diagnosis of SMI documented on or before 31</w:t>
      </w:r>
      <w:r w:rsidR="0040468B" w:rsidRPr="00976A9A">
        <w:rPr>
          <w:rFonts w:cs="Times New Roman"/>
          <w:lang w:eastAsia="ja-JP"/>
        </w:rPr>
        <w:t xml:space="preserve"> March </w:t>
      </w:r>
      <w:r w:rsidR="00E918F8" w:rsidRPr="00976A9A">
        <w:rPr>
          <w:rFonts w:cs="Times New Roman"/>
          <w:lang w:eastAsia="ja-JP"/>
        </w:rPr>
        <w:t>2014</w:t>
      </w:r>
      <w:r w:rsidR="002B5B58">
        <w:rPr>
          <w:rFonts w:cs="Times New Roman"/>
          <w:lang w:eastAsia="ja-JP"/>
        </w:rPr>
        <w:t xml:space="preserve"> recorded in clinical notes or referral records</w:t>
      </w:r>
      <w:r w:rsidR="0069713D">
        <w:rPr>
          <w:rFonts w:cs="Times New Roman"/>
          <w:lang w:eastAsia="ja-JP"/>
        </w:rPr>
        <w:t>, using the event date entered by the GP</w:t>
      </w:r>
      <w:r w:rsidR="00E918F8" w:rsidRPr="00976A9A">
        <w:rPr>
          <w:rFonts w:cs="Times New Roman"/>
          <w:lang w:eastAsia="ja-JP"/>
        </w:rPr>
        <w:t xml:space="preserve">. </w:t>
      </w:r>
      <w:r w:rsidR="00C63A89">
        <w:rPr>
          <w:rFonts w:cs="Times New Roman"/>
          <w:lang w:eastAsia="ja-JP"/>
        </w:rPr>
        <w:t xml:space="preserve">The sample was limited to patients whose records </w:t>
      </w:r>
      <w:r w:rsidR="008B2B05">
        <w:rPr>
          <w:rFonts w:cs="Times New Roman"/>
          <w:lang w:eastAsia="ja-JP"/>
        </w:rPr>
        <w:t>met</w:t>
      </w:r>
      <w:r w:rsidR="00C63A89">
        <w:rPr>
          <w:rFonts w:cs="Times New Roman"/>
          <w:lang w:eastAsia="ja-JP"/>
        </w:rPr>
        <w:t xml:space="preserve"> an acceptable standard based on recording of registration</w:t>
      </w:r>
      <w:r w:rsidR="008B2B05">
        <w:rPr>
          <w:rFonts w:cs="Times New Roman"/>
          <w:lang w:eastAsia="ja-JP"/>
        </w:rPr>
        <w:t>, clinical</w:t>
      </w:r>
      <w:r w:rsidR="00C63A89">
        <w:rPr>
          <w:rFonts w:cs="Times New Roman"/>
          <w:lang w:eastAsia="ja-JP"/>
        </w:rPr>
        <w:t xml:space="preserve"> events, </w:t>
      </w:r>
      <w:r w:rsidR="008B2B05">
        <w:rPr>
          <w:rFonts w:cs="Times New Roman"/>
          <w:lang w:eastAsia="ja-JP"/>
        </w:rPr>
        <w:t xml:space="preserve">and </w:t>
      </w:r>
      <w:r w:rsidR="00C63A89">
        <w:rPr>
          <w:rFonts w:cs="Times New Roman"/>
          <w:lang w:eastAsia="ja-JP"/>
        </w:rPr>
        <w:t>demographic details, at practices deemed up to standard</w:t>
      </w:r>
      <w:r w:rsidR="00B06A8E">
        <w:rPr>
          <w:rFonts w:cs="Times New Roman"/>
          <w:lang w:eastAsia="ja-JP"/>
        </w:rPr>
        <w:t xml:space="preserve"> according to a CPRD algorithm</w:t>
      </w:r>
      <w:hyperlink w:anchor="_ENREF_25" w:tooltip="Herrett, 2015 #2412" w:history="1">
        <w:r w:rsidR="002025EA">
          <w:rPr>
            <w:rFonts w:cs="Times New Roman"/>
            <w:lang w:eastAsia="ja-JP"/>
          </w:rPr>
          <w:fldChar w:fldCharType="begin"/>
        </w:r>
        <w:r w:rsidR="002025EA">
          <w:rPr>
            <w:rFonts w:cs="Times New Roman"/>
            <w:lang w:eastAsia="ja-JP"/>
          </w:rPr>
          <w:instrText xml:space="preserve"> ADDIN EN.CITE &lt;EndNote&gt;&lt;Cite&gt;&lt;Author&gt;Herrett&lt;/Author&gt;&lt;Year&gt;2015&lt;/Year&gt;&lt;RecNum&gt;2412&lt;/RecNum&gt;&lt;DisplayText&gt;&lt;style face="superscript"&gt;25&lt;/style&gt;&lt;/DisplayText&gt;&lt;record&gt;&lt;rec-number&gt;2412&lt;/rec-number&gt;&lt;foreign-keys&gt;&lt;key app="EN" db-id="fsvar0xvyasaw1ets97x2v9h905eewfvf0zf" timestamp="1533309113"&gt;2412&lt;/key&gt;&lt;/foreign-keys&gt;&lt;ref-type name="Journal Article"&gt;17&lt;/ref-type&gt;&lt;contributors&gt;&lt;authors&gt;&lt;author&gt;Herrett, Emily&lt;/author&gt;&lt;author&gt;Gallagher, Arlene M&lt;/author&gt;&lt;author&gt;Bhaskaran, Krishnan&lt;/author&gt;&lt;author&gt;Forbes, Harriet&lt;/author&gt;&lt;author&gt;Mathur, Rohini&lt;/author&gt;&lt;author&gt;van Staa, Tjeerd&lt;/author&gt;&lt;author&gt;Smeeth, Liam&lt;/author&gt;&lt;/authors&gt;&lt;/contributors&gt;&lt;titles&gt;&lt;title&gt;Data resource profile: clinical practice research datalink (CPRD)&lt;/title&gt;&lt;secondary-title&gt;International journal of epidemiology&lt;/secondary-title&gt;&lt;/titles&gt;&lt;periodical&gt;&lt;full-title&gt;International Journal of Epidemiology&lt;/full-title&gt;&lt;abbr-1&gt;Int J Epidemiol&lt;/abbr-1&gt;&lt;/periodical&gt;&lt;pages&gt;827-836&lt;/pages&gt;&lt;volume&gt;44&lt;/volume&gt;&lt;number&gt;3&lt;/number&gt;&lt;dates&gt;&lt;year&gt;2015&lt;/year&gt;&lt;/dates&gt;&lt;isbn&gt;1464-3685&lt;/isbn&gt;&lt;urls&gt;&lt;/urls&gt;&lt;/record&gt;&lt;/Cite&gt;&lt;/EndNote&gt;</w:instrText>
        </w:r>
        <w:r w:rsidR="002025EA">
          <w:rPr>
            <w:rFonts w:cs="Times New Roman"/>
            <w:lang w:eastAsia="ja-JP"/>
          </w:rPr>
          <w:fldChar w:fldCharType="separate"/>
        </w:r>
        <w:r w:rsidR="002025EA" w:rsidRPr="002025EA">
          <w:rPr>
            <w:rFonts w:cs="Times New Roman"/>
            <w:noProof/>
            <w:vertAlign w:val="superscript"/>
            <w:lang w:eastAsia="ja-JP"/>
          </w:rPr>
          <w:t>25</w:t>
        </w:r>
        <w:r w:rsidR="002025EA">
          <w:rPr>
            <w:rFonts w:cs="Times New Roman"/>
            <w:lang w:eastAsia="ja-JP"/>
          </w:rPr>
          <w:fldChar w:fldCharType="end"/>
        </w:r>
      </w:hyperlink>
      <w:r w:rsidR="00C63A89">
        <w:rPr>
          <w:rFonts w:cs="Times New Roman"/>
          <w:lang w:eastAsia="ja-JP"/>
        </w:rPr>
        <w:t xml:space="preserve">. </w:t>
      </w:r>
      <w:r w:rsidR="00AC3F19" w:rsidRPr="00976A9A">
        <w:rPr>
          <w:rFonts w:cs="Times New Roman"/>
          <w:lang w:eastAsia="ja-JP"/>
        </w:rPr>
        <w:t xml:space="preserve">Most </w:t>
      </w:r>
      <w:r w:rsidR="003D33B0" w:rsidRPr="00976A9A">
        <w:rPr>
          <w:rFonts w:cs="Times New Roman"/>
          <w:lang w:eastAsia="ja-JP"/>
        </w:rPr>
        <w:t xml:space="preserve">of the </w:t>
      </w:r>
      <w:r w:rsidR="0037143B" w:rsidRPr="00976A9A">
        <w:rPr>
          <w:rFonts w:cs="Times New Roman"/>
          <w:lang w:eastAsia="ja-JP"/>
        </w:rPr>
        <w:t xml:space="preserve">primary care </w:t>
      </w:r>
      <w:r w:rsidR="0003448F" w:rsidRPr="00976A9A">
        <w:rPr>
          <w:rFonts w:cs="Times New Roman"/>
          <w:lang w:eastAsia="ja-JP"/>
        </w:rPr>
        <w:t xml:space="preserve">information </w:t>
      </w:r>
      <w:r w:rsidR="003D33B0" w:rsidRPr="00976A9A">
        <w:rPr>
          <w:rFonts w:cs="Times New Roman"/>
          <w:lang w:eastAsia="ja-JP"/>
        </w:rPr>
        <w:t xml:space="preserve">is recorded using </w:t>
      </w:r>
      <w:r w:rsidR="00AC3F19" w:rsidRPr="00976A9A">
        <w:rPr>
          <w:rFonts w:cs="Times New Roman"/>
          <w:lang w:eastAsia="ja-JP"/>
        </w:rPr>
        <w:t xml:space="preserve">a </w:t>
      </w:r>
      <w:r w:rsidR="00E8273B">
        <w:rPr>
          <w:rFonts w:cs="Times New Roman"/>
          <w:lang w:eastAsia="ja-JP"/>
        </w:rPr>
        <w:t xml:space="preserve">hierarchical </w:t>
      </w:r>
      <w:r w:rsidR="0003448F" w:rsidRPr="00976A9A">
        <w:rPr>
          <w:rFonts w:cs="Times New Roman"/>
          <w:lang w:eastAsia="ja-JP"/>
        </w:rPr>
        <w:t xml:space="preserve">coding system known as </w:t>
      </w:r>
      <w:r w:rsidR="00DA566D" w:rsidRPr="00976A9A">
        <w:rPr>
          <w:rFonts w:cs="Times New Roman"/>
          <w:lang w:eastAsia="ja-JP"/>
        </w:rPr>
        <w:t>‘</w:t>
      </w:r>
      <w:r w:rsidR="003D33B0" w:rsidRPr="00976A9A">
        <w:rPr>
          <w:rFonts w:cs="Times New Roman"/>
          <w:lang w:eastAsia="ja-JP"/>
        </w:rPr>
        <w:t>Read codes</w:t>
      </w:r>
      <w:r w:rsidR="00DA566D" w:rsidRPr="00976A9A">
        <w:rPr>
          <w:rFonts w:cs="Times New Roman"/>
          <w:lang w:eastAsia="ja-JP"/>
        </w:rPr>
        <w:t>’</w:t>
      </w:r>
      <w:hyperlink w:anchor="_ENREF_26" w:tooltip="Booth, 1994 #74" w:history="1">
        <w:r w:rsidR="002025EA" w:rsidRPr="00976A9A">
          <w:rPr>
            <w:rFonts w:cs="Times New Roman"/>
            <w:lang w:eastAsia="ja-JP"/>
          </w:rPr>
          <w:fldChar w:fldCharType="begin"/>
        </w:r>
        <w:r w:rsidR="002025EA">
          <w:rPr>
            <w:rFonts w:cs="Times New Roman"/>
            <w:lang w:eastAsia="ja-JP"/>
          </w:rPr>
          <w:instrText xml:space="preserve"> ADDIN EN.CITE &lt;EndNote&gt;&lt;Cite&gt;&lt;Author&gt;Booth&lt;/Author&gt;&lt;Year&gt;1994&lt;/Year&gt;&lt;RecNum&gt;74&lt;/RecNum&gt;&lt;DisplayText&gt;&lt;style face="superscript"&gt;26&lt;/style&gt;&lt;/DisplayText&gt;&lt;record&gt;&lt;rec-number&gt;74&lt;/rec-number&gt;&lt;foreign-keys&gt;&lt;key app="EN" db-id="0aaxrwtz35eps2efxtzpva5he0xztfsrzr02" timestamp="1497268426"&gt;74&lt;/key&gt;&lt;/foreign-keys&gt;&lt;ref-type name="Journal Article"&gt;17&lt;/ref-type&gt;&lt;contributors&gt;&lt;authors&gt;&lt;author&gt;Booth, Nick&lt;/author&gt;&lt;/authors&gt;&lt;/contributors&gt;&lt;titles&gt;&lt;title&gt;What are the Read codes?&lt;/title&gt;&lt;secondary-title&gt;Health Libraries Review&lt;/secondary-title&gt;&lt;/titles&gt;&lt;periodical&gt;&lt;full-title&gt;Health libraries review&lt;/full-title&gt;&lt;/periodical&gt;&lt;pages&gt;177-182&lt;/pages&gt;&lt;volume&gt;11&lt;/volume&gt;&lt;number&gt;3&lt;/number&gt;&lt;dates&gt;&lt;year&gt;1994&lt;/year&gt;&lt;/dates&gt;&lt;isbn&gt;0265-6647&lt;/isbn&gt;&lt;urls&gt;&lt;/urls&gt;&lt;/record&gt;&lt;/Cite&gt;&lt;/EndNote&gt;</w:instrText>
        </w:r>
        <w:r w:rsidR="002025EA" w:rsidRPr="00976A9A">
          <w:rPr>
            <w:rFonts w:cs="Times New Roman"/>
            <w:lang w:eastAsia="ja-JP"/>
          </w:rPr>
          <w:fldChar w:fldCharType="separate"/>
        </w:r>
        <w:r w:rsidR="002025EA" w:rsidRPr="00A47262">
          <w:rPr>
            <w:rFonts w:cs="Times New Roman"/>
            <w:noProof/>
            <w:vertAlign w:val="superscript"/>
            <w:lang w:eastAsia="ja-JP"/>
          </w:rPr>
          <w:t>26</w:t>
        </w:r>
        <w:r w:rsidR="002025EA" w:rsidRPr="00976A9A">
          <w:rPr>
            <w:rFonts w:cs="Times New Roman"/>
            <w:lang w:eastAsia="ja-JP"/>
          </w:rPr>
          <w:fldChar w:fldCharType="end"/>
        </w:r>
      </w:hyperlink>
      <w:r w:rsidR="00AC3F19" w:rsidRPr="00976A9A">
        <w:rPr>
          <w:rFonts w:cs="Times New Roman"/>
          <w:lang w:eastAsia="ja-JP"/>
        </w:rPr>
        <w:t>, which w</w:t>
      </w:r>
      <w:r w:rsidR="00E918F8" w:rsidRPr="00976A9A">
        <w:rPr>
          <w:rFonts w:cs="Times New Roman"/>
          <w:lang w:eastAsia="ja-JP"/>
        </w:rPr>
        <w:t xml:space="preserve">e use to identify </w:t>
      </w:r>
      <w:r w:rsidR="0037143B" w:rsidRPr="00976A9A">
        <w:rPr>
          <w:rFonts w:cs="Times New Roman"/>
          <w:lang w:eastAsia="ja-JP"/>
        </w:rPr>
        <w:t xml:space="preserve">records of </w:t>
      </w:r>
      <w:r w:rsidR="002B5B58">
        <w:rPr>
          <w:rFonts w:cs="Times New Roman"/>
          <w:lang w:eastAsia="ja-JP"/>
        </w:rPr>
        <w:t xml:space="preserve">SMI diagnosis, </w:t>
      </w:r>
      <w:r w:rsidR="001213C7">
        <w:rPr>
          <w:rFonts w:cs="Times New Roman"/>
          <w:lang w:eastAsia="ja-JP"/>
        </w:rPr>
        <w:t xml:space="preserve">care quality </w:t>
      </w:r>
      <w:r w:rsidR="00F0015F" w:rsidRPr="00976A9A">
        <w:rPr>
          <w:rFonts w:cs="Times New Roman"/>
          <w:lang w:eastAsia="ja-JP"/>
        </w:rPr>
        <w:t>indicators</w:t>
      </w:r>
      <w:r w:rsidR="00E918F8" w:rsidRPr="00976A9A">
        <w:rPr>
          <w:rFonts w:cs="Times New Roman"/>
          <w:lang w:eastAsia="ja-JP"/>
        </w:rPr>
        <w:t xml:space="preserve">, </w:t>
      </w:r>
      <w:r w:rsidR="00971864">
        <w:rPr>
          <w:rFonts w:cs="Times New Roman"/>
          <w:lang w:eastAsia="ja-JP"/>
        </w:rPr>
        <w:t xml:space="preserve">and </w:t>
      </w:r>
      <w:r w:rsidR="00E918F8" w:rsidRPr="00976A9A">
        <w:rPr>
          <w:rFonts w:cs="Times New Roman"/>
          <w:lang w:eastAsia="ja-JP"/>
        </w:rPr>
        <w:t>morbidity profile</w:t>
      </w:r>
      <w:r w:rsidR="008D00DF" w:rsidRPr="00976A9A">
        <w:rPr>
          <w:rFonts w:cs="Times New Roman"/>
          <w:lang w:eastAsia="ja-JP"/>
        </w:rPr>
        <w:t>s</w:t>
      </w:r>
      <w:r w:rsidR="00971864">
        <w:rPr>
          <w:rFonts w:cs="Times New Roman"/>
          <w:lang w:eastAsia="ja-JP"/>
        </w:rPr>
        <w:t>.</w:t>
      </w:r>
      <w:r w:rsidR="005F06BD">
        <w:rPr>
          <w:rFonts w:cs="Times New Roman"/>
        </w:rPr>
        <w:t xml:space="preserve"> </w:t>
      </w:r>
      <w:r w:rsidR="00E116D0">
        <w:rPr>
          <w:rFonts w:cs="Times New Roman"/>
          <w:lang w:eastAsia="ja-JP"/>
        </w:rPr>
        <w:t>CPRD records were linked to</w:t>
      </w:r>
      <w:r w:rsidR="002A3351" w:rsidRPr="00976A9A">
        <w:rPr>
          <w:rFonts w:cs="Times New Roman"/>
          <w:lang w:eastAsia="ja-JP"/>
        </w:rPr>
        <w:t xml:space="preserve"> Ho</w:t>
      </w:r>
      <w:r w:rsidR="00C43434" w:rsidRPr="00976A9A">
        <w:rPr>
          <w:rFonts w:cs="Times New Roman"/>
          <w:lang w:eastAsia="ja-JP"/>
        </w:rPr>
        <w:t>spital Episode Statistics (HES)</w:t>
      </w:r>
      <w:r w:rsidR="00E116D0">
        <w:rPr>
          <w:rFonts w:cs="Times New Roman"/>
          <w:lang w:eastAsia="ja-JP"/>
        </w:rPr>
        <w:t>, which</w:t>
      </w:r>
      <w:r w:rsidR="00AE137F" w:rsidRPr="00976A9A">
        <w:rPr>
          <w:rFonts w:cs="Times New Roman"/>
          <w:lang w:eastAsia="ja-JP"/>
        </w:rPr>
        <w:t xml:space="preserve"> </w:t>
      </w:r>
      <w:r w:rsidR="002A3351" w:rsidRPr="00976A9A">
        <w:rPr>
          <w:rFonts w:cs="Times New Roman"/>
          <w:lang w:eastAsia="ja-JP"/>
        </w:rPr>
        <w:t xml:space="preserve">comprise detailed records for all NHS patients admitted to hospital </w:t>
      </w:r>
      <w:r w:rsidR="00F73A26">
        <w:rPr>
          <w:rFonts w:cs="Times New Roman"/>
          <w:lang w:eastAsia="ja-JP"/>
        </w:rPr>
        <w:t xml:space="preserve">and presentations to A&amp;E </w:t>
      </w:r>
      <w:r w:rsidR="002A3351" w:rsidRPr="00976A9A">
        <w:rPr>
          <w:rFonts w:cs="Times New Roman"/>
          <w:lang w:eastAsia="ja-JP"/>
        </w:rPr>
        <w:t xml:space="preserve">in England. </w:t>
      </w:r>
      <w:r w:rsidR="00771E86" w:rsidRPr="00976A9A">
        <w:rPr>
          <w:rFonts w:cs="Times New Roman"/>
          <w:lang w:eastAsia="ja-JP"/>
        </w:rPr>
        <w:t>CPRD</w:t>
      </w:r>
      <w:r w:rsidR="00ED70D0" w:rsidRPr="00976A9A">
        <w:rPr>
          <w:rFonts w:cs="Times New Roman"/>
          <w:lang w:eastAsia="ja-JP"/>
        </w:rPr>
        <w:t xml:space="preserve"> pro</w:t>
      </w:r>
      <w:r w:rsidR="00AD5D0E" w:rsidRPr="00976A9A">
        <w:rPr>
          <w:rFonts w:cs="Times New Roman"/>
          <w:lang w:eastAsia="ja-JP"/>
        </w:rPr>
        <w:t xml:space="preserve">vided </w:t>
      </w:r>
      <w:r w:rsidR="00E7266F">
        <w:rPr>
          <w:rFonts w:cs="Times New Roman"/>
          <w:lang w:eastAsia="ja-JP"/>
        </w:rPr>
        <w:t xml:space="preserve">deterministically </w:t>
      </w:r>
      <w:r w:rsidR="00AD5D0E" w:rsidRPr="00976A9A">
        <w:rPr>
          <w:rFonts w:cs="Times New Roman"/>
          <w:lang w:eastAsia="ja-JP"/>
        </w:rPr>
        <w:t>link</w:t>
      </w:r>
      <w:r w:rsidR="00771E86" w:rsidRPr="00976A9A">
        <w:rPr>
          <w:rFonts w:cs="Times New Roman"/>
          <w:lang w:eastAsia="ja-JP"/>
        </w:rPr>
        <w:t>ed</w:t>
      </w:r>
      <w:r w:rsidR="00AD5D0E" w:rsidRPr="00976A9A">
        <w:rPr>
          <w:rFonts w:cs="Times New Roman"/>
          <w:lang w:eastAsia="ja-JP"/>
        </w:rPr>
        <w:t xml:space="preserve"> </w:t>
      </w:r>
      <w:r w:rsidR="00EE69D9">
        <w:rPr>
          <w:rFonts w:cs="Times New Roman"/>
          <w:lang w:eastAsia="ja-JP"/>
        </w:rPr>
        <w:t>admission</w:t>
      </w:r>
      <w:r w:rsidR="001213C7" w:rsidRPr="00976A9A">
        <w:rPr>
          <w:rFonts w:cs="Times New Roman"/>
          <w:lang w:eastAsia="ja-JP"/>
        </w:rPr>
        <w:t xml:space="preserve"> </w:t>
      </w:r>
      <w:r w:rsidR="00534CB1">
        <w:rPr>
          <w:rFonts w:cs="Times New Roman"/>
          <w:lang w:eastAsia="ja-JP"/>
        </w:rPr>
        <w:t xml:space="preserve">and </w:t>
      </w:r>
      <w:r w:rsidR="001213C7">
        <w:rPr>
          <w:rFonts w:cs="Times New Roman"/>
          <w:lang w:eastAsia="ja-JP"/>
        </w:rPr>
        <w:t xml:space="preserve">A&amp;E </w:t>
      </w:r>
      <w:r w:rsidR="00AD5D0E" w:rsidRPr="00976A9A">
        <w:rPr>
          <w:rFonts w:cs="Times New Roman"/>
          <w:lang w:eastAsia="ja-JP"/>
        </w:rPr>
        <w:t>data f</w:t>
      </w:r>
      <w:r w:rsidR="00220BBE" w:rsidRPr="00976A9A">
        <w:rPr>
          <w:rFonts w:cs="Times New Roman"/>
          <w:lang w:eastAsia="ja-JP"/>
        </w:rPr>
        <w:t>or all patients included in the</w:t>
      </w:r>
      <w:r w:rsidR="00534CB1">
        <w:rPr>
          <w:rFonts w:cs="Times New Roman"/>
          <w:lang w:eastAsia="ja-JP"/>
        </w:rPr>
        <w:t xml:space="preserve"> </w:t>
      </w:r>
      <w:r w:rsidR="00534CB1">
        <w:rPr>
          <w:rFonts w:cs="Times New Roman"/>
          <w:lang w:eastAsia="ja-JP"/>
        </w:rPr>
        <w:lastRenderedPageBreak/>
        <w:t xml:space="preserve">study. </w:t>
      </w:r>
      <w:r w:rsidR="005F06BD" w:rsidRPr="00976A9A">
        <w:rPr>
          <w:rFonts w:cs="Times New Roman"/>
        </w:rPr>
        <w:t>To preserve anonymity, all linkages were carried out under the CPRD routine linkage scheme.</w:t>
      </w:r>
      <w:r w:rsidR="005F06BD">
        <w:rPr>
          <w:rFonts w:cs="Times New Roman"/>
        </w:rPr>
        <w:t xml:space="preserve"> </w:t>
      </w:r>
    </w:p>
    <w:p w14:paraId="782F72DC" w14:textId="23712738" w:rsidR="00E116D0" w:rsidRDefault="00E116D0">
      <w:pPr>
        <w:spacing w:after="0" w:line="480" w:lineRule="auto"/>
        <w:rPr>
          <w:rFonts w:cs="Times New Roman"/>
        </w:rPr>
      </w:pPr>
    </w:p>
    <w:p w14:paraId="27CECC14" w14:textId="77777777" w:rsidR="00E116D0" w:rsidRPr="00976A9A" w:rsidRDefault="00E116D0" w:rsidP="00E116D0">
      <w:pPr>
        <w:pStyle w:val="Heading2"/>
      </w:pPr>
      <w:r>
        <w:t>Inclusion and exclusion criteria</w:t>
      </w:r>
    </w:p>
    <w:p w14:paraId="46FA65F6" w14:textId="31749402" w:rsidR="00E116D0" w:rsidRDefault="00E116D0" w:rsidP="00285BA0">
      <w:pPr>
        <w:spacing w:after="0" w:line="480" w:lineRule="auto"/>
        <w:jc w:val="both"/>
        <w:rPr>
          <w:rFonts w:cs="Times New Roman"/>
        </w:rPr>
      </w:pPr>
      <w:r w:rsidRPr="00976A9A">
        <w:rPr>
          <w:rFonts w:cs="Times New Roman"/>
          <w:lang w:eastAsia="ja-JP"/>
        </w:rPr>
        <w:t xml:space="preserve">Our sample covers eight financial years, from 1 April 2006 to 31 March 2014. The </w:t>
      </w:r>
      <w:r>
        <w:rPr>
          <w:rFonts w:cs="Times New Roman"/>
          <w:lang w:eastAsia="ja-JP"/>
        </w:rPr>
        <w:t>care plan</w:t>
      </w:r>
      <w:r w:rsidRPr="00976A9A">
        <w:rPr>
          <w:rFonts w:cs="Times New Roman"/>
          <w:lang w:eastAsia="ja-JP"/>
        </w:rPr>
        <w:t xml:space="preserve"> indicator was introduced in 2006/07 and </w:t>
      </w:r>
      <w:r w:rsidR="00102BBE">
        <w:rPr>
          <w:rFonts w:cs="Times New Roman"/>
          <w:lang w:eastAsia="ja-JP"/>
        </w:rPr>
        <w:t>the</w:t>
      </w:r>
      <w:r w:rsidRPr="00976A9A">
        <w:rPr>
          <w:rFonts w:cs="Times New Roman"/>
          <w:lang w:eastAsia="ja-JP"/>
        </w:rPr>
        <w:t xml:space="preserve"> last year of HES data</w:t>
      </w:r>
      <w:r w:rsidR="00102BBE">
        <w:rPr>
          <w:rFonts w:cs="Times New Roman"/>
          <w:lang w:eastAsia="ja-JP"/>
        </w:rPr>
        <w:t xml:space="preserve"> available to us at the start of the study</w:t>
      </w:r>
      <w:r w:rsidRPr="00976A9A">
        <w:rPr>
          <w:rFonts w:cs="Times New Roman"/>
          <w:lang w:eastAsia="ja-JP"/>
        </w:rPr>
        <w:t xml:space="preserve"> </w:t>
      </w:r>
      <w:r w:rsidR="00102BBE">
        <w:rPr>
          <w:rFonts w:cs="Times New Roman"/>
          <w:lang w:eastAsia="ja-JP"/>
        </w:rPr>
        <w:t>was</w:t>
      </w:r>
      <w:r w:rsidRPr="00976A9A">
        <w:rPr>
          <w:rFonts w:cs="Times New Roman"/>
          <w:lang w:eastAsia="ja-JP"/>
        </w:rPr>
        <w:t xml:space="preserve"> 2013/14</w:t>
      </w:r>
      <w:r>
        <w:rPr>
          <w:rFonts w:cs="Times New Roman"/>
          <w:lang w:eastAsia="ja-JP"/>
        </w:rPr>
        <w:t xml:space="preserve">. </w:t>
      </w:r>
      <w:r w:rsidRPr="00976A9A">
        <w:rPr>
          <w:rFonts w:cs="Times New Roman"/>
          <w:lang w:eastAsia="ja-JP"/>
        </w:rPr>
        <w:t xml:space="preserve">The sample comprises </w:t>
      </w:r>
      <w:r>
        <w:rPr>
          <w:rFonts w:cs="Times New Roman"/>
          <w:lang w:eastAsia="ja-JP"/>
        </w:rPr>
        <w:t>patients aged 18 years and over, whose earliest</w:t>
      </w:r>
      <w:r w:rsidRPr="00976A9A">
        <w:rPr>
          <w:rFonts w:cs="Times New Roman"/>
          <w:lang w:eastAsia="ja-JP"/>
        </w:rPr>
        <w:t xml:space="preserve"> </w:t>
      </w:r>
      <w:r>
        <w:rPr>
          <w:rFonts w:cs="Times New Roman"/>
          <w:lang w:eastAsia="ja-JP"/>
        </w:rPr>
        <w:t xml:space="preserve">recorded diagnosis </w:t>
      </w:r>
      <w:r w:rsidRPr="00976A9A">
        <w:rPr>
          <w:rFonts w:cs="Times New Roman"/>
          <w:lang w:eastAsia="ja-JP"/>
        </w:rPr>
        <w:t xml:space="preserve">of SMI </w:t>
      </w:r>
      <w:r>
        <w:rPr>
          <w:rFonts w:cs="Times New Roman"/>
          <w:lang w:eastAsia="ja-JP"/>
        </w:rPr>
        <w:t xml:space="preserve">in primary care was </w:t>
      </w:r>
      <w:r w:rsidRPr="00976A9A">
        <w:rPr>
          <w:rFonts w:cs="Times New Roman"/>
          <w:lang w:eastAsia="ja-JP"/>
        </w:rPr>
        <w:t xml:space="preserve">after 31 March 2006, </w:t>
      </w:r>
      <w:r>
        <w:rPr>
          <w:rFonts w:cs="Times New Roman"/>
          <w:lang w:eastAsia="ja-JP"/>
        </w:rPr>
        <w:t>and who were registered with the same</w:t>
      </w:r>
      <w:r w:rsidRPr="00976A9A">
        <w:rPr>
          <w:rFonts w:cs="Times New Roman"/>
          <w:lang w:eastAsia="ja-JP"/>
        </w:rPr>
        <w:t xml:space="preserve"> practice for at least 365 days before </w:t>
      </w:r>
      <w:r>
        <w:rPr>
          <w:rFonts w:cs="Times New Roman"/>
          <w:lang w:eastAsia="ja-JP"/>
        </w:rPr>
        <w:t>that</w:t>
      </w:r>
      <w:r w:rsidRPr="00976A9A">
        <w:rPr>
          <w:rFonts w:cs="Times New Roman"/>
          <w:lang w:eastAsia="ja-JP"/>
        </w:rPr>
        <w:t xml:space="preserve"> diagnosis. </w:t>
      </w:r>
      <w:r>
        <w:rPr>
          <w:rFonts w:cs="Times New Roman"/>
          <w:lang w:eastAsia="ja-JP"/>
        </w:rPr>
        <w:t>A&amp;E data are only available from 2007/08, so the analysis of A&amp;E presentations is limited to patients with a first diagnosis after 31 March 2007</w:t>
      </w:r>
      <w:r w:rsidRPr="00976A9A">
        <w:rPr>
          <w:rFonts w:cs="Times New Roman"/>
          <w:lang w:eastAsia="ja-JP"/>
        </w:rPr>
        <w:t xml:space="preserve">. The restriction to newly diagnosed patients excludes those whose unobserved past care or events could influence their </w:t>
      </w:r>
      <w:r>
        <w:rPr>
          <w:rFonts w:cs="Times New Roman"/>
          <w:lang w:eastAsia="ja-JP"/>
        </w:rPr>
        <w:t xml:space="preserve">subsequent </w:t>
      </w:r>
      <w:r w:rsidRPr="00976A9A">
        <w:rPr>
          <w:rFonts w:cs="Times New Roman"/>
          <w:lang w:eastAsia="ja-JP"/>
        </w:rPr>
        <w:t xml:space="preserve">care. </w:t>
      </w:r>
      <w:hyperlink w:anchor="_ENREF_30" w:tooltip="Chang, 2015 #73" w:history="1"/>
      <w:r w:rsidRPr="0075015E">
        <w:rPr>
          <w:rFonts w:cs="Times New Roman"/>
          <w:lang w:eastAsia="ja-JP"/>
        </w:rPr>
        <w:t xml:space="preserve"> </w:t>
      </w:r>
    </w:p>
    <w:p w14:paraId="15C93CB5" w14:textId="77777777" w:rsidR="005F06BD" w:rsidRDefault="005F06BD" w:rsidP="003D33B0">
      <w:pPr>
        <w:spacing w:after="0" w:line="480" w:lineRule="auto"/>
        <w:jc w:val="both"/>
        <w:rPr>
          <w:rFonts w:cs="Times New Roman"/>
        </w:rPr>
      </w:pPr>
    </w:p>
    <w:p w14:paraId="7DA58A96" w14:textId="77777777" w:rsidR="005F06BD" w:rsidRDefault="005F06BD" w:rsidP="00F1780E">
      <w:pPr>
        <w:pStyle w:val="Heading2"/>
      </w:pPr>
      <w:r>
        <w:t>Outcomes</w:t>
      </w:r>
    </w:p>
    <w:p w14:paraId="4A7ADBBD" w14:textId="045DCE58" w:rsidR="002A3351" w:rsidRPr="00976A9A" w:rsidRDefault="00102BBE" w:rsidP="003D33B0">
      <w:pPr>
        <w:spacing w:after="0" w:line="480" w:lineRule="auto"/>
        <w:jc w:val="both"/>
        <w:rPr>
          <w:rFonts w:cs="Times New Roman"/>
          <w:lang w:eastAsia="ja-JP"/>
        </w:rPr>
      </w:pPr>
      <w:r>
        <w:rPr>
          <w:rFonts w:cs="Times New Roman"/>
        </w:rPr>
        <w:t xml:space="preserve">We analyse three outcomes taken from HES data: time to i) </w:t>
      </w:r>
      <w:r>
        <w:rPr>
          <w:rFonts w:cs="Times New Roman"/>
          <w:szCs w:val="24"/>
        </w:rPr>
        <w:t>presentations to Accident and Emergency departments (A&amp;E)</w:t>
      </w:r>
      <w:r w:rsidRPr="00976A9A">
        <w:rPr>
          <w:rFonts w:cs="Times New Roman"/>
          <w:szCs w:val="24"/>
        </w:rPr>
        <w:t xml:space="preserve">, </w:t>
      </w:r>
      <w:r>
        <w:rPr>
          <w:rFonts w:cs="Times New Roman"/>
          <w:szCs w:val="24"/>
        </w:rPr>
        <w:t xml:space="preserve">ii) </w:t>
      </w:r>
      <w:r w:rsidRPr="00976A9A">
        <w:rPr>
          <w:rFonts w:cs="Times New Roman"/>
          <w:szCs w:val="24"/>
        </w:rPr>
        <w:t xml:space="preserve">unplanned hospital admission for SMI, </w:t>
      </w:r>
      <w:r>
        <w:rPr>
          <w:rFonts w:cs="Times New Roman"/>
          <w:szCs w:val="24"/>
        </w:rPr>
        <w:t>and iii) unplanned admissions for</w:t>
      </w:r>
      <w:r w:rsidRPr="00976A9A">
        <w:rPr>
          <w:rFonts w:cs="Times New Roman"/>
          <w:szCs w:val="24"/>
        </w:rPr>
        <w:t xml:space="preserve"> ambulatory care sensitive conditions (ACSCs)</w:t>
      </w:r>
      <w:r>
        <w:rPr>
          <w:rFonts w:cs="Times New Roman"/>
          <w:szCs w:val="24"/>
        </w:rPr>
        <w:t xml:space="preserve">. </w:t>
      </w:r>
      <w:r w:rsidR="005B5315" w:rsidRPr="00976A9A">
        <w:rPr>
          <w:rFonts w:cs="Times New Roman"/>
        </w:rPr>
        <w:t>Unplanned admissions</w:t>
      </w:r>
      <w:r w:rsidR="005F06BD">
        <w:rPr>
          <w:rFonts w:cs="Times New Roman"/>
        </w:rPr>
        <w:t>, based on the HES admission method codes for emergency admissions</w:t>
      </w:r>
      <w:r w:rsidR="00CB5EF6">
        <w:rPr>
          <w:rFonts w:cs="Times New Roman"/>
        </w:rPr>
        <w:t>,</w:t>
      </w:r>
      <w:r w:rsidR="00CB5EF6" w:rsidRPr="00976A9A">
        <w:rPr>
          <w:rFonts w:cs="Times New Roman"/>
        </w:rPr>
        <w:t xml:space="preserve"> were</w:t>
      </w:r>
      <w:r w:rsidR="00951C48" w:rsidRPr="00976A9A">
        <w:rPr>
          <w:rFonts w:cs="Times New Roman"/>
        </w:rPr>
        <w:t xml:space="preserve"> </w:t>
      </w:r>
      <w:r w:rsidR="005B5315" w:rsidRPr="00976A9A">
        <w:rPr>
          <w:rFonts w:cs="Times New Roman"/>
        </w:rPr>
        <w:t xml:space="preserve">classified </w:t>
      </w:r>
      <w:r w:rsidR="00B1250E" w:rsidRPr="00976A9A">
        <w:rPr>
          <w:rFonts w:cs="Times New Roman"/>
        </w:rPr>
        <w:t>by</w:t>
      </w:r>
      <w:r w:rsidR="008479DB" w:rsidRPr="00976A9A">
        <w:rPr>
          <w:rFonts w:cs="Times New Roman"/>
        </w:rPr>
        <w:t xml:space="preserve"> </w:t>
      </w:r>
      <w:r w:rsidR="00B1250E" w:rsidRPr="00976A9A">
        <w:rPr>
          <w:rFonts w:cs="Times New Roman"/>
        </w:rPr>
        <w:t xml:space="preserve">International Classification of Diseases (ICD-10) </w:t>
      </w:r>
      <w:r w:rsidR="008479DB" w:rsidRPr="00976A9A">
        <w:rPr>
          <w:rFonts w:cs="Times New Roman"/>
        </w:rPr>
        <w:t>codes</w:t>
      </w:r>
      <w:r w:rsidR="005F06BD">
        <w:rPr>
          <w:rFonts w:cs="Times New Roman"/>
        </w:rPr>
        <w:t>. For SMI admissions this included admissions with primary diagnosis field code</w:t>
      </w:r>
      <w:r w:rsidR="008479DB" w:rsidRPr="00976A9A">
        <w:rPr>
          <w:rFonts w:cs="Times New Roman"/>
        </w:rPr>
        <w:t xml:space="preserve"> </w:t>
      </w:r>
      <w:r w:rsidR="00B1250E" w:rsidRPr="00976A9A">
        <w:rPr>
          <w:rFonts w:cs="Times New Roman"/>
        </w:rPr>
        <w:t>categories</w:t>
      </w:r>
      <w:r w:rsidR="008479DB" w:rsidRPr="00976A9A">
        <w:rPr>
          <w:rFonts w:cs="Times New Roman"/>
        </w:rPr>
        <w:t xml:space="preserve"> </w:t>
      </w:r>
      <w:r w:rsidR="00B1250E" w:rsidRPr="00976A9A">
        <w:rPr>
          <w:rFonts w:cs="Times New Roman"/>
        </w:rPr>
        <w:t>F20-F31</w:t>
      </w:r>
      <w:hyperlink w:anchor="_ENREF_27" w:tooltip="World Health Organization, 1992 #22" w:history="1">
        <w:r w:rsidR="002025EA" w:rsidRPr="00976A9A">
          <w:rPr>
            <w:rFonts w:cs="Times New Roman"/>
          </w:rPr>
          <w:fldChar w:fldCharType="begin"/>
        </w:r>
        <w:r w:rsidR="002025EA">
          <w:rPr>
            <w:rFonts w:cs="Times New Roman"/>
          </w:rPr>
          <w:instrText xml:space="preserve"> ADDIN EN.CITE &lt;EndNote&gt;&lt;Cite&gt;&lt;Author&gt;World Health Organization&lt;/Author&gt;&lt;Year&gt;1992&lt;/Year&gt;&lt;RecNum&gt;22&lt;/RecNum&gt;&lt;DisplayText&gt;&lt;style face="superscript"&gt;27&lt;/style&gt;&lt;/DisplayText&gt;&lt;record&gt;&lt;rec-number&gt;22&lt;/rec-number&gt;&lt;foreign-keys&gt;&lt;key app="EN" db-id="prvazdte25xwfaex2945vtt2xvrv2fevv9er" timestamp="1499022185"&gt;22&lt;/key&gt;&lt;/foreign-keys&gt;&lt;ref-type name="Edited Book"&gt;28&lt;/ref-type&gt;&lt;contributors&gt;&lt;authors&gt;&lt;author&gt;World Health Organization,&lt;/author&gt;&lt;/authors&gt;&lt;/contributors&gt;&lt;titles&gt;&lt;title&gt;The Tenth Revision of the International Classification of Diseases and Related Health Problems (ICD-10)&lt;/title&gt;&lt;/titles&gt;&lt;dates&gt;&lt;year&gt;1992&lt;/year&gt;&lt;/dates&gt;&lt;pub-location&gt;Geneva&lt;/pub-location&gt;&lt;publisher&gt;World Health Organisation&lt;/publisher&gt;&lt;urls&gt;&lt;/urls&gt;&lt;custom4&gt;(by hand)&lt;/custom4&gt;&lt;research-notes&gt;RJ ref&lt;/research-notes&gt;&lt;/record&gt;&lt;/Cite&gt;&lt;/EndNote&gt;</w:instrText>
        </w:r>
        <w:r w:rsidR="002025EA" w:rsidRPr="00976A9A">
          <w:rPr>
            <w:rFonts w:cs="Times New Roman"/>
          </w:rPr>
          <w:fldChar w:fldCharType="separate"/>
        </w:r>
        <w:r w:rsidR="002025EA" w:rsidRPr="00A47262">
          <w:rPr>
            <w:rFonts w:cs="Times New Roman"/>
            <w:noProof/>
            <w:vertAlign w:val="superscript"/>
          </w:rPr>
          <w:t>27</w:t>
        </w:r>
        <w:r w:rsidR="002025EA" w:rsidRPr="00976A9A">
          <w:rPr>
            <w:rFonts w:cs="Times New Roman"/>
          </w:rPr>
          <w:fldChar w:fldCharType="end"/>
        </w:r>
      </w:hyperlink>
      <w:r w:rsidR="005F06BD">
        <w:rPr>
          <w:rFonts w:cs="Times New Roman"/>
        </w:rPr>
        <w:t>.</w:t>
      </w:r>
      <w:r w:rsidR="00711DEA">
        <w:rPr>
          <w:rFonts w:cs="Times New Roman"/>
        </w:rPr>
        <w:t xml:space="preserve"> </w:t>
      </w:r>
      <w:r w:rsidR="005F06BD">
        <w:rPr>
          <w:rFonts w:cs="Times New Roman"/>
        </w:rPr>
        <w:t>F</w:t>
      </w:r>
      <w:r w:rsidR="00C373BF">
        <w:rPr>
          <w:rFonts w:cs="Times New Roman"/>
        </w:rPr>
        <w:t>or</w:t>
      </w:r>
      <w:r w:rsidR="00EE33BB" w:rsidRPr="00976A9A">
        <w:rPr>
          <w:rFonts w:cs="Times New Roman"/>
        </w:rPr>
        <w:t xml:space="preserve"> </w:t>
      </w:r>
      <w:r w:rsidR="008479DB" w:rsidRPr="00976A9A">
        <w:rPr>
          <w:rFonts w:cs="Times New Roman"/>
        </w:rPr>
        <w:t>ACSC</w:t>
      </w:r>
      <w:r w:rsidR="00E16BD5">
        <w:rPr>
          <w:rFonts w:cs="Times New Roman"/>
        </w:rPr>
        <w:t>,</w:t>
      </w:r>
      <w:r w:rsidR="008479DB" w:rsidRPr="00976A9A">
        <w:rPr>
          <w:rFonts w:cs="Times New Roman"/>
        </w:rPr>
        <w:t xml:space="preserve"> </w:t>
      </w:r>
      <w:r w:rsidR="005F06BD">
        <w:rPr>
          <w:rFonts w:cs="Times New Roman"/>
        </w:rPr>
        <w:t>the codes were those</w:t>
      </w:r>
      <w:r w:rsidR="005A4CFB" w:rsidRPr="00976A9A">
        <w:rPr>
          <w:rFonts w:cs="Times New Roman"/>
        </w:rPr>
        <w:t xml:space="preserve"> defined by </w:t>
      </w:r>
      <w:hyperlink w:anchor="_ENREF_28" w:tooltip="Bardsley, 2013 #48" w:history="1">
        <w:r w:rsidR="002025EA" w:rsidRPr="00976A9A">
          <w:rPr>
            <w:rFonts w:cs="Times New Roman"/>
          </w:rPr>
          <w:fldChar w:fldCharType="begin"/>
        </w:r>
        <w:r w:rsidR="002025EA">
          <w:rPr>
            <w:rFonts w:cs="Times New Roman"/>
          </w:rPr>
          <w:instrText xml:space="preserve"> ADDIN EN.CITE &lt;EndNote&gt;&lt;Cite AuthorYear="1"&gt;&lt;Author&gt;Bardsley&lt;/Author&gt;&lt;Year&gt;2013&lt;/Year&gt;&lt;RecNum&gt;48&lt;/RecNum&gt;&lt;DisplayText&gt;Bardsley, et al. &lt;style face="superscript"&gt;28&lt;/style&gt;&lt;/DisplayText&gt;&lt;record&gt;&lt;rec-number&gt;48&lt;/rec-number&gt;&lt;foreign-keys&gt;&lt;key app="EN" db-id="0aaxrwtz35eps2efxtzpva5he0xztfsrzr02" timestamp="1497268406"&gt;48&lt;/key&gt;&lt;key app="ENWeb" db-id=""&gt;0&lt;/key&gt;&lt;/foreign-keys&gt;&lt;ref-type name="Journal Article"&gt;17&lt;/ref-type&gt;&lt;contributors&gt;&lt;authors&gt;&lt;author&gt;Bardsley, Martin&lt;/author&gt;&lt;author&gt;Blunt, Ian&lt;/author&gt;&lt;author&gt;Davies, Sian&lt;/author&gt;&lt;author&gt;Dixon, Jennifer&lt;/author&gt;&lt;/authors&gt;&lt;/contributors&gt;&lt;titles&gt;&lt;title&gt;Is secondary preventive care improving? Observational study of 10-year trends in emergency admissions for conditions amenable to ambulatory care&lt;/title&gt;&lt;secondary-title&gt;BMJ Open&lt;/secondary-title&gt;&lt;/titles&gt;&lt;periodical&gt;&lt;full-title&gt;BMJ Open&lt;/full-title&gt;&lt;/periodical&gt;&lt;pages&gt;e002007&lt;/pages&gt;&lt;volume&gt;3&lt;/volume&gt;&lt;number&gt;1&lt;/number&gt;&lt;dates&gt;&lt;year&gt;2013&lt;/year&gt;&lt;/dates&gt;&lt;isbn&gt;2044-6055&lt;/isbn&gt;&lt;urls&gt;&lt;/urls&gt;&lt;/record&gt;&lt;/Cite&gt;&lt;/EndNote&gt;</w:instrText>
        </w:r>
        <w:r w:rsidR="002025EA" w:rsidRPr="00976A9A">
          <w:rPr>
            <w:rFonts w:cs="Times New Roman"/>
          </w:rPr>
          <w:fldChar w:fldCharType="separate"/>
        </w:r>
        <w:r w:rsidR="002025EA">
          <w:rPr>
            <w:rFonts w:cs="Times New Roman"/>
            <w:noProof/>
          </w:rPr>
          <w:t>Bardsley, et al.</w:t>
        </w:r>
        <w:r w:rsidR="002025EA" w:rsidRPr="00A47262">
          <w:rPr>
            <w:rFonts w:cs="Times New Roman"/>
            <w:noProof/>
            <w:vertAlign w:val="superscript"/>
          </w:rPr>
          <w:t>28</w:t>
        </w:r>
        <w:r w:rsidR="002025EA" w:rsidRPr="00976A9A">
          <w:rPr>
            <w:rFonts w:cs="Times New Roman"/>
          </w:rPr>
          <w:fldChar w:fldCharType="end"/>
        </w:r>
      </w:hyperlink>
      <w:r w:rsidR="005F06BD">
        <w:rPr>
          <w:rFonts w:cs="Times New Roman"/>
        </w:rPr>
        <w:t xml:space="preserve"> (see Supplementary Table 1 for the list of conditions included)</w:t>
      </w:r>
      <w:r w:rsidR="00D87D8D" w:rsidRPr="00976A9A">
        <w:rPr>
          <w:rFonts w:cs="Times New Roman"/>
          <w:lang w:eastAsia="ja-JP"/>
        </w:rPr>
        <w:t>.</w:t>
      </w:r>
      <w:r w:rsidR="009204C3" w:rsidRPr="00976A9A">
        <w:rPr>
          <w:rFonts w:cs="Times New Roman"/>
          <w:lang w:eastAsia="ja-JP"/>
        </w:rPr>
        <w:t xml:space="preserve"> </w:t>
      </w:r>
      <w:hyperlink w:anchor="_ENREF_29" w:tooltip="Longman, 2015 #2345" w:history="1"/>
      <w:r w:rsidR="00534CB1">
        <w:rPr>
          <w:rFonts w:cs="Times New Roman"/>
          <w:lang w:eastAsia="ja-JP"/>
        </w:rPr>
        <w:t xml:space="preserve">A&amp;E presentations </w:t>
      </w:r>
      <w:r w:rsidR="00933749">
        <w:rPr>
          <w:rFonts w:cs="Times New Roman"/>
          <w:lang w:eastAsia="ja-JP"/>
        </w:rPr>
        <w:t xml:space="preserve">of </w:t>
      </w:r>
      <w:r w:rsidR="00534CB1">
        <w:rPr>
          <w:rFonts w:cs="Times New Roman"/>
          <w:lang w:eastAsia="ja-JP"/>
        </w:rPr>
        <w:t xml:space="preserve">any cause (mental or physical health) </w:t>
      </w:r>
      <w:r w:rsidR="00933749">
        <w:rPr>
          <w:rFonts w:cs="Times New Roman"/>
          <w:lang w:eastAsia="ja-JP"/>
        </w:rPr>
        <w:t>were</w:t>
      </w:r>
      <w:r w:rsidR="00534CB1">
        <w:rPr>
          <w:rFonts w:cs="Times New Roman"/>
          <w:lang w:eastAsia="ja-JP"/>
        </w:rPr>
        <w:t xml:space="preserve"> included. </w:t>
      </w:r>
    </w:p>
    <w:p w14:paraId="76015439" w14:textId="229AE4D2" w:rsidR="00344E43" w:rsidRDefault="00344E43" w:rsidP="00ED1426">
      <w:pPr>
        <w:spacing w:after="0" w:line="480" w:lineRule="auto"/>
        <w:jc w:val="both"/>
        <w:rPr>
          <w:rFonts w:cs="Times New Roman"/>
        </w:rPr>
      </w:pPr>
      <w:bookmarkStart w:id="19" w:name="_Toc444002020"/>
    </w:p>
    <w:p w14:paraId="2B491EB6" w14:textId="15025E3B" w:rsidR="005F06BD" w:rsidRDefault="00D108B9" w:rsidP="00F1780E">
      <w:pPr>
        <w:pStyle w:val="Heading2"/>
      </w:pPr>
      <w:r>
        <w:lastRenderedPageBreak/>
        <w:t>Care quality indicators</w:t>
      </w:r>
    </w:p>
    <w:p w14:paraId="1996DA0B" w14:textId="6CCD2973" w:rsidR="008B2B05" w:rsidRPr="00870B7B" w:rsidRDefault="005F06BD" w:rsidP="008B2B05">
      <w:pPr>
        <w:spacing w:after="0" w:line="480" w:lineRule="auto"/>
        <w:jc w:val="both"/>
        <w:rPr>
          <w:rFonts w:cs="Times New Roman"/>
        </w:rPr>
      </w:pPr>
      <w:r>
        <w:rPr>
          <w:rFonts w:cs="Times New Roman"/>
        </w:rPr>
        <w:t xml:space="preserve">Primary care quality indicators were taken from CPRD data, and capture care plans and annual reviews of physical health based on Read codes specified under the QOF to identify those two indicators. </w:t>
      </w:r>
      <w:r w:rsidR="008B2B05" w:rsidRPr="00976A9A">
        <w:rPr>
          <w:rFonts w:cs="Times New Roman"/>
        </w:rPr>
        <w:t xml:space="preserve">A good quality </w:t>
      </w:r>
      <w:r w:rsidR="008B2B05">
        <w:rPr>
          <w:rFonts w:cs="Times New Roman"/>
        </w:rPr>
        <w:t>care plan</w:t>
      </w:r>
      <w:r w:rsidR="008B2B05" w:rsidRPr="00976A9A">
        <w:rPr>
          <w:rFonts w:cs="Times New Roman"/>
        </w:rPr>
        <w:t xml:space="preserve"> documents the patient’s current health and social care needs, and how these will be addressed, in agreement with patients and caregivers. It should specify arrangements with secondary care </w:t>
      </w:r>
      <w:r w:rsidR="008B2B05">
        <w:rPr>
          <w:rFonts w:cs="Times New Roman"/>
        </w:rPr>
        <w:t xml:space="preserve">services </w:t>
      </w:r>
      <w:r w:rsidR="008B2B05" w:rsidRPr="00976A9A">
        <w:rPr>
          <w:rFonts w:cs="Times New Roman"/>
        </w:rPr>
        <w:t>(where applicable), and recommendations in case of relapse, including the patient’s care preferences</w:t>
      </w:r>
      <w:r w:rsidR="008B2B05">
        <w:rPr>
          <w:rFonts w:cs="Times New Roman"/>
        </w:rPr>
        <w:t xml:space="preserve"> and goals</w:t>
      </w:r>
      <w:r w:rsidR="008B2B05">
        <w:rPr>
          <w:rFonts w:cs="Times New Roman"/>
        </w:rPr>
        <w:fldChar w:fldCharType="begin"/>
      </w:r>
      <w:r w:rsidR="008B2B05">
        <w:rPr>
          <w:rFonts w:cs="Times New Roman"/>
        </w:rPr>
        <w:instrText xml:space="preserve"> ADDIN EN.CITE &lt;EndNote&gt;&lt;Cite&gt;&lt;Author&gt;National collaborating Centre for Mental Health&lt;/Author&gt;&lt;Year&gt;2014&lt;/Year&gt;&lt;RecNum&gt;150&lt;/RecNum&gt;&lt;DisplayText&gt;&lt;style face="superscript"&gt;19 20&lt;/style&gt;&lt;/DisplayText&gt;&lt;record&gt;&lt;rec-number&gt;150&lt;/rec-number&gt;&lt;foreign-keys&gt;&lt;key app="EN" db-id="0aaxrwtz35eps2efxtzpva5he0xztfsrzr02" timestamp="1507548175"&gt;150&lt;/key&gt;&lt;/foreign-keys&gt;&lt;ref-type name="Report"&gt;27&lt;/ref-type&gt;&lt;contributors&gt;&lt;authors&gt;&lt;author&gt;National collaborating Centre for Mental Health,&lt;/author&gt;&lt;/authors&gt;&lt;tertiary-authors&gt;&lt;author&gt;NICE&lt;/author&gt;&lt;/tertiary-authors&gt;&lt;/contributors&gt;&lt;titles&gt;&lt;title&gt;Psychosis and Schizophrenia in Adults: Treatment and Management. NICE Clinical Guideline 178&lt;/title&gt;&lt;/titles&gt;&lt;dates&gt;&lt;year&gt;2014&lt;/year&gt;&lt;/dates&gt;&lt;urls&gt;&lt;/urls&gt;&lt;/record&gt;&lt;/Cite&gt;&lt;Cite&gt;&lt;Author&gt;National Collaborating Centre for Mental Health&lt;/Author&gt;&lt;Year&gt;2014&lt;/Year&gt;&lt;RecNum&gt;203&lt;/RecNum&gt;&lt;record&gt;&lt;rec-number&gt;203&lt;/rec-number&gt;&lt;foreign-keys&gt;&lt;key app="EN" db-id="0aaxrwtz35eps2efxtzpva5he0xztfsrzr02" timestamp="1521123008"&gt;203&lt;/key&gt;&lt;/foreign-keys&gt;&lt;ref-type name="Journal Article"&gt;17&lt;/ref-type&gt;&lt;contributors&gt;&lt;authors&gt;&lt;author&gt;National Collaborating Centre for Mental Health,&lt;/author&gt;&lt;/authors&gt;&lt;/contributors&gt;&lt;titles&gt;&lt;title&gt;Bipolar disorder: The assessment and management of bipolar disorder in adults, children and young people in primary and secondary care&lt;/title&gt;&lt;secondary-title&gt;Leicester UK: The British Psychological Society&lt;/secondary-title&gt;&lt;/titles&gt;&lt;periodical&gt;&lt;full-title&gt;Leicester UK: The British Psychological Society&lt;/full-title&gt;&lt;/periodical&gt;&lt;dates&gt;&lt;year&gt;2014&lt;/year&gt;&lt;/dates&gt;&lt;urls&gt;&lt;/urls&gt;&lt;/record&gt;&lt;/Cite&gt;&lt;/EndNote&gt;</w:instrText>
      </w:r>
      <w:r w:rsidR="008B2B05">
        <w:rPr>
          <w:rFonts w:cs="Times New Roman"/>
        </w:rPr>
        <w:fldChar w:fldCharType="separate"/>
      </w:r>
      <w:hyperlink w:anchor="_ENREF_19" w:tooltip="National collaborating Centre for Mental Health, 2014 #150" w:history="1">
        <w:r w:rsidR="008B2B05" w:rsidRPr="00507B5C">
          <w:rPr>
            <w:rFonts w:cs="Times New Roman"/>
            <w:noProof/>
            <w:vertAlign w:val="superscript"/>
          </w:rPr>
          <w:t>19</w:t>
        </w:r>
      </w:hyperlink>
      <w:r w:rsidR="008B2B05" w:rsidRPr="00507B5C">
        <w:rPr>
          <w:rFonts w:cs="Times New Roman"/>
          <w:noProof/>
          <w:vertAlign w:val="superscript"/>
        </w:rPr>
        <w:t xml:space="preserve"> </w:t>
      </w:r>
      <w:hyperlink w:anchor="_ENREF_20" w:tooltip="National Collaborating Centre for Mental Health, 2014 #203" w:history="1">
        <w:r w:rsidR="008B2B05" w:rsidRPr="00507B5C">
          <w:rPr>
            <w:rFonts w:cs="Times New Roman"/>
            <w:noProof/>
            <w:vertAlign w:val="superscript"/>
          </w:rPr>
          <w:t>20</w:t>
        </w:r>
      </w:hyperlink>
      <w:r w:rsidR="008B2B05">
        <w:rPr>
          <w:rFonts w:cs="Times New Roman"/>
        </w:rPr>
        <w:fldChar w:fldCharType="end"/>
      </w:r>
      <w:r w:rsidR="008B2B05" w:rsidRPr="00976A9A">
        <w:rPr>
          <w:rFonts w:cs="Times New Roman"/>
        </w:rPr>
        <w:t xml:space="preserve">. </w:t>
      </w:r>
      <w:r>
        <w:rPr>
          <w:rFonts w:cs="Times New Roman"/>
        </w:rPr>
        <w:t xml:space="preserve">The QOF incentivises </w:t>
      </w:r>
      <w:r w:rsidRPr="00976A9A">
        <w:rPr>
          <w:rFonts w:cs="Times New Roman"/>
        </w:rPr>
        <w:t xml:space="preserve">GPs to </w:t>
      </w:r>
      <w:r>
        <w:rPr>
          <w:rFonts w:cs="Times New Roman"/>
        </w:rPr>
        <w:t>document</w:t>
      </w:r>
      <w:r w:rsidRPr="00976A9A">
        <w:rPr>
          <w:rFonts w:cs="Times New Roman"/>
        </w:rPr>
        <w:t xml:space="preserve"> </w:t>
      </w:r>
      <w:r>
        <w:rPr>
          <w:rFonts w:cs="Times New Roman"/>
        </w:rPr>
        <w:t>care plan</w:t>
      </w:r>
      <w:r w:rsidRPr="00976A9A">
        <w:rPr>
          <w:rFonts w:cs="Times New Roman"/>
        </w:rPr>
        <w:t xml:space="preserve">s annually, </w:t>
      </w:r>
      <w:r>
        <w:rPr>
          <w:rFonts w:cs="Times New Roman"/>
        </w:rPr>
        <w:t xml:space="preserve">so we analyse ‘current’ care plans, those recorded in the last twelve months. However, </w:t>
      </w:r>
      <w:r w:rsidRPr="00976A9A">
        <w:rPr>
          <w:rFonts w:cs="Times New Roman"/>
        </w:rPr>
        <w:t xml:space="preserve">we hypothesise that an older </w:t>
      </w:r>
      <w:r>
        <w:rPr>
          <w:rFonts w:cs="Times New Roman"/>
        </w:rPr>
        <w:t>care plan</w:t>
      </w:r>
      <w:r w:rsidRPr="00976A9A">
        <w:rPr>
          <w:rFonts w:cs="Times New Roman"/>
        </w:rPr>
        <w:t xml:space="preserve"> may still </w:t>
      </w:r>
      <w:r>
        <w:rPr>
          <w:rFonts w:cs="Times New Roman"/>
        </w:rPr>
        <w:t>influence patients’ health service utilisation</w:t>
      </w:r>
      <w:r w:rsidRPr="00976A9A">
        <w:rPr>
          <w:rFonts w:cs="Times New Roman"/>
        </w:rPr>
        <w:t>,</w:t>
      </w:r>
      <w:r>
        <w:rPr>
          <w:rFonts w:cs="Times New Roman"/>
        </w:rPr>
        <w:t xml:space="preserve"> and the</w:t>
      </w:r>
      <w:r w:rsidRPr="00976A9A">
        <w:rPr>
          <w:rFonts w:cs="Times New Roman"/>
        </w:rPr>
        <w:t>refore</w:t>
      </w:r>
      <w:r>
        <w:rPr>
          <w:rFonts w:cs="Times New Roman"/>
        </w:rPr>
        <w:t xml:space="preserve"> also </w:t>
      </w:r>
      <w:r w:rsidRPr="00976A9A">
        <w:rPr>
          <w:rFonts w:cs="Times New Roman"/>
        </w:rPr>
        <w:t xml:space="preserve">analyse ‘expired’ </w:t>
      </w:r>
      <w:r>
        <w:rPr>
          <w:rFonts w:cs="Times New Roman"/>
        </w:rPr>
        <w:t>care plan</w:t>
      </w:r>
      <w:r w:rsidRPr="00976A9A">
        <w:rPr>
          <w:rFonts w:cs="Times New Roman"/>
        </w:rPr>
        <w:t>s</w:t>
      </w:r>
      <w:r>
        <w:rPr>
          <w:rFonts w:cs="Times New Roman"/>
        </w:rPr>
        <w:t>, those recorded more than a year ago.</w:t>
      </w:r>
      <w:r w:rsidRPr="00976A9A">
        <w:rPr>
          <w:rFonts w:cs="Times New Roman"/>
        </w:rPr>
        <w:t xml:space="preserve"> </w:t>
      </w:r>
      <w:r>
        <w:rPr>
          <w:rFonts w:cs="Times New Roman"/>
        </w:rPr>
        <w:t>Conversely, only ‘current’ annual review</w:t>
      </w:r>
      <w:r w:rsidRPr="00976A9A">
        <w:rPr>
          <w:rFonts w:cs="Times New Roman"/>
        </w:rPr>
        <w:t xml:space="preserve">s (recorded within </w:t>
      </w:r>
      <w:r>
        <w:rPr>
          <w:rFonts w:cs="Times New Roman"/>
        </w:rPr>
        <w:t>the last twelve months)</w:t>
      </w:r>
      <w:r w:rsidRPr="00976A9A">
        <w:rPr>
          <w:rFonts w:cs="Times New Roman"/>
        </w:rPr>
        <w:t xml:space="preserve"> are included in the analysis, since expired </w:t>
      </w:r>
      <w:r>
        <w:rPr>
          <w:rFonts w:cs="Times New Roman"/>
        </w:rPr>
        <w:t xml:space="preserve">monitoring of physical health </w:t>
      </w:r>
      <w:r w:rsidRPr="00976A9A">
        <w:rPr>
          <w:rFonts w:cs="Times New Roman"/>
        </w:rPr>
        <w:t xml:space="preserve">is unlikely to </w:t>
      </w:r>
      <w:r>
        <w:rPr>
          <w:rFonts w:cs="Times New Roman"/>
        </w:rPr>
        <w:t>have</w:t>
      </w:r>
      <w:r w:rsidRPr="00976A9A">
        <w:rPr>
          <w:rFonts w:cs="Times New Roman"/>
        </w:rPr>
        <w:t xml:space="preserve"> ongoing benefit</w:t>
      </w:r>
      <w:r>
        <w:rPr>
          <w:rFonts w:cs="Times New Roman"/>
        </w:rPr>
        <w:t>s</w:t>
      </w:r>
      <w:r w:rsidRPr="00976A9A">
        <w:rPr>
          <w:rFonts w:cs="Times New Roman"/>
        </w:rPr>
        <w:t>.</w:t>
      </w:r>
      <w:r>
        <w:rPr>
          <w:rFonts w:cs="Times New Roman"/>
        </w:rPr>
        <w:t xml:space="preserve"> </w:t>
      </w:r>
      <w:r w:rsidR="008B2B05" w:rsidRPr="00976A9A">
        <w:rPr>
          <w:rFonts w:cs="Times New Roman"/>
          <w:szCs w:val="24"/>
          <w:lang w:eastAsia="ja-JP"/>
        </w:rPr>
        <w:t xml:space="preserve">The choice of the </w:t>
      </w:r>
      <w:r w:rsidR="008B2B05">
        <w:rPr>
          <w:rFonts w:cs="Times New Roman"/>
          <w:szCs w:val="24"/>
          <w:lang w:eastAsia="ja-JP"/>
        </w:rPr>
        <w:t>twelve-</w:t>
      </w:r>
      <w:r w:rsidR="008B2B05" w:rsidRPr="00976A9A">
        <w:rPr>
          <w:rFonts w:cs="Times New Roman"/>
          <w:szCs w:val="24"/>
          <w:lang w:eastAsia="ja-JP"/>
        </w:rPr>
        <w:t xml:space="preserve">month window to determine expiration status is based on the QOF guidance that a </w:t>
      </w:r>
      <w:r w:rsidR="008B2B05">
        <w:rPr>
          <w:rFonts w:cs="Times New Roman"/>
          <w:szCs w:val="24"/>
          <w:lang w:eastAsia="ja-JP"/>
        </w:rPr>
        <w:t>care plan</w:t>
      </w:r>
      <w:r w:rsidR="008B2B05" w:rsidRPr="00976A9A">
        <w:rPr>
          <w:rFonts w:cs="Times New Roman"/>
          <w:szCs w:val="24"/>
          <w:lang w:eastAsia="ja-JP"/>
        </w:rPr>
        <w:t xml:space="preserve"> or </w:t>
      </w:r>
      <w:r w:rsidR="008B2B05">
        <w:rPr>
          <w:rFonts w:cs="Times New Roman"/>
          <w:szCs w:val="24"/>
          <w:lang w:eastAsia="ja-JP"/>
        </w:rPr>
        <w:t>annual review</w:t>
      </w:r>
      <w:r w:rsidR="008B2B05" w:rsidRPr="00976A9A">
        <w:rPr>
          <w:rFonts w:cs="Times New Roman"/>
          <w:szCs w:val="24"/>
          <w:lang w:eastAsia="ja-JP"/>
        </w:rPr>
        <w:t xml:space="preserve"> should be reviewed annually</w:t>
      </w:r>
      <w:r w:rsidR="008B2B05" w:rsidRPr="00976A9A">
        <w:rPr>
          <w:rFonts w:cs="Times New Roman"/>
          <w:szCs w:val="24"/>
          <w:vertAlign w:val="superscript"/>
          <w:lang w:eastAsia="ja-JP"/>
        </w:rPr>
        <w:t>3</w:t>
      </w:r>
      <w:r w:rsidR="008B2B05" w:rsidRPr="00976A9A">
        <w:rPr>
          <w:rFonts w:cs="Times New Roman"/>
          <w:szCs w:val="24"/>
          <w:lang w:eastAsia="ja-JP"/>
        </w:rPr>
        <w:t>.</w:t>
      </w:r>
    </w:p>
    <w:p w14:paraId="6BC2A2C5" w14:textId="77777777" w:rsidR="005F06BD" w:rsidRDefault="005F06BD" w:rsidP="005F06BD">
      <w:pPr>
        <w:spacing w:after="0" w:line="480" w:lineRule="auto"/>
        <w:jc w:val="both"/>
        <w:rPr>
          <w:rFonts w:cs="Times New Roman"/>
        </w:rPr>
      </w:pPr>
    </w:p>
    <w:p w14:paraId="24EB5B0D" w14:textId="67B9D1EA" w:rsidR="005F06BD" w:rsidRDefault="008B2B05" w:rsidP="00E84EE9">
      <w:pPr>
        <w:spacing w:after="0" w:line="480" w:lineRule="auto"/>
        <w:rPr>
          <w:rFonts w:cs="Times New Roman"/>
        </w:rPr>
      </w:pPr>
      <w:r w:rsidDel="008E6865">
        <w:rPr>
          <w:rFonts w:cs="Times New Roman"/>
        </w:rPr>
        <w:t>From 2006/7 to 2010/11 t</w:t>
      </w:r>
      <w:r w:rsidRPr="00976A9A" w:rsidDel="008E6865">
        <w:rPr>
          <w:rFonts w:cs="Times New Roman"/>
        </w:rPr>
        <w:t xml:space="preserve">he </w:t>
      </w:r>
      <w:r>
        <w:rPr>
          <w:rFonts w:cs="Times New Roman"/>
        </w:rPr>
        <w:t xml:space="preserve">QOF </w:t>
      </w:r>
      <w:r w:rsidDel="008E6865">
        <w:rPr>
          <w:rFonts w:cs="Times New Roman"/>
        </w:rPr>
        <w:t>annual review</w:t>
      </w:r>
      <w:r w:rsidRPr="00976A9A" w:rsidDel="008E6865">
        <w:rPr>
          <w:rFonts w:cs="Times New Roman"/>
        </w:rPr>
        <w:t xml:space="preserve"> indicator entailed the patient being given appropriate health promotion and prevention advice. In 2011/12, this broad indicator was split into more specific indicators: a record of alcohol consumption, checks of blood pressure, body mass index (BMI), blood glucose or glycated haemoglobin, and ratio of total to high-density lipoprotein cholesterol, and, where </w:t>
      </w:r>
      <w:r>
        <w:rPr>
          <w:rFonts w:cs="Times New Roman"/>
        </w:rPr>
        <w:t>appropriate, cervical screening</w:t>
      </w:r>
      <w:r w:rsidR="005F06BD">
        <w:rPr>
          <w:rFonts w:cs="Times New Roman"/>
        </w:rPr>
        <w:t>. In order to</w:t>
      </w:r>
      <w:r w:rsidR="005F06BD" w:rsidRPr="00976A9A">
        <w:rPr>
          <w:rFonts w:cs="Times New Roman"/>
        </w:rPr>
        <w:t xml:space="preserve"> explore </w:t>
      </w:r>
      <w:r w:rsidR="005F06BD">
        <w:rPr>
          <w:rFonts w:cs="Times New Roman"/>
        </w:rPr>
        <w:t>annual reviews for the full</w:t>
      </w:r>
      <w:r w:rsidR="005F06BD" w:rsidRPr="00976A9A">
        <w:rPr>
          <w:rFonts w:cs="Times New Roman"/>
        </w:rPr>
        <w:t xml:space="preserve"> period </w:t>
      </w:r>
      <w:r w:rsidR="005F06BD">
        <w:rPr>
          <w:rFonts w:cs="Times New Roman"/>
        </w:rPr>
        <w:t>of</w:t>
      </w:r>
      <w:r w:rsidR="005F06BD" w:rsidRPr="00976A9A">
        <w:rPr>
          <w:rFonts w:cs="Times New Roman"/>
        </w:rPr>
        <w:t xml:space="preserve"> our analysis</w:t>
      </w:r>
      <w:r w:rsidR="005F06BD">
        <w:rPr>
          <w:rFonts w:cs="Times New Roman"/>
        </w:rPr>
        <w:t xml:space="preserve">, </w:t>
      </w:r>
      <w:r w:rsidR="005F06BD" w:rsidRPr="00976A9A">
        <w:rPr>
          <w:rFonts w:cs="Times New Roman"/>
        </w:rPr>
        <w:t>we f</w:t>
      </w:r>
      <w:r w:rsidR="005F06BD">
        <w:rPr>
          <w:rFonts w:cs="Times New Roman"/>
        </w:rPr>
        <w:t>ormulate an aggregate indicator. This signifies</w:t>
      </w:r>
      <w:r w:rsidR="005F06BD" w:rsidRPr="00976A9A">
        <w:rPr>
          <w:rFonts w:cs="Times New Roman"/>
        </w:rPr>
        <w:t xml:space="preserve"> that the patient had at least three of four ‘health risk’ checks</w:t>
      </w:r>
      <w:r w:rsidR="005F06BD">
        <w:rPr>
          <w:rFonts w:cs="Times New Roman"/>
        </w:rPr>
        <w:t xml:space="preserve"> </w:t>
      </w:r>
      <w:r w:rsidR="005F06BD" w:rsidRPr="00976A9A">
        <w:rPr>
          <w:rFonts w:cs="Times New Roman"/>
        </w:rPr>
        <w:t xml:space="preserve">(blood pressure, BMI, cholesterol, and </w:t>
      </w:r>
      <w:r w:rsidR="005F06BD" w:rsidRPr="00976A9A">
        <w:rPr>
          <w:rFonts w:cs="Times New Roman"/>
        </w:rPr>
        <w:lastRenderedPageBreak/>
        <w:t xml:space="preserve">glucose) </w:t>
      </w:r>
      <w:r w:rsidR="005F06BD">
        <w:rPr>
          <w:rFonts w:cs="Times New Roman"/>
        </w:rPr>
        <w:t xml:space="preserve">documented </w:t>
      </w:r>
      <w:r w:rsidR="005F06BD" w:rsidRPr="00976A9A">
        <w:rPr>
          <w:rFonts w:cs="Times New Roman"/>
        </w:rPr>
        <w:t>within a three month period</w:t>
      </w:r>
      <w:hyperlink w:anchor="_ENREF_29" w:tooltip="Chang, 2015 #73" w:history="1">
        <w:r w:rsidR="002025EA" w:rsidRPr="00976A9A">
          <w:rPr>
            <w:rFonts w:cs="Times New Roman"/>
          </w:rPr>
          <w:fldChar w:fldCharType="begin"/>
        </w:r>
        <w:r w:rsidR="002025EA">
          <w:rPr>
            <w:rFonts w:cs="Times New Roman"/>
          </w:rPr>
          <w:instrText xml:space="preserve"> ADDIN EN.CITE &lt;EndNote&gt;&lt;Cite&gt;&lt;Author&gt;Chang&lt;/Author&gt;&lt;Year&gt;2015&lt;/Year&gt;&lt;RecNum&gt;73&lt;/RecNum&gt;&lt;DisplayText&gt;&lt;style face="superscript"&gt;29&lt;/style&gt;&lt;/DisplayText&gt;&lt;record&gt;&lt;rec-number&gt;73&lt;/rec-number&gt;&lt;foreign-keys&gt;&lt;key app="EN" db-id="0aaxrwtz35eps2efxtzpva5he0xztfsrzr02" timestamp="1497268426"&gt;73&lt;/key&gt;&lt;/foreign-keys&gt;&lt;ref-type name="Journal Article"&gt;17&lt;/ref-type&gt;&lt;contributors&gt;&lt;authors&gt;&lt;author&gt;Chang, Kiara Chu-Mei&lt;/author&gt;&lt;author&gt;Soljak, Michael&lt;/author&gt;&lt;author&gt;Lee, John Tayu&lt;/author&gt;&lt;author&gt;Woringer, Maria&lt;/author&gt;&lt;author&gt;Johnston, Desmond&lt;/author&gt;&lt;author&gt;Khunti, Kamlesh&lt;/author&gt;&lt;author&gt;Majeed, Azeem&lt;/author&gt;&lt;author&gt;Millett, Christopher&lt;/author&gt;&lt;/authors&gt;&lt;/contributors&gt;&lt;titles&gt;&lt;title&gt;Coverage of a national cardiovascular risk assessment and management programme (NHS Health Check): Retrospective database study&lt;/title&gt;&lt;secondary-title&gt;Preventive Medicine&lt;/secondary-title&gt;&lt;/titles&gt;&lt;periodical&gt;&lt;full-title&gt;Preventive medicine&lt;/full-title&gt;&lt;/periodical&gt;&lt;pages&gt;1-8&lt;/pages&gt;&lt;volume&gt;78&lt;/volume&gt;&lt;dates&gt;&lt;year&gt;2015&lt;/year&gt;&lt;/dates&gt;&lt;isbn&gt;0091-7435&lt;/isbn&gt;&lt;urls&gt;&lt;/urls&gt;&lt;/record&gt;&lt;/Cite&gt;&lt;/EndNote&gt;</w:instrText>
        </w:r>
        <w:r w:rsidR="002025EA" w:rsidRPr="00976A9A">
          <w:rPr>
            <w:rFonts w:cs="Times New Roman"/>
          </w:rPr>
          <w:fldChar w:fldCharType="separate"/>
        </w:r>
        <w:r w:rsidR="002025EA" w:rsidRPr="005C2C27">
          <w:rPr>
            <w:rFonts w:cs="Times New Roman"/>
            <w:noProof/>
            <w:vertAlign w:val="superscript"/>
          </w:rPr>
          <w:t>29</w:t>
        </w:r>
        <w:r w:rsidR="002025EA" w:rsidRPr="00976A9A">
          <w:rPr>
            <w:rFonts w:cs="Times New Roman"/>
          </w:rPr>
          <w:fldChar w:fldCharType="end"/>
        </w:r>
      </w:hyperlink>
      <w:r w:rsidR="005F06BD" w:rsidRPr="00976A9A">
        <w:rPr>
          <w:rFonts w:cs="Times New Roman"/>
        </w:rPr>
        <w:t xml:space="preserve">. The date of the aggregate indicator is the </w:t>
      </w:r>
      <w:r w:rsidR="005F06BD">
        <w:rPr>
          <w:rFonts w:cs="Times New Roman"/>
        </w:rPr>
        <w:t xml:space="preserve">date of the </w:t>
      </w:r>
      <w:r w:rsidR="005F06BD" w:rsidRPr="00976A9A">
        <w:rPr>
          <w:rFonts w:cs="Times New Roman"/>
        </w:rPr>
        <w:t xml:space="preserve">final </w:t>
      </w:r>
      <w:r w:rsidR="005F06BD">
        <w:rPr>
          <w:rFonts w:cs="Times New Roman"/>
        </w:rPr>
        <w:t>check</w:t>
      </w:r>
      <w:r w:rsidR="005F06BD" w:rsidRPr="00976A9A">
        <w:rPr>
          <w:rFonts w:cs="Times New Roman"/>
        </w:rPr>
        <w:t xml:space="preserve">. </w:t>
      </w:r>
      <w:r w:rsidR="005F06BD">
        <w:rPr>
          <w:rFonts w:cs="Times New Roman"/>
        </w:rPr>
        <w:t xml:space="preserve">In our analysis, patients are considered to have a ‘current’ annual review for twelve months after either an annual review (using the original Read coding), or from the date of this aggregate indicator. </w:t>
      </w:r>
    </w:p>
    <w:p w14:paraId="7410C262" w14:textId="77777777" w:rsidR="005F06BD" w:rsidRDefault="005F06BD" w:rsidP="005F06BD">
      <w:pPr>
        <w:spacing w:after="0" w:line="480" w:lineRule="auto"/>
        <w:jc w:val="both"/>
        <w:rPr>
          <w:rFonts w:cs="Times New Roman"/>
        </w:rPr>
      </w:pPr>
    </w:p>
    <w:p w14:paraId="41FE2070" w14:textId="1DC1B686" w:rsidR="005F06BD" w:rsidRPr="00870B7B" w:rsidRDefault="005F06BD" w:rsidP="005F06BD">
      <w:pPr>
        <w:spacing w:after="0" w:line="480" w:lineRule="auto"/>
        <w:jc w:val="both"/>
        <w:rPr>
          <w:rFonts w:cs="Times New Roman"/>
        </w:rPr>
      </w:pPr>
      <w:r>
        <w:rPr>
          <w:rFonts w:cs="Times New Roman"/>
          <w:szCs w:val="24"/>
          <w:lang w:eastAsia="ja-JP"/>
        </w:rPr>
        <w:t xml:space="preserve">The analysis includes </w:t>
      </w:r>
      <w:r w:rsidRPr="00976A9A">
        <w:rPr>
          <w:rFonts w:cs="Times New Roman"/>
          <w:szCs w:val="24"/>
          <w:lang w:eastAsia="ja-JP"/>
        </w:rPr>
        <w:t xml:space="preserve">three time-varying </w:t>
      </w:r>
      <w:r>
        <w:rPr>
          <w:rFonts w:cs="Times New Roman"/>
          <w:szCs w:val="24"/>
          <w:lang w:eastAsia="ja-JP"/>
        </w:rPr>
        <w:t xml:space="preserve">care quality indicator </w:t>
      </w:r>
      <w:r w:rsidRPr="00976A9A">
        <w:rPr>
          <w:rFonts w:cs="Times New Roman"/>
          <w:szCs w:val="24"/>
          <w:lang w:eastAsia="ja-JP"/>
        </w:rPr>
        <w:t xml:space="preserve">variables. </w:t>
      </w:r>
      <w:r>
        <w:rPr>
          <w:rFonts w:cs="Times New Roman"/>
          <w:szCs w:val="24"/>
          <w:lang w:eastAsia="ja-JP"/>
        </w:rPr>
        <w:t>For annual reviews, t</w:t>
      </w:r>
      <w:r w:rsidRPr="00976A9A">
        <w:rPr>
          <w:rFonts w:cs="Times New Roman"/>
          <w:szCs w:val="24"/>
          <w:lang w:eastAsia="ja-JP"/>
        </w:rPr>
        <w:t xml:space="preserve">he base case is </w:t>
      </w:r>
      <w:r>
        <w:rPr>
          <w:rFonts w:cs="Times New Roman"/>
          <w:szCs w:val="24"/>
          <w:lang w:eastAsia="ja-JP"/>
        </w:rPr>
        <w:t>no annual review</w:t>
      </w:r>
      <w:r w:rsidRPr="00976A9A">
        <w:rPr>
          <w:rFonts w:cs="Times New Roman"/>
          <w:szCs w:val="24"/>
          <w:lang w:eastAsia="ja-JP"/>
        </w:rPr>
        <w:t xml:space="preserve"> </w:t>
      </w:r>
      <w:r>
        <w:rPr>
          <w:rFonts w:cs="Times New Roman"/>
          <w:szCs w:val="24"/>
          <w:lang w:eastAsia="ja-JP"/>
        </w:rPr>
        <w:t xml:space="preserve">of physical health </w:t>
      </w:r>
      <w:r w:rsidRPr="00976A9A">
        <w:rPr>
          <w:rFonts w:cs="Times New Roman"/>
          <w:szCs w:val="24"/>
          <w:lang w:eastAsia="ja-JP"/>
        </w:rPr>
        <w:t xml:space="preserve">within the last twelve months. </w:t>
      </w:r>
      <w:r w:rsidR="00F7006C">
        <w:rPr>
          <w:rFonts w:cs="Times New Roman"/>
          <w:szCs w:val="24"/>
          <w:lang w:eastAsia="ja-JP"/>
        </w:rPr>
        <w:t xml:space="preserve">For care plans the base case is never having had a care plan. </w:t>
      </w:r>
      <w:r w:rsidRPr="00976A9A">
        <w:rPr>
          <w:rFonts w:cs="Times New Roman"/>
          <w:szCs w:val="24"/>
          <w:lang w:eastAsia="ja-JP"/>
        </w:rPr>
        <w:t xml:space="preserve">Two </w:t>
      </w:r>
      <w:r>
        <w:rPr>
          <w:rFonts w:cs="Times New Roman"/>
          <w:szCs w:val="24"/>
          <w:lang w:eastAsia="ja-JP"/>
        </w:rPr>
        <w:t xml:space="preserve">binary </w:t>
      </w:r>
      <w:r w:rsidRPr="00976A9A">
        <w:rPr>
          <w:rFonts w:cs="Times New Roman"/>
          <w:szCs w:val="24"/>
          <w:lang w:eastAsia="ja-JP"/>
        </w:rPr>
        <w:t xml:space="preserve">variables indicate whether a </w:t>
      </w:r>
      <w:r>
        <w:rPr>
          <w:rFonts w:cs="Times New Roman"/>
          <w:szCs w:val="24"/>
          <w:lang w:eastAsia="ja-JP"/>
        </w:rPr>
        <w:t>care plan</w:t>
      </w:r>
      <w:r w:rsidRPr="00976A9A">
        <w:rPr>
          <w:rFonts w:cs="Times New Roman"/>
          <w:szCs w:val="24"/>
          <w:lang w:eastAsia="ja-JP"/>
        </w:rPr>
        <w:t xml:space="preserve"> or </w:t>
      </w:r>
      <w:r>
        <w:rPr>
          <w:rFonts w:cs="Times New Roman"/>
          <w:szCs w:val="24"/>
          <w:lang w:eastAsia="ja-JP"/>
        </w:rPr>
        <w:t>annual review</w:t>
      </w:r>
      <w:r w:rsidRPr="00976A9A">
        <w:rPr>
          <w:rFonts w:cs="Times New Roman"/>
          <w:szCs w:val="24"/>
          <w:lang w:eastAsia="ja-JP"/>
        </w:rPr>
        <w:t xml:space="preserve"> has been recorded within the last twelve months (‘current </w:t>
      </w:r>
      <w:r>
        <w:rPr>
          <w:rFonts w:cs="Times New Roman"/>
          <w:szCs w:val="24"/>
          <w:lang w:eastAsia="ja-JP"/>
        </w:rPr>
        <w:t>care plan</w:t>
      </w:r>
      <w:r w:rsidRPr="00976A9A">
        <w:rPr>
          <w:rFonts w:cs="Times New Roman"/>
          <w:szCs w:val="24"/>
          <w:lang w:eastAsia="ja-JP"/>
        </w:rPr>
        <w:t xml:space="preserve">’ and ‘current </w:t>
      </w:r>
      <w:r>
        <w:rPr>
          <w:rFonts w:cs="Times New Roman"/>
          <w:szCs w:val="24"/>
          <w:lang w:eastAsia="ja-JP"/>
        </w:rPr>
        <w:t>annual review</w:t>
      </w:r>
      <w:r w:rsidRPr="00976A9A">
        <w:rPr>
          <w:rFonts w:cs="Times New Roman"/>
          <w:szCs w:val="24"/>
          <w:lang w:eastAsia="ja-JP"/>
        </w:rPr>
        <w:t xml:space="preserve">’). If a patient receives a further </w:t>
      </w:r>
      <w:r>
        <w:rPr>
          <w:rFonts w:cs="Times New Roman"/>
          <w:szCs w:val="24"/>
          <w:lang w:eastAsia="ja-JP"/>
        </w:rPr>
        <w:t>care plan</w:t>
      </w:r>
      <w:r w:rsidRPr="00976A9A">
        <w:rPr>
          <w:rFonts w:cs="Times New Roman"/>
          <w:szCs w:val="24"/>
          <w:lang w:eastAsia="ja-JP"/>
        </w:rPr>
        <w:t xml:space="preserve"> or </w:t>
      </w:r>
      <w:r>
        <w:rPr>
          <w:rFonts w:cs="Times New Roman"/>
          <w:szCs w:val="24"/>
          <w:lang w:eastAsia="ja-JP"/>
        </w:rPr>
        <w:t>annual review</w:t>
      </w:r>
      <w:r w:rsidRPr="00976A9A">
        <w:rPr>
          <w:rFonts w:cs="Times New Roman"/>
          <w:szCs w:val="24"/>
          <w:lang w:eastAsia="ja-JP"/>
        </w:rPr>
        <w:t xml:space="preserve"> within the twelve-month window, the ‘current</w:t>
      </w:r>
      <w:r>
        <w:rPr>
          <w:rFonts w:cs="Times New Roman"/>
          <w:szCs w:val="24"/>
          <w:lang w:eastAsia="ja-JP"/>
        </w:rPr>
        <w:t>’ period</w:t>
      </w:r>
      <w:r w:rsidRPr="00976A9A">
        <w:rPr>
          <w:rFonts w:cs="Times New Roman"/>
          <w:szCs w:val="24"/>
          <w:lang w:eastAsia="ja-JP"/>
        </w:rPr>
        <w:t xml:space="preserve"> is extended accordingly. </w:t>
      </w:r>
      <w:r>
        <w:rPr>
          <w:rFonts w:cs="Times New Roman"/>
          <w:szCs w:val="24"/>
          <w:lang w:eastAsia="ja-JP"/>
        </w:rPr>
        <w:t>A</w:t>
      </w:r>
      <w:r w:rsidRPr="00976A9A">
        <w:rPr>
          <w:rFonts w:cs="Times New Roman"/>
          <w:szCs w:val="24"/>
          <w:lang w:eastAsia="ja-JP"/>
        </w:rPr>
        <w:t xml:space="preserve"> third variable indicates that the patient received a </w:t>
      </w:r>
      <w:r>
        <w:rPr>
          <w:rFonts w:cs="Times New Roman"/>
          <w:szCs w:val="24"/>
          <w:lang w:eastAsia="ja-JP"/>
        </w:rPr>
        <w:t>care plan</w:t>
      </w:r>
      <w:r w:rsidRPr="00976A9A">
        <w:rPr>
          <w:rFonts w:cs="Times New Roman"/>
          <w:szCs w:val="24"/>
          <w:lang w:eastAsia="ja-JP"/>
        </w:rPr>
        <w:t xml:space="preserve"> more than t</w:t>
      </w:r>
      <w:r>
        <w:rPr>
          <w:rFonts w:cs="Times New Roman"/>
          <w:szCs w:val="24"/>
          <w:lang w:eastAsia="ja-JP"/>
        </w:rPr>
        <w:t>welve months ago (‘expired care plan</w:t>
      </w:r>
      <w:r w:rsidRPr="00976A9A">
        <w:rPr>
          <w:rFonts w:cs="Times New Roman"/>
          <w:szCs w:val="24"/>
          <w:lang w:eastAsia="ja-JP"/>
        </w:rPr>
        <w:t>’)</w:t>
      </w:r>
      <w:r>
        <w:rPr>
          <w:rFonts w:cs="Times New Roman"/>
          <w:szCs w:val="24"/>
          <w:lang w:eastAsia="ja-JP"/>
        </w:rPr>
        <w:t xml:space="preserve"> but none in the last twelve months (mutually exclusive with ‘current care plan’)</w:t>
      </w:r>
      <w:r w:rsidRPr="00976A9A">
        <w:rPr>
          <w:rFonts w:cs="Times New Roman"/>
          <w:szCs w:val="24"/>
          <w:lang w:eastAsia="ja-JP"/>
        </w:rPr>
        <w:t xml:space="preserve">. </w:t>
      </w:r>
    </w:p>
    <w:p w14:paraId="5C7900E6" w14:textId="7C423968" w:rsidR="005F06BD" w:rsidRDefault="005F06BD" w:rsidP="00ED1426">
      <w:pPr>
        <w:spacing w:after="0" w:line="480" w:lineRule="auto"/>
        <w:jc w:val="both"/>
        <w:rPr>
          <w:rFonts w:cs="Times New Roman"/>
        </w:rPr>
      </w:pPr>
    </w:p>
    <w:p w14:paraId="13A15301" w14:textId="7BB51A65" w:rsidR="00971864" w:rsidRDefault="00711DEA" w:rsidP="00711DEA">
      <w:pPr>
        <w:pStyle w:val="Heading2"/>
      </w:pPr>
      <w:r>
        <w:t>Control</w:t>
      </w:r>
      <w:r w:rsidR="00971864">
        <w:t xml:space="preserve"> variables </w:t>
      </w:r>
    </w:p>
    <w:p w14:paraId="38705132" w14:textId="742CB2EA" w:rsidR="00971864" w:rsidRDefault="00971864" w:rsidP="002C4060">
      <w:pPr>
        <w:spacing w:after="0" w:line="480" w:lineRule="auto"/>
        <w:jc w:val="both"/>
        <w:rPr>
          <w:rFonts w:cs="Times New Roman"/>
        </w:rPr>
      </w:pPr>
      <w:r>
        <w:rPr>
          <w:rFonts w:cs="Times New Roman"/>
        </w:rPr>
        <w:t xml:space="preserve">Using primary care data, we control for patients’ </w:t>
      </w:r>
      <w:r w:rsidR="002C4060">
        <w:rPr>
          <w:rFonts w:cs="Times New Roman"/>
        </w:rPr>
        <w:t xml:space="preserve">age, gender, ethnicity, deprivation </w:t>
      </w:r>
      <w:r w:rsidR="002E186E">
        <w:rPr>
          <w:rFonts w:cs="Times New Roman"/>
        </w:rPr>
        <w:t xml:space="preserve">profile </w:t>
      </w:r>
      <w:r w:rsidR="002C4060">
        <w:rPr>
          <w:rFonts w:cs="Times New Roman"/>
        </w:rPr>
        <w:t>of their area of residence</w:t>
      </w:r>
      <w:hyperlink w:anchor="_ENREF_30" w:tooltip="McLennan, 2011 #2410" w:history="1">
        <w:r w:rsidR="002025EA">
          <w:rPr>
            <w:rFonts w:cs="Times New Roman"/>
          </w:rPr>
          <w:fldChar w:fldCharType="begin"/>
        </w:r>
        <w:r w:rsidR="002025EA">
          <w:rPr>
            <w:rFonts w:cs="Times New Roman"/>
          </w:rPr>
          <w:instrText xml:space="preserve"> ADDIN EN.CITE &lt;EndNote&gt;&lt;Cite&gt;&lt;Author&gt;McLennan&lt;/Author&gt;&lt;Year&gt;2011&lt;/Year&gt;&lt;RecNum&gt;2410&lt;/RecNum&gt;&lt;DisplayText&gt;&lt;style face="superscript"&gt;30&lt;/style&gt;&lt;/DisplayText&gt;&lt;record&gt;&lt;rec-number&gt;2410&lt;/rec-number&gt;&lt;foreign-keys&gt;&lt;key app="EN" db-id="fsvar0xvyasaw1ets97x2v9h905eewfvf0zf" timestamp="1533303758"&gt;2410&lt;/key&gt;&lt;/foreign-keys&gt;&lt;ref-type name="Journal Article"&gt;17&lt;/ref-type&gt;&lt;contributors&gt;&lt;authors&gt;&lt;author&gt;McLennan, David&lt;/author&gt;&lt;author&gt;Barnes, Helen&lt;/author&gt;&lt;author&gt;Noble, Michael&lt;/author&gt;&lt;author&gt;Davies, Joanna&lt;/author&gt;&lt;author&gt;Garratt, Elisabeth&lt;/author&gt;&lt;author&gt;Dibben, Chris&lt;/author&gt;&lt;/authors&gt;&lt;/contributors&gt;&lt;titles&gt;&lt;title&gt;The English indices of deprivation 2010&lt;/title&gt;&lt;secondary-title&gt;London: Department for Communities and Local Government&lt;/secondary-title&gt;&lt;/titles&gt;&lt;periodical&gt;&lt;full-title&gt;London: Department for Communities and Local Government&lt;/full-title&gt;&lt;/periodical&gt;&lt;dates&gt;&lt;year&gt;2011&lt;/year&gt;&lt;/dates&gt;&lt;urls&gt;&lt;/urls&gt;&lt;/record&gt;&lt;/Cite&gt;&lt;/EndNote&gt;</w:instrText>
        </w:r>
        <w:r w:rsidR="002025EA">
          <w:rPr>
            <w:rFonts w:cs="Times New Roman"/>
          </w:rPr>
          <w:fldChar w:fldCharType="separate"/>
        </w:r>
        <w:r w:rsidR="002025EA" w:rsidRPr="003A7E5D">
          <w:rPr>
            <w:rFonts w:cs="Times New Roman"/>
            <w:noProof/>
            <w:vertAlign w:val="superscript"/>
          </w:rPr>
          <w:t>30</w:t>
        </w:r>
        <w:r w:rsidR="002025EA">
          <w:rPr>
            <w:rFonts w:cs="Times New Roman"/>
          </w:rPr>
          <w:fldChar w:fldCharType="end"/>
        </w:r>
      </w:hyperlink>
      <w:r w:rsidR="002C4060">
        <w:rPr>
          <w:rFonts w:cs="Times New Roman"/>
        </w:rPr>
        <w:t xml:space="preserve">, year of </w:t>
      </w:r>
      <w:r w:rsidR="008B2B05">
        <w:rPr>
          <w:rFonts w:cs="Times New Roman"/>
        </w:rPr>
        <w:t xml:space="preserve">SMI </w:t>
      </w:r>
      <w:r w:rsidR="002C4060">
        <w:rPr>
          <w:rFonts w:cs="Times New Roman"/>
        </w:rPr>
        <w:t xml:space="preserve">diagnosis, Charlson </w:t>
      </w:r>
      <w:r>
        <w:rPr>
          <w:rFonts w:cs="Times New Roman"/>
        </w:rPr>
        <w:t>comorbidities</w:t>
      </w:r>
      <w:hyperlink w:anchor="_ENREF_31" w:tooltip="Khan, 2010 #2411" w:history="1">
        <w:r w:rsidR="002025EA">
          <w:rPr>
            <w:rFonts w:cs="Times New Roman"/>
          </w:rPr>
          <w:fldChar w:fldCharType="begin"/>
        </w:r>
        <w:r w:rsidR="002025EA">
          <w:rPr>
            <w:rFonts w:cs="Times New Roman"/>
          </w:rPr>
          <w:instrText xml:space="preserve"> ADDIN EN.CITE &lt;EndNote&gt;&lt;Cite&gt;&lt;Author&gt;Khan&lt;/Author&gt;&lt;Year&gt;2010&lt;/Year&gt;&lt;RecNum&gt;2411&lt;/RecNum&gt;&lt;DisplayText&gt;&lt;style face="superscript"&gt;31&lt;/style&gt;&lt;/DisplayText&gt;&lt;record&gt;&lt;rec-number&gt;2411&lt;/rec-number&gt;&lt;foreign-keys&gt;&lt;key app="EN" db-id="fsvar0xvyasaw1ets97x2v9h905eewfvf0zf" timestamp="1533303931"&gt;2411&lt;/key&gt;&lt;/foreign-keys&gt;&lt;ref-type name="Journal Article"&gt;17&lt;/ref-type&gt;&lt;contributors&gt;&lt;authors&gt;&lt;author&gt;Khan, Nada F&lt;/author&gt;&lt;author&gt;Perera, Rafael&lt;/author&gt;&lt;author&gt;Harper, Stephen&lt;/author&gt;&lt;author&gt;Rose, Peter W&lt;/author&gt;&lt;/authors&gt;&lt;/contributors&gt;&lt;titles&gt;&lt;title&gt;Adaptation and validation of the Charlson Index for Read/OXMIS coded databases&lt;/title&gt;&lt;secondary-title&gt;BMC family practice&lt;/secondary-title&gt;&lt;/titles&gt;&lt;periodical&gt;&lt;full-title&gt;Bmc Family Practice&lt;/full-title&gt;&lt;abbr-1&gt;Bmc Fam Pract&lt;/abbr-1&gt;&lt;/periodical&gt;&lt;pages&gt;1&lt;/pages&gt;&lt;volume&gt;11&lt;/volume&gt;&lt;number&gt;1&lt;/number&gt;&lt;dates&gt;&lt;year&gt;2010&lt;/year&gt;&lt;/dates&gt;&lt;isbn&gt;1471-2296&lt;/isbn&gt;&lt;urls&gt;&lt;/urls&gt;&lt;/record&gt;&lt;/Cite&gt;&lt;/EndNote&gt;</w:instrText>
        </w:r>
        <w:r w:rsidR="002025EA">
          <w:rPr>
            <w:rFonts w:cs="Times New Roman"/>
          </w:rPr>
          <w:fldChar w:fldCharType="separate"/>
        </w:r>
        <w:r w:rsidR="002025EA" w:rsidRPr="003A7E5D">
          <w:rPr>
            <w:rFonts w:cs="Times New Roman"/>
            <w:noProof/>
            <w:vertAlign w:val="superscript"/>
          </w:rPr>
          <w:t>31</w:t>
        </w:r>
        <w:r w:rsidR="002025EA">
          <w:rPr>
            <w:rFonts w:cs="Times New Roman"/>
          </w:rPr>
          <w:fldChar w:fldCharType="end"/>
        </w:r>
      </w:hyperlink>
      <w:r w:rsidR="002C4060">
        <w:rPr>
          <w:rFonts w:cs="Times New Roman"/>
        </w:rPr>
        <w:t>, diagnosis of depression</w:t>
      </w:r>
      <w:r w:rsidR="008B2B05">
        <w:rPr>
          <w:rFonts w:cs="Times New Roman"/>
        </w:rPr>
        <w:t xml:space="preserve">, </w:t>
      </w:r>
      <w:r w:rsidR="002C4060">
        <w:rPr>
          <w:rFonts w:cs="Times New Roman"/>
        </w:rPr>
        <w:t>history of smoking, and number of primary care attendances in the year prior to diagnosis. Their diagnosis of SMI was classified as “schizophrenia and other psychoses”, “bipolar disorder and affective psychoses”, or both</w:t>
      </w:r>
      <w:r w:rsidR="00E16BD5">
        <w:rPr>
          <w:rFonts w:cs="Times New Roman"/>
        </w:rPr>
        <w:t>,</w:t>
      </w:r>
      <w:r w:rsidR="002C4060">
        <w:rPr>
          <w:rFonts w:cs="Times New Roman"/>
        </w:rPr>
        <w:t xml:space="preserve"> if the patient had both recorded. (See Supplementary Table 2 for a list of codes.) From HES data we capture number of hospital admissions in the year prior to diagnosis. </w:t>
      </w:r>
    </w:p>
    <w:bookmarkEnd w:id="19"/>
    <w:p w14:paraId="0B561B65" w14:textId="77777777" w:rsidR="0075015E" w:rsidRPr="0075015E" w:rsidRDefault="0075015E" w:rsidP="0075015E">
      <w:pPr>
        <w:spacing w:after="0" w:line="480" w:lineRule="auto"/>
        <w:jc w:val="both"/>
        <w:rPr>
          <w:rFonts w:cs="Times New Roman"/>
        </w:rPr>
      </w:pPr>
    </w:p>
    <w:p w14:paraId="016598BC" w14:textId="0F1F68ED" w:rsidR="003154C1" w:rsidRPr="00976A9A" w:rsidRDefault="00E5596C" w:rsidP="0098502A">
      <w:pPr>
        <w:pStyle w:val="Heading2"/>
      </w:pPr>
      <w:r>
        <w:lastRenderedPageBreak/>
        <w:t>Statistical analysis</w:t>
      </w:r>
    </w:p>
    <w:p w14:paraId="31A109C3" w14:textId="1CCB8FDA" w:rsidR="003154C1" w:rsidRPr="00976A9A" w:rsidRDefault="003154C1" w:rsidP="00DE39FC">
      <w:pPr>
        <w:spacing w:after="0" w:line="480" w:lineRule="auto"/>
        <w:jc w:val="both"/>
        <w:rPr>
          <w:rFonts w:cs="Times New Roman"/>
          <w:lang w:eastAsia="ja-JP"/>
        </w:rPr>
      </w:pPr>
      <w:r w:rsidRPr="00976A9A">
        <w:rPr>
          <w:rFonts w:cs="Times New Roman"/>
          <w:lang w:eastAsia="ja-JP"/>
        </w:rPr>
        <w:t xml:space="preserve">We estimate </w:t>
      </w:r>
      <w:r w:rsidR="00B737AE">
        <w:rPr>
          <w:rFonts w:cs="Times New Roman"/>
          <w:lang w:eastAsia="ja-JP"/>
        </w:rPr>
        <w:t xml:space="preserve">Cox </w:t>
      </w:r>
      <w:r w:rsidR="00316825">
        <w:rPr>
          <w:rFonts w:cs="Times New Roman"/>
          <w:lang w:eastAsia="ja-JP"/>
        </w:rPr>
        <w:t>survival</w:t>
      </w:r>
      <w:r w:rsidR="00B737AE">
        <w:rPr>
          <w:rFonts w:cs="Times New Roman"/>
          <w:lang w:eastAsia="ja-JP"/>
        </w:rPr>
        <w:t xml:space="preserve"> </w:t>
      </w:r>
      <w:r w:rsidRPr="00976A9A">
        <w:rPr>
          <w:rFonts w:cs="Times New Roman"/>
          <w:lang w:eastAsia="ja-JP"/>
        </w:rPr>
        <w:t>models</w:t>
      </w:r>
      <w:hyperlink w:anchor="_ENREF_32" w:tooltip="Cox, 1972 #2343" w:history="1">
        <w:r w:rsidR="002025EA">
          <w:rPr>
            <w:rFonts w:cs="Times New Roman"/>
            <w:lang w:eastAsia="ja-JP"/>
          </w:rPr>
          <w:fldChar w:fldCharType="begin"/>
        </w:r>
        <w:r w:rsidR="002025EA">
          <w:rPr>
            <w:rFonts w:cs="Times New Roman"/>
            <w:lang w:eastAsia="ja-JP"/>
          </w:rPr>
          <w:instrText xml:space="preserve"> ADDIN EN.CITE &lt;EndNote&gt;&lt;Cite&gt;&lt;Author&gt;Cox&lt;/Author&gt;&lt;Year&gt;1972&lt;/Year&gt;&lt;RecNum&gt;2343&lt;/RecNum&gt;&lt;DisplayText&gt;&lt;style face="superscript"&gt;32&lt;/style&gt;&lt;/DisplayText&gt;&lt;record&gt;&lt;rec-number&gt;2343&lt;/rec-number&gt;&lt;foreign-keys&gt;&lt;key app="EN" db-id="fsvar0xvyasaw1ets97x2v9h905eewfvf0zf" timestamp="1519754539"&gt;2343&lt;/key&gt;&lt;/foreign-keys&gt;&lt;ref-type name="Journal Article"&gt;17&lt;/ref-type&gt;&lt;contributors&gt;&lt;authors&gt;&lt;author&gt;Cox, D. R.&lt;/author&gt;&lt;/authors&gt;&lt;/contributors&gt;&lt;titles&gt;&lt;title&gt;Regression Models and Life-Tables&lt;/title&gt;&lt;secondary-title&gt;Journal of the Royal Statistical Society. Series B (Methodological)&lt;/secondary-title&gt;&lt;/titles&gt;&lt;periodical&gt;&lt;full-title&gt;Journal of the Royal Statistical Society. Series B (Methodological)&lt;/full-title&gt;&lt;/periodical&gt;&lt;pages&gt;187-220&lt;/pages&gt;&lt;volume&gt;34&lt;/volume&gt;&lt;number&gt;2&lt;/number&gt;&lt;dates&gt;&lt;year&gt;1972&lt;/year&gt;&lt;/dates&gt;&lt;publisher&gt;[Royal Statistical Society, Wiley]&lt;/publisher&gt;&lt;isbn&gt;00359246&lt;/isbn&gt;&lt;urls&gt;&lt;related-urls&gt;&lt;url&gt;http://www.jstor.org/stable/2985181&lt;/url&gt;&lt;/related-urls&gt;&lt;/urls&gt;&lt;custom1&gt;Full publication date: 1972&lt;/custom1&gt;&lt;/record&gt;&lt;/Cite&gt;&lt;/EndNote&gt;</w:instrText>
        </w:r>
        <w:r w:rsidR="002025EA">
          <w:rPr>
            <w:rFonts w:cs="Times New Roman"/>
            <w:lang w:eastAsia="ja-JP"/>
          </w:rPr>
          <w:fldChar w:fldCharType="separate"/>
        </w:r>
        <w:r w:rsidR="002025EA" w:rsidRPr="003A7E5D">
          <w:rPr>
            <w:rFonts w:cs="Times New Roman"/>
            <w:noProof/>
            <w:vertAlign w:val="superscript"/>
            <w:lang w:eastAsia="ja-JP"/>
          </w:rPr>
          <w:t>32</w:t>
        </w:r>
        <w:r w:rsidR="002025EA">
          <w:rPr>
            <w:rFonts w:cs="Times New Roman"/>
            <w:lang w:eastAsia="ja-JP"/>
          </w:rPr>
          <w:fldChar w:fldCharType="end"/>
        </w:r>
      </w:hyperlink>
      <w:r w:rsidR="00434DB4">
        <w:rPr>
          <w:rFonts w:cs="Times New Roman"/>
          <w:lang w:eastAsia="ja-JP"/>
        </w:rPr>
        <w:t>, examining</w:t>
      </w:r>
      <w:r w:rsidRPr="00976A9A">
        <w:rPr>
          <w:rFonts w:cs="Times New Roman"/>
          <w:lang w:eastAsia="ja-JP"/>
        </w:rPr>
        <w:t xml:space="preserve"> </w:t>
      </w:r>
      <w:r w:rsidR="00434DB4">
        <w:rPr>
          <w:rFonts w:cs="Times New Roman"/>
          <w:lang w:eastAsia="ja-JP"/>
        </w:rPr>
        <w:t>duration</w:t>
      </w:r>
      <w:r w:rsidR="00434DB4" w:rsidRPr="00976A9A">
        <w:rPr>
          <w:rFonts w:cs="Times New Roman"/>
          <w:lang w:eastAsia="ja-JP"/>
        </w:rPr>
        <w:t xml:space="preserve"> from SMI diagnosis to </w:t>
      </w:r>
      <w:r w:rsidR="00434DB4">
        <w:rPr>
          <w:rFonts w:cs="Times New Roman"/>
          <w:lang w:eastAsia="ja-JP"/>
        </w:rPr>
        <w:t>e</w:t>
      </w:r>
      <w:r w:rsidRPr="00976A9A">
        <w:rPr>
          <w:rFonts w:cs="Times New Roman"/>
          <w:lang w:eastAsia="ja-JP"/>
        </w:rPr>
        <w:t>ach of the three outcomes</w:t>
      </w:r>
      <w:r w:rsidR="002E186E">
        <w:rPr>
          <w:rFonts w:cs="Times New Roman"/>
          <w:lang w:eastAsia="ja-JP"/>
        </w:rPr>
        <w:t xml:space="preserve"> separately</w:t>
      </w:r>
      <w:r w:rsidR="005D009C">
        <w:rPr>
          <w:rFonts w:cs="Times New Roman"/>
          <w:lang w:eastAsia="ja-JP"/>
        </w:rPr>
        <w:t>:</w:t>
      </w:r>
      <w:r w:rsidR="004F338D">
        <w:rPr>
          <w:rFonts w:cs="Times New Roman"/>
          <w:lang w:eastAsia="ja-JP"/>
        </w:rPr>
        <w:t xml:space="preserve"> </w:t>
      </w:r>
      <w:r w:rsidRPr="00976A9A">
        <w:rPr>
          <w:rFonts w:cs="Times New Roman"/>
          <w:lang w:eastAsia="ja-JP"/>
        </w:rPr>
        <w:t xml:space="preserve">first </w:t>
      </w:r>
      <w:r w:rsidR="0075015E">
        <w:rPr>
          <w:rFonts w:cs="Times New Roman"/>
          <w:lang w:eastAsia="ja-JP"/>
        </w:rPr>
        <w:t xml:space="preserve">A&amp;E presentation, first </w:t>
      </w:r>
      <w:r w:rsidRPr="00976A9A">
        <w:rPr>
          <w:rFonts w:cs="Times New Roman"/>
          <w:lang w:eastAsia="ja-JP"/>
        </w:rPr>
        <w:t xml:space="preserve">SMI admission, </w:t>
      </w:r>
      <w:r w:rsidR="0075015E">
        <w:rPr>
          <w:rFonts w:cs="Times New Roman"/>
          <w:lang w:eastAsia="ja-JP"/>
        </w:rPr>
        <w:t>and first ACSC admission</w:t>
      </w:r>
      <w:r w:rsidRPr="00976A9A">
        <w:rPr>
          <w:rFonts w:cs="Times New Roman"/>
          <w:lang w:eastAsia="ja-JP"/>
        </w:rPr>
        <w:t>. We follow each individual until the outcome of interest or until censoring. Censoring can occur because i) a patient dies, ii) registration with the practice ends, or iii) the study period</w:t>
      </w:r>
      <w:r w:rsidR="00FD640A" w:rsidRPr="00976A9A">
        <w:rPr>
          <w:rFonts w:cs="Times New Roman"/>
          <w:lang w:eastAsia="ja-JP"/>
        </w:rPr>
        <w:t xml:space="preserve"> ends</w:t>
      </w:r>
      <w:r w:rsidRPr="00976A9A">
        <w:rPr>
          <w:rFonts w:cs="Times New Roman"/>
          <w:lang w:eastAsia="ja-JP"/>
        </w:rPr>
        <w:t xml:space="preserve"> (</w:t>
      </w:r>
      <w:r w:rsidR="00FD640A" w:rsidRPr="00976A9A">
        <w:rPr>
          <w:rFonts w:cs="Times New Roman"/>
          <w:lang w:eastAsia="ja-JP"/>
        </w:rPr>
        <w:t>i.e.</w:t>
      </w:r>
      <w:r w:rsidRPr="00976A9A">
        <w:rPr>
          <w:rFonts w:cs="Times New Roman"/>
          <w:lang w:eastAsia="ja-JP"/>
        </w:rPr>
        <w:t xml:space="preserve"> the patient is still </w:t>
      </w:r>
      <w:r w:rsidR="00E900A3" w:rsidRPr="00976A9A">
        <w:rPr>
          <w:rFonts w:cs="Times New Roman"/>
          <w:lang w:eastAsia="ja-JP"/>
        </w:rPr>
        <w:t>registered</w:t>
      </w:r>
      <w:r w:rsidRPr="00976A9A">
        <w:rPr>
          <w:rFonts w:cs="Times New Roman"/>
          <w:lang w:eastAsia="ja-JP"/>
        </w:rPr>
        <w:t xml:space="preserve"> on 31 March 2014). </w:t>
      </w:r>
    </w:p>
    <w:p w14:paraId="0A0050CA" w14:textId="77777777" w:rsidR="00EE33BB" w:rsidRPr="00976A9A" w:rsidRDefault="00EE33BB" w:rsidP="00DE39FC">
      <w:pPr>
        <w:spacing w:after="0" w:line="480" w:lineRule="auto"/>
        <w:jc w:val="both"/>
        <w:rPr>
          <w:rFonts w:cs="Times New Roman"/>
        </w:rPr>
      </w:pPr>
    </w:p>
    <w:p w14:paraId="41E33AD5" w14:textId="2482CA4E" w:rsidR="003154C1" w:rsidRDefault="00CF07A6" w:rsidP="00E642EE">
      <w:pPr>
        <w:spacing w:after="0" w:line="480" w:lineRule="auto"/>
        <w:jc w:val="both"/>
        <w:rPr>
          <w:rFonts w:cs="Times New Roman"/>
        </w:rPr>
      </w:pPr>
      <w:hyperlink w:anchor="_ENREF_32" w:tooltip="Khan, 2010 #95" w:history="1"/>
      <w:r w:rsidR="00E5596C">
        <w:rPr>
          <w:rFonts w:cs="Times New Roman"/>
          <w:szCs w:val="24"/>
        </w:rPr>
        <w:t xml:space="preserve">In the Cox model the </w:t>
      </w:r>
      <w:r w:rsidR="00E5596C">
        <w:rPr>
          <w:rFonts w:cs="Times New Roman"/>
        </w:rPr>
        <w:t xml:space="preserve">hazard of the outcome occurring is a function of the baseline hazard, the care indicators, and </w:t>
      </w:r>
      <w:r w:rsidR="00E5596C">
        <w:rPr>
          <w:rFonts w:cs="Times New Roman"/>
          <w:szCs w:val="24"/>
        </w:rPr>
        <w:t>p</w:t>
      </w:r>
      <w:r w:rsidR="00090A52">
        <w:rPr>
          <w:rFonts w:cs="Times New Roman"/>
          <w:szCs w:val="24"/>
        </w:rPr>
        <w:t xml:space="preserve">atient </w:t>
      </w:r>
      <w:r w:rsidR="009C404E">
        <w:rPr>
          <w:rFonts w:cs="Times New Roman"/>
          <w:szCs w:val="24"/>
        </w:rPr>
        <w:t xml:space="preserve">demographic and </w:t>
      </w:r>
      <w:r w:rsidR="008B2B05">
        <w:rPr>
          <w:rFonts w:cs="Times New Roman"/>
          <w:szCs w:val="24"/>
        </w:rPr>
        <w:t xml:space="preserve">clinical </w:t>
      </w:r>
      <w:r w:rsidR="009C404E">
        <w:rPr>
          <w:rFonts w:cs="Times New Roman"/>
          <w:szCs w:val="24"/>
        </w:rPr>
        <w:t>characteristics</w:t>
      </w:r>
      <w:r w:rsidR="00E5596C">
        <w:rPr>
          <w:rFonts w:cs="Times New Roman"/>
          <w:szCs w:val="24"/>
        </w:rPr>
        <w:t xml:space="preserve">. In the main model, we </w:t>
      </w:r>
      <w:r w:rsidR="00D40667">
        <w:rPr>
          <w:rFonts w:cs="Times New Roman"/>
          <w:szCs w:val="24"/>
        </w:rPr>
        <w:t>assume</w:t>
      </w:r>
      <w:r w:rsidR="00E5596C">
        <w:rPr>
          <w:rFonts w:cs="Times New Roman"/>
          <w:szCs w:val="24"/>
        </w:rPr>
        <w:t xml:space="preserve"> patient characteristics</w:t>
      </w:r>
      <w:r w:rsidR="00D40667">
        <w:rPr>
          <w:rFonts w:cs="Times New Roman"/>
          <w:szCs w:val="24"/>
        </w:rPr>
        <w:t xml:space="preserve"> </w:t>
      </w:r>
      <w:r w:rsidR="00F755EB">
        <w:rPr>
          <w:rFonts w:cs="Times New Roman"/>
          <w:szCs w:val="24"/>
        </w:rPr>
        <w:t xml:space="preserve">to be </w:t>
      </w:r>
      <w:r w:rsidR="00D40667">
        <w:rPr>
          <w:rFonts w:cs="Times New Roman"/>
          <w:szCs w:val="24"/>
        </w:rPr>
        <w:t>fixed</w:t>
      </w:r>
      <w:r w:rsidR="00E5596C">
        <w:rPr>
          <w:rFonts w:cs="Times New Roman"/>
          <w:szCs w:val="24"/>
        </w:rPr>
        <w:t xml:space="preserve"> at baseline, while the care indicators may vary over time. (Further details available in supplementary material.) </w:t>
      </w:r>
      <w:r w:rsidR="00906963" w:rsidRPr="00976A9A">
        <w:rPr>
          <w:rFonts w:cs="Times New Roman"/>
          <w:szCs w:val="24"/>
        </w:rPr>
        <w:t>We stratify on practice</w:t>
      </w:r>
      <w:r w:rsidR="009C404E">
        <w:rPr>
          <w:rFonts w:cs="Times New Roman"/>
          <w:szCs w:val="24"/>
        </w:rPr>
        <w:t>,</w:t>
      </w:r>
      <w:r w:rsidR="00F1609B">
        <w:rPr>
          <w:rFonts w:cs="Times New Roman"/>
          <w:szCs w:val="24"/>
        </w:rPr>
        <w:t xml:space="preserve"> </w:t>
      </w:r>
      <w:r w:rsidR="00906963" w:rsidRPr="00976A9A">
        <w:rPr>
          <w:rFonts w:cs="Times New Roman"/>
          <w:szCs w:val="24"/>
        </w:rPr>
        <w:t>so that the baseline haza</w:t>
      </w:r>
      <w:r w:rsidR="008A4803">
        <w:rPr>
          <w:rFonts w:cs="Times New Roman"/>
          <w:szCs w:val="24"/>
        </w:rPr>
        <w:t>rd varies a</w:t>
      </w:r>
      <w:r w:rsidR="00906963" w:rsidRPr="00976A9A">
        <w:rPr>
          <w:rFonts w:cs="Times New Roman"/>
          <w:szCs w:val="24"/>
        </w:rPr>
        <w:t xml:space="preserve">cross practices, to allow for </w:t>
      </w:r>
      <w:r w:rsidR="004E2439">
        <w:rPr>
          <w:rFonts w:cs="Times New Roman"/>
          <w:szCs w:val="24"/>
        </w:rPr>
        <w:t xml:space="preserve">unobserved </w:t>
      </w:r>
      <w:r w:rsidR="00906963" w:rsidRPr="00976A9A">
        <w:rPr>
          <w:rFonts w:cs="Times New Roman"/>
          <w:szCs w:val="24"/>
        </w:rPr>
        <w:t xml:space="preserve">differences in patient populations and practice </w:t>
      </w:r>
      <w:r w:rsidR="00D15201" w:rsidRPr="00976A9A">
        <w:rPr>
          <w:rFonts w:cs="Times New Roman"/>
          <w:szCs w:val="24"/>
        </w:rPr>
        <w:t>characteristics</w:t>
      </w:r>
      <w:r w:rsidR="008B2B05">
        <w:rPr>
          <w:rFonts w:cs="Times New Roman"/>
          <w:szCs w:val="24"/>
        </w:rPr>
        <w:t>, and</w:t>
      </w:r>
      <w:r w:rsidR="00A11062">
        <w:rPr>
          <w:rFonts w:cs="Times New Roman"/>
          <w:szCs w:val="24"/>
        </w:rPr>
        <w:t xml:space="preserve"> </w:t>
      </w:r>
      <w:r w:rsidR="00E5596C">
        <w:rPr>
          <w:rFonts w:cs="Times New Roman"/>
          <w:szCs w:val="24"/>
        </w:rPr>
        <w:t>s</w:t>
      </w:r>
      <w:r w:rsidR="00D40667">
        <w:rPr>
          <w:rFonts w:cs="Times New Roman"/>
          <w:szCs w:val="24"/>
        </w:rPr>
        <w:t xml:space="preserve">tandard errors are </w:t>
      </w:r>
      <w:r w:rsidR="00E5596C">
        <w:rPr>
          <w:rFonts w:cs="Times New Roman"/>
          <w:szCs w:val="24"/>
        </w:rPr>
        <w:t xml:space="preserve">adjusted for </w:t>
      </w:r>
      <w:r w:rsidR="00D40667">
        <w:rPr>
          <w:rFonts w:cs="Times New Roman"/>
          <w:szCs w:val="24"/>
        </w:rPr>
        <w:t>cluster</w:t>
      </w:r>
      <w:r w:rsidR="00E5596C">
        <w:rPr>
          <w:rFonts w:cs="Times New Roman"/>
          <w:szCs w:val="24"/>
        </w:rPr>
        <w:t>ing</w:t>
      </w:r>
      <w:r w:rsidR="00D40667">
        <w:rPr>
          <w:rFonts w:cs="Times New Roman"/>
          <w:szCs w:val="24"/>
        </w:rPr>
        <w:t xml:space="preserve"> at practice level</w:t>
      </w:r>
      <w:r w:rsidR="00D40667" w:rsidRPr="00D40667">
        <w:rPr>
          <w:rFonts w:cs="Times New Roman"/>
          <w:szCs w:val="24"/>
        </w:rPr>
        <w:t xml:space="preserve"> </w:t>
      </w:r>
      <w:r w:rsidR="00D40667">
        <w:rPr>
          <w:rFonts w:cs="Times New Roman"/>
          <w:szCs w:val="24"/>
        </w:rPr>
        <w:t xml:space="preserve">to account for within-practice correlation. Coefficient estimates are presented as </w:t>
      </w:r>
      <w:r w:rsidR="00D40667" w:rsidRPr="00976A9A">
        <w:rPr>
          <w:rFonts w:cs="Times New Roman"/>
          <w:szCs w:val="24"/>
        </w:rPr>
        <w:t>hazard ratio</w:t>
      </w:r>
      <w:r w:rsidR="00D40667">
        <w:rPr>
          <w:rFonts w:cs="Times New Roman"/>
          <w:szCs w:val="24"/>
        </w:rPr>
        <w:t>s</w:t>
      </w:r>
      <w:r w:rsidR="00D40667" w:rsidRPr="00976A9A">
        <w:rPr>
          <w:rFonts w:cs="Times New Roman"/>
          <w:szCs w:val="24"/>
        </w:rPr>
        <w:t xml:space="preserve"> (HR</w:t>
      </w:r>
      <w:r w:rsidR="00D40667">
        <w:rPr>
          <w:rFonts w:cs="Times New Roman"/>
          <w:szCs w:val="24"/>
        </w:rPr>
        <w:t>s</w:t>
      </w:r>
      <w:r w:rsidR="00D40667" w:rsidRPr="00976A9A">
        <w:rPr>
          <w:rFonts w:cs="Times New Roman"/>
          <w:szCs w:val="24"/>
        </w:rPr>
        <w:t>)</w:t>
      </w:r>
      <w:r w:rsidR="00D40667">
        <w:rPr>
          <w:rFonts w:cs="Times New Roman"/>
          <w:szCs w:val="24"/>
        </w:rPr>
        <w:t xml:space="preserve"> with associated 95% confidence intervals (CIs), where values </w:t>
      </w:r>
      <w:r w:rsidR="00D40667" w:rsidRPr="00976A9A">
        <w:rPr>
          <w:rFonts w:cs="Times New Roman"/>
        </w:rPr>
        <w:t>greater than 1 indicate an increase in the hazard of the outcome associated with a unit change in the explanatory variable, and vice versa for a HR below 1.</w:t>
      </w:r>
      <w:r w:rsidR="00D40667">
        <w:rPr>
          <w:rFonts w:cs="Times New Roman"/>
        </w:rPr>
        <w:t xml:space="preserve"> All analyses were performed in Stata 14 (StataCorp LP, College Station, TX, US).</w:t>
      </w:r>
    </w:p>
    <w:p w14:paraId="4554C456" w14:textId="77777777" w:rsidR="00D40667" w:rsidRPr="00976A9A" w:rsidRDefault="00D40667" w:rsidP="00E642EE">
      <w:pPr>
        <w:spacing w:after="0" w:line="480" w:lineRule="auto"/>
        <w:jc w:val="both"/>
        <w:rPr>
          <w:rFonts w:cs="Times New Roman"/>
          <w:szCs w:val="24"/>
        </w:rPr>
      </w:pPr>
    </w:p>
    <w:p w14:paraId="5FFCF19B" w14:textId="77777777" w:rsidR="003154C1" w:rsidRPr="00976A9A" w:rsidRDefault="003154C1" w:rsidP="003D34B8">
      <w:pPr>
        <w:pStyle w:val="Heading2"/>
        <w:spacing w:after="0" w:line="480" w:lineRule="auto"/>
        <w:rPr>
          <w:rFonts w:cs="Times New Roman"/>
        </w:rPr>
      </w:pPr>
      <w:r w:rsidRPr="00976A9A">
        <w:rPr>
          <w:rFonts w:cs="Times New Roman"/>
        </w:rPr>
        <w:t>Sensitivity analyses</w:t>
      </w:r>
    </w:p>
    <w:p w14:paraId="0F6E1B43" w14:textId="146874BF" w:rsidR="00D237C5" w:rsidRDefault="003154C1" w:rsidP="003D34B8">
      <w:pPr>
        <w:spacing w:after="0" w:line="480" w:lineRule="auto"/>
        <w:rPr>
          <w:rFonts w:cs="Times New Roman"/>
        </w:rPr>
      </w:pPr>
      <w:r w:rsidRPr="00976A9A">
        <w:t xml:space="preserve">We </w:t>
      </w:r>
      <w:r w:rsidR="00E574C0">
        <w:t xml:space="preserve">undertake </w:t>
      </w:r>
      <w:r w:rsidR="00E96899">
        <w:t>five</w:t>
      </w:r>
      <w:r w:rsidR="00E574C0">
        <w:t xml:space="preserve"> tests of the sensitivity </w:t>
      </w:r>
      <w:r w:rsidRPr="00976A9A">
        <w:t>of our findings to alternate specifications of the model</w:t>
      </w:r>
      <w:r w:rsidR="00E574C0">
        <w:t xml:space="preserve">. </w:t>
      </w:r>
      <w:r w:rsidRPr="00976A9A">
        <w:t>First,</w:t>
      </w:r>
      <w:r w:rsidR="00000E1A" w:rsidRPr="00976A9A">
        <w:t xml:space="preserve"> we </w:t>
      </w:r>
      <w:r w:rsidR="00663829">
        <w:t>test the robustness of</w:t>
      </w:r>
      <w:r w:rsidR="00663829" w:rsidRPr="00976A9A">
        <w:t xml:space="preserve"> </w:t>
      </w:r>
      <w:r w:rsidR="00585BB6" w:rsidRPr="00976A9A">
        <w:t xml:space="preserve">the </w:t>
      </w:r>
      <w:r w:rsidR="008B7DC4">
        <w:t>annual review</w:t>
      </w:r>
      <w:r w:rsidR="00585BB6" w:rsidRPr="00976A9A">
        <w:t xml:space="preserve"> variable, which</w:t>
      </w:r>
      <w:r w:rsidRPr="00976A9A">
        <w:t xml:space="preserve"> </w:t>
      </w:r>
      <w:r w:rsidR="00000E1A" w:rsidRPr="00976A9A">
        <w:t xml:space="preserve">in </w:t>
      </w:r>
      <w:r w:rsidRPr="00976A9A">
        <w:t>our main analysis</w:t>
      </w:r>
      <w:r w:rsidR="00585BB6" w:rsidRPr="00976A9A">
        <w:t xml:space="preserve"> </w:t>
      </w:r>
      <w:r w:rsidRPr="00976A9A">
        <w:t xml:space="preserve">is </w:t>
      </w:r>
      <w:r w:rsidRPr="00976A9A">
        <w:rPr>
          <w:rFonts w:cs="Times New Roman"/>
        </w:rPr>
        <w:t xml:space="preserve">the composite indicator constructed from both the </w:t>
      </w:r>
      <w:r w:rsidR="00E5596C">
        <w:rPr>
          <w:rFonts w:cs="Times New Roman"/>
        </w:rPr>
        <w:t>QOF-specified</w:t>
      </w:r>
      <w:r w:rsidR="00E5596C" w:rsidRPr="00976A9A">
        <w:rPr>
          <w:rFonts w:cs="Times New Roman"/>
        </w:rPr>
        <w:t xml:space="preserve"> </w:t>
      </w:r>
      <w:r w:rsidR="008B2B05">
        <w:rPr>
          <w:rFonts w:cs="Times New Roman"/>
        </w:rPr>
        <w:lastRenderedPageBreak/>
        <w:t>Read</w:t>
      </w:r>
      <w:r w:rsidR="00585BB6" w:rsidRPr="00976A9A">
        <w:rPr>
          <w:rFonts w:cs="Times New Roman"/>
        </w:rPr>
        <w:t xml:space="preserve"> </w:t>
      </w:r>
      <w:r w:rsidRPr="00976A9A">
        <w:rPr>
          <w:rFonts w:cs="Times New Roman"/>
        </w:rPr>
        <w:t xml:space="preserve">codes and the </w:t>
      </w:r>
      <w:r w:rsidR="00000E1A" w:rsidRPr="00976A9A">
        <w:rPr>
          <w:rFonts w:cs="Times New Roman"/>
        </w:rPr>
        <w:t xml:space="preserve">specific health </w:t>
      </w:r>
      <w:r w:rsidRPr="00976A9A">
        <w:rPr>
          <w:rFonts w:cs="Times New Roman"/>
        </w:rPr>
        <w:t xml:space="preserve">checks that contribute to such reviews. We explore the impact of restricting </w:t>
      </w:r>
      <w:r w:rsidR="00585BB6" w:rsidRPr="00976A9A">
        <w:rPr>
          <w:rFonts w:cs="Times New Roman"/>
        </w:rPr>
        <w:t xml:space="preserve">this </w:t>
      </w:r>
      <w:r w:rsidRPr="00976A9A">
        <w:rPr>
          <w:rFonts w:cs="Times New Roman"/>
        </w:rPr>
        <w:t xml:space="preserve">to the </w:t>
      </w:r>
      <w:r w:rsidR="00E5596C">
        <w:rPr>
          <w:rFonts w:cs="Times New Roman"/>
        </w:rPr>
        <w:t>QOF-specified</w:t>
      </w:r>
      <w:r w:rsidR="00E5596C" w:rsidRPr="00976A9A">
        <w:rPr>
          <w:rFonts w:cs="Times New Roman"/>
        </w:rPr>
        <w:t xml:space="preserve"> </w:t>
      </w:r>
      <w:r w:rsidR="008B2B05">
        <w:rPr>
          <w:rFonts w:cs="Times New Roman"/>
        </w:rPr>
        <w:t>Read</w:t>
      </w:r>
      <w:r w:rsidRPr="00976A9A">
        <w:rPr>
          <w:rFonts w:cs="Times New Roman"/>
        </w:rPr>
        <w:t xml:space="preserve"> codes, </w:t>
      </w:r>
      <w:r w:rsidR="00585BB6" w:rsidRPr="00976A9A">
        <w:rPr>
          <w:rFonts w:cs="Times New Roman"/>
        </w:rPr>
        <w:t xml:space="preserve">which necessitates </w:t>
      </w:r>
      <w:r w:rsidRPr="00976A9A">
        <w:rPr>
          <w:rFonts w:cs="Times New Roman"/>
        </w:rPr>
        <w:t>limiting the observation period to 2006/07 to 2010/11</w:t>
      </w:r>
      <w:r w:rsidR="001D4D39">
        <w:rPr>
          <w:rFonts w:cs="Times New Roman"/>
        </w:rPr>
        <w:t xml:space="preserve"> (or 2007/08 to 2010/11 for the A&amp;E outcome)</w:t>
      </w:r>
      <w:r w:rsidR="00585BB6" w:rsidRPr="00976A9A">
        <w:rPr>
          <w:rFonts w:cs="Times New Roman"/>
        </w:rPr>
        <w:t xml:space="preserve">. </w:t>
      </w:r>
      <w:r w:rsidRPr="00976A9A">
        <w:rPr>
          <w:rFonts w:cs="Times New Roman"/>
        </w:rPr>
        <w:t xml:space="preserve">Second, we </w:t>
      </w:r>
      <w:r w:rsidR="00D919B0">
        <w:rPr>
          <w:rFonts w:cs="Times New Roman"/>
        </w:rPr>
        <w:t>assume the</w:t>
      </w:r>
      <w:r w:rsidRPr="00976A9A">
        <w:rPr>
          <w:rFonts w:cs="Times New Roman"/>
        </w:rPr>
        <w:t xml:space="preserve"> indicator</w:t>
      </w:r>
      <w:r w:rsidR="00D919B0">
        <w:rPr>
          <w:rFonts w:cs="Times New Roman"/>
        </w:rPr>
        <w:t>s</w:t>
      </w:r>
      <w:r w:rsidRPr="00976A9A">
        <w:rPr>
          <w:rFonts w:cs="Times New Roman"/>
        </w:rPr>
        <w:t xml:space="preserve"> </w:t>
      </w:r>
      <w:r w:rsidR="00DF6550">
        <w:rPr>
          <w:rFonts w:cs="Times New Roman"/>
        </w:rPr>
        <w:t>expire after</w:t>
      </w:r>
      <w:r w:rsidR="00D15201" w:rsidRPr="00976A9A">
        <w:rPr>
          <w:rFonts w:cs="Times New Roman"/>
        </w:rPr>
        <w:t xml:space="preserve"> 15 months</w:t>
      </w:r>
      <w:r w:rsidR="00D919B0">
        <w:rPr>
          <w:rFonts w:cs="Times New Roman"/>
        </w:rPr>
        <w:t xml:space="preserve"> instead of 12 months</w:t>
      </w:r>
      <w:r w:rsidR="00D15201" w:rsidRPr="00976A9A">
        <w:rPr>
          <w:rFonts w:cs="Times New Roman"/>
        </w:rPr>
        <w:t>.</w:t>
      </w:r>
      <w:r w:rsidR="005D31BF">
        <w:rPr>
          <w:rFonts w:cs="Times New Roman"/>
        </w:rPr>
        <w:t xml:space="preserve"> </w:t>
      </w:r>
      <w:r w:rsidR="00585BB6" w:rsidRPr="00976A9A">
        <w:rPr>
          <w:rFonts w:cs="Times New Roman"/>
        </w:rPr>
        <w:t xml:space="preserve">Third, </w:t>
      </w:r>
      <w:r w:rsidR="009912BA">
        <w:rPr>
          <w:rFonts w:cs="Times New Roman"/>
        </w:rPr>
        <w:t xml:space="preserve">instead of fixing the number of Charlson comorbidities at baseline, we allow this to </w:t>
      </w:r>
      <w:r w:rsidR="00D919B0">
        <w:rPr>
          <w:rFonts w:cs="Times New Roman"/>
        </w:rPr>
        <w:t>increase</w:t>
      </w:r>
      <w:r w:rsidR="009912BA">
        <w:rPr>
          <w:rFonts w:cs="Times New Roman"/>
        </w:rPr>
        <w:t xml:space="preserve"> over the period of observation </w:t>
      </w:r>
      <w:r w:rsidR="00D919B0">
        <w:rPr>
          <w:rFonts w:cs="Times New Roman"/>
        </w:rPr>
        <w:t>if</w:t>
      </w:r>
      <w:r w:rsidR="009912BA">
        <w:rPr>
          <w:rFonts w:cs="Times New Roman"/>
        </w:rPr>
        <w:t xml:space="preserve"> </w:t>
      </w:r>
      <w:r w:rsidR="00671133">
        <w:rPr>
          <w:rFonts w:cs="Times New Roman"/>
        </w:rPr>
        <w:t>patients</w:t>
      </w:r>
      <w:r w:rsidR="009912BA">
        <w:rPr>
          <w:rFonts w:cs="Times New Roman"/>
        </w:rPr>
        <w:t xml:space="preserve"> </w:t>
      </w:r>
      <w:r w:rsidR="00D919B0">
        <w:rPr>
          <w:rFonts w:cs="Times New Roman"/>
        </w:rPr>
        <w:t>are</w:t>
      </w:r>
      <w:r w:rsidR="009912BA">
        <w:rPr>
          <w:rFonts w:cs="Times New Roman"/>
        </w:rPr>
        <w:t xml:space="preserve"> diagnosed with new </w:t>
      </w:r>
      <w:r w:rsidR="00D919B0">
        <w:rPr>
          <w:rFonts w:cs="Times New Roman"/>
        </w:rPr>
        <w:t>comorbidities</w:t>
      </w:r>
      <w:r w:rsidR="009912BA">
        <w:rPr>
          <w:rFonts w:cs="Times New Roman"/>
        </w:rPr>
        <w:t xml:space="preserve">. </w:t>
      </w:r>
      <w:r w:rsidR="005D31BF">
        <w:rPr>
          <w:rFonts w:cs="Times New Roman"/>
        </w:rPr>
        <w:t xml:space="preserve"> </w:t>
      </w:r>
      <w:bookmarkStart w:id="20" w:name="_Toc369194901"/>
      <w:bookmarkStart w:id="21" w:name="_Toc369697036"/>
      <w:bookmarkStart w:id="22" w:name="_Toc370128647"/>
      <w:bookmarkStart w:id="23" w:name="_Toc370308483"/>
      <w:bookmarkStart w:id="24" w:name="_Toc443297919"/>
      <w:bookmarkStart w:id="25" w:name="_Toc444002021"/>
      <w:r w:rsidR="00E96899">
        <w:rPr>
          <w:rFonts w:cs="Times New Roman"/>
        </w:rPr>
        <w:t>We</w:t>
      </w:r>
      <w:r w:rsidR="00D237C5" w:rsidRPr="00976A9A">
        <w:rPr>
          <w:rFonts w:cs="Times New Roman"/>
        </w:rPr>
        <w:t xml:space="preserve"> lastly </w:t>
      </w:r>
      <w:r w:rsidR="008B2B05">
        <w:rPr>
          <w:rFonts w:cs="Times New Roman"/>
        </w:rPr>
        <w:t>apply</w:t>
      </w:r>
      <w:r w:rsidR="00D237C5" w:rsidRPr="00976A9A">
        <w:rPr>
          <w:rFonts w:cs="Times New Roman"/>
        </w:rPr>
        <w:t xml:space="preserve"> </w:t>
      </w:r>
      <w:r w:rsidR="00B737AE">
        <w:rPr>
          <w:rFonts w:cs="Times New Roman"/>
        </w:rPr>
        <w:t xml:space="preserve">two </w:t>
      </w:r>
      <w:r w:rsidR="006D67D1" w:rsidRPr="00976A9A">
        <w:rPr>
          <w:rFonts w:cs="Times New Roman"/>
        </w:rPr>
        <w:t xml:space="preserve">alternate specifications </w:t>
      </w:r>
      <w:r w:rsidR="00D237C5" w:rsidRPr="00976A9A">
        <w:rPr>
          <w:rFonts w:cs="Times New Roman"/>
        </w:rPr>
        <w:t>of practice-level characteristics</w:t>
      </w:r>
      <w:r w:rsidR="006D67D1" w:rsidRPr="00976A9A">
        <w:rPr>
          <w:rFonts w:cs="Times New Roman"/>
        </w:rPr>
        <w:t>, i</w:t>
      </w:r>
      <w:r w:rsidR="00D237C5" w:rsidRPr="00976A9A">
        <w:rPr>
          <w:rFonts w:cs="Times New Roman"/>
        </w:rPr>
        <w:t>nstead of stratifying on practice</w:t>
      </w:r>
      <w:r w:rsidR="006D67D1" w:rsidRPr="00976A9A">
        <w:rPr>
          <w:rFonts w:cs="Times New Roman"/>
        </w:rPr>
        <w:t>.</w:t>
      </w:r>
      <w:r w:rsidR="00D237C5" w:rsidRPr="00976A9A">
        <w:rPr>
          <w:rFonts w:cs="Times New Roman"/>
        </w:rPr>
        <w:t xml:space="preserve"> </w:t>
      </w:r>
      <w:r w:rsidR="00285BA0">
        <w:rPr>
          <w:rFonts w:cs="Times New Roman"/>
        </w:rPr>
        <w:t>The first</w:t>
      </w:r>
      <w:r w:rsidR="00285BA0" w:rsidRPr="00976A9A">
        <w:rPr>
          <w:rFonts w:cs="Times New Roman"/>
        </w:rPr>
        <w:t xml:space="preserve"> </w:t>
      </w:r>
      <w:r w:rsidR="00D237C5" w:rsidRPr="00976A9A">
        <w:rPr>
          <w:rFonts w:cs="Times New Roman"/>
        </w:rPr>
        <w:t xml:space="preserve">assumes no practice-level differences </w:t>
      </w:r>
      <w:r w:rsidR="00FB7C51" w:rsidRPr="00976A9A">
        <w:rPr>
          <w:rFonts w:cs="Times New Roman"/>
        </w:rPr>
        <w:t>in baseline hazard</w:t>
      </w:r>
      <w:r w:rsidR="00397AE7">
        <w:rPr>
          <w:rFonts w:cs="Times New Roman"/>
        </w:rPr>
        <w:t>, but includes practice characteristics (rurality and distance from closest acute hospital and inpatient psychiatric unit)</w:t>
      </w:r>
      <w:r w:rsidR="00676794">
        <w:rPr>
          <w:rFonts w:cs="Times New Roman"/>
        </w:rPr>
        <w:t xml:space="preserve"> as covariates</w:t>
      </w:r>
      <w:r w:rsidR="00D237C5" w:rsidRPr="00976A9A">
        <w:rPr>
          <w:rFonts w:cs="Times New Roman"/>
        </w:rPr>
        <w:t xml:space="preserve">. </w:t>
      </w:r>
      <w:r w:rsidR="00FE5EC2">
        <w:rPr>
          <w:rFonts w:cs="Times New Roman"/>
        </w:rPr>
        <w:t xml:space="preserve">The </w:t>
      </w:r>
      <w:r w:rsidR="00D919B0">
        <w:rPr>
          <w:rFonts w:cs="Times New Roman"/>
        </w:rPr>
        <w:t>second</w:t>
      </w:r>
      <w:r w:rsidR="00D237C5" w:rsidRPr="00976A9A">
        <w:rPr>
          <w:rFonts w:cs="Times New Roman"/>
        </w:rPr>
        <w:t xml:space="preserve"> includes practice fixed effects as explanatory variables</w:t>
      </w:r>
      <w:r w:rsidR="00D40667">
        <w:rPr>
          <w:rFonts w:cs="Times New Roman"/>
        </w:rPr>
        <w:t>. Both models adjust</w:t>
      </w:r>
      <w:r w:rsidR="00397AE7">
        <w:rPr>
          <w:rFonts w:cs="Times New Roman"/>
        </w:rPr>
        <w:t xml:space="preserve"> the standard errors for clustering at the practice level</w:t>
      </w:r>
      <w:r w:rsidR="00B737AE">
        <w:rPr>
          <w:rFonts w:cs="Times New Roman"/>
        </w:rPr>
        <w:t xml:space="preserve"> as before</w:t>
      </w:r>
      <w:r w:rsidR="005D31BF">
        <w:rPr>
          <w:rFonts w:cs="Times New Roman"/>
        </w:rPr>
        <w:t>.</w:t>
      </w:r>
    </w:p>
    <w:p w14:paraId="1A0400F0" w14:textId="217D6890" w:rsidR="00E5596C" w:rsidRDefault="00E5596C" w:rsidP="003D34B8">
      <w:pPr>
        <w:spacing w:after="0" w:line="480" w:lineRule="auto"/>
        <w:rPr>
          <w:rFonts w:cs="Times New Roman"/>
        </w:rPr>
      </w:pPr>
    </w:p>
    <w:p w14:paraId="0AA628D4" w14:textId="77777777" w:rsidR="00E5596C" w:rsidRPr="0075015E" w:rsidRDefault="00E5596C" w:rsidP="00E5596C">
      <w:pPr>
        <w:pStyle w:val="Heading2"/>
        <w:spacing w:after="0" w:line="480" w:lineRule="auto"/>
        <w:rPr>
          <w:rFonts w:cs="Times New Roman"/>
        </w:rPr>
      </w:pPr>
      <w:r w:rsidRPr="0075015E">
        <w:rPr>
          <w:rFonts w:cs="Times New Roman"/>
        </w:rPr>
        <w:t xml:space="preserve">Patient involvement </w:t>
      </w:r>
    </w:p>
    <w:p w14:paraId="23790823" w14:textId="065388C6" w:rsidR="00E5596C" w:rsidRPr="0075015E" w:rsidRDefault="00E5596C" w:rsidP="00E5596C">
      <w:pPr>
        <w:spacing w:after="0" w:line="480" w:lineRule="auto"/>
        <w:jc w:val="both"/>
        <w:rPr>
          <w:rFonts w:cs="Times New Roman"/>
          <w:lang w:eastAsia="ja-JP"/>
        </w:rPr>
      </w:pPr>
      <w:r>
        <w:rPr>
          <w:rFonts w:cs="Times New Roman"/>
          <w:lang w:eastAsia="ja-JP"/>
        </w:rPr>
        <w:t>Two co-authors on the</w:t>
      </w:r>
      <w:r w:rsidRPr="0075015E">
        <w:rPr>
          <w:rFonts w:cs="Times New Roman"/>
          <w:lang w:eastAsia="ja-JP"/>
        </w:rPr>
        <w:t xml:space="preserve"> multidisciplinary team responsible for this study </w:t>
      </w:r>
      <w:r>
        <w:rPr>
          <w:rFonts w:cs="Times New Roman"/>
          <w:lang w:eastAsia="ja-JP"/>
        </w:rPr>
        <w:t>ha</w:t>
      </w:r>
      <w:r w:rsidR="00285BA0">
        <w:rPr>
          <w:rFonts w:cs="Times New Roman"/>
          <w:lang w:eastAsia="ja-JP"/>
        </w:rPr>
        <w:t>ve</w:t>
      </w:r>
      <w:r>
        <w:rPr>
          <w:rFonts w:cs="Times New Roman"/>
          <w:lang w:eastAsia="ja-JP"/>
        </w:rPr>
        <w:t xml:space="preserve"> lived experience of SMI. They contributed to the </w:t>
      </w:r>
      <w:r w:rsidRPr="0075015E">
        <w:rPr>
          <w:rFonts w:cs="Times New Roman"/>
          <w:lang w:eastAsia="ja-JP"/>
        </w:rPr>
        <w:t>design of the research questi</w:t>
      </w:r>
      <w:r>
        <w:rPr>
          <w:rFonts w:cs="Times New Roman"/>
          <w:lang w:eastAsia="ja-JP"/>
        </w:rPr>
        <w:t xml:space="preserve">ons and methodological approach, </w:t>
      </w:r>
      <w:r w:rsidRPr="0075015E">
        <w:rPr>
          <w:rFonts w:cs="Times New Roman"/>
          <w:lang w:eastAsia="ja-JP"/>
        </w:rPr>
        <w:t>interpretation of the findings</w:t>
      </w:r>
      <w:r>
        <w:rPr>
          <w:rFonts w:cs="Times New Roman"/>
          <w:lang w:eastAsia="ja-JP"/>
        </w:rPr>
        <w:t>, and writing the paper</w:t>
      </w:r>
      <w:r w:rsidRPr="0075015E">
        <w:rPr>
          <w:rFonts w:cs="Times New Roman"/>
          <w:lang w:eastAsia="ja-JP"/>
        </w:rPr>
        <w:t xml:space="preserve">. </w:t>
      </w:r>
    </w:p>
    <w:p w14:paraId="0E188A7F" w14:textId="5ED918F1" w:rsidR="00535A5B" w:rsidRDefault="00E5596C" w:rsidP="00F1780E">
      <w:pPr>
        <w:pStyle w:val="Heading1"/>
      </w:pPr>
      <w:r>
        <w:t>Results</w:t>
      </w:r>
    </w:p>
    <w:bookmarkEnd w:id="20"/>
    <w:bookmarkEnd w:id="21"/>
    <w:bookmarkEnd w:id="22"/>
    <w:bookmarkEnd w:id="23"/>
    <w:bookmarkEnd w:id="24"/>
    <w:bookmarkEnd w:id="25"/>
    <w:p w14:paraId="5E85E39B" w14:textId="4DB2CF0C" w:rsidR="006E1325" w:rsidRPr="00976A9A" w:rsidRDefault="00E5596C" w:rsidP="00F1780E">
      <w:pPr>
        <w:pStyle w:val="Heading2"/>
      </w:pPr>
      <w:r>
        <w:t xml:space="preserve">Study population </w:t>
      </w:r>
    </w:p>
    <w:p w14:paraId="6B69DE5F" w14:textId="3EF8715E" w:rsidR="00E5596C" w:rsidRDefault="008E5595" w:rsidP="00E5596C">
      <w:pPr>
        <w:spacing w:after="0" w:line="480" w:lineRule="auto"/>
        <w:rPr>
          <w:rFonts w:cs="Times New Roman"/>
          <w:lang w:eastAsia="ja-JP"/>
        </w:rPr>
      </w:pPr>
      <w:r w:rsidRPr="00976A9A">
        <w:rPr>
          <w:rFonts w:cs="Times New Roman"/>
          <w:lang w:eastAsia="ja-JP"/>
        </w:rPr>
        <w:t xml:space="preserve">The </w:t>
      </w:r>
      <w:r w:rsidR="00E5596C">
        <w:rPr>
          <w:rFonts w:cs="Times New Roman"/>
          <w:lang w:eastAsia="ja-JP"/>
        </w:rPr>
        <w:t xml:space="preserve">full </w:t>
      </w:r>
      <w:r w:rsidRPr="00976A9A">
        <w:rPr>
          <w:rFonts w:cs="Times New Roman"/>
          <w:lang w:eastAsia="ja-JP"/>
        </w:rPr>
        <w:t xml:space="preserve">sample </w:t>
      </w:r>
      <w:r w:rsidR="004F671E" w:rsidRPr="00976A9A">
        <w:rPr>
          <w:rFonts w:cs="Times New Roman"/>
          <w:lang w:eastAsia="ja-JP"/>
        </w:rPr>
        <w:t xml:space="preserve">consists of </w:t>
      </w:r>
      <w:r w:rsidR="0062359D">
        <w:rPr>
          <w:rFonts w:cs="Times New Roman"/>
          <w:lang w:eastAsia="ja-JP"/>
        </w:rPr>
        <w:t>5,158</w:t>
      </w:r>
      <w:r w:rsidRPr="00976A9A">
        <w:rPr>
          <w:rFonts w:cs="Times New Roman"/>
          <w:lang w:eastAsia="ja-JP"/>
        </w:rPr>
        <w:t xml:space="preserve"> </w:t>
      </w:r>
      <w:r w:rsidR="004C0CD1" w:rsidRPr="00976A9A">
        <w:rPr>
          <w:rFonts w:cs="Times New Roman"/>
          <w:lang w:eastAsia="ja-JP"/>
        </w:rPr>
        <w:t xml:space="preserve">newly diagnosed </w:t>
      </w:r>
      <w:r w:rsidRPr="00976A9A">
        <w:rPr>
          <w:rFonts w:cs="Times New Roman"/>
          <w:lang w:eastAsia="ja-JP"/>
        </w:rPr>
        <w:t>patients</w:t>
      </w:r>
      <w:r w:rsidR="006E682F" w:rsidRPr="00976A9A">
        <w:rPr>
          <w:rFonts w:cs="Times New Roman"/>
          <w:lang w:eastAsia="ja-JP"/>
        </w:rPr>
        <w:t xml:space="preserve"> with SMI</w:t>
      </w:r>
      <w:r w:rsidRPr="00976A9A">
        <w:rPr>
          <w:rFonts w:cs="Times New Roman"/>
          <w:lang w:eastAsia="ja-JP"/>
        </w:rPr>
        <w:t xml:space="preserve"> </w:t>
      </w:r>
      <w:r w:rsidR="004F671E" w:rsidRPr="00976A9A">
        <w:rPr>
          <w:rFonts w:cs="Times New Roman"/>
          <w:lang w:eastAsia="ja-JP"/>
        </w:rPr>
        <w:t xml:space="preserve">from 213 practices in England </w:t>
      </w:r>
      <w:r w:rsidR="002A7EB0">
        <w:rPr>
          <w:rFonts w:cs="Times New Roman"/>
          <w:lang w:eastAsia="ja-JP"/>
        </w:rPr>
        <w:t xml:space="preserve">with a total of 14,376 person-years observed </w:t>
      </w:r>
      <w:r w:rsidR="002E186E">
        <w:rPr>
          <w:rFonts w:cs="Times New Roman"/>
          <w:lang w:eastAsia="ja-JP"/>
        </w:rPr>
        <w:t xml:space="preserve">before censoring </w:t>
      </w:r>
      <w:r w:rsidR="00DA587C">
        <w:rPr>
          <w:rFonts w:cs="Times New Roman"/>
          <w:lang w:eastAsia="ja-JP"/>
        </w:rPr>
        <w:t>(</w:t>
      </w:r>
      <w:r w:rsidR="00D919B0">
        <w:rPr>
          <w:rFonts w:cs="Times New Roman"/>
          <w:lang w:eastAsia="ja-JP"/>
        </w:rPr>
        <w:t xml:space="preserve">for A&amp;E analysis </w:t>
      </w:r>
      <w:r w:rsidR="00F63DA4">
        <w:rPr>
          <w:rFonts w:cs="Times New Roman"/>
          <w:lang w:eastAsia="ja-JP"/>
        </w:rPr>
        <w:t>4,446</w:t>
      </w:r>
      <w:r w:rsidR="008B7DC4">
        <w:rPr>
          <w:rFonts w:cs="Times New Roman"/>
          <w:lang w:eastAsia="ja-JP"/>
        </w:rPr>
        <w:t xml:space="preserve"> patients </w:t>
      </w:r>
      <w:r w:rsidR="002A7EB0">
        <w:rPr>
          <w:rFonts w:cs="Times New Roman"/>
          <w:lang w:eastAsia="ja-JP"/>
        </w:rPr>
        <w:t>and a total of 10,952 person-years</w:t>
      </w:r>
      <w:r w:rsidR="008B7DC4">
        <w:rPr>
          <w:rFonts w:cs="Times New Roman"/>
          <w:lang w:eastAsia="ja-JP"/>
        </w:rPr>
        <w:t>)</w:t>
      </w:r>
      <w:r w:rsidR="00DA587C">
        <w:rPr>
          <w:rFonts w:cs="Times New Roman"/>
          <w:lang w:eastAsia="ja-JP"/>
        </w:rPr>
        <w:t xml:space="preserve">. </w:t>
      </w:r>
      <w:r w:rsidR="00812B4C">
        <w:rPr>
          <w:rFonts w:cs="Times New Roman"/>
          <w:lang w:eastAsia="ja-JP"/>
        </w:rPr>
        <w:t xml:space="preserve">On average patients were observed for 2.79 years. </w:t>
      </w:r>
      <w:r w:rsidR="001C0929">
        <w:rPr>
          <w:rFonts w:cs="Times New Roman"/>
          <w:lang w:eastAsia="ja-JP"/>
        </w:rPr>
        <w:t>M</w:t>
      </w:r>
      <w:r w:rsidR="002A7EB0">
        <w:rPr>
          <w:rFonts w:cs="Times New Roman"/>
          <w:lang w:eastAsia="ja-JP"/>
        </w:rPr>
        <w:t>ost (67</w:t>
      </w:r>
      <w:r w:rsidR="001C0929">
        <w:rPr>
          <w:rFonts w:cs="Times New Roman"/>
          <w:lang w:eastAsia="ja-JP"/>
        </w:rPr>
        <w:t>%) were</w:t>
      </w:r>
      <w:r w:rsidR="002A7EB0">
        <w:rPr>
          <w:rFonts w:cs="Times New Roman"/>
          <w:lang w:eastAsia="ja-JP"/>
        </w:rPr>
        <w:t xml:space="preserve"> still</w:t>
      </w:r>
      <w:r w:rsidR="001C0929">
        <w:rPr>
          <w:rFonts w:cs="Times New Roman"/>
          <w:lang w:eastAsia="ja-JP"/>
        </w:rPr>
        <w:t xml:space="preserve"> observed a</w:t>
      </w:r>
      <w:r w:rsidR="002A7EB0">
        <w:rPr>
          <w:rFonts w:cs="Times New Roman"/>
          <w:lang w:eastAsia="ja-JP"/>
        </w:rPr>
        <w:t>t</w:t>
      </w:r>
      <w:r w:rsidR="00C95926">
        <w:rPr>
          <w:rFonts w:cs="Times New Roman"/>
          <w:lang w:eastAsia="ja-JP"/>
        </w:rPr>
        <w:t xml:space="preserve"> the end of the study period, 23</w:t>
      </w:r>
      <w:r w:rsidR="001C0929">
        <w:rPr>
          <w:rFonts w:cs="Times New Roman"/>
          <w:lang w:eastAsia="ja-JP"/>
        </w:rPr>
        <w:t xml:space="preserve">% exited because their registration with the practice </w:t>
      </w:r>
      <w:r w:rsidR="00C95926">
        <w:rPr>
          <w:rFonts w:cs="Times New Roman"/>
          <w:lang w:eastAsia="ja-JP"/>
        </w:rPr>
        <w:t>ended during the study period</w:t>
      </w:r>
      <w:r w:rsidR="001C0929">
        <w:rPr>
          <w:rFonts w:cs="Times New Roman"/>
          <w:lang w:eastAsia="ja-JP"/>
        </w:rPr>
        <w:t>, and 10% died.</w:t>
      </w:r>
      <w:r w:rsidR="00E5596C" w:rsidRPr="00B70CD0">
        <w:rPr>
          <w:rFonts w:cs="Times New Roman"/>
        </w:rPr>
        <w:t xml:space="preserve"> </w:t>
      </w:r>
      <w:r w:rsidR="00C95926">
        <w:rPr>
          <w:rFonts w:cs="Times New Roman"/>
          <w:szCs w:val="24"/>
        </w:rPr>
        <w:t>Table 1</w:t>
      </w:r>
      <w:r w:rsidR="008B2B05">
        <w:rPr>
          <w:rFonts w:cs="Times New Roman"/>
          <w:szCs w:val="24"/>
        </w:rPr>
        <w:t xml:space="preserve"> </w:t>
      </w:r>
      <w:r w:rsidR="00F679AA">
        <w:rPr>
          <w:rFonts w:cs="Times New Roman"/>
          <w:szCs w:val="24"/>
        </w:rPr>
        <w:t xml:space="preserve">presents the number of individuals with each </w:t>
      </w:r>
      <w:r w:rsidR="00F679AA">
        <w:rPr>
          <w:rFonts w:cs="Times New Roman"/>
          <w:szCs w:val="24"/>
        </w:rPr>
        <w:lastRenderedPageBreak/>
        <w:t>characteristic, and the contribution of those with each characteristic to the total time observed</w:t>
      </w:r>
      <w:r w:rsidR="00C95926">
        <w:rPr>
          <w:rFonts w:cs="Times New Roman"/>
          <w:szCs w:val="24"/>
        </w:rPr>
        <w:t>.</w:t>
      </w:r>
      <w:r w:rsidR="00F679AA">
        <w:rPr>
          <w:rFonts w:cs="Times New Roman"/>
          <w:szCs w:val="24"/>
        </w:rPr>
        <w:t xml:space="preserve"> </w:t>
      </w:r>
      <w:r w:rsidR="00CB0D70">
        <w:rPr>
          <w:rFonts w:cs="Times New Roman"/>
          <w:szCs w:val="24"/>
        </w:rPr>
        <w:t xml:space="preserve">(Equivalent tables are presented for each </w:t>
      </w:r>
      <w:r w:rsidR="005729B0">
        <w:rPr>
          <w:rFonts w:cs="Times New Roman"/>
          <w:szCs w:val="24"/>
        </w:rPr>
        <w:t xml:space="preserve">analysis sample in Supplementary Tables 3-5). </w:t>
      </w:r>
      <w:r w:rsidR="00F679AA">
        <w:rPr>
          <w:rFonts w:cs="Times New Roman"/>
          <w:szCs w:val="24"/>
        </w:rPr>
        <w:t>There were more people per year diagnosed in later years of the study period, but each was observed for a shorter period, and therefore had</w:t>
      </w:r>
      <w:r w:rsidR="00E5596C">
        <w:rPr>
          <w:rFonts w:cs="Times New Roman"/>
          <w:szCs w:val="24"/>
        </w:rPr>
        <w:t xml:space="preserve"> a shorter window of opportunity</w:t>
      </w:r>
      <w:r w:rsidR="00F679AA">
        <w:rPr>
          <w:rFonts w:cs="Times New Roman"/>
          <w:szCs w:val="24"/>
        </w:rPr>
        <w:t xml:space="preserve"> to experience both the care quality indicators and the outcomes</w:t>
      </w:r>
      <w:r w:rsidR="00E5596C">
        <w:rPr>
          <w:rFonts w:cs="Times New Roman"/>
          <w:szCs w:val="24"/>
        </w:rPr>
        <w:t xml:space="preserve">. </w:t>
      </w:r>
      <w:r w:rsidR="00F679AA">
        <w:rPr>
          <w:rFonts w:cs="Times New Roman"/>
          <w:szCs w:val="24"/>
        </w:rPr>
        <w:t xml:space="preserve">Similarly, those aged over 65 </w:t>
      </w:r>
      <w:r w:rsidR="00812B4C">
        <w:rPr>
          <w:rFonts w:cs="Times New Roman"/>
          <w:szCs w:val="24"/>
        </w:rPr>
        <w:t xml:space="preserve">made up 25% of the sample but only contributed 18% of the total time observed because they had a shorter than average period of observation (2.01 years). </w:t>
      </w:r>
      <w:r w:rsidR="00E5596C">
        <w:rPr>
          <w:rFonts w:cs="Times New Roman"/>
          <w:szCs w:val="24"/>
        </w:rPr>
        <w:t>The median age at diagnosis in the sample was 46, and t</w:t>
      </w:r>
      <w:r w:rsidR="00E5596C" w:rsidRPr="00976A9A">
        <w:rPr>
          <w:rFonts w:cs="Times New Roman"/>
          <w:szCs w:val="24"/>
        </w:rPr>
        <w:t xml:space="preserve">he </w:t>
      </w:r>
      <w:r w:rsidR="00E5596C">
        <w:rPr>
          <w:rFonts w:cs="Times New Roman"/>
          <w:szCs w:val="24"/>
        </w:rPr>
        <w:t>most common</w:t>
      </w:r>
      <w:r w:rsidR="00E5596C" w:rsidRPr="00976A9A">
        <w:rPr>
          <w:rFonts w:cs="Times New Roman"/>
          <w:szCs w:val="24"/>
        </w:rPr>
        <w:t xml:space="preserve"> physical comorbidities were respiratory disease, renal disease, cancer, and diabetes (further details avail</w:t>
      </w:r>
      <w:r w:rsidR="002C4060">
        <w:rPr>
          <w:rFonts w:cs="Times New Roman"/>
          <w:szCs w:val="24"/>
        </w:rPr>
        <w:t xml:space="preserve">able in Supplementary Table </w:t>
      </w:r>
      <w:r w:rsidR="008B2B05">
        <w:rPr>
          <w:rFonts w:cs="Times New Roman"/>
          <w:szCs w:val="24"/>
        </w:rPr>
        <w:t>6</w:t>
      </w:r>
      <w:r w:rsidR="00E5596C">
        <w:rPr>
          <w:rFonts w:cs="Times New Roman"/>
          <w:szCs w:val="24"/>
        </w:rPr>
        <w:t xml:space="preserve">). </w:t>
      </w:r>
    </w:p>
    <w:p w14:paraId="3A7AE086" w14:textId="77777777" w:rsidR="002C4060" w:rsidRDefault="002C4060" w:rsidP="004744A4">
      <w:pPr>
        <w:keepNext/>
        <w:keepLines/>
        <w:spacing w:after="60"/>
        <w:outlineLvl w:val="1"/>
        <w:rPr>
          <w:rFonts w:cs="Times New Roman"/>
          <w:lang w:eastAsia="ja-JP"/>
        </w:rPr>
      </w:pPr>
      <w:r>
        <w:rPr>
          <w:rFonts w:cs="Times New Roman"/>
          <w:lang w:eastAsia="ja-JP"/>
        </w:rPr>
        <w:br w:type="page"/>
      </w:r>
    </w:p>
    <w:p w14:paraId="2701C2DF" w14:textId="7E4A136C" w:rsidR="004744A4" w:rsidRPr="00285BA0" w:rsidRDefault="004744A4" w:rsidP="00285BA0">
      <w:pPr>
        <w:rPr>
          <w:rFonts w:eastAsiaTheme="majorEastAsia"/>
          <w:bCs/>
          <w:color w:val="000000" w:themeColor="text1"/>
          <w:szCs w:val="26"/>
        </w:rPr>
      </w:pPr>
      <w:r w:rsidRPr="00285BA0">
        <w:rPr>
          <w:rFonts w:eastAsiaTheme="majorEastAsia"/>
          <w:bCs/>
          <w:color w:val="000000" w:themeColor="text1"/>
          <w:szCs w:val="26"/>
        </w:rPr>
        <w:lastRenderedPageBreak/>
        <w:t>Table 1. Population characteristics</w:t>
      </w:r>
      <w:r w:rsidR="005741BC" w:rsidRPr="00285BA0">
        <w:rPr>
          <w:rFonts w:eastAsiaTheme="majorEastAsia"/>
          <w:bCs/>
          <w:color w:val="000000" w:themeColor="text1"/>
          <w:szCs w:val="26"/>
        </w:rPr>
        <w:t xml:space="preserve">: number and proportion of individuals in the sample, </w:t>
      </w:r>
      <w:r w:rsidR="00E73FF0">
        <w:rPr>
          <w:rFonts w:eastAsiaTheme="majorEastAsia"/>
          <w:bCs/>
          <w:color w:val="000000" w:themeColor="text1"/>
          <w:szCs w:val="26"/>
        </w:rPr>
        <w:t>total</w:t>
      </w:r>
      <w:r w:rsidR="005741BC" w:rsidRPr="00285BA0">
        <w:rPr>
          <w:rFonts w:eastAsiaTheme="majorEastAsia"/>
          <w:bCs/>
          <w:color w:val="000000" w:themeColor="text1"/>
          <w:szCs w:val="26"/>
        </w:rPr>
        <w:t xml:space="preserve"> person-years in the sample, and proportion of total person-years </w:t>
      </w:r>
    </w:p>
    <w:tbl>
      <w:tblPr>
        <w:tblW w:w="8258" w:type="dxa"/>
        <w:tblInd w:w="-745" w:type="dxa"/>
        <w:tblLayout w:type="fixed"/>
        <w:tblLook w:val="04A0" w:firstRow="1" w:lastRow="0" w:firstColumn="1" w:lastColumn="0" w:noHBand="0" w:noVBand="1"/>
      </w:tblPr>
      <w:tblGrid>
        <w:gridCol w:w="4287"/>
        <w:gridCol w:w="1985"/>
        <w:gridCol w:w="1986"/>
      </w:tblGrid>
      <w:tr w:rsidR="005741BC" w:rsidRPr="005741BC" w14:paraId="5DD3BC61" w14:textId="77777777" w:rsidTr="005741BC">
        <w:trPr>
          <w:trHeight w:val="300"/>
        </w:trPr>
        <w:tc>
          <w:tcPr>
            <w:tcW w:w="4287" w:type="dxa"/>
            <w:tcBorders>
              <w:top w:val="single" w:sz="4" w:space="0" w:color="auto"/>
              <w:left w:val="nil"/>
              <w:right w:val="single" w:sz="4" w:space="0" w:color="auto"/>
            </w:tcBorders>
            <w:shd w:val="clear" w:color="auto" w:fill="auto"/>
            <w:noWrap/>
            <w:vAlign w:val="center"/>
          </w:tcPr>
          <w:p w14:paraId="41A73CDF" w14:textId="77777777" w:rsidR="005741BC" w:rsidRPr="005741BC" w:rsidRDefault="005741BC" w:rsidP="005741BC">
            <w:pPr>
              <w:spacing w:after="0" w:line="240" w:lineRule="auto"/>
              <w:rPr>
                <w:rFonts w:eastAsia="Times New Roman" w:cs="Times New Roman"/>
              </w:rPr>
            </w:pPr>
          </w:p>
        </w:tc>
        <w:tc>
          <w:tcPr>
            <w:tcW w:w="1985" w:type="dxa"/>
            <w:tcBorders>
              <w:top w:val="single" w:sz="4" w:space="0" w:color="auto"/>
              <w:left w:val="single" w:sz="4" w:space="0" w:color="auto"/>
              <w:right w:val="nil"/>
            </w:tcBorders>
            <w:shd w:val="clear" w:color="auto" w:fill="auto"/>
            <w:noWrap/>
            <w:vAlign w:val="center"/>
          </w:tcPr>
          <w:p w14:paraId="47D70C81" w14:textId="77777777" w:rsidR="005741BC" w:rsidRPr="005741BC" w:rsidRDefault="005741BC" w:rsidP="005741BC">
            <w:pPr>
              <w:spacing w:after="0" w:line="240" w:lineRule="auto"/>
              <w:rPr>
                <w:rFonts w:eastAsia="Times New Roman" w:cs="Times New Roman"/>
              </w:rPr>
            </w:pPr>
            <w:r w:rsidRPr="005741BC">
              <w:rPr>
                <w:rFonts w:eastAsia="Times New Roman" w:cs="Times New Roman"/>
              </w:rPr>
              <w:t>Individuals</w:t>
            </w:r>
          </w:p>
        </w:tc>
        <w:tc>
          <w:tcPr>
            <w:tcW w:w="1986" w:type="dxa"/>
            <w:tcBorders>
              <w:top w:val="single" w:sz="4" w:space="0" w:color="auto"/>
              <w:left w:val="single" w:sz="4" w:space="0" w:color="auto"/>
              <w:right w:val="nil"/>
            </w:tcBorders>
            <w:vAlign w:val="center"/>
          </w:tcPr>
          <w:p w14:paraId="2007945F" w14:textId="2ECCB9D7" w:rsidR="005741BC" w:rsidRPr="005741BC" w:rsidRDefault="00A67657" w:rsidP="005741BC">
            <w:pPr>
              <w:spacing w:after="0" w:line="240" w:lineRule="auto"/>
              <w:rPr>
                <w:rFonts w:eastAsia="Times New Roman" w:cs="Times New Roman"/>
              </w:rPr>
            </w:pPr>
            <w:r>
              <w:rPr>
                <w:rFonts w:eastAsia="Times New Roman" w:cs="Times New Roman"/>
              </w:rPr>
              <w:t>Mean p</w:t>
            </w:r>
            <w:r w:rsidR="005741BC" w:rsidRPr="005741BC">
              <w:rPr>
                <w:rFonts w:eastAsia="Times New Roman" w:cs="Times New Roman"/>
              </w:rPr>
              <w:t>erson-years</w:t>
            </w:r>
          </w:p>
        </w:tc>
      </w:tr>
      <w:tr w:rsidR="005741BC" w:rsidRPr="005741BC" w14:paraId="04134495" w14:textId="77777777" w:rsidTr="005741BC">
        <w:trPr>
          <w:trHeight w:val="300"/>
        </w:trPr>
        <w:tc>
          <w:tcPr>
            <w:tcW w:w="4287" w:type="dxa"/>
            <w:tcBorders>
              <w:left w:val="nil"/>
              <w:bottom w:val="single" w:sz="4" w:space="0" w:color="auto"/>
              <w:right w:val="single" w:sz="4" w:space="0" w:color="auto"/>
            </w:tcBorders>
            <w:shd w:val="clear" w:color="auto" w:fill="auto"/>
            <w:noWrap/>
            <w:vAlign w:val="center"/>
          </w:tcPr>
          <w:p w14:paraId="1EEEB41A" w14:textId="77777777" w:rsidR="005741BC" w:rsidRPr="005741BC" w:rsidRDefault="005741BC" w:rsidP="005741BC">
            <w:pPr>
              <w:spacing w:after="0" w:line="240" w:lineRule="auto"/>
              <w:rPr>
                <w:rFonts w:eastAsia="Times New Roman" w:cs="Times New Roman"/>
              </w:rPr>
            </w:pPr>
          </w:p>
        </w:tc>
        <w:tc>
          <w:tcPr>
            <w:tcW w:w="1985" w:type="dxa"/>
            <w:tcBorders>
              <w:left w:val="single" w:sz="4" w:space="0" w:color="auto"/>
              <w:bottom w:val="single" w:sz="4" w:space="0" w:color="auto"/>
              <w:right w:val="nil"/>
            </w:tcBorders>
            <w:shd w:val="clear" w:color="auto" w:fill="auto"/>
            <w:noWrap/>
            <w:vAlign w:val="center"/>
          </w:tcPr>
          <w:p w14:paraId="467FFB46" w14:textId="6E13F54D" w:rsidR="005741BC" w:rsidRPr="005741BC" w:rsidRDefault="005741BC">
            <w:pPr>
              <w:spacing w:after="0" w:line="240" w:lineRule="auto"/>
              <w:rPr>
                <w:rFonts w:eastAsia="Times New Roman" w:cs="Times New Roman"/>
              </w:rPr>
            </w:pPr>
            <w:r w:rsidRPr="005741BC">
              <w:rPr>
                <w:rFonts w:eastAsia="Times New Roman" w:cs="Times New Roman"/>
              </w:rPr>
              <w:t xml:space="preserve"> (% of </w:t>
            </w:r>
            <w:r w:rsidR="005C764E">
              <w:rPr>
                <w:rFonts w:eastAsia="Times New Roman" w:cs="Times New Roman"/>
              </w:rPr>
              <w:t>total individuals</w:t>
            </w:r>
            <w:r w:rsidRPr="005741BC">
              <w:rPr>
                <w:rFonts w:eastAsia="Times New Roman" w:cs="Times New Roman"/>
              </w:rPr>
              <w:t>)</w:t>
            </w:r>
          </w:p>
        </w:tc>
        <w:tc>
          <w:tcPr>
            <w:tcW w:w="1986" w:type="dxa"/>
            <w:tcBorders>
              <w:left w:val="single" w:sz="4" w:space="0" w:color="auto"/>
              <w:bottom w:val="single" w:sz="4" w:space="0" w:color="auto"/>
              <w:right w:val="nil"/>
            </w:tcBorders>
            <w:vAlign w:val="center"/>
          </w:tcPr>
          <w:p w14:paraId="36D77E41" w14:textId="6E898FBE" w:rsidR="005741BC" w:rsidRPr="005741BC" w:rsidRDefault="005741BC" w:rsidP="005741BC">
            <w:pPr>
              <w:spacing w:after="0" w:line="240" w:lineRule="auto"/>
              <w:rPr>
                <w:rFonts w:eastAsia="Times New Roman" w:cs="Times New Roman"/>
              </w:rPr>
            </w:pPr>
            <w:r w:rsidRPr="005741BC">
              <w:rPr>
                <w:rFonts w:eastAsia="Times New Roman" w:cs="Times New Roman"/>
              </w:rPr>
              <w:t xml:space="preserve"> (% of total person-years)</w:t>
            </w:r>
          </w:p>
        </w:tc>
      </w:tr>
      <w:tr w:rsidR="005741BC" w:rsidRPr="005741BC" w14:paraId="6EA8D7C3" w14:textId="77777777" w:rsidTr="005741BC">
        <w:trPr>
          <w:trHeight w:val="300"/>
        </w:trPr>
        <w:tc>
          <w:tcPr>
            <w:tcW w:w="4287" w:type="dxa"/>
            <w:tcBorders>
              <w:top w:val="single" w:sz="4" w:space="0" w:color="auto"/>
              <w:left w:val="nil"/>
              <w:bottom w:val="single" w:sz="4" w:space="0" w:color="auto"/>
              <w:right w:val="single" w:sz="4" w:space="0" w:color="auto"/>
            </w:tcBorders>
            <w:shd w:val="clear" w:color="auto" w:fill="auto"/>
            <w:noWrap/>
            <w:vAlign w:val="center"/>
          </w:tcPr>
          <w:p w14:paraId="723AA7BF" w14:textId="77777777" w:rsidR="005741BC" w:rsidRPr="005741BC" w:rsidRDefault="005741BC" w:rsidP="005741BC">
            <w:pPr>
              <w:spacing w:after="0" w:line="240" w:lineRule="auto"/>
              <w:rPr>
                <w:rFonts w:eastAsia="Times New Roman" w:cs="Times New Roman"/>
              </w:rPr>
            </w:pPr>
            <w:r w:rsidRPr="005741BC">
              <w:rPr>
                <w:rFonts w:eastAsia="Times New Roman" w:cs="Times New Roman"/>
              </w:rPr>
              <w:t>Total sample</w:t>
            </w:r>
          </w:p>
        </w:tc>
        <w:tc>
          <w:tcPr>
            <w:tcW w:w="1985" w:type="dxa"/>
            <w:tcBorders>
              <w:top w:val="single" w:sz="4" w:space="0" w:color="auto"/>
              <w:left w:val="single" w:sz="4" w:space="0" w:color="auto"/>
              <w:bottom w:val="single" w:sz="4" w:space="0" w:color="auto"/>
            </w:tcBorders>
            <w:shd w:val="clear" w:color="auto" w:fill="auto"/>
            <w:noWrap/>
            <w:vAlign w:val="center"/>
          </w:tcPr>
          <w:p w14:paraId="4F423D40" w14:textId="77777777" w:rsidR="005741BC" w:rsidRPr="005741BC" w:rsidRDefault="005741BC" w:rsidP="005741BC">
            <w:pPr>
              <w:spacing w:after="0" w:line="240" w:lineRule="auto"/>
              <w:rPr>
                <w:rFonts w:eastAsia="SimSun" w:cs="Times New Roman"/>
                <w:szCs w:val="24"/>
              </w:rPr>
            </w:pPr>
            <w:r w:rsidRPr="005741BC">
              <w:rPr>
                <w:rFonts w:eastAsia="SimSun" w:cs="Times New Roman"/>
                <w:szCs w:val="24"/>
              </w:rPr>
              <w:t xml:space="preserve">5,158 </w:t>
            </w:r>
          </w:p>
        </w:tc>
        <w:tc>
          <w:tcPr>
            <w:tcW w:w="1986" w:type="dxa"/>
            <w:tcBorders>
              <w:top w:val="single" w:sz="4" w:space="0" w:color="auto"/>
              <w:left w:val="single" w:sz="4" w:space="0" w:color="auto"/>
              <w:bottom w:val="single" w:sz="4" w:space="0" w:color="auto"/>
            </w:tcBorders>
            <w:vAlign w:val="center"/>
          </w:tcPr>
          <w:p w14:paraId="3B34AB9F" w14:textId="55B375AA" w:rsidR="005741BC" w:rsidRPr="005741BC" w:rsidRDefault="00F66F4D" w:rsidP="005741BC">
            <w:pPr>
              <w:spacing w:after="0" w:line="240" w:lineRule="auto"/>
              <w:rPr>
                <w:rFonts w:eastAsia="SimSun" w:cs="Times New Roman"/>
                <w:szCs w:val="24"/>
              </w:rPr>
            </w:pPr>
            <w:r>
              <w:rPr>
                <w:rFonts w:eastAsia="SimSun" w:cs="Times New Roman"/>
                <w:szCs w:val="24"/>
              </w:rPr>
              <w:t>14,736</w:t>
            </w:r>
            <w:r w:rsidR="005741BC" w:rsidRPr="005741BC">
              <w:rPr>
                <w:rFonts w:eastAsia="SimSun" w:cs="Times New Roman"/>
                <w:szCs w:val="24"/>
              </w:rPr>
              <w:t xml:space="preserve"> </w:t>
            </w:r>
          </w:p>
        </w:tc>
      </w:tr>
      <w:tr w:rsidR="005741BC" w:rsidRPr="005741BC" w14:paraId="7C99124B" w14:textId="77777777" w:rsidTr="005741BC">
        <w:trPr>
          <w:trHeight w:val="300"/>
        </w:trPr>
        <w:tc>
          <w:tcPr>
            <w:tcW w:w="4287" w:type="dxa"/>
            <w:tcBorders>
              <w:top w:val="single" w:sz="4" w:space="0" w:color="auto"/>
              <w:left w:val="nil"/>
              <w:bottom w:val="nil"/>
              <w:right w:val="single" w:sz="4" w:space="0" w:color="auto"/>
            </w:tcBorders>
            <w:shd w:val="clear" w:color="auto" w:fill="auto"/>
            <w:noWrap/>
            <w:vAlign w:val="center"/>
          </w:tcPr>
          <w:p w14:paraId="5E6A4E59" w14:textId="77777777" w:rsidR="005741BC" w:rsidRPr="005741BC" w:rsidRDefault="005741BC" w:rsidP="005741BC">
            <w:pPr>
              <w:spacing w:after="0" w:line="240" w:lineRule="auto"/>
              <w:rPr>
                <w:rFonts w:eastAsia="Times New Roman" w:cs="Times New Roman"/>
              </w:rPr>
            </w:pPr>
            <w:r w:rsidRPr="005741BC">
              <w:rPr>
                <w:rFonts w:eastAsia="Times New Roman" w:cs="Times New Roman"/>
              </w:rPr>
              <w:t>Age at diagnosis</w:t>
            </w:r>
          </w:p>
        </w:tc>
        <w:tc>
          <w:tcPr>
            <w:tcW w:w="1985" w:type="dxa"/>
            <w:tcBorders>
              <w:top w:val="single" w:sz="4" w:space="0" w:color="auto"/>
              <w:left w:val="single" w:sz="4" w:space="0" w:color="auto"/>
              <w:bottom w:val="nil"/>
            </w:tcBorders>
            <w:shd w:val="clear" w:color="auto" w:fill="auto"/>
            <w:noWrap/>
            <w:vAlign w:val="center"/>
          </w:tcPr>
          <w:p w14:paraId="2F4C8593" w14:textId="77777777" w:rsidR="005741BC" w:rsidRPr="005741BC" w:rsidRDefault="005741BC" w:rsidP="005741BC">
            <w:pPr>
              <w:spacing w:after="0" w:line="240" w:lineRule="auto"/>
              <w:rPr>
                <w:rFonts w:eastAsia="Times New Roman" w:cs="Times New Roman"/>
              </w:rPr>
            </w:pPr>
          </w:p>
        </w:tc>
        <w:tc>
          <w:tcPr>
            <w:tcW w:w="1986" w:type="dxa"/>
            <w:tcBorders>
              <w:top w:val="single" w:sz="4" w:space="0" w:color="auto"/>
              <w:left w:val="single" w:sz="4" w:space="0" w:color="auto"/>
              <w:bottom w:val="nil"/>
            </w:tcBorders>
            <w:vAlign w:val="center"/>
          </w:tcPr>
          <w:p w14:paraId="25AD18B1" w14:textId="77777777" w:rsidR="005741BC" w:rsidRPr="005741BC" w:rsidRDefault="005741BC" w:rsidP="005741BC">
            <w:pPr>
              <w:spacing w:after="0" w:line="240" w:lineRule="auto"/>
              <w:rPr>
                <w:rFonts w:eastAsia="Times New Roman" w:cs="Times New Roman"/>
              </w:rPr>
            </w:pPr>
          </w:p>
        </w:tc>
      </w:tr>
      <w:tr w:rsidR="005741BC" w:rsidRPr="005741BC" w14:paraId="6385E14E" w14:textId="77777777" w:rsidTr="005741BC">
        <w:trPr>
          <w:trHeight w:val="300"/>
        </w:trPr>
        <w:tc>
          <w:tcPr>
            <w:tcW w:w="4287" w:type="dxa"/>
            <w:tcBorders>
              <w:top w:val="nil"/>
              <w:left w:val="nil"/>
              <w:bottom w:val="nil"/>
              <w:right w:val="single" w:sz="4" w:space="0" w:color="auto"/>
            </w:tcBorders>
            <w:shd w:val="clear" w:color="auto" w:fill="auto"/>
            <w:noWrap/>
            <w:vAlign w:val="center"/>
            <w:hideMark/>
          </w:tcPr>
          <w:p w14:paraId="175FB8D7"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18-35</w:t>
            </w:r>
          </w:p>
        </w:tc>
        <w:tc>
          <w:tcPr>
            <w:tcW w:w="1985" w:type="dxa"/>
            <w:tcBorders>
              <w:top w:val="nil"/>
              <w:left w:val="single" w:sz="4" w:space="0" w:color="auto"/>
              <w:bottom w:val="nil"/>
            </w:tcBorders>
            <w:shd w:val="clear" w:color="auto" w:fill="auto"/>
            <w:noWrap/>
            <w:vAlign w:val="center"/>
            <w:hideMark/>
          </w:tcPr>
          <w:p w14:paraId="4E42D1AB" w14:textId="77777777" w:rsidR="005741BC" w:rsidRPr="005741BC" w:rsidRDefault="005741BC" w:rsidP="005741BC">
            <w:pPr>
              <w:spacing w:after="0" w:line="240" w:lineRule="auto"/>
              <w:rPr>
                <w:rFonts w:eastAsia="Times New Roman" w:cs="Times New Roman"/>
                <w:szCs w:val="24"/>
              </w:rPr>
            </w:pPr>
            <w:r w:rsidRPr="005741BC">
              <w:rPr>
                <w:rFonts w:eastAsia="SimSun" w:cs="Times New Roman"/>
                <w:szCs w:val="24"/>
              </w:rPr>
              <w:t>1,540 (30%)</w:t>
            </w:r>
          </w:p>
        </w:tc>
        <w:tc>
          <w:tcPr>
            <w:tcW w:w="1986" w:type="dxa"/>
            <w:tcBorders>
              <w:top w:val="nil"/>
              <w:left w:val="single" w:sz="4" w:space="0" w:color="auto"/>
              <w:bottom w:val="nil"/>
            </w:tcBorders>
            <w:vAlign w:val="center"/>
          </w:tcPr>
          <w:p w14:paraId="7472647C" w14:textId="6FF38777" w:rsidR="005741BC" w:rsidRPr="005741BC" w:rsidRDefault="00F66F4D" w:rsidP="005741BC">
            <w:pPr>
              <w:spacing w:after="0" w:line="240" w:lineRule="auto"/>
              <w:rPr>
                <w:rFonts w:eastAsia="SimSun" w:cs="Times New Roman"/>
                <w:szCs w:val="24"/>
              </w:rPr>
            </w:pPr>
            <w:r>
              <w:rPr>
                <w:rFonts w:eastAsia="SimSun" w:cs="Times New Roman"/>
                <w:szCs w:val="24"/>
              </w:rPr>
              <w:t>4,388</w:t>
            </w:r>
            <w:r w:rsidR="005741BC" w:rsidRPr="005741BC">
              <w:rPr>
                <w:rFonts w:eastAsia="SimSun" w:cs="Times New Roman"/>
                <w:szCs w:val="24"/>
              </w:rPr>
              <w:t xml:space="preserve"> (30%)</w:t>
            </w:r>
          </w:p>
        </w:tc>
      </w:tr>
      <w:tr w:rsidR="005741BC" w:rsidRPr="005741BC" w14:paraId="4E339F1D" w14:textId="77777777" w:rsidTr="005741BC">
        <w:trPr>
          <w:trHeight w:val="300"/>
        </w:trPr>
        <w:tc>
          <w:tcPr>
            <w:tcW w:w="4287" w:type="dxa"/>
            <w:tcBorders>
              <w:top w:val="nil"/>
              <w:left w:val="nil"/>
              <w:bottom w:val="nil"/>
              <w:right w:val="single" w:sz="4" w:space="0" w:color="auto"/>
            </w:tcBorders>
            <w:shd w:val="clear" w:color="auto" w:fill="auto"/>
            <w:noWrap/>
            <w:vAlign w:val="center"/>
            <w:hideMark/>
          </w:tcPr>
          <w:p w14:paraId="22215BB5"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36-45</w:t>
            </w:r>
          </w:p>
        </w:tc>
        <w:tc>
          <w:tcPr>
            <w:tcW w:w="1985" w:type="dxa"/>
            <w:tcBorders>
              <w:top w:val="nil"/>
              <w:left w:val="single" w:sz="4" w:space="0" w:color="auto"/>
              <w:bottom w:val="nil"/>
            </w:tcBorders>
            <w:shd w:val="clear" w:color="auto" w:fill="auto"/>
            <w:noWrap/>
            <w:vAlign w:val="center"/>
            <w:hideMark/>
          </w:tcPr>
          <w:p w14:paraId="74C7F795" w14:textId="77777777" w:rsidR="005741BC" w:rsidRPr="005741BC" w:rsidRDefault="005741BC" w:rsidP="005741BC">
            <w:pPr>
              <w:spacing w:after="0" w:line="240" w:lineRule="auto"/>
              <w:rPr>
                <w:rFonts w:eastAsia="Times New Roman" w:cs="Times New Roman"/>
                <w:szCs w:val="24"/>
              </w:rPr>
            </w:pPr>
            <w:r w:rsidRPr="005741BC">
              <w:rPr>
                <w:rFonts w:eastAsia="SimSun" w:cs="Times New Roman"/>
                <w:szCs w:val="24"/>
              </w:rPr>
              <w:t>1,008 (20%)</w:t>
            </w:r>
          </w:p>
        </w:tc>
        <w:tc>
          <w:tcPr>
            <w:tcW w:w="1986" w:type="dxa"/>
            <w:tcBorders>
              <w:top w:val="nil"/>
              <w:left w:val="single" w:sz="4" w:space="0" w:color="auto"/>
              <w:bottom w:val="nil"/>
            </w:tcBorders>
            <w:vAlign w:val="center"/>
          </w:tcPr>
          <w:p w14:paraId="3671FE40" w14:textId="22B80152" w:rsidR="005741BC" w:rsidRPr="005741BC" w:rsidRDefault="00F66F4D" w:rsidP="005741BC">
            <w:pPr>
              <w:spacing w:after="0" w:line="240" w:lineRule="auto"/>
              <w:rPr>
                <w:rFonts w:eastAsia="SimSun" w:cs="Times New Roman"/>
                <w:szCs w:val="24"/>
              </w:rPr>
            </w:pPr>
            <w:r>
              <w:rPr>
                <w:rFonts w:eastAsia="SimSun" w:cs="Times New Roman"/>
                <w:szCs w:val="24"/>
              </w:rPr>
              <w:t>3,206</w:t>
            </w:r>
            <w:r w:rsidR="005741BC" w:rsidRPr="005741BC">
              <w:rPr>
                <w:rFonts w:eastAsia="SimSun" w:cs="Times New Roman"/>
                <w:szCs w:val="24"/>
              </w:rPr>
              <w:t xml:space="preserve"> (22%)</w:t>
            </w:r>
          </w:p>
        </w:tc>
      </w:tr>
      <w:tr w:rsidR="005741BC" w:rsidRPr="005741BC" w14:paraId="1489D366" w14:textId="77777777" w:rsidTr="005741BC">
        <w:trPr>
          <w:trHeight w:val="300"/>
        </w:trPr>
        <w:tc>
          <w:tcPr>
            <w:tcW w:w="4287" w:type="dxa"/>
            <w:tcBorders>
              <w:top w:val="nil"/>
              <w:left w:val="nil"/>
              <w:bottom w:val="nil"/>
              <w:right w:val="single" w:sz="4" w:space="0" w:color="auto"/>
            </w:tcBorders>
            <w:shd w:val="clear" w:color="auto" w:fill="auto"/>
            <w:noWrap/>
            <w:vAlign w:val="center"/>
            <w:hideMark/>
          </w:tcPr>
          <w:p w14:paraId="2D6BE86A"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46-55</w:t>
            </w:r>
          </w:p>
        </w:tc>
        <w:tc>
          <w:tcPr>
            <w:tcW w:w="1985" w:type="dxa"/>
            <w:tcBorders>
              <w:top w:val="nil"/>
              <w:left w:val="single" w:sz="4" w:space="0" w:color="auto"/>
              <w:bottom w:val="nil"/>
            </w:tcBorders>
            <w:shd w:val="clear" w:color="auto" w:fill="auto"/>
            <w:noWrap/>
            <w:vAlign w:val="center"/>
            <w:hideMark/>
          </w:tcPr>
          <w:p w14:paraId="1FBFEBEC" w14:textId="77777777" w:rsidR="005741BC" w:rsidRPr="005741BC" w:rsidRDefault="005741BC" w:rsidP="005741BC">
            <w:pPr>
              <w:spacing w:after="0" w:line="240" w:lineRule="auto"/>
              <w:rPr>
                <w:rFonts w:eastAsia="Times New Roman" w:cs="Times New Roman"/>
                <w:szCs w:val="24"/>
              </w:rPr>
            </w:pPr>
            <w:r w:rsidRPr="005741BC">
              <w:rPr>
                <w:rFonts w:eastAsia="SimSun" w:cs="Times New Roman"/>
                <w:szCs w:val="24"/>
              </w:rPr>
              <w:t>736 (14%)</w:t>
            </w:r>
          </w:p>
        </w:tc>
        <w:tc>
          <w:tcPr>
            <w:tcW w:w="1986" w:type="dxa"/>
            <w:tcBorders>
              <w:top w:val="nil"/>
              <w:left w:val="single" w:sz="4" w:space="0" w:color="auto"/>
              <w:bottom w:val="nil"/>
            </w:tcBorders>
            <w:vAlign w:val="center"/>
          </w:tcPr>
          <w:p w14:paraId="20CA862B" w14:textId="5EB7051B" w:rsidR="005741BC" w:rsidRPr="005741BC" w:rsidRDefault="00F66F4D" w:rsidP="005741BC">
            <w:pPr>
              <w:spacing w:after="0" w:line="240" w:lineRule="auto"/>
              <w:rPr>
                <w:rFonts w:eastAsia="SimSun" w:cs="Times New Roman"/>
                <w:szCs w:val="24"/>
              </w:rPr>
            </w:pPr>
            <w:r>
              <w:rPr>
                <w:rFonts w:eastAsia="SimSun" w:cs="Times New Roman"/>
                <w:szCs w:val="24"/>
              </w:rPr>
              <w:t>2,356</w:t>
            </w:r>
            <w:r w:rsidR="005741BC" w:rsidRPr="005741BC">
              <w:rPr>
                <w:rFonts w:eastAsia="SimSun" w:cs="Times New Roman"/>
                <w:szCs w:val="24"/>
              </w:rPr>
              <w:t xml:space="preserve"> (16%)</w:t>
            </w:r>
          </w:p>
        </w:tc>
      </w:tr>
      <w:tr w:rsidR="005741BC" w:rsidRPr="005741BC" w14:paraId="3AEC1296" w14:textId="77777777" w:rsidTr="005741BC">
        <w:trPr>
          <w:trHeight w:val="300"/>
        </w:trPr>
        <w:tc>
          <w:tcPr>
            <w:tcW w:w="4287" w:type="dxa"/>
            <w:tcBorders>
              <w:top w:val="nil"/>
              <w:left w:val="nil"/>
              <w:bottom w:val="nil"/>
              <w:right w:val="single" w:sz="4" w:space="0" w:color="auto"/>
            </w:tcBorders>
            <w:shd w:val="clear" w:color="auto" w:fill="auto"/>
            <w:noWrap/>
            <w:vAlign w:val="center"/>
            <w:hideMark/>
          </w:tcPr>
          <w:p w14:paraId="067FB73E"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56-65</w:t>
            </w:r>
          </w:p>
        </w:tc>
        <w:tc>
          <w:tcPr>
            <w:tcW w:w="1985" w:type="dxa"/>
            <w:tcBorders>
              <w:top w:val="nil"/>
              <w:left w:val="single" w:sz="4" w:space="0" w:color="auto"/>
              <w:bottom w:val="nil"/>
            </w:tcBorders>
            <w:shd w:val="clear" w:color="auto" w:fill="auto"/>
            <w:noWrap/>
            <w:vAlign w:val="center"/>
            <w:hideMark/>
          </w:tcPr>
          <w:p w14:paraId="6CA56810" w14:textId="77777777" w:rsidR="005741BC" w:rsidRPr="005741BC" w:rsidRDefault="005741BC" w:rsidP="005741BC">
            <w:pPr>
              <w:spacing w:after="0" w:line="240" w:lineRule="auto"/>
              <w:rPr>
                <w:rFonts w:eastAsia="Times New Roman" w:cs="Times New Roman"/>
                <w:szCs w:val="24"/>
              </w:rPr>
            </w:pPr>
            <w:r w:rsidRPr="005741BC">
              <w:rPr>
                <w:rFonts w:eastAsia="SimSun" w:cs="Times New Roman"/>
                <w:szCs w:val="24"/>
              </w:rPr>
              <w:t>561 (11%)</w:t>
            </w:r>
          </w:p>
        </w:tc>
        <w:tc>
          <w:tcPr>
            <w:tcW w:w="1986" w:type="dxa"/>
            <w:tcBorders>
              <w:top w:val="nil"/>
              <w:left w:val="single" w:sz="4" w:space="0" w:color="auto"/>
              <w:bottom w:val="nil"/>
            </w:tcBorders>
            <w:vAlign w:val="center"/>
          </w:tcPr>
          <w:p w14:paraId="209623E7" w14:textId="41C4E39A" w:rsidR="005741BC" w:rsidRPr="005741BC" w:rsidRDefault="00F66F4D" w:rsidP="005741BC">
            <w:pPr>
              <w:spacing w:after="0" w:line="240" w:lineRule="auto"/>
              <w:rPr>
                <w:rFonts w:eastAsia="SimSun" w:cs="Times New Roman"/>
                <w:szCs w:val="24"/>
              </w:rPr>
            </w:pPr>
            <w:r>
              <w:rPr>
                <w:rFonts w:eastAsia="SimSun" w:cs="Times New Roman"/>
                <w:szCs w:val="24"/>
              </w:rPr>
              <w:t>1,780</w:t>
            </w:r>
            <w:r w:rsidR="005741BC" w:rsidRPr="005741BC">
              <w:rPr>
                <w:rFonts w:eastAsia="SimSun" w:cs="Times New Roman"/>
                <w:szCs w:val="24"/>
              </w:rPr>
              <w:t xml:space="preserve"> (12%)</w:t>
            </w:r>
          </w:p>
        </w:tc>
      </w:tr>
      <w:tr w:rsidR="005741BC" w:rsidRPr="005741BC" w14:paraId="6EFA3656" w14:textId="77777777" w:rsidTr="005741BC">
        <w:trPr>
          <w:trHeight w:val="300"/>
        </w:trPr>
        <w:tc>
          <w:tcPr>
            <w:tcW w:w="4287" w:type="dxa"/>
            <w:tcBorders>
              <w:top w:val="nil"/>
              <w:left w:val="nil"/>
              <w:bottom w:val="dotted" w:sz="4" w:space="0" w:color="auto"/>
              <w:right w:val="single" w:sz="4" w:space="0" w:color="auto"/>
            </w:tcBorders>
            <w:shd w:val="clear" w:color="auto" w:fill="auto"/>
            <w:noWrap/>
            <w:vAlign w:val="center"/>
            <w:hideMark/>
          </w:tcPr>
          <w:p w14:paraId="0D91CAC7"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&gt;65</w:t>
            </w:r>
          </w:p>
        </w:tc>
        <w:tc>
          <w:tcPr>
            <w:tcW w:w="1985" w:type="dxa"/>
            <w:tcBorders>
              <w:top w:val="nil"/>
              <w:left w:val="single" w:sz="4" w:space="0" w:color="auto"/>
              <w:bottom w:val="dotted" w:sz="4" w:space="0" w:color="auto"/>
            </w:tcBorders>
            <w:shd w:val="clear" w:color="auto" w:fill="auto"/>
            <w:noWrap/>
            <w:vAlign w:val="center"/>
            <w:hideMark/>
          </w:tcPr>
          <w:p w14:paraId="2D1CF64E" w14:textId="77777777" w:rsidR="005741BC" w:rsidRPr="005741BC" w:rsidRDefault="005741BC" w:rsidP="005741BC">
            <w:pPr>
              <w:spacing w:after="0" w:line="240" w:lineRule="auto"/>
              <w:rPr>
                <w:rFonts w:eastAsia="Times New Roman" w:cs="Times New Roman"/>
                <w:szCs w:val="24"/>
              </w:rPr>
            </w:pPr>
            <w:r w:rsidRPr="005741BC">
              <w:rPr>
                <w:rFonts w:eastAsia="SimSun" w:cs="Times New Roman"/>
                <w:szCs w:val="24"/>
              </w:rPr>
              <w:t>1,313 (25%)</w:t>
            </w:r>
          </w:p>
        </w:tc>
        <w:tc>
          <w:tcPr>
            <w:tcW w:w="1986" w:type="dxa"/>
            <w:tcBorders>
              <w:top w:val="nil"/>
              <w:left w:val="single" w:sz="4" w:space="0" w:color="auto"/>
              <w:bottom w:val="dotted" w:sz="4" w:space="0" w:color="auto"/>
            </w:tcBorders>
            <w:vAlign w:val="center"/>
          </w:tcPr>
          <w:p w14:paraId="4B21E926" w14:textId="37B15ED1" w:rsidR="005741BC" w:rsidRPr="005741BC" w:rsidRDefault="00F66F4D" w:rsidP="005741BC">
            <w:pPr>
              <w:spacing w:after="0" w:line="240" w:lineRule="auto"/>
              <w:rPr>
                <w:rFonts w:eastAsia="SimSun" w:cs="Times New Roman"/>
                <w:szCs w:val="24"/>
              </w:rPr>
            </w:pPr>
            <w:r>
              <w:rPr>
                <w:rFonts w:eastAsia="SimSun" w:cs="Times New Roman"/>
                <w:szCs w:val="24"/>
              </w:rPr>
              <w:t>2,646</w:t>
            </w:r>
            <w:r w:rsidR="005741BC" w:rsidRPr="005741BC">
              <w:rPr>
                <w:rFonts w:eastAsia="SimSun" w:cs="Times New Roman"/>
                <w:szCs w:val="24"/>
              </w:rPr>
              <w:t xml:space="preserve"> (18%)</w:t>
            </w:r>
          </w:p>
        </w:tc>
      </w:tr>
      <w:tr w:rsidR="005741BC" w:rsidRPr="005741BC" w14:paraId="17952C62" w14:textId="77777777" w:rsidTr="005741BC">
        <w:trPr>
          <w:trHeight w:val="300"/>
        </w:trPr>
        <w:tc>
          <w:tcPr>
            <w:tcW w:w="4287" w:type="dxa"/>
            <w:tcBorders>
              <w:top w:val="dotted" w:sz="4" w:space="0" w:color="auto"/>
              <w:left w:val="nil"/>
              <w:right w:val="single" w:sz="4" w:space="0" w:color="auto"/>
            </w:tcBorders>
            <w:shd w:val="clear" w:color="auto" w:fill="auto"/>
            <w:noWrap/>
            <w:vAlign w:val="center"/>
          </w:tcPr>
          <w:p w14:paraId="100371CA" w14:textId="77777777" w:rsidR="005741BC" w:rsidRPr="005741BC" w:rsidRDefault="005741BC" w:rsidP="005741BC">
            <w:pPr>
              <w:spacing w:after="0" w:line="240" w:lineRule="auto"/>
              <w:rPr>
                <w:rFonts w:eastAsia="Times New Roman" w:cs="Times New Roman"/>
              </w:rPr>
            </w:pPr>
            <w:r w:rsidRPr="005741BC">
              <w:rPr>
                <w:rFonts w:eastAsia="Times New Roman" w:cs="Times New Roman"/>
              </w:rPr>
              <w:t>Index of multiple deprivation</w:t>
            </w:r>
          </w:p>
        </w:tc>
        <w:tc>
          <w:tcPr>
            <w:tcW w:w="1985" w:type="dxa"/>
            <w:tcBorders>
              <w:top w:val="dotted" w:sz="4" w:space="0" w:color="auto"/>
              <w:left w:val="single" w:sz="4" w:space="0" w:color="auto"/>
            </w:tcBorders>
            <w:shd w:val="clear" w:color="auto" w:fill="auto"/>
            <w:noWrap/>
            <w:vAlign w:val="center"/>
          </w:tcPr>
          <w:p w14:paraId="6F30FF43" w14:textId="77777777" w:rsidR="005741BC" w:rsidRPr="005741BC" w:rsidRDefault="005741BC" w:rsidP="005741BC">
            <w:pPr>
              <w:spacing w:after="0" w:line="240" w:lineRule="auto"/>
              <w:rPr>
                <w:rFonts w:eastAsia="SimSun" w:cs="Times New Roman"/>
                <w:szCs w:val="24"/>
              </w:rPr>
            </w:pPr>
          </w:p>
        </w:tc>
        <w:tc>
          <w:tcPr>
            <w:tcW w:w="1986" w:type="dxa"/>
            <w:tcBorders>
              <w:top w:val="dotted" w:sz="4" w:space="0" w:color="auto"/>
              <w:left w:val="single" w:sz="4" w:space="0" w:color="auto"/>
            </w:tcBorders>
            <w:vAlign w:val="center"/>
          </w:tcPr>
          <w:p w14:paraId="45BDA5F9" w14:textId="77777777" w:rsidR="005741BC" w:rsidRPr="005741BC" w:rsidRDefault="005741BC" w:rsidP="005741BC">
            <w:pPr>
              <w:spacing w:after="0" w:line="240" w:lineRule="auto"/>
              <w:rPr>
                <w:rFonts w:eastAsia="SimSun" w:cs="Times New Roman"/>
                <w:szCs w:val="24"/>
              </w:rPr>
            </w:pPr>
          </w:p>
        </w:tc>
      </w:tr>
      <w:tr w:rsidR="005741BC" w:rsidRPr="005741BC" w14:paraId="75CAFBDF" w14:textId="77777777" w:rsidTr="005741BC">
        <w:trPr>
          <w:trHeight w:val="300"/>
        </w:trPr>
        <w:tc>
          <w:tcPr>
            <w:tcW w:w="4287" w:type="dxa"/>
            <w:tcBorders>
              <w:left w:val="nil"/>
              <w:bottom w:val="nil"/>
              <w:right w:val="single" w:sz="4" w:space="0" w:color="auto"/>
            </w:tcBorders>
            <w:shd w:val="clear" w:color="auto" w:fill="auto"/>
            <w:noWrap/>
            <w:vAlign w:val="center"/>
            <w:hideMark/>
          </w:tcPr>
          <w:p w14:paraId="50D466CB"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Quintile 1 (least deprived)</w:t>
            </w:r>
          </w:p>
        </w:tc>
        <w:tc>
          <w:tcPr>
            <w:tcW w:w="1985" w:type="dxa"/>
            <w:tcBorders>
              <w:left w:val="single" w:sz="4" w:space="0" w:color="auto"/>
              <w:bottom w:val="nil"/>
            </w:tcBorders>
            <w:shd w:val="clear" w:color="auto" w:fill="auto"/>
            <w:noWrap/>
            <w:vAlign w:val="center"/>
            <w:hideMark/>
          </w:tcPr>
          <w:p w14:paraId="7F78669D" w14:textId="77777777" w:rsidR="005741BC" w:rsidRPr="005741BC" w:rsidRDefault="005741BC" w:rsidP="005741BC">
            <w:pPr>
              <w:spacing w:after="0" w:line="240" w:lineRule="auto"/>
              <w:rPr>
                <w:rFonts w:eastAsia="Times New Roman" w:cs="Times New Roman"/>
                <w:szCs w:val="24"/>
              </w:rPr>
            </w:pPr>
            <w:r w:rsidRPr="005741BC">
              <w:rPr>
                <w:rFonts w:eastAsia="SimSun" w:cs="Times New Roman"/>
                <w:szCs w:val="24"/>
              </w:rPr>
              <w:t>922 (18%)</w:t>
            </w:r>
          </w:p>
        </w:tc>
        <w:tc>
          <w:tcPr>
            <w:tcW w:w="1986" w:type="dxa"/>
            <w:tcBorders>
              <w:left w:val="single" w:sz="4" w:space="0" w:color="auto"/>
              <w:bottom w:val="nil"/>
            </w:tcBorders>
            <w:vAlign w:val="center"/>
          </w:tcPr>
          <w:p w14:paraId="49059251" w14:textId="4AF5BCFB" w:rsidR="005741BC" w:rsidRPr="005741BC" w:rsidRDefault="00F66F4D" w:rsidP="005741BC">
            <w:pPr>
              <w:spacing w:after="0" w:line="240" w:lineRule="auto"/>
              <w:rPr>
                <w:rFonts w:eastAsia="SimSun" w:cs="Times New Roman"/>
                <w:szCs w:val="24"/>
              </w:rPr>
            </w:pPr>
            <w:r>
              <w:rPr>
                <w:rFonts w:eastAsia="SimSun" w:cs="Times New Roman"/>
                <w:szCs w:val="24"/>
              </w:rPr>
              <w:t>2,535</w:t>
            </w:r>
            <w:r w:rsidR="005741BC" w:rsidRPr="005741BC">
              <w:rPr>
                <w:rFonts w:eastAsia="SimSun" w:cs="Times New Roman"/>
                <w:szCs w:val="24"/>
              </w:rPr>
              <w:t xml:space="preserve"> (18%)</w:t>
            </w:r>
          </w:p>
        </w:tc>
      </w:tr>
      <w:tr w:rsidR="005741BC" w:rsidRPr="005741BC" w14:paraId="528E8D0E" w14:textId="77777777" w:rsidTr="005741BC">
        <w:trPr>
          <w:trHeight w:val="300"/>
        </w:trPr>
        <w:tc>
          <w:tcPr>
            <w:tcW w:w="4287" w:type="dxa"/>
            <w:tcBorders>
              <w:top w:val="nil"/>
              <w:left w:val="nil"/>
              <w:bottom w:val="nil"/>
              <w:right w:val="single" w:sz="4" w:space="0" w:color="auto"/>
            </w:tcBorders>
            <w:shd w:val="clear" w:color="auto" w:fill="auto"/>
            <w:noWrap/>
            <w:vAlign w:val="center"/>
            <w:hideMark/>
          </w:tcPr>
          <w:p w14:paraId="072DA109"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Quintile 2</w:t>
            </w:r>
          </w:p>
        </w:tc>
        <w:tc>
          <w:tcPr>
            <w:tcW w:w="1985" w:type="dxa"/>
            <w:tcBorders>
              <w:top w:val="nil"/>
              <w:left w:val="single" w:sz="4" w:space="0" w:color="auto"/>
              <w:bottom w:val="nil"/>
            </w:tcBorders>
            <w:shd w:val="clear" w:color="auto" w:fill="auto"/>
            <w:noWrap/>
            <w:vAlign w:val="center"/>
            <w:hideMark/>
          </w:tcPr>
          <w:p w14:paraId="7C879608" w14:textId="77777777" w:rsidR="005741BC" w:rsidRPr="005741BC" w:rsidRDefault="005741BC" w:rsidP="005741BC">
            <w:pPr>
              <w:spacing w:after="0" w:line="240" w:lineRule="auto"/>
              <w:rPr>
                <w:rFonts w:eastAsia="Times New Roman" w:cs="Times New Roman"/>
                <w:szCs w:val="24"/>
              </w:rPr>
            </w:pPr>
            <w:r w:rsidRPr="005741BC">
              <w:rPr>
                <w:rFonts w:eastAsia="SimSun" w:cs="Times New Roman"/>
                <w:szCs w:val="24"/>
              </w:rPr>
              <w:t>980 (19%)</w:t>
            </w:r>
          </w:p>
        </w:tc>
        <w:tc>
          <w:tcPr>
            <w:tcW w:w="1986" w:type="dxa"/>
            <w:tcBorders>
              <w:top w:val="nil"/>
              <w:left w:val="single" w:sz="4" w:space="0" w:color="auto"/>
              <w:bottom w:val="nil"/>
            </w:tcBorders>
            <w:vAlign w:val="center"/>
          </w:tcPr>
          <w:p w14:paraId="7893A0D9" w14:textId="2462CC20" w:rsidR="005741BC" w:rsidRPr="005741BC" w:rsidRDefault="00F66F4D" w:rsidP="005741BC">
            <w:pPr>
              <w:spacing w:after="0" w:line="240" w:lineRule="auto"/>
              <w:rPr>
                <w:rFonts w:eastAsia="SimSun" w:cs="Times New Roman"/>
                <w:szCs w:val="24"/>
              </w:rPr>
            </w:pPr>
            <w:r>
              <w:rPr>
                <w:rFonts w:eastAsia="SimSun" w:cs="Times New Roman"/>
                <w:szCs w:val="24"/>
              </w:rPr>
              <w:t>2,709</w:t>
            </w:r>
            <w:r w:rsidR="005741BC" w:rsidRPr="005741BC">
              <w:rPr>
                <w:rFonts w:eastAsia="SimSun" w:cs="Times New Roman"/>
                <w:szCs w:val="24"/>
              </w:rPr>
              <w:t xml:space="preserve"> (19%)</w:t>
            </w:r>
          </w:p>
        </w:tc>
      </w:tr>
      <w:tr w:rsidR="005741BC" w:rsidRPr="005741BC" w14:paraId="230EC43F" w14:textId="77777777" w:rsidTr="005741BC">
        <w:trPr>
          <w:trHeight w:val="300"/>
        </w:trPr>
        <w:tc>
          <w:tcPr>
            <w:tcW w:w="4287" w:type="dxa"/>
            <w:tcBorders>
              <w:top w:val="nil"/>
              <w:left w:val="nil"/>
              <w:bottom w:val="nil"/>
              <w:right w:val="single" w:sz="4" w:space="0" w:color="auto"/>
            </w:tcBorders>
            <w:shd w:val="clear" w:color="auto" w:fill="auto"/>
            <w:noWrap/>
            <w:vAlign w:val="center"/>
            <w:hideMark/>
          </w:tcPr>
          <w:p w14:paraId="41C64567"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Quintile 3</w:t>
            </w:r>
          </w:p>
        </w:tc>
        <w:tc>
          <w:tcPr>
            <w:tcW w:w="1985" w:type="dxa"/>
            <w:tcBorders>
              <w:top w:val="nil"/>
              <w:left w:val="single" w:sz="4" w:space="0" w:color="auto"/>
              <w:bottom w:val="nil"/>
            </w:tcBorders>
            <w:shd w:val="clear" w:color="auto" w:fill="auto"/>
            <w:noWrap/>
            <w:vAlign w:val="center"/>
            <w:hideMark/>
          </w:tcPr>
          <w:p w14:paraId="6E6148CC" w14:textId="77777777" w:rsidR="005741BC" w:rsidRPr="005741BC" w:rsidRDefault="005741BC" w:rsidP="005741BC">
            <w:pPr>
              <w:spacing w:after="0" w:line="240" w:lineRule="auto"/>
              <w:rPr>
                <w:rFonts w:eastAsia="Times New Roman" w:cs="Times New Roman"/>
                <w:szCs w:val="24"/>
              </w:rPr>
            </w:pPr>
            <w:r w:rsidRPr="005741BC">
              <w:rPr>
                <w:rFonts w:eastAsia="SimSun" w:cs="Times New Roman"/>
                <w:szCs w:val="24"/>
              </w:rPr>
              <w:t>951 (18%)</w:t>
            </w:r>
          </w:p>
        </w:tc>
        <w:tc>
          <w:tcPr>
            <w:tcW w:w="1986" w:type="dxa"/>
            <w:tcBorders>
              <w:top w:val="nil"/>
              <w:left w:val="single" w:sz="4" w:space="0" w:color="auto"/>
              <w:bottom w:val="nil"/>
            </w:tcBorders>
            <w:vAlign w:val="center"/>
          </w:tcPr>
          <w:p w14:paraId="2532A5C9" w14:textId="026BFCE2" w:rsidR="005741BC" w:rsidRPr="005741BC" w:rsidRDefault="00F66F4D" w:rsidP="005741BC">
            <w:pPr>
              <w:spacing w:after="0" w:line="240" w:lineRule="auto"/>
              <w:rPr>
                <w:rFonts w:eastAsia="SimSun" w:cs="Times New Roman"/>
                <w:szCs w:val="24"/>
              </w:rPr>
            </w:pPr>
            <w:r>
              <w:rPr>
                <w:rFonts w:eastAsia="SimSun" w:cs="Times New Roman"/>
                <w:szCs w:val="24"/>
              </w:rPr>
              <w:t>2,613</w:t>
            </w:r>
            <w:r w:rsidR="005741BC" w:rsidRPr="005741BC">
              <w:rPr>
                <w:rFonts w:eastAsia="SimSun" w:cs="Times New Roman"/>
                <w:szCs w:val="24"/>
              </w:rPr>
              <w:t xml:space="preserve"> (18%)</w:t>
            </w:r>
          </w:p>
        </w:tc>
      </w:tr>
      <w:tr w:rsidR="005741BC" w:rsidRPr="005741BC" w14:paraId="09B26C13" w14:textId="77777777" w:rsidTr="005741BC">
        <w:trPr>
          <w:trHeight w:val="300"/>
        </w:trPr>
        <w:tc>
          <w:tcPr>
            <w:tcW w:w="4287" w:type="dxa"/>
            <w:tcBorders>
              <w:top w:val="nil"/>
              <w:left w:val="nil"/>
              <w:bottom w:val="nil"/>
              <w:right w:val="single" w:sz="4" w:space="0" w:color="auto"/>
            </w:tcBorders>
            <w:shd w:val="clear" w:color="auto" w:fill="auto"/>
            <w:noWrap/>
            <w:vAlign w:val="center"/>
            <w:hideMark/>
          </w:tcPr>
          <w:p w14:paraId="088B6F85"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Quintile 4</w:t>
            </w:r>
          </w:p>
        </w:tc>
        <w:tc>
          <w:tcPr>
            <w:tcW w:w="1985" w:type="dxa"/>
            <w:tcBorders>
              <w:top w:val="nil"/>
              <w:left w:val="single" w:sz="4" w:space="0" w:color="auto"/>
              <w:bottom w:val="nil"/>
            </w:tcBorders>
            <w:shd w:val="clear" w:color="auto" w:fill="auto"/>
            <w:noWrap/>
            <w:vAlign w:val="center"/>
            <w:hideMark/>
          </w:tcPr>
          <w:p w14:paraId="6841F17E" w14:textId="77777777" w:rsidR="005741BC" w:rsidRPr="005741BC" w:rsidRDefault="005741BC" w:rsidP="005741BC">
            <w:pPr>
              <w:spacing w:after="0" w:line="240" w:lineRule="auto"/>
              <w:rPr>
                <w:rFonts w:eastAsia="Times New Roman" w:cs="Times New Roman"/>
                <w:szCs w:val="24"/>
              </w:rPr>
            </w:pPr>
            <w:r w:rsidRPr="005741BC">
              <w:rPr>
                <w:rFonts w:eastAsia="SimSun" w:cs="Times New Roman"/>
                <w:szCs w:val="24"/>
              </w:rPr>
              <w:t>1,150 (22%)</w:t>
            </w:r>
          </w:p>
        </w:tc>
        <w:tc>
          <w:tcPr>
            <w:tcW w:w="1986" w:type="dxa"/>
            <w:tcBorders>
              <w:top w:val="nil"/>
              <w:left w:val="single" w:sz="4" w:space="0" w:color="auto"/>
              <w:bottom w:val="nil"/>
            </w:tcBorders>
            <w:vAlign w:val="center"/>
          </w:tcPr>
          <w:p w14:paraId="44DA671C" w14:textId="391395FF" w:rsidR="005741BC" w:rsidRPr="005741BC" w:rsidRDefault="00F66F4D" w:rsidP="005741BC">
            <w:pPr>
              <w:spacing w:after="0" w:line="240" w:lineRule="auto"/>
              <w:rPr>
                <w:rFonts w:eastAsia="SimSun" w:cs="Times New Roman"/>
                <w:szCs w:val="24"/>
              </w:rPr>
            </w:pPr>
            <w:r>
              <w:rPr>
                <w:rFonts w:eastAsia="SimSun" w:cs="Times New Roman"/>
                <w:szCs w:val="24"/>
              </w:rPr>
              <w:t>3,232</w:t>
            </w:r>
            <w:r w:rsidR="005741BC" w:rsidRPr="005741BC">
              <w:rPr>
                <w:rFonts w:eastAsia="SimSun" w:cs="Times New Roman"/>
                <w:szCs w:val="24"/>
              </w:rPr>
              <w:t xml:space="preserve"> (22%)</w:t>
            </w:r>
          </w:p>
        </w:tc>
      </w:tr>
      <w:tr w:rsidR="005741BC" w:rsidRPr="005741BC" w14:paraId="3B0ED946" w14:textId="77777777" w:rsidTr="005741BC">
        <w:trPr>
          <w:trHeight w:val="300"/>
        </w:trPr>
        <w:tc>
          <w:tcPr>
            <w:tcW w:w="4287" w:type="dxa"/>
            <w:tcBorders>
              <w:top w:val="nil"/>
              <w:left w:val="nil"/>
              <w:bottom w:val="dotted" w:sz="4" w:space="0" w:color="auto"/>
              <w:right w:val="single" w:sz="4" w:space="0" w:color="auto"/>
            </w:tcBorders>
            <w:shd w:val="clear" w:color="auto" w:fill="auto"/>
            <w:noWrap/>
            <w:vAlign w:val="center"/>
            <w:hideMark/>
          </w:tcPr>
          <w:p w14:paraId="1CE8D2A5"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Quintile 5 (most deprived)</w:t>
            </w:r>
          </w:p>
        </w:tc>
        <w:tc>
          <w:tcPr>
            <w:tcW w:w="1985" w:type="dxa"/>
            <w:tcBorders>
              <w:top w:val="nil"/>
              <w:left w:val="single" w:sz="4" w:space="0" w:color="auto"/>
              <w:bottom w:val="dotted" w:sz="4" w:space="0" w:color="auto"/>
            </w:tcBorders>
            <w:shd w:val="clear" w:color="auto" w:fill="auto"/>
            <w:noWrap/>
            <w:vAlign w:val="center"/>
            <w:hideMark/>
          </w:tcPr>
          <w:p w14:paraId="2AE5D132" w14:textId="77777777" w:rsidR="005741BC" w:rsidRPr="005741BC" w:rsidRDefault="005741BC" w:rsidP="005741BC">
            <w:pPr>
              <w:spacing w:after="0" w:line="240" w:lineRule="auto"/>
              <w:rPr>
                <w:rFonts w:eastAsia="Times New Roman" w:cs="Times New Roman"/>
                <w:szCs w:val="24"/>
              </w:rPr>
            </w:pPr>
            <w:r w:rsidRPr="005741BC">
              <w:rPr>
                <w:rFonts w:eastAsia="SimSun" w:cs="Times New Roman"/>
                <w:szCs w:val="24"/>
              </w:rPr>
              <w:t>1,155 (23%)</w:t>
            </w:r>
          </w:p>
        </w:tc>
        <w:tc>
          <w:tcPr>
            <w:tcW w:w="1986" w:type="dxa"/>
            <w:tcBorders>
              <w:top w:val="nil"/>
              <w:left w:val="single" w:sz="4" w:space="0" w:color="auto"/>
              <w:bottom w:val="dotted" w:sz="4" w:space="0" w:color="auto"/>
            </w:tcBorders>
            <w:vAlign w:val="center"/>
          </w:tcPr>
          <w:p w14:paraId="4D97290E" w14:textId="3720D84E" w:rsidR="005741BC" w:rsidRPr="005741BC" w:rsidRDefault="00F66F4D" w:rsidP="005741BC">
            <w:pPr>
              <w:spacing w:after="0" w:line="240" w:lineRule="auto"/>
              <w:rPr>
                <w:rFonts w:eastAsia="SimSun" w:cs="Times New Roman"/>
                <w:szCs w:val="24"/>
              </w:rPr>
            </w:pPr>
            <w:r>
              <w:rPr>
                <w:rFonts w:eastAsia="SimSun" w:cs="Times New Roman"/>
                <w:szCs w:val="24"/>
              </w:rPr>
              <w:t>3,286</w:t>
            </w:r>
            <w:r w:rsidR="005741BC" w:rsidRPr="005741BC">
              <w:rPr>
                <w:rFonts w:eastAsia="SimSun" w:cs="Times New Roman"/>
                <w:szCs w:val="24"/>
              </w:rPr>
              <w:t xml:space="preserve"> (23%)</w:t>
            </w:r>
          </w:p>
        </w:tc>
      </w:tr>
      <w:tr w:rsidR="005741BC" w:rsidRPr="005741BC" w14:paraId="1156241A" w14:textId="77777777" w:rsidTr="005741BC">
        <w:trPr>
          <w:trHeight w:val="300"/>
        </w:trPr>
        <w:tc>
          <w:tcPr>
            <w:tcW w:w="4287" w:type="dxa"/>
            <w:tcBorders>
              <w:top w:val="dotted" w:sz="4" w:space="0" w:color="auto"/>
              <w:left w:val="nil"/>
              <w:bottom w:val="dotted" w:sz="4" w:space="0" w:color="auto"/>
              <w:right w:val="single" w:sz="4" w:space="0" w:color="auto"/>
            </w:tcBorders>
            <w:shd w:val="clear" w:color="auto" w:fill="auto"/>
            <w:noWrap/>
            <w:vAlign w:val="center"/>
            <w:hideMark/>
          </w:tcPr>
          <w:p w14:paraId="43B22E71" w14:textId="77777777" w:rsidR="005741BC" w:rsidRPr="005741BC" w:rsidRDefault="005741BC" w:rsidP="005741BC">
            <w:pPr>
              <w:spacing w:after="0" w:line="240" w:lineRule="auto"/>
              <w:rPr>
                <w:rFonts w:eastAsia="Times New Roman" w:cs="Times New Roman"/>
              </w:rPr>
            </w:pPr>
            <w:r w:rsidRPr="005741BC">
              <w:rPr>
                <w:rFonts w:eastAsia="Times New Roman" w:cs="Times New Roman"/>
              </w:rPr>
              <w:t>Gender</w:t>
            </w:r>
          </w:p>
          <w:p w14:paraId="25AC80FD"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Male</w:t>
            </w:r>
          </w:p>
          <w:p w14:paraId="65DD3EE0"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Female</w:t>
            </w:r>
          </w:p>
        </w:tc>
        <w:tc>
          <w:tcPr>
            <w:tcW w:w="1985" w:type="dxa"/>
            <w:tcBorders>
              <w:top w:val="dotted" w:sz="4" w:space="0" w:color="auto"/>
              <w:left w:val="single" w:sz="4" w:space="0" w:color="auto"/>
              <w:bottom w:val="dotted" w:sz="4" w:space="0" w:color="auto"/>
            </w:tcBorders>
            <w:shd w:val="clear" w:color="auto" w:fill="auto"/>
            <w:noWrap/>
            <w:vAlign w:val="center"/>
            <w:hideMark/>
          </w:tcPr>
          <w:p w14:paraId="73C216D3" w14:textId="77777777" w:rsidR="005741BC" w:rsidRPr="005741BC" w:rsidRDefault="005741BC" w:rsidP="005741BC">
            <w:pPr>
              <w:spacing w:after="0" w:line="240" w:lineRule="auto"/>
              <w:rPr>
                <w:rFonts w:eastAsia="SimSun" w:cs="Times New Roman"/>
                <w:szCs w:val="24"/>
              </w:rPr>
            </w:pPr>
          </w:p>
          <w:p w14:paraId="77F29BBA" w14:textId="77777777" w:rsidR="005741BC" w:rsidRPr="005741BC" w:rsidRDefault="005741BC" w:rsidP="005741BC">
            <w:pPr>
              <w:spacing w:after="0" w:line="240" w:lineRule="auto"/>
              <w:rPr>
                <w:rFonts w:eastAsia="SimSun" w:cs="Times New Roman"/>
                <w:szCs w:val="24"/>
              </w:rPr>
            </w:pPr>
            <w:r w:rsidRPr="005741BC">
              <w:rPr>
                <w:rFonts w:eastAsia="SimSun" w:cs="Times New Roman"/>
                <w:szCs w:val="24"/>
              </w:rPr>
              <w:t>2,430 (47%)</w:t>
            </w:r>
          </w:p>
          <w:p w14:paraId="314D312C" w14:textId="77777777" w:rsidR="005741BC" w:rsidRPr="005741BC" w:rsidRDefault="005741BC" w:rsidP="005741BC">
            <w:pPr>
              <w:spacing w:after="0" w:line="240" w:lineRule="auto"/>
              <w:rPr>
                <w:rFonts w:eastAsia="Times New Roman" w:cs="Times New Roman"/>
                <w:szCs w:val="24"/>
              </w:rPr>
            </w:pPr>
            <w:r w:rsidRPr="005741BC">
              <w:rPr>
                <w:rFonts w:eastAsia="SimSun" w:cs="Times New Roman"/>
                <w:szCs w:val="24"/>
              </w:rPr>
              <w:t>2,728 (53%)</w:t>
            </w:r>
          </w:p>
        </w:tc>
        <w:tc>
          <w:tcPr>
            <w:tcW w:w="1986" w:type="dxa"/>
            <w:tcBorders>
              <w:top w:val="dotted" w:sz="4" w:space="0" w:color="auto"/>
              <w:left w:val="single" w:sz="4" w:space="0" w:color="auto"/>
              <w:bottom w:val="dotted" w:sz="4" w:space="0" w:color="auto"/>
            </w:tcBorders>
            <w:vAlign w:val="center"/>
          </w:tcPr>
          <w:p w14:paraId="79642F89" w14:textId="77777777" w:rsidR="005741BC" w:rsidRPr="005741BC" w:rsidRDefault="005741BC" w:rsidP="005741BC">
            <w:pPr>
              <w:spacing w:after="0" w:line="240" w:lineRule="auto"/>
              <w:rPr>
                <w:rFonts w:eastAsia="SimSun" w:cs="Times New Roman"/>
                <w:szCs w:val="24"/>
              </w:rPr>
            </w:pPr>
          </w:p>
          <w:p w14:paraId="138090B6" w14:textId="0BA267CE" w:rsidR="005741BC" w:rsidRPr="005741BC" w:rsidRDefault="00F66F4D" w:rsidP="005741BC">
            <w:pPr>
              <w:spacing w:after="0" w:line="240" w:lineRule="auto"/>
              <w:rPr>
                <w:rFonts w:eastAsia="SimSun" w:cs="Times New Roman"/>
                <w:szCs w:val="24"/>
              </w:rPr>
            </w:pPr>
            <w:r>
              <w:rPr>
                <w:rFonts w:eastAsia="SimSun" w:cs="Times New Roman"/>
                <w:szCs w:val="24"/>
              </w:rPr>
              <w:t>6,767</w:t>
            </w:r>
            <w:r w:rsidR="005741BC" w:rsidRPr="005741BC">
              <w:rPr>
                <w:rFonts w:eastAsia="SimSun" w:cs="Times New Roman"/>
                <w:szCs w:val="24"/>
              </w:rPr>
              <w:t xml:space="preserve"> (47%)</w:t>
            </w:r>
          </w:p>
          <w:p w14:paraId="463C45FF" w14:textId="21871720" w:rsidR="005741BC" w:rsidRPr="005741BC" w:rsidRDefault="00F66F4D" w:rsidP="005741BC">
            <w:pPr>
              <w:spacing w:after="0" w:line="240" w:lineRule="auto"/>
              <w:rPr>
                <w:rFonts w:eastAsia="SimSun" w:cs="Times New Roman"/>
                <w:szCs w:val="24"/>
              </w:rPr>
            </w:pPr>
            <w:r>
              <w:rPr>
                <w:rFonts w:eastAsia="SimSun" w:cs="Times New Roman"/>
                <w:szCs w:val="24"/>
              </w:rPr>
              <w:t>7,609</w:t>
            </w:r>
            <w:r w:rsidR="005741BC" w:rsidRPr="005741BC">
              <w:rPr>
                <w:rFonts w:eastAsia="SimSun" w:cs="Times New Roman"/>
                <w:szCs w:val="24"/>
              </w:rPr>
              <w:t xml:space="preserve"> (53%)</w:t>
            </w:r>
          </w:p>
        </w:tc>
      </w:tr>
      <w:tr w:rsidR="005741BC" w:rsidRPr="005741BC" w14:paraId="2847BF3F" w14:textId="77777777" w:rsidTr="005741BC">
        <w:trPr>
          <w:trHeight w:val="300"/>
        </w:trPr>
        <w:tc>
          <w:tcPr>
            <w:tcW w:w="4287" w:type="dxa"/>
            <w:tcBorders>
              <w:top w:val="dotted" w:sz="4" w:space="0" w:color="auto"/>
              <w:left w:val="nil"/>
              <w:bottom w:val="dotted" w:sz="4" w:space="0" w:color="auto"/>
              <w:right w:val="single" w:sz="4" w:space="0" w:color="auto"/>
            </w:tcBorders>
            <w:shd w:val="clear" w:color="auto" w:fill="auto"/>
            <w:noWrap/>
            <w:vAlign w:val="center"/>
            <w:hideMark/>
          </w:tcPr>
          <w:p w14:paraId="30B3B278" w14:textId="77777777" w:rsidR="005741BC" w:rsidRPr="005741BC" w:rsidRDefault="005741BC" w:rsidP="005741BC">
            <w:pPr>
              <w:spacing w:after="0" w:line="240" w:lineRule="auto"/>
              <w:rPr>
                <w:rFonts w:eastAsia="Times New Roman" w:cs="Times New Roman"/>
              </w:rPr>
            </w:pPr>
            <w:r w:rsidRPr="005741BC">
              <w:rPr>
                <w:rFonts w:eastAsia="Times New Roman" w:cs="Times New Roman"/>
              </w:rPr>
              <w:t>Ethnicity</w:t>
            </w:r>
          </w:p>
          <w:p w14:paraId="78D261D5"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White</w:t>
            </w:r>
          </w:p>
          <w:p w14:paraId="3A002A15"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Black &amp; minority ethnicities</w:t>
            </w:r>
          </w:p>
        </w:tc>
        <w:tc>
          <w:tcPr>
            <w:tcW w:w="1985" w:type="dxa"/>
            <w:tcBorders>
              <w:top w:val="dotted" w:sz="4" w:space="0" w:color="auto"/>
              <w:left w:val="single" w:sz="4" w:space="0" w:color="auto"/>
              <w:bottom w:val="dotted" w:sz="4" w:space="0" w:color="auto"/>
            </w:tcBorders>
            <w:shd w:val="clear" w:color="auto" w:fill="auto"/>
            <w:noWrap/>
            <w:vAlign w:val="center"/>
            <w:hideMark/>
          </w:tcPr>
          <w:p w14:paraId="335B2B4A" w14:textId="77777777" w:rsidR="005741BC" w:rsidRPr="005741BC" w:rsidRDefault="005741BC" w:rsidP="005741BC">
            <w:pPr>
              <w:spacing w:after="0" w:line="240" w:lineRule="auto"/>
              <w:rPr>
                <w:rFonts w:eastAsia="SimSun" w:cs="Times New Roman"/>
                <w:szCs w:val="24"/>
              </w:rPr>
            </w:pPr>
          </w:p>
          <w:p w14:paraId="4B98908C" w14:textId="77777777" w:rsidR="005741BC" w:rsidRPr="005741BC" w:rsidRDefault="005741BC" w:rsidP="005741BC">
            <w:pPr>
              <w:spacing w:after="0" w:line="240" w:lineRule="auto"/>
              <w:rPr>
                <w:rFonts w:eastAsia="SimSun" w:cs="Times New Roman"/>
                <w:szCs w:val="24"/>
              </w:rPr>
            </w:pPr>
            <w:r w:rsidRPr="005741BC">
              <w:rPr>
                <w:rFonts w:eastAsia="SimSun" w:cs="Times New Roman"/>
                <w:szCs w:val="24"/>
              </w:rPr>
              <w:t>3,791 (73%)</w:t>
            </w:r>
          </w:p>
          <w:p w14:paraId="36EE1C75" w14:textId="77777777" w:rsidR="005741BC" w:rsidRPr="005741BC" w:rsidRDefault="005741BC" w:rsidP="005741BC">
            <w:pPr>
              <w:spacing w:after="0" w:line="240" w:lineRule="auto"/>
              <w:rPr>
                <w:rFonts w:eastAsia="Times New Roman" w:cs="Times New Roman"/>
                <w:szCs w:val="24"/>
              </w:rPr>
            </w:pPr>
            <w:r w:rsidRPr="005741BC">
              <w:rPr>
                <w:rFonts w:eastAsia="SimSun" w:cs="Times New Roman"/>
                <w:szCs w:val="24"/>
              </w:rPr>
              <w:t>1,367 (27%)</w:t>
            </w:r>
          </w:p>
        </w:tc>
        <w:tc>
          <w:tcPr>
            <w:tcW w:w="1986" w:type="dxa"/>
            <w:tcBorders>
              <w:top w:val="dotted" w:sz="4" w:space="0" w:color="auto"/>
              <w:left w:val="single" w:sz="4" w:space="0" w:color="auto"/>
              <w:bottom w:val="dotted" w:sz="4" w:space="0" w:color="auto"/>
            </w:tcBorders>
            <w:vAlign w:val="center"/>
          </w:tcPr>
          <w:p w14:paraId="67C686EC" w14:textId="77777777" w:rsidR="005741BC" w:rsidRPr="005741BC" w:rsidRDefault="005741BC" w:rsidP="005741BC">
            <w:pPr>
              <w:spacing w:after="0" w:line="240" w:lineRule="auto"/>
              <w:rPr>
                <w:rFonts w:eastAsia="SimSun" w:cs="Times New Roman"/>
                <w:szCs w:val="24"/>
              </w:rPr>
            </w:pPr>
          </w:p>
          <w:p w14:paraId="46330472" w14:textId="50445FB3" w:rsidR="005741BC" w:rsidRPr="005741BC" w:rsidRDefault="00F66F4D" w:rsidP="005741BC">
            <w:pPr>
              <w:spacing w:after="0" w:line="240" w:lineRule="auto"/>
              <w:rPr>
                <w:rFonts w:eastAsia="SimSun" w:cs="Times New Roman"/>
                <w:szCs w:val="24"/>
              </w:rPr>
            </w:pPr>
            <w:r>
              <w:rPr>
                <w:rFonts w:eastAsia="SimSun" w:cs="Times New Roman"/>
                <w:szCs w:val="24"/>
              </w:rPr>
              <w:t>10,546</w:t>
            </w:r>
            <w:r w:rsidR="005741BC" w:rsidRPr="005741BC">
              <w:rPr>
                <w:rFonts w:eastAsia="SimSun" w:cs="Times New Roman"/>
                <w:szCs w:val="24"/>
              </w:rPr>
              <w:t xml:space="preserve"> (73%)</w:t>
            </w:r>
          </w:p>
          <w:p w14:paraId="2E3E54CB" w14:textId="42258EDE" w:rsidR="005741BC" w:rsidRPr="005741BC" w:rsidRDefault="00F66F4D" w:rsidP="005741BC">
            <w:pPr>
              <w:spacing w:after="0" w:line="240" w:lineRule="auto"/>
              <w:rPr>
                <w:rFonts w:eastAsia="SimSun" w:cs="Times New Roman"/>
                <w:szCs w:val="24"/>
              </w:rPr>
            </w:pPr>
            <w:r>
              <w:rPr>
                <w:rFonts w:eastAsia="SimSun" w:cs="Times New Roman"/>
                <w:szCs w:val="24"/>
              </w:rPr>
              <w:t>3,830</w:t>
            </w:r>
            <w:r w:rsidR="005741BC" w:rsidRPr="005741BC">
              <w:rPr>
                <w:rFonts w:eastAsia="SimSun" w:cs="Times New Roman"/>
                <w:szCs w:val="24"/>
              </w:rPr>
              <w:t xml:space="preserve"> (27%)</w:t>
            </w:r>
          </w:p>
        </w:tc>
      </w:tr>
      <w:tr w:rsidR="005741BC" w:rsidRPr="005741BC" w14:paraId="6017233C" w14:textId="77777777" w:rsidTr="005741BC">
        <w:trPr>
          <w:trHeight w:val="300"/>
        </w:trPr>
        <w:tc>
          <w:tcPr>
            <w:tcW w:w="4287" w:type="dxa"/>
            <w:tcBorders>
              <w:top w:val="dotted" w:sz="4" w:space="0" w:color="auto"/>
              <w:left w:val="nil"/>
              <w:right w:val="single" w:sz="4" w:space="0" w:color="auto"/>
            </w:tcBorders>
            <w:shd w:val="clear" w:color="auto" w:fill="auto"/>
            <w:noWrap/>
            <w:vAlign w:val="center"/>
          </w:tcPr>
          <w:p w14:paraId="6380A302" w14:textId="77777777" w:rsidR="005741BC" w:rsidRPr="005741BC" w:rsidRDefault="005741BC" w:rsidP="005741BC">
            <w:pPr>
              <w:spacing w:after="0" w:line="240" w:lineRule="auto"/>
              <w:rPr>
                <w:rFonts w:eastAsia="Times New Roman" w:cs="Times New Roman"/>
              </w:rPr>
            </w:pPr>
            <w:r w:rsidRPr="005741BC">
              <w:rPr>
                <w:rFonts w:eastAsia="Times New Roman" w:cs="Times New Roman"/>
              </w:rPr>
              <w:t>Number of primary care contacts in year preceding diagnosis</w:t>
            </w:r>
          </w:p>
        </w:tc>
        <w:tc>
          <w:tcPr>
            <w:tcW w:w="1985" w:type="dxa"/>
            <w:tcBorders>
              <w:top w:val="dotted" w:sz="4" w:space="0" w:color="auto"/>
              <w:left w:val="single" w:sz="4" w:space="0" w:color="auto"/>
            </w:tcBorders>
            <w:shd w:val="clear" w:color="auto" w:fill="auto"/>
            <w:noWrap/>
            <w:vAlign w:val="center"/>
          </w:tcPr>
          <w:p w14:paraId="58FA7CBC" w14:textId="77777777" w:rsidR="005741BC" w:rsidRPr="005741BC" w:rsidRDefault="005741BC" w:rsidP="005741BC">
            <w:pPr>
              <w:spacing w:after="0" w:line="240" w:lineRule="auto"/>
              <w:rPr>
                <w:rFonts w:eastAsia="SimSun" w:cs="Times New Roman"/>
                <w:szCs w:val="24"/>
              </w:rPr>
            </w:pPr>
          </w:p>
        </w:tc>
        <w:tc>
          <w:tcPr>
            <w:tcW w:w="1986" w:type="dxa"/>
            <w:tcBorders>
              <w:top w:val="dotted" w:sz="4" w:space="0" w:color="auto"/>
              <w:left w:val="single" w:sz="4" w:space="0" w:color="auto"/>
            </w:tcBorders>
            <w:vAlign w:val="center"/>
          </w:tcPr>
          <w:p w14:paraId="1C901F8D" w14:textId="77777777" w:rsidR="005741BC" w:rsidRPr="005741BC" w:rsidRDefault="005741BC" w:rsidP="005741BC">
            <w:pPr>
              <w:spacing w:after="0" w:line="240" w:lineRule="auto"/>
              <w:rPr>
                <w:rFonts w:eastAsia="SimSun" w:cs="Times New Roman"/>
                <w:szCs w:val="24"/>
              </w:rPr>
            </w:pPr>
          </w:p>
        </w:tc>
      </w:tr>
      <w:tr w:rsidR="005741BC" w:rsidRPr="005741BC" w14:paraId="725C1B87" w14:textId="77777777" w:rsidTr="005741BC">
        <w:trPr>
          <w:trHeight w:val="300"/>
        </w:trPr>
        <w:tc>
          <w:tcPr>
            <w:tcW w:w="4287" w:type="dxa"/>
            <w:tcBorders>
              <w:left w:val="nil"/>
              <w:bottom w:val="nil"/>
              <w:right w:val="single" w:sz="4" w:space="0" w:color="auto"/>
            </w:tcBorders>
            <w:shd w:val="clear" w:color="auto" w:fill="auto"/>
            <w:noWrap/>
            <w:vAlign w:val="center"/>
            <w:hideMark/>
          </w:tcPr>
          <w:p w14:paraId="72AFABC8"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0-4</w:t>
            </w:r>
          </w:p>
        </w:tc>
        <w:tc>
          <w:tcPr>
            <w:tcW w:w="1985" w:type="dxa"/>
            <w:tcBorders>
              <w:left w:val="single" w:sz="4" w:space="0" w:color="auto"/>
              <w:bottom w:val="nil"/>
            </w:tcBorders>
            <w:shd w:val="clear" w:color="auto" w:fill="auto"/>
            <w:noWrap/>
            <w:vAlign w:val="center"/>
            <w:hideMark/>
          </w:tcPr>
          <w:p w14:paraId="585E0294" w14:textId="77777777" w:rsidR="005741BC" w:rsidRPr="005741BC" w:rsidRDefault="005741BC" w:rsidP="005741BC">
            <w:pPr>
              <w:spacing w:after="0" w:line="240" w:lineRule="auto"/>
              <w:rPr>
                <w:rFonts w:eastAsia="Times New Roman" w:cs="Times New Roman"/>
                <w:szCs w:val="24"/>
              </w:rPr>
            </w:pPr>
            <w:r w:rsidRPr="005741BC">
              <w:rPr>
                <w:rFonts w:eastAsia="SimSun" w:cs="Times New Roman"/>
                <w:szCs w:val="24"/>
              </w:rPr>
              <w:t>1,143 (22%)</w:t>
            </w:r>
          </w:p>
        </w:tc>
        <w:tc>
          <w:tcPr>
            <w:tcW w:w="1986" w:type="dxa"/>
            <w:tcBorders>
              <w:left w:val="single" w:sz="4" w:space="0" w:color="auto"/>
              <w:bottom w:val="nil"/>
            </w:tcBorders>
            <w:vAlign w:val="center"/>
          </w:tcPr>
          <w:p w14:paraId="2995C966" w14:textId="31E6BF80" w:rsidR="005741BC" w:rsidRPr="005741BC" w:rsidRDefault="00F66F4D" w:rsidP="005741BC">
            <w:pPr>
              <w:spacing w:after="0" w:line="240" w:lineRule="auto"/>
              <w:rPr>
                <w:rFonts w:eastAsia="SimSun" w:cs="Times New Roman"/>
                <w:szCs w:val="24"/>
              </w:rPr>
            </w:pPr>
            <w:r>
              <w:rPr>
                <w:rFonts w:eastAsia="SimSun" w:cs="Times New Roman"/>
                <w:szCs w:val="24"/>
              </w:rPr>
              <w:t>3,393</w:t>
            </w:r>
            <w:r w:rsidR="005741BC" w:rsidRPr="005741BC">
              <w:rPr>
                <w:rFonts w:eastAsia="SimSun" w:cs="Times New Roman"/>
                <w:szCs w:val="24"/>
              </w:rPr>
              <w:t xml:space="preserve"> (24%)</w:t>
            </w:r>
          </w:p>
        </w:tc>
      </w:tr>
      <w:tr w:rsidR="005741BC" w:rsidRPr="005741BC" w14:paraId="21599DAA" w14:textId="77777777" w:rsidTr="005741BC">
        <w:trPr>
          <w:trHeight w:val="300"/>
        </w:trPr>
        <w:tc>
          <w:tcPr>
            <w:tcW w:w="4287" w:type="dxa"/>
            <w:tcBorders>
              <w:top w:val="nil"/>
              <w:left w:val="nil"/>
              <w:bottom w:val="nil"/>
              <w:right w:val="single" w:sz="4" w:space="0" w:color="auto"/>
            </w:tcBorders>
            <w:shd w:val="clear" w:color="auto" w:fill="auto"/>
            <w:noWrap/>
            <w:vAlign w:val="center"/>
            <w:hideMark/>
          </w:tcPr>
          <w:p w14:paraId="52990334"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5-9</w:t>
            </w:r>
          </w:p>
        </w:tc>
        <w:tc>
          <w:tcPr>
            <w:tcW w:w="1985" w:type="dxa"/>
            <w:tcBorders>
              <w:top w:val="nil"/>
              <w:left w:val="single" w:sz="4" w:space="0" w:color="auto"/>
              <w:bottom w:val="nil"/>
            </w:tcBorders>
            <w:shd w:val="clear" w:color="auto" w:fill="auto"/>
            <w:noWrap/>
            <w:vAlign w:val="center"/>
            <w:hideMark/>
          </w:tcPr>
          <w:p w14:paraId="531CB0CA" w14:textId="77777777" w:rsidR="005741BC" w:rsidRPr="005741BC" w:rsidRDefault="005741BC" w:rsidP="005741BC">
            <w:pPr>
              <w:spacing w:after="0" w:line="240" w:lineRule="auto"/>
              <w:rPr>
                <w:rFonts w:eastAsia="Times New Roman" w:cs="Times New Roman"/>
                <w:szCs w:val="24"/>
              </w:rPr>
            </w:pPr>
            <w:r w:rsidRPr="005741BC">
              <w:rPr>
                <w:rFonts w:eastAsia="SimSun" w:cs="Times New Roman"/>
                <w:szCs w:val="24"/>
              </w:rPr>
              <w:t>1,341 (26%)</w:t>
            </w:r>
          </w:p>
        </w:tc>
        <w:tc>
          <w:tcPr>
            <w:tcW w:w="1986" w:type="dxa"/>
            <w:tcBorders>
              <w:top w:val="nil"/>
              <w:left w:val="single" w:sz="4" w:space="0" w:color="auto"/>
              <w:bottom w:val="nil"/>
            </w:tcBorders>
            <w:vAlign w:val="center"/>
          </w:tcPr>
          <w:p w14:paraId="0EB7197E" w14:textId="4DA71A48" w:rsidR="005741BC" w:rsidRPr="005741BC" w:rsidRDefault="00F66F4D" w:rsidP="005741BC">
            <w:pPr>
              <w:spacing w:after="0" w:line="240" w:lineRule="auto"/>
              <w:rPr>
                <w:rFonts w:eastAsia="SimSun" w:cs="Times New Roman"/>
                <w:szCs w:val="24"/>
              </w:rPr>
            </w:pPr>
            <w:r>
              <w:rPr>
                <w:rFonts w:eastAsia="SimSun" w:cs="Times New Roman"/>
                <w:szCs w:val="24"/>
              </w:rPr>
              <w:t>4,032</w:t>
            </w:r>
            <w:r w:rsidR="005741BC" w:rsidRPr="005741BC">
              <w:rPr>
                <w:rFonts w:eastAsia="SimSun" w:cs="Times New Roman"/>
                <w:szCs w:val="24"/>
              </w:rPr>
              <w:t xml:space="preserve"> (28%)</w:t>
            </w:r>
          </w:p>
        </w:tc>
      </w:tr>
      <w:tr w:rsidR="005741BC" w:rsidRPr="005741BC" w14:paraId="7C7AB6F4" w14:textId="77777777" w:rsidTr="005741BC">
        <w:trPr>
          <w:trHeight w:val="300"/>
        </w:trPr>
        <w:tc>
          <w:tcPr>
            <w:tcW w:w="4287" w:type="dxa"/>
            <w:tcBorders>
              <w:top w:val="nil"/>
              <w:left w:val="nil"/>
              <w:bottom w:val="nil"/>
              <w:right w:val="single" w:sz="4" w:space="0" w:color="auto"/>
            </w:tcBorders>
            <w:shd w:val="clear" w:color="auto" w:fill="auto"/>
            <w:noWrap/>
            <w:vAlign w:val="center"/>
            <w:hideMark/>
          </w:tcPr>
          <w:p w14:paraId="060240A7"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10-14</w:t>
            </w:r>
          </w:p>
        </w:tc>
        <w:tc>
          <w:tcPr>
            <w:tcW w:w="1985" w:type="dxa"/>
            <w:tcBorders>
              <w:top w:val="nil"/>
              <w:left w:val="single" w:sz="4" w:space="0" w:color="auto"/>
              <w:bottom w:val="nil"/>
            </w:tcBorders>
            <w:shd w:val="clear" w:color="auto" w:fill="auto"/>
            <w:noWrap/>
            <w:vAlign w:val="center"/>
            <w:hideMark/>
          </w:tcPr>
          <w:p w14:paraId="1F76FB7F" w14:textId="77777777" w:rsidR="005741BC" w:rsidRPr="005741BC" w:rsidRDefault="005741BC" w:rsidP="005741BC">
            <w:pPr>
              <w:spacing w:after="0" w:line="240" w:lineRule="auto"/>
              <w:rPr>
                <w:rFonts w:eastAsia="Times New Roman" w:cs="Times New Roman"/>
                <w:szCs w:val="24"/>
              </w:rPr>
            </w:pPr>
            <w:r w:rsidRPr="005741BC">
              <w:rPr>
                <w:rFonts w:eastAsia="SimSun" w:cs="Times New Roman"/>
                <w:szCs w:val="24"/>
              </w:rPr>
              <w:t>946 (18%)</w:t>
            </w:r>
          </w:p>
        </w:tc>
        <w:tc>
          <w:tcPr>
            <w:tcW w:w="1986" w:type="dxa"/>
            <w:tcBorders>
              <w:top w:val="nil"/>
              <w:left w:val="single" w:sz="4" w:space="0" w:color="auto"/>
              <w:bottom w:val="nil"/>
            </w:tcBorders>
            <w:vAlign w:val="center"/>
          </w:tcPr>
          <w:p w14:paraId="329AECC9" w14:textId="194B17EC" w:rsidR="005741BC" w:rsidRPr="005741BC" w:rsidRDefault="00F66F4D" w:rsidP="005741BC">
            <w:pPr>
              <w:spacing w:after="0" w:line="240" w:lineRule="auto"/>
              <w:rPr>
                <w:rFonts w:eastAsia="SimSun" w:cs="Times New Roman"/>
                <w:szCs w:val="24"/>
              </w:rPr>
            </w:pPr>
            <w:r>
              <w:rPr>
                <w:rFonts w:eastAsia="SimSun" w:cs="Times New Roman"/>
                <w:szCs w:val="24"/>
              </w:rPr>
              <w:t>2,598</w:t>
            </w:r>
            <w:r w:rsidR="005741BC" w:rsidRPr="005741BC">
              <w:rPr>
                <w:rFonts w:eastAsia="SimSun" w:cs="Times New Roman"/>
                <w:szCs w:val="24"/>
              </w:rPr>
              <w:t xml:space="preserve"> (18%)</w:t>
            </w:r>
          </w:p>
        </w:tc>
      </w:tr>
      <w:tr w:rsidR="005741BC" w:rsidRPr="005741BC" w14:paraId="5EEADC92" w14:textId="77777777" w:rsidTr="005741BC">
        <w:trPr>
          <w:trHeight w:val="300"/>
        </w:trPr>
        <w:tc>
          <w:tcPr>
            <w:tcW w:w="4287" w:type="dxa"/>
            <w:tcBorders>
              <w:top w:val="nil"/>
              <w:left w:val="nil"/>
              <w:bottom w:val="nil"/>
              <w:right w:val="single" w:sz="4" w:space="0" w:color="auto"/>
            </w:tcBorders>
            <w:shd w:val="clear" w:color="auto" w:fill="auto"/>
            <w:noWrap/>
            <w:vAlign w:val="center"/>
            <w:hideMark/>
          </w:tcPr>
          <w:p w14:paraId="0AC9A9FA"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15-19</w:t>
            </w:r>
          </w:p>
        </w:tc>
        <w:tc>
          <w:tcPr>
            <w:tcW w:w="1985" w:type="dxa"/>
            <w:tcBorders>
              <w:top w:val="nil"/>
              <w:left w:val="single" w:sz="4" w:space="0" w:color="auto"/>
              <w:bottom w:val="nil"/>
            </w:tcBorders>
            <w:shd w:val="clear" w:color="auto" w:fill="auto"/>
            <w:noWrap/>
            <w:vAlign w:val="center"/>
            <w:hideMark/>
          </w:tcPr>
          <w:p w14:paraId="758A8EB2" w14:textId="77777777" w:rsidR="005741BC" w:rsidRPr="005741BC" w:rsidRDefault="005741BC" w:rsidP="005741BC">
            <w:pPr>
              <w:spacing w:after="0" w:line="240" w:lineRule="auto"/>
              <w:rPr>
                <w:rFonts w:eastAsia="Times New Roman" w:cs="Times New Roman"/>
                <w:szCs w:val="24"/>
              </w:rPr>
            </w:pPr>
            <w:r w:rsidRPr="005741BC">
              <w:rPr>
                <w:rFonts w:eastAsia="SimSun" w:cs="Times New Roman"/>
                <w:szCs w:val="24"/>
              </w:rPr>
              <w:t>618 (12%)</w:t>
            </w:r>
          </w:p>
        </w:tc>
        <w:tc>
          <w:tcPr>
            <w:tcW w:w="1986" w:type="dxa"/>
            <w:tcBorders>
              <w:top w:val="nil"/>
              <w:left w:val="single" w:sz="4" w:space="0" w:color="auto"/>
              <w:bottom w:val="nil"/>
            </w:tcBorders>
            <w:vAlign w:val="center"/>
          </w:tcPr>
          <w:p w14:paraId="5F912950" w14:textId="188E784D" w:rsidR="005741BC" w:rsidRPr="005741BC" w:rsidRDefault="00F66F4D" w:rsidP="005741BC">
            <w:pPr>
              <w:spacing w:after="0" w:line="240" w:lineRule="auto"/>
              <w:rPr>
                <w:rFonts w:eastAsia="SimSun" w:cs="Times New Roman"/>
                <w:szCs w:val="24"/>
              </w:rPr>
            </w:pPr>
            <w:r>
              <w:rPr>
                <w:rFonts w:eastAsia="SimSun" w:cs="Times New Roman"/>
                <w:szCs w:val="24"/>
              </w:rPr>
              <w:t>1,619</w:t>
            </w:r>
            <w:r w:rsidR="005741BC" w:rsidRPr="005741BC">
              <w:rPr>
                <w:rFonts w:eastAsia="SimSun" w:cs="Times New Roman"/>
                <w:szCs w:val="24"/>
              </w:rPr>
              <w:t xml:space="preserve"> (11%)</w:t>
            </w:r>
          </w:p>
        </w:tc>
      </w:tr>
      <w:tr w:rsidR="005741BC" w:rsidRPr="005741BC" w14:paraId="71E3540A" w14:textId="77777777" w:rsidTr="005741BC">
        <w:trPr>
          <w:trHeight w:val="300"/>
        </w:trPr>
        <w:tc>
          <w:tcPr>
            <w:tcW w:w="4287" w:type="dxa"/>
            <w:tcBorders>
              <w:top w:val="nil"/>
              <w:left w:val="nil"/>
              <w:bottom w:val="dotted" w:sz="4" w:space="0" w:color="auto"/>
              <w:right w:val="single" w:sz="4" w:space="0" w:color="auto"/>
            </w:tcBorders>
            <w:shd w:val="clear" w:color="auto" w:fill="auto"/>
            <w:noWrap/>
            <w:vAlign w:val="center"/>
            <w:hideMark/>
          </w:tcPr>
          <w:p w14:paraId="731CA633"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&gt;=20</w:t>
            </w:r>
          </w:p>
        </w:tc>
        <w:tc>
          <w:tcPr>
            <w:tcW w:w="1985" w:type="dxa"/>
            <w:tcBorders>
              <w:top w:val="nil"/>
              <w:left w:val="single" w:sz="4" w:space="0" w:color="auto"/>
              <w:bottom w:val="dotted" w:sz="4" w:space="0" w:color="auto"/>
            </w:tcBorders>
            <w:shd w:val="clear" w:color="auto" w:fill="auto"/>
            <w:noWrap/>
            <w:vAlign w:val="center"/>
            <w:hideMark/>
          </w:tcPr>
          <w:p w14:paraId="2D20F893" w14:textId="77777777" w:rsidR="005741BC" w:rsidRPr="005741BC" w:rsidRDefault="005741BC" w:rsidP="005741BC">
            <w:pPr>
              <w:spacing w:after="0" w:line="240" w:lineRule="auto"/>
              <w:rPr>
                <w:rFonts w:eastAsia="Times New Roman" w:cs="Times New Roman"/>
                <w:szCs w:val="24"/>
              </w:rPr>
            </w:pPr>
            <w:r w:rsidRPr="005741BC">
              <w:rPr>
                <w:rFonts w:eastAsia="SimSun" w:cs="Times New Roman"/>
                <w:szCs w:val="24"/>
              </w:rPr>
              <w:t>1,110 (22%)</w:t>
            </w:r>
          </w:p>
        </w:tc>
        <w:tc>
          <w:tcPr>
            <w:tcW w:w="1986" w:type="dxa"/>
            <w:tcBorders>
              <w:top w:val="nil"/>
              <w:left w:val="single" w:sz="4" w:space="0" w:color="auto"/>
              <w:bottom w:val="dotted" w:sz="4" w:space="0" w:color="auto"/>
            </w:tcBorders>
            <w:vAlign w:val="center"/>
          </w:tcPr>
          <w:p w14:paraId="64ECF797" w14:textId="0AC85DE4" w:rsidR="005741BC" w:rsidRPr="005741BC" w:rsidRDefault="00F66F4D" w:rsidP="005741BC">
            <w:pPr>
              <w:spacing w:after="0" w:line="240" w:lineRule="auto"/>
              <w:rPr>
                <w:rFonts w:eastAsia="SimSun" w:cs="Times New Roman"/>
                <w:szCs w:val="24"/>
              </w:rPr>
            </w:pPr>
            <w:r>
              <w:rPr>
                <w:rFonts w:eastAsia="SimSun" w:cs="Times New Roman"/>
                <w:szCs w:val="24"/>
              </w:rPr>
              <w:t>2,735</w:t>
            </w:r>
            <w:r w:rsidR="005741BC" w:rsidRPr="005741BC">
              <w:rPr>
                <w:rFonts w:eastAsia="SimSun" w:cs="Times New Roman"/>
                <w:szCs w:val="24"/>
              </w:rPr>
              <w:t xml:space="preserve"> (19%)</w:t>
            </w:r>
          </w:p>
        </w:tc>
      </w:tr>
      <w:tr w:rsidR="005741BC" w:rsidRPr="005741BC" w14:paraId="2F68E581" w14:textId="77777777" w:rsidTr="005741BC">
        <w:trPr>
          <w:trHeight w:val="300"/>
        </w:trPr>
        <w:tc>
          <w:tcPr>
            <w:tcW w:w="4287" w:type="dxa"/>
            <w:tcBorders>
              <w:top w:val="dotted" w:sz="4" w:space="0" w:color="auto"/>
              <w:left w:val="nil"/>
              <w:right w:val="single" w:sz="4" w:space="0" w:color="auto"/>
            </w:tcBorders>
            <w:shd w:val="clear" w:color="auto" w:fill="auto"/>
            <w:noWrap/>
            <w:vAlign w:val="center"/>
          </w:tcPr>
          <w:p w14:paraId="391BEAF6" w14:textId="77777777" w:rsidR="005741BC" w:rsidRPr="005741BC" w:rsidRDefault="005741BC" w:rsidP="005741BC">
            <w:pPr>
              <w:spacing w:after="0" w:line="240" w:lineRule="auto"/>
              <w:rPr>
                <w:rFonts w:eastAsia="Times New Roman" w:cs="Times New Roman"/>
              </w:rPr>
            </w:pPr>
            <w:r w:rsidRPr="005741BC">
              <w:rPr>
                <w:rFonts w:eastAsia="Times New Roman" w:cs="Times New Roman"/>
              </w:rPr>
              <w:t>Number of hospital admissions in year preceding diagnosis</w:t>
            </w:r>
          </w:p>
        </w:tc>
        <w:tc>
          <w:tcPr>
            <w:tcW w:w="1985" w:type="dxa"/>
            <w:tcBorders>
              <w:top w:val="dotted" w:sz="4" w:space="0" w:color="auto"/>
              <w:left w:val="single" w:sz="4" w:space="0" w:color="auto"/>
            </w:tcBorders>
            <w:shd w:val="clear" w:color="auto" w:fill="auto"/>
            <w:noWrap/>
            <w:vAlign w:val="center"/>
          </w:tcPr>
          <w:p w14:paraId="7F11A56C" w14:textId="77777777" w:rsidR="005741BC" w:rsidRPr="005741BC" w:rsidRDefault="005741BC" w:rsidP="005741BC">
            <w:pPr>
              <w:spacing w:after="0" w:line="240" w:lineRule="auto"/>
              <w:rPr>
                <w:rFonts w:eastAsia="SimSun" w:cs="Times New Roman"/>
                <w:szCs w:val="24"/>
              </w:rPr>
            </w:pPr>
          </w:p>
        </w:tc>
        <w:tc>
          <w:tcPr>
            <w:tcW w:w="1986" w:type="dxa"/>
            <w:tcBorders>
              <w:top w:val="dotted" w:sz="4" w:space="0" w:color="auto"/>
              <w:left w:val="single" w:sz="4" w:space="0" w:color="auto"/>
            </w:tcBorders>
            <w:vAlign w:val="center"/>
          </w:tcPr>
          <w:p w14:paraId="63041A11" w14:textId="77777777" w:rsidR="005741BC" w:rsidRPr="005741BC" w:rsidRDefault="005741BC" w:rsidP="005741BC">
            <w:pPr>
              <w:spacing w:after="0" w:line="240" w:lineRule="auto"/>
              <w:rPr>
                <w:rFonts w:eastAsia="SimSun" w:cs="Times New Roman"/>
                <w:szCs w:val="24"/>
              </w:rPr>
            </w:pPr>
          </w:p>
        </w:tc>
      </w:tr>
      <w:tr w:rsidR="005741BC" w:rsidRPr="005741BC" w14:paraId="0F6DB463" w14:textId="77777777" w:rsidTr="005741BC">
        <w:trPr>
          <w:trHeight w:val="300"/>
        </w:trPr>
        <w:tc>
          <w:tcPr>
            <w:tcW w:w="4287" w:type="dxa"/>
            <w:tcBorders>
              <w:left w:val="nil"/>
              <w:bottom w:val="nil"/>
              <w:right w:val="single" w:sz="4" w:space="0" w:color="auto"/>
            </w:tcBorders>
            <w:shd w:val="clear" w:color="auto" w:fill="auto"/>
            <w:noWrap/>
            <w:vAlign w:val="center"/>
            <w:hideMark/>
          </w:tcPr>
          <w:p w14:paraId="66394BD8"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0</w:t>
            </w:r>
          </w:p>
        </w:tc>
        <w:tc>
          <w:tcPr>
            <w:tcW w:w="1985" w:type="dxa"/>
            <w:tcBorders>
              <w:left w:val="single" w:sz="4" w:space="0" w:color="auto"/>
              <w:bottom w:val="nil"/>
            </w:tcBorders>
            <w:shd w:val="clear" w:color="auto" w:fill="auto"/>
            <w:noWrap/>
            <w:vAlign w:val="center"/>
            <w:hideMark/>
          </w:tcPr>
          <w:p w14:paraId="3F1F9056" w14:textId="77777777" w:rsidR="005741BC" w:rsidRPr="005741BC" w:rsidRDefault="005741BC" w:rsidP="005741BC">
            <w:pPr>
              <w:spacing w:after="0" w:line="240" w:lineRule="auto"/>
              <w:rPr>
                <w:rFonts w:eastAsia="Times New Roman" w:cs="Times New Roman"/>
                <w:szCs w:val="24"/>
              </w:rPr>
            </w:pPr>
            <w:r w:rsidRPr="005741BC">
              <w:rPr>
                <w:rFonts w:eastAsia="SimSun" w:cs="Times New Roman"/>
                <w:szCs w:val="24"/>
              </w:rPr>
              <w:t>2,886 (56%)</w:t>
            </w:r>
          </w:p>
        </w:tc>
        <w:tc>
          <w:tcPr>
            <w:tcW w:w="1986" w:type="dxa"/>
            <w:tcBorders>
              <w:left w:val="single" w:sz="4" w:space="0" w:color="auto"/>
              <w:bottom w:val="nil"/>
            </w:tcBorders>
            <w:vAlign w:val="center"/>
          </w:tcPr>
          <w:p w14:paraId="38F0F82D" w14:textId="3D07157C" w:rsidR="005741BC" w:rsidRPr="005741BC" w:rsidRDefault="00F66F4D" w:rsidP="005741BC">
            <w:pPr>
              <w:spacing w:after="0" w:line="240" w:lineRule="auto"/>
              <w:rPr>
                <w:rFonts w:eastAsia="SimSun" w:cs="Times New Roman"/>
                <w:szCs w:val="24"/>
              </w:rPr>
            </w:pPr>
            <w:r>
              <w:rPr>
                <w:rFonts w:eastAsia="SimSun" w:cs="Times New Roman"/>
                <w:szCs w:val="24"/>
              </w:rPr>
              <w:t>8,515</w:t>
            </w:r>
            <w:r w:rsidR="005741BC" w:rsidRPr="005741BC">
              <w:rPr>
                <w:rFonts w:eastAsia="SimSun" w:cs="Times New Roman"/>
                <w:szCs w:val="24"/>
              </w:rPr>
              <w:t xml:space="preserve"> (59%)</w:t>
            </w:r>
          </w:p>
        </w:tc>
      </w:tr>
      <w:tr w:rsidR="005741BC" w:rsidRPr="005741BC" w14:paraId="6BF6727E" w14:textId="77777777" w:rsidTr="005741BC">
        <w:trPr>
          <w:trHeight w:val="300"/>
        </w:trPr>
        <w:tc>
          <w:tcPr>
            <w:tcW w:w="4287" w:type="dxa"/>
            <w:tcBorders>
              <w:top w:val="nil"/>
              <w:left w:val="nil"/>
              <w:bottom w:val="nil"/>
              <w:right w:val="single" w:sz="4" w:space="0" w:color="auto"/>
            </w:tcBorders>
            <w:shd w:val="clear" w:color="auto" w:fill="auto"/>
            <w:noWrap/>
            <w:vAlign w:val="center"/>
            <w:hideMark/>
          </w:tcPr>
          <w:p w14:paraId="7EADEBDD"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1</w:t>
            </w:r>
          </w:p>
        </w:tc>
        <w:tc>
          <w:tcPr>
            <w:tcW w:w="1985" w:type="dxa"/>
            <w:tcBorders>
              <w:top w:val="nil"/>
              <w:left w:val="single" w:sz="4" w:space="0" w:color="auto"/>
              <w:bottom w:val="nil"/>
            </w:tcBorders>
            <w:shd w:val="clear" w:color="auto" w:fill="auto"/>
            <w:noWrap/>
            <w:vAlign w:val="center"/>
            <w:hideMark/>
          </w:tcPr>
          <w:p w14:paraId="713E7C70" w14:textId="77777777" w:rsidR="005741BC" w:rsidRPr="005741BC" w:rsidRDefault="005741BC" w:rsidP="005741BC">
            <w:pPr>
              <w:spacing w:after="0" w:line="240" w:lineRule="auto"/>
              <w:rPr>
                <w:rFonts w:eastAsia="Times New Roman" w:cs="Times New Roman"/>
                <w:szCs w:val="24"/>
              </w:rPr>
            </w:pPr>
            <w:r w:rsidRPr="005741BC">
              <w:rPr>
                <w:rFonts w:eastAsia="SimSun" w:cs="Times New Roman"/>
                <w:szCs w:val="24"/>
              </w:rPr>
              <w:t>1,250 (24%)</w:t>
            </w:r>
          </w:p>
        </w:tc>
        <w:tc>
          <w:tcPr>
            <w:tcW w:w="1986" w:type="dxa"/>
            <w:tcBorders>
              <w:top w:val="nil"/>
              <w:left w:val="single" w:sz="4" w:space="0" w:color="auto"/>
              <w:bottom w:val="nil"/>
            </w:tcBorders>
            <w:vAlign w:val="center"/>
          </w:tcPr>
          <w:p w14:paraId="0538B7F9" w14:textId="0CB35E44" w:rsidR="005741BC" w:rsidRPr="005741BC" w:rsidRDefault="00F66F4D" w:rsidP="005741BC">
            <w:pPr>
              <w:spacing w:after="0" w:line="240" w:lineRule="auto"/>
              <w:rPr>
                <w:rFonts w:eastAsia="SimSun" w:cs="Times New Roman"/>
                <w:szCs w:val="24"/>
              </w:rPr>
            </w:pPr>
            <w:r>
              <w:rPr>
                <w:rFonts w:eastAsia="SimSun" w:cs="Times New Roman"/>
                <w:szCs w:val="24"/>
              </w:rPr>
              <w:t>3,384</w:t>
            </w:r>
            <w:r w:rsidR="005741BC" w:rsidRPr="005741BC">
              <w:rPr>
                <w:rFonts w:eastAsia="SimSun" w:cs="Times New Roman"/>
                <w:szCs w:val="24"/>
              </w:rPr>
              <w:t xml:space="preserve"> (23%)</w:t>
            </w:r>
          </w:p>
        </w:tc>
      </w:tr>
      <w:tr w:rsidR="005741BC" w:rsidRPr="005741BC" w14:paraId="62B871B7" w14:textId="77777777" w:rsidTr="005741BC">
        <w:trPr>
          <w:trHeight w:val="300"/>
        </w:trPr>
        <w:tc>
          <w:tcPr>
            <w:tcW w:w="4287" w:type="dxa"/>
            <w:tcBorders>
              <w:top w:val="nil"/>
              <w:left w:val="nil"/>
              <w:bottom w:val="nil"/>
              <w:right w:val="single" w:sz="4" w:space="0" w:color="auto"/>
            </w:tcBorders>
            <w:shd w:val="clear" w:color="auto" w:fill="auto"/>
            <w:noWrap/>
            <w:vAlign w:val="center"/>
            <w:hideMark/>
          </w:tcPr>
          <w:p w14:paraId="68933DF6"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2</w:t>
            </w:r>
          </w:p>
        </w:tc>
        <w:tc>
          <w:tcPr>
            <w:tcW w:w="1985" w:type="dxa"/>
            <w:tcBorders>
              <w:top w:val="nil"/>
              <w:left w:val="single" w:sz="4" w:space="0" w:color="auto"/>
              <w:bottom w:val="nil"/>
            </w:tcBorders>
            <w:shd w:val="clear" w:color="auto" w:fill="auto"/>
            <w:noWrap/>
            <w:vAlign w:val="center"/>
            <w:hideMark/>
          </w:tcPr>
          <w:p w14:paraId="73BCFFAC" w14:textId="77777777" w:rsidR="005741BC" w:rsidRPr="005741BC" w:rsidRDefault="005741BC" w:rsidP="005741BC">
            <w:pPr>
              <w:spacing w:after="0" w:line="240" w:lineRule="auto"/>
              <w:rPr>
                <w:rFonts w:eastAsia="Times New Roman" w:cs="Times New Roman"/>
                <w:szCs w:val="24"/>
              </w:rPr>
            </w:pPr>
            <w:r w:rsidRPr="005741BC">
              <w:rPr>
                <w:rFonts w:eastAsia="SimSun" w:cs="Times New Roman"/>
                <w:szCs w:val="24"/>
              </w:rPr>
              <w:t>544 (11%)</w:t>
            </w:r>
          </w:p>
        </w:tc>
        <w:tc>
          <w:tcPr>
            <w:tcW w:w="1986" w:type="dxa"/>
            <w:tcBorders>
              <w:top w:val="nil"/>
              <w:left w:val="single" w:sz="4" w:space="0" w:color="auto"/>
              <w:bottom w:val="nil"/>
            </w:tcBorders>
            <w:vAlign w:val="center"/>
          </w:tcPr>
          <w:p w14:paraId="34A96C9C" w14:textId="476C5DB1" w:rsidR="005741BC" w:rsidRPr="005741BC" w:rsidRDefault="00F66F4D" w:rsidP="005741BC">
            <w:pPr>
              <w:spacing w:after="0" w:line="240" w:lineRule="auto"/>
              <w:rPr>
                <w:rFonts w:eastAsia="SimSun" w:cs="Times New Roman"/>
                <w:szCs w:val="24"/>
              </w:rPr>
            </w:pPr>
            <w:r>
              <w:rPr>
                <w:rFonts w:eastAsia="SimSun" w:cs="Times New Roman"/>
                <w:szCs w:val="24"/>
              </w:rPr>
              <w:t>1,385</w:t>
            </w:r>
            <w:r w:rsidR="005741BC" w:rsidRPr="005741BC">
              <w:rPr>
                <w:rFonts w:eastAsia="SimSun" w:cs="Times New Roman"/>
                <w:szCs w:val="24"/>
              </w:rPr>
              <w:t xml:space="preserve"> (10%)</w:t>
            </w:r>
          </w:p>
        </w:tc>
      </w:tr>
      <w:tr w:rsidR="005741BC" w:rsidRPr="005741BC" w14:paraId="2245ED09" w14:textId="77777777" w:rsidTr="005741BC">
        <w:trPr>
          <w:trHeight w:val="300"/>
        </w:trPr>
        <w:tc>
          <w:tcPr>
            <w:tcW w:w="4287" w:type="dxa"/>
            <w:tcBorders>
              <w:top w:val="nil"/>
              <w:left w:val="nil"/>
              <w:bottom w:val="dotted" w:sz="4" w:space="0" w:color="auto"/>
              <w:right w:val="single" w:sz="4" w:space="0" w:color="auto"/>
            </w:tcBorders>
            <w:shd w:val="clear" w:color="auto" w:fill="auto"/>
            <w:noWrap/>
            <w:vAlign w:val="center"/>
            <w:hideMark/>
          </w:tcPr>
          <w:p w14:paraId="58EF598A"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3</w:t>
            </w:r>
          </w:p>
        </w:tc>
        <w:tc>
          <w:tcPr>
            <w:tcW w:w="1985" w:type="dxa"/>
            <w:tcBorders>
              <w:top w:val="nil"/>
              <w:left w:val="single" w:sz="4" w:space="0" w:color="auto"/>
              <w:bottom w:val="dotted" w:sz="4" w:space="0" w:color="auto"/>
            </w:tcBorders>
            <w:shd w:val="clear" w:color="auto" w:fill="auto"/>
            <w:noWrap/>
            <w:vAlign w:val="center"/>
            <w:hideMark/>
          </w:tcPr>
          <w:p w14:paraId="714AD7B9" w14:textId="77777777" w:rsidR="005741BC" w:rsidRPr="005741BC" w:rsidRDefault="005741BC" w:rsidP="005741BC">
            <w:pPr>
              <w:spacing w:after="0" w:line="240" w:lineRule="auto"/>
              <w:rPr>
                <w:rFonts w:eastAsia="Times New Roman" w:cs="Times New Roman"/>
                <w:szCs w:val="24"/>
              </w:rPr>
            </w:pPr>
            <w:r w:rsidRPr="005741BC">
              <w:rPr>
                <w:rFonts w:eastAsia="SimSun" w:cs="Times New Roman"/>
                <w:szCs w:val="24"/>
              </w:rPr>
              <w:t>478 (9%)</w:t>
            </w:r>
          </w:p>
        </w:tc>
        <w:tc>
          <w:tcPr>
            <w:tcW w:w="1986" w:type="dxa"/>
            <w:tcBorders>
              <w:top w:val="nil"/>
              <w:left w:val="single" w:sz="4" w:space="0" w:color="auto"/>
              <w:bottom w:val="dotted" w:sz="4" w:space="0" w:color="auto"/>
            </w:tcBorders>
            <w:vAlign w:val="center"/>
          </w:tcPr>
          <w:p w14:paraId="5F42D72E" w14:textId="5D0C554B" w:rsidR="005741BC" w:rsidRPr="005741BC" w:rsidRDefault="00F66F4D" w:rsidP="005741BC">
            <w:pPr>
              <w:spacing w:after="0" w:line="240" w:lineRule="auto"/>
              <w:rPr>
                <w:rFonts w:eastAsia="SimSun" w:cs="Times New Roman"/>
                <w:szCs w:val="24"/>
              </w:rPr>
            </w:pPr>
            <w:r>
              <w:rPr>
                <w:rFonts w:eastAsia="SimSun" w:cs="Times New Roman"/>
                <w:szCs w:val="24"/>
              </w:rPr>
              <w:t>1,092</w:t>
            </w:r>
            <w:r w:rsidR="005741BC" w:rsidRPr="005741BC">
              <w:rPr>
                <w:rFonts w:eastAsia="SimSun" w:cs="Times New Roman"/>
                <w:szCs w:val="24"/>
              </w:rPr>
              <w:t xml:space="preserve"> (8%)</w:t>
            </w:r>
          </w:p>
        </w:tc>
      </w:tr>
      <w:tr w:rsidR="005741BC" w:rsidRPr="005741BC" w14:paraId="2160419F" w14:textId="77777777" w:rsidTr="005741BC">
        <w:trPr>
          <w:trHeight w:val="300"/>
        </w:trPr>
        <w:tc>
          <w:tcPr>
            <w:tcW w:w="4287" w:type="dxa"/>
            <w:tcBorders>
              <w:top w:val="dotted" w:sz="4" w:space="0" w:color="auto"/>
              <w:left w:val="nil"/>
              <w:right w:val="single" w:sz="4" w:space="0" w:color="auto"/>
            </w:tcBorders>
            <w:shd w:val="clear" w:color="auto" w:fill="auto"/>
            <w:noWrap/>
            <w:vAlign w:val="center"/>
          </w:tcPr>
          <w:p w14:paraId="6FA32644" w14:textId="77777777" w:rsidR="005741BC" w:rsidRPr="005741BC" w:rsidRDefault="005741BC" w:rsidP="005741BC">
            <w:pPr>
              <w:spacing w:after="0" w:line="240" w:lineRule="auto"/>
              <w:rPr>
                <w:rFonts w:eastAsia="Times New Roman" w:cs="Times New Roman"/>
              </w:rPr>
            </w:pPr>
            <w:r w:rsidRPr="005741BC">
              <w:rPr>
                <w:rFonts w:eastAsia="Times New Roman" w:cs="Times New Roman"/>
              </w:rPr>
              <w:t>Number of Charlson Index comorbidities at time of diagnosis</w:t>
            </w:r>
          </w:p>
        </w:tc>
        <w:tc>
          <w:tcPr>
            <w:tcW w:w="1985" w:type="dxa"/>
            <w:tcBorders>
              <w:top w:val="dotted" w:sz="4" w:space="0" w:color="auto"/>
              <w:left w:val="single" w:sz="4" w:space="0" w:color="auto"/>
            </w:tcBorders>
            <w:shd w:val="clear" w:color="auto" w:fill="auto"/>
            <w:noWrap/>
            <w:vAlign w:val="center"/>
          </w:tcPr>
          <w:p w14:paraId="61000127" w14:textId="77777777" w:rsidR="005741BC" w:rsidRPr="005741BC" w:rsidRDefault="005741BC" w:rsidP="005741BC">
            <w:pPr>
              <w:spacing w:after="0" w:line="240" w:lineRule="auto"/>
              <w:rPr>
                <w:rFonts w:eastAsia="SimSun" w:cs="Times New Roman"/>
                <w:szCs w:val="24"/>
              </w:rPr>
            </w:pPr>
          </w:p>
        </w:tc>
        <w:tc>
          <w:tcPr>
            <w:tcW w:w="1986" w:type="dxa"/>
            <w:tcBorders>
              <w:top w:val="dotted" w:sz="4" w:space="0" w:color="auto"/>
              <w:left w:val="single" w:sz="4" w:space="0" w:color="auto"/>
            </w:tcBorders>
            <w:vAlign w:val="center"/>
          </w:tcPr>
          <w:p w14:paraId="58391826" w14:textId="77777777" w:rsidR="005741BC" w:rsidRPr="005741BC" w:rsidRDefault="005741BC" w:rsidP="005741BC">
            <w:pPr>
              <w:spacing w:after="0" w:line="240" w:lineRule="auto"/>
              <w:rPr>
                <w:rFonts w:eastAsia="SimSun" w:cs="Times New Roman"/>
                <w:szCs w:val="24"/>
              </w:rPr>
            </w:pPr>
          </w:p>
        </w:tc>
      </w:tr>
      <w:tr w:rsidR="005741BC" w:rsidRPr="005741BC" w14:paraId="274C3472" w14:textId="77777777" w:rsidTr="005741BC">
        <w:trPr>
          <w:trHeight w:val="300"/>
        </w:trPr>
        <w:tc>
          <w:tcPr>
            <w:tcW w:w="4287" w:type="dxa"/>
            <w:tcBorders>
              <w:left w:val="nil"/>
              <w:bottom w:val="nil"/>
              <w:right w:val="single" w:sz="4" w:space="0" w:color="auto"/>
            </w:tcBorders>
            <w:shd w:val="clear" w:color="auto" w:fill="auto"/>
            <w:noWrap/>
            <w:vAlign w:val="center"/>
          </w:tcPr>
          <w:p w14:paraId="04C2461C"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0</w:t>
            </w:r>
          </w:p>
        </w:tc>
        <w:tc>
          <w:tcPr>
            <w:tcW w:w="1985" w:type="dxa"/>
            <w:tcBorders>
              <w:left w:val="single" w:sz="4" w:space="0" w:color="auto"/>
              <w:bottom w:val="nil"/>
            </w:tcBorders>
            <w:shd w:val="clear" w:color="auto" w:fill="auto"/>
            <w:noWrap/>
            <w:vAlign w:val="center"/>
          </w:tcPr>
          <w:p w14:paraId="2C084F61" w14:textId="77777777" w:rsidR="005741BC" w:rsidRPr="005741BC" w:rsidRDefault="005741BC" w:rsidP="005741BC">
            <w:pPr>
              <w:spacing w:after="0" w:line="240" w:lineRule="auto"/>
              <w:rPr>
                <w:rFonts w:eastAsia="Times New Roman" w:cs="Times New Roman"/>
                <w:szCs w:val="24"/>
              </w:rPr>
            </w:pPr>
            <w:r w:rsidRPr="005741BC">
              <w:rPr>
                <w:rFonts w:eastAsia="SimSun" w:cs="Times New Roman"/>
                <w:szCs w:val="24"/>
              </w:rPr>
              <w:t>3,047 (59%)</w:t>
            </w:r>
          </w:p>
        </w:tc>
        <w:tc>
          <w:tcPr>
            <w:tcW w:w="1986" w:type="dxa"/>
            <w:tcBorders>
              <w:left w:val="single" w:sz="4" w:space="0" w:color="auto"/>
              <w:bottom w:val="nil"/>
            </w:tcBorders>
            <w:vAlign w:val="center"/>
          </w:tcPr>
          <w:p w14:paraId="55DA0059" w14:textId="73ABA4FD" w:rsidR="005741BC" w:rsidRPr="005741BC" w:rsidRDefault="00F66F4D" w:rsidP="005741BC">
            <w:pPr>
              <w:spacing w:after="0" w:line="240" w:lineRule="auto"/>
              <w:rPr>
                <w:rFonts w:eastAsia="SimSun" w:cs="Times New Roman"/>
                <w:szCs w:val="24"/>
              </w:rPr>
            </w:pPr>
            <w:r>
              <w:rPr>
                <w:rFonts w:eastAsia="SimSun" w:cs="Times New Roman"/>
                <w:szCs w:val="24"/>
              </w:rPr>
              <w:t>9,049</w:t>
            </w:r>
            <w:r w:rsidR="005741BC" w:rsidRPr="005741BC">
              <w:rPr>
                <w:rFonts w:eastAsia="SimSun" w:cs="Times New Roman"/>
                <w:szCs w:val="24"/>
              </w:rPr>
              <w:t xml:space="preserve"> (63%)</w:t>
            </w:r>
          </w:p>
        </w:tc>
      </w:tr>
      <w:tr w:rsidR="005741BC" w:rsidRPr="005741BC" w14:paraId="12394AA8" w14:textId="77777777" w:rsidTr="005741BC">
        <w:trPr>
          <w:trHeight w:val="300"/>
        </w:trPr>
        <w:tc>
          <w:tcPr>
            <w:tcW w:w="4287" w:type="dxa"/>
            <w:tcBorders>
              <w:top w:val="nil"/>
              <w:left w:val="nil"/>
              <w:bottom w:val="nil"/>
              <w:right w:val="single" w:sz="4" w:space="0" w:color="auto"/>
            </w:tcBorders>
            <w:shd w:val="clear" w:color="auto" w:fill="auto"/>
            <w:noWrap/>
            <w:vAlign w:val="center"/>
          </w:tcPr>
          <w:p w14:paraId="3184B249"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1</w:t>
            </w:r>
          </w:p>
        </w:tc>
        <w:tc>
          <w:tcPr>
            <w:tcW w:w="1985" w:type="dxa"/>
            <w:tcBorders>
              <w:top w:val="nil"/>
              <w:left w:val="single" w:sz="4" w:space="0" w:color="auto"/>
              <w:bottom w:val="nil"/>
            </w:tcBorders>
            <w:shd w:val="clear" w:color="auto" w:fill="auto"/>
            <w:noWrap/>
            <w:vAlign w:val="center"/>
          </w:tcPr>
          <w:p w14:paraId="4AB86F30" w14:textId="77777777" w:rsidR="005741BC" w:rsidRPr="005741BC" w:rsidRDefault="005741BC" w:rsidP="005741BC">
            <w:pPr>
              <w:spacing w:after="0" w:line="240" w:lineRule="auto"/>
              <w:rPr>
                <w:rFonts w:eastAsia="Times New Roman" w:cs="Times New Roman"/>
                <w:szCs w:val="24"/>
              </w:rPr>
            </w:pPr>
            <w:r w:rsidRPr="005741BC">
              <w:rPr>
                <w:rFonts w:eastAsia="SimSun" w:cs="Times New Roman"/>
                <w:szCs w:val="24"/>
              </w:rPr>
              <w:t>1,384 (27%)</w:t>
            </w:r>
          </w:p>
        </w:tc>
        <w:tc>
          <w:tcPr>
            <w:tcW w:w="1986" w:type="dxa"/>
            <w:tcBorders>
              <w:top w:val="nil"/>
              <w:left w:val="single" w:sz="4" w:space="0" w:color="auto"/>
              <w:bottom w:val="nil"/>
            </w:tcBorders>
            <w:vAlign w:val="center"/>
          </w:tcPr>
          <w:p w14:paraId="208E6805" w14:textId="5E2607CD" w:rsidR="005741BC" w:rsidRPr="005741BC" w:rsidRDefault="00F66F4D" w:rsidP="005741BC">
            <w:pPr>
              <w:spacing w:after="0" w:line="240" w:lineRule="auto"/>
              <w:rPr>
                <w:rFonts w:eastAsia="SimSun" w:cs="Times New Roman"/>
                <w:szCs w:val="24"/>
              </w:rPr>
            </w:pPr>
            <w:r>
              <w:rPr>
                <w:rFonts w:eastAsia="SimSun" w:cs="Times New Roman"/>
                <w:szCs w:val="24"/>
              </w:rPr>
              <w:t>3,908</w:t>
            </w:r>
            <w:r w:rsidR="005741BC" w:rsidRPr="005741BC">
              <w:rPr>
                <w:rFonts w:eastAsia="SimSun" w:cs="Times New Roman"/>
                <w:szCs w:val="24"/>
              </w:rPr>
              <w:t xml:space="preserve"> (27%)</w:t>
            </w:r>
          </w:p>
        </w:tc>
      </w:tr>
      <w:tr w:rsidR="005741BC" w:rsidRPr="005741BC" w14:paraId="6D955A92" w14:textId="77777777" w:rsidTr="005741BC">
        <w:trPr>
          <w:trHeight w:val="300"/>
        </w:trPr>
        <w:tc>
          <w:tcPr>
            <w:tcW w:w="4287" w:type="dxa"/>
            <w:tcBorders>
              <w:top w:val="nil"/>
              <w:left w:val="nil"/>
              <w:bottom w:val="nil"/>
              <w:right w:val="single" w:sz="4" w:space="0" w:color="auto"/>
            </w:tcBorders>
            <w:shd w:val="clear" w:color="auto" w:fill="auto"/>
            <w:noWrap/>
            <w:vAlign w:val="center"/>
          </w:tcPr>
          <w:p w14:paraId="3AF1C368"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2</w:t>
            </w:r>
          </w:p>
        </w:tc>
        <w:tc>
          <w:tcPr>
            <w:tcW w:w="1985" w:type="dxa"/>
            <w:tcBorders>
              <w:top w:val="nil"/>
              <w:left w:val="single" w:sz="4" w:space="0" w:color="auto"/>
              <w:bottom w:val="nil"/>
            </w:tcBorders>
            <w:shd w:val="clear" w:color="auto" w:fill="auto"/>
            <w:noWrap/>
            <w:vAlign w:val="center"/>
          </w:tcPr>
          <w:p w14:paraId="67E24558" w14:textId="77777777" w:rsidR="005741BC" w:rsidRPr="005741BC" w:rsidRDefault="005741BC" w:rsidP="005741BC">
            <w:pPr>
              <w:spacing w:after="0" w:line="240" w:lineRule="auto"/>
              <w:rPr>
                <w:rFonts w:eastAsia="Times New Roman" w:cs="Times New Roman"/>
                <w:szCs w:val="24"/>
              </w:rPr>
            </w:pPr>
            <w:r w:rsidRPr="005741BC">
              <w:rPr>
                <w:rFonts w:eastAsia="SimSun" w:cs="Times New Roman"/>
                <w:szCs w:val="24"/>
              </w:rPr>
              <w:t>446 (9%)</w:t>
            </w:r>
          </w:p>
        </w:tc>
        <w:tc>
          <w:tcPr>
            <w:tcW w:w="1986" w:type="dxa"/>
            <w:tcBorders>
              <w:top w:val="nil"/>
              <w:left w:val="single" w:sz="4" w:space="0" w:color="auto"/>
              <w:bottom w:val="nil"/>
            </w:tcBorders>
            <w:vAlign w:val="center"/>
          </w:tcPr>
          <w:p w14:paraId="6E8B35A1" w14:textId="4C122C49" w:rsidR="005741BC" w:rsidRPr="005741BC" w:rsidRDefault="00F66F4D" w:rsidP="005741BC">
            <w:pPr>
              <w:spacing w:after="0" w:line="240" w:lineRule="auto"/>
              <w:rPr>
                <w:rFonts w:eastAsia="SimSun" w:cs="Times New Roman"/>
                <w:szCs w:val="24"/>
              </w:rPr>
            </w:pPr>
            <w:r>
              <w:rPr>
                <w:rFonts w:eastAsia="SimSun" w:cs="Times New Roman"/>
                <w:szCs w:val="24"/>
              </w:rPr>
              <w:t>948</w:t>
            </w:r>
            <w:r w:rsidR="005741BC" w:rsidRPr="005741BC">
              <w:rPr>
                <w:rFonts w:eastAsia="SimSun" w:cs="Times New Roman"/>
                <w:szCs w:val="24"/>
              </w:rPr>
              <w:t xml:space="preserve"> (7%)</w:t>
            </w:r>
          </w:p>
        </w:tc>
      </w:tr>
      <w:tr w:rsidR="005741BC" w:rsidRPr="005741BC" w14:paraId="50CDC509" w14:textId="77777777" w:rsidTr="005741BC">
        <w:trPr>
          <w:trHeight w:val="300"/>
        </w:trPr>
        <w:tc>
          <w:tcPr>
            <w:tcW w:w="4287" w:type="dxa"/>
            <w:tcBorders>
              <w:top w:val="nil"/>
              <w:left w:val="nil"/>
              <w:bottom w:val="nil"/>
              <w:right w:val="single" w:sz="4" w:space="0" w:color="auto"/>
            </w:tcBorders>
            <w:shd w:val="clear" w:color="auto" w:fill="auto"/>
            <w:noWrap/>
            <w:vAlign w:val="center"/>
          </w:tcPr>
          <w:p w14:paraId="15C08143"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3 or more</w:t>
            </w:r>
          </w:p>
        </w:tc>
        <w:tc>
          <w:tcPr>
            <w:tcW w:w="1985" w:type="dxa"/>
            <w:tcBorders>
              <w:top w:val="nil"/>
              <w:left w:val="single" w:sz="4" w:space="0" w:color="auto"/>
              <w:bottom w:val="nil"/>
            </w:tcBorders>
            <w:shd w:val="clear" w:color="auto" w:fill="auto"/>
            <w:noWrap/>
            <w:vAlign w:val="center"/>
          </w:tcPr>
          <w:p w14:paraId="152BA250" w14:textId="77777777" w:rsidR="005741BC" w:rsidRPr="005741BC" w:rsidRDefault="005741BC" w:rsidP="005741BC">
            <w:pPr>
              <w:spacing w:after="0" w:line="240" w:lineRule="auto"/>
              <w:rPr>
                <w:rFonts w:eastAsia="Times New Roman" w:cs="Times New Roman"/>
                <w:szCs w:val="24"/>
              </w:rPr>
            </w:pPr>
            <w:r w:rsidRPr="005741BC">
              <w:rPr>
                <w:rFonts w:eastAsia="SimSun" w:cs="Times New Roman"/>
                <w:szCs w:val="24"/>
              </w:rPr>
              <w:t>281 (5%)</w:t>
            </w:r>
          </w:p>
        </w:tc>
        <w:tc>
          <w:tcPr>
            <w:tcW w:w="1986" w:type="dxa"/>
            <w:tcBorders>
              <w:top w:val="nil"/>
              <w:left w:val="single" w:sz="4" w:space="0" w:color="auto"/>
              <w:bottom w:val="nil"/>
            </w:tcBorders>
            <w:vAlign w:val="center"/>
          </w:tcPr>
          <w:p w14:paraId="45FE88AA" w14:textId="68D184B0" w:rsidR="005741BC" w:rsidRPr="005741BC" w:rsidRDefault="00F66F4D" w:rsidP="005741BC">
            <w:pPr>
              <w:spacing w:after="0" w:line="240" w:lineRule="auto"/>
              <w:rPr>
                <w:rFonts w:eastAsia="SimSun" w:cs="Times New Roman"/>
                <w:szCs w:val="24"/>
              </w:rPr>
            </w:pPr>
            <w:r>
              <w:rPr>
                <w:rFonts w:eastAsia="SimSun" w:cs="Times New Roman"/>
                <w:szCs w:val="24"/>
              </w:rPr>
              <w:t>471</w:t>
            </w:r>
            <w:r w:rsidR="005741BC" w:rsidRPr="005741BC">
              <w:rPr>
                <w:rFonts w:eastAsia="SimSun" w:cs="Times New Roman"/>
                <w:szCs w:val="24"/>
              </w:rPr>
              <w:t xml:space="preserve"> (3%)</w:t>
            </w:r>
          </w:p>
        </w:tc>
      </w:tr>
      <w:tr w:rsidR="005741BC" w:rsidRPr="005741BC" w14:paraId="669C1DFF" w14:textId="77777777" w:rsidTr="005741BC">
        <w:trPr>
          <w:trHeight w:val="300"/>
        </w:trPr>
        <w:tc>
          <w:tcPr>
            <w:tcW w:w="4287" w:type="dxa"/>
            <w:tcBorders>
              <w:top w:val="dotted" w:sz="4" w:space="0" w:color="auto"/>
              <w:left w:val="nil"/>
              <w:bottom w:val="dotted" w:sz="4" w:space="0" w:color="auto"/>
              <w:right w:val="single" w:sz="4" w:space="0" w:color="auto"/>
            </w:tcBorders>
            <w:shd w:val="clear" w:color="auto" w:fill="auto"/>
            <w:noWrap/>
            <w:vAlign w:val="center"/>
            <w:hideMark/>
          </w:tcPr>
          <w:p w14:paraId="010CDDF7" w14:textId="77777777" w:rsidR="005741BC" w:rsidRPr="005741BC" w:rsidRDefault="005741BC" w:rsidP="005741BC">
            <w:pPr>
              <w:spacing w:after="0" w:line="240" w:lineRule="auto"/>
              <w:rPr>
                <w:rFonts w:eastAsia="Times New Roman" w:cs="Times New Roman"/>
              </w:rPr>
            </w:pPr>
            <w:r w:rsidRPr="005741BC">
              <w:rPr>
                <w:rFonts w:eastAsia="Times New Roman" w:cs="Times New Roman"/>
              </w:rPr>
              <w:t>Comorbid depression at time of diagnosis</w:t>
            </w:r>
          </w:p>
          <w:p w14:paraId="65ABEB39"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History of depression</w:t>
            </w:r>
          </w:p>
          <w:p w14:paraId="0F6BE724"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lastRenderedPageBreak/>
              <w:t>No recorded history of depression</w:t>
            </w:r>
          </w:p>
        </w:tc>
        <w:tc>
          <w:tcPr>
            <w:tcW w:w="1985" w:type="dxa"/>
            <w:tcBorders>
              <w:top w:val="dotted" w:sz="4" w:space="0" w:color="auto"/>
              <w:left w:val="single" w:sz="4" w:space="0" w:color="auto"/>
              <w:bottom w:val="dotted" w:sz="4" w:space="0" w:color="auto"/>
            </w:tcBorders>
            <w:shd w:val="clear" w:color="auto" w:fill="auto"/>
            <w:noWrap/>
            <w:hideMark/>
          </w:tcPr>
          <w:p w14:paraId="398F1191" w14:textId="77777777" w:rsidR="005741BC" w:rsidRPr="005741BC" w:rsidRDefault="005741BC" w:rsidP="005741BC">
            <w:pPr>
              <w:spacing w:after="0" w:line="240" w:lineRule="auto"/>
              <w:rPr>
                <w:rFonts w:eastAsia="SimSun" w:cs="Times New Roman"/>
                <w:szCs w:val="24"/>
              </w:rPr>
            </w:pPr>
          </w:p>
          <w:p w14:paraId="40A1B813" w14:textId="77777777" w:rsidR="005741BC" w:rsidRPr="005741BC" w:rsidRDefault="005741BC" w:rsidP="005741BC">
            <w:pPr>
              <w:spacing w:after="0" w:line="240" w:lineRule="auto"/>
              <w:rPr>
                <w:rFonts w:eastAsia="SimSun" w:cs="Times New Roman"/>
                <w:szCs w:val="24"/>
              </w:rPr>
            </w:pPr>
            <w:r w:rsidRPr="005741BC">
              <w:rPr>
                <w:rFonts w:eastAsia="SimSun" w:cs="Times New Roman"/>
                <w:szCs w:val="24"/>
              </w:rPr>
              <w:t>3,358 (65%)</w:t>
            </w:r>
          </w:p>
          <w:p w14:paraId="171F86EC" w14:textId="77777777" w:rsidR="005741BC" w:rsidRPr="005741BC" w:rsidRDefault="005741BC" w:rsidP="005741BC">
            <w:pPr>
              <w:spacing w:after="0" w:line="240" w:lineRule="auto"/>
              <w:rPr>
                <w:rFonts w:eastAsia="SimSun" w:cs="Times New Roman"/>
                <w:szCs w:val="24"/>
              </w:rPr>
            </w:pPr>
            <w:r w:rsidRPr="005741BC">
              <w:rPr>
                <w:rFonts w:eastAsia="SimSun" w:cs="Times New Roman"/>
                <w:szCs w:val="24"/>
              </w:rPr>
              <w:lastRenderedPageBreak/>
              <w:t>1,800 (35%)</w:t>
            </w:r>
          </w:p>
        </w:tc>
        <w:tc>
          <w:tcPr>
            <w:tcW w:w="1986" w:type="dxa"/>
            <w:tcBorders>
              <w:top w:val="dotted" w:sz="4" w:space="0" w:color="auto"/>
              <w:left w:val="single" w:sz="4" w:space="0" w:color="auto"/>
              <w:bottom w:val="dotted" w:sz="4" w:space="0" w:color="auto"/>
            </w:tcBorders>
            <w:vAlign w:val="center"/>
          </w:tcPr>
          <w:p w14:paraId="2F87D34B" w14:textId="77777777" w:rsidR="005741BC" w:rsidRPr="005741BC" w:rsidRDefault="005741BC" w:rsidP="005741BC">
            <w:pPr>
              <w:spacing w:after="0" w:line="240" w:lineRule="auto"/>
              <w:rPr>
                <w:rFonts w:eastAsia="SimSun" w:cs="Times New Roman"/>
                <w:szCs w:val="24"/>
              </w:rPr>
            </w:pPr>
          </w:p>
          <w:p w14:paraId="08C1A9A2" w14:textId="3513A409" w:rsidR="005741BC" w:rsidRPr="005741BC" w:rsidRDefault="00F66F4D" w:rsidP="005741BC">
            <w:pPr>
              <w:spacing w:after="0" w:line="240" w:lineRule="auto"/>
              <w:rPr>
                <w:rFonts w:eastAsia="SimSun" w:cs="Times New Roman"/>
                <w:szCs w:val="24"/>
              </w:rPr>
            </w:pPr>
            <w:r>
              <w:rPr>
                <w:rFonts w:eastAsia="SimSun" w:cs="Times New Roman"/>
                <w:szCs w:val="24"/>
              </w:rPr>
              <w:t>9,648</w:t>
            </w:r>
            <w:r w:rsidR="005741BC" w:rsidRPr="005741BC">
              <w:rPr>
                <w:rFonts w:eastAsia="SimSun" w:cs="Times New Roman"/>
                <w:szCs w:val="24"/>
              </w:rPr>
              <w:t xml:space="preserve"> (67%)</w:t>
            </w:r>
          </w:p>
          <w:p w14:paraId="089566F9" w14:textId="72CF268F" w:rsidR="005741BC" w:rsidRPr="005741BC" w:rsidRDefault="00F66F4D" w:rsidP="005741BC">
            <w:pPr>
              <w:spacing w:after="0" w:line="240" w:lineRule="auto"/>
              <w:rPr>
                <w:rFonts w:eastAsia="SimSun" w:cs="Times New Roman"/>
                <w:szCs w:val="24"/>
              </w:rPr>
            </w:pPr>
            <w:r>
              <w:rPr>
                <w:rFonts w:eastAsia="SimSun" w:cs="Times New Roman"/>
                <w:szCs w:val="24"/>
              </w:rPr>
              <w:lastRenderedPageBreak/>
              <w:t>4,728</w:t>
            </w:r>
            <w:r w:rsidR="005741BC" w:rsidRPr="005741BC">
              <w:rPr>
                <w:rFonts w:eastAsia="SimSun" w:cs="Times New Roman"/>
                <w:szCs w:val="24"/>
              </w:rPr>
              <w:t xml:space="preserve"> (33%)</w:t>
            </w:r>
          </w:p>
        </w:tc>
      </w:tr>
      <w:tr w:rsidR="005741BC" w:rsidRPr="005741BC" w14:paraId="44805439" w14:textId="77777777" w:rsidTr="005741BC">
        <w:trPr>
          <w:trHeight w:val="300"/>
        </w:trPr>
        <w:tc>
          <w:tcPr>
            <w:tcW w:w="4287" w:type="dxa"/>
            <w:tcBorders>
              <w:top w:val="dotted" w:sz="4" w:space="0" w:color="auto"/>
              <w:left w:val="nil"/>
              <w:bottom w:val="dotted" w:sz="4" w:space="0" w:color="auto"/>
              <w:right w:val="single" w:sz="4" w:space="0" w:color="auto"/>
            </w:tcBorders>
            <w:shd w:val="clear" w:color="auto" w:fill="auto"/>
            <w:noWrap/>
            <w:vAlign w:val="center"/>
            <w:hideMark/>
          </w:tcPr>
          <w:p w14:paraId="0E379AAE" w14:textId="77777777" w:rsidR="005741BC" w:rsidRPr="005741BC" w:rsidRDefault="005741BC" w:rsidP="005741BC">
            <w:pPr>
              <w:spacing w:after="0" w:line="240" w:lineRule="auto"/>
              <w:rPr>
                <w:rFonts w:eastAsia="Times New Roman" w:cs="Times New Roman"/>
              </w:rPr>
            </w:pPr>
            <w:r w:rsidRPr="005741BC">
              <w:rPr>
                <w:rFonts w:eastAsia="Times New Roman" w:cs="Times New Roman"/>
              </w:rPr>
              <w:lastRenderedPageBreak/>
              <w:t>Smoking status</w:t>
            </w:r>
          </w:p>
          <w:p w14:paraId="0635ACED"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Current or ex-smoker</w:t>
            </w:r>
          </w:p>
          <w:p w14:paraId="5437BDEA"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No recorded history of smoking</w:t>
            </w:r>
          </w:p>
        </w:tc>
        <w:tc>
          <w:tcPr>
            <w:tcW w:w="1985" w:type="dxa"/>
            <w:tcBorders>
              <w:top w:val="dotted" w:sz="4" w:space="0" w:color="auto"/>
              <w:left w:val="single" w:sz="4" w:space="0" w:color="auto"/>
              <w:bottom w:val="dotted" w:sz="4" w:space="0" w:color="auto"/>
            </w:tcBorders>
            <w:shd w:val="clear" w:color="auto" w:fill="auto"/>
            <w:noWrap/>
            <w:vAlign w:val="center"/>
            <w:hideMark/>
          </w:tcPr>
          <w:p w14:paraId="797D8E39" w14:textId="77777777" w:rsidR="005741BC" w:rsidRPr="005741BC" w:rsidRDefault="005741BC" w:rsidP="005741BC">
            <w:pPr>
              <w:spacing w:after="0" w:line="240" w:lineRule="auto"/>
              <w:rPr>
                <w:rFonts w:eastAsia="SimSun" w:cs="Times New Roman"/>
                <w:szCs w:val="24"/>
              </w:rPr>
            </w:pPr>
          </w:p>
          <w:p w14:paraId="60C62734" w14:textId="77777777" w:rsidR="005741BC" w:rsidRPr="005741BC" w:rsidRDefault="005741BC" w:rsidP="005741BC">
            <w:pPr>
              <w:spacing w:after="0" w:line="240" w:lineRule="auto"/>
              <w:rPr>
                <w:rFonts w:eastAsia="SimSun" w:cs="Times New Roman"/>
                <w:szCs w:val="24"/>
              </w:rPr>
            </w:pPr>
            <w:r w:rsidRPr="005741BC">
              <w:rPr>
                <w:rFonts w:eastAsia="SimSun" w:cs="Times New Roman"/>
                <w:szCs w:val="24"/>
              </w:rPr>
              <w:t>3,960 (77%)</w:t>
            </w:r>
          </w:p>
          <w:p w14:paraId="2CDAD188" w14:textId="77777777" w:rsidR="005741BC" w:rsidRPr="005741BC" w:rsidRDefault="005741BC" w:rsidP="005741BC">
            <w:pPr>
              <w:spacing w:after="0" w:line="240" w:lineRule="auto"/>
              <w:rPr>
                <w:rFonts w:eastAsia="SimSun" w:cs="Times New Roman"/>
                <w:szCs w:val="24"/>
              </w:rPr>
            </w:pPr>
            <w:r w:rsidRPr="005741BC">
              <w:rPr>
                <w:rFonts w:eastAsia="SimSun" w:cs="Times New Roman"/>
                <w:szCs w:val="24"/>
              </w:rPr>
              <w:t>1,198 (23%)</w:t>
            </w:r>
          </w:p>
        </w:tc>
        <w:tc>
          <w:tcPr>
            <w:tcW w:w="1986" w:type="dxa"/>
            <w:tcBorders>
              <w:top w:val="dotted" w:sz="4" w:space="0" w:color="auto"/>
              <w:left w:val="single" w:sz="4" w:space="0" w:color="auto"/>
              <w:bottom w:val="dotted" w:sz="4" w:space="0" w:color="auto"/>
            </w:tcBorders>
            <w:vAlign w:val="center"/>
          </w:tcPr>
          <w:p w14:paraId="61A50780" w14:textId="77777777" w:rsidR="005741BC" w:rsidRPr="005741BC" w:rsidRDefault="005741BC" w:rsidP="005741BC">
            <w:pPr>
              <w:spacing w:after="0" w:line="240" w:lineRule="auto"/>
              <w:rPr>
                <w:rFonts w:eastAsia="SimSun" w:cs="Times New Roman"/>
                <w:szCs w:val="24"/>
              </w:rPr>
            </w:pPr>
          </w:p>
          <w:p w14:paraId="131DA314" w14:textId="0C00CEDF" w:rsidR="005741BC" w:rsidRPr="005741BC" w:rsidRDefault="00F66F4D" w:rsidP="005741BC">
            <w:pPr>
              <w:spacing w:after="0" w:line="240" w:lineRule="auto"/>
              <w:rPr>
                <w:rFonts w:eastAsia="SimSun" w:cs="Times New Roman"/>
                <w:szCs w:val="24"/>
              </w:rPr>
            </w:pPr>
            <w:r>
              <w:rPr>
                <w:rFonts w:eastAsia="SimSun" w:cs="Times New Roman"/>
                <w:szCs w:val="24"/>
              </w:rPr>
              <w:t>11,059</w:t>
            </w:r>
            <w:r w:rsidR="005741BC" w:rsidRPr="005741BC">
              <w:rPr>
                <w:rFonts w:eastAsia="SimSun" w:cs="Times New Roman"/>
                <w:szCs w:val="24"/>
              </w:rPr>
              <w:t xml:space="preserve"> (77%)</w:t>
            </w:r>
          </w:p>
          <w:p w14:paraId="7305E71E" w14:textId="27B40FA1" w:rsidR="005741BC" w:rsidRPr="005741BC" w:rsidRDefault="00F66F4D" w:rsidP="005741BC">
            <w:pPr>
              <w:spacing w:after="0" w:line="240" w:lineRule="auto"/>
              <w:rPr>
                <w:rFonts w:eastAsia="SimSun" w:cs="Times New Roman"/>
                <w:szCs w:val="24"/>
              </w:rPr>
            </w:pPr>
            <w:r>
              <w:rPr>
                <w:rFonts w:eastAsia="SimSun" w:cs="Times New Roman"/>
                <w:szCs w:val="24"/>
              </w:rPr>
              <w:t>3,317</w:t>
            </w:r>
            <w:r w:rsidR="005741BC" w:rsidRPr="005741BC">
              <w:rPr>
                <w:rFonts w:eastAsia="SimSun" w:cs="Times New Roman"/>
                <w:szCs w:val="24"/>
              </w:rPr>
              <w:t xml:space="preserve"> (23%)</w:t>
            </w:r>
          </w:p>
        </w:tc>
      </w:tr>
      <w:tr w:rsidR="005741BC" w:rsidRPr="005741BC" w14:paraId="6BF20C61" w14:textId="77777777" w:rsidTr="005741BC">
        <w:trPr>
          <w:trHeight w:val="300"/>
        </w:trPr>
        <w:tc>
          <w:tcPr>
            <w:tcW w:w="4287" w:type="dxa"/>
            <w:tcBorders>
              <w:top w:val="dotted" w:sz="4" w:space="0" w:color="auto"/>
              <w:left w:val="nil"/>
              <w:right w:val="single" w:sz="4" w:space="0" w:color="auto"/>
            </w:tcBorders>
            <w:shd w:val="clear" w:color="auto" w:fill="auto"/>
            <w:noWrap/>
            <w:vAlign w:val="center"/>
          </w:tcPr>
          <w:p w14:paraId="0A2BDEF5" w14:textId="77777777" w:rsidR="005741BC" w:rsidRPr="005741BC" w:rsidRDefault="005741BC" w:rsidP="005741BC">
            <w:pPr>
              <w:spacing w:after="0" w:line="240" w:lineRule="auto"/>
              <w:rPr>
                <w:rFonts w:eastAsia="Times New Roman" w:cs="Times New Roman"/>
              </w:rPr>
            </w:pPr>
            <w:r w:rsidRPr="005741BC">
              <w:rPr>
                <w:rFonts w:eastAsia="Times New Roman" w:cs="Times New Roman"/>
              </w:rPr>
              <w:t>SMI diagnostic group</w:t>
            </w:r>
          </w:p>
        </w:tc>
        <w:tc>
          <w:tcPr>
            <w:tcW w:w="1985" w:type="dxa"/>
            <w:tcBorders>
              <w:top w:val="dotted" w:sz="4" w:space="0" w:color="auto"/>
              <w:left w:val="single" w:sz="4" w:space="0" w:color="auto"/>
            </w:tcBorders>
            <w:shd w:val="clear" w:color="auto" w:fill="auto"/>
            <w:noWrap/>
            <w:vAlign w:val="center"/>
          </w:tcPr>
          <w:p w14:paraId="50152516" w14:textId="77777777" w:rsidR="005741BC" w:rsidRPr="005741BC" w:rsidRDefault="005741BC" w:rsidP="005741BC">
            <w:pPr>
              <w:spacing w:after="0" w:line="240" w:lineRule="auto"/>
              <w:rPr>
                <w:rFonts w:eastAsia="SimSun" w:cs="Times New Roman"/>
                <w:szCs w:val="24"/>
              </w:rPr>
            </w:pPr>
          </w:p>
        </w:tc>
        <w:tc>
          <w:tcPr>
            <w:tcW w:w="1986" w:type="dxa"/>
            <w:tcBorders>
              <w:top w:val="dotted" w:sz="4" w:space="0" w:color="auto"/>
              <w:left w:val="single" w:sz="4" w:space="0" w:color="auto"/>
            </w:tcBorders>
            <w:vAlign w:val="center"/>
          </w:tcPr>
          <w:p w14:paraId="563C8CCA" w14:textId="77777777" w:rsidR="005741BC" w:rsidRPr="005741BC" w:rsidRDefault="005741BC" w:rsidP="005741BC">
            <w:pPr>
              <w:spacing w:after="0" w:line="240" w:lineRule="auto"/>
              <w:rPr>
                <w:rFonts w:eastAsia="SimSun" w:cs="Times New Roman"/>
                <w:szCs w:val="24"/>
              </w:rPr>
            </w:pPr>
          </w:p>
        </w:tc>
      </w:tr>
      <w:tr w:rsidR="005741BC" w:rsidRPr="005741BC" w14:paraId="54BD68C6" w14:textId="77777777" w:rsidTr="005741BC">
        <w:trPr>
          <w:trHeight w:val="300"/>
        </w:trPr>
        <w:tc>
          <w:tcPr>
            <w:tcW w:w="4287" w:type="dxa"/>
            <w:tcBorders>
              <w:left w:val="nil"/>
              <w:right w:val="single" w:sz="4" w:space="0" w:color="auto"/>
            </w:tcBorders>
            <w:shd w:val="clear" w:color="auto" w:fill="auto"/>
            <w:noWrap/>
            <w:vAlign w:val="center"/>
          </w:tcPr>
          <w:p w14:paraId="3FD1CDC3"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Schizophrenia &amp; other psychoses</w:t>
            </w:r>
          </w:p>
        </w:tc>
        <w:tc>
          <w:tcPr>
            <w:tcW w:w="1985" w:type="dxa"/>
            <w:tcBorders>
              <w:left w:val="single" w:sz="4" w:space="0" w:color="auto"/>
            </w:tcBorders>
            <w:shd w:val="clear" w:color="auto" w:fill="auto"/>
            <w:noWrap/>
            <w:vAlign w:val="center"/>
          </w:tcPr>
          <w:p w14:paraId="6ECF9AA9" w14:textId="77777777" w:rsidR="005741BC" w:rsidRPr="005741BC" w:rsidRDefault="005741BC" w:rsidP="005741BC">
            <w:pPr>
              <w:spacing w:after="0" w:line="240" w:lineRule="auto"/>
              <w:rPr>
                <w:rFonts w:eastAsia="SimSun" w:cs="Times New Roman"/>
                <w:szCs w:val="24"/>
              </w:rPr>
            </w:pPr>
            <w:r w:rsidRPr="005741BC">
              <w:rPr>
                <w:rFonts w:eastAsia="SimSun" w:cs="Times New Roman"/>
                <w:szCs w:val="24"/>
              </w:rPr>
              <w:t>2,884 (56%)</w:t>
            </w:r>
          </w:p>
        </w:tc>
        <w:tc>
          <w:tcPr>
            <w:tcW w:w="1986" w:type="dxa"/>
            <w:tcBorders>
              <w:left w:val="single" w:sz="4" w:space="0" w:color="auto"/>
            </w:tcBorders>
            <w:vAlign w:val="center"/>
          </w:tcPr>
          <w:p w14:paraId="2D6D4A05" w14:textId="1742EBFF" w:rsidR="005741BC" w:rsidRPr="005741BC" w:rsidRDefault="00F66F4D" w:rsidP="005741BC">
            <w:pPr>
              <w:spacing w:after="0" w:line="240" w:lineRule="auto"/>
              <w:rPr>
                <w:rFonts w:eastAsia="SimSun" w:cs="Times New Roman"/>
                <w:szCs w:val="24"/>
              </w:rPr>
            </w:pPr>
            <w:r>
              <w:rPr>
                <w:rFonts w:eastAsia="SimSun" w:cs="Times New Roman"/>
                <w:szCs w:val="24"/>
              </w:rPr>
              <w:t>7,292</w:t>
            </w:r>
            <w:r w:rsidR="005741BC" w:rsidRPr="005741BC">
              <w:rPr>
                <w:rFonts w:eastAsia="SimSun" w:cs="Times New Roman"/>
                <w:szCs w:val="24"/>
              </w:rPr>
              <w:t xml:space="preserve"> (51%)</w:t>
            </w:r>
          </w:p>
        </w:tc>
      </w:tr>
      <w:tr w:rsidR="005741BC" w:rsidRPr="005741BC" w14:paraId="0E72E556" w14:textId="77777777" w:rsidTr="005741BC">
        <w:trPr>
          <w:trHeight w:val="300"/>
        </w:trPr>
        <w:tc>
          <w:tcPr>
            <w:tcW w:w="4287" w:type="dxa"/>
            <w:tcBorders>
              <w:left w:val="nil"/>
              <w:right w:val="single" w:sz="4" w:space="0" w:color="auto"/>
            </w:tcBorders>
            <w:shd w:val="clear" w:color="auto" w:fill="auto"/>
            <w:noWrap/>
            <w:vAlign w:val="center"/>
          </w:tcPr>
          <w:p w14:paraId="01694E4C"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Bipolar disorder &amp; affective psychoses</w:t>
            </w:r>
          </w:p>
        </w:tc>
        <w:tc>
          <w:tcPr>
            <w:tcW w:w="1985" w:type="dxa"/>
            <w:tcBorders>
              <w:left w:val="single" w:sz="4" w:space="0" w:color="auto"/>
            </w:tcBorders>
            <w:shd w:val="clear" w:color="auto" w:fill="auto"/>
            <w:noWrap/>
            <w:vAlign w:val="center"/>
          </w:tcPr>
          <w:p w14:paraId="3FED6F55" w14:textId="77777777" w:rsidR="005741BC" w:rsidRPr="005741BC" w:rsidRDefault="005741BC" w:rsidP="005741BC">
            <w:pPr>
              <w:spacing w:after="0" w:line="240" w:lineRule="auto"/>
              <w:rPr>
                <w:rFonts w:eastAsia="SimSun" w:cs="Times New Roman"/>
                <w:szCs w:val="24"/>
              </w:rPr>
            </w:pPr>
            <w:r w:rsidRPr="005741BC">
              <w:rPr>
                <w:rFonts w:eastAsia="SimSun" w:cs="Times New Roman"/>
                <w:szCs w:val="24"/>
              </w:rPr>
              <w:t>2,078 (40%)</w:t>
            </w:r>
          </w:p>
        </w:tc>
        <w:tc>
          <w:tcPr>
            <w:tcW w:w="1986" w:type="dxa"/>
            <w:tcBorders>
              <w:left w:val="single" w:sz="4" w:space="0" w:color="auto"/>
            </w:tcBorders>
            <w:vAlign w:val="center"/>
          </w:tcPr>
          <w:p w14:paraId="12D4F2CA" w14:textId="5C7EC5F5" w:rsidR="005741BC" w:rsidRPr="005741BC" w:rsidRDefault="00F66F4D" w:rsidP="005741BC">
            <w:pPr>
              <w:spacing w:after="0" w:line="240" w:lineRule="auto"/>
              <w:rPr>
                <w:rFonts w:eastAsia="SimSun" w:cs="Times New Roman"/>
                <w:szCs w:val="24"/>
              </w:rPr>
            </w:pPr>
            <w:r>
              <w:rPr>
                <w:rFonts w:eastAsia="SimSun" w:cs="Times New Roman"/>
                <w:szCs w:val="24"/>
              </w:rPr>
              <w:t>6,314</w:t>
            </w:r>
            <w:r w:rsidR="005741BC" w:rsidRPr="005741BC">
              <w:rPr>
                <w:rFonts w:eastAsia="SimSun" w:cs="Times New Roman"/>
                <w:szCs w:val="24"/>
              </w:rPr>
              <w:t xml:space="preserve"> (44%)</w:t>
            </w:r>
          </w:p>
        </w:tc>
      </w:tr>
      <w:tr w:rsidR="005741BC" w:rsidRPr="005741BC" w14:paraId="69A1CB7B" w14:textId="77777777" w:rsidTr="00285BA0">
        <w:trPr>
          <w:trHeight w:val="300"/>
        </w:trPr>
        <w:tc>
          <w:tcPr>
            <w:tcW w:w="4287" w:type="dxa"/>
            <w:tcBorders>
              <w:left w:val="nil"/>
              <w:bottom w:val="dotted" w:sz="4" w:space="0" w:color="auto"/>
              <w:right w:val="single" w:sz="4" w:space="0" w:color="auto"/>
            </w:tcBorders>
            <w:shd w:val="clear" w:color="auto" w:fill="auto"/>
            <w:noWrap/>
            <w:vAlign w:val="center"/>
          </w:tcPr>
          <w:p w14:paraId="68D4BF53" w14:textId="77777777"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Both</w:t>
            </w:r>
          </w:p>
        </w:tc>
        <w:tc>
          <w:tcPr>
            <w:tcW w:w="1985" w:type="dxa"/>
            <w:tcBorders>
              <w:left w:val="single" w:sz="4" w:space="0" w:color="auto"/>
              <w:bottom w:val="dotted" w:sz="4" w:space="0" w:color="auto"/>
            </w:tcBorders>
            <w:shd w:val="clear" w:color="auto" w:fill="auto"/>
            <w:noWrap/>
            <w:vAlign w:val="center"/>
          </w:tcPr>
          <w:p w14:paraId="44BCBE00" w14:textId="77777777" w:rsidR="005741BC" w:rsidRPr="005741BC" w:rsidRDefault="005741BC" w:rsidP="005741BC">
            <w:pPr>
              <w:spacing w:after="0" w:line="240" w:lineRule="auto"/>
              <w:rPr>
                <w:rFonts w:eastAsia="SimSun" w:cs="Times New Roman"/>
                <w:szCs w:val="24"/>
              </w:rPr>
            </w:pPr>
            <w:r w:rsidRPr="005741BC">
              <w:rPr>
                <w:rFonts w:eastAsia="SimSun" w:cs="Times New Roman"/>
                <w:szCs w:val="24"/>
              </w:rPr>
              <w:t>196 (4%)</w:t>
            </w:r>
          </w:p>
        </w:tc>
        <w:tc>
          <w:tcPr>
            <w:tcW w:w="1986" w:type="dxa"/>
            <w:tcBorders>
              <w:left w:val="single" w:sz="4" w:space="0" w:color="auto"/>
              <w:bottom w:val="dotted" w:sz="4" w:space="0" w:color="auto"/>
            </w:tcBorders>
            <w:vAlign w:val="center"/>
          </w:tcPr>
          <w:p w14:paraId="17D1E097" w14:textId="35656CC6" w:rsidR="005741BC" w:rsidRPr="005741BC" w:rsidRDefault="00F66F4D" w:rsidP="005741BC">
            <w:pPr>
              <w:spacing w:after="0" w:line="240" w:lineRule="auto"/>
              <w:rPr>
                <w:rFonts w:eastAsia="SimSun" w:cs="Times New Roman"/>
                <w:szCs w:val="24"/>
              </w:rPr>
            </w:pPr>
            <w:r>
              <w:rPr>
                <w:rFonts w:eastAsia="SimSun" w:cs="Times New Roman"/>
                <w:szCs w:val="24"/>
              </w:rPr>
              <w:t>770</w:t>
            </w:r>
            <w:r w:rsidR="005741BC" w:rsidRPr="005741BC">
              <w:rPr>
                <w:rFonts w:eastAsia="SimSun" w:cs="Times New Roman"/>
                <w:szCs w:val="24"/>
              </w:rPr>
              <w:t xml:space="preserve"> (5%)</w:t>
            </w:r>
          </w:p>
        </w:tc>
      </w:tr>
      <w:tr w:rsidR="00545AF1" w:rsidRPr="005741BC" w14:paraId="2638B02C" w14:textId="77777777" w:rsidTr="00285BA0">
        <w:trPr>
          <w:trHeight w:val="300"/>
        </w:trPr>
        <w:tc>
          <w:tcPr>
            <w:tcW w:w="4287" w:type="dxa"/>
            <w:tcBorders>
              <w:top w:val="dotted" w:sz="4" w:space="0" w:color="auto"/>
              <w:left w:val="nil"/>
              <w:right w:val="single" w:sz="4" w:space="0" w:color="auto"/>
            </w:tcBorders>
            <w:shd w:val="clear" w:color="auto" w:fill="auto"/>
            <w:noWrap/>
            <w:vAlign w:val="center"/>
          </w:tcPr>
          <w:p w14:paraId="0E362A7B" w14:textId="3F5DFA68" w:rsidR="00545AF1" w:rsidRPr="005741BC" w:rsidRDefault="00545AF1" w:rsidP="00285BA0">
            <w:pPr>
              <w:spacing w:after="0" w:line="240" w:lineRule="auto"/>
              <w:rPr>
                <w:rFonts w:eastAsia="Times New Roman" w:cs="Times New Roman"/>
              </w:rPr>
            </w:pPr>
            <w:r>
              <w:rPr>
                <w:rFonts w:eastAsia="Times New Roman" w:cs="Times New Roman"/>
              </w:rPr>
              <w:t xml:space="preserve">Financial year of diagnosis </w:t>
            </w:r>
          </w:p>
        </w:tc>
        <w:tc>
          <w:tcPr>
            <w:tcW w:w="1985" w:type="dxa"/>
            <w:tcBorders>
              <w:top w:val="dotted" w:sz="4" w:space="0" w:color="auto"/>
              <w:left w:val="single" w:sz="4" w:space="0" w:color="auto"/>
            </w:tcBorders>
            <w:shd w:val="clear" w:color="auto" w:fill="auto"/>
            <w:noWrap/>
            <w:vAlign w:val="center"/>
          </w:tcPr>
          <w:p w14:paraId="4F087B63" w14:textId="77777777" w:rsidR="00545AF1" w:rsidRPr="005741BC" w:rsidRDefault="00545AF1" w:rsidP="005741BC">
            <w:pPr>
              <w:spacing w:after="0" w:line="240" w:lineRule="auto"/>
              <w:rPr>
                <w:rFonts w:eastAsia="SimSun" w:cs="Times New Roman"/>
                <w:szCs w:val="24"/>
              </w:rPr>
            </w:pPr>
          </w:p>
        </w:tc>
        <w:tc>
          <w:tcPr>
            <w:tcW w:w="1986" w:type="dxa"/>
            <w:tcBorders>
              <w:top w:val="dotted" w:sz="4" w:space="0" w:color="auto"/>
              <w:left w:val="single" w:sz="4" w:space="0" w:color="auto"/>
            </w:tcBorders>
            <w:vAlign w:val="center"/>
          </w:tcPr>
          <w:p w14:paraId="1372627A" w14:textId="77777777" w:rsidR="00545AF1" w:rsidRPr="005741BC" w:rsidRDefault="00545AF1" w:rsidP="005741BC">
            <w:pPr>
              <w:spacing w:after="0" w:line="240" w:lineRule="auto"/>
              <w:rPr>
                <w:rFonts w:eastAsia="SimSun" w:cs="Times New Roman"/>
                <w:szCs w:val="24"/>
              </w:rPr>
            </w:pPr>
          </w:p>
        </w:tc>
      </w:tr>
      <w:tr w:rsidR="00545AF1" w:rsidRPr="005741BC" w14:paraId="60BE4819" w14:textId="77777777" w:rsidTr="00545AF1">
        <w:trPr>
          <w:trHeight w:val="300"/>
        </w:trPr>
        <w:tc>
          <w:tcPr>
            <w:tcW w:w="4287" w:type="dxa"/>
            <w:tcBorders>
              <w:left w:val="nil"/>
              <w:right w:val="single" w:sz="4" w:space="0" w:color="auto"/>
            </w:tcBorders>
            <w:shd w:val="clear" w:color="auto" w:fill="auto"/>
            <w:noWrap/>
            <w:vAlign w:val="center"/>
          </w:tcPr>
          <w:p w14:paraId="2ECF35B9" w14:textId="2BBB4698" w:rsidR="00545AF1" w:rsidRPr="005741BC" w:rsidRDefault="00545AF1" w:rsidP="005741BC">
            <w:pPr>
              <w:spacing w:after="0" w:line="240" w:lineRule="auto"/>
              <w:jc w:val="right"/>
              <w:rPr>
                <w:rFonts w:eastAsia="Times New Roman" w:cs="Times New Roman"/>
              </w:rPr>
            </w:pPr>
            <w:r>
              <w:rPr>
                <w:rFonts w:eastAsia="Times New Roman" w:cs="Times New Roman"/>
              </w:rPr>
              <w:t>2006/07</w:t>
            </w:r>
          </w:p>
        </w:tc>
        <w:tc>
          <w:tcPr>
            <w:tcW w:w="1985" w:type="dxa"/>
            <w:tcBorders>
              <w:left w:val="single" w:sz="4" w:space="0" w:color="auto"/>
            </w:tcBorders>
            <w:shd w:val="clear" w:color="auto" w:fill="auto"/>
            <w:noWrap/>
            <w:vAlign w:val="center"/>
          </w:tcPr>
          <w:p w14:paraId="5E4CC25D" w14:textId="3DE38E7F" w:rsidR="00545AF1" w:rsidRPr="005741BC" w:rsidRDefault="00545AF1" w:rsidP="005741BC">
            <w:pPr>
              <w:spacing w:after="0" w:line="240" w:lineRule="auto"/>
              <w:rPr>
                <w:rFonts w:eastAsia="SimSun" w:cs="Times New Roman"/>
                <w:szCs w:val="24"/>
              </w:rPr>
            </w:pPr>
            <w:r>
              <w:rPr>
                <w:rFonts w:eastAsia="SimSun" w:cs="Times New Roman"/>
                <w:szCs w:val="24"/>
              </w:rPr>
              <w:t>617 (12%)</w:t>
            </w:r>
          </w:p>
        </w:tc>
        <w:tc>
          <w:tcPr>
            <w:tcW w:w="1986" w:type="dxa"/>
            <w:tcBorders>
              <w:left w:val="single" w:sz="4" w:space="0" w:color="auto"/>
            </w:tcBorders>
            <w:vAlign w:val="center"/>
          </w:tcPr>
          <w:p w14:paraId="41C9408D" w14:textId="35F00281" w:rsidR="00545AF1" w:rsidRPr="005741BC" w:rsidRDefault="00F01B6B" w:rsidP="005741BC">
            <w:pPr>
              <w:spacing w:after="0" w:line="240" w:lineRule="auto"/>
              <w:rPr>
                <w:rFonts w:eastAsia="SimSun" w:cs="Times New Roman"/>
                <w:szCs w:val="24"/>
              </w:rPr>
            </w:pPr>
            <w:r>
              <w:rPr>
                <w:rFonts w:eastAsia="SimSun" w:cs="Times New Roman"/>
                <w:szCs w:val="24"/>
              </w:rPr>
              <w:t>3,205</w:t>
            </w:r>
            <w:r w:rsidR="00545AF1">
              <w:rPr>
                <w:rFonts w:eastAsia="SimSun" w:cs="Times New Roman"/>
                <w:szCs w:val="24"/>
              </w:rPr>
              <w:t xml:space="preserve"> (22%)</w:t>
            </w:r>
          </w:p>
        </w:tc>
      </w:tr>
      <w:tr w:rsidR="00545AF1" w:rsidRPr="005741BC" w14:paraId="61F2678B" w14:textId="77777777" w:rsidTr="00285BA0">
        <w:trPr>
          <w:trHeight w:val="300"/>
        </w:trPr>
        <w:tc>
          <w:tcPr>
            <w:tcW w:w="4287" w:type="dxa"/>
            <w:tcBorders>
              <w:left w:val="nil"/>
              <w:right w:val="single" w:sz="4" w:space="0" w:color="auto"/>
            </w:tcBorders>
            <w:shd w:val="clear" w:color="auto" w:fill="auto"/>
            <w:noWrap/>
            <w:vAlign w:val="center"/>
          </w:tcPr>
          <w:p w14:paraId="7A1120A3" w14:textId="2CA52789" w:rsidR="00545AF1" w:rsidRPr="005741BC" w:rsidRDefault="00545AF1" w:rsidP="005741BC">
            <w:pPr>
              <w:spacing w:after="0" w:line="240" w:lineRule="auto"/>
              <w:jc w:val="right"/>
              <w:rPr>
                <w:rFonts w:eastAsia="Times New Roman" w:cs="Times New Roman"/>
              </w:rPr>
            </w:pPr>
            <w:r>
              <w:rPr>
                <w:rFonts w:eastAsia="Times New Roman" w:cs="Times New Roman"/>
              </w:rPr>
              <w:t>2007/08</w:t>
            </w:r>
          </w:p>
        </w:tc>
        <w:tc>
          <w:tcPr>
            <w:tcW w:w="1985" w:type="dxa"/>
            <w:tcBorders>
              <w:left w:val="single" w:sz="4" w:space="0" w:color="auto"/>
            </w:tcBorders>
            <w:shd w:val="clear" w:color="auto" w:fill="auto"/>
            <w:noWrap/>
            <w:vAlign w:val="center"/>
          </w:tcPr>
          <w:p w14:paraId="7E1E17FB" w14:textId="165C55CA" w:rsidR="00545AF1" w:rsidRPr="005741BC" w:rsidRDefault="00545AF1" w:rsidP="005741BC">
            <w:pPr>
              <w:spacing w:after="0" w:line="240" w:lineRule="auto"/>
              <w:rPr>
                <w:rFonts w:eastAsia="SimSun" w:cs="Times New Roman"/>
                <w:szCs w:val="24"/>
              </w:rPr>
            </w:pPr>
            <w:r>
              <w:rPr>
                <w:rFonts w:eastAsia="SimSun" w:cs="Times New Roman"/>
                <w:szCs w:val="24"/>
              </w:rPr>
              <w:t>523 (10%)</w:t>
            </w:r>
          </w:p>
        </w:tc>
        <w:tc>
          <w:tcPr>
            <w:tcW w:w="1986" w:type="dxa"/>
            <w:tcBorders>
              <w:left w:val="single" w:sz="4" w:space="0" w:color="auto"/>
            </w:tcBorders>
            <w:vAlign w:val="center"/>
          </w:tcPr>
          <w:p w14:paraId="638AE14E" w14:textId="02ED086E" w:rsidR="00545AF1" w:rsidRPr="005741BC" w:rsidRDefault="00F01B6B" w:rsidP="005741BC">
            <w:pPr>
              <w:spacing w:after="0" w:line="240" w:lineRule="auto"/>
              <w:rPr>
                <w:rFonts w:eastAsia="SimSun" w:cs="Times New Roman"/>
                <w:szCs w:val="24"/>
              </w:rPr>
            </w:pPr>
            <w:r>
              <w:rPr>
                <w:rFonts w:eastAsia="SimSun" w:cs="Times New Roman"/>
                <w:szCs w:val="24"/>
              </w:rPr>
              <w:t>2,381</w:t>
            </w:r>
            <w:r w:rsidR="00545AF1">
              <w:rPr>
                <w:rFonts w:eastAsia="SimSun" w:cs="Times New Roman"/>
                <w:szCs w:val="24"/>
              </w:rPr>
              <w:t xml:space="preserve"> (17%)</w:t>
            </w:r>
          </w:p>
        </w:tc>
      </w:tr>
      <w:tr w:rsidR="00545AF1" w:rsidRPr="005741BC" w14:paraId="4D346213" w14:textId="77777777" w:rsidTr="00285BA0">
        <w:trPr>
          <w:trHeight w:val="300"/>
        </w:trPr>
        <w:tc>
          <w:tcPr>
            <w:tcW w:w="4287" w:type="dxa"/>
            <w:tcBorders>
              <w:left w:val="nil"/>
              <w:right w:val="single" w:sz="4" w:space="0" w:color="auto"/>
            </w:tcBorders>
            <w:shd w:val="clear" w:color="auto" w:fill="auto"/>
            <w:noWrap/>
            <w:vAlign w:val="center"/>
          </w:tcPr>
          <w:p w14:paraId="4D7ABC36" w14:textId="1356604C" w:rsidR="00545AF1" w:rsidRPr="005741BC" w:rsidRDefault="00545AF1" w:rsidP="005741BC">
            <w:pPr>
              <w:spacing w:after="0" w:line="240" w:lineRule="auto"/>
              <w:jc w:val="right"/>
              <w:rPr>
                <w:rFonts w:eastAsia="Times New Roman" w:cs="Times New Roman"/>
              </w:rPr>
            </w:pPr>
            <w:r>
              <w:rPr>
                <w:rFonts w:eastAsia="Times New Roman" w:cs="Times New Roman"/>
              </w:rPr>
              <w:t>2008/09</w:t>
            </w:r>
          </w:p>
        </w:tc>
        <w:tc>
          <w:tcPr>
            <w:tcW w:w="1985" w:type="dxa"/>
            <w:tcBorders>
              <w:left w:val="single" w:sz="4" w:space="0" w:color="auto"/>
            </w:tcBorders>
            <w:shd w:val="clear" w:color="auto" w:fill="auto"/>
            <w:noWrap/>
            <w:vAlign w:val="center"/>
          </w:tcPr>
          <w:p w14:paraId="789340C0" w14:textId="6366DF88" w:rsidR="00545AF1" w:rsidRPr="005741BC" w:rsidRDefault="00545AF1" w:rsidP="005741BC">
            <w:pPr>
              <w:spacing w:after="0" w:line="240" w:lineRule="auto"/>
              <w:rPr>
                <w:rFonts w:eastAsia="SimSun" w:cs="Times New Roman"/>
                <w:szCs w:val="24"/>
              </w:rPr>
            </w:pPr>
            <w:r>
              <w:rPr>
                <w:rFonts w:eastAsia="SimSun" w:cs="Times New Roman"/>
                <w:szCs w:val="24"/>
              </w:rPr>
              <w:t>573 (11%)</w:t>
            </w:r>
          </w:p>
        </w:tc>
        <w:tc>
          <w:tcPr>
            <w:tcW w:w="1986" w:type="dxa"/>
            <w:tcBorders>
              <w:left w:val="single" w:sz="4" w:space="0" w:color="auto"/>
            </w:tcBorders>
            <w:vAlign w:val="center"/>
          </w:tcPr>
          <w:p w14:paraId="4427FD7C" w14:textId="06F330A1" w:rsidR="00545AF1" w:rsidRPr="005741BC" w:rsidRDefault="00F01B6B" w:rsidP="005741BC">
            <w:pPr>
              <w:spacing w:after="0" w:line="240" w:lineRule="auto"/>
              <w:rPr>
                <w:rFonts w:eastAsia="SimSun" w:cs="Times New Roman"/>
                <w:szCs w:val="24"/>
              </w:rPr>
            </w:pPr>
            <w:r>
              <w:rPr>
                <w:rFonts w:eastAsia="SimSun" w:cs="Times New Roman"/>
                <w:szCs w:val="24"/>
              </w:rPr>
              <w:t>2,269</w:t>
            </w:r>
            <w:r w:rsidR="00545AF1">
              <w:rPr>
                <w:rFonts w:eastAsia="SimSun" w:cs="Times New Roman"/>
                <w:szCs w:val="24"/>
              </w:rPr>
              <w:t xml:space="preserve"> (16%)</w:t>
            </w:r>
          </w:p>
        </w:tc>
      </w:tr>
      <w:tr w:rsidR="00545AF1" w:rsidRPr="005741BC" w14:paraId="2DFC9B6A" w14:textId="77777777" w:rsidTr="00285BA0">
        <w:trPr>
          <w:trHeight w:val="300"/>
        </w:trPr>
        <w:tc>
          <w:tcPr>
            <w:tcW w:w="4287" w:type="dxa"/>
            <w:tcBorders>
              <w:left w:val="nil"/>
              <w:right w:val="single" w:sz="4" w:space="0" w:color="auto"/>
            </w:tcBorders>
            <w:shd w:val="clear" w:color="auto" w:fill="auto"/>
            <w:noWrap/>
            <w:vAlign w:val="center"/>
          </w:tcPr>
          <w:p w14:paraId="5078C526" w14:textId="55A80A8F" w:rsidR="00545AF1" w:rsidRPr="005741BC" w:rsidRDefault="00545AF1" w:rsidP="005741BC">
            <w:pPr>
              <w:spacing w:after="0" w:line="240" w:lineRule="auto"/>
              <w:jc w:val="right"/>
              <w:rPr>
                <w:rFonts w:eastAsia="Times New Roman" w:cs="Times New Roman"/>
              </w:rPr>
            </w:pPr>
            <w:r>
              <w:rPr>
                <w:rFonts w:eastAsia="Times New Roman" w:cs="Times New Roman"/>
              </w:rPr>
              <w:t>2009/10</w:t>
            </w:r>
          </w:p>
        </w:tc>
        <w:tc>
          <w:tcPr>
            <w:tcW w:w="1985" w:type="dxa"/>
            <w:tcBorders>
              <w:left w:val="single" w:sz="4" w:space="0" w:color="auto"/>
            </w:tcBorders>
            <w:shd w:val="clear" w:color="auto" w:fill="auto"/>
            <w:noWrap/>
            <w:vAlign w:val="center"/>
          </w:tcPr>
          <w:p w14:paraId="443020C4" w14:textId="6A42D6F9" w:rsidR="00545AF1" w:rsidRPr="005741BC" w:rsidRDefault="00545AF1" w:rsidP="005741BC">
            <w:pPr>
              <w:spacing w:after="0" w:line="240" w:lineRule="auto"/>
              <w:rPr>
                <w:rFonts w:eastAsia="SimSun" w:cs="Times New Roman"/>
                <w:szCs w:val="24"/>
              </w:rPr>
            </w:pPr>
            <w:r>
              <w:rPr>
                <w:rFonts w:eastAsia="SimSun" w:cs="Times New Roman"/>
                <w:szCs w:val="24"/>
              </w:rPr>
              <w:t>619 (12)</w:t>
            </w:r>
          </w:p>
        </w:tc>
        <w:tc>
          <w:tcPr>
            <w:tcW w:w="1986" w:type="dxa"/>
            <w:tcBorders>
              <w:left w:val="single" w:sz="4" w:space="0" w:color="auto"/>
            </w:tcBorders>
            <w:vAlign w:val="center"/>
          </w:tcPr>
          <w:p w14:paraId="0565D081" w14:textId="61DFECBD" w:rsidR="00545AF1" w:rsidRPr="005741BC" w:rsidRDefault="00F01B6B" w:rsidP="005741BC">
            <w:pPr>
              <w:spacing w:after="0" w:line="240" w:lineRule="auto"/>
              <w:rPr>
                <w:rFonts w:eastAsia="SimSun" w:cs="Times New Roman"/>
                <w:szCs w:val="24"/>
              </w:rPr>
            </w:pPr>
            <w:r>
              <w:rPr>
                <w:rFonts w:eastAsia="SimSun" w:cs="Times New Roman"/>
                <w:szCs w:val="24"/>
              </w:rPr>
              <w:t>2,084</w:t>
            </w:r>
            <w:r w:rsidR="00545AF1">
              <w:rPr>
                <w:rFonts w:eastAsia="SimSun" w:cs="Times New Roman"/>
                <w:szCs w:val="24"/>
              </w:rPr>
              <w:t xml:space="preserve"> (14%)</w:t>
            </w:r>
          </w:p>
        </w:tc>
      </w:tr>
      <w:tr w:rsidR="00545AF1" w:rsidRPr="005741BC" w14:paraId="53B280B0" w14:textId="77777777" w:rsidTr="00285BA0">
        <w:trPr>
          <w:trHeight w:val="300"/>
        </w:trPr>
        <w:tc>
          <w:tcPr>
            <w:tcW w:w="4287" w:type="dxa"/>
            <w:tcBorders>
              <w:left w:val="nil"/>
              <w:right w:val="single" w:sz="4" w:space="0" w:color="auto"/>
            </w:tcBorders>
            <w:shd w:val="clear" w:color="auto" w:fill="auto"/>
            <w:noWrap/>
            <w:vAlign w:val="center"/>
          </w:tcPr>
          <w:p w14:paraId="7EFEA994" w14:textId="22946526" w:rsidR="00545AF1" w:rsidRPr="005741BC" w:rsidRDefault="00545AF1" w:rsidP="005741BC">
            <w:pPr>
              <w:spacing w:after="0" w:line="240" w:lineRule="auto"/>
              <w:jc w:val="right"/>
              <w:rPr>
                <w:rFonts w:eastAsia="Times New Roman" w:cs="Times New Roman"/>
              </w:rPr>
            </w:pPr>
            <w:r>
              <w:rPr>
                <w:rFonts w:eastAsia="Times New Roman" w:cs="Times New Roman"/>
              </w:rPr>
              <w:t>2010/11</w:t>
            </w:r>
          </w:p>
        </w:tc>
        <w:tc>
          <w:tcPr>
            <w:tcW w:w="1985" w:type="dxa"/>
            <w:tcBorders>
              <w:left w:val="single" w:sz="4" w:space="0" w:color="auto"/>
            </w:tcBorders>
            <w:shd w:val="clear" w:color="auto" w:fill="auto"/>
            <w:noWrap/>
            <w:vAlign w:val="center"/>
          </w:tcPr>
          <w:p w14:paraId="0ABCA135" w14:textId="300E43A7" w:rsidR="00545AF1" w:rsidRPr="005741BC" w:rsidRDefault="00545AF1" w:rsidP="005741BC">
            <w:pPr>
              <w:spacing w:after="0" w:line="240" w:lineRule="auto"/>
              <w:rPr>
                <w:rFonts w:eastAsia="SimSun" w:cs="Times New Roman"/>
                <w:szCs w:val="24"/>
              </w:rPr>
            </w:pPr>
            <w:r>
              <w:rPr>
                <w:rFonts w:eastAsia="SimSun" w:cs="Times New Roman"/>
                <w:szCs w:val="24"/>
              </w:rPr>
              <w:t>607 (12%)</w:t>
            </w:r>
          </w:p>
        </w:tc>
        <w:tc>
          <w:tcPr>
            <w:tcW w:w="1986" w:type="dxa"/>
            <w:tcBorders>
              <w:left w:val="single" w:sz="4" w:space="0" w:color="auto"/>
            </w:tcBorders>
            <w:vAlign w:val="center"/>
          </w:tcPr>
          <w:p w14:paraId="01812D46" w14:textId="4676A5F7" w:rsidR="00545AF1" w:rsidRPr="005741BC" w:rsidRDefault="00F01B6B" w:rsidP="005741BC">
            <w:pPr>
              <w:spacing w:after="0" w:line="240" w:lineRule="auto"/>
              <w:rPr>
                <w:rFonts w:eastAsia="SimSun" w:cs="Times New Roman"/>
                <w:szCs w:val="24"/>
              </w:rPr>
            </w:pPr>
            <w:r>
              <w:rPr>
                <w:rFonts w:eastAsia="SimSun" w:cs="Times New Roman"/>
                <w:szCs w:val="24"/>
              </w:rPr>
              <w:t>1,611</w:t>
            </w:r>
            <w:r w:rsidR="00545AF1">
              <w:rPr>
                <w:rFonts w:eastAsia="SimSun" w:cs="Times New Roman"/>
                <w:szCs w:val="24"/>
              </w:rPr>
              <w:t xml:space="preserve"> (11%)</w:t>
            </w:r>
          </w:p>
        </w:tc>
      </w:tr>
      <w:tr w:rsidR="00545AF1" w:rsidRPr="005741BC" w14:paraId="0E9CF1E8" w14:textId="77777777" w:rsidTr="00285BA0">
        <w:trPr>
          <w:trHeight w:val="300"/>
        </w:trPr>
        <w:tc>
          <w:tcPr>
            <w:tcW w:w="4287" w:type="dxa"/>
            <w:tcBorders>
              <w:left w:val="nil"/>
              <w:right w:val="single" w:sz="4" w:space="0" w:color="auto"/>
            </w:tcBorders>
            <w:shd w:val="clear" w:color="auto" w:fill="auto"/>
            <w:noWrap/>
            <w:vAlign w:val="center"/>
          </w:tcPr>
          <w:p w14:paraId="38B3EA2C" w14:textId="165D60D1" w:rsidR="00545AF1" w:rsidRPr="005741BC" w:rsidRDefault="00545AF1" w:rsidP="005741BC">
            <w:pPr>
              <w:spacing w:after="0" w:line="240" w:lineRule="auto"/>
              <w:jc w:val="right"/>
              <w:rPr>
                <w:rFonts w:eastAsia="Times New Roman" w:cs="Times New Roman"/>
              </w:rPr>
            </w:pPr>
            <w:r>
              <w:rPr>
                <w:rFonts w:eastAsia="Times New Roman" w:cs="Times New Roman"/>
              </w:rPr>
              <w:t>2011/12</w:t>
            </w:r>
          </w:p>
        </w:tc>
        <w:tc>
          <w:tcPr>
            <w:tcW w:w="1985" w:type="dxa"/>
            <w:tcBorders>
              <w:left w:val="single" w:sz="4" w:space="0" w:color="auto"/>
            </w:tcBorders>
            <w:shd w:val="clear" w:color="auto" w:fill="auto"/>
            <w:noWrap/>
            <w:vAlign w:val="center"/>
          </w:tcPr>
          <w:p w14:paraId="692B79BE" w14:textId="72752C41" w:rsidR="00545AF1" w:rsidRPr="005741BC" w:rsidRDefault="00545AF1" w:rsidP="005741BC">
            <w:pPr>
              <w:spacing w:after="0" w:line="240" w:lineRule="auto"/>
              <w:rPr>
                <w:rFonts w:eastAsia="SimSun" w:cs="Times New Roman"/>
                <w:szCs w:val="24"/>
              </w:rPr>
            </w:pPr>
            <w:r>
              <w:rPr>
                <w:rFonts w:eastAsia="SimSun" w:cs="Times New Roman"/>
                <w:szCs w:val="24"/>
              </w:rPr>
              <w:t>734 (14%)</w:t>
            </w:r>
          </w:p>
        </w:tc>
        <w:tc>
          <w:tcPr>
            <w:tcW w:w="1986" w:type="dxa"/>
            <w:tcBorders>
              <w:left w:val="single" w:sz="4" w:space="0" w:color="auto"/>
            </w:tcBorders>
            <w:vAlign w:val="center"/>
          </w:tcPr>
          <w:p w14:paraId="43EA4D1C" w14:textId="6E0A1017" w:rsidR="00545AF1" w:rsidRPr="005741BC" w:rsidRDefault="00F01B6B" w:rsidP="005741BC">
            <w:pPr>
              <w:spacing w:after="0" w:line="240" w:lineRule="auto"/>
              <w:rPr>
                <w:rFonts w:eastAsia="SimSun" w:cs="Times New Roman"/>
                <w:szCs w:val="24"/>
              </w:rPr>
            </w:pPr>
            <w:r>
              <w:rPr>
                <w:rFonts w:eastAsia="SimSun" w:cs="Times New Roman"/>
                <w:szCs w:val="24"/>
              </w:rPr>
              <w:t xml:space="preserve">1,528 </w:t>
            </w:r>
            <w:r w:rsidR="00545AF1">
              <w:rPr>
                <w:rFonts w:eastAsia="SimSun" w:cs="Times New Roman"/>
                <w:szCs w:val="24"/>
              </w:rPr>
              <w:t>(11%)</w:t>
            </w:r>
          </w:p>
        </w:tc>
      </w:tr>
      <w:tr w:rsidR="00545AF1" w:rsidRPr="005741BC" w14:paraId="720E0755" w14:textId="77777777" w:rsidTr="00285BA0">
        <w:trPr>
          <w:trHeight w:val="300"/>
        </w:trPr>
        <w:tc>
          <w:tcPr>
            <w:tcW w:w="4287" w:type="dxa"/>
            <w:tcBorders>
              <w:left w:val="nil"/>
              <w:right w:val="single" w:sz="4" w:space="0" w:color="auto"/>
            </w:tcBorders>
            <w:shd w:val="clear" w:color="auto" w:fill="auto"/>
            <w:noWrap/>
            <w:vAlign w:val="center"/>
          </w:tcPr>
          <w:p w14:paraId="04927EE2" w14:textId="5F0D3DF7" w:rsidR="00545AF1" w:rsidRPr="005741BC" w:rsidRDefault="00545AF1" w:rsidP="005741BC">
            <w:pPr>
              <w:spacing w:after="0" w:line="240" w:lineRule="auto"/>
              <w:jc w:val="right"/>
              <w:rPr>
                <w:rFonts w:eastAsia="Times New Roman" w:cs="Times New Roman"/>
              </w:rPr>
            </w:pPr>
            <w:r>
              <w:rPr>
                <w:rFonts w:eastAsia="Times New Roman" w:cs="Times New Roman"/>
              </w:rPr>
              <w:t>2012/13</w:t>
            </w:r>
          </w:p>
        </w:tc>
        <w:tc>
          <w:tcPr>
            <w:tcW w:w="1985" w:type="dxa"/>
            <w:tcBorders>
              <w:left w:val="single" w:sz="4" w:space="0" w:color="auto"/>
            </w:tcBorders>
            <w:shd w:val="clear" w:color="auto" w:fill="auto"/>
            <w:noWrap/>
            <w:vAlign w:val="center"/>
          </w:tcPr>
          <w:p w14:paraId="031A4646" w14:textId="485E0664" w:rsidR="00545AF1" w:rsidRPr="005741BC" w:rsidRDefault="00545AF1" w:rsidP="005741BC">
            <w:pPr>
              <w:spacing w:after="0" w:line="240" w:lineRule="auto"/>
              <w:rPr>
                <w:rFonts w:eastAsia="SimSun" w:cs="Times New Roman"/>
                <w:szCs w:val="24"/>
              </w:rPr>
            </w:pPr>
            <w:r>
              <w:rPr>
                <w:rFonts w:eastAsia="SimSun" w:cs="Times New Roman"/>
                <w:szCs w:val="24"/>
              </w:rPr>
              <w:t>732 (14%)</w:t>
            </w:r>
          </w:p>
        </w:tc>
        <w:tc>
          <w:tcPr>
            <w:tcW w:w="1986" w:type="dxa"/>
            <w:tcBorders>
              <w:left w:val="single" w:sz="4" w:space="0" w:color="auto"/>
            </w:tcBorders>
            <w:vAlign w:val="center"/>
          </w:tcPr>
          <w:p w14:paraId="22069850" w14:textId="58E798A8" w:rsidR="00545AF1" w:rsidRPr="005741BC" w:rsidRDefault="00F01B6B" w:rsidP="005741BC">
            <w:pPr>
              <w:spacing w:after="0" w:line="240" w:lineRule="auto"/>
              <w:rPr>
                <w:rFonts w:eastAsia="SimSun" w:cs="Times New Roman"/>
                <w:szCs w:val="24"/>
              </w:rPr>
            </w:pPr>
            <w:r>
              <w:rPr>
                <w:rFonts w:eastAsia="SimSun" w:cs="Times New Roman"/>
                <w:szCs w:val="24"/>
              </w:rPr>
              <w:t>969</w:t>
            </w:r>
            <w:r w:rsidR="00545AF1">
              <w:rPr>
                <w:rFonts w:eastAsia="SimSun" w:cs="Times New Roman"/>
                <w:szCs w:val="24"/>
              </w:rPr>
              <w:t xml:space="preserve"> (7%)</w:t>
            </w:r>
          </w:p>
        </w:tc>
      </w:tr>
      <w:tr w:rsidR="00545AF1" w:rsidRPr="005741BC" w14:paraId="117C315F" w14:textId="77777777" w:rsidTr="005741BC">
        <w:trPr>
          <w:trHeight w:val="300"/>
        </w:trPr>
        <w:tc>
          <w:tcPr>
            <w:tcW w:w="4287" w:type="dxa"/>
            <w:tcBorders>
              <w:left w:val="nil"/>
              <w:bottom w:val="dotted" w:sz="4" w:space="0" w:color="auto"/>
              <w:right w:val="single" w:sz="4" w:space="0" w:color="auto"/>
            </w:tcBorders>
            <w:shd w:val="clear" w:color="auto" w:fill="auto"/>
            <w:noWrap/>
            <w:vAlign w:val="center"/>
          </w:tcPr>
          <w:p w14:paraId="3AFFCD50" w14:textId="1B321CC1" w:rsidR="00545AF1" w:rsidRPr="005741BC" w:rsidRDefault="00545AF1" w:rsidP="005741BC">
            <w:pPr>
              <w:spacing w:after="0" w:line="240" w:lineRule="auto"/>
              <w:jc w:val="right"/>
              <w:rPr>
                <w:rFonts w:eastAsia="Times New Roman" w:cs="Times New Roman"/>
              </w:rPr>
            </w:pPr>
            <w:r>
              <w:rPr>
                <w:rFonts w:eastAsia="Times New Roman" w:cs="Times New Roman"/>
              </w:rPr>
              <w:t>2013/14</w:t>
            </w:r>
          </w:p>
        </w:tc>
        <w:tc>
          <w:tcPr>
            <w:tcW w:w="1985" w:type="dxa"/>
            <w:tcBorders>
              <w:left w:val="single" w:sz="4" w:space="0" w:color="auto"/>
              <w:bottom w:val="dotted" w:sz="4" w:space="0" w:color="auto"/>
            </w:tcBorders>
            <w:shd w:val="clear" w:color="auto" w:fill="auto"/>
            <w:noWrap/>
            <w:vAlign w:val="center"/>
          </w:tcPr>
          <w:p w14:paraId="027446EA" w14:textId="174E9F79" w:rsidR="00545AF1" w:rsidRPr="005741BC" w:rsidRDefault="00545AF1" w:rsidP="005741BC">
            <w:pPr>
              <w:spacing w:after="0" w:line="240" w:lineRule="auto"/>
              <w:rPr>
                <w:rFonts w:eastAsia="SimSun" w:cs="Times New Roman"/>
                <w:szCs w:val="24"/>
              </w:rPr>
            </w:pPr>
            <w:r>
              <w:rPr>
                <w:rFonts w:eastAsia="SimSun" w:cs="Times New Roman"/>
                <w:szCs w:val="24"/>
              </w:rPr>
              <w:t>753 (15%)</w:t>
            </w:r>
          </w:p>
        </w:tc>
        <w:tc>
          <w:tcPr>
            <w:tcW w:w="1986" w:type="dxa"/>
            <w:tcBorders>
              <w:left w:val="single" w:sz="4" w:space="0" w:color="auto"/>
              <w:bottom w:val="dotted" w:sz="4" w:space="0" w:color="auto"/>
            </w:tcBorders>
            <w:vAlign w:val="center"/>
          </w:tcPr>
          <w:p w14:paraId="41D1321C" w14:textId="159582AE" w:rsidR="00545AF1" w:rsidRPr="005741BC" w:rsidRDefault="00F01B6B" w:rsidP="005741BC">
            <w:pPr>
              <w:spacing w:after="0" w:line="240" w:lineRule="auto"/>
              <w:rPr>
                <w:rFonts w:eastAsia="SimSun" w:cs="Times New Roman"/>
                <w:szCs w:val="24"/>
              </w:rPr>
            </w:pPr>
            <w:r>
              <w:rPr>
                <w:rFonts w:eastAsia="SimSun" w:cs="Times New Roman"/>
                <w:szCs w:val="24"/>
              </w:rPr>
              <w:t>330</w:t>
            </w:r>
            <w:r w:rsidR="00545AF1">
              <w:rPr>
                <w:rFonts w:eastAsia="SimSun" w:cs="Times New Roman"/>
                <w:szCs w:val="24"/>
              </w:rPr>
              <w:t xml:space="preserve"> (2%)</w:t>
            </w:r>
          </w:p>
        </w:tc>
      </w:tr>
      <w:tr w:rsidR="005741BC" w:rsidRPr="005741BC" w14:paraId="1A306FEE" w14:textId="77777777" w:rsidTr="005741BC">
        <w:trPr>
          <w:trHeight w:val="300"/>
        </w:trPr>
        <w:tc>
          <w:tcPr>
            <w:tcW w:w="4287" w:type="dxa"/>
            <w:tcBorders>
              <w:top w:val="dotted" w:sz="4" w:space="0" w:color="auto"/>
              <w:left w:val="nil"/>
              <w:right w:val="single" w:sz="4" w:space="0" w:color="auto"/>
            </w:tcBorders>
            <w:shd w:val="clear" w:color="auto" w:fill="auto"/>
            <w:noWrap/>
            <w:vAlign w:val="center"/>
          </w:tcPr>
          <w:p w14:paraId="7F082A96" w14:textId="77777777" w:rsidR="005741BC" w:rsidRPr="005741BC" w:rsidRDefault="005741BC" w:rsidP="005741BC">
            <w:pPr>
              <w:spacing w:after="0" w:line="240" w:lineRule="auto"/>
              <w:rPr>
                <w:rFonts w:eastAsia="Times New Roman" w:cs="Times New Roman"/>
              </w:rPr>
            </w:pPr>
            <w:r w:rsidRPr="005741BC">
              <w:rPr>
                <w:rFonts w:eastAsia="Times New Roman" w:cs="Times New Roman"/>
              </w:rPr>
              <w:t>Care plans (varying over time)^</w:t>
            </w:r>
          </w:p>
        </w:tc>
        <w:tc>
          <w:tcPr>
            <w:tcW w:w="1985" w:type="dxa"/>
            <w:tcBorders>
              <w:top w:val="dotted" w:sz="4" w:space="0" w:color="auto"/>
              <w:left w:val="single" w:sz="4" w:space="0" w:color="auto"/>
            </w:tcBorders>
            <w:shd w:val="clear" w:color="auto" w:fill="auto"/>
            <w:noWrap/>
            <w:vAlign w:val="center"/>
          </w:tcPr>
          <w:p w14:paraId="7756B4D3" w14:textId="77777777" w:rsidR="005741BC" w:rsidRPr="005741BC" w:rsidRDefault="005741BC" w:rsidP="005741BC">
            <w:pPr>
              <w:spacing w:after="0" w:line="240" w:lineRule="auto"/>
              <w:rPr>
                <w:rFonts w:eastAsia="SimSun" w:cs="Times New Roman"/>
                <w:szCs w:val="24"/>
              </w:rPr>
            </w:pPr>
          </w:p>
        </w:tc>
        <w:tc>
          <w:tcPr>
            <w:tcW w:w="1986" w:type="dxa"/>
            <w:tcBorders>
              <w:top w:val="dotted" w:sz="4" w:space="0" w:color="auto"/>
              <w:left w:val="single" w:sz="4" w:space="0" w:color="auto"/>
            </w:tcBorders>
            <w:vAlign w:val="center"/>
          </w:tcPr>
          <w:p w14:paraId="5463F810" w14:textId="77777777" w:rsidR="005741BC" w:rsidRPr="005741BC" w:rsidRDefault="005741BC" w:rsidP="005741BC">
            <w:pPr>
              <w:spacing w:after="0" w:line="240" w:lineRule="auto"/>
              <w:rPr>
                <w:rFonts w:eastAsia="SimSun" w:cs="Times New Roman"/>
                <w:szCs w:val="24"/>
              </w:rPr>
            </w:pPr>
          </w:p>
        </w:tc>
      </w:tr>
      <w:tr w:rsidR="005741BC" w:rsidRPr="005741BC" w14:paraId="4900A298" w14:textId="77777777" w:rsidTr="005741BC">
        <w:trPr>
          <w:trHeight w:val="300"/>
        </w:trPr>
        <w:tc>
          <w:tcPr>
            <w:tcW w:w="4287" w:type="dxa"/>
            <w:tcBorders>
              <w:left w:val="nil"/>
              <w:right w:val="single" w:sz="4" w:space="0" w:color="auto"/>
            </w:tcBorders>
            <w:shd w:val="clear" w:color="auto" w:fill="auto"/>
            <w:noWrap/>
            <w:vAlign w:val="center"/>
          </w:tcPr>
          <w:p w14:paraId="4F42C970" w14:textId="6F83C6DA"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 xml:space="preserve">Current care plan (in last 12 </w:t>
            </w:r>
            <w:r w:rsidR="00A11062" w:rsidRPr="005741BC">
              <w:rPr>
                <w:rFonts w:eastAsia="Times New Roman" w:cs="Times New Roman"/>
              </w:rPr>
              <w:t>mo.</w:t>
            </w:r>
            <w:r w:rsidRPr="005741BC">
              <w:rPr>
                <w:rFonts w:eastAsia="Times New Roman" w:cs="Times New Roman"/>
              </w:rPr>
              <w:t>)</w:t>
            </w:r>
          </w:p>
        </w:tc>
        <w:tc>
          <w:tcPr>
            <w:tcW w:w="1985" w:type="dxa"/>
            <w:tcBorders>
              <w:left w:val="single" w:sz="4" w:space="0" w:color="auto"/>
            </w:tcBorders>
            <w:shd w:val="clear" w:color="auto" w:fill="auto"/>
            <w:noWrap/>
            <w:vAlign w:val="center"/>
          </w:tcPr>
          <w:p w14:paraId="5036AE92" w14:textId="211F6AAE" w:rsidR="005741BC" w:rsidRPr="005741BC" w:rsidRDefault="005741BC" w:rsidP="005741BC">
            <w:pPr>
              <w:spacing w:after="0" w:line="240" w:lineRule="auto"/>
              <w:rPr>
                <w:rFonts w:eastAsia="SimSun" w:cs="Times New Roman"/>
                <w:szCs w:val="24"/>
              </w:rPr>
            </w:pPr>
          </w:p>
        </w:tc>
        <w:tc>
          <w:tcPr>
            <w:tcW w:w="1986" w:type="dxa"/>
            <w:tcBorders>
              <w:left w:val="single" w:sz="4" w:space="0" w:color="auto"/>
            </w:tcBorders>
            <w:vAlign w:val="center"/>
          </w:tcPr>
          <w:p w14:paraId="5CD3EB8F" w14:textId="31810B15" w:rsidR="005741BC" w:rsidRPr="005741BC" w:rsidRDefault="00F66F4D" w:rsidP="005741BC">
            <w:pPr>
              <w:spacing w:after="0" w:line="240" w:lineRule="auto"/>
              <w:rPr>
                <w:rFonts w:eastAsia="SimSun" w:cs="Times New Roman"/>
                <w:szCs w:val="24"/>
              </w:rPr>
            </w:pPr>
            <w:r>
              <w:rPr>
                <w:rFonts w:eastAsia="SimSun" w:cs="Times New Roman"/>
                <w:szCs w:val="24"/>
              </w:rPr>
              <w:t>5,692</w:t>
            </w:r>
            <w:r w:rsidR="005741BC" w:rsidRPr="005741BC">
              <w:rPr>
                <w:rFonts w:eastAsia="SimSun" w:cs="Times New Roman"/>
                <w:szCs w:val="24"/>
              </w:rPr>
              <w:t xml:space="preserve"> (40%)</w:t>
            </w:r>
          </w:p>
        </w:tc>
      </w:tr>
      <w:tr w:rsidR="005741BC" w:rsidRPr="005741BC" w14:paraId="3808A2F3" w14:textId="77777777" w:rsidTr="005741BC">
        <w:trPr>
          <w:trHeight w:val="300"/>
        </w:trPr>
        <w:tc>
          <w:tcPr>
            <w:tcW w:w="4287" w:type="dxa"/>
            <w:tcBorders>
              <w:left w:val="nil"/>
              <w:right w:val="single" w:sz="4" w:space="0" w:color="auto"/>
            </w:tcBorders>
            <w:shd w:val="clear" w:color="auto" w:fill="auto"/>
            <w:noWrap/>
            <w:vAlign w:val="center"/>
          </w:tcPr>
          <w:p w14:paraId="386A6C4C" w14:textId="4F1B7764"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 xml:space="preserve">Expired care plan (more than 12 </w:t>
            </w:r>
            <w:r w:rsidR="00A11062" w:rsidRPr="005741BC">
              <w:rPr>
                <w:rFonts w:eastAsia="Times New Roman" w:cs="Times New Roman"/>
              </w:rPr>
              <w:t>mo.</w:t>
            </w:r>
            <w:r w:rsidRPr="005741BC">
              <w:rPr>
                <w:rFonts w:eastAsia="Times New Roman" w:cs="Times New Roman"/>
              </w:rPr>
              <w:t xml:space="preserve"> ago)</w:t>
            </w:r>
          </w:p>
        </w:tc>
        <w:tc>
          <w:tcPr>
            <w:tcW w:w="1985" w:type="dxa"/>
            <w:tcBorders>
              <w:left w:val="single" w:sz="4" w:space="0" w:color="auto"/>
            </w:tcBorders>
            <w:shd w:val="clear" w:color="auto" w:fill="auto"/>
            <w:noWrap/>
            <w:vAlign w:val="center"/>
          </w:tcPr>
          <w:p w14:paraId="65C97999" w14:textId="4D4C5AD2" w:rsidR="005741BC" w:rsidRPr="005741BC" w:rsidRDefault="005741BC" w:rsidP="005741BC">
            <w:pPr>
              <w:spacing w:after="0" w:line="240" w:lineRule="auto"/>
              <w:rPr>
                <w:rFonts w:eastAsia="SimSun" w:cs="Times New Roman"/>
                <w:szCs w:val="24"/>
              </w:rPr>
            </w:pPr>
          </w:p>
        </w:tc>
        <w:tc>
          <w:tcPr>
            <w:tcW w:w="1986" w:type="dxa"/>
            <w:tcBorders>
              <w:left w:val="single" w:sz="4" w:space="0" w:color="auto"/>
            </w:tcBorders>
            <w:vAlign w:val="center"/>
          </w:tcPr>
          <w:p w14:paraId="7D4AC230" w14:textId="5BBAE090" w:rsidR="005741BC" w:rsidRPr="005741BC" w:rsidRDefault="00F66F4D" w:rsidP="005741BC">
            <w:pPr>
              <w:spacing w:after="0" w:line="240" w:lineRule="auto"/>
              <w:rPr>
                <w:rFonts w:eastAsia="SimSun" w:cs="Times New Roman"/>
                <w:szCs w:val="24"/>
              </w:rPr>
            </w:pPr>
            <w:r>
              <w:rPr>
                <w:rFonts w:eastAsia="SimSun" w:cs="Times New Roman"/>
                <w:szCs w:val="24"/>
              </w:rPr>
              <w:t>4,004</w:t>
            </w:r>
            <w:r w:rsidR="005741BC" w:rsidRPr="005741BC">
              <w:rPr>
                <w:rFonts w:eastAsia="SimSun" w:cs="Times New Roman"/>
                <w:szCs w:val="24"/>
              </w:rPr>
              <w:t xml:space="preserve"> (28%)</w:t>
            </w:r>
          </w:p>
        </w:tc>
      </w:tr>
      <w:tr w:rsidR="005741BC" w:rsidRPr="005741BC" w14:paraId="056224FE" w14:textId="77777777" w:rsidTr="005741BC">
        <w:trPr>
          <w:trHeight w:val="300"/>
        </w:trPr>
        <w:tc>
          <w:tcPr>
            <w:tcW w:w="4287" w:type="dxa"/>
            <w:tcBorders>
              <w:left w:val="nil"/>
              <w:bottom w:val="dotted" w:sz="4" w:space="0" w:color="auto"/>
              <w:right w:val="single" w:sz="4" w:space="0" w:color="auto"/>
            </w:tcBorders>
            <w:shd w:val="clear" w:color="auto" w:fill="auto"/>
            <w:noWrap/>
            <w:vAlign w:val="center"/>
          </w:tcPr>
          <w:p w14:paraId="3E601354" w14:textId="3E4587D4" w:rsidR="005741BC" w:rsidRPr="00285BA0" w:rsidRDefault="005741BC" w:rsidP="005741BC">
            <w:pPr>
              <w:spacing w:after="0" w:line="240" w:lineRule="auto"/>
              <w:jc w:val="right"/>
              <w:rPr>
                <w:rFonts w:eastAsia="Times New Roman" w:cs="Times New Roman"/>
                <w:vertAlign w:val="superscript"/>
              </w:rPr>
            </w:pPr>
            <w:r w:rsidRPr="005741BC">
              <w:rPr>
                <w:rFonts w:eastAsia="Times New Roman" w:cs="Times New Roman"/>
              </w:rPr>
              <w:t>No care plan at all</w:t>
            </w:r>
          </w:p>
        </w:tc>
        <w:tc>
          <w:tcPr>
            <w:tcW w:w="1985" w:type="dxa"/>
            <w:tcBorders>
              <w:left w:val="single" w:sz="4" w:space="0" w:color="auto"/>
              <w:bottom w:val="dotted" w:sz="4" w:space="0" w:color="auto"/>
            </w:tcBorders>
            <w:shd w:val="clear" w:color="auto" w:fill="auto"/>
            <w:noWrap/>
            <w:vAlign w:val="center"/>
          </w:tcPr>
          <w:p w14:paraId="06D24932" w14:textId="0544FA51" w:rsidR="005741BC" w:rsidRPr="005741BC" w:rsidRDefault="005741BC" w:rsidP="005741BC">
            <w:pPr>
              <w:spacing w:after="0" w:line="240" w:lineRule="auto"/>
              <w:rPr>
                <w:rFonts w:eastAsia="SimSun" w:cs="Times New Roman"/>
                <w:szCs w:val="24"/>
              </w:rPr>
            </w:pPr>
          </w:p>
        </w:tc>
        <w:tc>
          <w:tcPr>
            <w:tcW w:w="1986" w:type="dxa"/>
            <w:tcBorders>
              <w:left w:val="single" w:sz="4" w:space="0" w:color="auto"/>
              <w:bottom w:val="dotted" w:sz="4" w:space="0" w:color="auto"/>
            </w:tcBorders>
            <w:vAlign w:val="center"/>
          </w:tcPr>
          <w:p w14:paraId="4C4EC82C" w14:textId="7F96931E" w:rsidR="005741BC" w:rsidRPr="005741BC" w:rsidRDefault="00F66F4D" w:rsidP="005741BC">
            <w:pPr>
              <w:spacing w:after="0" w:line="240" w:lineRule="auto"/>
              <w:rPr>
                <w:rFonts w:eastAsia="SimSun" w:cs="Times New Roman"/>
                <w:szCs w:val="24"/>
              </w:rPr>
            </w:pPr>
            <w:r>
              <w:rPr>
                <w:rFonts w:eastAsia="SimSun" w:cs="Times New Roman"/>
                <w:szCs w:val="24"/>
              </w:rPr>
              <w:t>4,680</w:t>
            </w:r>
            <w:r w:rsidR="005741BC" w:rsidRPr="005741BC">
              <w:rPr>
                <w:rFonts w:eastAsia="SimSun" w:cs="Times New Roman"/>
                <w:szCs w:val="24"/>
              </w:rPr>
              <w:t xml:space="preserve"> (32%)</w:t>
            </w:r>
          </w:p>
        </w:tc>
      </w:tr>
      <w:tr w:rsidR="005741BC" w:rsidRPr="005741BC" w14:paraId="454CA2F1" w14:textId="77777777" w:rsidTr="005741BC">
        <w:trPr>
          <w:trHeight w:val="300"/>
        </w:trPr>
        <w:tc>
          <w:tcPr>
            <w:tcW w:w="4287" w:type="dxa"/>
            <w:tcBorders>
              <w:top w:val="dotted" w:sz="4" w:space="0" w:color="auto"/>
              <w:left w:val="nil"/>
              <w:right w:val="single" w:sz="4" w:space="0" w:color="auto"/>
            </w:tcBorders>
            <w:shd w:val="clear" w:color="auto" w:fill="auto"/>
            <w:noWrap/>
            <w:vAlign w:val="center"/>
          </w:tcPr>
          <w:p w14:paraId="2131D20F" w14:textId="77777777" w:rsidR="005741BC" w:rsidRPr="005741BC" w:rsidRDefault="005741BC" w:rsidP="005741BC">
            <w:pPr>
              <w:spacing w:after="0" w:line="240" w:lineRule="auto"/>
              <w:rPr>
                <w:rFonts w:eastAsia="Times New Roman" w:cs="Times New Roman"/>
              </w:rPr>
            </w:pPr>
            <w:r w:rsidRPr="005741BC">
              <w:rPr>
                <w:rFonts w:eastAsia="Times New Roman" w:cs="Times New Roman"/>
              </w:rPr>
              <w:t>Annual reviews (varying over time)^</w:t>
            </w:r>
          </w:p>
        </w:tc>
        <w:tc>
          <w:tcPr>
            <w:tcW w:w="1985" w:type="dxa"/>
            <w:tcBorders>
              <w:top w:val="dotted" w:sz="4" w:space="0" w:color="auto"/>
              <w:left w:val="single" w:sz="4" w:space="0" w:color="auto"/>
            </w:tcBorders>
            <w:shd w:val="clear" w:color="auto" w:fill="auto"/>
            <w:noWrap/>
            <w:vAlign w:val="center"/>
          </w:tcPr>
          <w:p w14:paraId="0F543C41" w14:textId="77777777" w:rsidR="005741BC" w:rsidRPr="005741BC" w:rsidRDefault="005741BC" w:rsidP="005741BC">
            <w:pPr>
              <w:spacing w:after="0" w:line="240" w:lineRule="auto"/>
              <w:rPr>
                <w:rFonts w:eastAsia="SimSun" w:cs="Times New Roman"/>
                <w:szCs w:val="24"/>
              </w:rPr>
            </w:pPr>
          </w:p>
        </w:tc>
        <w:tc>
          <w:tcPr>
            <w:tcW w:w="1986" w:type="dxa"/>
            <w:tcBorders>
              <w:top w:val="dotted" w:sz="4" w:space="0" w:color="auto"/>
              <w:left w:val="single" w:sz="4" w:space="0" w:color="auto"/>
            </w:tcBorders>
            <w:vAlign w:val="center"/>
          </w:tcPr>
          <w:p w14:paraId="2D9842EF" w14:textId="77777777" w:rsidR="005741BC" w:rsidRPr="005741BC" w:rsidRDefault="005741BC" w:rsidP="005741BC">
            <w:pPr>
              <w:spacing w:after="0" w:line="240" w:lineRule="auto"/>
              <w:rPr>
                <w:rFonts w:eastAsia="SimSun" w:cs="Times New Roman"/>
                <w:szCs w:val="24"/>
              </w:rPr>
            </w:pPr>
          </w:p>
        </w:tc>
      </w:tr>
      <w:tr w:rsidR="005741BC" w:rsidRPr="005741BC" w14:paraId="4BF3CA00" w14:textId="77777777" w:rsidTr="005741BC">
        <w:trPr>
          <w:trHeight w:val="300"/>
        </w:trPr>
        <w:tc>
          <w:tcPr>
            <w:tcW w:w="4287" w:type="dxa"/>
            <w:tcBorders>
              <w:left w:val="nil"/>
              <w:right w:val="single" w:sz="4" w:space="0" w:color="auto"/>
            </w:tcBorders>
            <w:shd w:val="clear" w:color="auto" w:fill="auto"/>
            <w:noWrap/>
            <w:vAlign w:val="center"/>
          </w:tcPr>
          <w:p w14:paraId="2813C268" w14:textId="464E2722" w:rsidR="005741BC" w:rsidRPr="005741BC" w:rsidRDefault="005741BC" w:rsidP="005741BC">
            <w:pPr>
              <w:spacing w:after="0" w:line="240" w:lineRule="auto"/>
              <w:jc w:val="right"/>
              <w:rPr>
                <w:rFonts w:eastAsia="Times New Roman" w:cs="Times New Roman"/>
              </w:rPr>
            </w:pPr>
            <w:r w:rsidRPr="005741BC">
              <w:rPr>
                <w:rFonts w:eastAsia="Times New Roman" w:cs="Times New Roman"/>
              </w:rPr>
              <w:t xml:space="preserve">Current annual review (in last 12 </w:t>
            </w:r>
            <w:r w:rsidR="00A11062" w:rsidRPr="005741BC">
              <w:rPr>
                <w:rFonts w:eastAsia="Times New Roman" w:cs="Times New Roman"/>
              </w:rPr>
              <w:t>mo.</w:t>
            </w:r>
            <w:r w:rsidRPr="005741BC">
              <w:rPr>
                <w:rFonts w:eastAsia="Times New Roman" w:cs="Times New Roman"/>
              </w:rPr>
              <w:t>)</w:t>
            </w:r>
          </w:p>
        </w:tc>
        <w:tc>
          <w:tcPr>
            <w:tcW w:w="1985" w:type="dxa"/>
            <w:tcBorders>
              <w:left w:val="single" w:sz="4" w:space="0" w:color="auto"/>
            </w:tcBorders>
            <w:shd w:val="clear" w:color="auto" w:fill="auto"/>
            <w:noWrap/>
            <w:vAlign w:val="center"/>
          </w:tcPr>
          <w:p w14:paraId="1915D4DE" w14:textId="4243A89A" w:rsidR="005741BC" w:rsidRPr="005741BC" w:rsidRDefault="005741BC" w:rsidP="005741BC">
            <w:pPr>
              <w:spacing w:after="0" w:line="240" w:lineRule="auto"/>
              <w:rPr>
                <w:rFonts w:eastAsia="SimSun" w:cs="Times New Roman"/>
                <w:szCs w:val="24"/>
              </w:rPr>
            </w:pPr>
          </w:p>
        </w:tc>
        <w:tc>
          <w:tcPr>
            <w:tcW w:w="1986" w:type="dxa"/>
            <w:tcBorders>
              <w:left w:val="single" w:sz="4" w:space="0" w:color="auto"/>
            </w:tcBorders>
            <w:vAlign w:val="center"/>
          </w:tcPr>
          <w:p w14:paraId="75940E41" w14:textId="07748DDA" w:rsidR="005741BC" w:rsidRPr="005741BC" w:rsidRDefault="00F66F4D" w:rsidP="005741BC">
            <w:pPr>
              <w:spacing w:after="0" w:line="240" w:lineRule="auto"/>
              <w:rPr>
                <w:rFonts w:eastAsia="SimSun" w:cs="Times New Roman"/>
                <w:szCs w:val="24"/>
              </w:rPr>
            </w:pPr>
            <w:r>
              <w:rPr>
                <w:rFonts w:eastAsia="SimSun" w:cs="Times New Roman"/>
                <w:szCs w:val="24"/>
              </w:rPr>
              <w:t>8,579</w:t>
            </w:r>
            <w:r w:rsidR="005741BC" w:rsidRPr="005741BC">
              <w:rPr>
                <w:rFonts w:eastAsia="SimSun" w:cs="Times New Roman"/>
                <w:szCs w:val="24"/>
              </w:rPr>
              <w:t xml:space="preserve"> (60%)</w:t>
            </w:r>
          </w:p>
        </w:tc>
      </w:tr>
      <w:tr w:rsidR="005741BC" w:rsidRPr="005741BC" w14:paraId="52EF1DFD" w14:textId="77777777" w:rsidTr="005741BC">
        <w:trPr>
          <w:trHeight w:val="300"/>
        </w:trPr>
        <w:tc>
          <w:tcPr>
            <w:tcW w:w="4287" w:type="dxa"/>
            <w:tcBorders>
              <w:left w:val="nil"/>
              <w:bottom w:val="single" w:sz="4" w:space="0" w:color="auto"/>
              <w:right w:val="single" w:sz="4" w:space="0" w:color="auto"/>
            </w:tcBorders>
            <w:shd w:val="clear" w:color="auto" w:fill="auto"/>
            <w:noWrap/>
            <w:vAlign w:val="center"/>
          </w:tcPr>
          <w:p w14:paraId="62993B8A" w14:textId="643205D5" w:rsidR="005741BC" w:rsidRPr="005741BC" w:rsidRDefault="005741BC" w:rsidP="002C4060">
            <w:pPr>
              <w:spacing w:after="0" w:line="240" w:lineRule="auto"/>
              <w:jc w:val="right"/>
              <w:rPr>
                <w:rFonts w:eastAsia="Times New Roman" w:cs="Times New Roman"/>
              </w:rPr>
            </w:pPr>
            <w:r w:rsidRPr="005741BC">
              <w:rPr>
                <w:rFonts w:eastAsia="Times New Roman" w:cs="Times New Roman"/>
              </w:rPr>
              <w:t xml:space="preserve">No </w:t>
            </w:r>
            <w:r>
              <w:rPr>
                <w:rFonts w:eastAsia="Times New Roman" w:cs="Times New Roman"/>
              </w:rPr>
              <w:t>annual</w:t>
            </w:r>
            <w:r w:rsidRPr="005741BC">
              <w:rPr>
                <w:rFonts w:eastAsia="Times New Roman" w:cs="Times New Roman"/>
              </w:rPr>
              <w:t xml:space="preserve"> review in last 12mo</w:t>
            </w:r>
          </w:p>
        </w:tc>
        <w:tc>
          <w:tcPr>
            <w:tcW w:w="1985" w:type="dxa"/>
            <w:tcBorders>
              <w:left w:val="single" w:sz="4" w:space="0" w:color="auto"/>
              <w:bottom w:val="single" w:sz="4" w:space="0" w:color="auto"/>
            </w:tcBorders>
            <w:shd w:val="clear" w:color="auto" w:fill="auto"/>
            <w:noWrap/>
            <w:vAlign w:val="center"/>
          </w:tcPr>
          <w:p w14:paraId="2B8DF94C" w14:textId="38A7F81C" w:rsidR="005741BC" w:rsidRPr="005741BC" w:rsidRDefault="005741BC" w:rsidP="005741BC">
            <w:pPr>
              <w:spacing w:after="0" w:line="240" w:lineRule="auto"/>
              <w:rPr>
                <w:rFonts w:eastAsia="SimSun" w:cs="Times New Roman"/>
                <w:szCs w:val="24"/>
              </w:rPr>
            </w:pPr>
          </w:p>
        </w:tc>
        <w:tc>
          <w:tcPr>
            <w:tcW w:w="1986" w:type="dxa"/>
            <w:tcBorders>
              <w:left w:val="single" w:sz="4" w:space="0" w:color="auto"/>
              <w:bottom w:val="single" w:sz="4" w:space="0" w:color="auto"/>
            </w:tcBorders>
            <w:vAlign w:val="center"/>
          </w:tcPr>
          <w:p w14:paraId="00A19C20" w14:textId="1C44434C" w:rsidR="005741BC" w:rsidRPr="005741BC" w:rsidRDefault="00F66F4D" w:rsidP="005741BC">
            <w:pPr>
              <w:spacing w:after="0" w:line="240" w:lineRule="auto"/>
              <w:rPr>
                <w:rFonts w:eastAsia="SimSun" w:cs="Times New Roman"/>
                <w:szCs w:val="24"/>
              </w:rPr>
            </w:pPr>
            <w:r>
              <w:rPr>
                <w:rFonts w:eastAsia="SimSun" w:cs="Times New Roman"/>
                <w:szCs w:val="24"/>
              </w:rPr>
              <w:t>5,797</w:t>
            </w:r>
            <w:r w:rsidR="005741BC" w:rsidRPr="005741BC">
              <w:rPr>
                <w:rFonts w:eastAsia="SimSun" w:cs="Times New Roman"/>
                <w:szCs w:val="24"/>
              </w:rPr>
              <w:t xml:space="preserve"> (40%)</w:t>
            </w:r>
          </w:p>
        </w:tc>
      </w:tr>
    </w:tbl>
    <w:p w14:paraId="331379E9" w14:textId="3623F736" w:rsidR="005741BC" w:rsidRDefault="005741BC" w:rsidP="004744A4">
      <w:pPr>
        <w:spacing w:after="0" w:line="240" w:lineRule="auto"/>
        <w:rPr>
          <w:rFonts w:cs="Times New Roman"/>
          <w:sz w:val="20"/>
          <w:szCs w:val="20"/>
          <w:lang w:eastAsia="ja-JP"/>
        </w:rPr>
      </w:pPr>
      <w:r>
        <w:rPr>
          <w:rFonts w:cs="Times New Roman"/>
          <w:sz w:val="20"/>
          <w:szCs w:val="20"/>
          <w:lang w:eastAsia="ja-JP"/>
        </w:rPr>
        <w:t xml:space="preserve">Patient characteristics are fixed at baseline (date of diagnosis) except for care quality indicators, which vary over the study period. </w:t>
      </w:r>
    </w:p>
    <w:p w14:paraId="6F9C5A2A" w14:textId="1D41AA83" w:rsidR="004744A4" w:rsidRDefault="005741BC" w:rsidP="004744A4">
      <w:pPr>
        <w:spacing w:after="0" w:line="240" w:lineRule="auto"/>
        <w:rPr>
          <w:rFonts w:cs="Times New Roman"/>
          <w:sz w:val="20"/>
          <w:szCs w:val="20"/>
          <w:lang w:eastAsia="ja-JP"/>
        </w:rPr>
      </w:pPr>
      <w:r>
        <w:rPr>
          <w:rFonts w:cs="Times New Roman"/>
          <w:sz w:val="20"/>
          <w:szCs w:val="20"/>
          <w:lang w:eastAsia="ja-JP"/>
        </w:rPr>
        <w:t>^</w:t>
      </w:r>
      <w:r w:rsidR="005C764E">
        <w:rPr>
          <w:rFonts w:cs="Times New Roman"/>
          <w:sz w:val="20"/>
          <w:szCs w:val="20"/>
          <w:lang w:eastAsia="ja-JP"/>
        </w:rPr>
        <w:t xml:space="preserve">The three care plans categories are mutually exclusive (as are the two annual review categories) so each person’s total time observed is the sum of these categories </w:t>
      </w:r>
      <w:r>
        <w:rPr>
          <w:rFonts w:cs="Times New Roman"/>
          <w:sz w:val="20"/>
          <w:szCs w:val="20"/>
          <w:lang w:eastAsia="ja-JP"/>
        </w:rPr>
        <w:t xml:space="preserve"> </w:t>
      </w:r>
    </w:p>
    <w:p w14:paraId="150A843C" w14:textId="77777777" w:rsidR="00812B4C" w:rsidRDefault="00812B4C" w:rsidP="00E51A74">
      <w:pPr>
        <w:spacing w:after="0" w:line="480" w:lineRule="auto"/>
        <w:rPr>
          <w:rFonts w:eastAsiaTheme="minorHAnsi" w:cs="Times New Roman"/>
          <w:sz w:val="20"/>
          <w:szCs w:val="20"/>
          <w:lang w:val="en-AU" w:eastAsia="en-US"/>
        </w:rPr>
      </w:pPr>
    </w:p>
    <w:p w14:paraId="2EF310C9" w14:textId="77777777" w:rsidR="00812B4C" w:rsidRDefault="00812B4C" w:rsidP="00E51A74">
      <w:pPr>
        <w:spacing w:after="0" w:line="480" w:lineRule="auto"/>
        <w:rPr>
          <w:rFonts w:cs="Times New Roman"/>
          <w:szCs w:val="24"/>
        </w:rPr>
      </w:pPr>
    </w:p>
    <w:p w14:paraId="7838FF51" w14:textId="77777777" w:rsidR="003F306F" w:rsidRDefault="003F306F">
      <w:pPr>
        <w:spacing w:after="200" w:line="276" w:lineRule="auto"/>
        <w:rPr>
          <w:rFonts w:cs="Times New Roman"/>
          <w:szCs w:val="24"/>
        </w:rPr>
      </w:pPr>
      <w:r>
        <w:rPr>
          <w:rFonts w:cs="Times New Roman"/>
          <w:szCs w:val="24"/>
        </w:rPr>
        <w:br w:type="page"/>
      </w:r>
    </w:p>
    <w:p w14:paraId="54D540BC" w14:textId="111F48D0" w:rsidR="00812B4C" w:rsidRPr="00285BA0" w:rsidRDefault="00812B4C" w:rsidP="00E51A74">
      <w:pPr>
        <w:spacing w:after="0" w:line="480" w:lineRule="auto"/>
        <w:rPr>
          <w:rFonts w:cs="Times New Roman"/>
          <w:szCs w:val="24"/>
        </w:rPr>
      </w:pPr>
      <w:r>
        <w:rPr>
          <w:rFonts w:cs="Times New Roman"/>
          <w:szCs w:val="24"/>
        </w:rPr>
        <w:lastRenderedPageBreak/>
        <w:t xml:space="preserve">Overall, 69% of the sample had a current care plan at least once, contributing 40% of the total time observed, while 72% of the sample had a current annual review at least once, contributing 60% of the total time observed, and 42% of the sample had an expired care plan at least once, contributing 28% of the total time observed. </w:t>
      </w:r>
      <w:r>
        <w:rPr>
          <w:rFonts w:cs="Times New Roman"/>
        </w:rPr>
        <w:t xml:space="preserve">More detail on the annual rates of care plan and annual review indicators is available in supplementary material (Supplementary Figure 1). </w:t>
      </w:r>
    </w:p>
    <w:p w14:paraId="490EE348" w14:textId="77777777" w:rsidR="007666A8" w:rsidRDefault="007666A8" w:rsidP="00E51A74">
      <w:pPr>
        <w:spacing w:after="0" w:line="480" w:lineRule="auto"/>
        <w:rPr>
          <w:rFonts w:cs="Times New Roman"/>
          <w:lang w:eastAsia="ja-JP"/>
        </w:rPr>
      </w:pPr>
    </w:p>
    <w:p w14:paraId="2593CCC2" w14:textId="77777777" w:rsidR="004744A4" w:rsidRDefault="004744A4" w:rsidP="004744A4">
      <w:pPr>
        <w:pStyle w:val="Heading2"/>
      </w:pPr>
      <w:r>
        <w:t>Outcomes</w:t>
      </w:r>
    </w:p>
    <w:p w14:paraId="7DBBAE6E" w14:textId="494A97D6" w:rsidR="00D108B9" w:rsidRDefault="004744A4" w:rsidP="00F1780E">
      <w:pPr>
        <w:spacing w:line="480" w:lineRule="auto"/>
      </w:pPr>
      <w:r w:rsidRPr="00976A9A">
        <w:rPr>
          <w:lang w:eastAsia="ja-JP"/>
        </w:rPr>
        <w:t xml:space="preserve">Summary statistics for </w:t>
      </w:r>
      <w:r w:rsidR="0045540B">
        <w:rPr>
          <w:lang w:eastAsia="ja-JP"/>
        </w:rPr>
        <w:t>each of the three</w:t>
      </w:r>
      <w:r w:rsidRPr="00976A9A">
        <w:rPr>
          <w:lang w:eastAsia="ja-JP"/>
        </w:rPr>
        <w:t xml:space="preserve"> outcome variables are presented in Table </w:t>
      </w:r>
      <w:r>
        <w:rPr>
          <w:lang w:eastAsia="ja-JP"/>
        </w:rPr>
        <w:t>2</w:t>
      </w:r>
      <w:r w:rsidRPr="00976A9A">
        <w:rPr>
          <w:lang w:eastAsia="ja-JP"/>
        </w:rPr>
        <w:t xml:space="preserve">. </w:t>
      </w:r>
      <w:r>
        <w:rPr>
          <w:lang w:eastAsia="ja-JP"/>
        </w:rPr>
        <w:t>During the period of observation, 50% had an A&amp;E presentation, 11</w:t>
      </w:r>
      <w:r w:rsidRPr="00976A9A">
        <w:rPr>
          <w:lang w:eastAsia="ja-JP"/>
        </w:rPr>
        <w:t>%</w:t>
      </w:r>
      <w:r>
        <w:rPr>
          <w:lang w:eastAsia="ja-JP"/>
        </w:rPr>
        <w:t xml:space="preserve"> </w:t>
      </w:r>
      <w:r w:rsidRPr="00976A9A">
        <w:rPr>
          <w:lang w:eastAsia="ja-JP"/>
        </w:rPr>
        <w:t xml:space="preserve">had an SMI admission, </w:t>
      </w:r>
      <w:r w:rsidR="001C0929">
        <w:rPr>
          <w:lang w:eastAsia="ja-JP"/>
        </w:rPr>
        <w:t xml:space="preserve">and </w:t>
      </w:r>
      <w:r>
        <w:rPr>
          <w:lang w:eastAsia="ja-JP"/>
        </w:rPr>
        <w:t xml:space="preserve">10% had </w:t>
      </w:r>
      <w:r w:rsidRPr="00976A9A">
        <w:rPr>
          <w:lang w:eastAsia="ja-JP"/>
        </w:rPr>
        <w:t>an ACSC admission</w:t>
      </w:r>
      <w:r>
        <w:rPr>
          <w:lang w:eastAsia="ja-JP"/>
        </w:rPr>
        <w:t xml:space="preserve">. </w:t>
      </w:r>
      <w:bookmarkStart w:id="26" w:name="_Toc444002023"/>
    </w:p>
    <w:p w14:paraId="641A810C" w14:textId="4DAFD245" w:rsidR="000828B8" w:rsidRDefault="000828B8" w:rsidP="00F1780E">
      <w:pPr>
        <w:spacing w:line="480" w:lineRule="auto"/>
        <w:rPr>
          <w:rFonts w:eastAsiaTheme="majorEastAsia"/>
          <w:b/>
          <w:bCs/>
          <w:color w:val="000000" w:themeColor="text1"/>
          <w:szCs w:val="26"/>
        </w:rPr>
      </w:pPr>
    </w:p>
    <w:p w14:paraId="47474C79" w14:textId="3EA5DA02" w:rsidR="00D108B9" w:rsidRDefault="00D108B9">
      <w:pPr>
        <w:spacing w:after="200" w:line="276" w:lineRule="auto"/>
        <w:rPr>
          <w:rFonts w:eastAsiaTheme="majorEastAsia" w:cs="Times New Roman"/>
          <w:b/>
          <w:bCs/>
          <w:color w:val="000000" w:themeColor="text1"/>
          <w:szCs w:val="26"/>
        </w:rPr>
      </w:pPr>
      <w:r>
        <w:rPr>
          <w:rFonts w:cs="Times New Roman"/>
        </w:rPr>
        <w:br w:type="page"/>
      </w:r>
    </w:p>
    <w:p w14:paraId="3FEFF83C" w14:textId="61A0EBC5" w:rsidR="00A36BF7" w:rsidRPr="00976A9A" w:rsidRDefault="00A36BF7" w:rsidP="00285BA0">
      <w:r>
        <w:lastRenderedPageBreak/>
        <w:t>Table 2.</w:t>
      </w:r>
      <w:r w:rsidRPr="00976A9A">
        <w:t xml:space="preserve"> </w:t>
      </w:r>
      <w:r w:rsidR="00D069FD">
        <w:t xml:space="preserve">Descriptive statistics for </w:t>
      </w:r>
      <w:r w:rsidR="003F306F">
        <w:t>survival</w:t>
      </w:r>
      <w:r w:rsidRPr="00976A9A">
        <w:t xml:space="preserve"> analysis</w:t>
      </w:r>
      <w:r w:rsidR="002E186E">
        <w:t>, by outcome</w:t>
      </w:r>
    </w:p>
    <w:tbl>
      <w:tblPr>
        <w:tblW w:w="5085" w:type="pct"/>
        <w:tblInd w:w="-142" w:type="dxa"/>
        <w:tblBorders>
          <w:top w:val="nil"/>
          <w:left w:val="nil"/>
          <w:right w:val="nil"/>
        </w:tblBorders>
        <w:tblLook w:val="0000" w:firstRow="0" w:lastRow="0" w:firstColumn="0" w:lastColumn="0" w:noHBand="0" w:noVBand="0"/>
      </w:tblPr>
      <w:tblGrid>
        <w:gridCol w:w="4254"/>
        <w:gridCol w:w="1463"/>
        <w:gridCol w:w="1365"/>
        <w:gridCol w:w="1365"/>
      </w:tblGrid>
      <w:tr w:rsidR="00E73FF0" w:rsidRPr="00EE0879" w14:paraId="1F555061" w14:textId="77777777" w:rsidTr="00E84EE9">
        <w:tc>
          <w:tcPr>
            <w:tcW w:w="2518" w:type="pct"/>
            <w:tcBorders>
              <w:top w:val="single" w:sz="10" w:space="0" w:color="000000"/>
              <w:bottom w:val="single" w:sz="4" w:space="0" w:color="auto"/>
            </w:tcBorders>
            <w:shd w:val="clear" w:color="auto" w:fill="auto"/>
            <w:tcMar>
              <w:top w:w="144" w:type="nil"/>
              <w:right w:w="144" w:type="nil"/>
            </w:tcMar>
            <w:vAlign w:val="center"/>
          </w:tcPr>
          <w:p w14:paraId="3F8EB3D0" w14:textId="77777777" w:rsidR="00E73FF0" w:rsidRPr="00EE0879" w:rsidRDefault="00E73FF0" w:rsidP="00E73FF0">
            <w:pPr>
              <w:widowControl w:val="0"/>
              <w:autoSpaceDE w:val="0"/>
              <w:autoSpaceDN w:val="0"/>
              <w:adjustRightInd w:val="0"/>
              <w:spacing w:after="0" w:line="240" w:lineRule="auto"/>
              <w:rPr>
                <w:rFonts w:eastAsia="Calibri" w:cs="Times New Roman"/>
                <w:szCs w:val="24"/>
                <w:lang w:val="en-AU"/>
              </w:rPr>
            </w:pPr>
            <w:r>
              <w:rPr>
                <w:rFonts w:eastAsia="Calibri" w:cs="Times New Roman"/>
                <w:szCs w:val="24"/>
                <w:lang w:val="en-AU"/>
              </w:rPr>
              <w:t>Outcome</w:t>
            </w:r>
          </w:p>
        </w:tc>
        <w:tc>
          <w:tcPr>
            <w:tcW w:w="866" w:type="pct"/>
            <w:tcBorders>
              <w:top w:val="single" w:sz="10" w:space="0" w:color="000000"/>
              <w:bottom w:val="single" w:sz="4" w:space="0" w:color="auto"/>
            </w:tcBorders>
            <w:shd w:val="clear" w:color="auto" w:fill="auto"/>
            <w:vAlign w:val="center"/>
          </w:tcPr>
          <w:p w14:paraId="60950608" w14:textId="0AAF6C97" w:rsidR="00E73FF0" w:rsidRPr="00EE0879" w:rsidRDefault="00E73FF0" w:rsidP="00E73FF0">
            <w:pPr>
              <w:widowControl w:val="0"/>
              <w:autoSpaceDE w:val="0"/>
              <w:autoSpaceDN w:val="0"/>
              <w:adjustRightInd w:val="0"/>
              <w:spacing w:after="0" w:line="240" w:lineRule="auto"/>
              <w:jc w:val="center"/>
              <w:rPr>
                <w:rFonts w:eastAsia="Calibri" w:cs="Times New Roman"/>
                <w:szCs w:val="24"/>
                <w:lang w:val="en-AU"/>
              </w:rPr>
            </w:pPr>
            <w:r>
              <w:rPr>
                <w:rFonts w:eastAsia="Calibri" w:cs="Times New Roman"/>
                <w:szCs w:val="24"/>
                <w:lang w:val="en-AU"/>
              </w:rPr>
              <w:t>A&amp;E</w:t>
            </w:r>
            <w:r w:rsidR="00A04672">
              <w:rPr>
                <w:rFonts w:eastAsia="Calibri" w:cs="Times New Roman"/>
                <w:szCs w:val="24"/>
                <w:lang w:val="en-AU"/>
              </w:rPr>
              <w:t xml:space="preserve"> presentation</w:t>
            </w:r>
          </w:p>
        </w:tc>
        <w:tc>
          <w:tcPr>
            <w:tcW w:w="808" w:type="pct"/>
            <w:tcBorders>
              <w:top w:val="single" w:sz="10" w:space="0" w:color="000000"/>
              <w:bottom w:val="single" w:sz="4" w:space="0" w:color="auto"/>
            </w:tcBorders>
            <w:shd w:val="clear" w:color="auto" w:fill="auto"/>
            <w:vAlign w:val="center"/>
          </w:tcPr>
          <w:p w14:paraId="50154815" w14:textId="77777777" w:rsidR="00E73FF0" w:rsidRPr="00EE0879" w:rsidRDefault="00E73FF0" w:rsidP="00E73FF0">
            <w:pPr>
              <w:widowControl w:val="0"/>
              <w:autoSpaceDE w:val="0"/>
              <w:autoSpaceDN w:val="0"/>
              <w:adjustRightInd w:val="0"/>
              <w:spacing w:after="0" w:line="240" w:lineRule="auto"/>
              <w:jc w:val="center"/>
              <w:rPr>
                <w:rFonts w:eastAsia="Calibri" w:cs="Times New Roman"/>
                <w:szCs w:val="24"/>
                <w:lang w:val="en-AU"/>
              </w:rPr>
            </w:pPr>
            <w:r>
              <w:rPr>
                <w:rFonts w:eastAsia="Calibri" w:cs="Times New Roman"/>
                <w:szCs w:val="24"/>
                <w:lang w:val="en-AU"/>
              </w:rPr>
              <w:t>SMI admission</w:t>
            </w:r>
          </w:p>
        </w:tc>
        <w:tc>
          <w:tcPr>
            <w:tcW w:w="808" w:type="pct"/>
            <w:tcBorders>
              <w:top w:val="single" w:sz="10" w:space="0" w:color="000000"/>
              <w:bottom w:val="single" w:sz="4" w:space="0" w:color="auto"/>
            </w:tcBorders>
            <w:shd w:val="clear" w:color="auto" w:fill="auto"/>
            <w:vAlign w:val="center"/>
          </w:tcPr>
          <w:p w14:paraId="5B7B2C0A" w14:textId="77777777" w:rsidR="00E73FF0" w:rsidRPr="00EE0879" w:rsidRDefault="00E73FF0" w:rsidP="00E73FF0">
            <w:pPr>
              <w:widowControl w:val="0"/>
              <w:autoSpaceDE w:val="0"/>
              <w:autoSpaceDN w:val="0"/>
              <w:adjustRightInd w:val="0"/>
              <w:spacing w:after="0" w:line="240" w:lineRule="auto"/>
              <w:jc w:val="center"/>
              <w:rPr>
                <w:rFonts w:eastAsia="Calibri" w:cs="Times New Roman"/>
                <w:szCs w:val="24"/>
                <w:lang w:val="en-AU"/>
              </w:rPr>
            </w:pPr>
            <w:r>
              <w:rPr>
                <w:rFonts w:eastAsia="Calibri" w:cs="Times New Roman"/>
                <w:szCs w:val="24"/>
                <w:lang w:val="en-AU"/>
              </w:rPr>
              <w:t>ACSC admission</w:t>
            </w:r>
          </w:p>
        </w:tc>
      </w:tr>
      <w:tr w:rsidR="00E73FF0" w:rsidRPr="00EE0879" w14:paraId="0BFC6FEC" w14:textId="77777777" w:rsidTr="00E84EE9">
        <w:trPr>
          <w:trHeight w:val="300"/>
        </w:trPr>
        <w:tc>
          <w:tcPr>
            <w:tcW w:w="2518" w:type="pct"/>
            <w:tcBorders>
              <w:top w:val="nil"/>
            </w:tcBorders>
            <w:shd w:val="clear" w:color="auto" w:fill="auto"/>
            <w:tcMar>
              <w:top w:w="144" w:type="nil"/>
              <w:right w:w="144" w:type="nil"/>
            </w:tcMar>
            <w:vAlign w:val="center"/>
          </w:tcPr>
          <w:p w14:paraId="32F4A68F" w14:textId="77777777" w:rsidR="00E73FF0" w:rsidRPr="00285BA0" w:rsidRDefault="00E73FF0" w:rsidP="00E73FF0">
            <w:pPr>
              <w:widowControl w:val="0"/>
              <w:autoSpaceDE w:val="0"/>
              <w:autoSpaceDN w:val="0"/>
              <w:adjustRightInd w:val="0"/>
              <w:spacing w:after="0" w:line="240" w:lineRule="auto"/>
              <w:rPr>
                <w:rFonts w:eastAsia="Calibri" w:cs="Times New Roman"/>
                <w:szCs w:val="24"/>
                <w:lang w:val="en-AU"/>
              </w:rPr>
            </w:pPr>
            <w:r w:rsidRPr="00285BA0">
              <w:rPr>
                <w:rFonts w:eastAsia="Calibri" w:cs="Times New Roman"/>
                <w:szCs w:val="24"/>
                <w:lang w:val="en-AU"/>
              </w:rPr>
              <w:t>N individuals</w:t>
            </w:r>
          </w:p>
        </w:tc>
        <w:tc>
          <w:tcPr>
            <w:tcW w:w="866" w:type="pct"/>
            <w:tcBorders>
              <w:top w:val="nil"/>
            </w:tcBorders>
            <w:shd w:val="clear" w:color="auto" w:fill="auto"/>
            <w:vAlign w:val="center"/>
          </w:tcPr>
          <w:p w14:paraId="6EA6988F" w14:textId="77777777" w:rsidR="00E73FF0" w:rsidRPr="00EE0879" w:rsidRDefault="00E73FF0" w:rsidP="00E73FF0">
            <w:pPr>
              <w:widowControl w:val="0"/>
              <w:autoSpaceDE w:val="0"/>
              <w:autoSpaceDN w:val="0"/>
              <w:adjustRightInd w:val="0"/>
              <w:spacing w:after="0" w:line="240" w:lineRule="auto"/>
              <w:jc w:val="center"/>
              <w:rPr>
                <w:rFonts w:eastAsia="Calibri" w:cs="Times New Roman"/>
                <w:szCs w:val="24"/>
                <w:lang w:val="en-AU"/>
              </w:rPr>
            </w:pPr>
            <w:r w:rsidRPr="00EE0879">
              <w:rPr>
                <w:rFonts w:eastAsia="Calibri" w:cs="Times New Roman"/>
                <w:szCs w:val="24"/>
                <w:lang w:val="en-AU"/>
              </w:rPr>
              <w:t>4,446</w:t>
            </w:r>
          </w:p>
        </w:tc>
        <w:tc>
          <w:tcPr>
            <w:tcW w:w="808" w:type="pct"/>
            <w:tcBorders>
              <w:top w:val="nil"/>
            </w:tcBorders>
            <w:shd w:val="clear" w:color="auto" w:fill="auto"/>
            <w:vAlign w:val="center"/>
          </w:tcPr>
          <w:p w14:paraId="08379346" w14:textId="77777777" w:rsidR="00E73FF0" w:rsidRPr="00EE0879" w:rsidRDefault="00E73FF0" w:rsidP="00E73FF0">
            <w:pPr>
              <w:widowControl w:val="0"/>
              <w:autoSpaceDE w:val="0"/>
              <w:autoSpaceDN w:val="0"/>
              <w:adjustRightInd w:val="0"/>
              <w:spacing w:after="0" w:line="240" w:lineRule="auto"/>
              <w:jc w:val="center"/>
              <w:rPr>
                <w:rFonts w:eastAsia="Calibri" w:cs="Times New Roman"/>
                <w:szCs w:val="24"/>
                <w:lang w:val="en-AU"/>
              </w:rPr>
            </w:pPr>
            <w:r>
              <w:rPr>
                <w:rFonts w:eastAsia="Calibri" w:cs="Times New Roman"/>
                <w:szCs w:val="24"/>
                <w:lang w:val="en-AU"/>
              </w:rPr>
              <w:t>5,158</w:t>
            </w:r>
          </w:p>
        </w:tc>
        <w:tc>
          <w:tcPr>
            <w:tcW w:w="808" w:type="pct"/>
            <w:tcBorders>
              <w:top w:val="nil"/>
            </w:tcBorders>
            <w:shd w:val="clear" w:color="auto" w:fill="auto"/>
            <w:vAlign w:val="center"/>
          </w:tcPr>
          <w:p w14:paraId="57199881" w14:textId="77777777" w:rsidR="00E73FF0" w:rsidRPr="00EE0879" w:rsidRDefault="00E73FF0" w:rsidP="00E73FF0">
            <w:pPr>
              <w:widowControl w:val="0"/>
              <w:autoSpaceDE w:val="0"/>
              <w:autoSpaceDN w:val="0"/>
              <w:adjustRightInd w:val="0"/>
              <w:spacing w:after="0" w:line="240" w:lineRule="auto"/>
              <w:jc w:val="center"/>
              <w:rPr>
                <w:rFonts w:eastAsia="Calibri" w:cs="Times New Roman"/>
                <w:szCs w:val="24"/>
                <w:lang w:val="en-AU"/>
              </w:rPr>
            </w:pPr>
            <w:r>
              <w:rPr>
                <w:rFonts w:eastAsia="Calibri" w:cs="Times New Roman"/>
                <w:szCs w:val="24"/>
                <w:lang w:val="en-AU"/>
              </w:rPr>
              <w:t>5,158</w:t>
            </w:r>
          </w:p>
        </w:tc>
      </w:tr>
      <w:tr w:rsidR="00E73FF0" w14:paraId="1CED5F4A" w14:textId="77777777" w:rsidTr="00E84EE9">
        <w:trPr>
          <w:trHeight w:val="300"/>
        </w:trPr>
        <w:tc>
          <w:tcPr>
            <w:tcW w:w="2518" w:type="pct"/>
            <w:tcBorders>
              <w:top w:val="nil"/>
            </w:tcBorders>
            <w:shd w:val="clear" w:color="auto" w:fill="auto"/>
            <w:tcMar>
              <w:top w:w="144" w:type="nil"/>
              <w:right w:w="144" w:type="nil"/>
            </w:tcMar>
            <w:vAlign w:val="center"/>
          </w:tcPr>
          <w:p w14:paraId="6E5E6927" w14:textId="77777777" w:rsidR="00E73FF0" w:rsidRPr="00285BA0" w:rsidRDefault="00E73FF0" w:rsidP="00E73FF0">
            <w:pPr>
              <w:widowControl w:val="0"/>
              <w:autoSpaceDE w:val="0"/>
              <w:autoSpaceDN w:val="0"/>
              <w:adjustRightInd w:val="0"/>
              <w:spacing w:after="0" w:line="240" w:lineRule="auto"/>
              <w:rPr>
                <w:rFonts w:eastAsia="Calibri" w:cs="Times New Roman"/>
                <w:szCs w:val="24"/>
                <w:lang w:val="en-AU"/>
              </w:rPr>
            </w:pPr>
            <w:r w:rsidRPr="00285BA0">
              <w:rPr>
                <w:rFonts w:eastAsia="Calibri" w:cs="Times New Roman"/>
                <w:szCs w:val="24"/>
                <w:lang w:val="en-AU"/>
              </w:rPr>
              <w:t xml:space="preserve">Mean years observed </w:t>
            </w:r>
          </w:p>
        </w:tc>
        <w:tc>
          <w:tcPr>
            <w:tcW w:w="866" w:type="pct"/>
            <w:tcBorders>
              <w:top w:val="nil"/>
            </w:tcBorders>
            <w:shd w:val="clear" w:color="auto" w:fill="auto"/>
            <w:vAlign w:val="center"/>
          </w:tcPr>
          <w:p w14:paraId="36F4F4C1" w14:textId="77777777" w:rsidR="00E73FF0" w:rsidRDefault="00E73FF0" w:rsidP="00E73FF0">
            <w:pPr>
              <w:widowControl w:val="0"/>
              <w:autoSpaceDE w:val="0"/>
              <w:autoSpaceDN w:val="0"/>
              <w:adjustRightInd w:val="0"/>
              <w:spacing w:after="0" w:line="240" w:lineRule="auto"/>
              <w:jc w:val="center"/>
              <w:rPr>
                <w:rFonts w:eastAsia="Calibri" w:cs="Times New Roman"/>
                <w:szCs w:val="24"/>
                <w:lang w:val="en-AU"/>
              </w:rPr>
            </w:pPr>
            <w:r>
              <w:rPr>
                <w:rFonts w:eastAsia="Calibri" w:cs="Times New Roman"/>
                <w:szCs w:val="24"/>
                <w:lang w:val="en-AU"/>
              </w:rPr>
              <w:t>1.50</w:t>
            </w:r>
          </w:p>
        </w:tc>
        <w:tc>
          <w:tcPr>
            <w:tcW w:w="808" w:type="pct"/>
            <w:tcBorders>
              <w:top w:val="nil"/>
            </w:tcBorders>
            <w:shd w:val="clear" w:color="auto" w:fill="auto"/>
            <w:vAlign w:val="center"/>
          </w:tcPr>
          <w:p w14:paraId="6E5E660E" w14:textId="77777777" w:rsidR="00E73FF0" w:rsidRDefault="00E73FF0" w:rsidP="00E73FF0">
            <w:pPr>
              <w:widowControl w:val="0"/>
              <w:autoSpaceDE w:val="0"/>
              <w:autoSpaceDN w:val="0"/>
              <w:adjustRightInd w:val="0"/>
              <w:spacing w:after="0" w:line="240" w:lineRule="auto"/>
              <w:jc w:val="center"/>
              <w:rPr>
                <w:rFonts w:eastAsia="Calibri" w:cs="Times New Roman"/>
                <w:szCs w:val="24"/>
                <w:lang w:val="en-AU"/>
              </w:rPr>
            </w:pPr>
            <w:r>
              <w:rPr>
                <w:rFonts w:eastAsia="Calibri" w:cs="Times New Roman"/>
                <w:szCs w:val="24"/>
                <w:lang w:val="en-AU"/>
              </w:rPr>
              <w:t>2.47</w:t>
            </w:r>
          </w:p>
        </w:tc>
        <w:tc>
          <w:tcPr>
            <w:tcW w:w="808" w:type="pct"/>
            <w:tcBorders>
              <w:top w:val="nil"/>
            </w:tcBorders>
            <w:shd w:val="clear" w:color="auto" w:fill="auto"/>
            <w:vAlign w:val="center"/>
          </w:tcPr>
          <w:p w14:paraId="367E0E0A" w14:textId="77777777" w:rsidR="00E73FF0" w:rsidRDefault="00E73FF0" w:rsidP="00E73FF0">
            <w:pPr>
              <w:widowControl w:val="0"/>
              <w:autoSpaceDE w:val="0"/>
              <w:autoSpaceDN w:val="0"/>
              <w:adjustRightInd w:val="0"/>
              <w:spacing w:after="0" w:line="240" w:lineRule="auto"/>
              <w:jc w:val="center"/>
              <w:rPr>
                <w:rFonts w:eastAsia="Calibri" w:cs="Times New Roman"/>
                <w:szCs w:val="24"/>
                <w:lang w:val="en-AU"/>
              </w:rPr>
            </w:pPr>
            <w:r>
              <w:rPr>
                <w:rFonts w:eastAsia="Calibri" w:cs="Times New Roman"/>
                <w:szCs w:val="24"/>
                <w:lang w:val="en-AU"/>
              </w:rPr>
              <w:t>2.56</w:t>
            </w:r>
          </w:p>
        </w:tc>
      </w:tr>
      <w:tr w:rsidR="00E73FF0" w14:paraId="365AC524" w14:textId="77777777" w:rsidTr="00E84EE9">
        <w:tblPrEx>
          <w:tblBorders>
            <w:top w:val="none" w:sz="0" w:space="0" w:color="auto"/>
          </w:tblBorders>
        </w:tblPrEx>
        <w:trPr>
          <w:trHeight w:val="300"/>
        </w:trPr>
        <w:tc>
          <w:tcPr>
            <w:tcW w:w="2518" w:type="pct"/>
            <w:tcBorders>
              <w:bottom w:val="nil"/>
            </w:tcBorders>
            <w:shd w:val="clear" w:color="auto" w:fill="auto"/>
            <w:tcMar>
              <w:top w:w="144" w:type="nil"/>
              <w:right w:w="144" w:type="nil"/>
            </w:tcMar>
            <w:vAlign w:val="center"/>
          </w:tcPr>
          <w:p w14:paraId="65F019B2" w14:textId="62DB852F" w:rsidR="00E73FF0" w:rsidRPr="00285BA0" w:rsidRDefault="00E73FF0" w:rsidP="00E73FF0">
            <w:pPr>
              <w:widowControl w:val="0"/>
              <w:autoSpaceDE w:val="0"/>
              <w:autoSpaceDN w:val="0"/>
              <w:adjustRightInd w:val="0"/>
              <w:spacing w:after="0" w:line="240" w:lineRule="auto"/>
              <w:rPr>
                <w:rFonts w:eastAsia="Calibri" w:cs="Times New Roman"/>
                <w:szCs w:val="24"/>
                <w:lang w:val="en-AU"/>
              </w:rPr>
            </w:pPr>
            <w:r w:rsidRPr="00285BA0">
              <w:rPr>
                <w:rFonts w:eastAsia="Calibri" w:cs="Times New Roman"/>
                <w:szCs w:val="24"/>
                <w:lang w:val="en-AU"/>
              </w:rPr>
              <w:t>N</w:t>
            </w:r>
            <w:r w:rsidR="00A04672">
              <w:rPr>
                <w:rFonts w:eastAsia="Calibri" w:cs="Times New Roman"/>
                <w:szCs w:val="24"/>
                <w:lang w:val="en-AU"/>
              </w:rPr>
              <w:t xml:space="preserve"> with outcome</w:t>
            </w:r>
            <w:r w:rsidRPr="00285BA0">
              <w:rPr>
                <w:rFonts w:eastAsia="Calibri" w:cs="Times New Roman"/>
                <w:szCs w:val="24"/>
                <w:lang w:val="en-AU"/>
              </w:rPr>
              <w:t xml:space="preserve"> (%</w:t>
            </w:r>
            <w:r w:rsidR="00A04672">
              <w:rPr>
                <w:rFonts w:eastAsia="Calibri" w:cs="Times New Roman"/>
                <w:szCs w:val="24"/>
                <w:lang w:val="en-AU"/>
              </w:rPr>
              <w:t xml:space="preserve"> of sample</w:t>
            </w:r>
            <w:r w:rsidRPr="00285BA0">
              <w:rPr>
                <w:rFonts w:eastAsia="Calibri" w:cs="Times New Roman"/>
                <w:szCs w:val="24"/>
                <w:lang w:val="en-AU"/>
              </w:rPr>
              <w:t>)</w:t>
            </w:r>
          </w:p>
        </w:tc>
        <w:tc>
          <w:tcPr>
            <w:tcW w:w="866" w:type="pct"/>
            <w:tcBorders>
              <w:bottom w:val="nil"/>
            </w:tcBorders>
            <w:shd w:val="clear" w:color="auto" w:fill="auto"/>
            <w:vAlign w:val="center"/>
          </w:tcPr>
          <w:p w14:paraId="4716C1F1" w14:textId="77777777" w:rsidR="00E73FF0" w:rsidRDefault="00E73FF0" w:rsidP="00E73FF0">
            <w:pPr>
              <w:widowControl w:val="0"/>
              <w:autoSpaceDE w:val="0"/>
              <w:autoSpaceDN w:val="0"/>
              <w:adjustRightInd w:val="0"/>
              <w:spacing w:after="0" w:line="240" w:lineRule="auto"/>
              <w:jc w:val="center"/>
              <w:rPr>
                <w:rFonts w:eastAsia="Calibri" w:cs="Times New Roman"/>
                <w:szCs w:val="24"/>
                <w:lang w:val="en-AU"/>
              </w:rPr>
            </w:pPr>
            <w:r w:rsidRPr="00EE0879">
              <w:rPr>
                <w:rFonts w:eastAsia="Calibri" w:cs="Times New Roman"/>
                <w:szCs w:val="24"/>
                <w:lang w:val="en-AU"/>
              </w:rPr>
              <w:t>2,213 (50%)</w:t>
            </w:r>
          </w:p>
        </w:tc>
        <w:tc>
          <w:tcPr>
            <w:tcW w:w="808" w:type="pct"/>
            <w:tcBorders>
              <w:bottom w:val="nil"/>
            </w:tcBorders>
            <w:shd w:val="clear" w:color="auto" w:fill="auto"/>
            <w:vAlign w:val="center"/>
          </w:tcPr>
          <w:p w14:paraId="4F1B1331" w14:textId="77777777" w:rsidR="00E73FF0" w:rsidRDefault="00E73FF0" w:rsidP="00E73FF0">
            <w:pPr>
              <w:widowControl w:val="0"/>
              <w:autoSpaceDE w:val="0"/>
              <w:autoSpaceDN w:val="0"/>
              <w:adjustRightInd w:val="0"/>
              <w:spacing w:after="0" w:line="240" w:lineRule="auto"/>
              <w:jc w:val="center"/>
              <w:rPr>
                <w:rFonts w:eastAsia="Calibri" w:cs="Times New Roman"/>
                <w:szCs w:val="24"/>
                <w:lang w:val="en-AU"/>
              </w:rPr>
            </w:pPr>
            <w:r>
              <w:rPr>
                <w:rFonts w:eastAsia="Calibri" w:cs="Times New Roman"/>
                <w:szCs w:val="24"/>
                <w:lang w:val="en-AU"/>
              </w:rPr>
              <w:t>562 (11%)</w:t>
            </w:r>
          </w:p>
        </w:tc>
        <w:tc>
          <w:tcPr>
            <w:tcW w:w="808" w:type="pct"/>
            <w:tcBorders>
              <w:bottom w:val="nil"/>
            </w:tcBorders>
            <w:shd w:val="clear" w:color="auto" w:fill="auto"/>
            <w:vAlign w:val="center"/>
          </w:tcPr>
          <w:p w14:paraId="5CBC1411" w14:textId="77777777" w:rsidR="00E73FF0" w:rsidRDefault="00E73FF0" w:rsidP="00E73FF0">
            <w:pPr>
              <w:widowControl w:val="0"/>
              <w:autoSpaceDE w:val="0"/>
              <w:autoSpaceDN w:val="0"/>
              <w:adjustRightInd w:val="0"/>
              <w:spacing w:after="0" w:line="240" w:lineRule="auto"/>
              <w:jc w:val="center"/>
              <w:rPr>
                <w:rFonts w:eastAsia="Calibri" w:cs="Times New Roman"/>
                <w:szCs w:val="24"/>
                <w:lang w:val="en-AU"/>
              </w:rPr>
            </w:pPr>
            <w:r>
              <w:rPr>
                <w:rFonts w:eastAsia="Calibri" w:cs="Times New Roman"/>
                <w:szCs w:val="24"/>
                <w:lang w:val="en-AU"/>
              </w:rPr>
              <w:t>528 (10%)</w:t>
            </w:r>
          </w:p>
        </w:tc>
      </w:tr>
      <w:tr w:rsidR="00E73FF0" w14:paraId="3778E6D7" w14:textId="77777777" w:rsidTr="00E84EE9">
        <w:tblPrEx>
          <w:tblBorders>
            <w:top w:val="none" w:sz="0" w:space="0" w:color="auto"/>
          </w:tblBorders>
        </w:tblPrEx>
        <w:trPr>
          <w:trHeight w:val="300"/>
        </w:trPr>
        <w:tc>
          <w:tcPr>
            <w:tcW w:w="2518" w:type="pct"/>
            <w:tcBorders>
              <w:left w:val="nil"/>
              <w:bottom w:val="nil"/>
            </w:tcBorders>
            <w:shd w:val="clear" w:color="auto" w:fill="auto"/>
            <w:tcMar>
              <w:top w:w="144" w:type="nil"/>
              <w:right w:w="144" w:type="nil"/>
            </w:tcMar>
            <w:vAlign w:val="center"/>
          </w:tcPr>
          <w:p w14:paraId="5349BE4F" w14:textId="3EA953C4" w:rsidR="00E73FF0" w:rsidRPr="00285BA0" w:rsidRDefault="00E73FF0" w:rsidP="00E73FF0">
            <w:pPr>
              <w:widowControl w:val="0"/>
              <w:autoSpaceDE w:val="0"/>
              <w:autoSpaceDN w:val="0"/>
              <w:adjustRightInd w:val="0"/>
              <w:spacing w:after="0" w:line="240" w:lineRule="auto"/>
              <w:rPr>
                <w:rFonts w:eastAsia="Calibri" w:cs="Times New Roman"/>
                <w:szCs w:val="24"/>
                <w:lang w:val="en-AU"/>
              </w:rPr>
            </w:pPr>
            <w:r w:rsidRPr="00285BA0">
              <w:rPr>
                <w:rFonts w:eastAsia="Calibri" w:cs="Times New Roman"/>
                <w:szCs w:val="24"/>
                <w:lang w:val="en-AU"/>
              </w:rPr>
              <w:t>Mean years observed to outcome</w:t>
            </w:r>
            <w:r w:rsidR="002E186E">
              <w:rPr>
                <w:rFonts w:eastAsia="Calibri" w:cs="Times New Roman"/>
                <w:szCs w:val="24"/>
                <w:vertAlign w:val="superscript"/>
                <w:lang w:val="en-AU"/>
              </w:rPr>
              <w:t>*</w:t>
            </w:r>
            <w:r w:rsidRPr="00285BA0">
              <w:rPr>
                <w:rFonts w:eastAsia="Calibri" w:cs="Times New Roman"/>
                <w:szCs w:val="24"/>
                <w:lang w:val="en-AU"/>
              </w:rPr>
              <w:t xml:space="preserve"> </w:t>
            </w:r>
          </w:p>
        </w:tc>
        <w:tc>
          <w:tcPr>
            <w:tcW w:w="866" w:type="pct"/>
            <w:tcBorders>
              <w:bottom w:val="nil"/>
            </w:tcBorders>
            <w:shd w:val="clear" w:color="auto" w:fill="auto"/>
            <w:vAlign w:val="center"/>
          </w:tcPr>
          <w:p w14:paraId="4F16BA6F" w14:textId="77777777" w:rsidR="00E73FF0" w:rsidRDefault="00E73FF0" w:rsidP="00E73FF0">
            <w:pPr>
              <w:widowControl w:val="0"/>
              <w:autoSpaceDE w:val="0"/>
              <w:autoSpaceDN w:val="0"/>
              <w:adjustRightInd w:val="0"/>
              <w:spacing w:after="0" w:line="240" w:lineRule="auto"/>
              <w:jc w:val="center"/>
              <w:rPr>
                <w:rFonts w:eastAsia="Calibri" w:cs="Times New Roman"/>
                <w:szCs w:val="24"/>
                <w:lang w:val="en-AU"/>
              </w:rPr>
            </w:pPr>
            <w:r>
              <w:rPr>
                <w:rFonts w:eastAsia="Calibri" w:cs="Times New Roman"/>
                <w:szCs w:val="24"/>
                <w:lang w:val="en-AU"/>
              </w:rPr>
              <w:t>1.08</w:t>
            </w:r>
          </w:p>
        </w:tc>
        <w:tc>
          <w:tcPr>
            <w:tcW w:w="808" w:type="pct"/>
            <w:tcBorders>
              <w:bottom w:val="nil"/>
            </w:tcBorders>
            <w:shd w:val="clear" w:color="auto" w:fill="auto"/>
            <w:vAlign w:val="center"/>
          </w:tcPr>
          <w:p w14:paraId="35FB1715" w14:textId="77777777" w:rsidR="00E73FF0" w:rsidRDefault="00E73FF0" w:rsidP="00E73FF0">
            <w:pPr>
              <w:widowControl w:val="0"/>
              <w:autoSpaceDE w:val="0"/>
              <w:autoSpaceDN w:val="0"/>
              <w:adjustRightInd w:val="0"/>
              <w:spacing w:after="0" w:line="240" w:lineRule="auto"/>
              <w:jc w:val="center"/>
              <w:rPr>
                <w:rFonts w:eastAsia="Calibri" w:cs="Times New Roman"/>
                <w:szCs w:val="24"/>
                <w:lang w:val="en-AU"/>
              </w:rPr>
            </w:pPr>
            <w:r>
              <w:rPr>
                <w:rFonts w:eastAsia="Calibri" w:cs="Times New Roman"/>
                <w:szCs w:val="24"/>
                <w:lang w:val="en-AU"/>
              </w:rPr>
              <w:t>1.20</w:t>
            </w:r>
          </w:p>
        </w:tc>
        <w:tc>
          <w:tcPr>
            <w:tcW w:w="808" w:type="pct"/>
            <w:tcBorders>
              <w:bottom w:val="nil"/>
              <w:right w:val="nil"/>
            </w:tcBorders>
            <w:shd w:val="clear" w:color="auto" w:fill="auto"/>
            <w:vAlign w:val="center"/>
          </w:tcPr>
          <w:p w14:paraId="7CB14389" w14:textId="77777777" w:rsidR="00E73FF0" w:rsidRDefault="00E73FF0" w:rsidP="00E73FF0">
            <w:pPr>
              <w:widowControl w:val="0"/>
              <w:autoSpaceDE w:val="0"/>
              <w:autoSpaceDN w:val="0"/>
              <w:adjustRightInd w:val="0"/>
              <w:spacing w:after="0" w:line="240" w:lineRule="auto"/>
              <w:jc w:val="center"/>
              <w:rPr>
                <w:rFonts w:eastAsia="Calibri" w:cs="Times New Roman"/>
                <w:szCs w:val="24"/>
                <w:lang w:val="en-AU"/>
              </w:rPr>
            </w:pPr>
            <w:r>
              <w:rPr>
                <w:rFonts w:eastAsia="Calibri" w:cs="Times New Roman"/>
                <w:szCs w:val="24"/>
                <w:lang w:val="en-AU"/>
              </w:rPr>
              <w:t>1.68</w:t>
            </w:r>
          </w:p>
        </w:tc>
      </w:tr>
      <w:tr w:rsidR="00E73FF0" w14:paraId="7430AEB3" w14:textId="77777777" w:rsidTr="00E84EE9">
        <w:tblPrEx>
          <w:tblBorders>
            <w:top w:val="none" w:sz="0" w:space="0" w:color="auto"/>
          </w:tblBorders>
        </w:tblPrEx>
        <w:trPr>
          <w:trHeight w:val="300"/>
        </w:trPr>
        <w:tc>
          <w:tcPr>
            <w:tcW w:w="2518" w:type="pct"/>
            <w:tcBorders>
              <w:left w:val="nil"/>
              <w:bottom w:val="nil"/>
            </w:tcBorders>
            <w:shd w:val="clear" w:color="auto" w:fill="auto"/>
            <w:tcMar>
              <w:top w:w="144" w:type="nil"/>
              <w:right w:w="144" w:type="nil"/>
            </w:tcMar>
            <w:vAlign w:val="center"/>
          </w:tcPr>
          <w:p w14:paraId="343C9A8D" w14:textId="2F086ADF" w:rsidR="00E73FF0" w:rsidRPr="00285BA0" w:rsidRDefault="00E73FF0" w:rsidP="00E73FF0">
            <w:pPr>
              <w:widowControl w:val="0"/>
              <w:autoSpaceDE w:val="0"/>
              <w:autoSpaceDN w:val="0"/>
              <w:adjustRightInd w:val="0"/>
              <w:spacing w:after="0" w:line="240" w:lineRule="auto"/>
              <w:rPr>
                <w:rFonts w:eastAsia="Calibri" w:cs="Times New Roman"/>
                <w:szCs w:val="24"/>
                <w:lang w:val="en-AU"/>
              </w:rPr>
            </w:pPr>
            <w:r w:rsidRPr="00285BA0">
              <w:rPr>
                <w:rFonts w:eastAsia="Calibri" w:cs="Times New Roman"/>
                <w:szCs w:val="24"/>
                <w:lang w:val="en-AU"/>
              </w:rPr>
              <w:t xml:space="preserve">N (% of events) </w:t>
            </w:r>
            <w:r w:rsidRPr="00E73FF0">
              <w:rPr>
                <w:rFonts w:eastAsia="Calibri" w:cs="Times New Roman"/>
                <w:szCs w:val="24"/>
                <w:lang w:val="en-AU"/>
              </w:rPr>
              <w:t>with outcome occurring</w:t>
            </w:r>
            <w:r w:rsidR="00A04672">
              <w:rPr>
                <w:rFonts w:eastAsia="Calibri" w:cs="Times New Roman"/>
                <w:szCs w:val="24"/>
                <w:lang w:val="en-AU"/>
              </w:rPr>
              <w:t>:</w:t>
            </w:r>
          </w:p>
        </w:tc>
        <w:tc>
          <w:tcPr>
            <w:tcW w:w="866" w:type="pct"/>
            <w:tcBorders>
              <w:bottom w:val="nil"/>
            </w:tcBorders>
            <w:shd w:val="clear" w:color="auto" w:fill="auto"/>
            <w:vAlign w:val="center"/>
          </w:tcPr>
          <w:p w14:paraId="1401E1E6" w14:textId="77777777" w:rsidR="00E73FF0" w:rsidRDefault="00E73FF0" w:rsidP="00E73FF0">
            <w:pPr>
              <w:widowControl w:val="0"/>
              <w:autoSpaceDE w:val="0"/>
              <w:autoSpaceDN w:val="0"/>
              <w:adjustRightInd w:val="0"/>
              <w:spacing w:after="0" w:line="240" w:lineRule="auto"/>
              <w:jc w:val="center"/>
              <w:rPr>
                <w:rFonts w:eastAsia="Calibri" w:cs="Times New Roman"/>
                <w:szCs w:val="24"/>
                <w:lang w:val="en-AU"/>
              </w:rPr>
            </w:pPr>
          </w:p>
        </w:tc>
        <w:tc>
          <w:tcPr>
            <w:tcW w:w="808" w:type="pct"/>
            <w:tcBorders>
              <w:bottom w:val="nil"/>
            </w:tcBorders>
            <w:shd w:val="clear" w:color="auto" w:fill="auto"/>
            <w:vAlign w:val="center"/>
          </w:tcPr>
          <w:p w14:paraId="274403C1" w14:textId="77777777" w:rsidR="00E73FF0" w:rsidRDefault="00E73FF0" w:rsidP="00E73FF0">
            <w:pPr>
              <w:widowControl w:val="0"/>
              <w:autoSpaceDE w:val="0"/>
              <w:autoSpaceDN w:val="0"/>
              <w:adjustRightInd w:val="0"/>
              <w:spacing w:after="0" w:line="240" w:lineRule="auto"/>
              <w:jc w:val="center"/>
              <w:rPr>
                <w:rFonts w:eastAsia="Calibri" w:cs="Times New Roman"/>
                <w:szCs w:val="24"/>
                <w:lang w:val="en-AU"/>
              </w:rPr>
            </w:pPr>
          </w:p>
        </w:tc>
        <w:tc>
          <w:tcPr>
            <w:tcW w:w="808" w:type="pct"/>
            <w:tcBorders>
              <w:bottom w:val="nil"/>
              <w:right w:val="nil"/>
            </w:tcBorders>
            <w:shd w:val="clear" w:color="auto" w:fill="auto"/>
            <w:vAlign w:val="center"/>
          </w:tcPr>
          <w:p w14:paraId="7750DCB9" w14:textId="77777777" w:rsidR="00E73FF0" w:rsidRDefault="00E73FF0" w:rsidP="00E73FF0">
            <w:pPr>
              <w:widowControl w:val="0"/>
              <w:autoSpaceDE w:val="0"/>
              <w:autoSpaceDN w:val="0"/>
              <w:adjustRightInd w:val="0"/>
              <w:spacing w:after="0" w:line="240" w:lineRule="auto"/>
              <w:jc w:val="center"/>
              <w:rPr>
                <w:rFonts w:eastAsia="Calibri" w:cs="Times New Roman"/>
                <w:szCs w:val="24"/>
                <w:lang w:val="en-AU"/>
              </w:rPr>
            </w:pPr>
          </w:p>
        </w:tc>
      </w:tr>
      <w:tr w:rsidR="00E73FF0" w14:paraId="59B1C32E" w14:textId="77777777" w:rsidTr="00E84EE9">
        <w:tblPrEx>
          <w:tblBorders>
            <w:top w:val="none" w:sz="0" w:space="0" w:color="auto"/>
          </w:tblBorders>
        </w:tblPrEx>
        <w:trPr>
          <w:trHeight w:val="300"/>
        </w:trPr>
        <w:tc>
          <w:tcPr>
            <w:tcW w:w="2518" w:type="pct"/>
            <w:tcBorders>
              <w:top w:val="nil"/>
            </w:tcBorders>
            <w:shd w:val="clear" w:color="auto" w:fill="auto"/>
            <w:tcMar>
              <w:top w:w="144" w:type="nil"/>
              <w:right w:w="144" w:type="nil"/>
            </w:tcMar>
            <w:vAlign w:val="center"/>
          </w:tcPr>
          <w:p w14:paraId="0AAAEEDC" w14:textId="77777777" w:rsidR="00E73FF0" w:rsidRPr="00285BA0" w:rsidRDefault="00E73FF0" w:rsidP="00E73FF0">
            <w:pPr>
              <w:widowControl w:val="0"/>
              <w:autoSpaceDE w:val="0"/>
              <w:autoSpaceDN w:val="0"/>
              <w:adjustRightInd w:val="0"/>
              <w:spacing w:after="0" w:line="240" w:lineRule="auto"/>
              <w:jc w:val="right"/>
              <w:rPr>
                <w:rFonts w:eastAsia="Calibri" w:cs="Times New Roman"/>
                <w:i/>
                <w:szCs w:val="24"/>
                <w:lang w:val="en-AU"/>
              </w:rPr>
            </w:pPr>
            <w:r w:rsidRPr="00285BA0">
              <w:rPr>
                <w:rFonts w:eastAsia="Calibri" w:cs="Times New Roman"/>
                <w:i/>
                <w:szCs w:val="24"/>
                <w:lang w:val="en-AU"/>
              </w:rPr>
              <w:t>within 12 months of CP (current CP)</w:t>
            </w:r>
          </w:p>
        </w:tc>
        <w:tc>
          <w:tcPr>
            <w:tcW w:w="866" w:type="pct"/>
            <w:tcBorders>
              <w:top w:val="nil"/>
            </w:tcBorders>
            <w:shd w:val="clear" w:color="auto" w:fill="auto"/>
            <w:vAlign w:val="center"/>
          </w:tcPr>
          <w:p w14:paraId="5A9A1BB4" w14:textId="77777777" w:rsidR="00E73FF0" w:rsidRDefault="00E73FF0" w:rsidP="00E73FF0">
            <w:pPr>
              <w:widowControl w:val="0"/>
              <w:autoSpaceDE w:val="0"/>
              <w:autoSpaceDN w:val="0"/>
              <w:adjustRightInd w:val="0"/>
              <w:spacing w:after="0" w:line="240" w:lineRule="auto"/>
              <w:jc w:val="center"/>
              <w:rPr>
                <w:rFonts w:eastAsia="Calibri" w:cs="Times New Roman"/>
                <w:szCs w:val="24"/>
                <w:lang w:val="en-AU"/>
              </w:rPr>
            </w:pPr>
            <w:r>
              <w:rPr>
                <w:rFonts w:eastAsia="Calibri" w:cs="Times New Roman"/>
                <w:szCs w:val="24"/>
                <w:lang w:val="en-AU"/>
              </w:rPr>
              <w:t>756 (36%)</w:t>
            </w:r>
          </w:p>
        </w:tc>
        <w:tc>
          <w:tcPr>
            <w:tcW w:w="808" w:type="pct"/>
            <w:tcBorders>
              <w:top w:val="nil"/>
            </w:tcBorders>
            <w:shd w:val="clear" w:color="auto" w:fill="auto"/>
            <w:vAlign w:val="center"/>
          </w:tcPr>
          <w:p w14:paraId="6525A18E" w14:textId="77777777" w:rsidR="00E73FF0" w:rsidRDefault="00E73FF0" w:rsidP="00E73FF0">
            <w:pPr>
              <w:widowControl w:val="0"/>
              <w:autoSpaceDE w:val="0"/>
              <w:autoSpaceDN w:val="0"/>
              <w:adjustRightInd w:val="0"/>
              <w:spacing w:after="0" w:line="240" w:lineRule="auto"/>
              <w:jc w:val="center"/>
              <w:rPr>
                <w:rFonts w:eastAsia="Calibri" w:cs="Times New Roman"/>
                <w:szCs w:val="24"/>
                <w:lang w:val="en-AU"/>
              </w:rPr>
            </w:pPr>
            <w:r>
              <w:rPr>
                <w:rFonts w:eastAsia="Calibri" w:cs="Times New Roman"/>
                <w:szCs w:val="24"/>
                <w:lang w:val="en-AU"/>
              </w:rPr>
              <w:t>200 (35%)</w:t>
            </w:r>
          </w:p>
        </w:tc>
        <w:tc>
          <w:tcPr>
            <w:tcW w:w="808" w:type="pct"/>
            <w:tcBorders>
              <w:top w:val="nil"/>
            </w:tcBorders>
            <w:shd w:val="clear" w:color="auto" w:fill="auto"/>
            <w:vAlign w:val="center"/>
          </w:tcPr>
          <w:p w14:paraId="6FB3A444" w14:textId="77777777" w:rsidR="00E73FF0" w:rsidRDefault="00E73FF0" w:rsidP="00E73FF0">
            <w:pPr>
              <w:widowControl w:val="0"/>
              <w:autoSpaceDE w:val="0"/>
              <w:autoSpaceDN w:val="0"/>
              <w:adjustRightInd w:val="0"/>
              <w:spacing w:after="0" w:line="240" w:lineRule="auto"/>
              <w:jc w:val="center"/>
              <w:rPr>
                <w:rFonts w:eastAsia="Calibri" w:cs="Times New Roman"/>
                <w:szCs w:val="24"/>
                <w:lang w:val="en-AU"/>
              </w:rPr>
            </w:pPr>
            <w:r>
              <w:rPr>
                <w:rFonts w:eastAsia="Calibri" w:cs="Times New Roman"/>
                <w:szCs w:val="24"/>
                <w:lang w:val="en-AU"/>
              </w:rPr>
              <w:t>171 (32%)</w:t>
            </w:r>
          </w:p>
        </w:tc>
      </w:tr>
      <w:tr w:rsidR="00E73FF0" w14:paraId="30099CF0" w14:textId="77777777" w:rsidTr="00E84EE9">
        <w:tblPrEx>
          <w:tblBorders>
            <w:top w:val="none" w:sz="0" w:space="0" w:color="auto"/>
          </w:tblBorders>
        </w:tblPrEx>
        <w:trPr>
          <w:trHeight w:val="300"/>
        </w:trPr>
        <w:tc>
          <w:tcPr>
            <w:tcW w:w="2518" w:type="pct"/>
            <w:tcBorders>
              <w:bottom w:val="nil"/>
            </w:tcBorders>
            <w:shd w:val="clear" w:color="auto" w:fill="auto"/>
            <w:tcMar>
              <w:top w:w="144" w:type="nil"/>
              <w:right w:w="144" w:type="nil"/>
            </w:tcMar>
            <w:vAlign w:val="center"/>
          </w:tcPr>
          <w:p w14:paraId="1399ACEE" w14:textId="77777777" w:rsidR="00E73FF0" w:rsidRPr="00285BA0" w:rsidRDefault="00E73FF0" w:rsidP="00285BA0">
            <w:pPr>
              <w:widowControl w:val="0"/>
              <w:autoSpaceDE w:val="0"/>
              <w:autoSpaceDN w:val="0"/>
              <w:adjustRightInd w:val="0"/>
              <w:spacing w:after="0" w:line="240" w:lineRule="auto"/>
              <w:jc w:val="right"/>
              <w:rPr>
                <w:rFonts w:eastAsia="Calibri" w:cs="Times New Roman"/>
                <w:i/>
                <w:szCs w:val="24"/>
                <w:lang w:val="en-AU"/>
              </w:rPr>
            </w:pPr>
            <w:r w:rsidRPr="00285BA0">
              <w:rPr>
                <w:rFonts w:eastAsia="Calibri" w:cs="Times New Roman"/>
                <w:i/>
                <w:szCs w:val="24"/>
                <w:lang w:val="en-AU"/>
              </w:rPr>
              <w:t>&gt;12 months since CP (expired CP)</w:t>
            </w:r>
          </w:p>
        </w:tc>
        <w:tc>
          <w:tcPr>
            <w:tcW w:w="866" w:type="pct"/>
            <w:tcBorders>
              <w:bottom w:val="nil"/>
            </w:tcBorders>
            <w:shd w:val="clear" w:color="auto" w:fill="auto"/>
            <w:vAlign w:val="center"/>
          </w:tcPr>
          <w:p w14:paraId="098BEB8C" w14:textId="77777777" w:rsidR="00E73FF0" w:rsidRDefault="00E73FF0" w:rsidP="00E73FF0">
            <w:pPr>
              <w:widowControl w:val="0"/>
              <w:autoSpaceDE w:val="0"/>
              <w:autoSpaceDN w:val="0"/>
              <w:adjustRightInd w:val="0"/>
              <w:spacing w:after="0" w:line="240" w:lineRule="auto"/>
              <w:jc w:val="center"/>
              <w:rPr>
                <w:rFonts w:eastAsia="Calibri" w:cs="Times New Roman"/>
                <w:szCs w:val="24"/>
                <w:lang w:val="en-AU"/>
              </w:rPr>
            </w:pPr>
            <w:r>
              <w:rPr>
                <w:rFonts w:eastAsia="Calibri" w:cs="Times New Roman"/>
                <w:szCs w:val="24"/>
                <w:lang w:val="en-AU"/>
              </w:rPr>
              <w:t>250 (11%)</w:t>
            </w:r>
          </w:p>
        </w:tc>
        <w:tc>
          <w:tcPr>
            <w:tcW w:w="808" w:type="pct"/>
            <w:tcBorders>
              <w:bottom w:val="nil"/>
            </w:tcBorders>
            <w:shd w:val="clear" w:color="auto" w:fill="auto"/>
            <w:vAlign w:val="center"/>
          </w:tcPr>
          <w:p w14:paraId="57D81F77" w14:textId="77777777" w:rsidR="00E73FF0" w:rsidRDefault="00E73FF0" w:rsidP="00E73FF0">
            <w:pPr>
              <w:widowControl w:val="0"/>
              <w:autoSpaceDE w:val="0"/>
              <w:autoSpaceDN w:val="0"/>
              <w:adjustRightInd w:val="0"/>
              <w:spacing w:after="0" w:line="240" w:lineRule="auto"/>
              <w:jc w:val="center"/>
              <w:rPr>
                <w:rFonts w:eastAsia="Calibri" w:cs="Times New Roman"/>
                <w:szCs w:val="24"/>
                <w:lang w:val="en-AU"/>
              </w:rPr>
            </w:pPr>
            <w:r>
              <w:rPr>
                <w:rFonts w:eastAsia="Calibri" w:cs="Times New Roman"/>
                <w:szCs w:val="24"/>
                <w:lang w:val="en-AU"/>
              </w:rPr>
              <w:t>77 (14%)</w:t>
            </w:r>
          </w:p>
        </w:tc>
        <w:tc>
          <w:tcPr>
            <w:tcW w:w="808" w:type="pct"/>
            <w:tcBorders>
              <w:bottom w:val="nil"/>
            </w:tcBorders>
            <w:shd w:val="clear" w:color="auto" w:fill="auto"/>
            <w:vAlign w:val="center"/>
          </w:tcPr>
          <w:p w14:paraId="193C0E9F" w14:textId="77777777" w:rsidR="00E73FF0" w:rsidRDefault="00E73FF0" w:rsidP="00E73FF0">
            <w:pPr>
              <w:widowControl w:val="0"/>
              <w:autoSpaceDE w:val="0"/>
              <w:autoSpaceDN w:val="0"/>
              <w:adjustRightInd w:val="0"/>
              <w:spacing w:after="0" w:line="240" w:lineRule="auto"/>
              <w:jc w:val="center"/>
              <w:rPr>
                <w:rFonts w:eastAsia="Calibri" w:cs="Times New Roman"/>
                <w:szCs w:val="24"/>
                <w:lang w:val="en-AU"/>
              </w:rPr>
            </w:pPr>
            <w:r>
              <w:rPr>
                <w:rFonts w:eastAsia="Calibri" w:cs="Times New Roman"/>
                <w:szCs w:val="24"/>
                <w:lang w:val="en-AU"/>
              </w:rPr>
              <w:t>109 (21%)</w:t>
            </w:r>
          </w:p>
        </w:tc>
      </w:tr>
      <w:tr w:rsidR="00E73FF0" w14:paraId="0EE1909E" w14:textId="77777777" w:rsidTr="00E84EE9">
        <w:trPr>
          <w:trHeight w:val="300"/>
        </w:trPr>
        <w:tc>
          <w:tcPr>
            <w:tcW w:w="2518" w:type="pct"/>
            <w:tcBorders>
              <w:top w:val="nil"/>
              <w:bottom w:val="nil"/>
            </w:tcBorders>
            <w:shd w:val="clear" w:color="auto" w:fill="auto"/>
            <w:tcMar>
              <w:top w:w="144" w:type="nil"/>
              <w:right w:w="144" w:type="nil"/>
            </w:tcMar>
            <w:vAlign w:val="center"/>
          </w:tcPr>
          <w:p w14:paraId="7BD67F59" w14:textId="77777777" w:rsidR="00E73FF0" w:rsidRPr="00285BA0" w:rsidRDefault="00E73FF0" w:rsidP="00285BA0">
            <w:pPr>
              <w:widowControl w:val="0"/>
              <w:autoSpaceDE w:val="0"/>
              <w:autoSpaceDN w:val="0"/>
              <w:adjustRightInd w:val="0"/>
              <w:spacing w:after="0" w:line="240" w:lineRule="auto"/>
              <w:jc w:val="right"/>
              <w:rPr>
                <w:rFonts w:eastAsia="Calibri" w:cs="Times New Roman"/>
                <w:i/>
                <w:szCs w:val="24"/>
                <w:lang w:val="en-AU"/>
              </w:rPr>
            </w:pPr>
            <w:r w:rsidRPr="00285BA0">
              <w:rPr>
                <w:rFonts w:eastAsia="Calibri" w:cs="Times New Roman"/>
                <w:i/>
                <w:szCs w:val="24"/>
                <w:lang w:val="en-AU"/>
              </w:rPr>
              <w:t>with no CP</w:t>
            </w:r>
          </w:p>
        </w:tc>
        <w:tc>
          <w:tcPr>
            <w:tcW w:w="866" w:type="pct"/>
            <w:tcBorders>
              <w:top w:val="nil"/>
              <w:bottom w:val="nil"/>
            </w:tcBorders>
            <w:shd w:val="clear" w:color="auto" w:fill="auto"/>
            <w:vAlign w:val="center"/>
          </w:tcPr>
          <w:p w14:paraId="6EE06334" w14:textId="77777777" w:rsidR="00E73FF0" w:rsidRDefault="00E73FF0" w:rsidP="00E73FF0">
            <w:pPr>
              <w:widowControl w:val="0"/>
              <w:autoSpaceDE w:val="0"/>
              <w:autoSpaceDN w:val="0"/>
              <w:adjustRightInd w:val="0"/>
              <w:spacing w:after="0" w:line="240" w:lineRule="auto"/>
              <w:jc w:val="center"/>
              <w:rPr>
                <w:rFonts w:eastAsia="Calibri" w:cs="Times New Roman"/>
                <w:szCs w:val="24"/>
                <w:lang w:val="en-AU"/>
              </w:rPr>
            </w:pPr>
            <w:r>
              <w:rPr>
                <w:rFonts w:eastAsia="Calibri" w:cs="Times New Roman"/>
                <w:szCs w:val="24"/>
                <w:lang w:val="en-AU"/>
              </w:rPr>
              <w:t>1,207 (54%)</w:t>
            </w:r>
          </w:p>
        </w:tc>
        <w:tc>
          <w:tcPr>
            <w:tcW w:w="808" w:type="pct"/>
            <w:tcBorders>
              <w:top w:val="nil"/>
              <w:bottom w:val="nil"/>
            </w:tcBorders>
            <w:shd w:val="clear" w:color="auto" w:fill="auto"/>
            <w:vAlign w:val="center"/>
          </w:tcPr>
          <w:p w14:paraId="314AB50E" w14:textId="77777777" w:rsidR="00E73FF0" w:rsidRDefault="00E73FF0" w:rsidP="00E73FF0">
            <w:pPr>
              <w:widowControl w:val="0"/>
              <w:autoSpaceDE w:val="0"/>
              <w:autoSpaceDN w:val="0"/>
              <w:adjustRightInd w:val="0"/>
              <w:spacing w:after="0" w:line="240" w:lineRule="auto"/>
              <w:jc w:val="center"/>
              <w:rPr>
                <w:rFonts w:eastAsia="Calibri" w:cs="Times New Roman"/>
                <w:szCs w:val="24"/>
                <w:lang w:val="en-AU"/>
              </w:rPr>
            </w:pPr>
            <w:r>
              <w:rPr>
                <w:rFonts w:eastAsia="Calibri" w:cs="Times New Roman"/>
                <w:szCs w:val="24"/>
                <w:lang w:val="en-AU"/>
              </w:rPr>
              <w:t>285 (51%)</w:t>
            </w:r>
          </w:p>
        </w:tc>
        <w:tc>
          <w:tcPr>
            <w:tcW w:w="808" w:type="pct"/>
            <w:tcBorders>
              <w:top w:val="nil"/>
              <w:bottom w:val="nil"/>
            </w:tcBorders>
            <w:shd w:val="clear" w:color="auto" w:fill="auto"/>
            <w:vAlign w:val="center"/>
          </w:tcPr>
          <w:p w14:paraId="1A10BAF9" w14:textId="77777777" w:rsidR="00E73FF0" w:rsidRDefault="00E73FF0" w:rsidP="00E73FF0">
            <w:pPr>
              <w:widowControl w:val="0"/>
              <w:autoSpaceDE w:val="0"/>
              <w:autoSpaceDN w:val="0"/>
              <w:adjustRightInd w:val="0"/>
              <w:spacing w:after="0" w:line="240" w:lineRule="auto"/>
              <w:jc w:val="center"/>
              <w:rPr>
                <w:rFonts w:eastAsia="Calibri" w:cs="Times New Roman"/>
                <w:szCs w:val="24"/>
                <w:lang w:val="en-AU"/>
              </w:rPr>
            </w:pPr>
            <w:r>
              <w:rPr>
                <w:rFonts w:eastAsia="Calibri" w:cs="Times New Roman"/>
                <w:szCs w:val="24"/>
                <w:lang w:val="en-AU"/>
              </w:rPr>
              <w:t>248 (47%)</w:t>
            </w:r>
          </w:p>
        </w:tc>
      </w:tr>
      <w:tr w:rsidR="00E73FF0" w14:paraId="2DF18CB1" w14:textId="77777777" w:rsidTr="00E84EE9">
        <w:tblPrEx>
          <w:tblBorders>
            <w:top w:val="none" w:sz="0" w:space="0" w:color="auto"/>
          </w:tblBorders>
        </w:tblPrEx>
        <w:trPr>
          <w:trHeight w:val="300"/>
        </w:trPr>
        <w:tc>
          <w:tcPr>
            <w:tcW w:w="2518" w:type="pct"/>
            <w:tcBorders>
              <w:bottom w:val="nil"/>
            </w:tcBorders>
            <w:shd w:val="clear" w:color="auto" w:fill="auto"/>
            <w:tcMar>
              <w:top w:w="144" w:type="nil"/>
              <w:right w:w="144" w:type="nil"/>
            </w:tcMar>
            <w:vAlign w:val="center"/>
          </w:tcPr>
          <w:p w14:paraId="7E75ACAD" w14:textId="77777777" w:rsidR="00E73FF0" w:rsidRPr="00285BA0" w:rsidRDefault="00E73FF0" w:rsidP="00285BA0">
            <w:pPr>
              <w:widowControl w:val="0"/>
              <w:autoSpaceDE w:val="0"/>
              <w:autoSpaceDN w:val="0"/>
              <w:adjustRightInd w:val="0"/>
              <w:spacing w:after="0" w:line="240" w:lineRule="auto"/>
              <w:jc w:val="right"/>
              <w:rPr>
                <w:rFonts w:eastAsia="Calibri" w:cs="Times New Roman"/>
                <w:i/>
                <w:szCs w:val="24"/>
                <w:lang w:val="en-AU"/>
              </w:rPr>
            </w:pPr>
            <w:r w:rsidRPr="00285BA0">
              <w:rPr>
                <w:rFonts w:eastAsia="Calibri" w:cs="Times New Roman"/>
                <w:i/>
                <w:szCs w:val="24"/>
                <w:lang w:val="en-AU"/>
              </w:rPr>
              <w:t>within 12 months of AR (current AR)</w:t>
            </w:r>
          </w:p>
        </w:tc>
        <w:tc>
          <w:tcPr>
            <w:tcW w:w="866" w:type="pct"/>
            <w:tcBorders>
              <w:bottom w:val="nil"/>
            </w:tcBorders>
            <w:shd w:val="clear" w:color="auto" w:fill="auto"/>
            <w:vAlign w:val="center"/>
          </w:tcPr>
          <w:p w14:paraId="036E5A4B" w14:textId="77777777" w:rsidR="00E73FF0" w:rsidRDefault="00E73FF0" w:rsidP="00E73FF0">
            <w:pPr>
              <w:widowControl w:val="0"/>
              <w:autoSpaceDE w:val="0"/>
              <w:autoSpaceDN w:val="0"/>
              <w:adjustRightInd w:val="0"/>
              <w:spacing w:after="0" w:line="240" w:lineRule="auto"/>
              <w:jc w:val="center"/>
              <w:rPr>
                <w:rFonts w:eastAsia="Calibri" w:cs="Times New Roman"/>
                <w:szCs w:val="24"/>
                <w:lang w:val="en-AU"/>
              </w:rPr>
            </w:pPr>
            <w:r>
              <w:rPr>
                <w:rFonts w:eastAsia="Calibri" w:cs="Times New Roman"/>
                <w:szCs w:val="24"/>
                <w:lang w:val="en-AU"/>
              </w:rPr>
              <w:t>1,024 (46%)</w:t>
            </w:r>
          </w:p>
        </w:tc>
        <w:tc>
          <w:tcPr>
            <w:tcW w:w="808" w:type="pct"/>
            <w:tcBorders>
              <w:bottom w:val="nil"/>
            </w:tcBorders>
            <w:shd w:val="clear" w:color="auto" w:fill="auto"/>
            <w:vAlign w:val="center"/>
          </w:tcPr>
          <w:p w14:paraId="3B8AA306" w14:textId="77777777" w:rsidR="00E73FF0" w:rsidRDefault="00E73FF0" w:rsidP="00E73FF0">
            <w:pPr>
              <w:widowControl w:val="0"/>
              <w:autoSpaceDE w:val="0"/>
              <w:autoSpaceDN w:val="0"/>
              <w:adjustRightInd w:val="0"/>
              <w:spacing w:after="0" w:line="240" w:lineRule="auto"/>
              <w:jc w:val="center"/>
              <w:rPr>
                <w:rFonts w:eastAsia="Calibri" w:cs="Times New Roman"/>
                <w:szCs w:val="24"/>
                <w:lang w:val="en-AU"/>
              </w:rPr>
            </w:pPr>
            <w:r>
              <w:rPr>
                <w:rFonts w:eastAsia="Calibri" w:cs="Times New Roman"/>
                <w:szCs w:val="24"/>
                <w:lang w:val="en-AU"/>
              </w:rPr>
              <w:t>263 (47%)</w:t>
            </w:r>
          </w:p>
        </w:tc>
        <w:tc>
          <w:tcPr>
            <w:tcW w:w="808" w:type="pct"/>
            <w:tcBorders>
              <w:bottom w:val="nil"/>
            </w:tcBorders>
            <w:shd w:val="clear" w:color="auto" w:fill="auto"/>
            <w:vAlign w:val="center"/>
          </w:tcPr>
          <w:p w14:paraId="509CE45C" w14:textId="77777777" w:rsidR="00E73FF0" w:rsidRDefault="00E73FF0" w:rsidP="00E73FF0">
            <w:pPr>
              <w:widowControl w:val="0"/>
              <w:autoSpaceDE w:val="0"/>
              <w:autoSpaceDN w:val="0"/>
              <w:adjustRightInd w:val="0"/>
              <w:spacing w:after="0" w:line="240" w:lineRule="auto"/>
              <w:jc w:val="center"/>
              <w:rPr>
                <w:rFonts w:eastAsia="Calibri" w:cs="Times New Roman"/>
                <w:szCs w:val="24"/>
                <w:lang w:val="en-AU"/>
              </w:rPr>
            </w:pPr>
            <w:r>
              <w:rPr>
                <w:rFonts w:eastAsia="Calibri" w:cs="Times New Roman"/>
                <w:szCs w:val="24"/>
                <w:lang w:val="en-AU"/>
              </w:rPr>
              <w:t>301 (57%)</w:t>
            </w:r>
          </w:p>
        </w:tc>
      </w:tr>
      <w:tr w:rsidR="00E73FF0" w14:paraId="2E455147" w14:textId="77777777" w:rsidTr="00E84EE9">
        <w:tblPrEx>
          <w:tblBorders>
            <w:top w:val="none" w:sz="0" w:space="0" w:color="auto"/>
          </w:tblBorders>
        </w:tblPrEx>
        <w:trPr>
          <w:trHeight w:val="300"/>
        </w:trPr>
        <w:tc>
          <w:tcPr>
            <w:tcW w:w="2518" w:type="pct"/>
            <w:tcBorders>
              <w:bottom w:val="single" w:sz="4" w:space="0" w:color="auto"/>
            </w:tcBorders>
            <w:shd w:val="clear" w:color="auto" w:fill="auto"/>
            <w:tcMar>
              <w:top w:w="144" w:type="nil"/>
              <w:right w:w="144" w:type="nil"/>
            </w:tcMar>
            <w:vAlign w:val="center"/>
          </w:tcPr>
          <w:p w14:paraId="26AF3207" w14:textId="77777777" w:rsidR="00E73FF0" w:rsidRPr="00285BA0" w:rsidRDefault="00E73FF0" w:rsidP="00285BA0">
            <w:pPr>
              <w:widowControl w:val="0"/>
              <w:autoSpaceDE w:val="0"/>
              <w:autoSpaceDN w:val="0"/>
              <w:adjustRightInd w:val="0"/>
              <w:spacing w:after="0" w:line="240" w:lineRule="auto"/>
              <w:jc w:val="right"/>
              <w:rPr>
                <w:rFonts w:eastAsia="Calibri" w:cs="Times New Roman"/>
                <w:i/>
                <w:szCs w:val="24"/>
                <w:lang w:val="en-AU"/>
              </w:rPr>
            </w:pPr>
            <w:r w:rsidRPr="00285BA0">
              <w:rPr>
                <w:rFonts w:eastAsia="Calibri" w:cs="Times New Roman"/>
                <w:i/>
                <w:szCs w:val="24"/>
                <w:lang w:val="en-AU"/>
              </w:rPr>
              <w:t>with no current annual in last 12 months</w:t>
            </w:r>
          </w:p>
        </w:tc>
        <w:tc>
          <w:tcPr>
            <w:tcW w:w="866" w:type="pct"/>
            <w:tcBorders>
              <w:bottom w:val="single" w:sz="4" w:space="0" w:color="auto"/>
            </w:tcBorders>
            <w:shd w:val="clear" w:color="auto" w:fill="auto"/>
            <w:vAlign w:val="center"/>
          </w:tcPr>
          <w:p w14:paraId="2A1EF436" w14:textId="77777777" w:rsidR="00E73FF0" w:rsidRDefault="00E73FF0" w:rsidP="00E73FF0">
            <w:pPr>
              <w:widowControl w:val="0"/>
              <w:autoSpaceDE w:val="0"/>
              <w:autoSpaceDN w:val="0"/>
              <w:adjustRightInd w:val="0"/>
              <w:spacing w:after="0" w:line="240" w:lineRule="auto"/>
              <w:jc w:val="center"/>
              <w:rPr>
                <w:rFonts w:eastAsia="Calibri" w:cs="Times New Roman"/>
                <w:szCs w:val="24"/>
                <w:lang w:val="en-AU"/>
              </w:rPr>
            </w:pPr>
            <w:r>
              <w:rPr>
                <w:rFonts w:eastAsia="Calibri" w:cs="Times New Roman"/>
                <w:szCs w:val="24"/>
                <w:lang w:val="en-AU"/>
              </w:rPr>
              <w:t>1,189 (54%)</w:t>
            </w:r>
          </w:p>
        </w:tc>
        <w:tc>
          <w:tcPr>
            <w:tcW w:w="808" w:type="pct"/>
            <w:tcBorders>
              <w:bottom w:val="single" w:sz="4" w:space="0" w:color="auto"/>
            </w:tcBorders>
            <w:shd w:val="clear" w:color="auto" w:fill="auto"/>
            <w:vAlign w:val="center"/>
          </w:tcPr>
          <w:p w14:paraId="008B81E7" w14:textId="77777777" w:rsidR="00E73FF0" w:rsidRDefault="00E73FF0" w:rsidP="00E73FF0">
            <w:pPr>
              <w:widowControl w:val="0"/>
              <w:autoSpaceDE w:val="0"/>
              <w:autoSpaceDN w:val="0"/>
              <w:adjustRightInd w:val="0"/>
              <w:spacing w:after="0" w:line="240" w:lineRule="auto"/>
              <w:jc w:val="center"/>
              <w:rPr>
                <w:rFonts w:eastAsia="Calibri" w:cs="Times New Roman"/>
                <w:szCs w:val="24"/>
                <w:lang w:val="en-AU"/>
              </w:rPr>
            </w:pPr>
            <w:r>
              <w:rPr>
                <w:rFonts w:eastAsia="Calibri" w:cs="Times New Roman"/>
                <w:szCs w:val="24"/>
                <w:lang w:val="en-AU"/>
              </w:rPr>
              <w:t>299 (53%)</w:t>
            </w:r>
          </w:p>
        </w:tc>
        <w:tc>
          <w:tcPr>
            <w:tcW w:w="808" w:type="pct"/>
            <w:tcBorders>
              <w:bottom w:val="single" w:sz="4" w:space="0" w:color="auto"/>
            </w:tcBorders>
            <w:shd w:val="clear" w:color="auto" w:fill="auto"/>
            <w:vAlign w:val="center"/>
          </w:tcPr>
          <w:p w14:paraId="03033CEF" w14:textId="77777777" w:rsidR="00E73FF0" w:rsidRDefault="00E73FF0" w:rsidP="00E73FF0">
            <w:pPr>
              <w:widowControl w:val="0"/>
              <w:autoSpaceDE w:val="0"/>
              <w:autoSpaceDN w:val="0"/>
              <w:adjustRightInd w:val="0"/>
              <w:spacing w:after="0" w:line="240" w:lineRule="auto"/>
              <w:jc w:val="center"/>
              <w:rPr>
                <w:rFonts w:eastAsia="Calibri" w:cs="Times New Roman"/>
                <w:szCs w:val="24"/>
                <w:lang w:val="en-AU"/>
              </w:rPr>
            </w:pPr>
            <w:r>
              <w:rPr>
                <w:rFonts w:eastAsia="Calibri" w:cs="Times New Roman"/>
                <w:szCs w:val="24"/>
                <w:lang w:val="en-AU"/>
              </w:rPr>
              <w:t>227 (43%)</w:t>
            </w:r>
          </w:p>
        </w:tc>
      </w:tr>
    </w:tbl>
    <w:p w14:paraId="61E60A4B" w14:textId="144C2141" w:rsidR="008C6329" w:rsidRDefault="008C6329" w:rsidP="00A36BF7">
      <w:pPr>
        <w:spacing w:after="0" w:line="240" w:lineRule="auto"/>
        <w:rPr>
          <w:rFonts w:eastAsiaTheme="minorHAnsi" w:cs="Times New Roman"/>
          <w:sz w:val="20"/>
          <w:szCs w:val="20"/>
          <w:lang w:eastAsia="en-US"/>
        </w:rPr>
      </w:pPr>
      <w:r w:rsidRPr="008C6329">
        <w:rPr>
          <w:rFonts w:eastAsiaTheme="minorHAnsi" w:cs="Times New Roman"/>
          <w:sz w:val="20"/>
          <w:szCs w:val="20"/>
          <w:lang w:eastAsia="en-US"/>
        </w:rPr>
        <w:t xml:space="preserve">The period of observation is shorter </w:t>
      </w:r>
      <w:r>
        <w:rPr>
          <w:rFonts w:eastAsiaTheme="minorHAnsi" w:cs="Times New Roman"/>
          <w:sz w:val="20"/>
          <w:szCs w:val="20"/>
          <w:lang w:eastAsia="en-US"/>
        </w:rPr>
        <w:t>in the outcome-specific</w:t>
      </w:r>
      <w:r w:rsidRPr="008C6329">
        <w:rPr>
          <w:rFonts w:eastAsiaTheme="minorHAnsi" w:cs="Times New Roman"/>
          <w:sz w:val="20"/>
          <w:szCs w:val="20"/>
          <w:lang w:eastAsia="en-US"/>
        </w:rPr>
        <w:t xml:space="preserve"> samples than the full study observation period because the patient exits observation once the first outcome event occurs.</w:t>
      </w:r>
    </w:p>
    <w:p w14:paraId="47A46A6B" w14:textId="4530FE29" w:rsidR="008C6329" w:rsidRDefault="008C6329" w:rsidP="00A36BF7">
      <w:pPr>
        <w:spacing w:after="0" w:line="240" w:lineRule="auto"/>
        <w:rPr>
          <w:rFonts w:eastAsiaTheme="minorHAnsi" w:cs="Times New Roman"/>
          <w:sz w:val="20"/>
          <w:szCs w:val="20"/>
          <w:lang w:val="en-AU" w:eastAsia="en-US"/>
        </w:rPr>
      </w:pPr>
      <w:r>
        <w:rPr>
          <w:rFonts w:eastAsiaTheme="minorHAnsi" w:cs="Times New Roman"/>
          <w:sz w:val="20"/>
          <w:szCs w:val="20"/>
          <w:lang w:eastAsia="en-US"/>
        </w:rPr>
        <w:t xml:space="preserve">*Mean years observed from diagnosis to outcome for those who experienced the outcome. </w:t>
      </w:r>
    </w:p>
    <w:p w14:paraId="358AAB0E" w14:textId="77777777" w:rsidR="00A36BF7" w:rsidRDefault="00A36BF7" w:rsidP="00A36BF7">
      <w:pPr>
        <w:spacing w:after="0" w:line="240" w:lineRule="auto"/>
        <w:rPr>
          <w:rFonts w:cs="Times New Roman"/>
          <w:sz w:val="20"/>
          <w:szCs w:val="20"/>
          <w:lang w:eastAsia="ja-JP"/>
        </w:rPr>
      </w:pPr>
      <w:r>
        <w:rPr>
          <w:rFonts w:cs="Times New Roman"/>
          <w:sz w:val="20"/>
          <w:szCs w:val="20"/>
          <w:lang w:eastAsia="ja-JP"/>
        </w:rPr>
        <w:t xml:space="preserve">CP: Care plan. AR: Annual review of physical health. </w:t>
      </w:r>
    </w:p>
    <w:p w14:paraId="23D119A5" w14:textId="462DB5D5" w:rsidR="00A36BF7" w:rsidRDefault="00A36BF7" w:rsidP="00A36BF7">
      <w:pPr>
        <w:spacing w:after="0" w:line="240" w:lineRule="auto"/>
        <w:rPr>
          <w:rFonts w:cs="Times New Roman"/>
          <w:sz w:val="20"/>
          <w:szCs w:val="20"/>
          <w:lang w:eastAsia="ja-JP"/>
        </w:rPr>
      </w:pPr>
      <w:r>
        <w:rPr>
          <w:rFonts w:cs="Times New Roman"/>
          <w:sz w:val="20"/>
          <w:szCs w:val="20"/>
          <w:lang w:eastAsia="ja-JP"/>
        </w:rPr>
        <w:t>A&amp;E</w:t>
      </w:r>
      <w:r w:rsidR="00A04672">
        <w:rPr>
          <w:rFonts w:cs="Times New Roman"/>
          <w:sz w:val="20"/>
          <w:szCs w:val="20"/>
          <w:lang w:eastAsia="ja-JP"/>
        </w:rPr>
        <w:t xml:space="preserve"> presentation</w:t>
      </w:r>
      <w:r>
        <w:rPr>
          <w:rFonts w:cs="Times New Roman"/>
          <w:sz w:val="20"/>
          <w:szCs w:val="20"/>
          <w:lang w:eastAsia="ja-JP"/>
        </w:rPr>
        <w:t>: Presentation of any cause to the Accident &amp; Emergency department</w:t>
      </w:r>
    </w:p>
    <w:p w14:paraId="27D19573" w14:textId="77777777" w:rsidR="00A36BF7" w:rsidRPr="00206314" w:rsidRDefault="00A36BF7" w:rsidP="00A36BF7">
      <w:pPr>
        <w:spacing w:after="0" w:line="240" w:lineRule="auto"/>
        <w:rPr>
          <w:rFonts w:cs="Times New Roman"/>
          <w:sz w:val="20"/>
          <w:szCs w:val="20"/>
          <w:lang w:eastAsia="ja-JP"/>
        </w:rPr>
      </w:pPr>
      <w:r>
        <w:rPr>
          <w:rFonts w:cs="Times New Roman"/>
          <w:sz w:val="20"/>
          <w:szCs w:val="20"/>
          <w:lang w:eastAsia="ja-JP"/>
        </w:rPr>
        <w:t xml:space="preserve">SMI admission: Inpatient admission with a primary diagnosis of serious mental illness (ICD-10 codes </w:t>
      </w:r>
      <w:r w:rsidRPr="00206314">
        <w:rPr>
          <w:rFonts w:cs="Times New Roman"/>
          <w:sz w:val="20"/>
          <w:szCs w:val="20"/>
          <w:lang w:eastAsia="ja-JP"/>
        </w:rPr>
        <w:t>F20-F31</w:t>
      </w:r>
      <w:r>
        <w:rPr>
          <w:rFonts w:cs="Times New Roman"/>
          <w:sz w:val="20"/>
          <w:szCs w:val="20"/>
          <w:lang w:eastAsia="ja-JP"/>
        </w:rPr>
        <w:t>)</w:t>
      </w:r>
    </w:p>
    <w:p w14:paraId="2E5F33B2" w14:textId="77777777" w:rsidR="00A36BF7" w:rsidRPr="00206314" w:rsidRDefault="00A36BF7" w:rsidP="00A36BF7">
      <w:pPr>
        <w:spacing w:after="0" w:line="240" w:lineRule="auto"/>
        <w:rPr>
          <w:rFonts w:cs="Times New Roman"/>
          <w:sz w:val="20"/>
          <w:szCs w:val="20"/>
          <w:lang w:eastAsia="ja-JP"/>
        </w:rPr>
      </w:pPr>
      <w:r>
        <w:rPr>
          <w:rFonts w:cs="Times New Roman"/>
          <w:sz w:val="20"/>
          <w:szCs w:val="20"/>
          <w:lang w:eastAsia="ja-JP"/>
        </w:rPr>
        <w:t>ACSC admission: Inpatient admission with a diagnosis of an ambulatory care-sensitive condition (</w:t>
      </w:r>
      <w:r w:rsidRPr="00206314">
        <w:rPr>
          <w:rFonts w:cs="Times New Roman"/>
          <w:sz w:val="20"/>
          <w:szCs w:val="20"/>
          <w:lang w:eastAsia="ja-JP"/>
        </w:rPr>
        <w:t>see Supplementary Table 1</w:t>
      </w:r>
      <w:r>
        <w:rPr>
          <w:rFonts w:cs="Times New Roman"/>
          <w:sz w:val="20"/>
          <w:szCs w:val="20"/>
          <w:lang w:eastAsia="ja-JP"/>
        </w:rPr>
        <w:t xml:space="preserve"> for a list of conditions)</w:t>
      </w:r>
    </w:p>
    <w:p w14:paraId="63147283" w14:textId="77777777" w:rsidR="00A36BF7" w:rsidRDefault="00A36BF7" w:rsidP="00F1780E"/>
    <w:p w14:paraId="5B860502" w14:textId="494B033D" w:rsidR="004744A4" w:rsidRDefault="004744A4">
      <w:pPr>
        <w:spacing w:after="200" w:line="276" w:lineRule="auto"/>
        <w:rPr>
          <w:rFonts w:eastAsiaTheme="majorEastAsia" w:cs="Times New Roman"/>
          <w:b/>
          <w:bCs/>
          <w:color w:val="000000" w:themeColor="text1"/>
          <w:szCs w:val="26"/>
        </w:rPr>
      </w:pPr>
    </w:p>
    <w:p w14:paraId="67D59F85" w14:textId="460DDF32" w:rsidR="00236853" w:rsidRPr="00976A9A" w:rsidRDefault="00236853" w:rsidP="00F1780E"/>
    <w:p w14:paraId="0CEB7594" w14:textId="77777777" w:rsidR="00236853" w:rsidRPr="00976A9A" w:rsidRDefault="00236853" w:rsidP="00236853">
      <w:pPr>
        <w:spacing w:after="200" w:line="276" w:lineRule="auto"/>
        <w:rPr>
          <w:rFonts w:cs="Times New Roman"/>
        </w:rPr>
        <w:sectPr w:rsidR="00236853" w:rsidRPr="00976A9A" w:rsidSect="00A605D3">
          <w:footerReference w:type="default" r:id="rId24"/>
          <w:footnotePr>
            <w:numFmt w:val="lowerRoman"/>
          </w:footnotePr>
          <w:pgSz w:w="11906" w:h="16838"/>
          <w:pgMar w:top="1440" w:right="1800" w:bottom="1440" w:left="1800" w:header="708" w:footer="708" w:gutter="0"/>
          <w:cols w:space="708"/>
          <w:docGrid w:linePitch="360"/>
        </w:sectPr>
      </w:pPr>
    </w:p>
    <w:p w14:paraId="33EFF523" w14:textId="2069E25D" w:rsidR="00912A8F" w:rsidRPr="00912A8F" w:rsidRDefault="00912A8F" w:rsidP="00912A8F">
      <w:pPr>
        <w:rPr>
          <w:rFonts w:eastAsia="SimSun" w:cs="Times New Roman"/>
        </w:rPr>
      </w:pPr>
      <w:r w:rsidRPr="00912A8F">
        <w:rPr>
          <w:rFonts w:eastAsia="SimSun" w:cs="Times New Roman"/>
        </w:rPr>
        <w:lastRenderedPageBreak/>
        <w:t xml:space="preserve">Table </w:t>
      </w:r>
      <w:r>
        <w:rPr>
          <w:rFonts w:eastAsia="SimSun" w:cs="Times New Roman"/>
        </w:rPr>
        <w:t>3</w:t>
      </w:r>
      <w:r w:rsidRPr="00912A8F">
        <w:rPr>
          <w:rFonts w:eastAsia="SimSun" w:cs="Times New Roman"/>
        </w:rPr>
        <w:t>: Main model - full results with A&amp;E presentation as the outcome</w:t>
      </w:r>
    </w:p>
    <w:tbl>
      <w:tblPr>
        <w:tblW w:w="8129" w:type="dxa"/>
        <w:tblInd w:w="93" w:type="dxa"/>
        <w:tblLayout w:type="fixed"/>
        <w:tblLook w:val="04A0" w:firstRow="1" w:lastRow="0" w:firstColumn="1" w:lastColumn="0" w:noHBand="0" w:noVBand="1"/>
      </w:tblPr>
      <w:tblGrid>
        <w:gridCol w:w="2499"/>
        <w:gridCol w:w="2511"/>
        <w:gridCol w:w="1418"/>
        <w:gridCol w:w="141"/>
        <w:gridCol w:w="1560"/>
      </w:tblGrid>
      <w:tr w:rsidR="00912A8F" w:rsidRPr="00912A8F" w14:paraId="012E34C4" w14:textId="77777777" w:rsidTr="00092705">
        <w:trPr>
          <w:trHeight w:val="300"/>
          <w:tblHeader/>
        </w:trPr>
        <w:tc>
          <w:tcPr>
            <w:tcW w:w="2499" w:type="dxa"/>
            <w:tcBorders>
              <w:top w:val="single" w:sz="4" w:space="0" w:color="auto"/>
              <w:left w:val="nil"/>
              <w:bottom w:val="single" w:sz="4" w:space="0" w:color="auto"/>
            </w:tcBorders>
            <w:shd w:val="clear" w:color="auto" w:fill="auto"/>
            <w:noWrap/>
            <w:vAlign w:val="bottom"/>
            <w:hideMark/>
          </w:tcPr>
          <w:p w14:paraId="179C0121"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 </w:t>
            </w:r>
          </w:p>
        </w:tc>
        <w:tc>
          <w:tcPr>
            <w:tcW w:w="2511" w:type="dxa"/>
            <w:tcBorders>
              <w:top w:val="single" w:sz="4" w:space="0" w:color="auto"/>
              <w:bottom w:val="single" w:sz="4" w:space="0" w:color="auto"/>
              <w:right w:val="single" w:sz="4" w:space="0" w:color="auto"/>
            </w:tcBorders>
            <w:shd w:val="clear" w:color="auto" w:fill="auto"/>
            <w:noWrap/>
            <w:vAlign w:val="bottom"/>
            <w:hideMark/>
          </w:tcPr>
          <w:p w14:paraId="56E4186B"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 </w:t>
            </w:r>
          </w:p>
        </w:tc>
        <w:tc>
          <w:tcPr>
            <w:tcW w:w="1559" w:type="dxa"/>
            <w:gridSpan w:val="2"/>
            <w:tcBorders>
              <w:top w:val="single" w:sz="4" w:space="0" w:color="auto"/>
              <w:left w:val="single" w:sz="4" w:space="0" w:color="auto"/>
              <w:bottom w:val="single" w:sz="4" w:space="0" w:color="auto"/>
            </w:tcBorders>
            <w:shd w:val="clear" w:color="auto" w:fill="auto"/>
            <w:noWrap/>
            <w:vAlign w:val="bottom"/>
            <w:hideMark/>
          </w:tcPr>
          <w:p w14:paraId="07899B03"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Main model</w:t>
            </w:r>
          </w:p>
          <w:p w14:paraId="450C8946"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HR</w:t>
            </w:r>
          </w:p>
        </w:tc>
        <w:tc>
          <w:tcPr>
            <w:tcW w:w="1560" w:type="dxa"/>
            <w:tcBorders>
              <w:top w:val="single" w:sz="4" w:space="0" w:color="auto"/>
              <w:bottom w:val="single" w:sz="4" w:space="0" w:color="auto"/>
            </w:tcBorders>
            <w:shd w:val="clear" w:color="auto" w:fill="auto"/>
            <w:vAlign w:val="bottom"/>
          </w:tcPr>
          <w:p w14:paraId="0CFB0B57" w14:textId="77777777" w:rsidR="00912A8F" w:rsidRPr="00912A8F" w:rsidRDefault="00912A8F" w:rsidP="005662A9">
            <w:pPr>
              <w:spacing w:after="0" w:line="240" w:lineRule="auto"/>
              <w:rPr>
                <w:rFonts w:eastAsia="SimSun" w:cs="Times New Roman"/>
                <w:lang w:val="en-US"/>
              </w:rPr>
            </w:pPr>
          </w:p>
          <w:p w14:paraId="15EEB1F8"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(95% CI)</w:t>
            </w:r>
          </w:p>
        </w:tc>
      </w:tr>
      <w:tr w:rsidR="00912A8F" w:rsidRPr="00912A8F" w14:paraId="3C016AB7" w14:textId="77777777" w:rsidTr="00092705">
        <w:trPr>
          <w:trHeight w:val="300"/>
        </w:trPr>
        <w:tc>
          <w:tcPr>
            <w:tcW w:w="2499" w:type="dxa"/>
            <w:tcBorders>
              <w:top w:val="single" w:sz="4" w:space="0" w:color="auto"/>
              <w:left w:val="nil"/>
              <w:bottom w:val="nil"/>
              <w:right w:val="nil"/>
            </w:tcBorders>
            <w:shd w:val="clear" w:color="auto" w:fill="auto"/>
            <w:noWrap/>
            <w:vAlign w:val="bottom"/>
            <w:hideMark/>
          </w:tcPr>
          <w:p w14:paraId="64AAE31F"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Current annual review</w:t>
            </w:r>
          </w:p>
        </w:tc>
        <w:tc>
          <w:tcPr>
            <w:tcW w:w="2511" w:type="dxa"/>
            <w:tcBorders>
              <w:top w:val="single" w:sz="4" w:space="0" w:color="auto"/>
              <w:left w:val="nil"/>
              <w:bottom w:val="nil"/>
              <w:right w:val="nil"/>
            </w:tcBorders>
            <w:shd w:val="clear" w:color="auto" w:fill="auto"/>
            <w:noWrap/>
            <w:vAlign w:val="bottom"/>
            <w:hideMark/>
          </w:tcPr>
          <w:p w14:paraId="0AD804A4" w14:textId="77777777" w:rsidR="00912A8F" w:rsidRPr="00912A8F" w:rsidRDefault="00912A8F" w:rsidP="005662A9">
            <w:pPr>
              <w:spacing w:after="0" w:line="240" w:lineRule="auto"/>
              <w:rPr>
                <w:rFonts w:eastAsia="SimSun" w:cs="Times New Roman"/>
                <w:lang w:val="en-US"/>
              </w:rPr>
            </w:pPr>
          </w:p>
        </w:tc>
        <w:tc>
          <w:tcPr>
            <w:tcW w:w="1418" w:type="dxa"/>
            <w:tcBorders>
              <w:top w:val="single" w:sz="4" w:space="0" w:color="auto"/>
              <w:left w:val="single" w:sz="4" w:space="0" w:color="auto"/>
              <w:bottom w:val="nil"/>
              <w:right w:val="nil"/>
            </w:tcBorders>
            <w:shd w:val="clear" w:color="auto" w:fill="auto"/>
            <w:noWrap/>
            <w:vAlign w:val="bottom"/>
            <w:hideMark/>
          </w:tcPr>
          <w:p w14:paraId="1C36C77F"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0.962</w:t>
            </w:r>
          </w:p>
        </w:tc>
        <w:tc>
          <w:tcPr>
            <w:tcW w:w="1701" w:type="dxa"/>
            <w:gridSpan w:val="2"/>
            <w:tcBorders>
              <w:top w:val="single" w:sz="4" w:space="0" w:color="auto"/>
              <w:left w:val="nil"/>
              <w:bottom w:val="nil"/>
            </w:tcBorders>
            <w:shd w:val="clear" w:color="auto" w:fill="auto"/>
            <w:noWrap/>
            <w:vAlign w:val="bottom"/>
            <w:hideMark/>
          </w:tcPr>
          <w:p w14:paraId="7C900449"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(0.856-1.080)</w:t>
            </w:r>
          </w:p>
        </w:tc>
      </w:tr>
      <w:tr w:rsidR="00912A8F" w:rsidRPr="00912A8F" w14:paraId="05F1D02A" w14:textId="77777777" w:rsidTr="00092705">
        <w:trPr>
          <w:trHeight w:val="300"/>
        </w:trPr>
        <w:tc>
          <w:tcPr>
            <w:tcW w:w="2499" w:type="dxa"/>
            <w:tcBorders>
              <w:top w:val="nil"/>
              <w:left w:val="nil"/>
              <w:bottom w:val="nil"/>
              <w:right w:val="nil"/>
            </w:tcBorders>
            <w:shd w:val="clear" w:color="auto" w:fill="auto"/>
            <w:noWrap/>
            <w:vAlign w:val="bottom"/>
            <w:hideMark/>
          </w:tcPr>
          <w:p w14:paraId="1D67D49C"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Current care plan</w:t>
            </w:r>
          </w:p>
        </w:tc>
        <w:tc>
          <w:tcPr>
            <w:tcW w:w="2511" w:type="dxa"/>
            <w:tcBorders>
              <w:top w:val="nil"/>
              <w:left w:val="nil"/>
              <w:bottom w:val="nil"/>
              <w:right w:val="nil"/>
            </w:tcBorders>
            <w:shd w:val="clear" w:color="auto" w:fill="auto"/>
            <w:noWrap/>
            <w:vAlign w:val="center"/>
            <w:hideMark/>
          </w:tcPr>
          <w:p w14:paraId="33542E41" w14:textId="77777777" w:rsidR="00912A8F" w:rsidRPr="00912A8F" w:rsidRDefault="00912A8F" w:rsidP="005662A9">
            <w:pPr>
              <w:spacing w:after="0" w:line="240" w:lineRule="auto"/>
              <w:rPr>
                <w:rFonts w:eastAsia="SimSun" w:cs="Times New Roman"/>
                <w:lang w:val="en-US"/>
              </w:rPr>
            </w:pPr>
          </w:p>
        </w:tc>
        <w:tc>
          <w:tcPr>
            <w:tcW w:w="1418" w:type="dxa"/>
            <w:tcBorders>
              <w:top w:val="nil"/>
              <w:left w:val="single" w:sz="4" w:space="0" w:color="auto"/>
              <w:bottom w:val="nil"/>
              <w:right w:val="nil"/>
            </w:tcBorders>
            <w:shd w:val="clear" w:color="auto" w:fill="auto"/>
            <w:noWrap/>
            <w:vAlign w:val="bottom"/>
            <w:hideMark/>
          </w:tcPr>
          <w:p w14:paraId="3F7F3553"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0.866*</w:t>
            </w:r>
          </w:p>
        </w:tc>
        <w:tc>
          <w:tcPr>
            <w:tcW w:w="1701" w:type="dxa"/>
            <w:gridSpan w:val="2"/>
            <w:tcBorders>
              <w:top w:val="nil"/>
              <w:left w:val="nil"/>
              <w:bottom w:val="nil"/>
            </w:tcBorders>
            <w:shd w:val="clear" w:color="auto" w:fill="auto"/>
            <w:noWrap/>
            <w:vAlign w:val="bottom"/>
            <w:hideMark/>
          </w:tcPr>
          <w:p w14:paraId="0E2D9675"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(0.766-0.979)</w:t>
            </w:r>
          </w:p>
        </w:tc>
      </w:tr>
      <w:tr w:rsidR="00912A8F" w:rsidRPr="00912A8F" w14:paraId="3C90D2AF" w14:textId="77777777" w:rsidTr="00092705">
        <w:trPr>
          <w:trHeight w:val="300"/>
        </w:trPr>
        <w:tc>
          <w:tcPr>
            <w:tcW w:w="2499" w:type="dxa"/>
            <w:tcBorders>
              <w:top w:val="nil"/>
              <w:left w:val="nil"/>
              <w:bottom w:val="nil"/>
              <w:right w:val="nil"/>
            </w:tcBorders>
            <w:shd w:val="clear" w:color="auto" w:fill="auto"/>
            <w:noWrap/>
            <w:vAlign w:val="bottom"/>
            <w:hideMark/>
          </w:tcPr>
          <w:p w14:paraId="28CB7D94"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Expired care plan</w:t>
            </w:r>
          </w:p>
        </w:tc>
        <w:tc>
          <w:tcPr>
            <w:tcW w:w="2511" w:type="dxa"/>
            <w:tcBorders>
              <w:top w:val="nil"/>
              <w:left w:val="nil"/>
              <w:bottom w:val="nil"/>
              <w:right w:val="nil"/>
            </w:tcBorders>
            <w:shd w:val="clear" w:color="auto" w:fill="auto"/>
            <w:noWrap/>
            <w:vAlign w:val="center"/>
            <w:hideMark/>
          </w:tcPr>
          <w:p w14:paraId="219D5196" w14:textId="77777777" w:rsidR="00912A8F" w:rsidRPr="00912A8F" w:rsidRDefault="00912A8F" w:rsidP="005662A9">
            <w:pPr>
              <w:spacing w:after="0" w:line="240" w:lineRule="auto"/>
              <w:rPr>
                <w:rFonts w:eastAsia="SimSun" w:cs="Times New Roman"/>
                <w:lang w:val="en-US"/>
              </w:rPr>
            </w:pPr>
          </w:p>
        </w:tc>
        <w:tc>
          <w:tcPr>
            <w:tcW w:w="1418" w:type="dxa"/>
            <w:tcBorders>
              <w:top w:val="nil"/>
              <w:left w:val="single" w:sz="4" w:space="0" w:color="auto"/>
              <w:bottom w:val="nil"/>
              <w:right w:val="nil"/>
            </w:tcBorders>
            <w:shd w:val="clear" w:color="auto" w:fill="auto"/>
            <w:noWrap/>
            <w:vAlign w:val="bottom"/>
            <w:hideMark/>
          </w:tcPr>
          <w:p w14:paraId="2B4FB186"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0.808*</w:t>
            </w:r>
          </w:p>
        </w:tc>
        <w:tc>
          <w:tcPr>
            <w:tcW w:w="1701" w:type="dxa"/>
            <w:gridSpan w:val="2"/>
            <w:tcBorders>
              <w:top w:val="nil"/>
              <w:left w:val="nil"/>
              <w:bottom w:val="nil"/>
            </w:tcBorders>
            <w:shd w:val="clear" w:color="auto" w:fill="auto"/>
            <w:noWrap/>
            <w:vAlign w:val="bottom"/>
            <w:hideMark/>
          </w:tcPr>
          <w:p w14:paraId="2B5A26D7"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(0.672-0.972)</w:t>
            </w:r>
          </w:p>
        </w:tc>
      </w:tr>
      <w:tr w:rsidR="00912A8F" w:rsidRPr="00912A8F" w14:paraId="6DB8BD9A" w14:textId="77777777" w:rsidTr="00092705">
        <w:trPr>
          <w:trHeight w:val="300"/>
        </w:trPr>
        <w:tc>
          <w:tcPr>
            <w:tcW w:w="2499" w:type="dxa"/>
            <w:tcBorders>
              <w:top w:val="nil"/>
              <w:left w:val="nil"/>
              <w:bottom w:val="nil"/>
              <w:right w:val="nil"/>
            </w:tcBorders>
            <w:shd w:val="clear" w:color="auto" w:fill="auto"/>
            <w:noWrap/>
            <w:vAlign w:val="bottom"/>
            <w:hideMark/>
          </w:tcPr>
          <w:p w14:paraId="1AEF4F7B"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Age at diagnosis</w:t>
            </w:r>
          </w:p>
        </w:tc>
        <w:tc>
          <w:tcPr>
            <w:tcW w:w="2511" w:type="dxa"/>
            <w:tcBorders>
              <w:top w:val="nil"/>
              <w:left w:val="nil"/>
              <w:bottom w:val="nil"/>
              <w:right w:val="nil"/>
            </w:tcBorders>
            <w:shd w:val="clear" w:color="auto" w:fill="auto"/>
            <w:noWrap/>
            <w:vAlign w:val="center"/>
            <w:hideMark/>
          </w:tcPr>
          <w:p w14:paraId="69C8D53B" w14:textId="77777777" w:rsidR="00912A8F" w:rsidRPr="00912A8F" w:rsidRDefault="00912A8F" w:rsidP="005662A9">
            <w:pPr>
              <w:spacing w:after="0" w:line="240" w:lineRule="auto"/>
              <w:rPr>
                <w:rFonts w:eastAsia="SimSun" w:cs="Times New Roman"/>
                <w:lang w:val="en-US"/>
              </w:rPr>
            </w:pPr>
          </w:p>
        </w:tc>
        <w:tc>
          <w:tcPr>
            <w:tcW w:w="1418" w:type="dxa"/>
            <w:tcBorders>
              <w:top w:val="nil"/>
              <w:left w:val="single" w:sz="4" w:space="0" w:color="auto"/>
              <w:bottom w:val="nil"/>
              <w:right w:val="nil"/>
            </w:tcBorders>
            <w:shd w:val="clear" w:color="auto" w:fill="auto"/>
            <w:noWrap/>
            <w:vAlign w:val="bottom"/>
            <w:hideMark/>
          </w:tcPr>
          <w:p w14:paraId="58A93770"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 </w:t>
            </w:r>
          </w:p>
        </w:tc>
        <w:tc>
          <w:tcPr>
            <w:tcW w:w="1701" w:type="dxa"/>
            <w:gridSpan w:val="2"/>
            <w:tcBorders>
              <w:top w:val="nil"/>
              <w:left w:val="nil"/>
              <w:bottom w:val="nil"/>
            </w:tcBorders>
            <w:shd w:val="clear" w:color="auto" w:fill="auto"/>
            <w:noWrap/>
            <w:vAlign w:val="bottom"/>
            <w:hideMark/>
          </w:tcPr>
          <w:p w14:paraId="6EC098F4"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 </w:t>
            </w:r>
          </w:p>
        </w:tc>
      </w:tr>
      <w:tr w:rsidR="00912A8F" w:rsidRPr="00912A8F" w14:paraId="1DBE7895" w14:textId="77777777" w:rsidTr="00092705">
        <w:trPr>
          <w:trHeight w:val="300"/>
        </w:trPr>
        <w:tc>
          <w:tcPr>
            <w:tcW w:w="2499" w:type="dxa"/>
            <w:tcBorders>
              <w:top w:val="nil"/>
              <w:left w:val="nil"/>
              <w:bottom w:val="nil"/>
              <w:right w:val="nil"/>
            </w:tcBorders>
            <w:shd w:val="clear" w:color="auto" w:fill="auto"/>
            <w:noWrap/>
            <w:vAlign w:val="bottom"/>
            <w:hideMark/>
          </w:tcPr>
          <w:p w14:paraId="634EAB9D" w14:textId="77777777" w:rsidR="00912A8F" w:rsidRPr="00912A8F" w:rsidRDefault="00912A8F" w:rsidP="005662A9">
            <w:pPr>
              <w:spacing w:after="0" w:line="240" w:lineRule="auto"/>
              <w:rPr>
                <w:rFonts w:eastAsia="SimSun" w:cs="Times New Roman"/>
                <w:lang w:val="en-US"/>
              </w:rPr>
            </w:pPr>
          </w:p>
        </w:tc>
        <w:tc>
          <w:tcPr>
            <w:tcW w:w="2511" w:type="dxa"/>
            <w:tcBorders>
              <w:top w:val="nil"/>
              <w:left w:val="nil"/>
              <w:bottom w:val="nil"/>
              <w:right w:val="nil"/>
            </w:tcBorders>
            <w:shd w:val="clear" w:color="auto" w:fill="auto"/>
            <w:noWrap/>
            <w:vAlign w:val="center"/>
            <w:hideMark/>
          </w:tcPr>
          <w:p w14:paraId="5C1A8AD0"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18-35 (base)</w:t>
            </w:r>
          </w:p>
        </w:tc>
        <w:tc>
          <w:tcPr>
            <w:tcW w:w="1418" w:type="dxa"/>
            <w:tcBorders>
              <w:top w:val="nil"/>
              <w:left w:val="single" w:sz="4" w:space="0" w:color="auto"/>
              <w:bottom w:val="nil"/>
              <w:right w:val="nil"/>
            </w:tcBorders>
            <w:shd w:val="clear" w:color="auto" w:fill="auto"/>
            <w:noWrap/>
            <w:vAlign w:val="bottom"/>
            <w:hideMark/>
          </w:tcPr>
          <w:p w14:paraId="014C332B"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 </w:t>
            </w:r>
          </w:p>
        </w:tc>
        <w:tc>
          <w:tcPr>
            <w:tcW w:w="1701" w:type="dxa"/>
            <w:gridSpan w:val="2"/>
            <w:tcBorders>
              <w:top w:val="nil"/>
              <w:left w:val="nil"/>
              <w:bottom w:val="nil"/>
            </w:tcBorders>
            <w:shd w:val="clear" w:color="auto" w:fill="auto"/>
            <w:noWrap/>
            <w:vAlign w:val="bottom"/>
            <w:hideMark/>
          </w:tcPr>
          <w:p w14:paraId="6353B7C9"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 </w:t>
            </w:r>
          </w:p>
        </w:tc>
      </w:tr>
      <w:tr w:rsidR="00912A8F" w:rsidRPr="00912A8F" w14:paraId="2695F63E" w14:textId="77777777" w:rsidTr="00092705">
        <w:trPr>
          <w:trHeight w:val="300"/>
        </w:trPr>
        <w:tc>
          <w:tcPr>
            <w:tcW w:w="2499" w:type="dxa"/>
            <w:tcBorders>
              <w:top w:val="nil"/>
              <w:left w:val="nil"/>
              <w:bottom w:val="nil"/>
              <w:right w:val="nil"/>
            </w:tcBorders>
            <w:shd w:val="clear" w:color="auto" w:fill="auto"/>
            <w:noWrap/>
            <w:vAlign w:val="bottom"/>
            <w:hideMark/>
          </w:tcPr>
          <w:p w14:paraId="2F24B3E9" w14:textId="77777777" w:rsidR="00912A8F" w:rsidRPr="00912A8F" w:rsidRDefault="00912A8F" w:rsidP="005662A9">
            <w:pPr>
              <w:spacing w:after="0" w:line="240" w:lineRule="auto"/>
              <w:rPr>
                <w:rFonts w:eastAsia="SimSun" w:cs="Times New Roman"/>
                <w:lang w:val="en-US"/>
              </w:rPr>
            </w:pPr>
          </w:p>
        </w:tc>
        <w:tc>
          <w:tcPr>
            <w:tcW w:w="2511" w:type="dxa"/>
            <w:tcBorders>
              <w:top w:val="nil"/>
              <w:left w:val="nil"/>
              <w:bottom w:val="nil"/>
              <w:right w:val="nil"/>
            </w:tcBorders>
            <w:shd w:val="clear" w:color="auto" w:fill="auto"/>
            <w:noWrap/>
            <w:vAlign w:val="center"/>
            <w:hideMark/>
          </w:tcPr>
          <w:p w14:paraId="2E16CBEF"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36-45</w:t>
            </w:r>
          </w:p>
        </w:tc>
        <w:tc>
          <w:tcPr>
            <w:tcW w:w="1418" w:type="dxa"/>
            <w:tcBorders>
              <w:top w:val="nil"/>
              <w:left w:val="single" w:sz="4" w:space="0" w:color="auto"/>
              <w:bottom w:val="nil"/>
              <w:right w:val="nil"/>
            </w:tcBorders>
            <w:shd w:val="clear" w:color="auto" w:fill="auto"/>
            <w:noWrap/>
            <w:vAlign w:val="bottom"/>
            <w:hideMark/>
          </w:tcPr>
          <w:p w14:paraId="3B9A64F1"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0.806*</w:t>
            </w:r>
          </w:p>
        </w:tc>
        <w:tc>
          <w:tcPr>
            <w:tcW w:w="1701" w:type="dxa"/>
            <w:gridSpan w:val="2"/>
            <w:tcBorders>
              <w:top w:val="nil"/>
              <w:left w:val="nil"/>
              <w:bottom w:val="nil"/>
            </w:tcBorders>
            <w:shd w:val="clear" w:color="auto" w:fill="auto"/>
            <w:noWrap/>
            <w:vAlign w:val="bottom"/>
            <w:hideMark/>
          </w:tcPr>
          <w:p w14:paraId="2D1F5894"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(0.657-0.988)</w:t>
            </w:r>
          </w:p>
        </w:tc>
      </w:tr>
      <w:tr w:rsidR="00912A8F" w:rsidRPr="00912A8F" w14:paraId="7A5AC031" w14:textId="77777777" w:rsidTr="00092705">
        <w:trPr>
          <w:trHeight w:val="300"/>
        </w:trPr>
        <w:tc>
          <w:tcPr>
            <w:tcW w:w="2499" w:type="dxa"/>
            <w:tcBorders>
              <w:top w:val="nil"/>
              <w:left w:val="nil"/>
              <w:bottom w:val="nil"/>
              <w:right w:val="nil"/>
            </w:tcBorders>
            <w:shd w:val="clear" w:color="auto" w:fill="auto"/>
            <w:noWrap/>
            <w:vAlign w:val="bottom"/>
            <w:hideMark/>
          </w:tcPr>
          <w:p w14:paraId="62145F25" w14:textId="77777777" w:rsidR="00912A8F" w:rsidRPr="00912A8F" w:rsidRDefault="00912A8F" w:rsidP="005662A9">
            <w:pPr>
              <w:spacing w:after="0" w:line="240" w:lineRule="auto"/>
              <w:rPr>
                <w:rFonts w:eastAsia="SimSun" w:cs="Times New Roman"/>
                <w:lang w:val="en-US"/>
              </w:rPr>
            </w:pPr>
          </w:p>
        </w:tc>
        <w:tc>
          <w:tcPr>
            <w:tcW w:w="2511" w:type="dxa"/>
            <w:tcBorders>
              <w:top w:val="nil"/>
              <w:left w:val="nil"/>
              <w:bottom w:val="nil"/>
              <w:right w:val="nil"/>
            </w:tcBorders>
            <w:shd w:val="clear" w:color="auto" w:fill="auto"/>
            <w:noWrap/>
            <w:vAlign w:val="center"/>
            <w:hideMark/>
          </w:tcPr>
          <w:p w14:paraId="4292F83E"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46-55</w:t>
            </w:r>
          </w:p>
        </w:tc>
        <w:tc>
          <w:tcPr>
            <w:tcW w:w="1418" w:type="dxa"/>
            <w:tcBorders>
              <w:top w:val="nil"/>
              <w:left w:val="single" w:sz="4" w:space="0" w:color="auto"/>
              <w:bottom w:val="nil"/>
              <w:right w:val="nil"/>
            </w:tcBorders>
            <w:shd w:val="clear" w:color="auto" w:fill="auto"/>
            <w:noWrap/>
            <w:vAlign w:val="bottom"/>
            <w:hideMark/>
          </w:tcPr>
          <w:p w14:paraId="1B4A2849"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0.619***</w:t>
            </w:r>
          </w:p>
        </w:tc>
        <w:tc>
          <w:tcPr>
            <w:tcW w:w="1701" w:type="dxa"/>
            <w:gridSpan w:val="2"/>
            <w:tcBorders>
              <w:top w:val="nil"/>
              <w:left w:val="nil"/>
              <w:bottom w:val="nil"/>
            </w:tcBorders>
            <w:shd w:val="clear" w:color="auto" w:fill="auto"/>
            <w:noWrap/>
            <w:vAlign w:val="bottom"/>
            <w:hideMark/>
          </w:tcPr>
          <w:p w14:paraId="06F8301F"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(0.507-0.755)</w:t>
            </w:r>
          </w:p>
        </w:tc>
      </w:tr>
      <w:tr w:rsidR="00912A8F" w:rsidRPr="00912A8F" w14:paraId="7EBECCB7" w14:textId="77777777" w:rsidTr="00092705">
        <w:trPr>
          <w:trHeight w:val="300"/>
        </w:trPr>
        <w:tc>
          <w:tcPr>
            <w:tcW w:w="2499" w:type="dxa"/>
            <w:tcBorders>
              <w:top w:val="nil"/>
              <w:left w:val="nil"/>
              <w:bottom w:val="nil"/>
              <w:right w:val="nil"/>
            </w:tcBorders>
            <w:shd w:val="clear" w:color="auto" w:fill="auto"/>
            <w:noWrap/>
            <w:vAlign w:val="bottom"/>
            <w:hideMark/>
          </w:tcPr>
          <w:p w14:paraId="068C1B14" w14:textId="77777777" w:rsidR="00912A8F" w:rsidRPr="00912A8F" w:rsidRDefault="00912A8F" w:rsidP="005662A9">
            <w:pPr>
              <w:spacing w:after="0" w:line="240" w:lineRule="auto"/>
              <w:rPr>
                <w:rFonts w:eastAsia="SimSun" w:cs="Times New Roman"/>
                <w:lang w:val="en-US"/>
              </w:rPr>
            </w:pPr>
          </w:p>
        </w:tc>
        <w:tc>
          <w:tcPr>
            <w:tcW w:w="2511" w:type="dxa"/>
            <w:tcBorders>
              <w:top w:val="nil"/>
              <w:left w:val="nil"/>
              <w:bottom w:val="nil"/>
              <w:right w:val="nil"/>
            </w:tcBorders>
            <w:shd w:val="clear" w:color="auto" w:fill="auto"/>
            <w:noWrap/>
            <w:vAlign w:val="center"/>
            <w:hideMark/>
          </w:tcPr>
          <w:p w14:paraId="47F78ABC"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56-65</w:t>
            </w:r>
          </w:p>
        </w:tc>
        <w:tc>
          <w:tcPr>
            <w:tcW w:w="1418" w:type="dxa"/>
            <w:tcBorders>
              <w:top w:val="nil"/>
              <w:left w:val="single" w:sz="4" w:space="0" w:color="auto"/>
              <w:bottom w:val="nil"/>
              <w:right w:val="nil"/>
            </w:tcBorders>
            <w:shd w:val="clear" w:color="auto" w:fill="auto"/>
            <w:noWrap/>
            <w:vAlign w:val="bottom"/>
            <w:hideMark/>
          </w:tcPr>
          <w:p w14:paraId="7E92182C"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0.582***</w:t>
            </w:r>
          </w:p>
        </w:tc>
        <w:tc>
          <w:tcPr>
            <w:tcW w:w="1701" w:type="dxa"/>
            <w:gridSpan w:val="2"/>
            <w:tcBorders>
              <w:top w:val="nil"/>
              <w:left w:val="nil"/>
              <w:bottom w:val="nil"/>
            </w:tcBorders>
            <w:shd w:val="clear" w:color="auto" w:fill="auto"/>
            <w:noWrap/>
            <w:vAlign w:val="bottom"/>
            <w:hideMark/>
          </w:tcPr>
          <w:p w14:paraId="45B653EF"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(0.460-0.738)</w:t>
            </w:r>
          </w:p>
        </w:tc>
      </w:tr>
      <w:tr w:rsidR="00912A8F" w:rsidRPr="00912A8F" w14:paraId="45721174" w14:textId="77777777" w:rsidTr="00092705">
        <w:trPr>
          <w:trHeight w:val="300"/>
        </w:trPr>
        <w:tc>
          <w:tcPr>
            <w:tcW w:w="2499" w:type="dxa"/>
            <w:tcBorders>
              <w:top w:val="nil"/>
              <w:left w:val="nil"/>
              <w:bottom w:val="nil"/>
              <w:right w:val="nil"/>
            </w:tcBorders>
            <w:shd w:val="clear" w:color="auto" w:fill="auto"/>
            <w:noWrap/>
            <w:vAlign w:val="bottom"/>
            <w:hideMark/>
          </w:tcPr>
          <w:p w14:paraId="78C080F6" w14:textId="77777777" w:rsidR="00912A8F" w:rsidRPr="00912A8F" w:rsidRDefault="00912A8F" w:rsidP="005662A9">
            <w:pPr>
              <w:spacing w:after="0" w:line="240" w:lineRule="auto"/>
              <w:rPr>
                <w:rFonts w:eastAsia="SimSun" w:cs="Times New Roman"/>
                <w:lang w:val="en-US"/>
              </w:rPr>
            </w:pPr>
          </w:p>
        </w:tc>
        <w:tc>
          <w:tcPr>
            <w:tcW w:w="2511" w:type="dxa"/>
            <w:tcBorders>
              <w:top w:val="nil"/>
              <w:left w:val="nil"/>
              <w:bottom w:val="nil"/>
              <w:right w:val="nil"/>
            </w:tcBorders>
            <w:shd w:val="clear" w:color="auto" w:fill="auto"/>
            <w:noWrap/>
            <w:vAlign w:val="center"/>
            <w:hideMark/>
          </w:tcPr>
          <w:p w14:paraId="0C206092"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&gt;=66</w:t>
            </w:r>
          </w:p>
        </w:tc>
        <w:tc>
          <w:tcPr>
            <w:tcW w:w="1418" w:type="dxa"/>
            <w:tcBorders>
              <w:top w:val="nil"/>
              <w:left w:val="single" w:sz="4" w:space="0" w:color="auto"/>
              <w:bottom w:val="nil"/>
              <w:right w:val="nil"/>
            </w:tcBorders>
            <w:shd w:val="clear" w:color="auto" w:fill="auto"/>
            <w:noWrap/>
            <w:vAlign w:val="bottom"/>
            <w:hideMark/>
          </w:tcPr>
          <w:p w14:paraId="5125769D"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1.098</w:t>
            </w:r>
          </w:p>
        </w:tc>
        <w:tc>
          <w:tcPr>
            <w:tcW w:w="1701" w:type="dxa"/>
            <w:gridSpan w:val="2"/>
            <w:tcBorders>
              <w:top w:val="nil"/>
              <w:left w:val="nil"/>
              <w:bottom w:val="nil"/>
            </w:tcBorders>
            <w:shd w:val="clear" w:color="auto" w:fill="auto"/>
            <w:noWrap/>
            <w:vAlign w:val="bottom"/>
            <w:hideMark/>
          </w:tcPr>
          <w:p w14:paraId="25443A01"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(0.917-1.314)</w:t>
            </w:r>
          </w:p>
        </w:tc>
      </w:tr>
      <w:tr w:rsidR="00912A8F" w:rsidRPr="00912A8F" w14:paraId="2CAE6215" w14:textId="77777777" w:rsidTr="00092705">
        <w:trPr>
          <w:trHeight w:val="300"/>
        </w:trPr>
        <w:tc>
          <w:tcPr>
            <w:tcW w:w="2499" w:type="dxa"/>
            <w:tcBorders>
              <w:top w:val="nil"/>
              <w:left w:val="nil"/>
              <w:bottom w:val="nil"/>
              <w:right w:val="nil"/>
            </w:tcBorders>
            <w:shd w:val="clear" w:color="auto" w:fill="auto"/>
            <w:noWrap/>
            <w:vAlign w:val="bottom"/>
            <w:hideMark/>
          </w:tcPr>
          <w:p w14:paraId="441467DB"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Male</w:t>
            </w:r>
          </w:p>
        </w:tc>
        <w:tc>
          <w:tcPr>
            <w:tcW w:w="2511" w:type="dxa"/>
            <w:tcBorders>
              <w:top w:val="nil"/>
              <w:left w:val="nil"/>
              <w:bottom w:val="nil"/>
              <w:right w:val="nil"/>
            </w:tcBorders>
            <w:shd w:val="clear" w:color="auto" w:fill="auto"/>
            <w:noWrap/>
            <w:vAlign w:val="center"/>
            <w:hideMark/>
          </w:tcPr>
          <w:p w14:paraId="5DE118CB" w14:textId="77777777" w:rsidR="00912A8F" w:rsidRPr="00912A8F" w:rsidRDefault="00912A8F" w:rsidP="005662A9">
            <w:pPr>
              <w:spacing w:after="0" w:line="240" w:lineRule="auto"/>
              <w:rPr>
                <w:rFonts w:eastAsia="SimSun" w:cs="Times New Roman"/>
                <w:lang w:val="en-US"/>
              </w:rPr>
            </w:pPr>
          </w:p>
        </w:tc>
        <w:tc>
          <w:tcPr>
            <w:tcW w:w="1418" w:type="dxa"/>
            <w:tcBorders>
              <w:top w:val="nil"/>
              <w:left w:val="single" w:sz="4" w:space="0" w:color="auto"/>
              <w:bottom w:val="nil"/>
              <w:right w:val="nil"/>
            </w:tcBorders>
            <w:shd w:val="clear" w:color="auto" w:fill="auto"/>
            <w:noWrap/>
            <w:vAlign w:val="bottom"/>
            <w:hideMark/>
          </w:tcPr>
          <w:p w14:paraId="1F811497"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1.016</w:t>
            </w:r>
          </w:p>
        </w:tc>
        <w:tc>
          <w:tcPr>
            <w:tcW w:w="1701" w:type="dxa"/>
            <w:gridSpan w:val="2"/>
            <w:tcBorders>
              <w:top w:val="nil"/>
              <w:left w:val="nil"/>
              <w:bottom w:val="nil"/>
            </w:tcBorders>
            <w:shd w:val="clear" w:color="auto" w:fill="auto"/>
            <w:noWrap/>
            <w:vAlign w:val="bottom"/>
            <w:hideMark/>
          </w:tcPr>
          <w:p w14:paraId="35FFAD76"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(0.861-1.199)</w:t>
            </w:r>
          </w:p>
        </w:tc>
      </w:tr>
      <w:tr w:rsidR="00912A8F" w:rsidRPr="00912A8F" w14:paraId="1292A41B" w14:textId="77777777" w:rsidTr="00092705">
        <w:trPr>
          <w:trHeight w:val="300"/>
        </w:trPr>
        <w:tc>
          <w:tcPr>
            <w:tcW w:w="2499" w:type="dxa"/>
            <w:tcBorders>
              <w:top w:val="nil"/>
              <w:left w:val="nil"/>
              <w:bottom w:val="nil"/>
              <w:right w:val="nil"/>
            </w:tcBorders>
            <w:shd w:val="clear" w:color="auto" w:fill="auto"/>
            <w:noWrap/>
            <w:vAlign w:val="bottom"/>
            <w:hideMark/>
          </w:tcPr>
          <w:p w14:paraId="38F58DC8"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Age at diagnosis*Male</w:t>
            </w:r>
          </w:p>
        </w:tc>
        <w:tc>
          <w:tcPr>
            <w:tcW w:w="2511" w:type="dxa"/>
            <w:tcBorders>
              <w:top w:val="nil"/>
              <w:left w:val="nil"/>
              <w:bottom w:val="nil"/>
              <w:right w:val="nil"/>
            </w:tcBorders>
            <w:shd w:val="clear" w:color="auto" w:fill="auto"/>
            <w:noWrap/>
            <w:vAlign w:val="center"/>
            <w:hideMark/>
          </w:tcPr>
          <w:p w14:paraId="3F4CF671" w14:textId="77777777" w:rsidR="00912A8F" w:rsidRPr="00912A8F" w:rsidRDefault="00912A8F" w:rsidP="005662A9">
            <w:pPr>
              <w:spacing w:after="0" w:line="240" w:lineRule="auto"/>
              <w:rPr>
                <w:rFonts w:eastAsia="SimSun" w:cs="Times New Roman"/>
                <w:lang w:val="en-US"/>
              </w:rPr>
            </w:pPr>
          </w:p>
        </w:tc>
        <w:tc>
          <w:tcPr>
            <w:tcW w:w="1418" w:type="dxa"/>
            <w:tcBorders>
              <w:top w:val="nil"/>
              <w:left w:val="single" w:sz="4" w:space="0" w:color="auto"/>
              <w:bottom w:val="nil"/>
              <w:right w:val="nil"/>
            </w:tcBorders>
            <w:shd w:val="clear" w:color="auto" w:fill="auto"/>
            <w:noWrap/>
            <w:vAlign w:val="bottom"/>
            <w:hideMark/>
          </w:tcPr>
          <w:p w14:paraId="06971D27"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 </w:t>
            </w:r>
          </w:p>
        </w:tc>
        <w:tc>
          <w:tcPr>
            <w:tcW w:w="1701" w:type="dxa"/>
            <w:gridSpan w:val="2"/>
            <w:tcBorders>
              <w:top w:val="nil"/>
              <w:left w:val="nil"/>
              <w:bottom w:val="nil"/>
            </w:tcBorders>
            <w:shd w:val="clear" w:color="auto" w:fill="auto"/>
            <w:noWrap/>
            <w:vAlign w:val="bottom"/>
            <w:hideMark/>
          </w:tcPr>
          <w:p w14:paraId="6E461B4F"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 </w:t>
            </w:r>
          </w:p>
        </w:tc>
      </w:tr>
      <w:tr w:rsidR="00912A8F" w:rsidRPr="00912A8F" w14:paraId="6801C179" w14:textId="77777777" w:rsidTr="00092705">
        <w:trPr>
          <w:trHeight w:val="300"/>
        </w:trPr>
        <w:tc>
          <w:tcPr>
            <w:tcW w:w="2499" w:type="dxa"/>
            <w:tcBorders>
              <w:top w:val="nil"/>
              <w:left w:val="nil"/>
              <w:bottom w:val="nil"/>
              <w:right w:val="nil"/>
            </w:tcBorders>
            <w:shd w:val="clear" w:color="auto" w:fill="auto"/>
            <w:noWrap/>
            <w:vAlign w:val="bottom"/>
            <w:hideMark/>
          </w:tcPr>
          <w:p w14:paraId="1EAE63C5" w14:textId="77777777" w:rsidR="00912A8F" w:rsidRPr="00912A8F" w:rsidRDefault="00912A8F" w:rsidP="005662A9">
            <w:pPr>
              <w:spacing w:after="0" w:line="240" w:lineRule="auto"/>
              <w:rPr>
                <w:rFonts w:eastAsia="SimSun" w:cs="Times New Roman"/>
                <w:lang w:val="en-US"/>
              </w:rPr>
            </w:pPr>
          </w:p>
        </w:tc>
        <w:tc>
          <w:tcPr>
            <w:tcW w:w="2511" w:type="dxa"/>
            <w:tcBorders>
              <w:top w:val="nil"/>
              <w:left w:val="nil"/>
              <w:bottom w:val="nil"/>
              <w:right w:val="nil"/>
            </w:tcBorders>
            <w:shd w:val="clear" w:color="auto" w:fill="auto"/>
            <w:noWrap/>
            <w:vAlign w:val="center"/>
            <w:hideMark/>
          </w:tcPr>
          <w:p w14:paraId="23364CBE"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18-35*Male (base)</w:t>
            </w:r>
          </w:p>
        </w:tc>
        <w:tc>
          <w:tcPr>
            <w:tcW w:w="1418" w:type="dxa"/>
            <w:tcBorders>
              <w:top w:val="nil"/>
              <w:left w:val="single" w:sz="4" w:space="0" w:color="auto"/>
              <w:bottom w:val="nil"/>
              <w:right w:val="nil"/>
            </w:tcBorders>
            <w:shd w:val="clear" w:color="auto" w:fill="auto"/>
            <w:noWrap/>
            <w:vAlign w:val="bottom"/>
            <w:hideMark/>
          </w:tcPr>
          <w:p w14:paraId="752AD622"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 </w:t>
            </w:r>
          </w:p>
        </w:tc>
        <w:tc>
          <w:tcPr>
            <w:tcW w:w="1701" w:type="dxa"/>
            <w:gridSpan w:val="2"/>
            <w:tcBorders>
              <w:top w:val="nil"/>
              <w:left w:val="nil"/>
              <w:bottom w:val="nil"/>
            </w:tcBorders>
            <w:shd w:val="clear" w:color="auto" w:fill="auto"/>
            <w:noWrap/>
            <w:vAlign w:val="bottom"/>
            <w:hideMark/>
          </w:tcPr>
          <w:p w14:paraId="0765D0A3"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 </w:t>
            </w:r>
          </w:p>
        </w:tc>
      </w:tr>
      <w:tr w:rsidR="00912A8F" w:rsidRPr="00912A8F" w14:paraId="47770FE9" w14:textId="77777777" w:rsidTr="00092705">
        <w:trPr>
          <w:trHeight w:val="300"/>
        </w:trPr>
        <w:tc>
          <w:tcPr>
            <w:tcW w:w="2499" w:type="dxa"/>
            <w:tcBorders>
              <w:top w:val="nil"/>
              <w:left w:val="nil"/>
              <w:bottom w:val="nil"/>
              <w:right w:val="nil"/>
            </w:tcBorders>
            <w:shd w:val="clear" w:color="auto" w:fill="auto"/>
            <w:noWrap/>
            <w:vAlign w:val="bottom"/>
            <w:hideMark/>
          </w:tcPr>
          <w:p w14:paraId="26682B01" w14:textId="77777777" w:rsidR="00912A8F" w:rsidRPr="00912A8F" w:rsidRDefault="00912A8F" w:rsidP="005662A9">
            <w:pPr>
              <w:spacing w:after="0" w:line="240" w:lineRule="auto"/>
              <w:rPr>
                <w:rFonts w:eastAsia="SimSun" w:cs="Times New Roman"/>
                <w:lang w:val="en-US"/>
              </w:rPr>
            </w:pPr>
          </w:p>
        </w:tc>
        <w:tc>
          <w:tcPr>
            <w:tcW w:w="2511" w:type="dxa"/>
            <w:tcBorders>
              <w:top w:val="nil"/>
              <w:left w:val="nil"/>
              <w:bottom w:val="nil"/>
              <w:right w:val="nil"/>
            </w:tcBorders>
            <w:shd w:val="clear" w:color="auto" w:fill="auto"/>
            <w:noWrap/>
            <w:vAlign w:val="center"/>
            <w:hideMark/>
          </w:tcPr>
          <w:p w14:paraId="05469C5C"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36-45*Male</w:t>
            </w:r>
          </w:p>
        </w:tc>
        <w:tc>
          <w:tcPr>
            <w:tcW w:w="1418" w:type="dxa"/>
            <w:tcBorders>
              <w:top w:val="nil"/>
              <w:left w:val="single" w:sz="4" w:space="0" w:color="auto"/>
              <w:bottom w:val="nil"/>
              <w:right w:val="nil"/>
            </w:tcBorders>
            <w:shd w:val="clear" w:color="auto" w:fill="auto"/>
            <w:noWrap/>
            <w:vAlign w:val="bottom"/>
            <w:hideMark/>
          </w:tcPr>
          <w:p w14:paraId="00E9247B"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0.919</w:t>
            </w:r>
          </w:p>
        </w:tc>
        <w:tc>
          <w:tcPr>
            <w:tcW w:w="1701" w:type="dxa"/>
            <w:gridSpan w:val="2"/>
            <w:tcBorders>
              <w:top w:val="nil"/>
              <w:left w:val="nil"/>
              <w:bottom w:val="nil"/>
            </w:tcBorders>
            <w:shd w:val="clear" w:color="auto" w:fill="auto"/>
            <w:noWrap/>
            <w:vAlign w:val="bottom"/>
            <w:hideMark/>
          </w:tcPr>
          <w:p w14:paraId="0B2938DC"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(0.694-1.216)</w:t>
            </w:r>
          </w:p>
        </w:tc>
      </w:tr>
      <w:tr w:rsidR="00912A8F" w:rsidRPr="00912A8F" w14:paraId="1829F30E" w14:textId="77777777" w:rsidTr="00092705">
        <w:trPr>
          <w:trHeight w:val="300"/>
        </w:trPr>
        <w:tc>
          <w:tcPr>
            <w:tcW w:w="2499" w:type="dxa"/>
            <w:tcBorders>
              <w:top w:val="nil"/>
              <w:left w:val="nil"/>
              <w:bottom w:val="nil"/>
              <w:right w:val="nil"/>
            </w:tcBorders>
            <w:shd w:val="clear" w:color="auto" w:fill="auto"/>
            <w:noWrap/>
            <w:vAlign w:val="bottom"/>
            <w:hideMark/>
          </w:tcPr>
          <w:p w14:paraId="3DAA47A2" w14:textId="77777777" w:rsidR="00912A8F" w:rsidRPr="00912A8F" w:rsidRDefault="00912A8F" w:rsidP="005662A9">
            <w:pPr>
              <w:spacing w:after="0" w:line="240" w:lineRule="auto"/>
              <w:rPr>
                <w:rFonts w:eastAsia="SimSun" w:cs="Times New Roman"/>
                <w:lang w:val="en-US"/>
              </w:rPr>
            </w:pPr>
          </w:p>
        </w:tc>
        <w:tc>
          <w:tcPr>
            <w:tcW w:w="2511" w:type="dxa"/>
            <w:tcBorders>
              <w:top w:val="nil"/>
              <w:left w:val="nil"/>
              <w:bottom w:val="nil"/>
              <w:right w:val="nil"/>
            </w:tcBorders>
            <w:shd w:val="clear" w:color="auto" w:fill="auto"/>
            <w:noWrap/>
            <w:vAlign w:val="center"/>
            <w:hideMark/>
          </w:tcPr>
          <w:p w14:paraId="488AD5E3"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46-55*Male</w:t>
            </w:r>
          </w:p>
        </w:tc>
        <w:tc>
          <w:tcPr>
            <w:tcW w:w="1418" w:type="dxa"/>
            <w:tcBorders>
              <w:top w:val="nil"/>
              <w:left w:val="single" w:sz="4" w:space="0" w:color="auto"/>
              <w:bottom w:val="nil"/>
              <w:right w:val="nil"/>
            </w:tcBorders>
            <w:shd w:val="clear" w:color="auto" w:fill="auto"/>
            <w:noWrap/>
            <w:vAlign w:val="bottom"/>
            <w:hideMark/>
          </w:tcPr>
          <w:p w14:paraId="113C3C9C"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1.215</w:t>
            </w:r>
          </w:p>
        </w:tc>
        <w:tc>
          <w:tcPr>
            <w:tcW w:w="1701" w:type="dxa"/>
            <w:gridSpan w:val="2"/>
            <w:tcBorders>
              <w:top w:val="nil"/>
              <w:left w:val="nil"/>
              <w:bottom w:val="nil"/>
            </w:tcBorders>
            <w:shd w:val="clear" w:color="auto" w:fill="auto"/>
            <w:noWrap/>
            <w:vAlign w:val="bottom"/>
            <w:hideMark/>
          </w:tcPr>
          <w:p w14:paraId="4EEDE9AA"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(0.911-1.614)</w:t>
            </w:r>
          </w:p>
        </w:tc>
      </w:tr>
      <w:tr w:rsidR="00912A8F" w:rsidRPr="00912A8F" w14:paraId="72361F92" w14:textId="77777777" w:rsidTr="00092705">
        <w:trPr>
          <w:trHeight w:val="300"/>
        </w:trPr>
        <w:tc>
          <w:tcPr>
            <w:tcW w:w="2499" w:type="dxa"/>
            <w:tcBorders>
              <w:top w:val="nil"/>
              <w:left w:val="nil"/>
              <w:bottom w:val="nil"/>
              <w:right w:val="nil"/>
            </w:tcBorders>
            <w:shd w:val="clear" w:color="auto" w:fill="auto"/>
            <w:noWrap/>
            <w:vAlign w:val="bottom"/>
            <w:hideMark/>
          </w:tcPr>
          <w:p w14:paraId="1C5E20D4" w14:textId="77777777" w:rsidR="00912A8F" w:rsidRPr="00912A8F" w:rsidRDefault="00912A8F" w:rsidP="005662A9">
            <w:pPr>
              <w:spacing w:after="0" w:line="240" w:lineRule="auto"/>
              <w:rPr>
                <w:rFonts w:eastAsia="SimSun" w:cs="Times New Roman"/>
                <w:lang w:val="en-US"/>
              </w:rPr>
            </w:pPr>
          </w:p>
        </w:tc>
        <w:tc>
          <w:tcPr>
            <w:tcW w:w="2511" w:type="dxa"/>
            <w:tcBorders>
              <w:top w:val="nil"/>
              <w:left w:val="nil"/>
              <w:bottom w:val="nil"/>
              <w:right w:val="nil"/>
            </w:tcBorders>
            <w:shd w:val="clear" w:color="auto" w:fill="auto"/>
            <w:noWrap/>
            <w:vAlign w:val="center"/>
            <w:hideMark/>
          </w:tcPr>
          <w:p w14:paraId="621E1618"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56-65*Male</w:t>
            </w:r>
          </w:p>
        </w:tc>
        <w:tc>
          <w:tcPr>
            <w:tcW w:w="1418" w:type="dxa"/>
            <w:tcBorders>
              <w:top w:val="nil"/>
              <w:left w:val="single" w:sz="4" w:space="0" w:color="auto"/>
              <w:bottom w:val="nil"/>
              <w:right w:val="nil"/>
            </w:tcBorders>
            <w:shd w:val="clear" w:color="auto" w:fill="auto"/>
            <w:noWrap/>
            <w:vAlign w:val="bottom"/>
            <w:hideMark/>
          </w:tcPr>
          <w:p w14:paraId="37426F96"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1.432*</w:t>
            </w:r>
          </w:p>
        </w:tc>
        <w:tc>
          <w:tcPr>
            <w:tcW w:w="1701" w:type="dxa"/>
            <w:gridSpan w:val="2"/>
            <w:tcBorders>
              <w:top w:val="nil"/>
              <w:left w:val="nil"/>
              <w:bottom w:val="nil"/>
            </w:tcBorders>
            <w:shd w:val="clear" w:color="auto" w:fill="auto"/>
            <w:noWrap/>
            <w:vAlign w:val="bottom"/>
            <w:hideMark/>
          </w:tcPr>
          <w:p w14:paraId="0ABF914E"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(1.037-1.978)</w:t>
            </w:r>
          </w:p>
        </w:tc>
      </w:tr>
      <w:tr w:rsidR="00912A8F" w:rsidRPr="00912A8F" w14:paraId="4520126A" w14:textId="77777777" w:rsidTr="00092705">
        <w:trPr>
          <w:trHeight w:val="300"/>
        </w:trPr>
        <w:tc>
          <w:tcPr>
            <w:tcW w:w="2499" w:type="dxa"/>
            <w:tcBorders>
              <w:top w:val="nil"/>
              <w:left w:val="nil"/>
              <w:bottom w:val="nil"/>
              <w:right w:val="nil"/>
            </w:tcBorders>
            <w:shd w:val="clear" w:color="auto" w:fill="auto"/>
            <w:noWrap/>
            <w:vAlign w:val="bottom"/>
            <w:hideMark/>
          </w:tcPr>
          <w:p w14:paraId="216613C2" w14:textId="77777777" w:rsidR="00912A8F" w:rsidRPr="00912A8F" w:rsidRDefault="00912A8F" w:rsidP="005662A9">
            <w:pPr>
              <w:spacing w:after="0" w:line="240" w:lineRule="auto"/>
              <w:rPr>
                <w:rFonts w:eastAsia="SimSun" w:cs="Times New Roman"/>
                <w:lang w:val="en-US"/>
              </w:rPr>
            </w:pPr>
          </w:p>
        </w:tc>
        <w:tc>
          <w:tcPr>
            <w:tcW w:w="2511" w:type="dxa"/>
            <w:tcBorders>
              <w:top w:val="nil"/>
              <w:left w:val="nil"/>
              <w:bottom w:val="nil"/>
              <w:right w:val="nil"/>
            </w:tcBorders>
            <w:shd w:val="clear" w:color="auto" w:fill="auto"/>
            <w:noWrap/>
            <w:vAlign w:val="center"/>
            <w:hideMark/>
          </w:tcPr>
          <w:p w14:paraId="6410CCB8"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≥66*Male</w:t>
            </w:r>
          </w:p>
        </w:tc>
        <w:tc>
          <w:tcPr>
            <w:tcW w:w="1418" w:type="dxa"/>
            <w:tcBorders>
              <w:top w:val="nil"/>
              <w:left w:val="single" w:sz="4" w:space="0" w:color="auto"/>
              <w:bottom w:val="nil"/>
              <w:right w:val="nil"/>
            </w:tcBorders>
            <w:shd w:val="clear" w:color="auto" w:fill="auto"/>
            <w:noWrap/>
            <w:vAlign w:val="bottom"/>
            <w:hideMark/>
          </w:tcPr>
          <w:p w14:paraId="738AA77A"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0.939</w:t>
            </w:r>
          </w:p>
        </w:tc>
        <w:tc>
          <w:tcPr>
            <w:tcW w:w="1701" w:type="dxa"/>
            <w:gridSpan w:val="2"/>
            <w:tcBorders>
              <w:top w:val="nil"/>
              <w:left w:val="nil"/>
              <w:bottom w:val="nil"/>
            </w:tcBorders>
            <w:shd w:val="clear" w:color="auto" w:fill="auto"/>
            <w:noWrap/>
            <w:vAlign w:val="bottom"/>
            <w:hideMark/>
          </w:tcPr>
          <w:p w14:paraId="2947DE18"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(0.727-1.203)</w:t>
            </w:r>
          </w:p>
        </w:tc>
      </w:tr>
      <w:tr w:rsidR="00912A8F" w:rsidRPr="00912A8F" w14:paraId="1B47C80F" w14:textId="77777777" w:rsidTr="00092705">
        <w:trPr>
          <w:trHeight w:val="300"/>
        </w:trPr>
        <w:tc>
          <w:tcPr>
            <w:tcW w:w="5010" w:type="dxa"/>
            <w:gridSpan w:val="2"/>
            <w:tcBorders>
              <w:top w:val="nil"/>
              <w:left w:val="nil"/>
              <w:bottom w:val="nil"/>
              <w:right w:val="nil"/>
            </w:tcBorders>
            <w:shd w:val="clear" w:color="auto" w:fill="auto"/>
            <w:noWrap/>
            <w:vAlign w:val="bottom"/>
            <w:hideMark/>
          </w:tcPr>
          <w:p w14:paraId="7A6F4239"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SMI diagnosis group</w:t>
            </w:r>
          </w:p>
        </w:tc>
        <w:tc>
          <w:tcPr>
            <w:tcW w:w="1418" w:type="dxa"/>
            <w:tcBorders>
              <w:top w:val="nil"/>
              <w:left w:val="single" w:sz="4" w:space="0" w:color="auto"/>
              <w:bottom w:val="nil"/>
              <w:right w:val="nil"/>
            </w:tcBorders>
            <w:shd w:val="clear" w:color="auto" w:fill="auto"/>
            <w:noWrap/>
            <w:vAlign w:val="bottom"/>
          </w:tcPr>
          <w:p w14:paraId="194C7D1F" w14:textId="77777777" w:rsidR="00912A8F" w:rsidRPr="00912A8F" w:rsidRDefault="00912A8F" w:rsidP="005662A9">
            <w:pPr>
              <w:spacing w:after="0" w:line="240" w:lineRule="auto"/>
              <w:rPr>
                <w:rFonts w:eastAsia="SimSun" w:cs="Times New Roman"/>
                <w:lang w:val="en-US"/>
              </w:rPr>
            </w:pPr>
          </w:p>
        </w:tc>
        <w:tc>
          <w:tcPr>
            <w:tcW w:w="1701" w:type="dxa"/>
            <w:gridSpan w:val="2"/>
            <w:tcBorders>
              <w:top w:val="nil"/>
              <w:left w:val="nil"/>
              <w:bottom w:val="nil"/>
            </w:tcBorders>
            <w:shd w:val="clear" w:color="auto" w:fill="auto"/>
            <w:noWrap/>
            <w:vAlign w:val="bottom"/>
          </w:tcPr>
          <w:p w14:paraId="2668BDD8" w14:textId="77777777" w:rsidR="00912A8F" w:rsidRPr="00912A8F" w:rsidRDefault="00912A8F" w:rsidP="005662A9">
            <w:pPr>
              <w:spacing w:after="0" w:line="240" w:lineRule="auto"/>
              <w:rPr>
                <w:rFonts w:eastAsia="SimSun" w:cs="Times New Roman"/>
                <w:lang w:val="en-US"/>
              </w:rPr>
            </w:pPr>
          </w:p>
        </w:tc>
      </w:tr>
      <w:tr w:rsidR="00912A8F" w:rsidRPr="00912A8F" w14:paraId="514E85D7" w14:textId="77777777" w:rsidTr="00092705">
        <w:trPr>
          <w:trHeight w:val="300"/>
        </w:trPr>
        <w:tc>
          <w:tcPr>
            <w:tcW w:w="5010" w:type="dxa"/>
            <w:gridSpan w:val="2"/>
            <w:tcBorders>
              <w:top w:val="nil"/>
              <w:left w:val="nil"/>
              <w:bottom w:val="nil"/>
              <w:right w:val="nil"/>
            </w:tcBorders>
            <w:shd w:val="clear" w:color="auto" w:fill="auto"/>
            <w:noWrap/>
            <w:vAlign w:val="bottom"/>
          </w:tcPr>
          <w:p w14:paraId="2BD2B0F5"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Bipolar disorder or affective psychosis (base)</w:t>
            </w:r>
          </w:p>
        </w:tc>
        <w:tc>
          <w:tcPr>
            <w:tcW w:w="1418" w:type="dxa"/>
            <w:tcBorders>
              <w:top w:val="nil"/>
              <w:left w:val="single" w:sz="4" w:space="0" w:color="auto"/>
              <w:bottom w:val="nil"/>
              <w:right w:val="nil"/>
            </w:tcBorders>
            <w:shd w:val="clear" w:color="auto" w:fill="auto"/>
            <w:noWrap/>
            <w:vAlign w:val="bottom"/>
          </w:tcPr>
          <w:p w14:paraId="4CDB61BF" w14:textId="77777777" w:rsidR="00912A8F" w:rsidRPr="00912A8F" w:rsidRDefault="00912A8F" w:rsidP="005662A9">
            <w:pPr>
              <w:spacing w:after="0" w:line="240" w:lineRule="auto"/>
              <w:rPr>
                <w:rFonts w:eastAsia="SimSun" w:cs="Times New Roman"/>
                <w:lang w:val="en-US"/>
              </w:rPr>
            </w:pPr>
          </w:p>
        </w:tc>
        <w:tc>
          <w:tcPr>
            <w:tcW w:w="1701" w:type="dxa"/>
            <w:gridSpan w:val="2"/>
            <w:tcBorders>
              <w:top w:val="nil"/>
              <w:left w:val="nil"/>
              <w:bottom w:val="nil"/>
            </w:tcBorders>
            <w:shd w:val="clear" w:color="auto" w:fill="auto"/>
            <w:noWrap/>
            <w:vAlign w:val="bottom"/>
          </w:tcPr>
          <w:p w14:paraId="1741C5D0" w14:textId="77777777" w:rsidR="00912A8F" w:rsidRPr="00912A8F" w:rsidRDefault="00912A8F" w:rsidP="005662A9">
            <w:pPr>
              <w:spacing w:after="0" w:line="240" w:lineRule="auto"/>
              <w:rPr>
                <w:rFonts w:eastAsia="SimSun" w:cs="Times New Roman"/>
                <w:lang w:val="en-US"/>
              </w:rPr>
            </w:pPr>
          </w:p>
        </w:tc>
      </w:tr>
      <w:tr w:rsidR="00912A8F" w:rsidRPr="00912A8F" w14:paraId="0F869D3E" w14:textId="77777777" w:rsidTr="00092705">
        <w:trPr>
          <w:trHeight w:val="300"/>
        </w:trPr>
        <w:tc>
          <w:tcPr>
            <w:tcW w:w="5010" w:type="dxa"/>
            <w:gridSpan w:val="2"/>
            <w:tcBorders>
              <w:top w:val="nil"/>
              <w:left w:val="nil"/>
              <w:bottom w:val="nil"/>
              <w:right w:val="nil"/>
            </w:tcBorders>
            <w:shd w:val="clear" w:color="auto" w:fill="auto"/>
            <w:noWrap/>
            <w:vAlign w:val="bottom"/>
          </w:tcPr>
          <w:p w14:paraId="4C717BAC"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Schizophrenia or other psychosis</w:t>
            </w:r>
          </w:p>
        </w:tc>
        <w:tc>
          <w:tcPr>
            <w:tcW w:w="1418" w:type="dxa"/>
            <w:tcBorders>
              <w:top w:val="nil"/>
              <w:left w:val="single" w:sz="4" w:space="0" w:color="auto"/>
              <w:bottom w:val="nil"/>
              <w:right w:val="nil"/>
            </w:tcBorders>
            <w:shd w:val="clear" w:color="auto" w:fill="auto"/>
            <w:noWrap/>
            <w:vAlign w:val="bottom"/>
          </w:tcPr>
          <w:p w14:paraId="38A244E9"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1.103</w:t>
            </w:r>
          </w:p>
        </w:tc>
        <w:tc>
          <w:tcPr>
            <w:tcW w:w="1701" w:type="dxa"/>
            <w:gridSpan w:val="2"/>
            <w:tcBorders>
              <w:top w:val="nil"/>
              <w:left w:val="nil"/>
              <w:bottom w:val="nil"/>
            </w:tcBorders>
            <w:shd w:val="clear" w:color="auto" w:fill="auto"/>
            <w:noWrap/>
            <w:vAlign w:val="bottom"/>
          </w:tcPr>
          <w:p w14:paraId="443A66CD"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(0.997-1.220)</w:t>
            </w:r>
          </w:p>
        </w:tc>
      </w:tr>
      <w:tr w:rsidR="00912A8F" w:rsidRPr="00912A8F" w14:paraId="19FAE1F6" w14:textId="77777777" w:rsidTr="00092705">
        <w:trPr>
          <w:trHeight w:val="300"/>
        </w:trPr>
        <w:tc>
          <w:tcPr>
            <w:tcW w:w="5010" w:type="dxa"/>
            <w:gridSpan w:val="2"/>
            <w:tcBorders>
              <w:top w:val="nil"/>
              <w:left w:val="nil"/>
              <w:bottom w:val="nil"/>
              <w:right w:val="nil"/>
            </w:tcBorders>
            <w:shd w:val="clear" w:color="auto" w:fill="auto"/>
            <w:noWrap/>
            <w:vAlign w:val="bottom"/>
          </w:tcPr>
          <w:p w14:paraId="3A4B140A"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Both</w:t>
            </w:r>
          </w:p>
        </w:tc>
        <w:tc>
          <w:tcPr>
            <w:tcW w:w="1418" w:type="dxa"/>
            <w:tcBorders>
              <w:top w:val="nil"/>
              <w:left w:val="single" w:sz="4" w:space="0" w:color="auto"/>
              <w:bottom w:val="nil"/>
              <w:right w:val="nil"/>
            </w:tcBorders>
            <w:shd w:val="clear" w:color="auto" w:fill="auto"/>
            <w:noWrap/>
            <w:vAlign w:val="bottom"/>
          </w:tcPr>
          <w:p w14:paraId="6D4C862B"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1.119</w:t>
            </w:r>
          </w:p>
        </w:tc>
        <w:tc>
          <w:tcPr>
            <w:tcW w:w="1701" w:type="dxa"/>
            <w:gridSpan w:val="2"/>
            <w:tcBorders>
              <w:top w:val="nil"/>
              <w:left w:val="nil"/>
              <w:bottom w:val="nil"/>
            </w:tcBorders>
            <w:shd w:val="clear" w:color="auto" w:fill="auto"/>
            <w:noWrap/>
            <w:vAlign w:val="bottom"/>
          </w:tcPr>
          <w:p w14:paraId="2BC404DA"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(0.888-1.411)</w:t>
            </w:r>
          </w:p>
        </w:tc>
      </w:tr>
      <w:tr w:rsidR="00912A8F" w:rsidRPr="00912A8F" w14:paraId="2BAC9F28" w14:textId="77777777" w:rsidTr="00092705">
        <w:trPr>
          <w:trHeight w:val="300"/>
        </w:trPr>
        <w:tc>
          <w:tcPr>
            <w:tcW w:w="2499" w:type="dxa"/>
            <w:tcBorders>
              <w:top w:val="nil"/>
              <w:left w:val="nil"/>
              <w:bottom w:val="nil"/>
              <w:right w:val="nil"/>
            </w:tcBorders>
            <w:shd w:val="clear" w:color="auto" w:fill="auto"/>
            <w:noWrap/>
            <w:vAlign w:val="bottom"/>
            <w:hideMark/>
          </w:tcPr>
          <w:p w14:paraId="48BB47C6"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IMD</w:t>
            </w:r>
          </w:p>
        </w:tc>
        <w:tc>
          <w:tcPr>
            <w:tcW w:w="2511" w:type="dxa"/>
            <w:tcBorders>
              <w:top w:val="nil"/>
              <w:left w:val="nil"/>
              <w:bottom w:val="nil"/>
              <w:right w:val="nil"/>
            </w:tcBorders>
            <w:shd w:val="clear" w:color="auto" w:fill="auto"/>
            <w:noWrap/>
            <w:vAlign w:val="bottom"/>
            <w:hideMark/>
          </w:tcPr>
          <w:p w14:paraId="53BD539D" w14:textId="77777777" w:rsidR="00912A8F" w:rsidRPr="00912A8F" w:rsidRDefault="00912A8F" w:rsidP="005662A9">
            <w:pPr>
              <w:spacing w:after="0" w:line="240" w:lineRule="auto"/>
              <w:rPr>
                <w:rFonts w:eastAsia="SimSun" w:cs="Times New Roman"/>
                <w:lang w:val="en-US"/>
              </w:rPr>
            </w:pPr>
          </w:p>
        </w:tc>
        <w:tc>
          <w:tcPr>
            <w:tcW w:w="1418" w:type="dxa"/>
            <w:tcBorders>
              <w:top w:val="nil"/>
              <w:left w:val="single" w:sz="4" w:space="0" w:color="auto"/>
              <w:bottom w:val="nil"/>
              <w:right w:val="nil"/>
            </w:tcBorders>
            <w:shd w:val="clear" w:color="auto" w:fill="auto"/>
            <w:noWrap/>
            <w:vAlign w:val="bottom"/>
            <w:hideMark/>
          </w:tcPr>
          <w:p w14:paraId="213DA253"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 </w:t>
            </w:r>
          </w:p>
        </w:tc>
        <w:tc>
          <w:tcPr>
            <w:tcW w:w="1701" w:type="dxa"/>
            <w:gridSpan w:val="2"/>
            <w:tcBorders>
              <w:top w:val="nil"/>
              <w:left w:val="nil"/>
              <w:bottom w:val="nil"/>
            </w:tcBorders>
            <w:shd w:val="clear" w:color="auto" w:fill="auto"/>
            <w:noWrap/>
            <w:vAlign w:val="bottom"/>
            <w:hideMark/>
          </w:tcPr>
          <w:p w14:paraId="54892065"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 </w:t>
            </w:r>
          </w:p>
        </w:tc>
      </w:tr>
      <w:tr w:rsidR="00912A8F" w:rsidRPr="00912A8F" w14:paraId="6187E4A2" w14:textId="77777777" w:rsidTr="00092705">
        <w:trPr>
          <w:trHeight w:val="300"/>
        </w:trPr>
        <w:tc>
          <w:tcPr>
            <w:tcW w:w="2499" w:type="dxa"/>
            <w:tcBorders>
              <w:top w:val="nil"/>
              <w:left w:val="nil"/>
              <w:bottom w:val="nil"/>
              <w:right w:val="nil"/>
            </w:tcBorders>
            <w:shd w:val="clear" w:color="auto" w:fill="auto"/>
            <w:noWrap/>
            <w:vAlign w:val="bottom"/>
            <w:hideMark/>
          </w:tcPr>
          <w:p w14:paraId="18627A8E" w14:textId="77777777" w:rsidR="00912A8F" w:rsidRPr="00912A8F" w:rsidRDefault="00912A8F" w:rsidP="005662A9">
            <w:pPr>
              <w:spacing w:after="0" w:line="240" w:lineRule="auto"/>
              <w:rPr>
                <w:rFonts w:eastAsia="SimSun" w:cs="Times New Roman"/>
                <w:lang w:val="en-US"/>
              </w:rPr>
            </w:pPr>
          </w:p>
        </w:tc>
        <w:tc>
          <w:tcPr>
            <w:tcW w:w="2511" w:type="dxa"/>
            <w:tcBorders>
              <w:top w:val="nil"/>
              <w:left w:val="nil"/>
              <w:bottom w:val="nil"/>
              <w:right w:val="nil"/>
            </w:tcBorders>
            <w:shd w:val="clear" w:color="auto" w:fill="auto"/>
            <w:noWrap/>
            <w:vAlign w:val="center"/>
            <w:hideMark/>
          </w:tcPr>
          <w:p w14:paraId="150455D5"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1st quintile (base)</w:t>
            </w:r>
          </w:p>
        </w:tc>
        <w:tc>
          <w:tcPr>
            <w:tcW w:w="1418" w:type="dxa"/>
            <w:tcBorders>
              <w:top w:val="nil"/>
              <w:left w:val="single" w:sz="4" w:space="0" w:color="auto"/>
              <w:bottom w:val="nil"/>
              <w:right w:val="nil"/>
            </w:tcBorders>
            <w:shd w:val="clear" w:color="auto" w:fill="auto"/>
            <w:noWrap/>
            <w:vAlign w:val="bottom"/>
            <w:hideMark/>
          </w:tcPr>
          <w:p w14:paraId="625D815A"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 </w:t>
            </w:r>
          </w:p>
        </w:tc>
        <w:tc>
          <w:tcPr>
            <w:tcW w:w="1701" w:type="dxa"/>
            <w:gridSpan w:val="2"/>
            <w:tcBorders>
              <w:top w:val="nil"/>
              <w:left w:val="nil"/>
              <w:bottom w:val="nil"/>
            </w:tcBorders>
            <w:shd w:val="clear" w:color="auto" w:fill="auto"/>
            <w:noWrap/>
            <w:vAlign w:val="bottom"/>
            <w:hideMark/>
          </w:tcPr>
          <w:p w14:paraId="383843A5"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 </w:t>
            </w:r>
          </w:p>
        </w:tc>
      </w:tr>
      <w:tr w:rsidR="00912A8F" w:rsidRPr="00912A8F" w14:paraId="23C9D8D6" w14:textId="77777777" w:rsidTr="00092705">
        <w:trPr>
          <w:trHeight w:val="300"/>
        </w:trPr>
        <w:tc>
          <w:tcPr>
            <w:tcW w:w="2499" w:type="dxa"/>
            <w:tcBorders>
              <w:top w:val="nil"/>
              <w:left w:val="nil"/>
              <w:bottom w:val="nil"/>
              <w:right w:val="nil"/>
            </w:tcBorders>
            <w:shd w:val="clear" w:color="auto" w:fill="auto"/>
            <w:noWrap/>
            <w:vAlign w:val="bottom"/>
            <w:hideMark/>
          </w:tcPr>
          <w:p w14:paraId="355B16EF" w14:textId="77777777" w:rsidR="00912A8F" w:rsidRPr="00912A8F" w:rsidRDefault="00912A8F" w:rsidP="005662A9">
            <w:pPr>
              <w:spacing w:after="0" w:line="240" w:lineRule="auto"/>
              <w:rPr>
                <w:rFonts w:eastAsia="SimSun" w:cs="Times New Roman"/>
                <w:lang w:val="en-US"/>
              </w:rPr>
            </w:pPr>
          </w:p>
        </w:tc>
        <w:tc>
          <w:tcPr>
            <w:tcW w:w="2511" w:type="dxa"/>
            <w:tcBorders>
              <w:top w:val="nil"/>
              <w:left w:val="nil"/>
              <w:bottom w:val="nil"/>
              <w:right w:val="nil"/>
            </w:tcBorders>
            <w:shd w:val="clear" w:color="auto" w:fill="auto"/>
            <w:noWrap/>
            <w:vAlign w:val="center"/>
            <w:hideMark/>
          </w:tcPr>
          <w:p w14:paraId="028BA0E0"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2nd quintile</w:t>
            </w:r>
          </w:p>
        </w:tc>
        <w:tc>
          <w:tcPr>
            <w:tcW w:w="1418" w:type="dxa"/>
            <w:tcBorders>
              <w:top w:val="nil"/>
              <w:left w:val="single" w:sz="4" w:space="0" w:color="auto"/>
              <w:bottom w:val="nil"/>
              <w:right w:val="nil"/>
            </w:tcBorders>
            <w:shd w:val="clear" w:color="auto" w:fill="auto"/>
            <w:noWrap/>
            <w:vAlign w:val="bottom"/>
          </w:tcPr>
          <w:p w14:paraId="41A760E1"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0.955</w:t>
            </w:r>
          </w:p>
        </w:tc>
        <w:tc>
          <w:tcPr>
            <w:tcW w:w="1701" w:type="dxa"/>
            <w:gridSpan w:val="2"/>
            <w:tcBorders>
              <w:top w:val="nil"/>
              <w:left w:val="nil"/>
              <w:bottom w:val="nil"/>
            </w:tcBorders>
            <w:shd w:val="clear" w:color="auto" w:fill="auto"/>
            <w:noWrap/>
            <w:vAlign w:val="bottom"/>
          </w:tcPr>
          <w:p w14:paraId="4D3C77B9"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(0.804-1.133)</w:t>
            </w:r>
          </w:p>
        </w:tc>
      </w:tr>
      <w:tr w:rsidR="00912A8F" w:rsidRPr="00912A8F" w14:paraId="042E28B8" w14:textId="77777777" w:rsidTr="00092705">
        <w:trPr>
          <w:trHeight w:val="300"/>
        </w:trPr>
        <w:tc>
          <w:tcPr>
            <w:tcW w:w="2499" w:type="dxa"/>
            <w:tcBorders>
              <w:top w:val="nil"/>
              <w:left w:val="nil"/>
              <w:bottom w:val="nil"/>
              <w:right w:val="nil"/>
            </w:tcBorders>
            <w:shd w:val="clear" w:color="auto" w:fill="auto"/>
            <w:noWrap/>
            <w:vAlign w:val="bottom"/>
            <w:hideMark/>
          </w:tcPr>
          <w:p w14:paraId="11906169" w14:textId="77777777" w:rsidR="00912A8F" w:rsidRPr="00912A8F" w:rsidRDefault="00912A8F" w:rsidP="005662A9">
            <w:pPr>
              <w:spacing w:after="0" w:line="240" w:lineRule="auto"/>
              <w:rPr>
                <w:rFonts w:eastAsia="SimSun" w:cs="Times New Roman"/>
                <w:lang w:val="en-US"/>
              </w:rPr>
            </w:pPr>
          </w:p>
        </w:tc>
        <w:tc>
          <w:tcPr>
            <w:tcW w:w="2511" w:type="dxa"/>
            <w:tcBorders>
              <w:top w:val="nil"/>
              <w:left w:val="nil"/>
              <w:bottom w:val="nil"/>
              <w:right w:val="nil"/>
            </w:tcBorders>
            <w:shd w:val="clear" w:color="auto" w:fill="auto"/>
            <w:noWrap/>
            <w:vAlign w:val="center"/>
            <w:hideMark/>
          </w:tcPr>
          <w:p w14:paraId="6AF5C08D"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3rd quintile</w:t>
            </w:r>
          </w:p>
        </w:tc>
        <w:tc>
          <w:tcPr>
            <w:tcW w:w="1418" w:type="dxa"/>
            <w:tcBorders>
              <w:top w:val="nil"/>
              <w:left w:val="single" w:sz="4" w:space="0" w:color="auto"/>
              <w:bottom w:val="nil"/>
              <w:right w:val="nil"/>
            </w:tcBorders>
            <w:shd w:val="clear" w:color="auto" w:fill="auto"/>
            <w:noWrap/>
            <w:vAlign w:val="bottom"/>
          </w:tcPr>
          <w:p w14:paraId="70E8BF08"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1.100</w:t>
            </w:r>
          </w:p>
        </w:tc>
        <w:tc>
          <w:tcPr>
            <w:tcW w:w="1701" w:type="dxa"/>
            <w:gridSpan w:val="2"/>
            <w:tcBorders>
              <w:top w:val="nil"/>
              <w:left w:val="nil"/>
              <w:bottom w:val="nil"/>
            </w:tcBorders>
            <w:shd w:val="clear" w:color="auto" w:fill="auto"/>
            <w:noWrap/>
            <w:vAlign w:val="bottom"/>
          </w:tcPr>
          <w:p w14:paraId="2BF57FA2"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(0.918-1.319)</w:t>
            </w:r>
          </w:p>
        </w:tc>
      </w:tr>
      <w:tr w:rsidR="00912A8F" w:rsidRPr="00912A8F" w14:paraId="47ACEF71" w14:textId="77777777" w:rsidTr="00092705">
        <w:trPr>
          <w:trHeight w:val="300"/>
        </w:trPr>
        <w:tc>
          <w:tcPr>
            <w:tcW w:w="2499" w:type="dxa"/>
            <w:tcBorders>
              <w:top w:val="nil"/>
              <w:left w:val="nil"/>
              <w:bottom w:val="nil"/>
              <w:right w:val="nil"/>
            </w:tcBorders>
            <w:shd w:val="clear" w:color="auto" w:fill="auto"/>
            <w:noWrap/>
            <w:vAlign w:val="bottom"/>
            <w:hideMark/>
          </w:tcPr>
          <w:p w14:paraId="79DCDD87" w14:textId="77777777" w:rsidR="00912A8F" w:rsidRPr="00912A8F" w:rsidRDefault="00912A8F" w:rsidP="005662A9">
            <w:pPr>
              <w:spacing w:after="0" w:line="240" w:lineRule="auto"/>
              <w:rPr>
                <w:rFonts w:eastAsia="SimSun" w:cs="Times New Roman"/>
                <w:lang w:val="en-US"/>
              </w:rPr>
            </w:pPr>
          </w:p>
        </w:tc>
        <w:tc>
          <w:tcPr>
            <w:tcW w:w="2511" w:type="dxa"/>
            <w:tcBorders>
              <w:top w:val="nil"/>
              <w:left w:val="nil"/>
              <w:bottom w:val="nil"/>
              <w:right w:val="nil"/>
            </w:tcBorders>
            <w:shd w:val="clear" w:color="auto" w:fill="auto"/>
            <w:noWrap/>
            <w:vAlign w:val="center"/>
            <w:hideMark/>
          </w:tcPr>
          <w:p w14:paraId="292B7736"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4th quintile</w:t>
            </w:r>
          </w:p>
        </w:tc>
        <w:tc>
          <w:tcPr>
            <w:tcW w:w="1418" w:type="dxa"/>
            <w:tcBorders>
              <w:top w:val="nil"/>
              <w:left w:val="single" w:sz="4" w:space="0" w:color="auto"/>
              <w:bottom w:val="nil"/>
              <w:right w:val="nil"/>
            </w:tcBorders>
            <w:shd w:val="clear" w:color="auto" w:fill="auto"/>
            <w:noWrap/>
            <w:vAlign w:val="bottom"/>
          </w:tcPr>
          <w:p w14:paraId="03890D24"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1.178</w:t>
            </w:r>
          </w:p>
        </w:tc>
        <w:tc>
          <w:tcPr>
            <w:tcW w:w="1701" w:type="dxa"/>
            <w:gridSpan w:val="2"/>
            <w:tcBorders>
              <w:top w:val="nil"/>
              <w:left w:val="nil"/>
              <w:bottom w:val="nil"/>
            </w:tcBorders>
            <w:shd w:val="clear" w:color="auto" w:fill="auto"/>
            <w:noWrap/>
            <w:vAlign w:val="bottom"/>
          </w:tcPr>
          <w:p w14:paraId="3BC9CC3C"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(0.978-1.419)</w:t>
            </w:r>
          </w:p>
        </w:tc>
      </w:tr>
      <w:tr w:rsidR="00912A8F" w:rsidRPr="00912A8F" w14:paraId="60D09425" w14:textId="77777777" w:rsidTr="00092705">
        <w:trPr>
          <w:trHeight w:val="300"/>
        </w:trPr>
        <w:tc>
          <w:tcPr>
            <w:tcW w:w="2499" w:type="dxa"/>
            <w:tcBorders>
              <w:top w:val="nil"/>
              <w:left w:val="nil"/>
              <w:bottom w:val="nil"/>
              <w:right w:val="nil"/>
            </w:tcBorders>
            <w:shd w:val="clear" w:color="auto" w:fill="auto"/>
            <w:noWrap/>
            <w:vAlign w:val="bottom"/>
            <w:hideMark/>
          </w:tcPr>
          <w:p w14:paraId="506A8D21" w14:textId="77777777" w:rsidR="00912A8F" w:rsidRPr="00912A8F" w:rsidRDefault="00912A8F" w:rsidP="005662A9">
            <w:pPr>
              <w:spacing w:after="0" w:line="240" w:lineRule="auto"/>
              <w:rPr>
                <w:rFonts w:eastAsia="SimSun" w:cs="Times New Roman"/>
                <w:lang w:val="en-US"/>
              </w:rPr>
            </w:pPr>
          </w:p>
        </w:tc>
        <w:tc>
          <w:tcPr>
            <w:tcW w:w="2511" w:type="dxa"/>
            <w:tcBorders>
              <w:top w:val="nil"/>
              <w:left w:val="nil"/>
              <w:bottom w:val="nil"/>
              <w:right w:val="nil"/>
            </w:tcBorders>
            <w:shd w:val="clear" w:color="auto" w:fill="auto"/>
            <w:noWrap/>
            <w:vAlign w:val="center"/>
            <w:hideMark/>
          </w:tcPr>
          <w:p w14:paraId="22B504FB"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5th quintile</w:t>
            </w:r>
          </w:p>
        </w:tc>
        <w:tc>
          <w:tcPr>
            <w:tcW w:w="1418" w:type="dxa"/>
            <w:tcBorders>
              <w:top w:val="nil"/>
              <w:left w:val="single" w:sz="4" w:space="0" w:color="auto"/>
              <w:bottom w:val="nil"/>
              <w:right w:val="nil"/>
            </w:tcBorders>
            <w:shd w:val="clear" w:color="auto" w:fill="auto"/>
            <w:noWrap/>
            <w:vAlign w:val="bottom"/>
          </w:tcPr>
          <w:p w14:paraId="158CCA6F"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1.196</w:t>
            </w:r>
          </w:p>
        </w:tc>
        <w:tc>
          <w:tcPr>
            <w:tcW w:w="1701" w:type="dxa"/>
            <w:gridSpan w:val="2"/>
            <w:tcBorders>
              <w:top w:val="nil"/>
              <w:left w:val="nil"/>
              <w:bottom w:val="nil"/>
            </w:tcBorders>
            <w:shd w:val="clear" w:color="auto" w:fill="auto"/>
            <w:noWrap/>
            <w:vAlign w:val="bottom"/>
          </w:tcPr>
          <w:p w14:paraId="553EAF1B"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(0.985-1.453)</w:t>
            </w:r>
          </w:p>
        </w:tc>
      </w:tr>
      <w:tr w:rsidR="00912A8F" w:rsidRPr="00912A8F" w14:paraId="0863795A" w14:textId="77777777" w:rsidTr="00092705">
        <w:trPr>
          <w:trHeight w:val="300"/>
        </w:trPr>
        <w:tc>
          <w:tcPr>
            <w:tcW w:w="2499" w:type="dxa"/>
            <w:tcBorders>
              <w:top w:val="nil"/>
              <w:left w:val="nil"/>
              <w:right w:val="nil"/>
            </w:tcBorders>
            <w:shd w:val="clear" w:color="auto" w:fill="auto"/>
            <w:noWrap/>
            <w:vAlign w:val="bottom"/>
            <w:hideMark/>
          </w:tcPr>
          <w:p w14:paraId="3CD03A84"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Ethnicity white</w:t>
            </w:r>
          </w:p>
        </w:tc>
        <w:tc>
          <w:tcPr>
            <w:tcW w:w="2511" w:type="dxa"/>
            <w:tcBorders>
              <w:top w:val="nil"/>
              <w:left w:val="nil"/>
              <w:right w:val="nil"/>
            </w:tcBorders>
            <w:shd w:val="clear" w:color="auto" w:fill="auto"/>
            <w:noWrap/>
            <w:vAlign w:val="bottom"/>
            <w:hideMark/>
          </w:tcPr>
          <w:p w14:paraId="1B61A316" w14:textId="77777777" w:rsidR="00912A8F" w:rsidRPr="00912A8F" w:rsidRDefault="00912A8F" w:rsidP="005662A9">
            <w:pPr>
              <w:spacing w:after="0" w:line="240" w:lineRule="auto"/>
              <w:rPr>
                <w:rFonts w:eastAsia="SimSun" w:cs="Times New Roman"/>
                <w:lang w:val="en-US"/>
              </w:rPr>
            </w:pPr>
          </w:p>
        </w:tc>
        <w:tc>
          <w:tcPr>
            <w:tcW w:w="1418" w:type="dxa"/>
            <w:tcBorders>
              <w:top w:val="nil"/>
              <w:left w:val="single" w:sz="4" w:space="0" w:color="auto"/>
              <w:right w:val="nil"/>
            </w:tcBorders>
            <w:shd w:val="clear" w:color="auto" w:fill="auto"/>
            <w:noWrap/>
            <w:vAlign w:val="bottom"/>
          </w:tcPr>
          <w:p w14:paraId="0BBA4143"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1.277***</w:t>
            </w:r>
          </w:p>
        </w:tc>
        <w:tc>
          <w:tcPr>
            <w:tcW w:w="1701" w:type="dxa"/>
            <w:gridSpan w:val="2"/>
            <w:tcBorders>
              <w:top w:val="nil"/>
              <w:left w:val="nil"/>
            </w:tcBorders>
            <w:shd w:val="clear" w:color="auto" w:fill="auto"/>
            <w:noWrap/>
            <w:vAlign w:val="bottom"/>
          </w:tcPr>
          <w:p w14:paraId="036658A6"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(1.149-1.421)</w:t>
            </w:r>
          </w:p>
        </w:tc>
      </w:tr>
      <w:tr w:rsidR="00912A8F" w:rsidRPr="00912A8F" w14:paraId="454AD014" w14:textId="77777777" w:rsidTr="00092705">
        <w:trPr>
          <w:trHeight w:val="300"/>
        </w:trPr>
        <w:tc>
          <w:tcPr>
            <w:tcW w:w="5010" w:type="dxa"/>
            <w:gridSpan w:val="2"/>
            <w:tcBorders>
              <w:top w:val="nil"/>
              <w:left w:val="nil"/>
              <w:bottom w:val="nil"/>
              <w:right w:val="nil"/>
            </w:tcBorders>
            <w:shd w:val="clear" w:color="auto" w:fill="auto"/>
            <w:noWrap/>
            <w:vAlign w:val="bottom"/>
            <w:hideMark/>
          </w:tcPr>
          <w:p w14:paraId="6B332924"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Number of admissions within 12 months prior to diagnosis</w:t>
            </w:r>
          </w:p>
        </w:tc>
        <w:tc>
          <w:tcPr>
            <w:tcW w:w="1418" w:type="dxa"/>
            <w:tcBorders>
              <w:top w:val="nil"/>
              <w:left w:val="single" w:sz="4" w:space="0" w:color="auto"/>
              <w:bottom w:val="nil"/>
              <w:right w:val="nil"/>
            </w:tcBorders>
            <w:shd w:val="clear" w:color="auto" w:fill="auto"/>
            <w:noWrap/>
            <w:vAlign w:val="bottom"/>
            <w:hideMark/>
          </w:tcPr>
          <w:p w14:paraId="24BE33CE"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 </w:t>
            </w:r>
          </w:p>
        </w:tc>
        <w:tc>
          <w:tcPr>
            <w:tcW w:w="1701" w:type="dxa"/>
            <w:gridSpan w:val="2"/>
            <w:tcBorders>
              <w:top w:val="nil"/>
              <w:left w:val="nil"/>
              <w:bottom w:val="nil"/>
            </w:tcBorders>
            <w:shd w:val="clear" w:color="auto" w:fill="auto"/>
            <w:noWrap/>
            <w:vAlign w:val="bottom"/>
            <w:hideMark/>
          </w:tcPr>
          <w:p w14:paraId="2FD624B4"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 </w:t>
            </w:r>
          </w:p>
        </w:tc>
      </w:tr>
      <w:tr w:rsidR="00912A8F" w:rsidRPr="00912A8F" w14:paraId="472E9889" w14:textId="77777777" w:rsidTr="00092705">
        <w:trPr>
          <w:trHeight w:val="300"/>
        </w:trPr>
        <w:tc>
          <w:tcPr>
            <w:tcW w:w="2499" w:type="dxa"/>
            <w:tcBorders>
              <w:top w:val="nil"/>
              <w:left w:val="nil"/>
              <w:bottom w:val="nil"/>
              <w:right w:val="nil"/>
            </w:tcBorders>
            <w:shd w:val="clear" w:color="auto" w:fill="auto"/>
            <w:noWrap/>
            <w:vAlign w:val="bottom"/>
            <w:hideMark/>
          </w:tcPr>
          <w:p w14:paraId="621D5C11" w14:textId="77777777" w:rsidR="00912A8F" w:rsidRPr="00912A8F" w:rsidRDefault="00912A8F" w:rsidP="005662A9">
            <w:pPr>
              <w:spacing w:after="0" w:line="240" w:lineRule="auto"/>
              <w:rPr>
                <w:rFonts w:eastAsia="SimSun" w:cs="Times New Roman"/>
                <w:lang w:val="en-US"/>
              </w:rPr>
            </w:pPr>
          </w:p>
        </w:tc>
        <w:tc>
          <w:tcPr>
            <w:tcW w:w="2511" w:type="dxa"/>
            <w:tcBorders>
              <w:top w:val="nil"/>
              <w:left w:val="nil"/>
              <w:bottom w:val="nil"/>
              <w:right w:val="nil"/>
            </w:tcBorders>
            <w:shd w:val="clear" w:color="auto" w:fill="auto"/>
            <w:noWrap/>
            <w:vAlign w:val="center"/>
            <w:hideMark/>
          </w:tcPr>
          <w:p w14:paraId="1B61D8FC"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0 (base)</w:t>
            </w:r>
          </w:p>
        </w:tc>
        <w:tc>
          <w:tcPr>
            <w:tcW w:w="1418" w:type="dxa"/>
            <w:tcBorders>
              <w:top w:val="nil"/>
              <w:left w:val="single" w:sz="4" w:space="0" w:color="auto"/>
              <w:bottom w:val="nil"/>
              <w:right w:val="nil"/>
            </w:tcBorders>
            <w:shd w:val="clear" w:color="auto" w:fill="auto"/>
            <w:noWrap/>
            <w:vAlign w:val="bottom"/>
            <w:hideMark/>
          </w:tcPr>
          <w:p w14:paraId="13CE091A"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 </w:t>
            </w:r>
          </w:p>
        </w:tc>
        <w:tc>
          <w:tcPr>
            <w:tcW w:w="1701" w:type="dxa"/>
            <w:gridSpan w:val="2"/>
            <w:tcBorders>
              <w:top w:val="nil"/>
              <w:left w:val="nil"/>
              <w:bottom w:val="nil"/>
            </w:tcBorders>
            <w:shd w:val="clear" w:color="auto" w:fill="auto"/>
            <w:noWrap/>
            <w:vAlign w:val="bottom"/>
            <w:hideMark/>
          </w:tcPr>
          <w:p w14:paraId="623FDDD8"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 </w:t>
            </w:r>
          </w:p>
        </w:tc>
      </w:tr>
      <w:tr w:rsidR="00912A8F" w:rsidRPr="00912A8F" w14:paraId="08E6B424" w14:textId="77777777" w:rsidTr="00092705">
        <w:trPr>
          <w:trHeight w:val="300"/>
        </w:trPr>
        <w:tc>
          <w:tcPr>
            <w:tcW w:w="2499" w:type="dxa"/>
            <w:tcBorders>
              <w:top w:val="nil"/>
              <w:left w:val="nil"/>
              <w:bottom w:val="nil"/>
              <w:right w:val="nil"/>
            </w:tcBorders>
            <w:shd w:val="clear" w:color="auto" w:fill="auto"/>
            <w:noWrap/>
            <w:vAlign w:val="bottom"/>
            <w:hideMark/>
          </w:tcPr>
          <w:p w14:paraId="619E9D47" w14:textId="77777777" w:rsidR="00912A8F" w:rsidRPr="00912A8F" w:rsidRDefault="00912A8F" w:rsidP="005662A9">
            <w:pPr>
              <w:spacing w:after="0" w:line="240" w:lineRule="auto"/>
              <w:rPr>
                <w:rFonts w:eastAsia="SimSun" w:cs="Times New Roman"/>
                <w:lang w:val="en-US"/>
              </w:rPr>
            </w:pPr>
          </w:p>
        </w:tc>
        <w:tc>
          <w:tcPr>
            <w:tcW w:w="2511" w:type="dxa"/>
            <w:tcBorders>
              <w:top w:val="nil"/>
              <w:left w:val="nil"/>
              <w:bottom w:val="nil"/>
              <w:right w:val="nil"/>
            </w:tcBorders>
            <w:shd w:val="clear" w:color="auto" w:fill="auto"/>
            <w:noWrap/>
            <w:vAlign w:val="center"/>
            <w:hideMark/>
          </w:tcPr>
          <w:p w14:paraId="1D04A102"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w:t>
            </w:r>
          </w:p>
        </w:tc>
        <w:tc>
          <w:tcPr>
            <w:tcW w:w="1418" w:type="dxa"/>
            <w:tcBorders>
              <w:top w:val="nil"/>
              <w:left w:val="single" w:sz="4" w:space="0" w:color="auto"/>
              <w:bottom w:val="nil"/>
              <w:right w:val="nil"/>
            </w:tcBorders>
            <w:shd w:val="clear" w:color="auto" w:fill="auto"/>
            <w:noWrap/>
            <w:vAlign w:val="bottom"/>
            <w:hideMark/>
          </w:tcPr>
          <w:p w14:paraId="55A19900"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1.174**</w:t>
            </w:r>
          </w:p>
        </w:tc>
        <w:tc>
          <w:tcPr>
            <w:tcW w:w="1701" w:type="dxa"/>
            <w:gridSpan w:val="2"/>
            <w:tcBorders>
              <w:top w:val="nil"/>
              <w:left w:val="nil"/>
              <w:bottom w:val="nil"/>
            </w:tcBorders>
            <w:shd w:val="clear" w:color="auto" w:fill="auto"/>
            <w:noWrap/>
            <w:vAlign w:val="bottom"/>
            <w:hideMark/>
          </w:tcPr>
          <w:p w14:paraId="33777595"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(1.050-1.313)</w:t>
            </w:r>
          </w:p>
        </w:tc>
      </w:tr>
      <w:tr w:rsidR="00912A8F" w:rsidRPr="00912A8F" w14:paraId="6B8A1924" w14:textId="77777777" w:rsidTr="00092705">
        <w:trPr>
          <w:trHeight w:val="300"/>
        </w:trPr>
        <w:tc>
          <w:tcPr>
            <w:tcW w:w="2499" w:type="dxa"/>
            <w:tcBorders>
              <w:top w:val="nil"/>
              <w:left w:val="nil"/>
              <w:bottom w:val="nil"/>
              <w:right w:val="nil"/>
            </w:tcBorders>
            <w:shd w:val="clear" w:color="auto" w:fill="auto"/>
            <w:noWrap/>
            <w:vAlign w:val="bottom"/>
            <w:hideMark/>
          </w:tcPr>
          <w:p w14:paraId="159988D8" w14:textId="77777777" w:rsidR="00912A8F" w:rsidRPr="00912A8F" w:rsidRDefault="00912A8F" w:rsidP="005662A9">
            <w:pPr>
              <w:spacing w:after="0" w:line="240" w:lineRule="auto"/>
              <w:rPr>
                <w:rFonts w:eastAsia="SimSun" w:cs="Times New Roman"/>
                <w:lang w:val="en-US"/>
              </w:rPr>
            </w:pPr>
          </w:p>
        </w:tc>
        <w:tc>
          <w:tcPr>
            <w:tcW w:w="2511" w:type="dxa"/>
            <w:tcBorders>
              <w:top w:val="nil"/>
              <w:left w:val="nil"/>
              <w:bottom w:val="nil"/>
              <w:right w:val="nil"/>
            </w:tcBorders>
            <w:shd w:val="clear" w:color="auto" w:fill="auto"/>
            <w:noWrap/>
            <w:vAlign w:val="center"/>
            <w:hideMark/>
          </w:tcPr>
          <w:p w14:paraId="3E23900C"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2</w:t>
            </w:r>
          </w:p>
        </w:tc>
        <w:tc>
          <w:tcPr>
            <w:tcW w:w="1418" w:type="dxa"/>
            <w:tcBorders>
              <w:top w:val="nil"/>
              <w:left w:val="single" w:sz="4" w:space="0" w:color="auto"/>
              <w:bottom w:val="nil"/>
              <w:right w:val="nil"/>
            </w:tcBorders>
            <w:shd w:val="clear" w:color="auto" w:fill="auto"/>
            <w:noWrap/>
            <w:vAlign w:val="bottom"/>
            <w:hideMark/>
          </w:tcPr>
          <w:p w14:paraId="755A046F"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1.190*</w:t>
            </w:r>
          </w:p>
        </w:tc>
        <w:tc>
          <w:tcPr>
            <w:tcW w:w="1701" w:type="dxa"/>
            <w:gridSpan w:val="2"/>
            <w:tcBorders>
              <w:top w:val="nil"/>
              <w:left w:val="nil"/>
              <w:bottom w:val="nil"/>
            </w:tcBorders>
            <w:shd w:val="clear" w:color="auto" w:fill="auto"/>
            <w:noWrap/>
            <w:vAlign w:val="bottom"/>
            <w:hideMark/>
          </w:tcPr>
          <w:p w14:paraId="1968FBA1"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(1.028-1.377)</w:t>
            </w:r>
          </w:p>
        </w:tc>
      </w:tr>
      <w:tr w:rsidR="00912A8F" w:rsidRPr="00912A8F" w14:paraId="3E061463" w14:textId="77777777" w:rsidTr="00092705">
        <w:trPr>
          <w:trHeight w:val="300"/>
        </w:trPr>
        <w:tc>
          <w:tcPr>
            <w:tcW w:w="2499" w:type="dxa"/>
            <w:tcBorders>
              <w:top w:val="nil"/>
              <w:left w:val="nil"/>
              <w:bottom w:val="nil"/>
              <w:right w:val="nil"/>
            </w:tcBorders>
            <w:shd w:val="clear" w:color="auto" w:fill="auto"/>
            <w:noWrap/>
            <w:vAlign w:val="bottom"/>
            <w:hideMark/>
          </w:tcPr>
          <w:p w14:paraId="2BF36920" w14:textId="77777777" w:rsidR="00912A8F" w:rsidRPr="00912A8F" w:rsidRDefault="00912A8F" w:rsidP="005662A9">
            <w:pPr>
              <w:spacing w:after="0" w:line="240" w:lineRule="auto"/>
              <w:rPr>
                <w:rFonts w:eastAsia="SimSun" w:cs="Times New Roman"/>
                <w:lang w:val="en-US"/>
              </w:rPr>
            </w:pPr>
          </w:p>
        </w:tc>
        <w:tc>
          <w:tcPr>
            <w:tcW w:w="2511" w:type="dxa"/>
            <w:tcBorders>
              <w:top w:val="nil"/>
              <w:left w:val="nil"/>
              <w:bottom w:val="nil"/>
              <w:right w:val="nil"/>
            </w:tcBorders>
            <w:shd w:val="clear" w:color="auto" w:fill="auto"/>
            <w:noWrap/>
            <w:vAlign w:val="center"/>
            <w:hideMark/>
          </w:tcPr>
          <w:p w14:paraId="3414AB98"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3 or more</w:t>
            </w:r>
          </w:p>
        </w:tc>
        <w:tc>
          <w:tcPr>
            <w:tcW w:w="1418" w:type="dxa"/>
            <w:tcBorders>
              <w:top w:val="nil"/>
              <w:left w:val="single" w:sz="4" w:space="0" w:color="auto"/>
              <w:bottom w:val="nil"/>
              <w:right w:val="nil"/>
            </w:tcBorders>
            <w:shd w:val="clear" w:color="auto" w:fill="auto"/>
            <w:noWrap/>
            <w:vAlign w:val="bottom"/>
            <w:hideMark/>
          </w:tcPr>
          <w:p w14:paraId="1807BE30"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1.500***</w:t>
            </w:r>
          </w:p>
        </w:tc>
        <w:tc>
          <w:tcPr>
            <w:tcW w:w="1701" w:type="dxa"/>
            <w:gridSpan w:val="2"/>
            <w:tcBorders>
              <w:top w:val="nil"/>
              <w:left w:val="nil"/>
              <w:bottom w:val="nil"/>
            </w:tcBorders>
            <w:shd w:val="clear" w:color="auto" w:fill="auto"/>
            <w:noWrap/>
            <w:vAlign w:val="bottom"/>
            <w:hideMark/>
          </w:tcPr>
          <w:p w14:paraId="7C17F45A"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(1.268-1.775)</w:t>
            </w:r>
          </w:p>
        </w:tc>
      </w:tr>
      <w:tr w:rsidR="00912A8F" w:rsidRPr="00912A8F" w14:paraId="076535DA" w14:textId="77777777" w:rsidTr="00092705">
        <w:trPr>
          <w:trHeight w:val="300"/>
        </w:trPr>
        <w:tc>
          <w:tcPr>
            <w:tcW w:w="5010" w:type="dxa"/>
            <w:gridSpan w:val="2"/>
            <w:tcBorders>
              <w:top w:val="nil"/>
              <w:left w:val="nil"/>
              <w:bottom w:val="nil"/>
              <w:right w:val="nil"/>
            </w:tcBorders>
            <w:shd w:val="clear" w:color="auto" w:fill="auto"/>
            <w:noWrap/>
            <w:vAlign w:val="bottom"/>
            <w:hideMark/>
          </w:tcPr>
          <w:p w14:paraId="0A48DED4"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Number of primary  care  contacts within 12 months prior to diagnosis</w:t>
            </w:r>
          </w:p>
        </w:tc>
        <w:tc>
          <w:tcPr>
            <w:tcW w:w="1418" w:type="dxa"/>
            <w:tcBorders>
              <w:top w:val="nil"/>
              <w:left w:val="single" w:sz="4" w:space="0" w:color="auto"/>
              <w:bottom w:val="nil"/>
              <w:right w:val="nil"/>
            </w:tcBorders>
            <w:shd w:val="clear" w:color="auto" w:fill="auto"/>
            <w:noWrap/>
            <w:vAlign w:val="bottom"/>
            <w:hideMark/>
          </w:tcPr>
          <w:p w14:paraId="28991BB9"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 </w:t>
            </w:r>
          </w:p>
        </w:tc>
        <w:tc>
          <w:tcPr>
            <w:tcW w:w="1701" w:type="dxa"/>
            <w:gridSpan w:val="2"/>
            <w:tcBorders>
              <w:top w:val="nil"/>
              <w:left w:val="nil"/>
              <w:bottom w:val="nil"/>
            </w:tcBorders>
            <w:shd w:val="clear" w:color="auto" w:fill="auto"/>
            <w:noWrap/>
            <w:vAlign w:val="bottom"/>
            <w:hideMark/>
          </w:tcPr>
          <w:p w14:paraId="14C93E3C"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 </w:t>
            </w:r>
          </w:p>
        </w:tc>
      </w:tr>
      <w:tr w:rsidR="00912A8F" w:rsidRPr="00912A8F" w14:paraId="02A49197" w14:textId="77777777" w:rsidTr="005662A9">
        <w:trPr>
          <w:trHeight w:val="300"/>
        </w:trPr>
        <w:tc>
          <w:tcPr>
            <w:tcW w:w="2499" w:type="dxa"/>
            <w:tcBorders>
              <w:top w:val="nil"/>
              <w:left w:val="nil"/>
              <w:right w:val="nil"/>
            </w:tcBorders>
            <w:shd w:val="clear" w:color="auto" w:fill="auto"/>
            <w:noWrap/>
            <w:vAlign w:val="bottom"/>
            <w:hideMark/>
          </w:tcPr>
          <w:p w14:paraId="50CFAC8F" w14:textId="77777777" w:rsidR="00912A8F" w:rsidRPr="00912A8F" w:rsidRDefault="00912A8F" w:rsidP="005662A9">
            <w:pPr>
              <w:spacing w:after="0" w:line="240" w:lineRule="auto"/>
              <w:rPr>
                <w:rFonts w:eastAsia="SimSun" w:cs="Times New Roman"/>
                <w:lang w:val="en-US"/>
              </w:rPr>
            </w:pPr>
          </w:p>
        </w:tc>
        <w:tc>
          <w:tcPr>
            <w:tcW w:w="2511" w:type="dxa"/>
            <w:tcBorders>
              <w:top w:val="nil"/>
              <w:left w:val="nil"/>
              <w:right w:val="nil"/>
            </w:tcBorders>
            <w:shd w:val="clear" w:color="auto" w:fill="auto"/>
            <w:noWrap/>
            <w:vAlign w:val="center"/>
            <w:hideMark/>
          </w:tcPr>
          <w:p w14:paraId="4A1BC4E9"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&lt;5 (base)</w:t>
            </w:r>
          </w:p>
        </w:tc>
        <w:tc>
          <w:tcPr>
            <w:tcW w:w="1418" w:type="dxa"/>
            <w:tcBorders>
              <w:top w:val="nil"/>
              <w:left w:val="single" w:sz="4" w:space="0" w:color="auto"/>
              <w:right w:val="nil"/>
            </w:tcBorders>
            <w:shd w:val="clear" w:color="auto" w:fill="auto"/>
            <w:noWrap/>
            <w:vAlign w:val="bottom"/>
            <w:hideMark/>
          </w:tcPr>
          <w:p w14:paraId="265E0C1E"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 </w:t>
            </w:r>
          </w:p>
        </w:tc>
        <w:tc>
          <w:tcPr>
            <w:tcW w:w="1701" w:type="dxa"/>
            <w:gridSpan w:val="2"/>
            <w:tcBorders>
              <w:top w:val="nil"/>
              <w:left w:val="nil"/>
            </w:tcBorders>
            <w:shd w:val="clear" w:color="auto" w:fill="auto"/>
            <w:noWrap/>
            <w:vAlign w:val="bottom"/>
            <w:hideMark/>
          </w:tcPr>
          <w:p w14:paraId="01039CD7"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 </w:t>
            </w:r>
          </w:p>
        </w:tc>
      </w:tr>
      <w:tr w:rsidR="00912A8F" w:rsidRPr="00912A8F" w14:paraId="1E55FCF1" w14:textId="77777777" w:rsidTr="005662A9">
        <w:trPr>
          <w:trHeight w:val="300"/>
        </w:trPr>
        <w:tc>
          <w:tcPr>
            <w:tcW w:w="2499" w:type="dxa"/>
            <w:tcBorders>
              <w:top w:val="nil"/>
              <w:left w:val="nil"/>
              <w:right w:val="nil"/>
            </w:tcBorders>
            <w:shd w:val="clear" w:color="auto" w:fill="auto"/>
            <w:noWrap/>
            <w:vAlign w:val="bottom"/>
          </w:tcPr>
          <w:p w14:paraId="7E720B25" w14:textId="77777777" w:rsidR="00912A8F" w:rsidRPr="00912A8F" w:rsidRDefault="00912A8F" w:rsidP="005662A9">
            <w:pPr>
              <w:spacing w:after="0" w:line="240" w:lineRule="auto"/>
              <w:rPr>
                <w:rFonts w:eastAsia="SimSun" w:cs="Times New Roman"/>
                <w:lang w:val="en-US"/>
              </w:rPr>
            </w:pPr>
          </w:p>
        </w:tc>
        <w:tc>
          <w:tcPr>
            <w:tcW w:w="2511" w:type="dxa"/>
            <w:tcBorders>
              <w:top w:val="nil"/>
              <w:left w:val="nil"/>
              <w:right w:val="nil"/>
            </w:tcBorders>
            <w:shd w:val="clear" w:color="auto" w:fill="auto"/>
            <w:noWrap/>
            <w:vAlign w:val="center"/>
            <w:hideMark/>
          </w:tcPr>
          <w:p w14:paraId="7822861B"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5-9</w:t>
            </w:r>
          </w:p>
        </w:tc>
        <w:tc>
          <w:tcPr>
            <w:tcW w:w="1418" w:type="dxa"/>
            <w:tcBorders>
              <w:top w:val="nil"/>
              <w:left w:val="single" w:sz="4" w:space="0" w:color="auto"/>
              <w:right w:val="nil"/>
            </w:tcBorders>
            <w:shd w:val="clear" w:color="auto" w:fill="auto"/>
            <w:noWrap/>
            <w:vAlign w:val="bottom"/>
            <w:hideMark/>
          </w:tcPr>
          <w:p w14:paraId="5F7FAE78"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1.219**</w:t>
            </w:r>
          </w:p>
        </w:tc>
        <w:tc>
          <w:tcPr>
            <w:tcW w:w="1701" w:type="dxa"/>
            <w:gridSpan w:val="2"/>
            <w:tcBorders>
              <w:top w:val="nil"/>
              <w:left w:val="nil"/>
            </w:tcBorders>
            <w:shd w:val="clear" w:color="auto" w:fill="auto"/>
            <w:noWrap/>
            <w:vAlign w:val="bottom"/>
            <w:hideMark/>
          </w:tcPr>
          <w:p w14:paraId="40552AC1"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(1.056-1.407)</w:t>
            </w:r>
          </w:p>
        </w:tc>
      </w:tr>
      <w:tr w:rsidR="00912A8F" w:rsidRPr="00912A8F" w14:paraId="69F816A5" w14:textId="77777777" w:rsidTr="005662A9">
        <w:trPr>
          <w:trHeight w:val="300"/>
        </w:trPr>
        <w:tc>
          <w:tcPr>
            <w:tcW w:w="2499" w:type="dxa"/>
            <w:tcBorders>
              <w:left w:val="nil"/>
              <w:right w:val="nil"/>
            </w:tcBorders>
            <w:shd w:val="clear" w:color="auto" w:fill="auto"/>
            <w:noWrap/>
            <w:vAlign w:val="bottom"/>
          </w:tcPr>
          <w:p w14:paraId="63D56052" w14:textId="77777777" w:rsidR="00912A8F" w:rsidRPr="00912A8F" w:rsidRDefault="00912A8F" w:rsidP="005662A9">
            <w:pPr>
              <w:spacing w:after="0" w:line="240" w:lineRule="auto"/>
              <w:rPr>
                <w:rFonts w:eastAsia="SimSun" w:cs="Times New Roman"/>
                <w:lang w:val="en-US"/>
              </w:rPr>
            </w:pPr>
          </w:p>
        </w:tc>
        <w:tc>
          <w:tcPr>
            <w:tcW w:w="2511" w:type="dxa"/>
            <w:tcBorders>
              <w:left w:val="nil"/>
              <w:right w:val="nil"/>
            </w:tcBorders>
            <w:shd w:val="clear" w:color="auto" w:fill="auto"/>
            <w:noWrap/>
            <w:vAlign w:val="center"/>
            <w:hideMark/>
          </w:tcPr>
          <w:p w14:paraId="0BDD2187"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10-14</w:t>
            </w:r>
          </w:p>
        </w:tc>
        <w:tc>
          <w:tcPr>
            <w:tcW w:w="1418" w:type="dxa"/>
            <w:tcBorders>
              <w:left w:val="single" w:sz="4" w:space="0" w:color="auto"/>
              <w:right w:val="nil"/>
            </w:tcBorders>
            <w:shd w:val="clear" w:color="auto" w:fill="auto"/>
            <w:noWrap/>
            <w:vAlign w:val="bottom"/>
            <w:hideMark/>
          </w:tcPr>
          <w:p w14:paraId="3D5BF58F"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1.334***</w:t>
            </w:r>
          </w:p>
        </w:tc>
        <w:tc>
          <w:tcPr>
            <w:tcW w:w="1701" w:type="dxa"/>
            <w:gridSpan w:val="2"/>
            <w:tcBorders>
              <w:left w:val="nil"/>
            </w:tcBorders>
            <w:shd w:val="clear" w:color="auto" w:fill="auto"/>
            <w:noWrap/>
            <w:vAlign w:val="bottom"/>
            <w:hideMark/>
          </w:tcPr>
          <w:p w14:paraId="0BE84DA9"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(1.165-1.528)</w:t>
            </w:r>
          </w:p>
        </w:tc>
      </w:tr>
      <w:tr w:rsidR="00912A8F" w:rsidRPr="00912A8F" w14:paraId="082377E8" w14:textId="77777777" w:rsidTr="005662A9">
        <w:trPr>
          <w:trHeight w:val="300"/>
        </w:trPr>
        <w:tc>
          <w:tcPr>
            <w:tcW w:w="2499" w:type="dxa"/>
            <w:tcBorders>
              <w:left w:val="nil"/>
              <w:right w:val="nil"/>
            </w:tcBorders>
            <w:shd w:val="clear" w:color="auto" w:fill="auto"/>
            <w:noWrap/>
            <w:vAlign w:val="bottom"/>
          </w:tcPr>
          <w:p w14:paraId="6D89B85E" w14:textId="77777777" w:rsidR="00912A8F" w:rsidRPr="00912A8F" w:rsidRDefault="00912A8F" w:rsidP="005662A9">
            <w:pPr>
              <w:spacing w:after="0" w:line="240" w:lineRule="auto"/>
              <w:rPr>
                <w:rFonts w:eastAsia="SimSun" w:cs="Times New Roman"/>
                <w:lang w:val="en-US"/>
              </w:rPr>
            </w:pPr>
          </w:p>
        </w:tc>
        <w:tc>
          <w:tcPr>
            <w:tcW w:w="2511" w:type="dxa"/>
            <w:tcBorders>
              <w:left w:val="nil"/>
              <w:right w:val="nil"/>
            </w:tcBorders>
            <w:shd w:val="clear" w:color="auto" w:fill="auto"/>
            <w:noWrap/>
            <w:vAlign w:val="center"/>
            <w:hideMark/>
          </w:tcPr>
          <w:p w14:paraId="5772D4B9"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15-19</w:t>
            </w:r>
          </w:p>
        </w:tc>
        <w:tc>
          <w:tcPr>
            <w:tcW w:w="1418" w:type="dxa"/>
            <w:tcBorders>
              <w:left w:val="single" w:sz="4" w:space="0" w:color="auto"/>
              <w:right w:val="nil"/>
            </w:tcBorders>
            <w:shd w:val="clear" w:color="auto" w:fill="auto"/>
            <w:noWrap/>
            <w:vAlign w:val="bottom"/>
            <w:hideMark/>
          </w:tcPr>
          <w:p w14:paraId="6B57B0AB"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1.714***</w:t>
            </w:r>
          </w:p>
        </w:tc>
        <w:tc>
          <w:tcPr>
            <w:tcW w:w="1701" w:type="dxa"/>
            <w:gridSpan w:val="2"/>
            <w:tcBorders>
              <w:left w:val="nil"/>
            </w:tcBorders>
            <w:shd w:val="clear" w:color="auto" w:fill="auto"/>
            <w:noWrap/>
            <w:vAlign w:val="bottom"/>
            <w:hideMark/>
          </w:tcPr>
          <w:p w14:paraId="1E218CCE"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(1.459-2.013)</w:t>
            </w:r>
          </w:p>
        </w:tc>
      </w:tr>
      <w:tr w:rsidR="00912A8F" w:rsidRPr="00912A8F" w14:paraId="68AD492A" w14:textId="77777777" w:rsidTr="005662A9">
        <w:trPr>
          <w:trHeight w:val="300"/>
        </w:trPr>
        <w:tc>
          <w:tcPr>
            <w:tcW w:w="2499" w:type="dxa"/>
            <w:tcBorders>
              <w:left w:val="nil"/>
              <w:right w:val="nil"/>
            </w:tcBorders>
            <w:shd w:val="clear" w:color="auto" w:fill="auto"/>
            <w:noWrap/>
            <w:vAlign w:val="bottom"/>
          </w:tcPr>
          <w:p w14:paraId="53BBB42E" w14:textId="77777777" w:rsidR="00912A8F" w:rsidRPr="00912A8F" w:rsidRDefault="00912A8F" w:rsidP="005662A9">
            <w:pPr>
              <w:spacing w:after="0" w:line="240" w:lineRule="auto"/>
              <w:rPr>
                <w:rFonts w:eastAsia="SimSun" w:cs="Times New Roman"/>
                <w:lang w:val="en-US"/>
              </w:rPr>
            </w:pPr>
          </w:p>
        </w:tc>
        <w:tc>
          <w:tcPr>
            <w:tcW w:w="2511" w:type="dxa"/>
            <w:tcBorders>
              <w:left w:val="nil"/>
              <w:right w:val="nil"/>
            </w:tcBorders>
            <w:shd w:val="clear" w:color="auto" w:fill="auto"/>
            <w:noWrap/>
            <w:vAlign w:val="center"/>
            <w:hideMark/>
          </w:tcPr>
          <w:p w14:paraId="62FC2BB0"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&gt;=20</w:t>
            </w:r>
          </w:p>
        </w:tc>
        <w:tc>
          <w:tcPr>
            <w:tcW w:w="1418" w:type="dxa"/>
            <w:tcBorders>
              <w:left w:val="single" w:sz="4" w:space="0" w:color="auto"/>
              <w:right w:val="nil"/>
            </w:tcBorders>
            <w:shd w:val="clear" w:color="auto" w:fill="auto"/>
            <w:noWrap/>
            <w:vAlign w:val="bottom"/>
            <w:hideMark/>
          </w:tcPr>
          <w:p w14:paraId="7F24FD1D"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1.861***</w:t>
            </w:r>
          </w:p>
        </w:tc>
        <w:tc>
          <w:tcPr>
            <w:tcW w:w="1701" w:type="dxa"/>
            <w:gridSpan w:val="2"/>
            <w:tcBorders>
              <w:left w:val="nil"/>
            </w:tcBorders>
            <w:shd w:val="clear" w:color="auto" w:fill="auto"/>
            <w:noWrap/>
            <w:vAlign w:val="bottom"/>
            <w:hideMark/>
          </w:tcPr>
          <w:p w14:paraId="490F3D3E"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(1.592-2.176)</w:t>
            </w:r>
          </w:p>
        </w:tc>
      </w:tr>
      <w:tr w:rsidR="00912A8F" w:rsidRPr="00912A8F" w14:paraId="66743D57" w14:textId="77777777" w:rsidTr="005662A9">
        <w:trPr>
          <w:trHeight w:val="300"/>
        </w:trPr>
        <w:tc>
          <w:tcPr>
            <w:tcW w:w="2499" w:type="dxa"/>
            <w:tcBorders>
              <w:left w:val="nil"/>
              <w:bottom w:val="nil"/>
              <w:right w:val="nil"/>
            </w:tcBorders>
            <w:shd w:val="clear" w:color="auto" w:fill="auto"/>
            <w:noWrap/>
            <w:vAlign w:val="bottom"/>
            <w:hideMark/>
          </w:tcPr>
          <w:p w14:paraId="5ADCC1B3"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Current or ex-smoker</w:t>
            </w:r>
          </w:p>
        </w:tc>
        <w:tc>
          <w:tcPr>
            <w:tcW w:w="2511" w:type="dxa"/>
            <w:tcBorders>
              <w:left w:val="nil"/>
              <w:bottom w:val="nil"/>
              <w:right w:val="nil"/>
            </w:tcBorders>
            <w:shd w:val="clear" w:color="auto" w:fill="auto"/>
            <w:noWrap/>
            <w:vAlign w:val="bottom"/>
            <w:hideMark/>
          </w:tcPr>
          <w:p w14:paraId="61FFCA04" w14:textId="77777777" w:rsidR="00912A8F" w:rsidRPr="00912A8F" w:rsidRDefault="00912A8F" w:rsidP="005662A9">
            <w:pPr>
              <w:spacing w:after="0" w:line="240" w:lineRule="auto"/>
              <w:rPr>
                <w:rFonts w:eastAsia="SimSun" w:cs="Times New Roman"/>
                <w:lang w:val="en-US"/>
              </w:rPr>
            </w:pPr>
          </w:p>
        </w:tc>
        <w:tc>
          <w:tcPr>
            <w:tcW w:w="1418" w:type="dxa"/>
            <w:tcBorders>
              <w:left w:val="single" w:sz="4" w:space="0" w:color="auto"/>
              <w:bottom w:val="nil"/>
              <w:right w:val="nil"/>
            </w:tcBorders>
            <w:shd w:val="clear" w:color="auto" w:fill="auto"/>
            <w:noWrap/>
            <w:vAlign w:val="bottom"/>
            <w:hideMark/>
          </w:tcPr>
          <w:p w14:paraId="2CF5DB10"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1.101</w:t>
            </w:r>
          </w:p>
        </w:tc>
        <w:tc>
          <w:tcPr>
            <w:tcW w:w="1701" w:type="dxa"/>
            <w:gridSpan w:val="2"/>
            <w:tcBorders>
              <w:left w:val="nil"/>
              <w:bottom w:val="nil"/>
            </w:tcBorders>
            <w:shd w:val="clear" w:color="auto" w:fill="auto"/>
            <w:noWrap/>
            <w:vAlign w:val="bottom"/>
            <w:hideMark/>
          </w:tcPr>
          <w:p w14:paraId="6EE1C5F5"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(0.983-1.233)</w:t>
            </w:r>
          </w:p>
        </w:tc>
      </w:tr>
      <w:tr w:rsidR="00912A8F" w:rsidRPr="00912A8F" w14:paraId="6CEF38DE" w14:textId="77777777" w:rsidTr="00092705">
        <w:trPr>
          <w:trHeight w:val="300"/>
        </w:trPr>
        <w:tc>
          <w:tcPr>
            <w:tcW w:w="5010" w:type="dxa"/>
            <w:gridSpan w:val="2"/>
            <w:tcBorders>
              <w:top w:val="nil"/>
              <w:left w:val="nil"/>
              <w:bottom w:val="nil"/>
              <w:right w:val="nil"/>
            </w:tcBorders>
            <w:shd w:val="clear" w:color="auto" w:fill="auto"/>
            <w:noWrap/>
            <w:vAlign w:val="bottom"/>
            <w:hideMark/>
          </w:tcPr>
          <w:p w14:paraId="14621DD5"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Number of Charlson Index comorbidities</w:t>
            </w:r>
          </w:p>
        </w:tc>
        <w:tc>
          <w:tcPr>
            <w:tcW w:w="1418" w:type="dxa"/>
            <w:tcBorders>
              <w:top w:val="nil"/>
              <w:left w:val="single" w:sz="4" w:space="0" w:color="auto"/>
              <w:bottom w:val="nil"/>
              <w:right w:val="nil"/>
            </w:tcBorders>
            <w:shd w:val="clear" w:color="auto" w:fill="auto"/>
            <w:noWrap/>
            <w:vAlign w:val="bottom"/>
            <w:hideMark/>
          </w:tcPr>
          <w:p w14:paraId="131F2516"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1.111***</w:t>
            </w:r>
          </w:p>
        </w:tc>
        <w:tc>
          <w:tcPr>
            <w:tcW w:w="1701" w:type="dxa"/>
            <w:gridSpan w:val="2"/>
            <w:tcBorders>
              <w:top w:val="nil"/>
              <w:left w:val="nil"/>
              <w:bottom w:val="nil"/>
            </w:tcBorders>
            <w:shd w:val="clear" w:color="auto" w:fill="auto"/>
            <w:noWrap/>
            <w:vAlign w:val="bottom"/>
            <w:hideMark/>
          </w:tcPr>
          <w:p w14:paraId="2CDE7304"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(1.052-1.174)</w:t>
            </w:r>
          </w:p>
        </w:tc>
      </w:tr>
      <w:tr w:rsidR="00912A8F" w:rsidRPr="00912A8F" w14:paraId="374D80CF" w14:textId="77777777" w:rsidTr="00092705">
        <w:trPr>
          <w:trHeight w:val="300"/>
        </w:trPr>
        <w:tc>
          <w:tcPr>
            <w:tcW w:w="5010" w:type="dxa"/>
            <w:gridSpan w:val="2"/>
            <w:tcBorders>
              <w:top w:val="nil"/>
              <w:left w:val="nil"/>
              <w:bottom w:val="nil"/>
              <w:right w:val="nil"/>
            </w:tcBorders>
            <w:shd w:val="clear" w:color="auto" w:fill="auto"/>
            <w:noWrap/>
            <w:vAlign w:val="bottom"/>
            <w:hideMark/>
          </w:tcPr>
          <w:p w14:paraId="30658360"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lastRenderedPageBreak/>
              <w:t>Diagnosis of depression</w:t>
            </w:r>
          </w:p>
        </w:tc>
        <w:tc>
          <w:tcPr>
            <w:tcW w:w="1418" w:type="dxa"/>
            <w:tcBorders>
              <w:top w:val="nil"/>
              <w:left w:val="single" w:sz="4" w:space="0" w:color="auto"/>
              <w:bottom w:val="nil"/>
              <w:right w:val="nil"/>
            </w:tcBorders>
            <w:shd w:val="clear" w:color="auto" w:fill="auto"/>
            <w:noWrap/>
            <w:vAlign w:val="bottom"/>
            <w:hideMark/>
          </w:tcPr>
          <w:p w14:paraId="416DD4EA"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1.005</w:t>
            </w:r>
          </w:p>
        </w:tc>
        <w:tc>
          <w:tcPr>
            <w:tcW w:w="1701" w:type="dxa"/>
            <w:gridSpan w:val="2"/>
            <w:tcBorders>
              <w:top w:val="nil"/>
              <w:left w:val="nil"/>
              <w:bottom w:val="nil"/>
            </w:tcBorders>
            <w:shd w:val="clear" w:color="auto" w:fill="auto"/>
            <w:noWrap/>
            <w:vAlign w:val="bottom"/>
            <w:hideMark/>
          </w:tcPr>
          <w:p w14:paraId="2D8DE316"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(0.904-1.118)</w:t>
            </w:r>
          </w:p>
        </w:tc>
      </w:tr>
      <w:tr w:rsidR="00912A8F" w:rsidRPr="00912A8F" w14:paraId="77C2D342" w14:textId="77777777" w:rsidTr="00092705">
        <w:trPr>
          <w:trHeight w:val="300"/>
        </w:trPr>
        <w:tc>
          <w:tcPr>
            <w:tcW w:w="2499" w:type="dxa"/>
            <w:tcBorders>
              <w:top w:val="nil"/>
              <w:left w:val="nil"/>
              <w:bottom w:val="nil"/>
              <w:right w:val="nil"/>
            </w:tcBorders>
            <w:shd w:val="clear" w:color="auto" w:fill="auto"/>
            <w:noWrap/>
            <w:vAlign w:val="bottom"/>
            <w:hideMark/>
          </w:tcPr>
          <w:p w14:paraId="3353596B"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Year of diagnosis</w:t>
            </w:r>
          </w:p>
        </w:tc>
        <w:tc>
          <w:tcPr>
            <w:tcW w:w="2511" w:type="dxa"/>
            <w:tcBorders>
              <w:top w:val="nil"/>
              <w:left w:val="nil"/>
              <w:bottom w:val="nil"/>
              <w:right w:val="nil"/>
            </w:tcBorders>
            <w:shd w:val="clear" w:color="auto" w:fill="auto"/>
            <w:noWrap/>
            <w:vAlign w:val="bottom"/>
            <w:hideMark/>
          </w:tcPr>
          <w:p w14:paraId="1F9A3E02" w14:textId="77777777" w:rsidR="00912A8F" w:rsidRPr="00912A8F" w:rsidRDefault="00912A8F" w:rsidP="005662A9">
            <w:pPr>
              <w:spacing w:after="0" w:line="240" w:lineRule="auto"/>
              <w:rPr>
                <w:rFonts w:eastAsia="SimSun" w:cs="Times New Roman"/>
                <w:lang w:val="en-US"/>
              </w:rPr>
            </w:pPr>
          </w:p>
        </w:tc>
        <w:tc>
          <w:tcPr>
            <w:tcW w:w="1418" w:type="dxa"/>
            <w:tcBorders>
              <w:top w:val="nil"/>
              <w:left w:val="single" w:sz="4" w:space="0" w:color="auto"/>
              <w:bottom w:val="nil"/>
              <w:right w:val="nil"/>
            </w:tcBorders>
            <w:shd w:val="clear" w:color="auto" w:fill="auto"/>
            <w:noWrap/>
            <w:vAlign w:val="bottom"/>
            <w:hideMark/>
          </w:tcPr>
          <w:p w14:paraId="7B4987EC"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 </w:t>
            </w:r>
          </w:p>
        </w:tc>
        <w:tc>
          <w:tcPr>
            <w:tcW w:w="1701" w:type="dxa"/>
            <w:gridSpan w:val="2"/>
            <w:tcBorders>
              <w:top w:val="nil"/>
              <w:left w:val="nil"/>
              <w:bottom w:val="nil"/>
            </w:tcBorders>
            <w:shd w:val="clear" w:color="auto" w:fill="auto"/>
            <w:noWrap/>
            <w:vAlign w:val="bottom"/>
            <w:hideMark/>
          </w:tcPr>
          <w:p w14:paraId="4EF06796"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 </w:t>
            </w:r>
          </w:p>
        </w:tc>
      </w:tr>
      <w:tr w:rsidR="00912A8F" w:rsidRPr="00912A8F" w14:paraId="1C3107E3" w14:textId="77777777" w:rsidTr="00092705">
        <w:trPr>
          <w:trHeight w:val="300"/>
        </w:trPr>
        <w:tc>
          <w:tcPr>
            <w:tcW w:w="2499" w:type="dxa"/>
            <w:tcBorders>
              <w:top w:val="nil"/>
              <w:left w:val="nil"/>
              <w:bottom w:val="nil"/>
              <w:right w:val="nil"/>
            </w:tcBorders>
            <w:shd w:val="clear" w:color="auto" w:fill="auto"/>
            <w:noWrap/>
            <w:vAlign w:val="bottom"/>
            <w:hideMark/>
          </w:tcPr>
          <w:p w14:paraId="082F8F27" w14:textId="77777777" w:rsidR="00912A8F" w:rsidRPr="00912A8F" w:rsidRDefault="00912A8F" w:rsidP="005662A9">
            <w:pPr>
              <w:spacing w:after="0" w:line="240" w:lineRule="auto"/>
              <w:rPr>
                <w:rFonts w:eastAsia="SimSun" w:cs="Times New Roman"/>
                <w:lang w:val="en-US"/>
              </w:rPr>
            </w:pPr>
          </w:p>
        </w:tc>
        <w:tc>
          <w:tcPr>
            <w:tcW w:w="2511" w:type="dxa"/>
            <w:tcBorders>
              <w:top w:val="nil"/>
              <w:left w:val="nil"/>
              <w:bottom w:val="nil"/>
              <w:right w:val="nil"/>
            </w:tcBorders>
            <w:shd w:val="clear" w:color="auto" w:fill="auto"/>
            <w:noWrap/>
            <w:vAlign w:val="center"/>
            <w:hideMark/>
          </w:tcPr>
          <w:p w14:paraId="23938E88"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2007 (base)</w:t>
            </w:r>
          </w:p>
        </w:tc>
        <w:tc>
          <w:tcPr>
            <w:tcW w:w="1418" w:type="dxa"/>
            <w:tcBorders>
              <w:top w:val="nil"/>
              <w:left w:val="single" w:sz="4" w:space="0" w:color="auto"/>
              <w:bottom w:val="nil"/>
              <w:right w:val="nil"/>
            </w:tcBorders>
            <w:shd w:val="clear" w:color="auto" w:fill="auto"/>
            <w:noWrap/>
            <w:vAlign w:val="bottom"/>
            <w:hideMark/>
          </w:tcPr>
          <w:p w14:paraId="6ECFB632"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 </w:t>
            </w:r>
          </w:p>
        </w:tc>
        <w:tc>
          <w:tcPr>
            <w:tcW w:w="1701" w:type="dxa"/>
            <w:gridSpan w:val="2"/>
            <w:tcBorders>
              <w:top w:val="nil"/>
              <w:left w:val="nil"/>
              <w:bottom w:val="nil"/>
            </w:tcBorders>
            <w:shd w:val="clear" w:color="auto" w:fill="auto"/>
            <w:noWrap/>
            <w:vAlign w:val="bottom"/>
            <w:hideMark/>
          </w:tcPr>
          <w:p w14:paraId="318D7E3F"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 </w:t>
            </w:r>
          </w:p>
        </w:tc>
      </w:tr>
      <w:tr w:rsidR="00912A8F" w:rsidRPr="00912A8F" w14:paraId="385FF1FB" w14:textId="77777777" w:rsidTr="00092705">
        <w:trPr>
          <w:trHeight w:val="300"/>
        </w:trPr>
        <w:tc>
          <w:tcPr>
            <w:tcW w:w="2499" w:type="dxa"/>
            <w:tcBorders>
              <w:top w:val="nil"/>
              <w:left w:val="nil"/>
              <w:bottom w:val="nil"/>
              <w:right w:val="nil"/>
            </w:tcBorders>
            <w:shd w:val="clear" w:color="auto" w:fill="auto"/>
            <w:noWrap/>
            <w:vAlign w:val="bottom"/>
            <w:hideMark/>
          </w:tcPr>
          <w:p w14:paraId="20085081" w14:textId="77777777" w:rsidR="00912A8F" w:rsidRPr="00912A8F" w:rsidRDefault="00912A8F" w:rsidP="005662A9">
            <w:pPr>
              <w:spacing w:after="0" w:line="240" w:lineRule="auto"/>
              <w:rPr>
                <w:rFonts w:eastAsia="SimSun" w:cs="Times New Roman"/>
                <w:lang w:val="en-US"/>
              </w:rPr>
            </w:pPr>
          </w:p>
        </w:tc>
        <w:tc>
          <w:tcPr>
            <w:tcW w:w="2511" w:type="dxa"/>
            <w:tcBorders>
              <w:top w:val="nil"/>
              <w:left w:val="nil"/>
              <w:bottom w:val="nil"/>
              <w:right w:val="nil"/>
            </w:tcBorders>
            <w:shd w:val="clear" w:color="auto" w:fill="auto"/>
            <w:noWrap/>
            <w:vAlign w:val="bottom"/>
            <w:hideMark/>
          </w:tcPr>
          <w:p w14:paraId="7A0531D0"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2008</w:t>
            </w:r>
          </w:p>
        </w:tc>
        <w:tc>
          <w:tcPr>
            <w:tcW w:w="1418" w:type="dxa"/>
            <w:tcBorders>
              <w:top w:val="nil"/>
              <w:left w:val="single" w:sz="4" w:space="0" w:color="auto"/>
              <w:bottom w:val="nil"/>
              <w:right w:val="nil"/>
            </w:tcBorders>
            <w:shd w:val="clear" w:color="auto" w:fill="auto"/>
            <w:noWrap/>
            <w:vAlign w:val="bottom"/>
          </w:tcPr>
          <w:p w14:paraId="3454E74F"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1.263*</w:t>
            </w:r>
          </w:p>
        </w:tc>
        <w:tc>
          <w:tcPr>
            <w:tcW w:w="1701" w:type="dxa"/>
            <w:gridSpan w:val="2"/>
            <w:tcBorders>
              <w:top w:val="nil"/>
              <w:left w:val="nil"/>
              <w:bottom w:val="nil"/>
            </w:tcBorders>
            <w:shd w:val="clear" w:color="auto" w:fill="auto"/>
            <w:noWrap/>
            <w:vAlign w:val="bottom"/>
          </w:tcPr>
          <w:p w14:paraId="383A8729"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(1.040-1.532)</w:t>
            </w:r>
          </w:p>
        </w:tc>
      </w:tr>
      <w:tr w:rsidR="00912A8F" w:rsidRPr="00912A8F" w14:paraId="48922EB6" w14:textId="77777777" w:rsidTr="00092705">
        <w:trPr>
          <w:trHeight w:val="300"/>
        </w:trPr>
        <w:tc>
          <w:tcPr>
            <w:tcW w:w="2499" w:type="dxa"/>
            <w:tcBorders>
              <w:top w:val="nil"/>
              <w:left w:val="nil"/>
              <w:bottom w:val="nil"/>
              <w:right w:val="nil"/>
            </w:tcBorders>
            <w:shd w:val="clear" w:color="auto" w:fill="auto"/>
            <w:noWrap/>
            <w:vAlign w:val="bottom"/>
            <w:hideMark/>
          </w:tcPr>
          <w:p w14:paraId="53D30BF7" w14:textId="77777777" w:rsidR="00912A8F" w:rsidRPr="00912A8F" w:rsidRDefault="00912A8F" w:rsidP="005662A9">
            <w:pPr>
              <w:spacing w:after="0" w:line="240" w:lineRule="auto"/>
              <w:rPr>
                <w:rFonts w:eastAsia="SimSun" w:cs="Times New Roman"/>
                <w:lang w:val="en-US"/>
              </w:rPr>
            </w:pPr>
          </w:p>
        </w:tc>
        <w:tc>
          <w:tcPr>
            <w:tcW w:w="2511" w:type="dxa"/>
            <w:tcBorders>
              <w:top w:val="nil"/>
              <w:left w:val="nil"/>
              <w:bottom w:val="nil"/>
              <w:right w:val="nil"/>
            </w:tcBorders>
            <w:shd w:val="clear" w:color="auto" w:fill="auto"/>
            <w:noWrap/>
            <w:vAlign w:val="bottom"/>
            <w:hideMark/>
          </w:tcPr>
          <w:p w14:paraId="627EDE24"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2009</w:t>
            </w:r>
          </w:p>
        </w:tc>
        <w:tc>
          <w:tcPr>
            <w:tcW w:w="1418" w:type="dxa"/>
            <w:tcBorders>
              <w:top w:val="nil"/>
              <w:left w:val="single" w:sz="4" w:space="0" w:color="auto"/>
              <w:bottom w:val="nil"/>
              <w:right w:val="nil"/>
            </w:tcBorders>
            <w:shd w:val="clear" w:color="auto" w:fill="auto"/>
            <w:noWrap/>
            <w:vAlign w:val="bottom"/>
          </w:tcPr>
          <w:p w14:paraId="381CFBFF"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1.383***</w:t>
            </w:r>
          </w:p>
        </w:tc>
        <w:tc>
          <w:tcPr>
            <w:tcW w:w="1701" w:type="dxa"/>
            <w:gridSpan w:val="2"/>
            <w:tcBorders>
              <w:top w:val="nil"/>
              <w:left w:val="nil"/>
              <w:bottom w:val="nil"/>
            </w:tcBorders>
            <w:shd w:val="clear" w:color="auto" w:fill="auto"/>
            <w:noWrap/>
            <w:vAlign w:val="bottom"/>
          </w:tcPr>
          <w:p w14:paraId="4AFC3536"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(1.149-1.665)</w:t>
            </w:r>
          </w:p>
        </w:tc>
      </w:tr>
      <w:tr w:rsidR="00912A8F" w:rsidRPr="00912A8F" w14:paraId="464F8600" w14:textId="77777777" w:rsidTr="00092705">
        <w:trPr>
          <w:trHeight w:val="300"/>
        </w:trPr>
        <w:tc>
          <w:tcPr>
            <w:tcW w:w="2499" w:type="dxa"/>
            <w:tcBorders>
              <w:top w:val="nil"/>
              <w:left w:val="nil"/>
              <w:bottom w:val="nil"/>
              <w:right w:val="nil"/>
            </w:tcBorders>
            <w:shd w:val="clear" w:color="auto" w:fill="auto"/>
            <w:noWrap/>
            <w:vAlign w:val="bottom"/>
            <w:hideMark/>
          </w:tcPr>
          <w:p w14:paraId="2B16CAA5" w14:textId="77777777" w:rsidR="00912A8F" w:rsidRPr="00912A8F" w:rsidRDefault="00912A8F" w:rsidP="005662A9">
            <w:pPr>
              <w:spacing w:after="0" w:line="240" w:lineRule="auto"/>
              <w:rPr>
                <w:rFonts w:eastAsia="SimSun" w:cs="Times New Roman"/>
                <w:lang w:val="en-US"/>
              </w:rPr>
            </w:pPr>
          </w:p>
        </w:tc>
        <w:tc>
          <w:tcPr>
            <w:tcW w:w="2511" w:type="dxa"/>
            <w:tcBorders>
              <w:top w:val="nil"/>
              <w:left w:val="nil"/>
              <w:bottom w:val="nil"/>
              <w:right w:val="nil"/>
            </w:tcBorders>
            <w:shd w:val="clear" w:color="auto" w:fill="auto"/>
            <w:noWrap/>
            <w:vAlign w:val="bottom"/>
            <w:hideMark/>
          </w:tcPr>
          <w:p w14:paraId="2468DD35"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2010</w:t>
            </w:r>
          </w:p>
        </w:tc>
        <w:tc>
          <w:tcPr>
            <w:tcW w:w="1418" w:type="dxa"/>
            <w:tcBorders>
              <w:top w:val="nil"/>
              <w:left w:val="single" w:sz="4" w:space="0" w:color="auto"/>
              <w:bottom w:val="nil"/>
              <w:right w:val="nil"/>
            </w:tcBorders>
            <w:shd w:val="clear" w:color="auto" w:fill="auto"/>
            <w:noWrap/>
            <w:vAlign w:val="bottom"/>
          </w:tcPr>
          <w:p w14:paraId="65FAF5BF"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1.644***</w:t>
            </w:r>
          </w:p>
        </w:tc>
        <w:tc>
          <w:tcPr>
            <w:tcW w:w="1701" w:type="dxa"/>
            <w:gridSpan w:val="2"/>
            <w:tcBorders>
              <w:top w:val="nil"/>
              <w:left w:val="nil"/>
              <w:bottom w:val="nil"/>
            </w:tcBorders>
            <w:shd w:val="clear" w:color="auto" w:fill="auto"/>
            <w:noWrap/>
            <w:vAlign w:val="bottom"/>
          </w:tcPr>
          <w:p w14:paraId="67B282C4"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(1.356-1.994)</w:t>
            </w:r>
          </w:p>
        </w:tc>
      </w:tr>
      <w:tr w:rsidR="00912A8F" w:rsidRPr="00912A8F" w14:paraId="337C7D4D" w14:textId="77777777" w:rsidTr="00092705">
        <w:trPr>
          <w:trHeight w:val="300"/>
        </w:trPr>
        <w:tc>
          <w:tcPr>
            <w:tcW w:w="2499" w:type="dxa"/>
            <w:tcBorders>
              <w:top w:val="nil"/>
              <w:left w:val="nil"/>
              <w:bottom w:val="nil"/>
              <w:right w:val="nil"/>
            </w:tcBorders>
            <w:shd w:val="clear" w:color="auto" w:fill="auto"/>
            <w:noWrap/>
            <w:vAlign w:val="bottom"/>
            <w:hideMark/>
          </w:tcPr>
          <w:p w14:paraId="73D47DF2" w14:textId="77777777" w:rsidR="00912A8F" w:rsidRPr="00912A8F" w:rsidRDefault="00912A8F" w:rsidP="005662A9">
            <w:pPr>
              <w:spacing w:after="0" w:line="240" w:lineRule="auto"/>
              <w:rPr>
                <w:rFonts w:eastAsia="SimSun" w:cs="Times New Roman"/>
                <w:lang w:val="en-US"/>
              </w:rPr>
            </w:pPr>
          </w:p>
        </w:tc>
        <w:tc>
          <w:tcPr>
            <w:tcW w:w="2511" w:type="dxa"/>
            <w:tcBorders>
              <w:top w:val="nil"/>
              <w:left w:val="nil"/>
              <w:bottom w:val="nil"/>
              <w:right w:val="nil"/>
            </w:tcBorders>
            <w:shd w:val="clear" w:color="auto" w:fill="auto"/>
            <w:noWrap/>
            <w:vAlign w:val="bottom"/>
            <w:hideMark/>
          </w:tcPr>
          <w:p w14:paraId="39F0A5D9"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2011</w:t>
            </w:r>
          </w:p>
        </w:tc>
        <w:tc>
          <w:tcPr>
            <w:tcW w:w="1418" w:type="dxa"/>
            <w:tcBorders>
              <w:top w:val="nil"/>
              <w:left w:val="single" w:sz="4" w:space="0" w:color="auto"/>
              <w:bottom w:val="nil"/>
              <w:right w:val="nil"/>
            </w:tcBorders>
            <w:shd w:val="clear" w:color="auto" w:fill="auto"/>
            <w:noWrap/>
            <w:vAlign w:val="bottom"/>
          </w:tcPr>
          <w:p w14:paraId="60175643"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1.551***</w:t>
            </w:r>
          </w:p>
        </w:tc>
        <w:tc>
          <w:tcPr>
            <w:tcW w:w="1701" w:type="dxa"/>
            <w:gridSpan w:val="2"/>
            <w:tcBorders>
              <w:top w:val="nil"/>
              <w:left w:val="nil"/>
              <w:bottom w:val="nil"/>
            </w:tcBorders>
            <w:shd w:val="clear" w:color="auto" w:fill="auto"/>
            <w:noWrap/>
            <w:vAlign w:val="bottom"/>
          </w:tcPr>
          <w:p w14:paraId="7A553FC6"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(1.244-1.933)</w:t>
            </w:r>
          </w:p>
        </w:tc>
      </w:tr>
      <w:tr w:rsidR="00912A8F" w:rsidRPr="00912A8F" w14:paraId="2374131F" w14:textId="77777777" w:rsidTr="00092705">
        <w:trPr>
          <w:trHeight w:val="300"/>
        </w:trPr>
        <w:tc>
          <w:tcPr>
            <w:tcW w:w="2499" w:type="dxa"/>
            <w:tcBorders>
              <w:top w:val="nil"/>
              <w:left w:val="nil"/>
              <w:bottom w:val="nil"/>
              <w:right w:val="nil"/>
            </w:tcBorders>
            <w:shd w:val="clear" w:color="auto" w:fill="auto"/>
            <w:noWrap/>
            <w:vAlign w:val="bottom"/>
            <w:hideMark/>
          </w:tcPr>
          <w:p w14:paraId="49DFBBE1" w14:textId="77777777" w:rsidR="00912A8F" w:rsidRPr="00912A8F" w:rsidRDefault="00912A8F" w:rsidP="005662A9">
            <w:pPr>
              <w:spacing w:after="0" w:line="240" w:lineRule="auto"/>
              <w:rPr>
                <w:rFonts w:eastAsia="SimSun" w:cs="Times New Roman"/>
                <w:lang w:val="en-US"/>
              </w:rPr>
            </w:pPr>
          </w:p>
        </w:tc>
        <w:tc>
          <w:tcPr>
            <w:tcW w:w="2511" w:type="dxa"/>
            <w:tcBorders>
              <w:top w:val="nil"/>
              <w:left w:val="nil"/>
              <w:bottom w:val="nil"/>
              <w:right w:val="nil"/>
            </w:tcBorders>
            <w:shd w:val="clear" w:color="auto" w:fill="auto"/>
            <w:noWrap/>
            <w:vAlign w:val="bottom"/>
            <w:hideMark/>
          </w:tcPr>
          <w:p w14:paraId="27377677"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2012</w:t>
            </w:r>
          </w:p>
        </w:tc>
        <w:tc>
          <w:tcPr>
            <w:tcW w:w="1418" w:type="dxa"/>
            <w:tcBorders>
              <w:top w:val="nil"/>
              <w:left w:val="single" w:sz="4" w:space="0" w:color="auto"/>
              <w:bottom w:val="nil"/>
              <w:right w:val="nil"/>
            </w:tcBorders>
            <w:shd w:val="clear" w:color="auto" w:fill="auto"/>
            <w:noWrap/>
            <w:vAlign w:val="bottom"/>
          </w:tcPr>
          <w:p w14:paraId="15C870E6"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1.385**</w:t>
            </w:r>
          </w:p>
        </w:tc>
        <w:tc>
          <w:tcPr>
            <w:tcW w:w="1701" w:type="dxa"/>
            <w:gridSpan w:val="2"/>
            <w:tcBorders>
              <w:top w:val="nil"/>
              <w:left w:val="nil"/>
              <w:bottom w:val="nil"/>
            </w:tcBorders>
            <w:shd w:val="clear" w:color="auto" w:fill="auto"/>
            <w:noWrap/>
            <w:vAlign w:val="bottom"/>
          </w:tcPr>
          <w:p w14:paraId="459FEDD6"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(1.105-1.737)</w:t>
            </w:r>
          </w:p>
        </w:tc>
      </w:tr>
      <w:tr w:rsidR="00912A8F" w:rsidRPr="00912A8F" w14:paraId="32E652DF" w14:textId="77777777" w:rsidTr="00092705">
        <w:trPr>
          <w:trHeight w:val="300"/>
        </w:trPr>
        <w:tc>
          <w:tcPr>
            <w:tcW w:w="2499" w:type="dxa"/>
            <w:tcBorders>
              <w:top w:val="nil"/>
              <w:left w:val="nil"/>
              <w:bottom w:val="nil"/>
              <w:right w:val="nil"/>
            </w:tcBorders>
            <w:shd w:val="clear" w:color="auto" w:fill="auto"/>
            <w:noWrap/>
            <w:vAlign w:val="bottom"/>
            <w:hideMark/>
          </w:tcPr>
          <w:p w14:paraId="370E40B6" w14:textId="77777777" w:rsidR="00912A8F" w:rsidRPr="00912A8F" w:rsidRDefault="00912A8F" w:rsidP="005662A9">
            <w:pPr>
              <w:spacing w:after="0" w:line="240" w:lineRule="auto"/>
              <w:rPr>
                <w:rFonts w:eastAsia="SimSun" w:cs="Times New Roman"/>
                <w:lang w:val="en-US"/>
              </w:rPr>
            </w:pPr>
          </w:p>
        </w:tc>
        <w:tc>
          <w:tcPr>
            <w:tcW w:w="2511" w:type="dxa"/>
            <w:tcBorders>
              <w:top w:val="nil"/>
              <w:left w:val="nil"/>
              <w:bottom w:val="nil"/>
              <w:right w:val="nil"/>
            </w:tcBorders>
            <w:shd w:val="clear" w:color="auto" w:fill="auto"/>
            <w:noWrap/>
            <w:vAlign w:val="bottom"/>
            <w:hideMark/>
          </w:tcPr>
          <w:p w14:paraId="38D565A7"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2013</w:t>
            </w:r>
          </w:p>
        </w:tc>
        <w:tc>
          <w:tcPr>
            <w:tcW w:w="1418" w:type="dxa"/>
            <w:tcBorders>
              <w:top w:val="nil"/>
              <w:left w:val="single" w:sz="4" w:space="0" w:color="auto"/>
              <w:bottom w:val="nil"/>
              <w:right w:val="nil"/>
            </w:tcBorders>
            <w:shd w:val="clear" w:color="auto" w:fill="auto"/>
            <w:noWrap/>
            <w:vAlign w:val="bottom"/>
          </w:tcPr>
          <w:p w14:paraId="6DA981D8"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1.266</w:t>
            </w:r>
          </w:p>
        </w:tc>
        <w:tc>
          <w:tcPr>
            <w:tcW w:w="1701" w:type="dxa"/>
            <w:gridSpan w:val="2"/>
            <w:tcBorders>
              <w:top w:val="nil"/>
              <w:left w:val="nil"/>
              <w:bottom w:val="nil"/>
            </w:tcBorders>
            <w:shd w:val="clear" w:color="auto" w:fill="auto"/>
            <w:noWrap/>
            <w:vAlign w:val="bottom"/>
          </w:tcPr>
          <w:p w14:paraId="1AE734EE"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(0.990-1.614)</w:t>
            </w:r>
          </w:p>
        </w:tc>
      </w:tr>
      <w:tr w:rsidR="00912A8F" w:rsidRPr="00912A8F" w14:paraId="405A510C" w14:textId="77777777" w:rsidTr="00092705">
        <w:trPr>
          <w:trHeight w:val="300"/>
        </w:trPr>
        <w:tc>
          <w:tcPr>
            <w:tcW w:w="2499" w:type="dxa"/>
            <w:tcBorders>
              <w:top w:val="nil"/>
              <w:left w:val="nil"/>
              <w:bottom w:val="nil"/>
              <w:right w:val="nil"/>
            </w:tcBorders>
            <w:shd w:val="clear" w:color="auto" w:fill="auto"/>
            <w:noWrap/>
            <w:vAlign w:val="bottom"/>
            <w:hideMark/>
          </w:tcPr>
          <w:p w14:paraId="490608A2" w14:textId="77777777" w:rsidR="00912A8F" w:rsidRPr="00912A8F" w:rsidRDefault="00912A8F" w:rsidP="005662A9">
            <w:pPr>
              <w:spacing w:after="0" w:line="240" w:lineRule="auto"/>
              <w:rPr>
                <w:rFonts w:eastAsia="SimSun" w:cs="Times New Roman"/>
                <w:lang w:val="en-US"/>
              </w:rPr>
            </w:pPr>
          </w:p>
        </w:tc>
        <w:tc>
          <w:tcPr>
            <w:tcW w:w="2511" w:type="dxa"/>
            <w:tcBorders>
              <w:top w:val="nil"/>
              <w:left w:val="nil"/>
              <w:bottom w:val="nil"/>
              <w:right w:val="nil"/>
            </w:tcBorders>
            <w:shd w:val="clear" w:color="auto" w:fill="auto"/>
            <w:noWrap/>
            <w:vAlign w:val="bottom"/>
            <w:hideMark/>
          </w:tcPr>
          <w:p w14:paraId="0785FD9B"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2014</w:t>
            </w:r>
          </w:p>
        </w:tc>
        <w:tc>
          <w:tcPr>
            <w:tcW w:w="1418" w:type="dxa"/>
            <w:tcBorders>
              <w:top w:val="nil"/>
              <w:left w:val="single" w:sz="4" w:space="0" w:color="auto"/>
              <w:bottom w:val="nil"/>
              <w:right w:val="nil"/>
            </w:tcBorders>
            <w:shd w:val="clear" w:color="auto" w:fill="auto"/>
            <w:noWrap/>
            <w:vAlign w:val="bottom"/>
          </w:tcPr>
          <w:p w14:paraId="3A5ED31D"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0.970</w:t>
            </w:r>
          </w:p>
        </w:tc>
        <w:tc>
          <w:tcPr>
            <w:tcW w:w="1701" w:type="dxa"/>
            <w:gridSpan w:val="2"/>
            <w:tcBorders>
              <w:top w:val="nil"/>
              <w:left w:val="nil"/>
              <w:bottom w:val="nil"/>
            </w:tcBorders>
            <w:shd w:val="clear" w:color="auto" w:fill="auto"/>
            <w:noWrap/>
            <w:vAlign w:val="bottom"/>
          </w:tcPr>
          <w:p w14:paraId="62D5D507"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(0.557-1.691)</w:t>
            </w:r>
          </w:p>
        </w:tc>
      </w:tr>
      <w:tr w:rsidR="00912A8F" w:rsidRPr="00912A8F" w14:paraId="210D8A4F" w14:textId="77777777" w:rsidTr="00092705">
        <w:trPr>
          <w:trHeight w:val="300"/>
        </w:trPr>
        <w:tc>
          <w:tcPr>
            <w:tcW w:w="5010" w:type="dxa"/>
            <w:gridSpan w:val="2"/>
            <w:tcBorders>
              <w:top w:val="nil"/>
              <w:left w:val="nil"/>
              <w:bottom w:val="single" w:sz="4" w:space="0" w:color="auto"/>
              <w:right w:val="nil"/>
            </w:tcBorders>
            <w:shd w:val="clear" w:color="auto" w:fill="auto"/>
            <w:noWrap/>
            <w:vAlign w:val="bottom"/>
          </w:tcPr>
          <w:p w14:paraId="63E41B97"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Practice list size</w:t>
            </w:r>
          </w:p>
        </w:tc>
        <w:tc>
          <w:tcPr>
            <w:tcW w:w="1418" w:type="dxa"/>
            <w:tcBorders>
              <w:top w:val="nil"/>
              <w:left w:val="single" w:sz="4" w:space="0" w:color="auto"/>
              <w:bottom w:val="single" w:sz="4" w:space="0" w:color="auto"/>
              <w:right w:val="nil"/>
            </w:tcBorders>
            <w:shd w:val="clear" w:color="auto" w:fill="auto"/>
            <w:noWrap/>
            <w:vAlign w:val="bottom"/>
          </w:tcPr>
          <w:p w14:paraId="41034EB7"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1.000</w:t>
            </w:r>
          </w:p>
        </w:tc>
        <w:tc>
          <w:tcPr>
            <w:tcW w:w="1701" w:type="dxa"/>
            <w:gridSpan w:val="2"/>
            <w:tcBorders>
              <w:top w:val="nil"/>
              <w:left w:val="nil"/>
              <w:bottom w:val="single" w:sz="4" w:space="0" w:color="auto"/>
            </w:tcBorders>
            <w:shd w:val="clear" w:color="auto" w:fill="auto"/>
            <w:noWrap/>
            <w:vAlign w:val="bottom"/>
          </w:tcPr>
          <w:p w14:paraId="36EF9AAC"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(1.000-1.000)</w:t>
            </w:r>
          </w:p>
        </w:tc>
      </w:tr>
      <w:tr w:rsidR="00912A8F" w:rsidRPr="00912A8F" w14:paraId="08EE24FC" w14:textId="77777777" w:rsidTr="00092705">
        <w:trPr>
          <w:trHeight w:val="300"/>
        </w:trPr>
        <w:tc>
          <w:tcPr>
            <w:tcW w:w="2499" w:type="dxa"/>
            <w:tcBorders>
              <w:top w:val="single" w:sz="4" w:space="0" w:color="auto"/>
              <w:left w:val="nil"/>
              <w:bottom w:val="single" w:sz="4" w:space="0" w:color="auto"/>
              <w:right w:val="nil"/>
            </w:tcBorders>
            <w:shd w:val="clear" w:color="auto" w:fill="auto"/>
            <w:noWrap/>
            <w:vAlign w:val="bottom"/>
            <w:hideMark/>
          </w:tcPr>
          <w:p w14:paraId="1F7FB9AA"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Number of patients</w:t>
            </w:r>
          </w:p>
        </w:tc>
        <w:tc>
          <w:tcPr>
            <w:tcW w:w="2511" w:type="dxa"/>
            <w:tcBorders>
              <w:top w:val="single" w:sz="4" w:space="0" w:color="auto"/>
              <w:left w:val="nil"/>
              <w:bottom w:val="single" w:sz="4" w:space="0" w:color="auto"/>
              <w:right w:val="nil"/>
            </w:tcBorders>
            <w:shd w:val="clear" w:color="auto" w:fill="auto"/>
            <w:noWrap/>
            <w:vAlign w:val="bottom"/>
            <w:hideMark/>
          </w:tcPr>
          <w:p w14:paraId="020274BF"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 </w:t>
            </w:r>
          </w:p>
        </w:tc>
        <w:tc>
          <w:tcPr>
            <w:tcW w:w="3119" w:type="dxa"/>
            <w:gridSpan w:val="3"/>
            <w:tcBorders>
              <w:top w:val="single" w:sz="4" w:space="0" w:color="auto"/>
              <w:left w:val="single" w:sz="4" w:space="0" w:color="auto"/>
              <w:bottom w:val="single" w:sz="4" w:space="0" w:color="auto"/>
            </w:tcBorders>
            <w:shd w:val="clear" w:color="auto" w:fill="auto"/>
            <w:noWrap/>
            <w:vAlign w:val="bottom"/>
            <w:hideMark/>
          </w:tcPr>
          <w:p w14:paraId="33456987" w14:textId="77777777" w:rsidR="00912A8F" w:rsidRPr="00912A8F" w:rsidRDefault="00912A8F" w:rsidP="005662A9">
            <w:pPr>
              <w:spacing w:after="0" w:line="240" w:lineRule="auto"/>
              <w:rPr>
                <w:rFonts w:eastAsia="SimSun" w:cs="Times New Roman"/>
                <w:lang w:val="en-US"/>
              </w:rPr>
            </w:pPr>
            <w:r w:rsidRPr="00912A8F">
              <w:rPr>
                <w:rFonts w:eastAsia="SimSun" w:cs="Times New Roman"/>
                <w:lang w:val="en-US"/>
              </w:rPr>
              <w:t>4,446</w:t>
            </w:r>
          </w:p>
        </w:tc>
      </w:tr>
    </w:tbl>
    <w:p w14:paraId="330D7FDC" w14:textId="77777777" w:rsidR="00912A8F" w:rsidRPr="00912A8F" w:rsidRDefault="00912A8F" w:rsidP="00912A8F">
      <w:pPr>
        <w:spacing w:after="0" w:line="480" w:lineRule="auto"/>
        <w:rPr>
          <w:rFonts w:eastAsia="SimSun" w:cs="Times New Roman"/>
          <w:lang w:val="en-US"/>
        </w:rPr>
      </w:pPr>
      <w:r w:rsidRPr="00912A8F">
        <w:rPr>
          <w:rFonts w:eastAsia="SimSun" w:cs="Times New Roman"/>
          <w:lang w:val="en-US"/>
        </w:rPr>
        <w:t>*p&lt;0.05, **p&lt;0.01, ***p&lt;0.001</w:t>
      </w:r>
    </w:p>
    <w:p w14:paraId="5C225CD8" w14:textId="77777777" w:rsidR="00912A8F" w:rsidRDefault="00912A8F">
      <w:pPr>
        <w:spacing w:after="200" w:line="276" w:lineRule="auto"/>
        <w:rPr>
          <w:rFonts w:eastAsiaTheme="majorEastAsia" w:cstheme="majorBidi"/>
          <w:b/>
          <w:bCs/>
          <w:color w:val="000000" w:themeColor="text1"/>
          <w:szCs w:val="26"/>
        </w:rPr>
      </w:pPr>
    </w:p>
    <w:p w14:paraId="58E72F79" w14:textId="77777777" w:rsidR="00912A8F" w:rsidRDefault="00912A8F">
      <w:pPr>
        <w:spacing w:after="200" w:line="276" w:lineRule="auto"/>
        <w:rPr>
          <w:rFonts w:eastAsiaTheme="majorEastAsia" w:cstheme="majorBidi"/>
          <w:b/>
          <w:bCs/>
          <w:color w:val="000000" w:themeColor="text1"/>
          <w:szCs w:val="26"/>
        </w:rPr>
      </w:pPr>
      <w:r>
        <w:br w:type="page"/>
      </w:r>
    </w:p>
    <w:p w14:paraId="400A67C9" w14:textId="5277CC58" w:rsidR="007C1147" w:rsidRPr="00976A9A" w:rsidRDefault="00F476D7" w:rsidP="00F1780E">
      <w:pPr>
        <w:pStyle w:val="Heading2"/>
      </w:pPr>
      <w:r w:rsidRPr="00976A9A">
        <w:lastRenderedPageBreak/>
        <w:t>R</w:t>
      </w:r>
      <w:r w:rsidR="007C1147" w:rsidRPr="00976A9A">
        <w:t>esults</w:t>
      </w:r>
      <w:bookmarkEnd w:id="26"/>
      <w:r w:rsidR="00E642EE" w:rsidRPr="00976A9A">
        <w:t xml:space="preserve"> of</w:t>
      </w:r>
      <w:r w:rsidR="00FB252F">
        <w:t xml:space="preserve"> </w:t>
      </w:r>
      <w:r w:rsidR="003F306F">
        <w:t xml:space="preserve">survival </w:t>
      </w:r>
      <w:r w:rsidR="00E642EE" w:rsidRPr="00976A9A">
        <w:t>analysis</w:t>
      </w:r>
    </w:p>
    <w:p w14:paraId="6A3C6C9F" w14:textId="381BAD11" w:rsidR="00F97E4C" w:rsidRPr="00976A9A" w:rsidRDefault="00D919B0" w:rsidP="00F97E4C">
      <w:pPr>
        <w:spacing w:after="0" w:line="480" w:lineRule="auto"/>
        <w:rPr>
          <w:rFonts w:cs="Times New Roman"/>
        </w:rPr>
      </w:pPr>
      <w:r>
        <w:rPr>
          <w:rFonts w:cs="Times New Roman"/>
        </w:rPr>
        <w:t>R</w:t>
      </w:r>
      <w:r w:rsidR="00A801B5" w:rsidRPr="00976A9A">
        <w:rPr>
          <w:rFonts w:cs="Times New Roman"/>
        </w:rPr>
        <w:t>e</w:t>
      </w:r>
      <w:r w:rsidR="00D45D55" w:rsidRPr="00976A9A">
        <w:rPr>
          <w:rFonts w:cs="Times New Roman"/>
        </w:rPr>
        <w:t xml:space="preserve">sults </w:t>
      </w:r>
      <w:r w:rsidR="003F306F">
        <w:rPr>
          <w:rFonts w:cs="Times New Roman"/>
        </w:rPr>
        <w:t xml:space="preserve">showing the association of the three key explanatory variables with hazard (HR) of </w:t>
      </w:r>
      <w:r w:rsidR="00BA0525" w:rsidRPr="00976A9A">
        <w:rPr>
          <w:rFonts w:cs="Times New Roman"/>
        </w:rPr>
        <w:t xml:space="preserve">each of </w:t>
      </w:r>
      <w:r w:rsidR="00D45D55" w:rsidRPr="00976A9A">
        <w:rPr>
          <w:rFonts w:cs="Times New Roman"/>
        </w:rPr>
        <w:t xml:space="preserve">the </w:t>
      </w:r>
      <w:r w:rsidR="00BA0525" w:rsidRPr="00976A9A">
        <w:rPr>
          <w:rFonts w:cs="Times New Roman"/>
        </w:rPr>
        <w:t>outcomes</w:t>
      </w:r>
      <w:r w:rsidR="00885914" w:rsidRPr="00976A9A">
        <w:rPr>
          <w:rFonts w:cs="Times New Roman"/>
        </w:rPr>
        <w:t xml:space="preserve"> are presented in Figure 1</w:t>
      </w:r>
      <w:r w:rsidR="007A4EE9" w:rsidRPr="00976A9A">
        <w:rPr>
          <w:rFonts w:cs="Times New Roman"/>
        </w:rPr>
        <w:t xml:space="preserve">. </w:t>
      </w:r>
      <w:r w:rsidR="00045964" w:rsidRPr="00976A9A">
        <w:rPr>
          <w:rFonts w:cs="Times New Roman"/>
        </w:rPr>
        <w:t>HRs</w:t>
      </w:r>
      <w:r w:rsidR="00E63C06" w:rsidRPr="00976A9A">
        <w:rPr>
          <w:rFonts w:cs="Times New Roman"/>
        </w:rPr>
        <w:t xml:space="preserve"> for </w:t>
      </w:r>
      <w:r w:rsidR="002E186E">
        <w:rPr>
          <w:rFonts w:cs="Times New Roman"/>
        </w:rPr>
        <w:t>control</w:t>
      </w:r>
      <w:r w:rsidR="00E63C06" w:rsidRPr="00976A9A">
        <w:rPr>
          <w:rFonts w:cs="Times New Roman"/>
        </w:rPr>
        <w:t xml:space="preserve"> variables are presented in </w:t>
      </w:r>
      <w:r w:rsidR="00AE2151" w:rsidRPr="00976A9A">
        <w:rPr>
          <w:rFonts w:cs="Times New Roman"/>
        </w:rPr>
        <w:t xml:space="preserve">Table </w:t>
      </w:r>
      <w:r w:rsidR="00912A8F">
        <w:rPr>
          <w:rFonts w:cs="Times New Roman"/>
        </w:rPr>
        <w:t>3</w:t>
      </w:r>
      <w:r w:rsidR="008517BE">
        <w:rPr>
          <w:rFonts w:cs="Times New Roman"/>
        </w:rPr>
        <w:t xml:space="preserve"> with A&amp;E as the outcome</w:t>
      </w:r>
      <w:r w:rsidR="00E63C06" w:rsidRPr="00976A9A">
        <w:rPr>
          <w:rFonts w:cs="Times New Roman"/>
        </w:rPr>
        <w:t>.</w:t>
      </w:r>
    </w:p>
    <w:p w14:paraId="2B201177" w14:textId="77777777" w:rsidR="00510BCC" w:rsidRPr="00976A9A" w:rsidRDefault="00510BCC" w:rsidP="00F97E4C">
      <w:pPr>
        <w:spacing w:after="0" w:line="480" w:lineRule="auto"/>
        <w:rPr>
          <w:rFonts w:cs="Times New Roman"/>
        </w:rPr>
      </w:pPr>
    </w:p>
    <w:p w14:paraId="084AC5D2" w14:textId="02601F74" w:rsidR="00EA1C5F" w:rsidRDefault="00E10390" w:rsidP="00E10390">
      <w:pPr>
        <w:spacing w:after="0" w:line="480" w:lineRule="auto"/>
        <w:rPr>
          <w:rFonts w:cs="Times New Roman"/>
        </w:rPr>
      </w:pPr>
      <w:r>
        <w:rPr>
          <w:rFonts w:cs="Times New Roman"/>
        </w:rPr>
        <w:t>[Figure 1 about here]</w:t>
      </w:r>
    </w:p>
    <w:p w14:paraId="3793B69F" w14:textId="77777777" w:rsidR="006E17E4" w:rsidRPr="00976A9A" w:rsidRDefault="006E17E4" w:rsidP="00F97E4C">
      <w:pPr>
        <w:spacing w:after="0" w:line="480" w:lineRule="auto"/>
        <w:rPr>
          <w:rFonts w:cs="Times New Roman"/>
        </w:rPr>
      </w:pPr>
    </w:p>
    <w:p w14:paraId="38D1C77B" w14:textId="1EB46622" w:rsidR="004E5406" w:rsidRPr="00976A9A" w:rsidRDefault="00BA0525" w:rsidP="004E5406">
      <w:pPr>
        <w:spacing w:after="0" w:line="480" w:lineRule="auto"/>
        <w:rPr>
          <w:rFonts w:cs="Times New Roman"/>
        </w:rPr>
      </w:pPr>
      <w:r w:rsidRPr="00976A9A">
        <w:t xml:space="preserve">The hazard of </w:t>
      </w:r>
      <w:r w:rsidR="008C0AD9">
        <w:t>A&amp;E presentation</w:t>
      </w:r>
      <w:r w:rsidRPr="00976A9A">
        <w:t xml:space="preserve"> is </w:t>
      </w:r>
      <w:r w:rsidR="004804E6">
        <w:t>1</w:t>
      </w:r>
      <w:r w:rsidR="009D2E1B">
        <w:t>3</w:t>
      </w:r>
      <w:r w:rsidR="004804E6">
        <w:t xml:space="preserve">% </w:t>
      </w:r>
      <w:r w:rsidRPr="00976A9A">
        <w:t xml:space="preserve">lower for </w:t>
      </w:r>
      <w:r w:rsidR="00081483" w:rsidRPr="00976A9A">
        <w:t>patients</w:t>
      </w:r>
      <w:r w:rsidR="00F636AE" w:rsidRPr="00976A9A">
        <w:t xml:space="preserve"> </w:t>
      </w:r>
      <w:r w:rsidR="00081483" w:rsidRPr="00976A9A">
        <w:t>who</w:t>
      </w:r>
      <w:r w:rsidR="00F636AE" w:rsidRPr="00976A9A">
        <w:t xml:space="preserve"> have a </w:t>
      </w:r>
      <w:r w:rsidR="0002325D" w:rsidRPr="00976A9A">
        <w:t>current</w:t>
      </w:r>
      <w:r w:rsidR="001C3795" w:rsidRPr="00976A9A">
        <w:t xml:space="preserve"> </w:t>
      </w:r>
      <w:r w:rsidR="008B7DC4">
        <w:t>care plan</w:t>
      </w:r>
      <w:r w:rsidR="0002325D" w:rsidRPr="00976A9A">
        <w:t xml:space="preserve"> </w:t>
      </w:r>
      <w:r w:rsidR="00F636AE" w:rsidRPr="00976A9A">
        <w:t>(HR</w:t>
      </w:r>
      <w:r w:rsidRPr="00976A9A">
        <w:t xml:space="preserve"> 0.</w:t>
      </w:r>
      <w:r w:rsidR="002323D7">
        <w:t>8</w:t>
      </w:r>
      <w:r w:rsidR="009D2E1B">
        <w:t>7</w:t>
      </w:r>
      <w:r w:rsidRPr="00976A9A">
        <w:t>, 95% C</w:t>
      </w:r>
      <w:r w:rsidR="00F636AE" w:rsidRPr="00976A9A">
        <w:t>I 0.</w:t>
      </w:r>
      <w:r w:rsidR="002323D7">
        <w:t>7</w:t>
      </w:r>
      <w:r w:rsidR="009D2E1B">
        <w:t>7</w:t>
      </w:r>
      <w:r w:rsidR="00F636AE" w:rsidRPr="00976A9A">
        <w:t>-</w:t>
      </w:r>
      <w:r w:rsidR="00F54FB6" w:rsidRPr="00976A9A">
        <w:t>0</w:t>
      </w:r>
      <w:r w:rsidR="002323D7">
        <w:t>.98</w:t>
      </w:r>
      <w:r w:rsidR="00F54FB6" w:rsidRPr="00976A9A">
        <w:t>)</w:t>
      </w:r>
      <w:r w:rsidR="002323D7">
        <w:t xml:space="preserve"> </w:t>
      </w:r>
      <w:r w:rsidR="004804E6">
        <w:t>and 19% lower for those with an</w:t>
      </w:r>
      <w:r w:rsidR="002323D7">
        <w:t xml:space="preserve"> expired </w:t>
      </w:r>
      <w:r w:rsidR="008B7DC4">
        <w:t>care plan</w:t>
      </w:r>
      <w:r w:rsidR="00D117EA">
        <w:t xml:space="preserve"> (HR 0.81, 95% CI 0.6</w:t>
      </w:r>
      <w:r w:rsidR="00CC2E1A">
        <w:t>7</w:t>
      </w:r>
      <w:r w:rsidR="002323D7">
        <w:t>-0.9</w:t>
      </w:r>
      <w:r w:rsidR="00CC2E1A">
        <w:t>7</w:t>
      </w:r>
      <w:r w:rsidR="001C3795" w:rsidRPr="00976A9A">
        <w:t>)</w:t>
      </w:r>
      <w:r w:rsidR="002323D7">
        <w:t xml:space="preserve">, </w:t>
      </w:r>
      <w:r w:rsidR="00A36BF7">
        <w:t>both compared with those who have had no care plan at all. T</w:t>
      </w:r>
      <w:r w:rsidR="00D919B0">
        <w:t xml:space="preserve">here is no statistically significant association with </w:t>
      </w:r>
      <w:r w:rsidR="008B7DC4">
        <w:t>annual</w:t>
      </w:r>
      <w:r w:rsidR="003B42B7">
        <w:t xml:space="preserve"> </w:t>
      </w:r>
      <w:r w:rsidR="008B7DC4">
        <w:t>review</w:t>
      </w:r>
      <w:r w:rsidR="00D919B0">
        <w:t>s</w:t>
      </w:r>
      <w:r w:rsidR="00205E99">
        <w:t xml:space="preserve"> of physical health</w:t>
      </w:r>
      <w:r w:rsidR="00EA1C5F">
        <w:t xml:space="preserve"> (HR 0.96, 95% CI 0.86-1.08)</w:t>
      </w:r>
      <w:r w:rsidRPr="00976A9A">
        <w:t xml:space="preserve">. </w:t>
      </w:r>
      <w:r w:rsidR="00A36BF7">
        <w:t xml:space="preserve">The hazard of first ACSC admission </w:t>
      </w:r>
      <w:r w:rsidR="00A36BF7" w:rsidRPr="00976A9A">
        <w:rPr>
          <w:rFonts w:cs="Times New Roman"/>
        </w:rPr>
        <w:t>after SMI diagnosis</w:t>
      </w:r>
      <w:r w:rsidR="00A36BF7">
        <w:t xml:space="preserve"> is 23% lower for those with a current care plan (HR 0.77, 95% CI 0.60-0.99), but there is no statistically significant association with expired care plans or annual reviews. </w:t>
      </w:r>
      <w:r w:rsidR="00D919B0">
        <w:rPr>
          <w:rFonts w:cs="Times New Roman"/>
        </w:rPr>
        <w:t>Neither</w:t>
      </w:r>
      <w:r w:rsidR="004E5406" w:rsidRPr="00976A9A">
        <w:rPr>
          <w:rFonts w:cs="Times New Roman"/>
        </w:rPr>
        <w:t xml:space="preserve"> indicator show</w:t>
      </w:r>
      <w:r w:rsidR="00D919B0">
        <w:rPr>
          <w:rFonts w:cs="Times New Roman"/>
        </w:rPr>
        <w:t>s a</w:t>
      </w:r>
      <w:r w:rsidR="004E5406" w:rsidRPr="00976A9A">
        <w:rPr>
          <w:rFonts w:cs="Times New Roman"/>
        </w:rPr>
        <w:t xml:space="preserve"> statistically significant association with the hazard of SMI admission. </w:t>
      </w:r>
    </w:p>
    <w:p w14:paraId="62DE8BBA" w14:textId="77777777" w:rsidR="00983646" w:rsidRPr="00976A9A" w:rsidRDefault="00983646" w:rsidP="000D11CC">
      <w:pPr>
        <w:spacing w:line="480" w:lineRule="auto"/>
        <w:rPr>
          <w:rFonts w:cs="Times New Roman"/>
        </w:rPr>
      </w:pPr>
    </w:p>
    <w:p w14:paraId="6E7D974C" w14:textId="09BEE465" w:rsidR="00120099" w:rsidRDefault="00A36BF7" w:rsidP="00E67544">
      <w:pPr>
        <w:spacing w:line="480" w:lineRule="auto"/>
        <w:rPr>
          <w:rFonts w:cs="Times New Roman"/>
        </w:rPr>
      </w:pPr>
      <w:r>
        <w:rPr>
          <w:rFonts w:cs="Times New Roman"/>
        </w:rPr>
        <w:t>R</w:t>
      </w:r>
      <w:r w:rsidR="00AE2151" w:rsidRPr="00976A9A">
        <w:rPr>
          <w:rFonts w:cs="Times New Roman"/>
        </w:rPr>
        <w:t xml:space="preserve">esults </w:t>
      </w:r>
      <w:r w:rsidR="0030191B" w:rsidRPr="00976A9A">
        <w:rPr>
          <w:rFonts w:cs="Times New Roman"/>
        </w:rPr>
        <w:t xml:space="preserve">of </w:t>
      </w:r>
      <w:r w:rsidR="00AE2151" w:rsidRPr="00976A9A">
        <w:rPr>
          <w:rFonts w:cs="Times New Roman"/>
        </w:rPr>
        <w:t>sensitivity testin</w:t>
      </w:r>
      <w:r w:rsidR="00387F8E" w:rsidRPr="00976A9A">
        <w:rPr>
          <w:rFonts w:cs="Times New Roman"/>
        </w:rPr>
        <w:t>g</w:t>
      </w:r>
      <w:r w:rsidRPr="00A36BF7">
        <w:rPr>
          <w:rFonts w:cs="Times New Roman"/>
        </w:rPr>
        <w:t xml:space="preserve"> </w:t>
      </w:r>
      <w:r>
        <w:rPr>
          <w:rFonts w:cs="Times New Roman"/>
        </w:rPr>
        <w:t xml:space="preserve">(detailed in Supplementary Tables </w:t>
      </w:r>
      <w:r w:rsidR="005662A9">
        <w:rPr>
          <w:rFonts w:cs="Times New Roman"/>
        </w:rPr>
        <w:t>7-9</w:t>
      </w:r>
      <w:r>
        <w:rPr>
          <w:rFonts w:cs="Times New Roman"/>
        </w:rPr>
        <w:t xml:space="preserve">) show </w:t>
      </w:r>
      <w:r w:rsidR="003F306F">
        <w:rPr>
          <w:rFonts w:cs="Times New Roman"/>
        </w:rPr>
        <w:t xml:space="preserve">no </w:t>
      </w:r>
      <w:r>
        <w:rPr>
          <w:rFonts w:cs="Times New Roman"/>
        </w:rPr>
        <w:t>statistically significant association between annual reviews of physical health and any of the outcomes u</w:t>
      </w:r>
      <w:r w:rsidR="00FE5EC2">
        <w:rPr>
          <w:rFonts w:cs="Times New Roman"/>
        </w:rPr>
        <w:t>nder all assumptions tested. The association between care plans and A&amp;E presentations remained essentially unchanged</w:t>
      </w:r>
      <w:r>
        <w:rPr>
          <w:rFonts w:cs="Times New Roman"/>
        </w:rPr>
        <w:t xml:space="preserve">, except that the association with current care plans became non-significant (as confidence intervals widened) when the analysis was limited to 2007/08 – 2010/11, and similarly with expired care plans when the indicators were assumed to be effective (current) for 15 months instead of 12. There remained no statistically significant association between the indicators and </w:t>
      </w:r>
      <w:r>
        <w:rPr>
          <w:rFonts w:cs="Times New Roman"/>
        </w:rPr>
        <w:lastRenderedPageBreak/>
        <w:t xml:space="preserve">SMI admissions under the varying assumptions.  The </w:t>
      </w:r>
      <w:r w:rsidR="003F306F">
        <w:rPr>
          <w:rFonts w:cs="Times New Roman"/>
        </w:rPr>
        <w:t>association between</w:t>
      </w:r>
      <w:r>
        <w:rPr>
          <w:rFonts w:cs="Times New Roman"/>
        </w:rPr>
        <w:t xml:space="preserve"> ACSC admission </w:t>
      </w:r>
      <w:r w:rsidR="003F306F">
        <w:rPr>
          <w:rFonts w:cs="Times New Roman"/>
        </w:rPr>
        <w:t>and c</w:t>
      </w:r>
      <w:r>
        <w:rPr>
          <w:rFonts w:cs="Times New Roman"/>
        </w:rPr>
        <w:t>urrent care plan</w:t>
      </w:r>
      <w:r w:rsidR="003F306F">
        <w:rPr>
          <w:rFonts w:cs="Times New Roman"/>
        </w:rPr>
        <w:t>s</w:t>
      </w:r>
      <w:r>
        <w:rPr>
          <w:rFonts w:cs="Times New Roman"/>
        </w:rPr>
        <w:t xml:space="preserve"> was less robust to changing assumptions, losing statistical significance under most alternate specifications and changing signs when the period of analysis was limited to 2007/08 – 2010/11</w:t>
      </w:r>
      <w:r w:rsidR="00285BA0">
        <w:rPr>
          <w:rFonts w:cs="Times New Roman"/>
        </w:rPr>
        <w:t>.</w:t>
      </w:r>
    </w:p>
    <w:p w14:paraId="2AC64D1A" w14:textId="77777777" w:rsidR="00CF4CD4" w:rsidRPr="00976A9A" w:rsidRDefault="00CF4CD4" w:rsidP="00E5596C">
      <w:pPr>
        <w:pStyle w:val="Heading1"/>
      </w:pPr>
      <w:bookmarkStart w:id="27" w:name="_Ref370416463"/>
      <w:bookmarkStart w:id="28" w:name="_Toc443297921"/>
      <w:bookmarkStart w:id="29" w:name="_Toc444002025"/>
      <w:r w:rsidRPr="00976A9A">
        <w:t>Discussion</w:t>
      </w:r>
      <w:bookmarkEnd w:id="3"/>
      <w:bookmarkEnd w:id="27"/>
      <w:bookmarkEnd w:id="28"/>
      <w:bookmarkEnd w:id="29"/>
    </w:p>
    <w:p w14:paraId="79D4F0BF" w14:textId="77777777" w:rsidR="00B43EAE" w:rsidRDefault="00B43EAE" w:rsidP="00823071">
      <w:pPr>
        <w:spacing w:after="0" w:line="480" w:lineRule="auto"/>
        <w:jc w:val="both"/>
        <w:rPr>
          <w:rFonts w:cs="Times New Roman"/>
        </w:rPr>
      </w:pPr>
      <w:bookmarkStart w:id="30" w:name="_Toc443297926"/>
      <w:bookmarkStart w:id="31" w:name="_Toc444002026"/>
      <w:bookmarkEnd w:id="4"/>
      <w:bookmarkEnd w:id="5"/>
      <w:r>
        <w:rPr>
          <w:rFonts w:cs="Times New Roman"/>
          <w:i/>
        </w:rPr>
        <w:t xml:space="preserve">Principal findings </w:t>
      </w:r>
    </w:p>
    <w:p w14:paraId="1488B3A4" w14:textId="7B4CB973" w:rsidR="00877DE7" w:rsidRPr="00976A9A" w:rsidRDefault="00A36BF7" w:rsidP="00823071">
      <w:pPr>
        <w:spacing w:after="0" w:line="480" w:lineRule="auto"/>
        <w:jc w:val="both"/>
        <w:rPr>
          <w:rFonts w:cs="Times New Roman"/>
          <w:szCs w:val="24"/>
        </w:rPr>
      </w:pPr>
      <w:r w:rsidRPr="00976A9A">
        <w:rPr>
          <w:rFonts w:cs="Times New Roman"/>
          <w:szCs w:val="24"/>
        </w:rPr>
        <w:t>We find that</w:t>
      </w:r>
      <w:r>
        <w:rPr>
          <w:rFonts w:cs="Times New Roman"/>
          <w:szCs w:val="24"/>
        </w:rPr>
        <w:t>, among patients with SMI, those with a care plan</w:t>
      </w:r>
      <w:r w:rsidRPr="00976A9A">
        <w:rPr>
          <w:rFonts w:cs="Times New Roman"/>
          <w:szCs w:val="24"/>
        </w:rPr>
        <w:t xml:space="preserve"> </w:t>
      </w:r>
      <w:r>
        <w:rPr>
          <w:rFonts w:cs="Times New Roman"/>
          <w:szCs w:val="24"/>
        </w:rPr>
        <w:t>documented in primary care in the last 12 months have a</w:t>
      </w:r>
      <w:r w:rsidRPr="00976A9A">
        <w:rPr>
          <w:rFonts w:cs="Times New Roman"/>
          <w:szCs w:val="24"/>
        </w:rPr>
        <w:t xml:space="preserve"> </w:t>
      </w:r>
      <w:r>
        <w:rPr>
          <w:rFonts w:cs="Times New Roman"/>
          <w:szCs w:val="24"/>
        </w:rPr>
        <w:t>1</w:t>
      </w:r>
      <w:r w:rsidR="009D2E1B">
        <w:rPr>
          <w:rFonts w:cs="Times New Roman"/>
          <w:szCs w:val="24"/>
        </w:rPr>
        <w:t>3</w:t>
      </w:r>
      <w:r>
        <w:rPr>
          <w:rFonts w:cs="Times New Roman"/>
          <w:szCs w:val="24"/>
        </w:rPr>
        <w:t xml:space="preserve">% </w:t>
      </w:r>
      <w:r w:rsidRPr="00976A9A">
        <w:rPr>
          <w:rFonts w:cs="Times New Roman"/>
          <w:szCs w:val="24"/>
        </w:rPr>
        <w:t xml:space="preserve">lower hazard of </w:t>
      </w:r>
      <w:r>
        <w:rPr>
          <w:rFonts w:cs="Times New Roman"/>
          <w:szCs w:val="24"/>
        </w:rPr>
        <w:t>A&amp;E presentation than those without a care plan, and a 23% lower hazard of admission to hospital for ACSC (the type</w:t>
      </w:r>
      <w:r w:rsidR="004B7F10">
        <w:rPr>
          <w:rFonts w:cs="Times New Roman"/>
          <w:szCs w:val="24"/>
        </w:rPr>
        <w:t>s</w:t>
      </w:r>
      <w:r>
        <w:rPr>
          <w:rFonts w:cs="Times New Roman"/>
          <w:szCs w:val="24"/>
        </w:rPr>
        <w:t xml:space="preserve"> of condition thought to be amenable to primary care). Those with a care plan documented more than 12 months ago also had a lower hazard of A&amp;E presentation (19% lower than those with no care plan). We find no such association between</w:t>
      </w:r>
      <w:r w:rsidRPr="00976A9A">
        <w:rPr>
          <w:rFonts w:cs="Times New Roman"/>
          <w:szCs w:val="24"/>
        </w:rPr>
        <w:t xml:space="preserve"> </w:t>
      </w:r>
      <w:r>
        <w:rPr>
          <w:rFonts w:cs="Times New Roman"/>
          <w:szCs w:val="24"/>
        </w:rPr>
        <w:t>annual reviews of physical health and the hazard of any of the outcomes, nor between care plans and admissions for SMI</w:t>
      </w:r>
      <w:r w:rsidRPr="00976A9A">
        <w:rPr>
          <w:rFonts w:cs="Times New Roman"/>
          <w:szCs w:val="24"/>
        </w:rPr>
        <w:t>.</w:t>
      </w:r>
      <w:r>
        <w:rPr>
          <w:rFonts w:cs="Times New Roman"/>
          <w:szCs w:val="24"/>
        </w:rPr>
        <w:t xml:space="preserve"> </w:t>
      </w:r>
    </w:p>
    <w:p w14:paraId="5B606235" w14:textId="77777777" w:rsidR="00BC1311" w:rsidRPr="00976A9A" w:rsidRDefault="00BC1311" w:rsidP="00877DE7">
      <w:pPr>
        <w:autoSpaceDE w:val="0"/>
        <w:autoSpaceDN w:val="0"/>
        <w:adjustRightInd w:val="0"/>
        <w:spacing w:after="0" w:line="480" w:lineRule="auto"/>
        <w:jc w:val="both"/>
        <w:rPr>
          <w:rFonts w:cs="Times New Roman"/>
          <w:szCs w:val="24"/>
        </w:rPr>
      </w:pPr>
    </w:p>
    <w:p w14:paraId="07DC8CA9" w14:textId="07617BC2" w:rsidR="00B43EAE" w:rsidRPr="00CE2641" w:rsidRDefault="00B43EAE" w:rsidP="00AD398A">
      <w:pPr>
        <w:autoSpaceDE w:val="0"/>
        <w:autoSpaceDN w:val="0"/>
        <w:adjustRightInd w:val="0"/>
        <w:spacing w:after="0" w:line="480" w:lineRule="auto"/>
        <w:jc w:val="both"/>
        <w:rPr>
          <w:rFonts w:cs="Times New Roman"/>
          <w:i/>
          <w:szCs w:val="24"/>
        </w:rPr>
      </w:pPr>
      <w:r>
        <w:rPr>
          <w:rFonts w:cs="Times New Roman"/>
          <w:i/>
          <w:szCs w:val="24"/>
        </w:rPr>
        <w:t>Strengths and weaknesses</w:t>
      </w:r>
      <w:r w:rsidR="00A36BF7">
        <w:rPr>
          <w:rFonts w:cs="Times New Roman"/>
          <w:i/>
          <w:szCs w:val="24"/>
        </w:rPr>
        <w:t xml:space="preserve"> </w:t>
      </w:r>
    </w:p>
    <w:p w14:paraId="3E8A8FA3" w14:textId="489A2EE4" w:rsidR="005F08EB" w:rsidRDefault="00AD398A" w:rsidP="00A81248">
      <w:pPr>
        <w:autoSpaceDE w:val="0"/>
        <w:autoSpaceDN w:val="0"/>
        <w:adjustRightInd w:val="0"/>
        <w:spacing w:after="0" w:line="480" w:lineRule="auto"/>
        <w:jc w:val="both"/>
        <w:rPr>
          <w:rFonts w:cs="Times New Roman"/>
          <w:szCs w:val="24"/>
        </w:rPr>
      </w:pPr>
      <w:r w:rsidRPr="00976A9A">
        <w:rPr>
          <w:rFonts w:cs="Times New Roman"/>
          <w:szCs w:val="24"/>
        </w:rPr>
        <w:t>Our study makes a number of important contributions to the evidence base, being</w:t>
      </w:r>
      <w:r w:rsidR="005A08ED">
        <w:rPr>
          <w:rFonts w:cs="Times New Roman"/>
          <w:szCs w:val="24"/>
        </w:rPr>
        <w:t xml:space="preserve"> (to our </w:t>
      </w:r>
      <w:r w:rsidR="0013233E">
        <w:rPr>
          <w:rFonts w:cs="Times New Roman"/>
          <w:szCs w:val="24"/>
        </w:rPr>
        <w:t>knowledge</w:t>
      </w:r>
      <w:r w:rsidR="005A08ED">
        <w:rPr>
          <w:rFonts w:cs="Times New Roman"/>
          <w:szCs w:val="24"/>
        </w:rPr>
        <w:t>)</w:t>
      </w:r>
      <w:r w:rsidRPr="00976A9A">
        <w:rPr>
          <w:rFonts w:cs="Times New Roman"/>
          <w:szCs w:val="24"/>
        </w:rPr>
        <w:t xml:space="preserve"> the first to use linked patient-level data to investigate the relationship between incentivized primary care quality and </w:t>
      </w:r>
      <w:r w:rsidR="008C3200">
        <w:rPr>
          <w:rFonts w:cs="Times New Roman"/>
          <w:szCs w:val="24"/>
        </w:rPr>
        <w:t>hospital care</w:t>
      </w:r>
      <w:r w:rsidR="0029580A">
        <w:rPr>
          <w:rFonts w:cs="Times New Roman"/>
          <w:szCs w:val="24"/>
        </w:rPr>
        <w:t xml:space="preserve"> for </w:t>
      </w:r>
      <w:r w:rsidR="002E5C1E">
        <w:rPr>
          <w:rFonts w:cs="Times New Roman"/>
          <w:szCs w:val="24"/>
        </w:rPr>
        <w:t>people with SMI</w:t>
      </w:r>
      <w:r w:rsidRPr="00976A9A">
        <w:rPr>
          <w:rFonts w:cs="Times New Roman"/>
          <w:szCs w:val="24"/>
        </w:rPr>
        <w:t xml:space="preserve"> in the English NHS. </w:t>
      </w:r>
      <w:r w:rsidR="0013233E">
        <w:rPr>
          <w:rFonts w:cs="Times New Roman"/>
          <w:szCs w:val="24"/>
        </w:rPr>
        <w:t>By linking datasets, w</w:t>
      </w:r>
      <w:r w:rsidRPr="00976A9A">
        <w:rPr>
          <w:rFonts w:cs="Times New Roman"/>
          <w:szCs w:val="24"/>
        </w:rPr>
        <w:t xml:space="preserve">e track individual patients across primary care and hospital settings over a number of years, and determine </w:t>
      </w:r>
      <w:r w:rsidR="00A36BF7" w:rsidRPr="00976A9A">
        <w:rPr>
          <w:rFonts w:cs="Times New Roman"/>
          <w:szCs w:val="24"/>
        </w:rPr>
        <w:t xml:space="preserve">whether </w:t>
      </w:r>
      <w:r w:rsidR="00A36BF7">
        <w:rPr>
          <w:rFonts w:cs="Times New Roman"/>
          <w:szCs w:val="24"/>
        </w:rPr>
        <w:t xml:space="preserve">the </w:t>
      </w:r>
      <w:r w:rsidR="003F306F">
        <w:rPr>
          <w:rFonts w:cs="Times New Roman"/>
          <w:szCs w:val="24"/>
        </w:rPr>
        <w:t xml:space="preserve">primary </w:t>
      </w:r>
      <w:r w:rsidR="00A36BF7" w:rsidRPr="00976A9A">
        <w:rPr>
          <w:rFonts w:cs="Times New Roman"/>
          <w:szCs w:val="24"/>
        </w:rPr>
        <w:t xml:space="preserve">care </w:t>
      </w:r>
      <w:r w:rsidR="00A36BF7">
        <w:rPr>
          <w:rFonts w:cs="Times New Roman"/>
          <w:szCs w:val="24"/>
        </w:rPr>
        <w:t xml:space="preserve">indicator </w:t>
      </w:r>
      <w:r w:rsidR="00A36BF7" w:rsidRPr="00976A9A">
        <w:rPr>
          <w:rFonts w:cs="Times New Roman"/>
          <w:szCs w:val="24"/>
        </w:rPr>
        <w:t xml:space="preserve">precedes the </w:t>
      </w:r>
      <w:r w:rsidR="003F306F">
        <w:rPr>
          <w:rFonts w:cs="Times New Roman"/>
          <w:szCs w:val="24"/>
        </w:rPr>
        <w:t>hospital utilisation</w:t>
      </w:r>
      <w:r w:rsidRPr="00976A9A">
        <w:rPr>
          <w:rFonts w:cs="Times New Roman"/>
          <w:szCs w:val="24"/>
        </w:rPr>
        <w:t xml:space="preserve">. Our </w:t>
      </w:r>
      <w:r w:rsidR="003F306F">
        <w:rPr>
          <w:rFonts w:cs="Times New Roman"/>
          <w:szCs w:val="24"/>
        </w:rPr>
        <w:t>survival</w:t>
      </w:r>
      <w:r w:rsidR="003F306F" w:rsidRPr="00976A9A">
        <w:rPr>
          <w:rFonts w:cs="Times New Roman"/>
          <w:szCs w:val="24"/>
        </w:rPr>
        <w:t xml:space="preserve"> </w:t>
      </w:r>
      <w:r w:rsidRPr="00976A9A">
        <w:rPr>
          <w:rFonts w:cs="Times New Roman"/>
          <w:szCs w:val="24"/>
        </w:rPr>
        <w:t xml:space="preserve">analysis exploits this, providing more robust estimates of the association </w:t>
      </w:r>
      <w:r w:rsidR="002A5317">
        <w:rPr>
          <w:rFonts w:cs="Times New Roman"/>
          <w:szCs w:val="24"/>
        </w:rPr>
        <w:t>than would be possible with aggregate data</w:t>
      </w:r>
      <w:r w:rsidRPr="00976A9A">
        <w:rPr>
          <w:rFonts w:cs="Times New Roman"/>
          <w:szCs w:val="24"/>
        </w:rPr>
        <w:t>.</w:t>
      </w:r>
      <w:r w:rsidR="009933EA">
        <w:rPr>
          <w:rFonts w:cs="Times New Roman"/>
          <w:szCs w:val="24"/>
        </w:rPr>
        <w:t xml:space="preserve"> </w:t>
      </w:r>
    </w:p>
    <w:p w14:paraId="1503C133" w14:textId="77777777" w:rsidR="005F08EB" w:rsidRDefault="005F08EB" w:rsidP="00A81248">
      <w:pPr>
        <w:autoSpaceDE w:val="0"/>
        <w:autoSpaceDN w:val="0"/>
        <w:adjustRightInd w:val="0"/>
        <w:spacing w:after="0" w:line="480" w:lineRule="auto"/>
        <w:jc w:val="both"/>
        <w:rPr>
          <w:rFonts w:cs="Times New Roman"/>
          <w:szCs w:val="24"/>
        </w:rPr>
      </w:pPr>
    </w:p>
    <w:p w14:paraId="5DCECDCC" w14:textId="638BB5E6" w:rsidR="00AD398A" w:rsidRPr="00976A9A" w:rsidRDefault="00AD398A" w:rsidP="00AD398A">
      <w:pPr>
        <w:autoSpaceDE w:val="0"/>
        <w:autoSpaceDN w:val="0"/>
        <w:adjustRightInd w:val="0"/>
        <w:spacing w:after="0" w:line="480" w:lineRule="auto"/>
        <w:jc w:val="both"/>
      </w:pPr>
      <w:r w:rsidRPr="00976A9A">
        <w:rPr>
          <w:rFonts w:cs="Times New Roman"/>
          <w:color w:val="000000"/>
          <w:szCs w:val="24"/>
        </w:rPr>
        <w:lastRenderedPageBreak/>
        <w:t>There are</w:t>
      </w:r>
      <w:r w:rsidR="008C3200">
        <w:rPr>
          <w:rFonts w:cs="Times New Roman"/>
          <w:color w:val="000000"/>
          <w:szCs w:val="24"/>
        </w:rPr>
        <w:t xml:space="preserve"> </w:t>
      </w:r>
      <w:r w:rsidRPr="00976A9A">
        <w:rPr>
          <w:rFonts w:cs="Times New Roman"/>
          <w:color w:val="000000"/>
          <w:szCs w:val="24"/>
        </w:rPr>
        <w:t xml:space="preserve">a number of limitations to our study. </w:t>
      </w:r>
      <w:r w:rsidR="00451D05">
        <w:rPr>
          <w:rFonts w:cs="Times New Roman"/>
          <w:color w:val="000000"/>
          <w:szCs w:val="24"/>
        </w:rPr>
        <w:t>The</w:t>
      </w:r>
      <w:r w:rsidRPr="00976A9A">
        <w:t xml:space="preserve"> measures of health status</w:t>
      </w:r>
      <w:r w:rsidR="008C3200">
        <w:t xml:space="preserve"> and healthcare utilisation</w:t>
      </w:r>
      <w:r w:rsidRPr="00976A9A">
        <w:t xml:space="preserve"> prior to diagnosis of SMI </w:t>
      </w:r>
      <w:r w:rsidR="00EA56C7">
        <w:t>may not</w:t>
      </w:r>
      <w:r w:rsidR="008C3200">
        <w:t xml:space="preserve"> fully </w:t>
      </w:r>
      <w:r w:rsidR="00EA56C7">
        <w:t>depict</w:t>
      </w:r>
      <w:r w:rsidR="008C3200">
        <w:t xml:space="preserve"> the complexities of health status</w:t>
      </w:r>
      <w:r w:rsidR="00350CE0">
        <w:t>, including severity of SMI,</w:t>
      </w:r>
      <w:r w:rsidR="009933EA">
        <w:t xml:space="preserve"> and this may confound the results</w:t>
      </w:r>
      <w:r w:rsidRPr="00976A9A">
        <w:t xml:space="preserve">. </w:t>
      </w:r>
      <w:r w:rsidR="008C3200">
        <w:t xml:space="preserve">However, </w:t>
      </w:r>
      <w:r w:rsidR="00EA56C7">
        <w:t>our findings were robust to whether</w:t>
      </w:r>
      <w:r w:rsidR="002E5C1E">
        <w:t xml:space="preserve"> the number of</w:t>
      </w:r>
      <w:r w:rsidR="00EA56C7">
        <w:t xml:space="preserve"> comorbidities </w:t>
      </w:r>
      <w:r w:rsidR="002E5C1E">
        <w:t xml:space="preserve">was </w:t>
      </w:r>
      <w:r w:rsidR="00EA56C7">
        <w:t xml:space="preserve">fixed at baseline or allowed to vary over the period of observation. </w:t>
      </w:r>
      <w:r w:rsidR="00C57813">
        <w:t>The outcomes we analyse</w:t>
      </w:r>
      <w:r w:rsidR="00434DB4">
        <w:t xml:space="preserve"> are measures of hospital utilisation, which </w:t>
      </w:r>
      <w:r w:rsidR="002E186E">
        <w:t>are</w:t>
      </w:r>
      <w:r w:rsidR="00434DB4">
        <w:t xml:space="preserve"> imperfect proxies for health outcomes. </w:t>
      </w:r>
      <w:r w:rsidR="00434DB4">
        <w:rPr>
          <w:rFonts w:cs="Times New Roman"/>
          <w:color w:val="000000"/>
          <w:szCs w:val="24"/>
        </w:rPr>
        <w:t>Our</w:t>
      </w:r>
      <w:r w:rsidR="00FB59E4">
        <w:rPr>
          <w:rFonts w:cs="Times New Roman"/>
          <w:color w:val="000000"/>
          <w:szCs w:val="24"/>
        </w:rPr>
        <w:t xml:space="preserve"> f</w:t>
      </w:r>
      <w:r w:rsidR="00434DB4">
        <w:rPr>
          <w:rFonts w:cs="Times New Roman"/>
          <w:color w:val="000000"/>
          <w:szCs w:val="24"/>
        </w:rPr>
        <w:t>inding of</w:t>
      </w:r>
      <w:r w:rsidR="00434DB4" w:rsidRPr="00434DB4">
        <w:rPr>
          <w:rFonts w:cs="Times New Roman"/>
          <w:color w:val="000000"/>
          <w:szCs w:val="24"/>
        </w:rPr>
        <w:t xml:space="preserve"> </w:t>
      </w:r>
      <w:r w:rsidR="00434DB4">
        <w:rPr>
          <w:rFonts w:cs="Times New Roman"/>
          <w:color w:val="000000"/>
          <w:szCs w:val="24"/>
        </w:rPr>
        <w:t>a negative association between care plans and A&amp;E presentations</w:t>
      </w:r>
      <w:r w:rsidR="00A36BF7">
        <w:rPr>
          <w:rFonts w:cs="Times New Roman"/>
          <w:color w:val="000000"/>
          <w:szCs w:val="24"/>
        </w:rPr>
        <w:t xml:space="preserve"> or ACSC admissions</w:t>
      </w:r>
      <w:r w:rsidR="00347D06">
        <w:rPr>
          <w:rFonts w:cs="Times New Roman"/>
          <w:color w:val="000000"/>
          <w:szCs w:val="24"/>
        </w:rPr>
        <w:t xml:space="preserve"> </w:t>
      </w:r>
      <w:r w:rsidR="00FB59E4">
        <w:rPr>
          <w:rFonts w:cs="Times New Roman"/>
          <w:color w:val="000000"/>
          <w:szCs w:val="24"/>
        </w:rPr>
        <w:t xml:space="preserve">may </w:t>
      </w:r>
      <w:r w:rsidR="00347D06">
        <w:rPr>
          <w:rFonts w:cs="Times New Roman"/>
          <w:color w:val="000000"/>
          <w:szCs w:val="24"/>
        </w:rPr>
        <w:t>reflect</w:t>
      </w:r>
      <w:r w:rsidR="00FB59E4">
        <w:rPr>
          <w:rFonts w:cs="Times New Roman"/>
          <w:color w:val="000000"/>
          <w:szCs w:val="24"/>
        </w:rPr>
        <w:t xml:space="preserve"> </w:t>
      </w:r>
      <w:r w:rsidR="00434DB4">
        <w:rPr>
          <w:rFonts w:cs="Times New Roman"/>
          <w:color w:val="000000"/>
          <w:szCs w:val="24"/>
        </w:rPr>
        <w:t>the presence of</w:t>
      </w:r>
      <w:r w:rsidR="00FB59E4">
        <w:rPr>
          <w:rFonts w:cs="Times New Roman"/>
          <w:color w:val="000000"/>
          <w:szCs w:val="24"/>
        </w:rPr>
        <w:t xml:space="preserve"> unobserved factors</w:t>
      </w:r>
      <w:r w:rsidR="00434DB4">
        <w:rPr>
          <w:rFonts w:cs="Times New Roman"/>
          <w:color w:val="000000"/>
          <w:szCs w:val="24"/>
        </w:rPr>
        <w:t xml:space="preserve"> that</w:t>
      </w:r>
      <w:r w:rsidR="00347D06">
        <w:rPr>
          <w:rFonts w:cs="Times New Roman"/>
          <w:color w:val="000000"/>
          <w:szCs w:val="24"/>
        </w:rPr>
        <w:t xml:space="preserve"> could contribute to the observed </w:t>
      </w:r>
      <w:r w:rsidR="00434DB4">
        <w:rPr>
          <w:rFonts w:cs="Times New Roman"/>
          <w:color w:val="000000"/>
          <w:szCs w:val="24"/>
        </w:rPr>
        <w:t xml:space="preserve">association </w:t>
      </w:r>
      <w:r w:rsidR="00347D06">
        <w:rPr>
          <w:rFonts w:cs="Times New Roman"/>
          <w:color w:val="000000"/>
          <w:szCs w:val="24"/>
        </w:rPr>
        <w:t>without implying causality</w:t>
      </w:r>
      <w:r w:rsidR="00FB59E4">
        <w:rPr>
          <w:rFonts w:cs="Times New Roman"/>
          <w:color w:val="000000"/>
          <w:szCs w:val="24"/>
        </w:rPr>
        <w:t xml:space="preserve">. We </w:t>
      </w:r>
      <w:r w:rsidRPr="00976A9A">
        <w:rPr>
          <w:rFonts w:cs="Times New Roman"/>
          <w:color w:val="000000"/>
          <w:szCs w:val="24"/>
        </w:rPr>
        <w:t xml:space="preserve">lack information on the clinical circumstances </w:t>
      </w:r>
      <w:r>
        <w:rPr>
          <w:rFonts w:cs="Times New Roman"/>
          <w:color w:val="000000"/>
          <w:szCs w:val="24"/>
        </w:rPr>
        <w:t>leading to a care plan</w:t>
      </w:r>
      <w:r w:rsidRPr="00976A9A">
        <w:rPr>
          <w:rFonts w:cs="Times New Roman"/>
          <w:color w:val="000000"/>
          <w:szCs w:val="24"/>
        </w:rPr>
        <w:t xml:space="preserve"> or </w:t>
      </w:r>
      <w:r>
        <w:rPr>
          <w:rFonts w:cs="Times New Roman"/>
          <w:color w:val="000000"/>
          <w:szCs w:val="24"/>
        </w:rPr>
        <w:t>annual review</w:t>
      </w:r>
      <w:r w:rsidR="00350CE0">
        <w:rPr>
          <w:rFonts w:cs="Times New Roman"/>
          <w:color w:val="000000"/>
          <w:szCs w:val="24"/>
        </w:rPr>
        <w:t xml:space="preserve"> being recorded</w:t>
      </w:r>
      <w:r w:rsidRPr="00976A9A">
        <w:rPr>
          <w:rFonts w:cs="Times New Roman"/>
          <w:color w:val="000000"/>
          <w:szCs w:val="24"/>
        </w:rPr>
        <w:t>,</w:t>
      </w:r>
      <w:r w:rsidRPr="00976A9A">
        <w:rPr>
          <w:rFonts w:cs="Times New Roman"/>
          <w:szCs w:val="24"/>
        </w:rPr>
        <w:t xml:space="preserve"> </w:t>
      </w:r>
      <w:r w:rsidR="008C3200">
        <w:rPr>
          <w:rFonts w:cs="Times New Roman"/>
          <w:szCs w:val="24"/>
        </w:rPr>
        <w:t xml:space="preserve">and on </w:t>
      </w:r>
      <w:r w:rsidRPr="00976A9A">
        <w:rPr>
          <w:rFonts w:cs="Times New Roman"/>
          <w:szCs w:val="24"/>
        </w:rPr>
        <w:t>its content, quality and</w:t>
      </w:r>
      <w:r w:rsidR="008C3200">
        <w:rPr>
          <w:rFonts w:cs="Times New Roman"/>
          <w:szCs w:val="24"/>
        </w:rPr>
        <w:t xml:space="preserve"> appropriateness</w:t>
      </w:r>
      <w:r w:rsidR="00FB59E4">
        <w:rPr>
          <w:rFonts w:cs="Times New Roman"/>
          <w:szCs w:val="24"/>
        </w:rPr>
        <w:t>.</w:t>
      </w:r>
      <w:r w:rsidR="008C3200">
        <w:t xml:space="preserve"> </w:t>
      </w:r>
      <w:r w:rsidR="009933EA">
        <w:t>In</w:t>
      </w:r>
      <w:r w:rsidR="008C3200">
        <w:t xml:space="preserve"> the period preceding </w:t>
      </w:r>
      <w:r w:rsidR="000A6879">
        <w:t>hospital attendance</w:t>
      </w:r>
      <w:r w:rsidRPr="00976A9A">
        <w:t xml:space="preserve">, </w:t>
      </w:r>
      <w:r w:rsidR="00285BA0">
        <w:t xml:space="preserve">it is possible that </w:t>
      </w:r>
      <w:r>
        <w:t>care</w:t>
      </w:r>
      <w:r w:rsidRPr="00976A9A">
        <w:t xml:space="preserve"> </w:t>
      </w:r>
      <w:r w:rsidR="008C3200">
        <w:t xml:space="preserve">planning </w:t>
      </w:r>
      <w:r w:rsidR="00E95079">
        <w:t>could</w:t>
      </w:r>
      <w:r w:rsidR="00E95079" w:rsidRPr="00976A9A">
        <w:t xml:space="preserve"> </w:t>
      </w:r>
      <w:r w:rsidRPr="00976A9A">
        <w:t xml:space="preserve">be superseded by </w:t>
      </w:r>
      <w:r w:rsidR="00350CE0">
        <w:t>acute management of physical or mental health conditions</w:t>
      </w:r>
      <w:r w:rsidRPr="00976A9A">
        <w:t xml:space="preserve">. </w:t>
      </w:r>
      <w:r w:rsidR="00006482">
        <w:t xml:space="preserve">Patients who have </w:t>
      </w:r>
      <w:r w:rsidR="00572359">
        <w:t xml:space="preserve">less </w:t>
      </w:r>
      <w:r w:rsidR="00006482">
        <w:t xml:space="preserve">insight or </w:t>
      </w:r>
      <w:r w:rsidR="00572359">
        <w:t xml:space="preserve">lower </w:t>
      </w:r>
      <w:r w:rsidR="002E5C1E">
        <w:t xml:space="preserve">levels of </w:t>
      </w:r>
      <w:r w:rsidR="00006482">
        <w:t xml:space="preserve">self-care may be less likely to seek regular primary care, and therefore less likely to have </w:t>
      </w:r>
      <w:r w:rsidR="00FB59E4">
        <w:t xml:space="preserve">care plans </w:t>
      </w:r>
      <w:r w:rsidR="00006482">
        <w:t xml:space="preserve">documented, but </w:t>
      </w:r>
      <w:r w:rsidR="00363D08">
        <w:t xml:space="preserve">may </w:t>
      </w:r>
      <w:r w:rsidR="00006482">
        <w:t xml:space="preserve">also </w:t>
      </w:r>
      <w:r w:rsidR="00363D08">
        <w:t xml:space="preserve">be </w:t>
      </w:r>
      <w:r w:rsidR="00006482">
        <w:t>more likely to seek A&amp;E care</w:t>
      </w:r>
      <w:r w:rsidR="00FD053E">
        <w:fldChar w:fldCharType="begin">
          <w:fldData xml:space="preserve">PEVuZE5vdGU+PENpdGU+PEF1dGhvcj5ZZW48L0F1dGhvcj48WWVhcj4yMDAyPC9ZZWFyPjxSZWNO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</w:fldData>
        </w:fldChar>
      </w:r>
      <w:r w:rsidR="003A7E5D">
        <w:instrText xml:space="preserve"> ADDIN EN.CITE </w:instrText>
      </w:r>
      <w:r w:rsidR="003A7E5D">
        <w:fldChar w:fldCharType="begin">
          <w:fldData xml:space="preserve">PEVuZE5vdGU+PENpdGU+PEF1dGhvcj5ZZW48L0F1dGhvcj48WWVhcj4yMDAyPC9ZZWFyPjxSZWNO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</w:fldData>
        </w:fldChar>
      </w:r>
      <w:r w:rsidR="003A7E5D">
        <w:instrText xml:space="preserve"> ADDIN EN.CITE.DATA </w:instrText>
      </w:r>
      <w:r w:rsidR="003A7E5D">
        <w:fldChar w:fldCharType="end"/>
      </w:r>
      <w:r w:rsidR="00FD053E">
        <w:fldChar w:fldCharType="separate"/>
      </w:r>
      <w:hyperlink w:anchor="_ENREF_33" w:tooltip="Yen, 2002 #228" w:history="1">
        <w:r w:rsidR="002025EA" w:rsidRPr="003A7E5D">
          <w:rPr>
            <w:noProof/>
            <w:vertAlign w:val="superscript"/>
          </w:rPr>
          <w:t>33</w:t>
        </w:r>
      </w:hyperlink>
      <w:r w:rsidR="003A7E5D" w:rsidRPr="003A7E5D">
        <w:rPr>
          <w:noProof/>
          <w:vertAlign w:val="superscript"/>
        </w:rPr>
        <w:t xml:space="preserve"> </w:t>
      </w:r>
      <w:hyperlink w:anchor="_ENREF_34" w:tooltip="Yen, 2008 #227" w:history="1">
        <w:r w:rsidR="002025EA" w:rsidRPr="003A7E5D">
          <w:rPr>
            <w:noProof/>
            <w:vertAlign w:val="superscript"/>
          </w:rPr>
          <w:t>34</w:t>
        </w:r>
      </w:hyperlink>
      <w:r w:rsidR="00FD053E">
        <w:fldChar w:fldCharType="end"/>
      </w:r>
      <w:r w:rsidR="00706753">
        <w:t xml:space="preserve">. </w:t>
      </w:r>
      <w:r w:rsidR="00FB59E4">
        <w:t xml:space="preserve">Conversely, our findings could underestimate any real effect of care plans on A&amp;E presentations if other unobserved factors </w:t>
      </w:r>
      <w:r w:rsidR="00347D06">
        <w:t xml:space="preserve">contribute to a (non-causal) positive association, such as care plans being triggered by patients attending their GP for problems that will eventually need hospital care. </w:t>
      </w:r>
    </w:p>
    <w:p w14:paraId="0555E0A4" w14:textId="77777777" w:rsidR="0077766A" w:rsidRPr="00976A9A" w:rsidRDefault="0077766A" w:rsidP="00AD398A">
      <w:pPr>
        <w:autoSpaceDE w:val="0"/>
        <w:autoSpaceDN w:val="0"/>
        <w:adjustRightInd w:val="0"/>
        <w:spacing w:after="0" w:line="480" w:lineRule="auto"/>
        <w:jc w:val="both"/>
        <w:rPr>
          <w:rFonts w:cs="Times New Roman"/>
        </w:rPr>
      </w:pPr>
    </w:p>
    <w:p w14:paraId="52AAFC25" w14:textId="261AAFF6" w:rsidR="002B5B58" w:rsidRDefault="0077766A" w:rsidP="00AD398A">
      <w:pPr>
        <w:autoSpaceDE w:val="0"/>
        <w:autoSpaceDN w:val="0"/>
        <w:adjustRightInd w:val="0"/>
        <w:spacing w:after="0" w:line="480" w:lineRule="auto"/>
        <w:jc w:val="both"/>
        <w:rPr>
          <w:rFonts w:cs="Times New Roman"/>
          <w:szCs w:val="24"/>
        </w:rPr>
      </w:pPr>
      <w:r>
        <w:rPr>
          <w:rFonts w:cs="Times New Roman"/>
        </w:rPr>
        <w:t xml:space="preserve">We restricted the sample </w:t>
      </w:r>
      <w:r w:rsidR="00AD398A" w:rsidRPr="00976A9A">
        <w:t>to patients registered with the same practice for the year preceding diagnosis</w:t>
      </w:r>
      <w:r>
        <w:t xml:space="preserve"> in order to </w:t>
      </w:r>
      <w:r>
        <w:rPr>
          <w:rFonts w:cs="Times New Roman"/>
        </w:rPr>
        <w:t xml:space="preserve">analyse </w:t>
      </w:r>
      <w:r w:rsidRPr="00976A9A">
        <w:rPr>
          <w:rFonts w:cs="Times New Roman"/>
        </w:rPr>
        <w:t xml:space="preserve">a group of patients at a similar clinical stage, </w:t>
      </w:r>
      <w:r>
        <w:rPr>
          <w:rFonts w:cs="Times New Roman"/>
        </w:rPr>
        <w:t>and allow</w:t>
      </w:r>
      <w:r w:rsidRPr="00976A9A">
        <w:rPr>
          <w:rFonts w:cs="Times New Roman"/>
        </w:rPr>
        <w:t xml:space="preserve"> us to include measures of historical utilization and medical history. However, </w:t>
      </w:r>
      <w:r>
        <w:rPr>
          <w:rFonts w:cs="Times New Roman"/>
        </w:rPr>
        <w:t xml:space="preserve">the </w:t>
      </w:r>
      <w:r w:rsidRPr="00976A9A">
        <w:t>restricti</w:t>
      </w:r>
      <w:r>
        <w:t>on</w:t>
      </w:r>
      <w:r w:rsidR="00AD398A" w:rsidRPr="00976A9A">
        <w:t xml:space="preserve"> may have excluded </w:t>
      </w:r>
      <w:r w:rsidR="00E96AA9">
        <w:t xml:space="preserve">individuals </w:t>
      </w:r>
      <w:r w:rsidR="00285006">
        <w:t>with more severe SMI if this led them to move</w:t>
      </w:r>
      <w:r w:rsidR="00A27191">
        <w:t xml:space="preserve"> practice</w:t>
      </w:r>
      <w:r w:rsidR="00363D08">
        <w:t xml:space="preserve">. </w:t>
      </w:r>
      <w:r w:rsidR="00EC22EE">
        <w:rPr>
          <w:rFonts w:cs="Times New Roman"/>
          <w:szCs w:val="24"/>
        </w:rPr>
        <w:t>In addition, t</w:t>
      </w:r>
      <w:r w:rsidR="00AD398A" w:rsidRPr="00976A9A">
        <w:rPr>
          <w:rFonts w:cs="Times New Roman"/>
          <w:szCs w:val="24"/>
        </w:rPr>
        <w:t xml:space="preserve">he sample may </w:t>
      </w:r>
      <w:r w:rsidR="00A10AA0">
        <w:rPr>
          <w:rFonts w:cs="Times New Roman"/>
          <w:szCs w:val="24"/>
        </w:rPr>
        <w:t xml:space="preserve">include some patients </w:t>
      </w:r>
      <w:r w:rsidR="00E96AA9">
        <w:rPr>
          <w:rFonts w:cs="Times New Roman"/>
          <w:szCs w:val="24"/>
        </w:rPr>
        <w:t xml:space="preserve">who were </w:t>
      </w:r>
      <w:r w:rsidR="00A10AA0">
        <w:rPr>
          <w:rFonts w:cs="Times New Roman"/>
          <w:szCs w:val="24"/>
        </w:rPr>
        <w:t xml:space="preserve">not newly </w:t>
      </w:r>
      <w:r w:rsidR="00A10AA0">
        <w:rPr>
          <w:rFonts w:cs="Times New Roman"/>
          <w:szCs w:val="24"/>
        </w:rPr>
        <w:lastRenderedPageBreak/>
        <w:t>diagnosed,</w:t>
      </w:r>
      <w:r w:rsidR="00AD398A" w:rsidRPr="00976A9A">
        <w:rPr>
          <w:rFonts w:cs="Times New Roman"/>
          <w:szCs w:val="24"/>
        </w:rPr>
        <w:t xml:space="preserve"> if </w:t>
      </w:r>
      <w:r w:rsidR="00E96AA9">
        <w:rPr>
          <w:rFonts w:cs="Times New Roman"/>
          <w:szCs w:val="24"/>
        </w:rPr>
        <w:t xml:space="preserve">their diagnostic information </w:t>
      </w:r>
      <w:r w:rsidR="00363D08">
        <w:rPr>
          <w:rFonts w:cs="Times New Roman"/>
          <w:szCs w:val="24"/>
        </w:rPr>
        <w:t>had not been</w:t>
      </w:r>
      <w:r w:rsidR="00E96AA9">
        <w:rPr>
          <w:rFonts w:cs="Times New Roman"/>
          <w:szCs w:val="24"/>
        </w:rPr>
        <w:t xml:space="preserve"> transferred to a new practice, or to a new </w:t>
      </w:r>
      <w:r w:rsidR="00AD398A" w:rsidRPr="00976A9A">
        <w:rPr>
          <w:rFonts w:cs="Times New Roman"/>
          <w:szCs w:val="24"/>
        </w:rPr>
        <w:t>electronic recording system.</w:t>
      </w:r>
      <w:r w:rsidR="00451D05">
        <w:rPr>
          <w:rFonts w:cs="Times New Roman"/>
          <w:szCs w:val="24"/>
        </w:rPr>
        <w:t xml:space="preserve"> </w:t>
      </w:r>
      <w:r w:rsidR="00C63A89">
        <w:rPr>
          <w:rFonts w:cs="Times New Roman"/>
          <w:szCs w:val="24"/>
        </w:rPr>
        <w:t xml:space="preserve"> </w:t>
      </w:r>
    </w:p>
    <w:p w14:paraId="465CC48A" w14:textId="77777777" w:rsidR="002B5B58" w:rsidRDefault="002B5B58" w:rsidP="00AD398A">
      <w:pPr>
        <w:autoSpaceDE w:val="0"/>
        <w:autoSpaceDN w:val="0"/>
        <w:adjustRightInd w:val="0"/>
        <w:spacing w:after="0" w:line="480" w:lineRule="auto"/>
        <w:jc w:val="both"/>
        <w:rPr>
          <w:rFonts w:cs="Times New Roman"/>
          <w:szCs w:val="24"/>
        </w:rPr>
      </w:pPr>
    </w:p>
    <w:p w14:paraId="35659ADF" w14:textId="7C56792B" w:rsidR="00AD398A" w:rsidRDefault="002B5B58" w:rsidP="00AD398A">
      <w:pPr>
        <w:autoSpaceDE w:val="0"/>
        <w:autoSpaceDN w:val="0"/>
        <w:adjustRightInd w:val="0"/>
        <w:spacing w:after="0" w:line="480" w:lineRule="auto"/>
        <w:jc w:val="both"/>
        <w:rPr>
          <w:rFonts w:cs="Times New Roman"/>
          <w:szCs w:val="24"/>
        </w:rPr>
      </w:pPr>
      <w:r w:rsidRPr="002B5B58">
        <w:rPr>
          <w:rFonts w:cs="Times New Roman"/>
          <w:szCs w:val="24"/>
        </w:rPr>
        <w:t>The collection of HES A&amp;E commenced on an experimental basis in April 2007, and captured 62% of national A&amp;E attendances in the first financial year. The experimental label was lifted by April 2013 after capture had increased</w:t>
      </w:r>
      <w:r>
        <w:rPr>
          <w:rFonts w:cs="Times New Roman"/>
          <w:szCs w:val="24"/>
        </w:rPr>
        <w:t xml:space="preserve"> to over 80%</w:t>
      </w:r>
      <w:r w:rsidRPr="002B5B58">
        <w:rPr>
          <w:rFonts w:cs="Times New Roman"/>
          <w:szCs w:val="24"/>
        </w:rPr>
        <w:t>. However, there is no reason to consider that the capture of attendances is related to whether a patient had a care plan or physical review, meaning our comparative analysis should not be adversely impacted.</w:t>
      </w:r>
    </w:p>
    <w:p w14:paraId="1C735A2A" w14:textId="36D9F6CF" w:rsidR="004B7F10" w:rsidRDefault="004B7F10" w:rsidP="00AD398A">
      <w:pPr>
        <w:autoSpaceDE w:val="0"/>
        <w:autoSpaceDN w:val="0"/>
        <w:adjustRightInd w:val="0"/>
        <w:spacing w:after="0" w:line="480" w:lineRule="auto"/>
        <w:jc w:val="both"/>
        <w:rPr>
          <w:rFonts w:cs="Times New Roman"/>
          <w:szCs w:val="24"/>
        </w:rPr>
      </w:pPr>
    </w:p>
    <w:p w14:paraId="62DE2F06" w14:textId="495447AC" w:rsidR="004B7F10" w:rsidRDefault="004B7F10" w:rsidP="00AD398A">
      <w:pPr>
        <w:autoSpaceDE w:val="0"/>
        <w:autoSpaceDN w:val="0"/>
        <w:adjustRightInd w:val="0"/>
        <w:spacing w:after="0" w:line="480" w:lineRule="auto"/>
        <w:jc w:val="both"/>
        <w:rPr>
          <w:rFonts w:cs="Times New Roman"/>
          <w:i/>
          <w:szCs w:val="24"/>
        </w:rPr>
      </w:pPr>
      <w:r>
        <w:rPr>
          <w:rFonts w:cs="Times New Roman"/>
          <w:i/>
          <w:szCs w:val="24"/>
        </w:rPr>
        <w:t>Comparison with other studies</w:t>
      </w:r>
    </w:p>
    <w:p w14:paraId="414E7BE2" w14:textId="7A8C78B1" w:rsidR="004B7F10" w:rsidRPr="00285BA0" w:rsidRDefault="001F47B7" w:rsidP="00AD398A">
      <w:pPr>
        <w:autoSpaceDE w:val="0"/>
        <w:autoSpaceDN w:val="0"/>
        <w:adjustRightInd w:val="0"/>
        <w:spacing w:after="0" w:line="480" w:lineRule="auto"/>
        <w:jc w:val="both"/>
        <w:rPr>
          <w:rFonts w:cs="Times New Roman"/>
          <w:i/>
          <w:szCs w:val="24"/>
        </w:rPr>
      </w:pPr>
      <w:r>
        <w:rPr>
          <w:rFonts w:cs="Times New Roman"/>
          <w:szCs w:val="24"/>
        </w:rPr>
        <w:t xml:space="preserve">There is </w:t>
      </w:r>
      <w:r w:rsidR="003F306F">
        <w:rPr>
          <w:rFonts w:cs="Times New Roman"/>
          <w:szCs w:val="24"/>
        </w:rPr>
        <w:t>limited, mixed</w:t>
      </w:r>
      <w:r>
        <w:rPr>
          <w:rFonts w:cs="Times New Roman"/>
          <w:szCs w:val="24"/>
        </w:rPr>
        <w:t xml:space="preserve"> evidence about the relationship between objective measures of primary care quality and A&amp;E attendance.</w:t>
      </w:r>
      <w:r w:rsidR="007E1C87">
        <w:rPr>
          <w:rFonts w:cs="Times New Roman"/>
          <w:szCs w:val="24"/>
        </w:rPr>
        <w:t xml:space="preserve"> </w:t>
      </w:r>
      <w:hyperlink w:anchor="_ENREF_35" w:tooltip="Baker, 2011 #2328" w:history="1">
        <w:r w:rsidR="002025EA">
          <w:rPr>
            <w:rFonts w:cs="Times New Roman"/>
            <w:szCs w:val="24"/>
          </w:rPr>
          <w:fldChar w:fldCharType="begin"/>
        </w:r>
        <w:r w:rsidR="002025EA">
          <w:rPr>
            <w:rFonts w:cs="Times New Roman"/>
            <w:szCs w:val="24"/>
          </w:rPr>
          <w:instrText xml:space="preserve"> ADDIN EN.CITE &lt;EndNote&gt;&lt;Cite AuthorYear="1"&gt;&lt;Author&gt;Baker&lt;/Author&gt;&lt;Year&gt;2011&lt;/Year&gt;&lt;RecNum&gt;2328&lt;/RecNum&gt;&lt;DisplayText&gt;Baker, et al. &lt;style face="superscript"&gt;35&lt;/style&gt;&lt;/DisplayText&gt;&lt;record&gt;&lt;rec-number&gt;2328&lt;/rec-number&gt;&lt;foreign-keys&gt;&lt;key app="EN" db-id="fsvar0xvyasaw1ets97x2v9h905eewfvf0zf" timestamp="1517923731"&gt;2328&lt;/key&gt;&lt;/foreign-keys&gt;&lt;ref-type name="Journal Article"&gt;17&lt;/ref-type&gt;&lt;contributors&gt;&lt;authors&gt;&lt;author&gt;Baker, R&lt;/author&gt;&lt;author&gt;Bankart, M J&lt;/author&gt;&lt;author&gt;Rashid, A&lt;/author&gt;&lt;author&gt;Banerjee, J&lt;/author&gt;&lt;author&gt;Conroy, S&lt;/author&gt;&lt;author&gt;Habiba, M&lt;/author&gt;&lt;author&gt;Hsu, R&lt;/author&gt;&lt;author&gt;Wilson, A&lt;/author&gt;&lt;author&gt;Agarwal, S&lt;/author&gt;&lt;author&gt;Camosso-Stefinovic, J&lt;/author&gt;&lt;/authors&gt;&lt;/contributors&gt;&lt;titles&gt;&lt;title&gt;Characteristics of general practices associated with emergency-department attendance rates: a cross-sectional study&lt;/title&gt;&lt;secondary-title&gt;BMJ Quality &amp;amp;amp; Safety&lt;/secondary-title&gt;&lt;/titles&gt;&lt;periodical&gt;&lt;full-title&gt;BMJ Quality &amp;amp;amp; Safety&lt;/full-title&gt;&lt;/periodical&gt;&lt;pages&gt;953-958&lt;/pages&gt;&lt;volume&gt;20&lt;/volume&gt;&lt;number&gt;11&lt;/number&gt;&lt;dates&gt;&lt;year&gt;2011&lt;/year&gt;&lt;/dates&gt;&lt;urls&gt;&lt;related-urls&gt;&lt;url&gt;http://qualitysafety.bmj.com/content/qhc/20/11/953.full.pdf&lt;/url&gt;&lt;/related-urls&gt;&lt;/urls&gt;&lt;electronic-resource-num&gt;10.1136/bmjqs.2010.050864&lt;/electronic-resource-num&gt;&lt;/record&gt;&lt;/Cite&gt;&lt;/EndNote&gt;</w:instrText>
        </w:r>
        <w:r w:rsidR="002025EA">
          <w:rPr>
            <w:rFonts w:cs="Times New Roman"/>
            <w:szCs w:val="24"/>
          </w:rPr>
          <w:fldChar w:fldCharType="separate"/>
        </w:r>
        <w:r w:rsidR="002025EA">
          <w:rPr>
            <w:rFonts w:cs="Times New Roman"/>
            <w:noProof/>
            <w:szCs w:val="24"/>
          </w:rPr>
          <w:t>Baker, et al.</w:t>
        </w:r>
        <w:r w:rsidR="002025EA" w:rsidRPr="003A7E5D">
          <w:rPr>
            <w:rFonts w:cs="Times New Roman"/>
            <w:noProof/>
            <w:szCs w:val="24"/>
            <w:vertAlign w:val="superscript"/>
          </w:rPr>
          <w:t>35</w:t>
        </w:r>
        <w:r w:rsidR="002025EA">
          <w:rPr>
            <w:rFonts w:cs="Times New Roman"/>
            <w:szCs w:val="24"/>
          </w:rPr>
          <w:fldChar w:fldCharType="end"/>
        </w:r>
      </w:hyperlink>
      <w:r w:rsidR="007E1C87">
        <w:rPr>
          <w:rFonts w:cs="Times New Roman"/>
          <w:szCs w:val="24"/>
        </w:rPr>
        <w:t xml:space="preserve"> found that higher performance on the QOF </w:t>
      </w:r>
      <w:r>
        <w:rPr>
          <w:rFonts w:cs="Times New Roman"/>
          <w:szCs w:val="24"/>
        </w:rPr>
        <w:t xml:space="preserve">overall </w:t>
      </w:r>
      <w:r w:rsidR="007E1C87">
        <w:rPr>
          <w:rFonts w:cs="Times New Roman"/>
          <w:szCs w:val="24"/>
        </w:rPr>
        <w:t>was not a predictor of area-level A&amp;E a</w:t>
      </w:r>
      <w:r w:rsidR="00587B03">
        <w:rPr>
          <w:rFonts w:cs="Times New Roman"/>
          <w:szCs w:val="24"/>
        </w:rPr>
        <w:t>ttendances, while s</w:t>
      </w:r>
      <w:r>
        <w:rPr>
          <w:rFonts w:cs="Times New Roman"/>
          <w:szCs w:val="24"/>
        </w:rPr>
        <w:t xml:space="preserve">ubjective assessment of higher primary care quality </w:t>
      </w:r>
      <w:r w:rsidR="00F547C4">
        <w:rPr>
          <w:rFonts w:cs="Times New Roman"/>
          <w:szCs w:val="24"/>
        </w:rPr>
        <w:t>has</w:t>
      </w:r>
      <w:r>
        <w:rPr>
          <w:rFonts w:cs="Times New Roman"/>
          <w:szCs w:val="24"/>
        </w:rPr>
        <w:t xml:space="preserve"> been found to be associated with lower utilisation of A&amp;E</w:t>
      </w:r>
      <w:r>
        <w:rPr>
          <w:rFonts w:cs="Times New Roman"/>
          <w:szCs w:val="24"/>
        </w:rPr>
        <w:fldChar w:fldCharType="begin">
          <w:fldData xml:space="preserve">PEVuZE5vdGU+PENpdGU+PEF1dGhvcj5Xb25nPC9BdXRob3I+PFllYXI+MjAxODwvWWVhcj48UmVj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</w:fldData>
        </w:fldChar>
      </w:r>
      <w:r w:rsidR="003A7E5D">
        <w:rPr>
          <w:rFonts w:cs="Times New Roman"/>
          <w:szCs w:val="24"/>
        </w:rPr>
        <w:instrText xml:space="preserve"> ADDIN EN.CITE </w:instrText>
      </w:r>
      <w:r w:rsidR="003A7E5D">
        <w:rPr>
          <w:rFonts w:cs="Times New Roman"/>
          <w:szCs w:val="24"/>
        </w:rPr>
        <w:fldChar w:fldCharType="begin">
          <w:fldData xml:space="preserve">PEVuZE5vdGU+PENpdGU+PEF1dGhvcj5Xb25nPC9BdXRob3I+PFllYXI+MjAxODwvWWVhcj48UmVj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</w:fldData>
        </w:fldChar>
      </w:r>
      <w:r w:rsidR="003A7E5D">
        <w:rPr>
          <w:rFonts w:cs="Times New Roman"/>
          <w:szCs w:val="24"/>
        </w:rPr>
        <w:instrText xml:space="preserve"> ADDIN EN.CITE.DATA </w:instrText>
      </w:r>
      <w:r w:rsidR="003A7E5D">
        <w:rPr>
          <w:rFonts w:cs="Times New Roman"/>
          <w:szCs w:val="24"/>
        </w:rPr>
      </w:r>
      <w:r w:rsidR="003A7E5D">
        <w:rPr>
          <w:rFonts w:cs="Times New Roman"/>
          <w:szCs w:val="24"/>
        </w:rPr>
        <w:fldChar w:fldCharType="end"/>
      </w:r>
      <w:r>
        <w:rPr>
          <w:rFonts w:cs="Times New Roman"/>
          <w:szCs w:val="24"/>
        </w:rPr>
      </w:r>
      <w:r>
        <w:rPr>
          <w:rFonts w:cs="Times New Roman"/>
          <w:szCs w:val="24"/>
        </w:rPr>
        <w:fldChar w:fldCharType="separate"/>
      </w:r>
      <w:hyperlink w:anchor="_ENREF_36" w:tooltip="Wong, 2018 #221" w:history="1">
        <w:r w:rsidR="002025EA" w:rsidRPr="003A7E5D">
          <w:rPr>
            <w:rFonts w:cs="Times New Roman"/>
            <w:noProof/>
            <w:szCs w:val="24"/>
            <w:vertAlign w:val="superscript"/>
          </w:rPr>
          <w:t>36</w:t>
        </w:r>
      </w:hyperlink>
      <w:r w:rsidR="003A7E5D" w:rsidRPr="003A7E5D">
        <w:rPr>
          <w:rFonts w:cs="Times New Roman"/>
          <w:noProof/>
          <w:szCs w:val="24"/>
          <w:vertAlign w:val="superscript"/>
        </w:rPr>
        <w:t xml:space="preserve"> </w:t>
      </w:r>
      <w:hyperlink w:anchor="_ENREF_37" w:tooltip="Xin, 2015 #226" w:history="1">
        <w:r w:rsidR="002025EA" w:rsidRPr="003A7E5D">
          <w:rPr>
            <w:rFonts w:cs="Times New Roman"/>
            <w:noProof/>
            <w:szCs w:val="24"/>
            <w:vertAlign w:val="superscript"/>
          </w:rPr>
          <w:t>37</w:t>
        </w:r>
      </w:hyperlink>
      <w:r>
        <w:rPr>
          <w:rFonts w:cs="Times New Roman"/>
          <w:szCs w:val="24"/>
        </w:rPr>
        <w:fldChar w:fldCharType="end"/>
      </w:r>
      <w:r w:rsidR="007E1C87">
        <w:rPr>
          <w:rFonts w:cs="Times New Roman"/>
          <w:szCs w:val="24"/>
        </w:rPr>
        <w:t xml:space="preserve">. </w:t>
      </w:r>
      <w:r w:rsidR="005C2C27">
        <w:rPr>
          <w:rFonts w:cs="Times New Roman"/>
          <w:szCs w:val="24"/>
        </w:rPr>
        <w:t xml:space="preserve">Using practice-level data, </w:t>
      </w:r>
      <w:hyperlink w:anchor="_ENREF_21" w:tooltip="Gutacker, 2015 #2340" w:history="1">
        <w:r w:rsidR="002025EA">
          <w:rPr>
            <w:rFonts w:cs="Times New Roman"/>
            <w:szCs w:val="24"/>
          </w:rPr>
          <w:fldChar w:fldCharType="begin"/>
        </w:r>
        <w:r w:rsidR="002025EA">
          <w:rPr>
            <w:rFonts w:cs="Times New Roman"/>
            <w:szCs w:val="24"/>
          </w:rPr>
          <w:instrText xml:space="preserve"> ADDIN EN.CITE &lt;EndNote&gt;&lt;Cite AuthorYear="1"&gt;&lt;Author&gt;Gutacker&lt;/Author&gt;&lt;Year&gt;2015&lt;/Year&gt;&lt;RecNum&gt;2340&lt;/RecNum&gt;&lt;DisplayText&gt;Gutacker, et al. &lt;style face="superscript"&gt;21&lt;/style&gt;&lt;/DisplayText&gt;&lt;record&gt;&lt;rec-number&gt;2340&lt;/rec-number&gt;&lt;foreign-keys&gt;&lt;key app="EN" db-id="fsvar0xvyasaw1ets97x2v9h905eewfvf0zf" timestamp="1519749520"&gt;2340&lt;/key&gt;&lt;/foreign-keys&gt;&lt;ref-type name="Journal Article"&gt;17&lt;/ref-type&gt;&lt;contributors&gt;&lt;authors&gt;&lt;author&gt;Gutacker, Nils&lt;/author&gt;&lt;author&gt;Mason, Anne R&lt;/author&gt;&lt;author&gt;Kendrick, Tony&lt;/author&gt;&lt;author&gt;Goddard, Maria&lt;/author&gt;&lt;author&gt;Gravelle, Hugh&lt;/author&gt;&lt;author&gt;Gilbody, Simon&lt;/author&gt;&lt;author&gt;Aylott, Lauren&lt;/author&gt;&lt;author&gt;Wainwright, June&lt;/author&gt;&lt;author&gt;Jacobs, Rowena&lt;/author&gt;&lt;/authors&gt;&lt;/contributors&gt;&lt;titles&gt;&lt;title&gt;Does the quality and outcomes framework reduce psychiatric admissions in people with serious mental illness? A regression analysis&lt;/title&gt;&lt;secondary-title&gt;BMJ open&lt;/secondary-title&gt;&lt;/titles&gt;&lt;periodical&gt;&lt;full-title&gt;Bmj Open&lt;/full-title&gt;&lt;abbr-1&gt;Bmj Open&lt;/abbr-1&gt;&lt;/periodical&gt;&lt;pages&gt;e007342&lt;/pages&gt;&lt;volume&gt;5&lt;/volume&gt;&lt;number&gt;4&lt;/number&gt;&lt;dates&gt;&lt;year&gt;2015&lt;/year&gt;&lt;/dates&gt;&lt;isbn&gt;2044-6055&lt;/isbn&gt;&lt;urls&gt;&lt;/urls&gt;&lt;/record&gt;&lt;/Cite&gt;&lt;/EndNote&gt;</w:instrText>
        </w:r>
        <w:r w:rsidR="002025EA">
          <w:rPr>
            <w:rFonts w:cs="Times New Roman"/>
            <w:szCs w:val="24"/>
          </w:rPr>
          <w:fldChar w:fldCharType="separate"/>
        </w:r>
        <w:r w:rsidR="002025EA">
          <w:rPr>
            <w:rFonts w:cs="Times New Roman"/>
            <w:noProof/>
            <w:szCs w:val="24"/>
          </w:rPr>
          <w:t>Gutacker, et al.</w:t>
        </w:r>
        <w:r w:rsidR="002025EA" w:rsidRPr="005C2C27">
          <w:rPr>
            <w:rFonts w:cs="Times New Roman"/>
            <w:noProof/>
            <w:szCs w:val="24"/>
            <w:vertAlign w:val="superscript"/>
          </w:rPr>
          <w:t>21</w:t>
        </w:r>
        <w:r w:rsidR="002025EA">
          <w:rPr>
            <w:rFonts w:cs="Times New Roman"/>
            <w:szCs w:val="24"/>
          </w:rPr>
          <w:fldChar w:fldCharType="end"/>
        </w:r>
      </w:hyperlink>
      <w:r w:rsidR="004B7F10">
        <w:rPr>
          <w:rFonts w:cs="Times New Roman"/>
          <w:szCs w:val="24"/>
        </w:rPr>
        <w:t xml:space="preserve"> found that</w:t>
      </w:r>
      <w:r w:rsidR="005C2C27">
        <w:rPr>
          <w:rFonts w:cs="Times New Roman"/>
          <w:szCs w:val="24"/>
        </w:rPr>
        <w:t xml:space="preserve"> </w:t>
      </w:r>
      <w:r w:rsidR="004B7F10">
        <w:rPr>
          <w:rFonts w:cs="Times New Roman"/>
          <w:szCs w:val="24"/>
        </w:rPr>
        <w:t xml:space="preserve">higher achievement on the annual review indicator was associated </w:t>
      </w:r>
      <w:r w:rsidR="00A27191">
        <w:rPr>
          <w:rFonts w:cs="Times New Roman"/>
          <w:szCs w:val="24"/>
        </w:rPr>
        <w:t xml:space="preserve">with </w:t>
      </w:r>
      <w:r w:rsidR="004B7F10">
        <w:rPr>
          <w:rFonts w:cs="Times New Roman"/>
          <w:szCs w:val="24"/>
        </w:rPr>
        <w:t xml:space="preserve">a higher rate of SMI admissions. One possible explanation was that patients had QOF indicators documented after a hospital admission. </w:t>
      </w:r>
      <w:r w:rsidR="005C2C27">
        <w:rPr>
          <w:rFonts w:cs="Times New Roman"/>
          <w:szCs w:val="24"/>
        </w:rPr>
        <w:t>Our analysis, which</w:t>
      </w:r>
      <w:r w:rsidR="004B7F10">
        <w:rPr>
          <w:rFonts w:cs="Times New Roman"/>
          <w:szCs w:val="24"/>
        </w:rPr>
        <w:t xml:space="preserve"> capture</w:t>
      </w:r>
      <w:r w:rsidR="00A27191">
        <w:rPr>
          <w:rFonts w:cs="Times New Roman"/>
          <w:szCs w:val="24"/>
        </w:rPr>
        <w:t>s</w:t>
      </w:r>
      <w:r w:rsidR="004B7F10">
        <w:rPr>
          <w:rFonts w:cs="Times New Roman"/>
          <w:szCs w:val="24"/>
        </w:rPr>
        <w:t xml:space="preserve"> the sequence of events</w:t>
      </w:r>
      <w:r w:rsidR="00587B03">
        <w:rPr>
          <w:rFonts w:cs="Times New Roman"/>
          <w:szCs w:val="24"/>
        </w:rPr>
        <w:t xml:space="preserve"> and </w:t>
      </w:r>
      <w:r w:rsidR="00A27191">
        <w:rPr>
          <w:rFonts w:cs="Times New Roman"/>
          <w:szCs w:val="24"/>
        </w:rPr>
        <w:t>finds</w:t>
      </w:r>
      <w:r w:rsidR="00587B03">
        <w:rPr>
          <w:rFonts w:cs="Times New Roman"/>
          <w:szCs w:val="24"/>
        </w:rPr>
        <w:t xml:space="preserve"> no association between annual reviews and hazard of SMI admission</w:t>
      </w:r>
      <w:r w:rsidR="004B7F10">
        <w:rPr>
          <w:rFonts w:cs="Times New Roman"/>
          <w:szCs w:val="24"/>
        </w:rPr>
        <w:t xml:space="preserve">, </w:t>
      </w:r>
      <w:r w:rsidR="00587B03">
        <w:rPr>
          <w:rFonts w:cs="Times New Roman"/>
          <w:szCs w:val="24"/>
        </w:rPr>
        <w:t>support</w:t>
      </w:r>
      <w:r w:rsidR="00A27191">
        <w:rPr>
          <w:rFonts w:cs="Times New Roman"/>
          <w:szCs w:val="24"/>
        </w:rPr>
        <w:t>s</w:t>
      </w:r>
      <w:r w:rsidR="00587B03">
        <w:rPr>
          <w:rFonts w:cs="Times New Roman"/>
          <w:szCs w:val="24"/>
        </w:rPr>
        <w:t xml:space="preserve"> that explanation</w:t>
      </w:r>
      <w:r w:rsidR="004B7F10">
        <w:rPr>
          <w:rFonts w:cs="Times New Roman"/>
          <w:szCs w:val="24"/>
        </w:rPr>
        <w:t xml:space="preserve">. </w:t>
      </w:r>
      <w:hyperlink w:anchor="_ENREF_38" w:tooltip="Harrison, 2014 #220" w:history="1">
        <w:r w:rsidR="002025EA">
          <w:rPr>
            <w:rFonts w:cs="Times New Roman"/>
            <w:szCs w:val="24"/>
          </w:rPr>
          <w:fldChar w:fldCharType="begin"/>
        </w:r>
        <w:r w:rsidR="002025EA">
          <w:rPr>
            <w:rFonts w:cs="Times New Roman"/>
            <w:szCs w:val="24"/>
          </w:rPr>
          <w:instrText xml:space="preserve"> ADDIN EN.CITE &lt;EndNote&gt;&lt;Cite AuthorYear="1"&gt;&lt;Author&gt;Harrison&lt;/Author&gt;&lt;Year&gt;2014&lt;/Year&gt;&lt;RecNum&gt;220&lt;/RecNum&gt;&lt;DisplayText&gt;Harrison, et al. &lt;style face="superscript"&gt;38&lt;/style&gt;&lt;/DisplayText&gt;&lt;record&gt;&lt;rec-number&gt;220&lt;/rec-number&gt;&lt;foreign-keys&gt;&lt;key app="EN" db-id="0aaxrwtz35eps2efxtzpva5he0xztfsrzr02" timestamp="1533051290"&gt;220&lt;/key&gt;&lt;/foreign-keys&gt;&lt;ref-type name="Journal Article"&gt;17&lt;/ref-type&gt;&lt;contributors&gt;&lt;authors&gt;&lt;author&gt;Harrison, Mark J&lt;/author&gt;&lt;author&gt;Dusheiko, Mark&lt;/author&gt;&lt;author&gt;Sutton, Matt&lt;/author&gt;&lt;author&gt;Gravelle, Hugh&lt;/author&gt;&lt;author&gt;Doran, Tim&lt;/author&gt;&lt;author&gt;Roland, Martin&lt;/author&gt;&lt;/authors&gt;&lt;/contributors&gt;&lt;titles&gt;&lt;title&gt;Effect of a national primary care pay for performance scheme on emergency hospital admissions for ambulatory care sensitive conditions: controlled longitudinal study&lt;/title&gt;&lt;secondary-title&gt;Bmj&lt;/secondary-title&gt;&lt;/titles&gt;&lt;periodical&gt;&lt;full-title&gt;BMJ&lt;/full-title&gt;&lt;/periodical&gt;&lt;pages&gt;g6423&lt;/pages&gt;&lt;volume&gt;349&lt;/volume&gt;&lt;dates&gt;&lt;year&gt;2014&lt;/year&gt;&lt;/dates&gt;&lt;isbn&gt;1756-1833&lt;/isbn&gt;&lt;urls&gt;&lt;/urls&gt;&lt;/record&gt;&lt;/Cite&gt;&lt;/EndNote&gt;</w:instrText>
        </w:r>
        <w:r w:rsidR="002025EA">
          <w:rPr>
            <w:rFonts w:cs="Times New Roman"/>
            <w:szCs w:val="24"/>
          </w:rPr>
          <w:fldChar w:fldCharType="separate"/>
        </w:r>
        <w:r w:rsidR="002025EA">
          <w:rPr>
            <w:rFonts w:cs="Times New Roman"/>
            <w:noProof/>
            <w:szCs w:val="24"/>
          </w:rPr>
          <w:t>Harrison, et al.</w:t>
        </w:r>
        <w:r w:rsidR="002025EA" w:rsidRPr="003A7E5D">
          <w:rPr>
            <w:rFonts w:cs="Times New Roman"/>
            <w:noProof/>
            <w:szCs w:val="24"/>
            <w:vertAlign w:val="superscript"/>
          </w:rPr>
          <w:t>38</w:t>
        </w:r>
        <w:r w:rsidR="002025EA">
          <w:rPr>
            <w:rFonts w:cs="Times New Roman"/>
            <w:szCs w:val="24"/>
          </w:rPr>
          <w:fldChar w:fldCharType="end"/>
        </w:r>
      </w:hyperlink>
      <w:r w:rsidR="005C2C27">
        <w:rPr>
          <w:rFonts w:cs="Times New Roman"/>
          <w:szCs w:val="24"/>
        </w:rPr>
        <w:t xml:space="preserve"> found</w:t>
      </w:r>
      <w:r w:rsidR="007E1C87">
        <w:rPr>
          <w:rFonts w:cs="Times New Roman"/>
          <w:szCs w:val="24"/>
        </w:rPr>
        <w:t>, using aggregate data,</w:t>
      </w:r>
      <w:r w:rsidR="005C2C27">
        <w:rPr>
          <w:rFonts w:cs="Times New Roman"/>
          <w:szCs w:val="24"/>
        </w:rPr>
        <w:t xml:space="preserve"> that the introduction of the QOF was associated with a decrease in unplanned admissions for incentivised ACSCs, consistent with our finding that care plans were associated with a reduced risk of ACSC admissions. </w:t>
      </w:r>
      <w:hyperlink w:anchor="_ENREF_39" w:tooltip="Wilson, 2017 #127" w:history="1">
        <w:r w:rsidR="002025EA">
          <w:rPr>
            <w:rFonts w:cs="Times New Roman"/>
            <w:noProof/>
            <w:szCs w:val="24"/>
          </w:rPr>
          <w:fldChar w:fldCharType="begin"/>
        </w:r>
        <w:r w:rsidR="002025EA">
          <w:rPr>
            <w:rFonts w:cs="Times New Roman"/>
            <w:noProof/>
            <w:szCs w:val="24"/>
          </w:rPr>
          <w:instrText xml:space="preserve"> ADDIN EN.CITE &lt;EndNote&gt;&lt;Cite AuthorYear="1"&gt;&lt;Author&gt;Wilson&lt;/Author&gt;&lt;Year&gt;2017&lt;/Year&gt;&lt;RecNum&gt;127&lt;/RecNum&gt;&lt;DisplayText&gt;Wilson, et al. &lt;style face="superscript"&gt;39&lt;/style&gt;&lt;/DisplayText&gt;&lt;record&gt;&lt;rec-number&gt;127&lt;/rec-number&gt;&lt;foreign-keys&gt;&lt;key app="EN" db-id="0aaxrwtz35eps2efxtzpva5he0xztfsrzr02" timestamp="1502106241"&gt;127&lt;/key&gt;&lt;/foreign-keys&gt;&lt;ref-type name="Journal Article"&gt;17&lt;/ref-type&gt;&lt;contributors&gt;&lt;authors&gt;&lt;author&gt;Wilson, Carol L.&lt;/author&gt;&lt;author&gt;Rhodes, Kirsty M.&lt;/author&gt;&lt;author&gt;Payne, Rupert A.&lt;/author&gt;&lt;/authors&gt;&lt;/contributors&gt;&lt;titles&gt;&lt;title&gt;Financial incentives improve recognition but not treatment of cardiovascular risk factors in severe mental illness&lt;/title&gt;&lt;secondary-title&gt;PLOS ONE&lt;/secondary-title&gt;&lt;/titles&gt;&lt;periodical&gt;&lt;full-title&gt;PLoS One&lt;/full-title&gt;&lt;/periodical&gt;&lt;pages&gt;e0179392&lt;/pages&gt;&lt;volume&gt;12&lt;/volume&gt;&lt;number&gt;6&lt;/number&gt;&lt;dates&gt;&lt;year&gt;2017&lt;/year&gt;&lt;/dates&gt;&lt;publisher&gt;Public Library of Science&lt;/publisher&gt;&lt;urls&gt;&lt;related-urls&gt;&lt;url&gt;https://doi.org/10.1371/journal.pone.0179392&lt;/url&gt;&lt;/related-urls&gt;&lt;/urls&gt;&lt;electronic-resource-num&gt;10.1371/journal.pone.0179392&lt;/electronic-resource-num&gt;&lt;/record&gt;&lt;/Cite&gt;&lt;/EndNote&gt;</w:instrText>
        </w:r>
        <w:r w:rsidR="002025EA">
          <w:rPr>
            <w:rFonts w:cs="Times New Roman"/>
            <w:noProof/>
            <w:szCs w:val="24"/>
          </w:rPr>
          <w:fldChar w:fldCharType="separate"/>
        </w:r>
        <w:r w:rsidR="002025EA">
          <w:rPr>
            <w:rFonts w:cs="Times New Roman"/>
            <w:noProof/>
            <w:szCs w:val="24"/>
          </w:rPr>
          <w:t>Wilson, et al.</w:t>
        </w:r>
        <w:r w:rsidR="002025EA" w:rsidRPr="003A7E5D">
          <w:rPr>
            <w:rFonts w:cs="Times New Roman"/>
            <w:noProof/>
            <w:szCs w:val="24"/>
            <w:vertAlign w:val="superscript"/>
          </w:rPr>
          <w:t>39</w:t>
        </w:r>
        <w:r w:rsidR="002025EA">
          <w:rPr>
            <w:rFonts w:cs="Times New Roman"/>
            <w:noProof/>
            <w:szCs w:val="24"/>
          </w:rPr>
          <w:fldChar w:fldCharType="end"/>
        </w:r>
      </w:hyperlink>
      <w:r w:rsidR="004B7F10">
        <w:rPr>
          <w:rFonts w:cs="Times New Roman"/>
          <w:noProof/>
          <w:szCs w:val="24"/>
        </w:rPr>
        <w:t xml:space="preserve"> </w:t>
      </w:r>
      <w:r w:rsidR="007E1C87">
        <w:rPr>
          <w:rFonts w:cs="Times New Roman"/>
          <w:noProof/>
          <w:szCs w:val="24"/>
        </w:rPr>
        <w:t>found, using individual-level data,</w:t>
      </w:r>
      <w:r w:rsidR="004B7F10">
        <w:rPr>
          <w:rFonts w:cs="Times New Roman"/>
          <w:noProof/>
          <w:szCs w:val="24"/>
        </w:rPr>
        <w:t xml:space="preserve"> that while introduction of QOF incentives increased detection of cardiovascular risk </w:t>
      </w:r>
      <w:r w:rsidR="004B7F10">
        <w:rPr>
          <w:rFonts w:cs="Times New Roman"/>
          <w:noProof/>
          <w:szCs w:val="24"/>
        </w:rPr>
        <w:lastRenderedPageBreak/>
        <w:t xml:space="preserve">factors in patients with SMI, there was not necessarily any change in management. </w:t>
      </w:r>
      <w:r w:rsidR="004B7F10">
        <w:rPr>
          <w:rFonts w:cs="Times New Roman"/>
          <w:szCs w:val="24"/>
        </w:rPr>
        <w:t>This is consistent with our finding no evidence of improved health outcomes (or their proxies, unplanned hospital utilisation) associated with annual reviews of physical health.</w:t>
      </w:r>
      <w:r w:rsidR="00CA6A37">
        <w:rPr>
          <w:rFonts w:cs="Times New Roman"/>
          <w:szCs w:val="24"/>
        </w:rPr>
        <w:t xml:space="preserve"> </w:t>
      </w:r>
    </w:p>
    <w:p w14:paraId="15F322D9" w14:textId="77777777" w:rsidR="00EC22EE" w:rsidRPr="00976A9A" w:rsidRDefault="00EC22EE" w:rsidP="00AD398A">
      <w:pPr>
        <w:autoSpaceDE w:val="0"/>
        <w:autoSpaceDN w:val="0"/>
        <w:adjustRightInd w:val="0"/>
        <w:spacing w:after="0" w:line="480" w:lineRule="auto"/>
        <w:jc w:val="both"/>
        <w:rPr>
          <w:rFonts w:cs="Times New Roman"/>
          <w:szCs w:val="24"/>
        </w:rPr>
      </w:pPr>
    </w:p>
    <w:p w14:paraId="6ABBC786" w14:textId="13ABA7E6" w:rsidR="00B43EAE" w:rsidRPr="00CE2641" w:rsidRDefault="00B43EAE" w:rsidP="00BD3688">
      <w:pPr>
        <w:autoSpaceDE w:val="0"/>
        <w:autoSpaceDN w:val="0"/>
        <w:adjustRightInd w:val="0"/>
        <w:spacing w:after="0" w:line="480" w:lineRule="auto"/>
        <w:jc w:val="both"/>
        <w:rPr>
          <w:rFonts w:cs="Times New Roman"/>
          <w:i/>
          <w:szCs w:val="24"/>
        </w:rPr>
      </w:pPr>
      <w:r>
        <w:rPr>
          <w:rFonts w:cs="Times New Roman"/>
          <w:i/>
          <w:szCs w:val="24"/>
        </w:rPr>
        <w:t>Interpretation of results and implications for clinicians and policymakers</w:t>
      </w:r>
    </w:p>
    <w:p w14:paraId="2B8C9D66" w14:textId="17FCFC98" w:rsidR="00AA72FC" w:rsidRDefault="00BD6FC3" w:rsidP="00BD3688">
      <w:pPr>
        <w:autoSpaceDE w:val="0"/>
        <w:autoSpaceDN w:val="0"/>
        <w:adjustRightInd w:val="0"/>
        <w:spacing w:after="0" w:line="480" w:lineRule="auto"/>
        <w:jc w:val="both"/>
        <w:rPr>
          <w:rFonts w:cs="Times New Roman"/>
        </w:rPr>
      </w:pPr>
      <w:r w:rsidRPr="00976A9A">
        <w:rPr>
          <w:rFonts w:cs="Times New Roman"/>
          <w:szCs w:val="24"/>
        </w:rPr>
        <w:t xml:space="preserve">The </w:t>
      </w:r>
      <w:r w:rsidR="000A0141" w:rsidRPr="00976A9A">
        <w:rPr>
          <w:rFonts w:cs="Times New Roman"/>
          <w:szCs w:val="24"/>
        </w:rPr>
        <w:t>a</w:t>
      </w:r>
      <w:r w:rsidR="00AD398A">
        <w:rPr>
          <w:rFonts w:cs="Times New Roman"/>
        </w:rPr>
        <w:t>ssociation of care plans</w:t>
      </w:r>
      <w:r w:rsidR="000A0141" w:rsidRPr="00976A9A">
        <w:rPr>
          <w:rFonts w:cs="Times New Roman"/>
        </w:rPr>
        <w:t xml:space="preserve"> with reduced hazard of </w:t>
      </w:r>
      <w:r w:rsidR="00823071">
        <w:rPr>
          <w:rFonts w:cs="Times New Roman"/>
        </w:rPr>
        <w:t>A&amp;E presentations</w:t>
      </w:r>
      <w:r w:rsidR="003F306F">
        <w:rPr>
          <w:rFonts w:cs="Times New Roman"/>
        </w:rPr>
        <w:t xml:space="preserve"> and ACSC admissions</w:t>
      </w:r>
      <w:r w:rsidR="00823071">
        <w:rPr>
          <w:rFonts w:cs="Times New Roman"/>
        </w:rPr>
        <w:t xml:space="preserve"> </w:t>
      </w:r>
      <w:r w:rsidR="00EC22EE">
        <w:rPr>
          <w:rFonts w:cs="Times New Roman"/>
        </w:rPr>
        <w:t xml:space="preserve">might suggest </w:t>
      </w:r>
      <w:r w:rsidR="00285006">
        <w:rPr>
          <w:rFonts w:cs="Times New Roman"/>
        </w:rPr>
        <w:t xml:space="preserve">that care plans help patients avoid </w:t>
      </w:r>
      <w:r w:rsidR="003F306F">
        <w:rPr>
          <w:rFonts w:cs="Times New Roman"/>
        </w:rPr>
        <w:t>hospital</w:t>
      </w:r>
      <w:r w:rsidR="00AA72FC">
        <w:rPr>
          <w:rFonts w:cs="Times New Roman"/>
        </w:rPr>
        <w:t xml:space="preserve"> </w:t>
      </w:r>
      <w:r w:rsidR="00285006">
        <w:rPr>
          <w:rFonts w:cs="Times New Roman"/>
        </w:rPr>
        <w:t>for conditions that do not require hospital care</w:t>
      </w:r>
      <w:r w:rsidR="0077766A">
        <w:rPr>
          <w:rFonts w:cs="Times New Roman"/>
        </w:rPr>
        <w:t>.</w:t>
      </w:r>
      <w:r w:rsidR="00A10AA0">
        <w:rPr>
          <w:rFonts w:cs="Times New Roman"/>
        </w:rPr>
        <w:t xml:space="preserve"> </w:t>
      </w:r>
      <w:r w:rsidR="00285006">
        <w:rPr>
          <w:rFonts w:cs="Times New Roman"/>
        </w:rPr>
        <w:t>The</w:t>
      </w:r>
      <w:r w:rsidR="000828B8" w:rsidRPr="00976A9A">
        <w:rPr>
          <w:rFonts w:cs="Times New Roman"/>
        </w:rPr>
        <w:t xml:space="preserve"> documentation of patient</w:t>
      </w:r>
      <w:r w:rsidR="000828B8" w:rsidRPr="00976A9A">
        <w:rPr>
          <w:rFonts w:cs="Times New Roman"/>
          <w:color w:val="000000"/>
          <w:szCs w:val="24"/>
        </w:rPr>
        <w:t>s</w:t>
      </w:r>
      <w:r w:rsidR="000828B8" w:rsidRPr="00976A9A">
        <w:rPr>
          <w:rFonts w:cs="Times New Roman"/>
        </w:rPr>
        <w:t>’</w:t>
      </w:r>
      <w:r w:rsidR="000828B8" w:rsidRPr="00976A9A">
        <w:rPr>
          <w:rFonts w:cs="Times New Roman"/>
          <w:color w:val="000000"/>
          <w:szCs w:val="24"/>
        </w:rPr>
        <w:t xml:space="preserve"> current health status, </w:t>
      </w:r>
      <w:r w:rsidR="000828B8" w:rsidRPr="00976A9A">
        <w:rPr>
          <w:rFonts w:cs="Times New Roman"/>
          <w:szCs w:val="24"/>
        </w:rPr>
        <w:t>early warning signs, triggers,</w:t>
      </w:r>
      <w:r w:rsidR="000828B8" w:rsidRPr="00976A9A">
        <w:rPr>
          <w:rFonts w:cs="Times New Roman"/>
          <w:color w:val="000000"/>
          <w:szCs w:val="24"/>
        </w:rPr>
        <w:t xml:space="preserve"> social support needs</w:t>
      </w:r>
      <w:r w:rsidR="000828B8" w:rsidRPr="00976A9A">
        <w:rPr>
          <w:rFonts w:cs="Times New Roman"/>
        </w:rPr>
        <w:t>,</w:t>
      </w:r>
      <w:r w:rsidR="000828B8" w:rsidRPr="00976A9A">
        <w:rPr>
          <w:rFonts w:cs="Times New Roman"/>
          <w:color w:val="000000"/>
          <w:szCs w:val="24"/>
        </w:rPr>
        <w:t xml:space="preserve"> co-ordination arrangements with secondary care, </w:t>
      </w:r>
      <w:r w:rsidR="000828B8" w:rsidRPr="00976A9A">
        <w:rPr>
          <w:rFonts w:cs="Times New Roman"/>
        </w:rPr>
        <w:t xml:space="preserve">and </w:t>
      </w:r>
      <w:r w:rsidR="000828B8" w:rsidRPr="00976A9A">
        <w:rPr>
          <w:rFonts w:cs="Times New Roman"/>
          <w:szCs w:val="24"/>
        </w:rPr>
        <w:t>preferred course of action in the event of a clinical relapse could improve the management of the patient’s health overall and pr</w:t>
      </w:r>
      <w:r w:rsidR="000828B8">
        <w:rPr>
          <w:rFonts w:cs="Times New Roman"/>
          <w:szCs w:val="24"/>
        </w:rPr>
        <w:t xml:space="preserve">event deterioration, </w:t>
      </w:r>
      <w:r w:rsidR="002414C1">
        <w:rPr>
          <w:rFonts w:cs="Times New Roman"/>
        </w:rPr>
        <w:t xml:space="preserve">reducing the </w:t>
      </w:r>
      <w:r w:rsidR="000828B8">
        <w:rPr>
          <w:rFonts w:cs="Times New Roman"/>
        </w:rPr>
        <w:t xml:space="preserve">need for </w:t>
      </w:r>
      <w:r w:rsidR="0084710A">
        <w:rPr>
          <w:rFonts w:cs="Times New Roman"/>
        </w:rPr>
        <w:t>urgent</w:t>
      </w:r>
      <w:r w:rsidR="000828B8">
        <w:rPr>
          <w:rFonts w:cs="Times New Roman"/>
        </w:rPr>
        <w:t xml:space="preserve"> care</w:t>
      </w:r>
      <w:r w:rsidR="003033C7">
        <w:rPr>
          <w:rFonts w:cs="Times New Roman"/>
        </w:rPr>
        <w:t xml:space="preserve"> represented by ACSC admissions and A&amp;E presentations</w:t>
      </w:r>
      <w:r w:rsidR="000828B8">
        <w:rPr>
          <w:rFonts w:cs="Times New Roman"/>
        </w:rPr>
        <w:t>. It may also direct</w:t>
      </w:r>
      <w:r w:rsidR="00EC22EE">
        <w:rPr>
          <w:rFonts w:cs="Times New Roman"/>
        </w:rPr>
        <w:t xml:space="preserve"> patients into appropriate </w:t>
      </w:r>
      <w:r w:rsidR="0084710A">
        <w:rPr>
          <w:rFonts w:cs="Times New Roman"/>
        </w:rPr>
        <w:t>services</w:t>
      </w:r>
      <w:r w:rsidR="00EC22EE">
        <w:rPr>
          <w:rFonts w:cs="Times New Roman"/>
        </w:rPr>
        <w:t xml:space="preserve"> during periods of det</w:t>
      </w:r>
      <w:r w:rsidR="000828B8">
        <w:rPr>
          <w:rFonts w:cs="Times New Roman"/>
        </w:rPr>
        <w:t>erioration, and thereby avert</w:t>
      </w:r>
      <w:r w:rsidR="00EC22EE">
        <w:rPr>
          <w:rFonts w:cs="Times New Roman"/>
        </w:rPr>
        <w:t xml:space="preserve"> </w:t>
      </w:r>
      <w:r w:rsidR="003F306F">
        <w:rPr>
          <w:rFonts w:cs="Times New Roman"/>
        </w:rPr>
        <w:t>hospital use</w:t>
      </w:r>
      <w:r w:rsidR="00EA3662">
        <w:rPr>
          <w:rFonts w:cs="Times New Roman"/>
        </w:rPr>
        <w:t xml:space="preserve">. </w:t>
      </w:r>
    </w:p>
    <w:p w14:paraId="4C7F1F3B" w14:textId="77777777" w:rsidR="00AA72FC" w:rsidRDefault="00AA72FC" w:rsidP="00BD3688">
      <w:pPr>
        <w:autoSpaceDE w:val="0"/>
        <w:autoSpaceDN w:val="0"/>
        <w:adjustRightInd w:val="0"/>
        <w:spacing w:after="0" w:line="480" w:lineRule="auto"/>
        <w:jc w:val="both"/>
        <w:rPr>
          <w:rFonts w:cs="Times New Roman"/>
        </w:rPr>
      </w:pPr>
    </w:p>
    <w:p w14:paraId="43DDF7B8" w14:textId="0832D234" w:rsidR="000828B8" w:rsidRDefault="0023699D" w:rsidP="00BD3688">
      <w:pPr>
        <w:autoSpaceDE w:val="0"/>
        <w:autoSpaceDN w:val="0"/>
        <w:adjustRightInd w:val="0"/>
        <w:spacing w:after="0" w:line="480" w:lineRule="auto"/>
        <w:jc w:val="both"/>
        <w:rPr>
          <w:rFonts w:cs="Times New Roman"/>
        </w:rPr>
      </w:pPr>
      <w:r>
        <w:rPr>
          <w:rFonts w:cs="Times New Roman"/>
        </w:rPr>
        <w:t>Increasing demand for</w:t>
      </w:r>
      <w:r w:rsidR="004B6E9E">
        <w:rPr>
          <w:rFonts w:cs="Times New Roman"/>
        </w:rPr>
        <w:t xml:space="preserve"> </w:t>
      </w:r>
      <w:r>
        <w:rPr>
          <w:rFonts w:cs="Times New Roman"/>
        </w:rPr>
        <w:t xml:space="preserve">A&amp;E care, especially for problems that could be managed </w:t>
      </w:r>
      <w:r w:rsidR="0001596F">
        <w:rPr>
          <w:rFonts w:cs="Times New Roman"/>
        </w:rPr>
        <w:t>elsewhere</w:t>
      </w:r>
      <w:r>
        <w:rPr>
          <w:rFonts w:cs="Times New Roman"/>
        </w:rPr>
        <w:t>,</w:t>
      </w:r>
      <w:r w:rsidR="006F18BB">
        <w:rPr>
          <w:rFonts w:cs="Times New Roman"/>
        </w:rPr>
        <w:t xml:space="preserve"> </w:t>
      </w:r>
      <w:r w:rsidR="0001596F">
        <w:rPr>
          <w:rFonts w:cs="Times New Roman"/>
        </w:rPr>
        <w:t>is</w:t>
      </w:r>
      <w:r w:rsidR="006F18BB">
        <w:rPr>
          <w:rFonts w:cs="Times New Roman"/>
        </w:rPr>
        <w:t xml:space="preserve"> a policy focus </w:t>
      </w:r>
      <w:r w:rsidR="004B6E9E">
        <w:rPr>
          <w:rFonts w:cs="Times New Roman"/>
        </w:rPr>
        <w:t xml:space="preserve">in the </w:t>
      </w:r>
      <w:r w:rsidR="00741502">
        <w:rPr>
          <w:rFonts w:cs="Times New Roman"/>
        </w:rPr>
        <w:t xml:space="preserve">UK </w:t>
      </w:r>
      <w:r w:rsidR="004B6E9E">
        <w:rPr>
          <w:rFonts w:cs="Times New Roman"/>
        </w:rPr>
        <w:t>NHS</w:t>
      </w:r>
      <w:r>
        <w:rPr>
          <w:rFonts w:cs="Times New Roman"/>
        </w:rPr>
        <w:t xml:space="preserve"> and in other </w:t>
      </w:r>
      <w:r w:rsidR="00741502">
        <w:rPr>
          <w:rFonts w:cs="Times New Roman"/>
        </w:rPr>
        <w:t>health care systems</w:t>
      </w:r>
      <w:hyperlink w:anchor="_ENREF_40" w:tooltip="Berchet, 2015 #194" w:history="1">
        <w:r w:rsidR="002025EA">
          <w:rPr>
            <w:rFonts w:cs="Times New Roman"/>
          </w:rPr>
          <w:fldChar w:fldCharType="begin"/>
        </w:r>
        <w:r w:rsidR="002025EA">
          <w:rPr>
            <w:rFonts w:cs="Times New Roman"/>
          </w:rPr>
          <w:instrText xml:space="preserve"> ADDIN EN.CITE &lt;EndNote&gt;&lt;Cite&gt;&lt;Author&gt;Berchet&lt;/Author&gt;&lt;Year&gt;2015&lt;/Year&gt;&lt;RecNum&gt;194&lt;/RecNum&gt;&lt;DisplayText&gt;&lt;style face="superscript"&gt;40&lt;/style&gt;&lt;/DisplayText&gt;&lt;record&gt;&lt;rec-number&gt;194&lt;/rec-number&gt;&lt;foreign-keys&gt;&lt;key app="EN" db-id="0aaxrwtz35eps2efxtzpva5he0xztfsrzr02" timestamp="1518697631"&gt;194&lt;/key&gt;&lt;/foreign-keys&gt;&lt;ref-type name="Journal Article"&gt;17&lt;/ref-type&gt;&lt;contributors&gt;&lt;authors&gt;&lt;author&gt;Berchet, Caroline&lt;/author&gt;&lt;/authors&gt;&lt;/contributors&gt;&lt;titles&gt;&lt;title&gt;Emergency Care Services&lt;/title&gt;&lt;/titles&gt;&lt;dates&gt;&lt;year&gt;2015&lt;/year&gt;&lt;/dates&gt;&lt;isbn&gt;1815-2015&lt;/isbn&gt;&lt;urls&gt;&lt;/urls&gt;&lt;/record&gt;&lt;/Cite&gt;&lt;/EndNote&gt;</w:instrText>
        </w:r>
        <w:r w:rsidR="002025EA">
          <w:rPr>
            <w:rFonts w:cs="Times New Roman"/>
          </w:rPr>
          <w:fldChar w:fldCharType="separate"/>
        </w:r>
        <w:r w:rsidR="002025EA" w:rsidRPr="003A7E5D">
          <w:rPr>
            <w:rFonts w:cs="Times New Roman"/>
            <w:noProof/>
            <w:vertAlign w:val="superscript"/>
          </w:rPr>
          <w:t>40</w:t>
        </w:r>
        <w:r w:rsidR="002025EA">
          <w:rPr>
            <w:rFonts w:cs="Times New Roman"/>
          </w:rPr>
          <w:fldChar w:fldCharType="end"/>
        </w:r>
      </w:hyperlink>
      <w:r w:rsidR="004B6E9E">
        <w:rPr>
          <w:rFonts w:cs="Times New Roman"/>
        </w:rPr>
        <w:t>. Patients with SMI, in particular, can require high res</w:t>
      </w:r>
      <w:r w:rsidR="006F18BB">
        <w:rPr>
          <w:rFonts w:cs="Times New Roman"/>
        </w:rPr>
        <w:t>ource input when attending A&amp;E</w:t>
      </w:r>
      <w:r w:rsidR="0098474D">
        <w:rPr>
          <w:rFonts w:cs="Times New Roman"/>
        </w:rPr>
        <w:fldChar w:fldCharType="begin">
          <w:fldData xml:space="preserve">PEVuZE5vdGU+PENpdGU+PEF1dGhvcj5Ccm9hZGJlbnQ8L0F1dGhvcj48WWVhcj4yMDA0PC9ZZWFy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</w:fldData>
        </w:fldChar>
      </w:r>
      <w:r w:rsidR="003A7E5D">
        <w:rPr>
          <w:rFonts w:cs="Times New Roman"/>
        </w:rPr>
        <w:instrText xml:space="preserve"> ADDIN EN.CITE </w:instrText>
      </w:r>
      <w:r w:rsidR="003A7E5D">
        <w:rPr>
          <w:rFonts w:cs="Times New Roman"/>
        </w:rPr>
        <w:fldChar w:fldCharType="begin">
          <w:fldData xml:space="preserve">PEVuZE5vdGU+PENpdGU+PEF1dGhvcj5Ccm9hZGJlbnQ8L0F1dGhvcj48WWVhcj4yMDA0PC9ZZWFy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</w:fldData>
        </w:fldChar>
      </w:r>
      <w:r w:rsidR="003A7E5D">
        <w:rPr>
          <w:rFonts w:cs="Times New Roman"/>
        </w:rPr>
        <w:instrText xml:space="preserve"> ADDIN EN.CITE.DATA </w:instrText>
      </w:r>
      <w:r w:rsidR="003A7E5D">
        <w:rPr>
          <w:rFonts w:cs="Times New Roman"/>
        </w:rPr>
      </w:r>
      <w:r w:rsidR="003A7E5D">
        <w:rPr>
          <w:rFonts w:cs="Times New Roman"/>
        </w:rPr>
        <w:fldChar w:fldCharType="end"/>
      </w:r>
      <w:r w:rsidR="0098474D">
        <w:rPr>
          <w:rFonts w:cs="Times New Roman"/>
        </w:rPr>
      </w:r>
      <w:r w:rsidR="0098474D">
        <w:rPr>
          <w:rFonts w:cs="Times New Roman"/>
        </w:rPr>
        <w:fldChar w:fldCharType="separate"/>
      </w:r>
      <w:hyperlink w:anchor="_ENREF_41" w:tooltip="Broadbent, 2004 #195" w:history="1">
        <w:r w:rsidR="002025EA" w:rsidRPr="003A7E5D">
          <w:rPr>
            <w:rFonts w:cs="Times New Roman"/>
            <w:noProof/>
            <w:vertAlign w:val="superscript"/>
          </w:rPr>
          <w:t>41</w:t>
        </w:r>
      </w:hyperlink>
      <w:r w:rsidR="003A7E5D" w:rsidRPr="003A7E5D">
        <w:rPr>
          <w:rFonts w:cs="Times New Roman"/>
          <w:noProof/>
          <w:vertAlign w:val="superscript"/>
        </w:rPr>
        <w:t xml:space="preserve"> </w:t>
      </w:r>
      <w:hyperlink w:anchor="_ENREF_42" w:tooltip="Eric P. Slade , 2010 #196" w:history="1">
        <w:r w:rsidR="002025EA" w:rsidRPr="003A7E5D">
          <w:rPr>
            <w:rFonts w:cs="Times New Roman"/>
            <w:noProof/>
            <w:vertAlign w:val="superscript"/>
          </w:rPr>
          <w:t>42</w:t>
        </w:r>
      </w:hyperlink>
      <w:r w:rsidR="0098474D">
        <w:rPr>
          <w:rFonts w:cs="Times New Roman"/>
        </w:rPr>
        <w:fldChar w:fldCharType="end"/>
      </w:r>
      <w:r w:rsidR="004B6E9E">
        <w:rPr>
          <w:rFonts w:cs="Times New Roman"/>
        </w:rPr>
        <w:t>. The potential for care planning by GPs to reduce A&amp;E attendances in this patient population could theref</w:t>
      </w:r>
      <w:r w:rsidR="000828B8">
        <w:rPr>
          <w:rFonts w:cs="Times New Roman"/>
        </w:rPr>
        <w:t>ore be an important finding for policymakers</w:t>
      </w:r>
      <w:r w:rsidR="004804E6">
        <w:rPr>
          <w:rFonts w:cs="Times New Roman"/>
        </w:rPr>
        <w:t xml:space="preserve">, suggesting that </w:t>
      </w:r>
      <w:r w:rsidR="00A27191">
        <w:rPr>
          <w:rFonts w:cs="Times New Roman"/>
        </w:rPr>
        <w:t>continued incentivisation of this activity</w:t>
      </w:r>
      <w:r w:rsidR="004804E6">
        <w:rPr>
          <w:rFonts w:cs="Times New Roman"/>
        </w:rPr>
        <w:t xml:space="preserve"> in primary care </w:t>
      </w:r>
      <w:r w:rsidR="0094252C">
        <w:rPr>
          <w:rFonts w:cs="Times New Roman"/>
        </w:rPr>
        <w:t>may</w:t>
      </w:r>
      <w:r w:rsidR="004804E6">
        <w:rPr>
          <w:rFonts w:cs="Times New Roman"/>
        </w:rPr>
        <w:t xml:space="preserve"> </w:t>
      </w:r>
      <w:r w:rsidR="00A27191">
        <w:rPr>
          <w:rFonts w:cs="Times New Roman"/>
        </w:rPr>
        <w:t xml:space="preserve">help </w:t>
      </w:r>
      <w:r w:rsidR="004804E6">
        <w:rPr>
          <w:rFonts w:cs="Times New Roman"/>
        </w:rPr>
        <w:t>reduce demand on secondary care services</w:t>
      </w:r>
      <w:r w:rsidR="000828B8">
        <w:rPr>
          <w:rFonts w:cs="Times New Roman"/>
        </w:rPr>
        <w:t xml:space="preserve">. </w:t>
      </w:r>
    </w:p>
    <w:p w14:paraId="35752D27" w14:textId="77777777" w:rsidR="000828B8" w:rsidRDefault="000828B8" w:rsidP="00BD3688">
      <w:pPr>
        <w:autoSpaceDE w:val="0"/>
        <w:autoSpaceDN w:val="0"/>
        <w:adjustRightInd w:val="0"/>
        <w:spacing w:after="0" w:line="480" w:lineRule="auto"/>
        <w:jc w:val="both"/>
        <w:rPr>
          <w:rFonts w:cs="Times New Roman"/>
        </w:rPr>
      </w:pPr>
    </w:p>
    <w:p w14:paraId="01344740" w14:textId="44A2CC93" w:rsidR="004804E6" w:rsidRPr="00087894" w:rsidRDefault="000828B8" w:rsidP="00BD3688">
      <w:pPr>
        <w:autoSpaceDE w:val="0"/>
        <w:autoSpaceDN w:val="0"/>
        <w:adjustRightInd w:val="0"/>
        <w:spacing w:after="0" w:line="480" w:lineRule="auto"/>
        <w:jc w:val="both"/>
        <w:rPr>
          <w:rFonts w:cs="Times New Roman"/>
        </w:rPr>
      </w:pPr>
      <w:r>
        <w:rPr>
          <w:rFonts w:cs="Times New Roman"/>
        </w:rPr>
        <w:lastRenderedPageBreak/>
        <w:t>The association</w:t>
      </w:r>
      <w:r w:rsidR="002E5C1E">
        <w:rPr>
          <w:rFonts w:cs="Times New Roman"/>
        </w:rPr>
        <w:t>s</w:t>
      </w:r>
      <w:r>
        <w:rPr>
          <w:rFonts w:cs="Times New Roman"/>
        </w:rPr>
        <w:t xml:space="preserve"> </w:t>
      </w:r>
      <w:r w:rsidR="00285006">
        <w:rPr>
          <w:rFonts w:cs="Times New Roman"/>
        </w:rPr>
        <w:t>of</w:t>
      </w:r>
      <w:r>
        <w:rPr>
          <w:rFonts w:cs="Times New Roman"/>
        </w:rPr>
        <w:t xml:space="preserve"> </w:t>
      </w:r>
      <w:r w:rsidR="009B4C0A">
        <w:rPr>
          <w:rFonts w:cs="Times New Roman"/>
        </w:rPr>
        <w:t xml:space="preserve">both ‘current’ and </w:t>
      </w:r>
      <w:r>
        <w:rPr>
          <w:rFonts w:cs="Times New Roman"/>
        </w:rPr>
        <w:t>‘expired’</w:t>
      </w:r>
      <w:r w:rsidR="00285006">
        <w:rPr>
          <w:rFonts w:cs="Times New Roman"/>
        </w:rPr>
        <w:t xml:space="preserve"> care plans with </w:t>
      </w:r>
      <w:r>
        <w:rPr>
          <w:rFonts w:cs="Times New Roman"/>
          <w:szCs w:val="24"/>
        </w:rPr>
        <w:t xml:space="preserve">lower hazard of A&amp;E attendance </w:t>
      </w:r>
      <w:r w:rsidR="001668D6">
        <w:rPr>
          <w:rFonts w:cs="Times New Roman"/>
          <w:szCs w:val="24"/>
        </w:rPr>
        <w:t xml:space="preserve">suggest that </w:t>
      </w:r>
      <w:r w:rsidR="00B052C5" w:rsidRPr="00976A9A">
        <w:rPr>
          <w:rFonts w:cs="Times New Roman"/>
          <w:szCs w:val="24"/>
        </w:rPr>
        <w:t>a</w:t>
      </w:r>
      <w:r w:rsidR="000A0141" w:rsidRPr="00976A9A">
        <w:rPr>
          <w:rFonts w:cs="Times New Roman"/>
          <w:szCs w:val="24"/>
        </w:rPr>
        <w:t>n older</w:t>
      </w:r>
      <w:r w:rsidR="00AD398A">
        <w:rPr>
          <w:rFonts w:cs="Times New Roman"/>
          <w:szCs w:val="24"/>
        </w:rPr>
        <w:t xml:space="preserve"> care plan</w:t>
      </w:r>
      <w:r w:rsidR="00B052C5" w:rsidRPr="00976A9A">
        <w:rPr>
          <w:rFonts w:cs="Times New Roman"/>
          <w:szCs w:val="24"/>
        </w:rPr>
        <w:t xml:space="preserve"> </w:t>
      </w:r>
      <w:r w:rsidR="009B4C0A">
        <w:rPr>
          <w:rFonts w:cs="Times New Roman"/>
          <w:szCs w:val="24"/>
        </w:rPr>
        <w:t>can still be beneficial</w:t>
      </w:r>
      <w:r w:rsidR="00B052C5" w:rsidRPr="00976A9A">
        <w:rPr>
          <w:rFonts w:cs="Times New Roman"/>
          <w:szCs w:val="24"/>
        </w:rPr>
        <w:t xml:space="preserve">. </w:t>
      </w:r>
      <w:r w:rsidR="002E5C1E">
        <w:rPr>
          <w:rFonts w:cs="Times New Roman"/>
          <w:szCs w:val="24"/>
        </w:rPr>
        <w:t xml:space="preserve">However, </w:t>
      </w:r>
      <w:r>
        <w:rPr>
          <w:rFonts w:cs="Times New Roman"/>
          <w:szCs w:val="24"/>
        </w:rPr>
        <w:t xml:space="preserve">the finding that when care plans are considered effective for 15 months rather than 12 months, only ‘current’ care plans </w:t>
      </w:r>
      <w:r w:rsidR="002E5C1E">
        <w:rPr>
          <w:rFonts w:cs="Times New Roman"/>
          <w:szCs w:val="24"/>
        </w:rPr>
        <w:t xml:space="preserve">are associated with reduced A&amp;E attendance suggests that there are limits to </w:t>
      </w:r>
      <w:r w:rsidR="0013233E">
        <w:rPr>
          <w:rFonts w:cs="Times New Roman"/>
          <w:szCs w:val="24"/>
        </w:rPr>
        <w:t>the duration of impact</w:t>
      </w:r>
      <w:r>
        <w:rPr>
          <w:rFonts w:cs="Times New Roman"/>
          <w:szCs w:val="24"/>
        </w:rPr>
        <w:t>.</w:t>
      </w:r>
      <w:r w:rsidR="00D409DA" w:rsidRPr="00D409DA">
        <w:rPr>
          <w:rFonts w:cs="Times New Roman"/>
          <w:szCs w:val="24"/>
          <w:lang w:val="en-AU"/>
        </w:rPr>
        <w:t> </w:t>
      </w:r>
      <w:r w:rsidR="00980BB0" w:rsidRPr="00980BB0">
        <w:rPr>
          <w:rFonts w:cs="Times New Roman"/>
          <w:lang w:val="en-AU"/>
        </w:rPr>
        <w:t xml:space="preserve">The lack of association between annual reviews of physical health and unplanned hospital care may </w:t>
      </w:r>
      <w:r w:rsidR="00E96899">
        <w:rPr>
          <w:rFonts w:cs="Times New Roman"/>
          <w:lang w:val="en-AU"/>
        </w:rPr>
        <w:t xml:space="preserve">suggest that </w:t>
      </w:r>
      <w:r w:rsidR="00980BB0" w:rsidRPr="00980BB0">
        <w:rPr>
          <w:rFonts w:cs="Times New Roman"/>
          <w:lang w:val="en-AU"/>
        </w:rPr>
        <w:t>effectiveness of a GP in managing a patient’s health, and preventing the need for A&amp;E or hospital care, may be unaffected by whether or not annual reviews or health checks are recorded. </w:t>
      </w:r>
    </w:p>
    <w:p w14:paraId="2578A7E2" w14:textId="77777777" w:rsidR="00D409DA" w:rsidRDefault="00D409DA" w:rsidP="00BD3688">
      <w:pPr>
        <w:autoSpaceDE w:val="0"/>
        <w:autoSpaceDN w:val="0"/>
        <w:adjustRightInd w:val="0"/>
        <w:spacing w:after="0" w:line="480" w:lineRule="auto"/>
        <w:jc w:val="both"/>
        <w:rPr>
          <w:rFonts w:cs="Times New Roman"/>
          <w:szCs w:val="24"/>
        </w:rPr>
      </w:pPr>
    </w:p>
    <w:p w14:paraId="4D9E1DF8" w14:textId="77777777" w:rsidR="00AD398A" w:rsidRPr="00AD398A" w:rsidRDefault="00AD398A" w:rsidP="00BD3688">
      <w:pPr>
        <w:autoSpaceDE w:val="0"/>
        <w:autoSpaceDN w:val="0"/>
        <w:adjustRightInd w:val="0"/>
        <w:spacing w:after="0" w:line="480" w:lineRule="auto"/>
        <w:jc w:val="both"/>
        <w:rPr>
          <w:rFonts w:cs="Times New Roman"/>
          <w:i/>
        </w:rPr>
      </w:pPr>
      <w:r>
        <w:rPr>
          <w:rFonts w:cs="Times New Roman"/>
          <w:i/>
          <w:szCs w:val="24"/>
        </w:rPr>
        <w:t xml:space="preserve">Unanswered questions and future research </w:t>
      </w:r>
    </w:p>
    <w:p w14:paraId="5E93B569" w14:textId="3A407028" w:rsidR="00C05495" w:rsidRPr="000A493B" w:rsidRDefault="00D163AE" w:rsidP="00BD3688">
      <w:pPr>
        <w:autoSpaceDE w:val="0"/>
        <w:autoSpaceDN w:val="0"/>
        <w:adjustRightInd w:val="0"/>
        <w:spacing w:after="0" w:line="480" w:lineRule="auto"/>
        <w:jc w:val="both"/>
        <w:rPr>
          <w:rFonts w:cs="Times New Roman"/>
          <w:szCs w:val="24"/>
        </w:rPr>
      </w:pPr>
      <w:r>
        <w:rPr>
          <w:rFonts w:cs="Times New Roman"/>
          <w:szCs w:val="24"/>
        </w:rPr>
        <w:t xml:space="preserve">This study did not </w:t>
      </w:r>
      <w:r w:rsidR="006F2CA0">
        <w:rPr>
          <w:rFonts w:cs="Times New Roman"/>
          <w:szCs w:val="24"/>
        </w:rPr>
        <w:t>account for</w:t>
      </w:r>
      <w:r w:rsidRPr="00976A9A">
        <w:rPr>
          <w:rFonts w:cs="Times New Roman"/>
          <w:szCs w:val="24"/>
        </w:rPr>
        <w:t xml:space="preserve"> care provided by patients’ key workers or a crisis resolution and home treatment team, which may provide an alternative to </w:t>
      </w:r>
      <w:r w:rsidR="006F2CA0">
        <w:rPr>
          <w:rFonts w:cs="Times New Roman"/>
          <w:szCs w:val="24"/>
        </w:rPr>
        <w:t xml:space="preserve">both </w:t>
      </w:r>
      <w:r w:rsidRPr="00976A9A">
        <w:rPr>
          <w:rFonts w:cs="Times New Roman"/>
          <w:szCs w:val="24"/>
        </w:rPr>
        <w:t xml:space="preserve">hospital admission and primary care. </w:t>
      </w:r>
      <w:r>
        <w:rPr>
          <w:rFonts w:cs="Times New Roman"/>
          <w:szCs w:val="24"/>
        </w:rPr>
        <w:t>The</w:t>
      </w:r>
      <w:r w:rsidRPr="00976A9A">
        <w:rPr>
          <w:rFonts w:cs="Times New Roman"/>
          <w:szCs w:val="24"/>
        </w:rPr>
        <w:t xml:space="preserve"> modelling approach </w:t>
      </w:r>
      <w:r>
        <w:rPr>
          <w:rFonts w:cs="Times New Roman"/>
          <w:szCs w:val="24"/>
        </w:rPr>
        <w:t xml:space="preserve">does </w:t>
      </w:r>
      <w:r w:rsidR="006F2CA0">
        <w:rPr>
          <w:rFonts w:cs="Times New Roman"/>
          <w:szCs w:val="24"/>
        </w:rPr>
        <w:t>adjust for</w:t>
      </w:r>
      <w:r w:rsidR="006F2CA0" w:rsidRPr="00976A9A">
        <w:rPr>
          <w:rFonts w:cs="Times New Roman"/>
          <w:szCs w:val="24"/>
        </w:rPr>
        <w:t xml:space="preserve"> </w:t>
      </w:r>
      <w:r w:rsidRPr="00976A9A">
        <w:rPr>
          <w:rFonts w:cs="Times New Roman"/>
          <w:szCs w:val="24"/>
        </w:rPr>
        <w:t xml:space="preserve">differences across practices, which may help control for some of these </w:t>
      </w:r>
      <w:r w:rsidR="006F2CA0">
        <w:rPr>
          <w:rFonts w:cs="Times New Roman"/>
          <w:szCs w:val="24"/>
        </w:rPr>
        <w:t xml:space="preserve">local </w:t>
      </w:r>
      <w:r w:rsidRPr="00976A9A">
        <w:rPr>
          <w:rFonts w:cs="Times New Roman"/>
          <w:szCs w:val="24"/>
        </w:rPr>
        <w:t xml:space="preserve">effects. </w:t>
      </w:r>
      <w:r w:rsidR="006F2CA0">
        <w:rPr>
          <w:rFonts w:cs="Times New Roman"/>
          <w:szCs w:val="24"/>
        </w:rPr>
        <w:t>To address this more adequately,</w:t>
      </w:r>
      <w:r w:rsidRPr="00976A9A">
        <w:rPr>
          <w:rFonts w:cs="Times New Roman"/>
          <w:szCs w:val="24"/>
        </w:rPr>
        <w:t xml:space="preserve"> the Mental Health Services Dataset</w:t>
      </w:r>
      <w:r w:rsidR="00BA516C">
        <w:rPr>
          <w:rFonts w:cs="Times New Roman"/>
          <w:szCs w:val="24"/>
        </w:rPr>
        <w:t xml:space="preserve">, which </w:t>
      </w:r>
      <w:r w:rsidR="00706753">
        <w:rPr>
          <w:rFonts w:cs="Times New Roman"/>
          <w:szCs w:val="24"/>
        </w:rPr>
        <w:t>can now be</w:t>
      </w:r>
      <w:r w:rsidR="00BA516C">
        <w:rPr>
          <w:rFonts w:cs="Times New Roman"/>
          <w:szCs w:val="24"/>
        </w:rPr>
        <w:t xml:space="preserve"> linked </w:t>
      </w:r>
      <w:r w:rsidRPr="00976A9A">
        <w:rPr>
          <w:rFonts w:cs="Times New Roman"/>
          <w:szCs w:val="24"/>
        </w:rPr>
        <w:t>to CPRD primary care data</w:t>
      </w:r>
      <w:r w:rsidR="00BA516C">
        <w:rPr>
          <w:rFonts w:cs="Times New Roman"/>
          <w:szCs w:val="24"/>
        </w:rPr>
        <w:t>, could be used to</w:t>
      </w:r>
      <w:r w:rsidR="00E03400">
        <w:rPr>
          <w:rFonts w:cs="Times New Roman"/>
          <w:szCs w:val="24"/>
        </w:rPr>
        <w:t xml:space="preserve"> </w:t>
      </w:r>
      <w:r w:rsidRPr="00976A9A">
        <w:rPr>
          <w:rFonts w:cs="Times New Roman"/>
          <w:szCs w:val="24"/>
        </w:rPr>
        <w:t>cover mental health care delivered in the community.</w:t>
      </w:r>
    </w:p>
    <w:p w14:paraId="63A358EE" w14:textId="77777777" w:rsidR="00AB04BE" w:rsidRPr="00976A9A" w:rsidRDefault="00AB04BE" w:rsidP="008E34EB">
      <w:pPr>
        <w:autoSpaceDE w:val="0"/>
        <w:autoSpaceDN w:val="0"/>
        <w:adjustRightInd w:val="0"/>
        <w:spacing w:after="0" w:line="480" w:lineRule="auto"/>
        <w:jc w:val="both"/>
        <w:rPr>
          <w:rFonts w:cs="Times New Roman"/>
          <w:szCs w:val="24"/>
        </w:rPr>
      </w:pPr>
    </w:p>
    <w:p w14:paraId="0C978FDC" w14:textId="77777777" w:rsidR="00CF660C" w:rsidRPr="00976A9A" w:rsidRDefault="00CF660C" w:rsidP="008E34EB">
      <w:pPr>
        <w:autoSpaceDE w:val="0"/>
        <w:autoSpaceDN w:val="0"/>
        <w:adjustRightInd w:val="0"/>
        <w:spacing w:after="0" w:line="480" w:lineRule="auto"/>
        <w:jc w:val="both"/>
        <w:rPr>
          <w:rFonts w:cs="Times New Roman"/>
          <w:i/>
          <w:szCs w:val="24"/>
        </w:rPr>
      </w:pPr>
      <w:r w:rsidRPr="00976A9A">
        <w:rPr>
          <w:rFonts w:cs="Times New Roman"/>
          <w:i/>
          <w:szCs w:val="24"/>
        </w:rPr>
        <w:t>Conclusion</w:t>
      </w:r>
    </w:p>
    <w:p w14:paraId="2D76A5E4" w14:textId="03BDB859" w:rsidR="001956E0" w:rsidRPr="00976A9A" w:rsidRDefault="00CF660C" w:rsidP="008E34EB">
      <w:pPr>
        <w:autoSpaceDE w:val="0"/>
        <w:autoSpaceDN w:val="0"/>
        <w:adjustRightInd w:val="0"/>
        <w:spacing w:after="0" w:line="480" w:lineRule="auto"/>
        <w:jc w:val="both"/>
        <w:rPr>
          <w:rFonts w:cs="Times New Roman"/>
          <w:szCs w:val="24"/>
        </w:rPr>
      </w:pPr>
      <w:r w:rsidRPr="00976A9A">
        <w:rPr>
          <w:rFonts w:cs="Times New Roman"/>
          <w:szCs w:val="24"/>
        </w:rPr>
        <w:t>P</w:t>
      </w:r>
      <w:r w:rsidR="000A493B">
        <w:rPr>
          <w:rFonts w:cs="Times New Roman"/>
          <w:szCs w:val="24"/>
        </w:rPr>
        <w:t>rovider i</w:t>
      </w:r>
      <w:r w:rsidRPr="00976A9A">
        <w:rPr>
          <w:rFonts w:cs="Times New Roman"/>
          <w:szCs w:val="24"/>
        </w:rPr>
        <w:t xml:space="preserve">ncentive schemes </w:t>
      </w:r>
      <w:r w:rsidR="000A34AE" w:rsidRPr="00976A9A">
        <w:rPr>
          <w:rFonts w:cs="Times New Roman"/>
          <w:szCs w:val="24"/>
        </w:rPr>
        <w:t xml:space="preserve">are </w:t>
      </w:r>
      <w:r w:rsidR="000C15D4" w:rsidRPr="00976A9A">
        <w:rPr>
          <w:rFonts w:cs="Times New Roman"/>
          <w:szCs w:val="24"/>
        </w:rPr>
        <w:t>increasingly popular</w:t>
      </w:r>
      <w:r w:rsidRPr="00976A9A">
        <w:rPr>
          <w:rFonts w:cs="Times New Roman"/>
          <w:szCs w:val="24"/>
        </w:rPr>
        <w:t xml:space="preserve"> lever</w:t>
      </w:r>
      <w:r w:rsidR="000C15D4" w:rsidRPr="00976A9A">
        <w:rPr>
          <w:rFonts w:cs="Times New Roman"/>
          <w:szCs w:val="24"/>
        </w:rPr>
        <w:t>s</w:t>
      </w:r>
      <w:r w:rsidRPr="00976A9A">
        <w:rPr>
          <w:rFonts w:cs="Times New Roman"/>
          <w:szCs w:val="24"/>
        </w:rPr>
        <w:t xml:space="preserve"> for improving value </w:t>
      </w:r>
      <w:r w:rsidR="00D96574" w:rsidRPr="00976A9A">
        <w:rPr>
          <w:rFonts w:cs="Times New Roman"/>
          <w:szCs w:val="24"/>
        </w:rPr>
        <w:t xml:space="preserve">and quality </w:t>
      </w:r>
      <w:r w:rsidRPr="00976A9A">
        <w:rPr>
          <w:rFonts w:cs="Times New Roman"/>
          <w:szCs w:val="24"/>
        </w:rPr>
        <w:t xml:space="preserve">in healthcare worldwide, but </w:t>
      </w:r>
      <w:r w:rsidR="000A34AE" w:rsidRPr="00976A9A">
        <w:rPr>
          <w:rFonts w:cs="Times New Roman"/>
          <w:szCs w:val="24"/>
        </w:rPr>
        <w:t xml:space="preserve">evidence is needed on </w:t>
      </w:r>
      <w:r w:rsidR="006F2CA0">
        <w:rPr>
          <w:rFonts w:cs="Times New Roman"/>
          <w:szCs w:val="24"/>
        </w:rPr>
        <w:t xml:space="preserve">the effectiveness of </w:t>
      </w:r>
      <w:r w:rsidR="00C17781">
        <w:rPr>
          <w:rFonts w:cs="Times New Roman"/>
          <w:szCs w:val="24"/>
        </w:rPr>
        <w:t>incentivised</w:t>
      </w:r>
      <w:r w:rsidR="000A34AE" w:rsidRPr="00976A9A">
        <w:rPr>
          <w:rFonts w:cs="Times New Roman"/>
          <w:szCs w:val="24"/>
        </w:rPr>
        <w:t xml:space="preserve"> activities</w:t>
      </w:r>
      <w:r w:rsidRPr="00976A9A">
        <w:rPr>
          <w:rFonts w:cs="Times New Roman"/>
          <w:szCs w:val="24"/>
        </w:rPr>
        <w:t>.</w:t>
      </w:r>
      <w:r w:rsidR="000A34AE" w:rsidRPr="00976A9A">
        <w:rPr>
          <w:rFonts w:cs="Times New Roman"/>
          <w:szCs w:val="24"/>
        </w:rPr>
        <w:t xml:space="preserve"> </w:t>
      </w:r>
      <w:r w:rsidR="00C17781">
        <w:rPr>
          <w:rFonts w:cs="Times New Roman"/>
          <w:szCs w:val="24"/>
        </w:rPr>
        <w:t>D</w:t>
      </w:r>
      <w:r w:rsidRPr="00976A9A">
        <w:rPr>
          <w:rFonts w:cs="Times New Roman"/>
          <w:szCs w:val="24"/>
        </w:rPr>
        <w:t>espite the</w:t>
      </w:r>
      <w:r w:rsidR="009A08CC" w:rsidRPr="00976A9A">
        <w:rPr>
          <w:rFonts w:cs="Times New Roman"/>
          <w:szCs w:val="24"/>
        </w:rPr>
        <w:t xml:space="preserve"> vulnerability of </w:t>
      </w:r>
      <w:r w:rsidR="00C17781">
        <w:rPr>
          <w:rFonts w:cs="Times New Roman"/>
          <w:szCs w:val="24"/>
        </w:rPr>
        <w:t>people with SMI</w:t>
      </w:r>
      <w:r w:rsidR="009A08CC" w:rsidRPr="00976A9A">
        <w:rPr>
          <w:rFonts w:cs="Times New Roman"/>
          <w:szCs w:val="24"/>
        </w:rPr>
        <w:t xml:space="preserve"> to poor health outcomes</w:t>
      </w:r>
      <w:r w:rsidR="00C17781">
        <w:rPr>
          <w:rFonts w:cs="Times New Roman"/>
          <w:szCs w:val="24"/>
        </w:rPr>
        <w:t>, relatively few studies have examined the impact of care quality indicators</w:t>
      </w:r>
      <w:r w:rsidR="00706753">
        <w:rPr>
          <w:rFonts w:cs="Times New Roman"/>
          <w:szCs w:val="24"/>
        </w:rPr>
        <w:t xml:space="preserve"> in this population</w:t>
      </w:r>
      <w:r w:rsidR="009A08CC" w:rsidRPr="00976A9A">
        <w:rPr>
          <w:rFonts w:cs="Times New Roman"/>
          <w:szCs w:val="24"/>
        </w:rPr>
        <w:t xml:space="preserve">. </w:t>
      </w:r>
      <w:r w:rsidR="000A34AE" w:rsidRPr="00976A9A">
        <w:rPr>
          <w:rFonts w:cs="Times New Roman"/>
          <w:szCs w:val="24"/>
        </w:rPr>
        <w:t xml:space="preserve">This study </w:t>
      </w:r>
      <w:r w:rsidR="00C17781">
        <w:rPr>
          <w:rFonts w:cs="Times New Roman"/>
          <w:szCs w:val="24"/>
        </w:rPr>
        <w:t>addresses that</w:t>
      </w:r>
      <w:r w:rsidR="000A34AE" w:rsidRPr="00976A9A">
        <w:rPr>
          <w:rFonts w:cs="Times New Roman"/>
          <w:szCs w:val="24"/>
        </w:rPr>
        <w:t xml:space="preserve"> evidence </w:t>
      </w:r>
      <w:r w:rsidR="00C17781">
        <w:rPr>
          <w:rFonts w:cs="Times New Roman"/>
          <w:szCs w:val="24"/>
        </w:rPr>
        <w:t>gap</w:t>
      </w:r>
      <w:r w:rsidR="000A34AE" w:rsidRPr="00976A9A">
        <w:rPr>
          <w:rFonts w:cs="Times New Roman"/>
          <w:szCs w:val="24"/>
        </w:rPr>
        <w:t>, and</w:t>
      </w:r>
      <w:r w:rsidR="009A08CC" w:rsidRPr="00976A9A">
        <w:rPr>
          <w:rFonts w:cs="Times New Roman"/>
          <w:szCs w:val="24"/>
        </w:rPr>
        <w:t xml:space="preserve"> advance</w:t>
      </w:r>
      <w:r w:rsidR="000A34AE" w:rsidRPr="00976A9A">
        <w:rPr>
          <w:rFonts w:cs="Times New Roman"/>
          <w:szCs w:val="24"/>
        </w:rPr>
        <w:t>s</w:t>
      </w:r>
      <w:r w:rsidR="009A08CC" w:rsidRPr="00976A9A">
        <w:rPr>
          <w:rFonts w:cs="Times New Roman"/>
          <w:szCs w:val="24"/>
        </w:rPr>
        <w:t xml:space="preserve"> our understanding of how </w:t>
      </w:r>
      <w:r w:rsidR="000A493B">
        <w:rPr>
          <w:rFonts w:cs="Times New Roman"/>
          <w:szCs w:val="24"/>
        </w:rPr>
        <w:t xml:space="preserve">primary </w:t>
      </w:r>
      <w:r w:rsidR="000A493B">
        <w:t xml:space="preserve">care can influence utilisation of hospital care in </w:t>
      </w:r>
      <w:r w:rsidR="009A08CC" w:rsidRPr="00976A9A">
        <w:rPr>
          <w:rFonts w:cs="Times New Roman"/>
          <w:szCs w:val="24"/>
        </w:rPr>
        <w:t xml:space="preserve">this </w:t>
      </w:r>
      <w:r w:rsidR="009A08CC" w:rsidRPr="00976A9A">
        <w:rPr>
          <w:rFonts w:cs="Times New Roman"/>
          <w:szCs w:val="24"/>
        </w:rPr>
        <w:lastRenderedPageBreak/>
        <w:t xml:space="preserve">patient population. </w:t>
      </w:r>
      <w:r w:rsidR="00AA17E7" w:rsidRPr="00976A9A">
        <w:rPr>
          <w:rFonts w:cs="Times New Roman"/>
          <w:szCs w:val="24"/>
        </w:rPr>
        <w:t>We</w:t>
      </w:r>
      <w:r w:rsidR="00F216E5" w:rsidRPr="00976A9A">
        <w:rPr>
          <w:rFonts w:cs="Times New Roman"/>
          <w:szCs w:val="24"/>
        </w:rPr>
        <w:t xml:space="preserve"> find that </w:t>
      </w:r>
      <w:r w:rsidR="000A493B">
        <w:rPr>
          <w:rFonts w:cs="Times New Roman"/>
          <w:szCs w:val="24"/>
        </w:rPr>
        <w:t>care plans</w:t>
      </w:r>
      <w:r w:rsidR="00053C3C">
        <w:rPr>
          <w:rFonts w:cs="Times New Roman"/>
          <w:szCs w:val="24"/>
        </w:rPr>
        <w:t xml:space="preserve"> </w:t>
      </w:r>
      <w:r w:rsidR="000A493B">
        <w:rPr>
          <w:rFonts w:cs="Times New Roman"/>
          <w:szCs w:val="24"/>
        </w:rPr>
        <w:t>are</w:t>
      </w:r>
      <w:r w:rsidR="00053C3C">
        <w:rPr>
          <w:rFonts w:cs="Times New Roman"/>
          <w:szCs w:val="24"/>
        </w:rPr>
        <w:t xml:space="preserve"> associated with reduced </w:t>
      </w:r>
      <w:r w:rsidR="00D163AE">
        <w:rPr>
          <w:rFonts w:cs="Times New Roman"/>
          <w:szCs w:val="24"/>
        </w:rPr>
        <w:t>risk of A&amp;E presentation</w:t>
      </w:r>
      <w:r w:rsidR="003033C7">
        <w:rPr>
          <w:rFonts w:cs="Times New Roman"/>
          <w:szCs w:val="24"/>
        </w:rPr>
        <w:t xml:space="preserve"> and</w:t>
      </w:r>
      <w:r w:rsidR="001A09CB" w:rsidRPr="00976A9A">
        <w:rPr>
          <w:rFonts w:cs="Times New Roman"/>
          <w:szCs w:val="24"/>
        </w:rPr>
        <w:t xml:space="preserve"> hospital admissions</w:t>
      </w:r>
      <w:r w:rsidR="003033C7">
        <w:rPr>
          <w:rFonts w:cs="Times New Roman"/>
          <w:szCs w:val="24"/>
        </w:rPr>
        <w:t xml:space="preserve"> for conditions amenable to primary care, </w:t>
      </w:r>
      <w:r w:rsidR="00F216E5" w:rsidRPr="00976A9A">
        <w:rPr>
          <w:rFonts w:cs="Times New Roman"/>
          <w:szCs w:val="24"/>
        </w:rPr>
        <w:t xml:space="preserve">supporting the </w:t>
      </w:r>
      <w:r w:rsidR="000832CA" w:rsidRPr="00976A9A">
        <w:rPr>
          <w:rFonts w:cs="Times New Roman"/>
          <w:szCs w:val="24"/>
        </w:rPr>
        <w:t>hypothesis</w:t>
      </w:r>
      <w:r w:rsidR="00D163AE">
        <w:rPr>
          <w:rFonts w:cs="Times New Roman"/>
          <w:szCs w:val="24"/>
        </w:rPr>
        <w:t xml:space="preserve"> that this type</w:t>
      </w:r>
      <w:r w:rsidR="00775367" w:rsidRPr="00976A9A">
        <w:rPr>
          <w:rFonts w:cs="Times New Roman"/>
          <w:szCs w:val="24"/>
        </w:rPr>
        <w:t xml:space="preserve"> of care incentivized under </w:t>
      </w:r>
      <w:r w:rsidR="00AA17E7" w:rsidRPr="00976A9A">
        <w:rPr>
          <w:rFonts w:cs="Times New Roman"/>
          <w:szCs w:val="24"/>
        </w:rPr>
        <w:t xml:space="preserve">the QOF </w:t>
      </w:r>
      <w:r w:rsidR="00D163AE">
        <w:rPr>
          <w:rFonts w:cs="Times New Roman"/>
          <w:szCs w:val="24"/>
        </w:rPr>
        <w:t>is</w:t>
      </w:r>
      <w:r w:rsidR="00AA17E7" w:rsidRPr="00976A9A">
        <w:rPr>
          <w:rFonts w:cs="Times New Roman"/>
          <w:szCs w:val="24"/>
        </w:rPr>
        <w:t xml:space="preserve"> achieving at least some of </w:t>
      </w:r>
      <w:r w:rsidR="00D163AE">
        <w:rPr>
          <w:rFonts w:cs="Times New Roman"/>
          <w:szCs w:val="24"/>
        </w:rPr>
        <w:t>its</w:t>
      </w:r>
      <w:r w:rsidR="00AA17E7" w:rsidRPr="00976A9A">
        <w:rPr>
          <w:rFonts w:cs="Times New Roman"/>
          <w:szCs w:val="24"/>
        </w:rPr>
        <w:t xml:space="preserve"> policy objectives</w:t>
      </w:r>
      <w:r w:rsidR="00A27191">
        <w:rPr>
          <w:rFonts w:cs="Times New Roman"/>
          <w:szCs w:val="24"/>
        </w:rPr>
        <w:t xml:space="preserve"> and is worth maintaining</w:t>
      </w:r>
      <w:r w:rsidR="00AA17E7" w:rsidRPr="00976A9A">
        <w:rPr>
          <w:rFonts w:cs="Times New Roman"/>
          <w:szCs w:val="24"/>
        </w:rPr>
        <w:t xml:space="preserve">. </w:t>
      </w:r>
    </w:p>
    <w:p w14:paraId="3BC6F3CB" w14:textId="0BA3BBE8" w:rsidR="003154C1" w:rsidRDefault="003154C1" w:rsidP="00AF7ED3">
      <w:pPr>
        <w:spacing w:after="0" w:line="480" w:lineRule="auto"/>
        <w:jc w:val="both"/>
        <w:rPr>
          <w:rFonts w:cs="Times New Roman"/>
        </w:rPr>
      </w:pPr>
    </w:p>
    <w:p w14:paraId="236C6257" w14:textId="77777777" w:rsidR="00523FCE" w:rsidRPr="00976A9A" w:rsidRDefault="00523FCE" w:rsidP="00AF7ED3">
      <w:pPr>
        <w:spacing w:after="0" w:line="480" w:lineRule="auto"/>
        <w:jc w:val="both"/>
        <w:rPr>
          <w:rFonts w:cs="Times New Roman"/>
        </w:rPr>
      </w:pPr>
    </w:p>
    <w:p w14:paraId="5C66214D" w14:textId="77777777" w:rsidR="00742F88" w:rsidRDefault="00742F88">
      <w:pPr>
        <w:spacing w:after="200" w:line="276" w:lineRule="auto"/>
        <w:rPr>
          <w:rFonts w:cs="Times New Roman"/>
          <w:b/>
        </w:rPr>
      </w:pPr>
      <w:r>
        <w:rPr>
          <w:rFonts w:cs="Times New Roman"/>
          <w:b/>
        </w:rPr>
        <w:br w:type="page"/>
      </w:r>
    </w:p>
    <w:p w14:paraId="5A839606" w14:textId="5D4C8A65" w:rsidR="000D3D82" w:rsidRDefault="000D3D82" w:rsidP="003154C1">
      <w:pPr>
        <w:spacing w:after="0" w:line="480" w:lineRule="auto"/>
        <w:jc w:val="both"/>
        <w:rPr>
          <w:rFonts w:cs="Times New Roman"/>
        </w:rPr>
      </w:pPr>
      <w:r>
        <w:rPr>
          <w:rFonts w:cs="Times New Roman"/>
          <w:b/>
        </w:rPr>
        <w:lastRenderedPageBreak/>
        <w:t>Author contributions</w:t>
      </w:r>
    </w:p>
    <w:p w14:paraId="051F57DF" w14:textId="794A7375" w:rsidR="000D3D82" w:rsidRDefault="0016128C" w:rsidP="003154C1">
      <w:pPr>
        <w:spacing w:after="0" w:line="480" w:lineRule="auto"/>
        <w:jc w:val="both"/>
        <w:rPr>
          <w:rFonts w:cs="Times New Roman"/>
        </w:rPr>
      </w:pPr>
      <w:r>
        <w:rPr>
          <w:rFonts w:cs="Times New Roman"/>
        </w:rPr>
        <w:t xml:space="preserve">JR, PK, NG, CK, TD, AM, NR, HG, MG, TK, NS, SG, CD, LA, RW and RJ </w:t>
      </w:r>
      <w:r w:rsidR="0094252C">
        <w:rPr>
          <w:rFonts w:cs="Times New Roman"/>
        </w:rPr>
        <w:t xml:space="preserve">contributed to the design of the research questions, analytical approach, and interpretation of the findings. </w:t>
      </w:r>
      <w:r w:rsidR="004C09E8">
        <w:rPr>
          <w:rFonts w:cs="Times New Roman"/>
        </w:rPr>
        <w:t xml:space="preserve">JR produced a first draft of the paper and </w:t>
      </w:r>
      <w:r w:rsidR="004C70A4">
        <w:rPr>
          <w:rFonts w:cs="Times New Roman"/>
        </w:rPr>
        <w:t xml:space="preserve">contributed to and </w:t>
      </w:r>
      <w:r>
        <w:rPr>
          <w:rFonts w:cs="Times New Roman"/>
        </w:rPr>
        <w:t xml:space="preserve">PK, NG, CK, TD, AM, NR, HG, MG, TK, NS, SG, CD, LA, RW and RJ </w:t>
      </w:r>
      <w:r w:rsidR="004C70A4">
        <w:rPr>
          <w:rFonts w:cs="Times New Roman"/>
        </w:rPr>
        <w:t xml:space="preserve">approved the final </w:t>
      </w:r>
      <w:r w:rsidR="0094252C">
        <w:rPr>
          <w:rFonts w:cs="Times New Roman"/>
        </w:rPr>
        <w:t xml:space="preserve">manuscript. </w:t>
      </w:r>
    </w:p>
    <w:p w14:paraId="1E7ACAE0" w14:textId="77777777" w:rsidR="0094252C" w:rsidRDefault="0094252C" w:rsidP="003154C1">
      <w:pPr>
        <w:spacing w:after="0" w:line="480" w:lineRule="auto"/>
        <w:jc w:val="both"/>
        <w:rPr>
          <w:rFonts w:cs="Times New Roman"/>
        </w:rPr>
      </w:pPr>
    </w:p>
    <w:p w14:paraId="67C5A414" w14:textId="77777777" w:rsidR="004727BE" w:rsidRDefault="004727BE" w:rsidP="003154C1">
      <w:pPr>
        <w:spacing w:after="0" w:line="480" w:lineRule="auto"/>
        <w:jc w:val="both"/>
        <w:rPr>
          <w:rFonts w:cs="Times New Roman"/>
        </w:rPr>
      </w:pPr>
      <w:r>
        <w:rPr>
          <w:rFonts w:cs="Times New Roman"/>
          <w:b/>
        </w:rPr>
        <w:t xml:space="preserve">Data sharing </w:t>
      </w:r>
    </w:p>
    <w:p w14:paraId="24346FA7" w14:textId="156A8617" w:rsidR="004727BE" w:rsidRDefault="0094252C" w:rsidP="003154C1">
      <w:pPr>
        <w:spacing w:after="0" w:line="480" w:lineRule="auto"/>
        <w:jc w:val="both"/>
        <w:rPr>
          <w:rFonts w:cs="Times New Roman"/>
        </w:rPr>
      </w:pPr>
      <w:r>
        <w:rPr>
          <w:rFonts w:cs="Times New Roman"/>
        </w:rPr>
        <w:t>Due to the sensitive and confidential nature of the data used for this analysis,</w:t>
      </w:r>
      <w:r w:rsidR="00F75449">
        <w:rPr>
          <w:rFonts w:cs="Times New Roman"/>
        </w:rPr>
        <w:t xml:space="preserve"> and the permissions required to access it,</w:t>
      </w:r>
      <w:r>
        <w:rPr>
          <w:rFonts w:cs="Times New Roman"/>
        </w:rPr>
        <w:t xml:space="preserve"> the dataset is not </w:t>
      </w:r>
      <w:r w:rsidR="00F75449">
        <w:rPr>
          <w:rFonts w:cs="Times New Roman"/>
        </w:rPr>
        <w:t xml:space="preserve">publicly </w:t>
      </w:r>
      <w:r>
        <w:rPr>
          <w:rFonts w:cs="Times New Roman"/>
        </w:rPr>
        <w:t xml:space="preserve">available. </w:t>
      </w:r>
    </w:p>
    <w:p w14:paraId="32A6E4EA" w14:textId="71E978B0" w:rsidR="00A36BF7" w:rsidRDefault="00A36BF7" w:rsidP="003154C1">
      <w:pPr>
        <w:spacing w:after="0" w:line="480" w:lineRule="auto"/>
        <w:jc w:val="both"/>
        <w:rPr>
          <w:rFonts w:cs="Times New Roman"/>
        </w:rPr>
      </w:pPr>
    </w:p>
    <w:p w14:paraId="68BABB22" w14:textId="77777777" w:rsidR="00A36BF7" w:rsidRPr="006A0EDD" w:rsidRDefault="00A36BF7" w:rsidP="00A36BF7">
      <w:pPr>
        <w:spacing w:after="0" w:line="480" w:lineRule="auto"/>
        <w:jc w:val="both"/>
        <w:rPr>
          <w:rFonts w:cs="Times New Roman"/>
          <w:b/>
        </w:rPr>
      </w:pPr>
      <w:r w:rsidRPr="006A0EDD">
        <w:rPr>
          <w:rFonts w:cs="Times New Roman"/>
          <w:b/>
        </w:rPr>
        <w:t xml:space="preserve">Ethical approval </w:t>
      </w:r>
    </w:p>
    <w:p w14:paraId="5EA9E84F" w14:textId="77777777" w:rsidR="00A36BF7" w:rsidRDefault="00A36BF7" w:rsidP="00A36BF7">
      <w:pPr>
        <w:spacing w:after="0" w:line="480" w:lineRule="auto"/>
        <w:jc w:val="both"/>
        <w:rPr>
          <w:rFonts w:cs="Times New Roman"/>
        </w:rPr>
      </w:pPr>
      <w:r>
        <w:rPr>
          <w:rFonts w:cs="Times New Roman"/>
        </w:rPr>
        <w:t>The study protocol was approved by the</w:t>
      </w:r>
      <w:r w:rsidRPr="00A31AD1">
        <w:rPr>
          <w:rFonts w:cs="Times New Roman"/>
        </w:rPr>
        <w:t xml:space="preserve"> Independent Scientific Advisory Committee</w:t>
      </w:r>
      <w:r>
        <w:rPr>
          <w:rFonts w:cs="Times New Roman"/>
        </w:rPr>
        <w:t xml:space="preserve"> of the Clinical Practice Research Datalink (protocol number </w:t>
      </w:r>
      <w:r w:rsidRPr="006A0EDD">
        <w:rPr>
          <w:rFonts w:cs="Times New Roman"/>
        </w:rPr>
        <w:t>15_213R2A2</w:t>
      </w:r>
      <w:r>
        <w:rPr>
          <w:rFonts w:cs="Times New Roman"/>
        </w:rPr>
        <w:t xml:space="preserve">). </w:t>
      </w:r>
    </w:p>
    <w:p w14:paraId="3741FA30" w14:textId="77777777" w:rsidR="00A36BF7" w:rsidRDefault="00A36BF7" w:rsidP="00A36BF7">
      <w:pPr>
        <w:spacing w:after="0" w:line="480" w:lineRule="auto"/>
        <w:jc w:val="both"/>
        <w:rPr>
          <w:rFonts w:cs="Times New Roman"/>
        </w:rPr>
      </w:pPr>
    </w:p>
    <w:p w14:paraId="7927D4F5" w14:textId="77777777" w:rsidR="00A36BF7" w:rsidRPr="006A0EDD" w:rsidRDefault="00A36BF7" w:rsidP="00A36BF7">
      <w:pPr>
        <w:spacing w:after="0" w:line="480" w:lineRule="auto"/>
        <w:jc w:val="both"/>
        <w:rPr>
          <w:rFonts w:cs="Times New Roman"/>
          <w:b/>
        </w:rPr>
      </w:pPr>
      <w:r w:rsidRPr="006A0EDD">
        <w:rPr>
          <w:rFonts w:cs="Times New Roman"/>
          <w:b/>
        </w:rPr>
        <w:t>Acknowledgements</w:t>
      </w:r>
    </w:p>
    <w:p w14:paraId="24C7E290" w14:textId="7DDA5EA3" w:rsidR="00A36BF7" w:rsidRDefault="00A36BF7" w:rsidP="003154C1">
      <w:pPr>
        <w:spacing w:after="0" w:line="480" w:lineRule="auto"/>
        <w:jc w:val="both"/>
        <w:rPr>
          <w:rFonts w:cs="Times New Roman"/>
        </w:rPr>
      </w:pPr>
      <w:r w:rsidRPr="006A0EDD">
        <w:rPr>
          <w:rFonts w:cs="Times New Roman"/>
        </w:rPr>
        <w:t xml:space="preserve">This research is funded by the National Institute for Health Services &amp; Delivery Research program (project number 135440). The views and opinions expressed are those of the authors and do not necessarily reflect those of the HS&amp;DR program, NIHR, NHS or the Department of Health. We are grateful to the researchers who extracted and provided the CPRD data. We would like to thank all members of our Scientific Steering Committee (SSC) for their invaluable support and feedback on this study. We are grateful to discussants and participants at the following conferences and seminars for their valuable feedback:  Thirteenth Workshop on Costs and Assessment in Psychiatry: Mental health policy and economics, Venice, Italy; International Health Policy Conference, LSE, London; Supportive care, Early Diagnosis and Advanced disease </w:t>
      </w:r>
      <w:r w:rsidRPr="006A0EDD">
        <w:rPr>
          <w:rFonts w:cs="Times New Roman"/>
        </w:rPr>
        <w:lastRenderedPageBreak/>
        <w:t>(SEDA) Research Group, Hull York Medical School (HYMS), Hull; University of Toronto, Centre for Addiction and Mental Health (CAMH) and the Canadian Centre for Health Economics (CCHE), Toronto, Canada.</w:t>
      </w:r>
    </w:p>
    <w:p w14:paraId="0AAC3216" w14:textId="77777777" w:rsidR="0094252C" w:rsidRPr="004727BE" w:rsidRDefault="0094252C" w:rsidP="003154C1">
      <w:pPr>
        <w:spacing w:after="0" w:line="480" w:lineRule="auto"/>
        <w:jc w:val="both"/>
        <w:rPr>
          <w:rFonts w:cs="Times New Roman"/>
        </w:rPr>
      </w:pPr>
    </w:p>
    <w:p w14:paraId="0B0A365C" w14:textId="77777777" w:rsidR="003154C1" w:rsidRPr="00976A9A" w:rsidRDefault="003154C1" w:rsidP="003154C1">
      <w:pPr>
        <w:spacing w:after="0" w:line="480" w:lineRule="auto"/>
        <w:jc w:val="both"/>
        <w:rPr>
          <w:rFonts w:cs="Times New Roman"/>
          <w:b/>
        </w:rPr>
      </w:pPr>
      <w:r w:rsidRPr="00976A9A">
        <w:rPr>
          <w:rFonts w:cs="Times New Roman"/>
          <w:b/>
        </w:rPr>
        <w:t>Endnotes</w:t>
      </w:r>
    </w:p>
    <w:p w14:paraId="21D41C06" w14:textId="3E5D6A9A" w:rsidR="003154C1" w:rsidRPr="00976A9A" w:rsidRDefault="003154C1" w:rsidP="003154C1">
      <w:pPr>
        <w:pStyle w:val="ListParagraph"/>
        <w:numPr>
          <w:ilvl w:val="0"/>
          <w:numId w:val="8"/>
        </w:numPr>
        <w:spacing w:after="0" w:line="480" w:lineRule="auto"/>
        <w:jc w:val="both"/>
        <w:rPr>
          <w:rFonts w:cs="Times New Roman"/>
        </w:rPr>
      </w:pPr>
      <w:r w:rsidRPr="00976A9A">
        <w:rPr>
          <w:rFonts w:cs="Times New Roman"/>
        </w:rPr>
        <w:t>We use a twelve-month window rather than the calendar or financial year</w:t>
      </w:r>
      <w:r w:rsidR="004C09E8">
        <w:rPr>
          <w:rFonts w:cs="Times New Roman"/>
        </w:rPr>
        <w:t>.</w:t>
      </w:r>
    </w:p>
    <w:p w14:paraId="6143D949" w14:textId="1D9DB298" w:rsidR="003154C1" w:rsidRDefault="00D163AE" w:rsidP="003154C1">
      <w:pPr>
        <w:pStyle w:val="ListParagraph"/>
        <w:numPr>
          <w:ilvl w:val="0"/>
          <w:numId w:val="8"/>
        </w:numPr>
        <w:spacing w:after="0" w:line="480" w:lineRule="auto"/>
        <w:jc w:val="both"/>
        <w:rPr>
          <w:rFonts w:cs="Times New Roman"/>
        </w:rPr>
      </w:pPr>
      <w:r>
        <w:rPr>
          <w:rFonts w:cs="Times New Roman"/>
        </w:rPr>
        <w:t>We</w:t>
      </w:r>
      <w:r w:rsidR="003154C1" w:rsidRPr="00976A9A">
        <w:rPr>
          <w:rFonts w:cs="Times New Roman"/>
        </w:rPr>
        <w:t xml:space="preserve"> consider any patients with unrelated </w:t>
      </w:r>
      <w:r w:rsidR="00B87315" w:rsidRPr="00976A9A">
        <w:rPr>
          <w:rFonts w:cs="Times New Roman"/>
        </w:rPr>
        <w:t>hospitali</w:t>
      </w:r>
      <w:r w:rsidR="00B87315">
        <w:rPr>
          <w:rFonts w:cs="Times New Roman"/>
        </w:rPr>
        <w:t>s</w:t>
      </w:r>
      <w:r w:rsidR="00B87315" w:rsidRPr="00976A9A">
        <w:rPr>
          <w:rFonts w:cs="Times New Roman"/>
        </w:rPr>
        <w:t xml:space="preserve">ation </w:t>
      </w:r>
      <w:r w:rsidR="003154C1" w:rsidRPr="00976A9A">
        <w:rPr>
          <w:rFonts w:cs="Times New Roman"/>
        </w:rPr>
        <w:t xml:space="preserve">(e.g. a planned admission for surgery) as having zero hazard of </w:t>
      </w:r>
      <w:r>
        <w:rPr>
          <w:rFonts w:cs="Times New Roman"/>
        </w:rPr>
        <w:t xml:space="preserve">A&amp;E presentation and </w:t>
      </w:r>
      <w:r w:rsidR="003154C1" w:rsidRPr="00976A9A">
        <w:rPr>
          <w:rFonts w:cs="Times New Roman"/>
        </w:rPr>
        <w:t xml:space="preserve">SMI or ACSC admission during the time they are </w:t>
      </w:r>
      <w:r w:rsidR="00B87315" w:rsidRPr="00976A9A">
        <w:rPr>
          <w:rFonts w:cs="Times New Roman"/>
        </w:rPr>
        <w:t>hospitali</w:t>
      </w:r>
      <w:r w:rsidR="00B87315">
        <w:rPr>
          <w:rFonts w:cs="Times New Roman"/>
        </w:rPr>
        <w:t>s</w:t>
      </w:r>
      <w:r w:rsidR="00B87315" w:rsidRPr="00976A9A">
        <w:rPr>
          <w:rFonts w:cs="Times New Roman"/>
        </w:rPr>
        <w:t>ed</w:t>
      </w:r>
      <w:r w:rsidR="003154C1" w:rsidRPr="00976A9A">
        <w:rPr>
          <w:rFonts w:cs="Times New Roman"/>
        </w:rPr>
        <w:t>.</w:t>
      </w:r>
    </w:p>
    <w:p w14:paraId="4C4BAAFB" w14:textId="77777777" w:rsidR="00147B4D" w:rsidRDefault="00147B4D" w:rsidP="00147B4D">
      <w:pPr>
        <w:spacing w:after="0" w:line="480" w:lineRule="auto"/>
        <w:jc w:val="both"/>
        <w:rPr>
          <w:rFonts w:cs="Times New Roman"/>
        </w:rPr>
      </w:pPr>
    </w:p>
    <w:p w14:paraId="364E0E76" w14:textId="77777777" w:rsidR="00147B4D" w:rsidRDefault="00147B4D" w:rsidP="00147B4D">
      <w:pPr>
        <w:spacing w:after="0" w:line="480" w:lineRule="auto"/>
        <w:jc w:val="both"/>
        <w:rPr>
          <w:rFonts w:cs="Times New Roman"/>
        </w:rPr>
      </w:pPr>
    </w:p>
    <w:p w14:paraId="72D16D14" w14:textId="67528B21" w:rsidR="00147B4D" w:rsidRDefault="00147B4D" w:rsidP="00147B4D">
      <w:pPr>
        <w:spacing w:after="0" w:line="480" w:lineRule="auto"/>
        <w:jc w:val="both"/>
        <w:rPr>
          <w:rFonts w:cs="Times New Roman"/>
        </w:rPr>
      </w:pPr>
      <w:r>
        <w:rPr>
          <w:rFonts w:cs="Times New Roman"/>
          <w:b/>
        </w:rPr>
        <w:t>Figure 1 legend</w:t>
      </w:r>
    </w:p>
    <w:p w14:paraId="64B05C5C" w14:textId="75E18E1E" w:rsidR="00147B4D" w:rsidRDefault="00147B4D" w:rsidP="00147B4D">
      <w:pPr>
        <w:spacing w:after="0" w:line="480" w:lineRule="auto"/>
        <w:jc w:val="both"/>
        <w:rPr>
          <w:rFonts w:cs="Times New Roman"/>
        </w:rPr>
      </w:pPr>
      <w:r>
        <w:rPr>
          <w:rFonts w:cs="Times New Roman"/>
        </w:rPr>
        <w:t xml:space="preserve">Figure 1. Association of care quality indicators with each outcome. </w:t>
      </w:r>
    </w:p>
    <w:p w14:paraId="55A5A583" w14:textId="336D1F67" w:rsidR="00147B4D" w:rsidRDefault="00147B4D" w:rsidP="00147B4D">
      <w:pPr>
        <w:spacing w:after="0" w:line="480" w:lineRule="auto"/>
        <w:jc w:val="both"/>
        <w:rPr>
          <w:rFonts w:cs="Times New Roman"/>
        </w:rPr>
      </w:pPr>
      <w:r>
        <w:rPr>
          <w:rFonts w:cs="Times New Roman"/>
        </w:rPr>
        <w:t>CP: Care plan</w:t>
      </w:r>
    </w:p>
    <w:p w14:paraId="69161360" w14:textId="3656AD95" w:rsidR="00147B4D" w:rsidRPr="00147B4D" w:rsidRDefault="00147B4D" w:rsidP="00147B4D">
      <w:pPr>
        <w:spacing w:after="0" w:line="480" w:lineRule="auto"/>
        <w:jc w:val="both"/>
        <w:rPr>
          <w:rFonts w:cs="Times New Roman"/>
        </w:rPr>
      </w:pPr>
      <w:r>
        <w:rPr>
          <w:rFonts w:cs="Times New Roman"/>
        </w:rPr>
        <w:t>AR: Annual review of physical health</w:t>
      </w:r>
    </w:p>
    <w:p w14:paraId="02F3ADD3" w14:textId="77777777" w:rsidR="00307EE8" w:rsidRPr="00976A9A" w:rsidRDefault="009A4CCD" w:rsidP="00CA487B">
      <w:pPr>
        <w:spacing w:after="200" w:line="276" w:lineRule="auto"/>
        <w:rPr>
          <w:rFonts w:cs="Times New Roman"/>
        </w:rPr>
      </w:pPr>
      <w:r w:rsidRPr="00976A9A">
        <w:rPr>
          <w:rFonts w:cs="Times New Roman"/>
        </w:rPr>
        <w:br w:type="page"/>
      </w:r>
    </w:p>
    <w:bookmarkEnd w:id="30"/>
    <w:bookmarkEnd w:id="31"/>
    <w:p w14:paraId="59602522" w14:textId="77777777" w:rsidR="009D0A92" w:rsidRPr="00976A9A" w:rsidRDefault="009D0A92" w:rsidP="00F1780E">
      <w:pPr>
        <w:pStyle w:val="Heading1"/>
      </w:pPr>
      <w:r w:rsidRPr="00976A9A">
        <w:lastRenderedPageBreak/>
        <w:t>References</w:t>
      </w:r>
    </w:p>
    <w:p w14:paraId="1ED7B854" w14:textId="77777777" w:rsidR="002025EA" w:rsidRPr="002025EA" w:rsidRDefault="009D0A92" w:rsidP="002025EA">
      <w:pPr>
        <w:pStyle w:val="EndNoteBibliography"/>
        <w:ind w:left="720" w:hanging="720"/>
      </w:pPr>
      <w:r w:rsidRPr="00976A9A">
        <w:rPr>
          <w:rFonts w:ascii="Times New Roman" w:hAnsi="Times New Roman"/>
          <w:lang w:val="en-GB"/>
        </w:rPr>
        <w:fldChar w:fldCharType="begin"/>
      </w:r>
      <w:r w:rsidRPr="00976A9A">
        <w:rPr>
          <w:rFonts w:ascii="Times New Roman" w:hAnsi="Times New Roman"/>
          <w:lang w:val="en-GB"/>
        </w:rPr>
        <w:instrText xml:space="preserve"> ADDIN EN.REFLIST </w:instrText>
      </w:r>
      <w:r w:rsidRPr="00976A9A">
        <w:rPr>
          <w:rFonts w:ascii="Times New Roman" w:hAnsi="Times New Roman"/>
          <w:lang w:val="en-GB"/>
        </w:rPr>
        <w:fldChar w:fldCharType="separate"/>
      </w:r>
      <w:bookmarkStart w:id="32" w:name="_ENREF_1"/>
      <w:r w:rsidR="002025EA" w:rsidRPr="002025EA">
        <w:t>1. Murray CJ, Richards MA, Newton JN, et al. UK health performance: findings of the Global Burden of Disease Study 2010. The Lancet 2013;</w:t>
      </w:r>
      <w:r w:rsidR="002025EA" w:rsidRPr="002025EA">
        <w:rPr>
          <w:b/>
        </w:rPr>
        <w:t>381</w:t>
      </w:r>
      <w:r w:rsidR="002025EA" w:rsidRPr="002025EA">
        <w:t>(9871):997-1020.</w:t>
      </w:r>
      <w:bookmarkEnd w:id="32"/>
    </w:p>
    <w:p w14:paraId="6187420D" w14:textId="77777777" w:rsidR="002025EA" w:rsidRPr="002025EA" w:rsidRDefault="002025EA" w:rsidP="002025EA">
      <w:pPr>
        <w:pStyle w:val="EndNoteBibliography"/>
        <w:ind w:left="720" w:hanging="720"/>
      </w:pPr>
      <w:bookmarkStart w:id="33" w:name="_ENREF_2"/>
      <w:r w:rsidRPr="002025EA">
        <w:t>2. Vigo D, Thornicroft G, Atun R. Estimating the true global burden of mental illness. The Lancet Psychiatry 2016;</w:t>
      </w:r>
      <w:r w:rsidRPr="002025EA">
        <w:rPr>
          <w:b/>
        </w:rPr>
        <w:t>3</w:t>
      </w:r>
      <w:r w:rsidRPr="002025EA">
        <w:t>(2):171-78.</w:t>
      </w:r>
      <w:bookmarkEnd w:id="33"/>
    </w:p>
    <w:p w14:paraId="36B8C891" w14:textId="77777777" w:rsidR="002025EA" w:rsidRPr="002025EA" w:rsidRDefault="002025EA" w:rsidP="002025EA">
      <w:pPr>
        <w:pStyle w:val="EndNoteBibliography"/>
        <w:ind w:left="720" w:hanging="720"/>
      </w:pPr>
      <w:bookmarkStart w:id="34" w:name="_ENREF_3"/>
      <w:r w:rsidRPr="002025EA">
        <w:t>3. Osborn DP, Levy G, Nazareth I, et al. Relative risk of cardiovascular and cancer mortality in people with severe mental illness from the United Kingdom's General Practice Research Database. Archives of General Psychiatry 2007;</w:t>
      </w:r>
      <w:r w:rsidRPr="002025EA">
        <w:rPr>
          <w:b/>
        </w:rPr>
        <w:t>64</w:t>
      </w:r>
      <w:r w:rsidRPr="002025EA">
        <w:t>(2):242-49.</w:t>
      </w:r>
      <w:bookmarkEnd w:id="34"/>
    </w:p>
    <w:p w14:paraId="31BED8A3" w14:textId="77777777" w:rsidR="002025EA" w:rsidRPr="002025EA" w:rsidRDefault="002025EA" w:rsidP="002025EA">
      <w:pPr>
        <w:pStyle w:val="EndNoteBibliography"/>
        <w:ind w:left="720" w:hanging="720"/>
      </w:pPr>
      <w:bookmarkStart w:id="35" w:name="_ENREF_4"/>
      <w:r w:rsidRPr="002025EA">
        <w:t>4. Miller B, Paschall C, Svendsen D. Mortality and medical comorbidity among patients with SMI. Psychiatric Services 2006;</w:t>
      </w:r>
      <w:r w:rsidRPr="002025EA">
        <w:rPr>
          <w:b/>
        </w:rPr>
        <w:t>57</w:t>
      </w:r>
      <w:r w:rsidRPr="002025EA">
        <w:t>(10):1482-87.</w:t>
      </w:r>
      <w:bookmarkEnd w:id="35"/>
    </w:p>
    <w:p w14:paraId="61662738" w14:textId="77777777" w:rsidR="002025EA" w:rsidRPr="002025EA" w:rsidRDefault="002025EA" w:rsidP="002025EA">
      <w:pPr>
        <w:pStyle w:val="EndNoteBibliography"/>
        <w:ind w:left="720" w:hanging="720"/>
      </w:pPr>
      <w:bookmarkStart w:id="36" w:name="_ENREF_5"/>
      <w:r w:rsidRPr="002025EA">
        <w:t>5. Wahlbeck K, Westman J, Nordentoft M, et al. Outcomes of Nordic mental health systems: life expectancy of patients with mental disorders. The British Journal of Psychiatry 2011;</w:t>
      </w:r>
      <w:r w:rsidRPr="002025EA">
        <w:rPr>
          <w:b/>
        </w:rPr>
        <w:t>199</w:t>
      </w:r>
      <w:r w:rsidRPr="002025EA">
        <w:t>(6):453-58.</w:t>
      </w:r>
      <w:bookmarkEnd w:id="36"/>
    </w:p>
    <w:p w14:paraId="05CA82B2" w14:textId="77777777" w:rsidR="002025EA" w:rsidRPr="002025EA" w:rsidRDefault="002025EA" w:rsidP="002025EA">
      <w:pPr>
        <w:pStyle w:val="EndNoteBibliography"/>
        <w:ind w:left="720" w:hanging="720"/>
      </w:pPr>
      <w:bookmarkStart w:id="37" w:name="_ENREF_6"/>
      <w:r w:rsidRPr="002025EA">
        <w:t>6. Mental Health Statistics team HaSCIC. HES-MHMDS Data Linkage Report, Additional analysis - 2011-12, England (Experimental statistics. Leeds: Health and Social Care Information Centre, 2013.</w:t>
      </w:r>
      <w:bookmarkEnd w:id="37"/>
    </w:p>
    <w:p w14:paraId="5A5E227C" w14:textId="77777777" w:rsidR="002025EA" w:rsidRPr="002025EA" w:rsidRDefault="002025EA" w:rsidP="002025EA">
      <w:pPr>
        <w:pStyle w:val="EndNoteBibliography"/>
        <w:ind w:left="720" w:hanging="720"/>
      </w:pPr>
      <w:bookmarkStart w:id="38" w:name="_ENREF_7"/>
      <w:r w:rsidRPr="002025EA">
        <w:t>7. Hackman AL, Goldberg RW, Brown CH, et al. Use of emergency department services for somatic reasons by people with serious mental illness. Psychiatric services 2006;</w:t>
      </w:r>
      <w:r w:rsidRPr="002025EA">
        <w:rPr>
          <w:b/>
        </w:rPr>
        <w:t>57</w:t>
      </w:r>
      <w:r w:rsidRPr="002025EA">
        <w:t>(4):563-66.</w:t>
      </w:r>
      <w:bookmarkEnd w:id="38"/>
    </w:p>
    <w:p w14:paraId="629337A8" w14:textId="77777777" w:rsidR="002025EA" w:rsidRPr="002025EA" w:rsidRDefault="002025EA" w:rsidP="002025EA">
      <w:pPr>
        <w:pStyle w:val="EndNoteBibliography"/>
        <w:ind w:left="720" w:hanging="720"/>
      </w:pPr>
      <w:bookmarkStart w:id="39" w:name="_ENREF_8"/>
      <w:r w:rsidRPr="002025EA">
        <w:t>8. Merrick EL, Perloff J, Tompkins CP. Emergency department utilization patterns for Medicare beneficiaries with serious mental disorders. Psychiatric services 2010;</w:t>
      </w:r>
      <w:r w:rsidRPr="002025EA">
        <w:rPr>
          <w:b/>
        </w:rPr>
        <w:t>61</w:t>
      </w:r>
      <w:r w:rsidRPr="002025EA">
        <w:t>(6):628-31.</w:t>
      </w:r>
      <w:bookmarkEnd w:id="39"/>
    </w:p>
    <w:p w14:paraId="6BB282A9" w14:textId="77777777" w:rsidR="002025EA" w:rsidRPr="002025EA" w:rsidRDefault="002025EA" w:rsidP="002025EA">
      <w:pPr>
        <w:pStyle w:val="EndNoteBibliography"/>
        <w:ind w:left="720" w:hanging="720"/>
      </w:pPr>
      <w:bookmarkStart w:id="40" w:name="_ENREF_9"/>
      <w:r w:rsidRPr="002025EA">
        <w:t>9. Schoenbaum M, Sutherland JM, Chappel A, et al. Twelve-Month Health Care Use and Mortality in Commercially Insured Young People With Incident Psychosis in the United States. Schizophrenia Bulletin 2017;</w:t>
      </w:r>
      <w:r w:rsidRPr="002025EA">
        <w:rPr>
          <w:b/>
        </w:rPr>
        <w:t>43</w:t>
      </w:r>
      <w:r w:rsidRPr="002025EA">
        <w:t>(6):1262-72.</w:t>
      </w:r>
      <w:bookmarkEnd w:id="40"/>
    </w:p>
    <w:p w14:paraId="7B9305A5" w14:textId="77777777" w:rsidR="002025EA" w:rsidRPr="002025EA" w:rsidRDefault="002025EA" w:rsidP="002025EA">
      <w:pPr>
        <w:pStyle w:val="EndNoteBibliography"/>
        <w:ind w:left="720" w:hanging="720"/>
      </w:pPr>
      <w:bookmarkStart w:id="41" w:name="_ENREF_10"/>
      <w:r w:rsidRPr="002025EA">
        <w:t>10. Lally J, Wong YL, Shetty H, et al. Acute hospital service utilization by inpatients in psychiatric hospitals. Gen Hosp Psychiat 2015;</w:t>
      </w:r>
      <w:r w:rsidRPr="002025EA">
        <w:rPr>
          <w:b/>
        </w:rPr>
        <w:t>37</w:t>
      </w:r>
      <w:r w:rsidRPr="002025EA">
        <w:t>(6):577-80.</w:t>
      </w:r>
      <w:bookmarkEnd w:id="41"/>
    </w:p>
    <w:p w14:paraId="5F19ECD5" w14:textId="77777777" w:rsidR="002025EA" w:rsidRPr="002025EA" w:rsidRDefault="002025EA" w:rsidP="002025EA">
      <w:pPr>
        <w:pStyle w:val="EndNoteBibliography"/>
        <w:ind w:left="720" w:hanging="720"/>
      </w:pPr>
      <w:bookmarkStart w:id="42" w:name="_ENREF_11"/>
      <w:r w:rsidRPr="002025EA">
        <w:t>11. Reilly S, Planner C, Hann M, et al. The role of primary care in service provision for people with severe mental illness in the United Kingdom. Plos One 2012;</w:t>
      </w:r>
      <w:r w:rsidRPr="002025EA">
        <w:rPr>
          <w:b/>
        </w:rPr>
        <w:t>7</w:t>
      </w:r>
      <w:r w:rsidRPr="002025EA">
        <w:t>(5):e36468.</w:t>
      </w:r>
      <w:bookmarkEnd w:id="42"/>
    </w:p>
    <w:p w14:paraId="631898AF" w14:textId="77777777" w:rsidR="002025EA" w:rsidRPr="002025EA" w:rsidRDefault="002025EA" w:rsidP="002025EA">
      <w:pPr>
        <w:pStyle w:val="EndNoteBibliography"/>
        <w:ind w:left="720" w:hanging="720"/>
      </w:pPr>
      <w:bookmarkStart w:id="43" w:name="_ENREF_12"/>
      <w:r w:rsidRPr="002025EA">
        <w:t>12. World Health Organization. Quality improvement for mental health: mental health policy and service guidance package. Geneva: WHO, 2003.</w:t>
      </w:r>
      <w:bookmarkEnd w:id="43"/>
    </w:p>
    <w:p w14:paraId="27ED9B02" w14:textId="77777777" w:rsidR="002025EA" w:rsidRPr="002025EA" w:rsidRDefault="002025EA" w:rsidP="002025EA">
      <w:pPr>
        <w:pStyle w:val="EndNoteBibliography"/>
        <w:ind w:left="720" w:hanging="720"/>
      </w:pPr>
      <w:bookmarkStart w:id="44" w:name="_ENREF_13"/>
      <w:r w:rsidRPr="002025EA">
        <w:t>13. World Health Organization. QualityRights tool kit to assess and improve quality and human rights in mental health and social care facilities. Geneva: WHO, 2012.</w:t>
      </w:r>
      <w:bookmarkEnd w:id="44"/>
    </w:p>
    <w:p w14:paraId="5AE19BFE" w14:textId="77777777" w:rsidR="002025EA" w:rsidRPr="002025EA" w:rsidRDefault="002025EA" w:rsidP="002025EA">
      <w:pPr>
        <w:pStyle w:val="EndNoteBibliography"/>
        <w:ind w:left="720" w:hanging="720"/>
      </w:pPr>
      <w:bookmarkStart w:id="45" w:name="_ENREF_14"/>
      <w:r w:rsidRPr="002025EA">
        <w:t>14. World Health Organisation. Paying for performance in health care: Implications for health system performance and accountability. In: Cashin C, Chi Y-L, Smith P, et al., eds. European Observatory on Health Systems and Policies. Maidenhead, UK: Open University Press, 2014.</w:t>
      </w:r>
      <w:bookmarkEnd w:id="45"/>
    </w:p>
    <w:p w14:paraId="314E8901" w14:textId="77777777" w:rsidR="002025EA" w:rsidRPr="002025EA" w:rsidRDefault="002025EA" w:rsidP="002025EA">
      <w:pPr>
        <w:pStyle w:val="EndNoteBibliography"/>
        <w:ind w:left="720" w:hanging="720"/>
      </w:pPr>
      <w:bookmarkStart w:id="46" w:name="_ENREF_15"/>
      <w:r w:rsidRPr="002025EA">
        <w:t>15. Eijkenaar F, Emmert M, Scheppach M, et al. Effects of pay for performance in health care: a systematic review of systematic reviews. Health Policy 2013;</w:t>
      </w:r>
      <w:r w:rsidRPr="002025EA">
        <w:rPr>
          <w:b/>
        </w:rPr>
        <w:t>110</w:t>
      </w:r>
      <w:r w:rsidRPr="002025EA">
        <w:t>(2):115-30.</w:t>
      </w:r>
      <w:bookmarkEnd w:id="46"/>
    </w:p>
    <w:p w14:paraId="45875270" w14:textId="77777777" w:rsidR="002025EA" w:rsidRPr="002025EA" w:rsidRDefault="002025EA" w:rsidP="002025EA">
      <w:pPr>
        <w:pStyle w:val="EndNoteBibliography"/>
        <w:ind w:left="720" w:hanging="720"/>
      </w:pPr>
      <w:bookmarkStart w:id="47" w:name="_ENREF_16"/>
      <w:r w:rsidRPr="002025EA">
        <w:t>16. Flodgren G, Eccles MP, Shepperd S, et al. An overview of reviews evaluating the effectiveness of financial incentives in changing healthcare professional behaviours and patient outcomes. The Cochrane Library 2011.</w:t>
      </w:r>
      <w:bookmarkEnd w:id="47"/>
    </w:p>
    <w:p w14:paraId="79162BA4" w14:textId="77777777" w:rsidR="002025EA" w:rsidRPr="002025EA" w:rsidRDefault="002025EA" w:rsidP="002025EA">
      <w:pPr>
        <w:pStyle w:val="EndNoteBibliography"/>
        <w:ind w:left="720" w:hanging="720"/>
      </w:pPr>
      <w:bookmarkStart w:id="48" w:name="_ENREF_17"/>
      <w:r w:rsidRPr="002025EA">
        <w:t>17. Doran T, Maurer KA, Ryan AM. Impact of Provider Incentives on Quality and Value of Health Care. Annual Review of Public Health 2017;</w:t>
      </w:r>
      <w:r w:rsidRPr="002025EA">
        <w:rPr>
          <w:b/>
        </w:rPr>
        <w:t>38</w:t>
      </w:r>
      <w:r w:rsidRPr="002025EA">
        <w:t>:449-65.</w:t>
      </w:r>
      <w:bookmarkEnd w:id="48"/>
    </w:p>
    <w:p w14:paraId="0FD59F79" w14:textId="77777777" w:rsidR="002025EA" w:rsidRPr="002025EA" w:rsidRDefault="002025EA" w:rsidP="002025EA">
      <w:pPr>
        <w:pStyle w:val="EndNoteBibliography"/>
        <w:ind w:left="720" w:hanging="720"/>
      </w:pPr>
      <w:bookmarkStart w:id="49" w:name="_ENREF_18"/>
      <w:r w:rsidRPr="002025EA">
        <w:t>18. Roland M. Linking physicians’ pay to the quality of care—a major experiment in the United Kingdom. New England Journal of Medicine 2004;</w:t>
      </w:r>
      <w:r w:rsidRPr="002025EA">
        <w:rPr>
          <w:b/>
        </w:rPr>
        <w:t>351</w:t>
      </w:r>
      <w:r w:rsidRPr="002025EA">
        <w:t>:1448-54.</w:t>
      </w:r>
      <w:bookmarkEnd w:id="49"/>
    </w:p>
    <w:p w14:paraId="73C25A04" w14:textId="77777777" w:rsidR="002025EA" w:rsidRPr="002025EA" w:rsidRDefault="002025EA" w:rsidP="002025EA">
      <w:pPr>
        <w:pStyle w:val="EndNoteBibliography"/>
        <w:ind w:left="720" w:hanging="720"/>
      </w:pPr>
      <w:bookmarkStart w:id="50" w:name="_ENREF_19"/>
      <w:r w:rsidRPr="002025EA">
        <w:t>19. National collaborating Centre for Mental Health. Psychosis and Schizophrenia in Adults: Treatment and Management. NICE Clinical Guideline 178, 2014.</w:t>
      </w:r>
      <w:bookmarkEnd w:id="50"/>
    </w:p>
    <w:p w14:paraId="70D10587" w14:textId="77777777" w:rsidR="002025EA" w:rsidRPr="002025EA" w:rsidRDefault="002025EA" w:rsidP="002025EA">
      <w:pPr>
        <w:pStyle w:val="EndNoteBibliography"/>
        <w:ind w:left="720" w:hanging="720"/>
      </w:pPr>
      <w:bookmarkStart w:id="51" w:name="_ENREF_20"/>
      <w:r w:rsidRPr="002025EA">
        <w:lastRenderedPageBreak/>
        <w:t>20. National Collaborating Centre for Mental Health. Bipolar disorder: The assessment and management of bipolar disorder in adults, children and young people in primary and secondary care. Leicester UK: The British Psychological Society 2014.</w:t>
      </w:r>
      <w:bookmarkEnd w:id="51"/>
    </w:p>
    <w:p w14:paraId="00CF1FDD" w14:textId="77777777" w:rsidR="002025EA" w:rsidRPr="002025EA" w:rsidRDefault="002025EA" w:rsidP="002025EA">
      <w:pPr>
        <w:pStyle w:val="EndNoteBibliography"/>
        <w:ind w:left="720" w:hanging="720"/>
      </w:pPr>
      <w:bookmarkStart w:id="52" w:name="_ENREF_21"/>
      <w:r w:rsidRPr="002025EA">
        <w:t>21. Gutacker N, Mason AR, Kendrick T, et al. Does the quality and outcomes framework reduce psychiatric admissions in people with serious mental illness? A regression analysis. Bmj Open 2015;</w:t>
      </w:r>
      <w:r w:rsidRPr="002025EA">
        <w:rPr>
          <w:b/>
        </w:rPr>
        <w:t>5</w:t>
      </w:r>
      <w:r w:rsidRPr="002025EA">
        <w:t>(4):e007342.</w:t>
      </w:r>
      <w:bookmarkEnd w:id="52"/>
    </w:p>
    <w:p w14:paraId="76F552E2" w14:textId="77777777" w:rsidR="002025EA" w:rsidRPr="002025EA" w:rsidRDefault="002025EA" w:rsidP="002025EA">
      <w:pPr>
        <w:pStyle w:val="EndNoteBibliography"/>
        <w:ind w:left="720" w:hanging="720"/>
      </w:pPr>
      <w:bookmarkStart w:id="53" w:name="_ENREF_22"/>
      <w:r w:rsidRPr="002025EA">
        <w:t>22. Purdy S, Griffin T, Salisbury C, et al. Ambulatory care sensitive conditions: terminology and disease coding need to be more specific to aid policy makers and clinicians. Public Health 2009;</w:t>
      </w:r>
      <w:r w:rsidRPr="002025EA">
        <w:rPr>
          <w:b/>
        </w:rPr>
        <w:t>123</w:t>
      </w:r>
      <w:r w:rsidRPr="002025EA">
        <w:t>(2):169-73.</w:t>
      </w:r>
      <w:bookmarkEnd w:id="53"/>
    </w:p>
    <w:p w14:paraId="216CE302" w14:textId="77777777" w:rsidR="002025EA" w:rsidRPr="002025EA" w:rsidRDefault="002025EA" w:rsidP="002025EA">
      <w:pPr>
        <w:pStyle w:val="EndNoteBibliography"/>
        <w:ind w:left="720" w:hanging="720"/>
      </w:pPr>
      <w:bookmarkStart w:id="54" w:name="_ENREF_23"/>
      <w:r w:rsidRPr="002025EA">
        <w:t>23. Wykes TL, Lee AA, McKibbin CL, et al. Self-Efficacy and Hemoglobin A1C Among Adults With Serious Mental Illness and Type 2 Diabetes: The Roles of Cognitive Functioning and Psychiatric Symptom Severity. Psychosomatic Medicine 2016;</w:t>
      </w:r>
      <w:r w:rsidRPr="002025EA">
        <w:rPr>
          <w:b/>
        </w:rPr>
        <w:t>78</w:t>
      </w:r>
      <w:r w:rsidRPr="002025EA">
        <w:t>(3):263-70.</w:t>
      </w:r>
      <w:bookmarkEnd w:id="54"/>
    </w:p>
    <w:p w14:paraId="2E676F1C" w14:textId="77777777" w:rsidR="002025EA" w:rsidRPr="002025EA" w:rsidRDefault="002025EA" w:rsidP="002025EA">
      <w:pPr>
        <w:pStyle w:val="EndNoteBibliography"/>
        <w:ind w:left="720" w:hanging="720"/>
      </w:pPr>
      <w:bookmarkStart w:id="55" w:name="_ENREF_24"/>
      <w:r w:rsidRPr="002025EA">
        <w:t>24. Chen SR, Chien YP, Kang CM, et al. Comparing self</w:t>
      </w:r>
      <w:r w:rsidRPr="002025EA">
        <w:rPr>
          <w:rFonts w:eastAsia="Calibri"/>
        </w:rPr>
        <w:t>‐</w:t>
      </w:r>
      <w:r w:rsidRPr="002025EA">
        <w:t>efficacy and self</w:t>
      </w:r>
      <w:r w:rsidRPr="002025EA">
        <w:rPr>
          <w:rFonts w:eastAsia="Calibri"/>
        </w:rPr>
        <w:t>‐</w:t>
      </w:r>
      <w:r w:rsidRPr="002025EA">
        <w:t>care behaviours between outpatients with comorbid schizophrenia and type 2 diabetes and outpatients with only type 2 diabetes. Journal of Psychiatric and Mental Health Nursing 2014;</w:t>
      </w:r>
      <w:r w:rsidRPr="002025EA">
        <w:rPr>
          <w:b/>
        </w:rPr>
        <w:t>21</w:t>
      </w:r>
      <w:r w:rsidRPr="002025EA">
        <w:t>(5):414-22.</w:t>
      </w:r>
      <w:bookmarkEnd w:id="55"/>
    </w:p>
    <w:p w14:paraId="3E2BC034" w14:textId="77777777" w:rsidR="002025EA" w:rsidRPr="002025EA" w:rsidRDefault="002025EA" w:rsidP="002025EA">
      <w:pPr>
        <w:pStyle w:val="EndNoteBibliography"/>
        <w:ind w:left="720" w:hanging="720"/>
      </w:pPr>
      <w:bookmarkStart w:id="56" w:name="_ENREF_25"/>
      <w:r w:rsidRPr="002025EA">
        <w:t>25. Herrett E, Gallagher AM, Bhaskaran K, et al. Data resource profile: clinical practice research datalink (CPRD). Int J Epidemiol 2015;</w:t>
      </w:r>
      <w:r w:rsidRPr="002025EA">
        <w:rPr>
          <w:b/>
        </w:rPr>
        <w:t>44</w:t>
      </w:r>
      <w:r w:rsidRPr="002025EA">
        <w:t>(3):827-36.</w:t>
      </w:r>
      <w:bookmarkEnd w:id="56"/>
    </w:p>
    <w:p w14:paraId="5FBB245D" w14:textId="77777777" w:rsidR="002025EA" w:rsidRPr="002025EA" w:rsidRDefault="002025EA" w:rsidP="002025EA">
      <w:pPr>
        <w:pStyle w:val="EndNoteBibliography"/>
        <w:ind w:left="720" w:hanging="720"/>
      </w:pPr>
      <w:bookmarkStart w:id="57" w:name="_ENREF_26"/>
      <w:r w:rsidRPr="002025EA">
        <w:t>26. Booth N. What are the Read codes? Health Libraries Review 1994;</w:t>
      </w:r>
      <w:r w:rsidRPr="002025EA">
        <w:rPr>
          <w:b/>
        </w:rPr>
        <w:t>11</w:t>
      </w:r>
      <w:r w:rsidRPr="002025EA">
        <w:t>(3):177-82.</w:t>
      </w:r>
      <w:bookmarkEnd w:id="57"/>
    </w:p>
    <w:p w14:paraId="2A05E508" w14:textId="77777777" w:rsidR="002025EA" w:rsidRPr="002025EA" w:rsidRDefault="002025EA" w:rsidP="002025EA">
      <w:pPr>
        <w:pStyle w:val="EndNoteBibliography"/>
        <w:ind w:left="720" w:hanging="720"/>
      </w:pPr>
      <w:bookmarkStart w:id="58" w:name="_ENREF_27"/>
      <w:r w:rsidRPr="002025EA">
        <w:t xml:space="preserve">27. World Health Organization, editor. </w:t>
      </w:r>
      <w:r w:rsidRPr="002025EA">
        <w:rPr>
          <w:i/>
        </w:rPr>
        <w:t>The Tenth Revision of the International Classification of Diseases and Related Health Problems (ICD-10)</w:t>
      </w:r>
      <w:r w:rsidRPr="002025EA">
        <w:t>. Geneva: World Health Organisation, 1992.</w:t>
      </w:r>
      <w:bookmarkEnd w:id="58"/>
    </w:p>
    <w:p w14:paraId="70E8F970" w14:textId="77777777" w:rsidR="002025EA" w:rsidRPr="002025EA" w:rsidRDefault="002025EA" w:rsidP="002025EA">
      <w:pPr>
        <w:pStyle w:val="EndNoteBibliography"/>
        <w:ind w:left="720" w:hanging="720"/>
      </w:pPr>
      <w:bookmarkStart w:id="59" w:name="_ENREF_28"/>
      <w:r w:rsidRPr="002025EA">
        <w:t>28. Bardsley M, Blunt I, Davies S, et al. Is secondary preventive care improving? Observational study of 10-year trends in emergency admissions for conditions amenable to ambulatory care. BMJ Open 2013;</w:t>
      </w:r>
      <w:r w:rsidRPr="002025EA">
        <w:rPr>
          <w:b/>
        </w:rPr>
        <w:t>3</w:t>
      </w:r>
      <w:r w:rsidRPr="002025EA">
        <w:t>(1):e002007.</w:t>
      </w:r>
      <w:bookmarkEnd w:id="59"/>
    </w:p>
    <w:p w14:paraId="1F5174C1" w14:textId="77777777" w:rsidR="002025EA" w:rsidRPr="002025EA" w:rsidRDefault="002025EA" w:rsidP="002025EA">
      <w:pPr>
        <w:pStyle w:val="EndNoteBibliography"/>
        <w:ind w:left="720" w:hanging="720"/>
      </w:pPr>
      <w:bookmarkStart w:id="60" w:name="_ENREF_29"/>
      <w:r w:rsidRPr="002025EA">
        <w:t>29. Chang KC-M, Soljak M, Lee JT, et al. Coverage of a national cardiovascular risk assessment and management programme (NHS Health Check): Retrospective database study. Preventive Medicine 2015;</w:t>
      </w:r>
      <w:r w:rsidRPr="002025EA">
        <w:rPr>
          <w:b/>
        </w:rPr>
        <w:t>78</w:t>
      </w:r>
      <w:r w:rsidRPr="002025EA">
        <w:t>:1-8.</w:t>
      </w:r>
      <w:bookmarkEnd w:id="60"/>
    </w:p>
    <w:p w14:paraId="6CF88393" w14:textId="77777777" w:rsidR="002025EA" w:rsidRPr="002025EA" w:rsidRDefault="002025EA" w:rsidP="002025EA">
      <w:pPr>
        <w:pStyle w:val="EndNoteBibliography"/>
        <w:ind w:left="720" w:hanging="720"/>
      </w:pPr>
      <w:bookmarkStart w:id="61" w:name="_ENREF_30"/>
      <w:r w:rsidRPr="002025EA">
        <w:t>30. McLennan D, Barnes H, Noble M, et al. The English indices of deprivation 2010. London: Department for Communities and Local Government 2011.</w:t>
      </w:r>
      <w:bookmarkEnd w:id="61"/>
    </w:p>
    <w:p w14:paraId="4B6750D2" w14:textId="77777777" w:rsidR="002025EA" w:rsidRPr="002025EA" w:rsidRDefault="002025EA" w:rsidP="002025EA">
      <w:pPr>
        <w:pStyle w:val="EndNoteBibliography"/>
        <w:ind w:left="720" w:hanging="720"/>
      </w:pPr>
      <w:bookmarkStart w:id="62" w:name="_ENREF_31"/>
      <w:r w:rsidRPr="002025EA">
        <w:t>31. Khan NF, Perera R, Harper S, et al. Adaptation and validation of the Charlson Index for Read/OXMIS coded databases. Bmc Fam Pract 2010;</w:t>
      </w:r>
      <w:r w:rsidRPr="002025EA">
        <w:rPr>
          <w:b/>
        </w:rPr>
        <w:t>11</w:t>
      </w:r>
      <w:r w:rsidRPr="002025EA">
        <w:t>(1):1.</w:t>
      </w:r>
      <w:bookmarkEnd w:id="62"/>
    </w:p>
    <w:p w14:paraId="3788690B" w14:textId="77777777" w:rsidR="002025EA" w:rsidRPr="002025EA" w:rsidRDefault="002025EA" w:rsidP="002025EA">
      <w:pPr>
        <w:pStyle w:val="EndNoteBibliography"/>
        <w:ind w:left="720" w:hanging="720"/>
      </w:pPr>
      <w:bookmarkStart w:id="63" w:name="_ENREF_32"/>
      <w:r w:rsidRPr="002025EA">
        <w:t>32. Cox DR. Regression Models and Life-Tables. Journal of the Royal Statistical Society Series B (Methodological) 1972;</w:t>
      </w:r>
      <w:r w:rsidRPr="002025EA">
        <w:rPr>
          <w:b/>
        </w:rPr>
        <w:t>34</w:t>
      </w:r>
      <w:r w:rsidRPr="002025EA">
        <w:t>(2):187-220.</w:t>
      </w:r>
      <w:bookmarkEnd w:id="63"/>
    </w:p>
    <w:p w14:paraId="5749AA2B" w14:textId="77777777" w:rsidR="002025EA" w:rsidRPr="002025EA" w:rsidRDefault="002025EA" w:rsidP="002025EA">
      <w:pPr>
        <w:pStyle w:val="EndNoteBibliography"/>
        <w:ind w:left="720" w:hanging="720"/>
      </w:pPr>
      <w:bookmarkStart w:id="64" w:name="_ENREF_33"/>
      <w:r w:rsidRPr="002025EA">
        <w:t>33. Yen C-F, Yeh M-L, Chen C-S, et al. Predictive value of insight for suicide, violence, hospitalization, and social adjustment for outpatients with schizophrenia: a prospective study. Comprehensive psychiatry 2002;</w:t>
      </w:r>
      <w:r w:rsidRPr="002025EA">
        <w:rPr>
          <w:b/>
        </w:rPr>
        <w:t>43</w:t>
      </w:r>
      <w:r w:rsidRPr="002025EA">
        <w:t>(6):443-47.</w:t>
      </w:r>
      <w:bookmarkEnd w:id="64"/>
    </w:p>
    <w:p w14:paraId="3580F7E1" w14:textId="77777777" w:rsidR="002025EA" w:rsidRPr="002025EA" w:rsidRDefault="002025EA" w:rsidP="002025EA">
      <w:pPr>
        <w:pStyle w:val="EndNoteBibliography"/>
        <w:ind w:left="720" w:hanging="720"/>
      </w:pPr>
      <w:bookmarkStart w:id="65" w:name="_ENREF_34"/>
      <w:r w:rsidRPr="002025EA">
        <w:t>34. Yen C-F, Chen C-S, Yen J-Y, et al. The predictive effect of insight on adverse clinical outcomes in bipolar I disorder: A two-year prospective study. Journal of Affective Disorders 2008;</w:t>
      </w:r>
      <w:r w:rsidRPr="002025EA">
        <w:rPr>
          <w:b/>
        </w:rPr>
        <w:t>108</w:t>
      </w:r>
      <w:r w:rsidRPr="002025EA">
        <w:t>(1):121-27.</w:t>
      </w:r>
      <w:bookmarkEnd w:id="65"/>
    </w:p>
    <w:p w14:paraId="309644D5" w14:textId="77777777" w:rsidR="002025EA" w:rsidRPr="002025EA" w:rsidRDefault="002025EA" w:rsidP="002025EA">
      <w:pPr>
        <w:pStyle w:val="EndNoteBibliography"/>
        <w:ind w:left="720" w:hanging="720"/>
      </w:pPr>
      <w:bookmarkStart w:id="66" w:name="_ENREF_35"/>
      <w:r w:rsidRPr="002025EA">
        <w:t>35. Baker R, Bankart MJ, Rashid A, et al. Characteristics of general practices associated with emergency-department attendance rates: a cross-sectional study. BMJ Quality &amp;amp; Safety 2011;</w:t>
      </w:r>
      <w:r w:rsidRPr="002025EA">
        <w:rPr>
          <w:b/>
        </w:rPr>
        <w:t>20</w:t>
      </w:r>
      <w:r w:rsidRPr="002025EA">
        <w:t>(11):953-58.</w:t>
      </w:r>
      <w:bookmarkEnd w:id="66"/>
    </w:p>
    <w:p w14:paraId="709298DA" w14:textId="77777777" w:rsidR="002025EA" w:rsidRPr="002025EA" w:rsidRDefault="002025EA" w:rsidP="002025EA">
      <w:pPr>
        <w:pStyle w:val="EndNoteBibliography"/>
        <w:ind w:left="720" w:hanging="720"/>
      </w:pPr>
      <w:bookmarkStart w:id="67" w:name="_ENREF_36"/>
      <w:r w:rsidRPr="002025EA">
        <w:t>36. Wong CY, Hall J. Does patients’ experience of general practice affect the use of emergency departments? Evidence from Australia. Health Policy 2018;</w:t>
      </w:r>
      <w:r w:rsidRPr="002025EA">
        <w:rPr>
          <w:b/>
        </w:rPr>
        <w:t>122</w:t>
      </w:r>
      <w:r w:rsidRPr="002025EA">
        <w:t>(2):126-33.</w:t>
      </w:r>
      <w:bookmarkEnd w:id="67"/>
    </w:p>
    <w:p w14:paraId="1E1388AE" w14:textId="77777777" w:rsidR="002025EA" w:rsidRPr="002025EA" w:rsidRDefault="002025EA" w:rsidP="002025EA">
      <w:pPr>
        <w:pStyle w:val="EndNoteBibliography"/>
        <w:ind w:left="720" w:hanging="720"/>
      </w:pPr>
      <w:bookmarkStart w:id="68" w:name="_ENREF_37"/>
      <w:r w:rsidRPr="002025EA">
        <w:t>37. Xin H, Kilgore ML, Sen B, et al. Can Nonurgent Emergency Department Care Costs be Reduced? Empirical Evidence from a U.S. Nationally Representative Sample. The Journal of Emergency Medicine 2015;</w:t>
      </w:r>
      <w:r w:rsidRPr="002025EA">
        <w:rPr>
          <w:b/>
        </w:rPr>
        <w:t>49</w:t>
      </w:r>
      <w:r w:rsidRPr="002025EA">
        <w:t>(3):347-54.</w:t>
      </w:r>
      <w:bookmarkEnd w:id="68"/>
    </w:p>
    <w:p w14:paraId="230DCEF8" w14:textId="77777777" w:rsidR="002025EA" w:rsidRPr="002025EA" w:rsidRDefault="002025EA" w:rsidP="002025EA">
      <w:pPr>
        <w:pStyle w:val="EndNoteBibliography"/>
        <w:ind w:left="720" w:hanging="720"/>
      </w:pPr>
      <w:bookmarkStart w:id="69" w:name="_ENREF_38"/>
      <w:r w:rsidRPr="002025EA">
        <w:lastRenderedPageBreak/>
        <w:t>38. Harrison MJ, Dusheiko M, Sutton M, et al. Effect of a national primary care pay for performance scheme on emergency hospital admissions for ambulatory care sensitive conditions: controlled longitudinal study. Bmj 2014;</w:t>
      </w:r>
      <w:r w:rsidRPr="002025EA">
        <w:rPr>
          <w:b/>
        </w:rPr>
        <w:t>349</w:t>
      </w:r>
      <w:r w:rsidRPr="002025EA">
        <w:t>:g6423.</w:t>
      </w:r>
      <w:bookmarkEnd w:id="69"/>
    </w:p>
    <w:p w14:paraId="66A150FE" w14:textId="77777777" w:rsidR="002025EA" w:rsidRPr="002025EA" w:rsidRDefault="002025EA" w:rsidP="002025EA">
      <w:pPr>
        <w:pStyle w:val="EndNoteBibliography"/>
        <w:ind w:left="720" w:hanging="720"/>
      </w:pPr>
      <w:bookmarkStart w:id="70" w:name="_ENREF_39"/>
      <w:r w:rsidRPr="002025EA">
        <w:t>39. Wilson CL, Rhodes KM, Payne RA. Financial incentives improve recognition but not treatment of cardiovascular risk factors in severe mental illness. PLOS ONE 2017;</w:t>
      </w:r>
      <w:r w:rsidRPr="002025EA">
        <w:rPr>
          <w:b/>
        </w:rPr>
        <w:t>12</w:t>
      </w:r>
      <w:r w:rsidRPr="002025EA">
        <w:t>(6):e0179392.</w:t>
      </w:r>
      <w:bookmarkEnd w:id="70"/>
    </w:p>
    <w:p w14:paraId="6B28D7FE" w14:textId="77777777" w:rsidR="002025EA" w:rsidRPr="002025EA" w:rsidRDefault="002025EA" w:rsidP="002025EA">
      <w:pPr>
        <w:pStyle w:val="EndNoteBibliography"/>
        <w:ind w:left="720" w:hanging="720"/>
      </w:pPr>
      <w:bookmarkStart w:id="71" w:name="_ENREF_40"/>
      <w:r w:rsidRPr="002025EA">
        <w:t>40. Berchet C. Emergency Care Services. 2015.</w:t>
      </w:r>
      <w:bookmarkEnd w:id="71"/>
    </w:p>
    <w:p w14:paraId="753C9A8F" w14:textId="77777777" w:rsidR="002025EA" w:rsidRPr="002025EA" w:rsidRDefault="002025EA" w:rsidP="002025EA">
      <w:pPr>
        <w:pStyle w:val="EndNoteBibliography"/>
        <w:ind w:left="720" w:hanging="720"/>
      </w:pPr>
      <w:bookmarkStart w:id="72" w:name="_ENREF_41"/>
      <w:r w:rsidRPr="002025EA">
        <w:t>41. Broadbent M, Jarman H, Berk M. Emergency department mental health triage scales improve outcomes. Journal of Evaluation in Clinical Practice 2004;</w:t>
      </w:r>
      <w:r w:rsidRPr="002025EA">
        <w:rPr>
          <w:b/>
        </w:rPr>
        <w:t>10</w:t>
      </w:r>
      <w:r w:rsidRPr="002025EA">
        <w:t>(1):57-62.</w:t>
      </w:r>
      <w:bookmarkEnd w:id="72"/>
    </w:p>
    <w:p w14:paraId="43FE809A" w14:textId="77777777" w:rsidR="002025EA" w:rsidRPr="002025EA" w:rsidRDefault="002025EA" w:rsidP="002025EA">
      <w:pPr>
        <w:pStyle w:val="EndNoteBibliography"/>
        <w:ind w:left="720" w:hanging="720"/>
      </w:pPr>
      <w:bookmarkStart w:id="73" w:name="_ENREF_42"/>
      <w:r w:rsidRPr="002025EA">
        <w:t>42. Eric P. Slade  PD, Lisa B. Dixon  MD, M.P.H. ,, Sarah Semmel  BA. Trends in the Duration of Emergency Department Visits, 2001–2006. Psychiatric Services 2010;</w:t>
      </w:r>
      <w:r w:rsidRPr="002025EA">
        <w:rPr>
          <w:b/>
        </w:rPr>
        <w:t>61</w:t>
      </w:r>
      <w:r w:rsidRPr="002025EA">
        <w:t>(9):878-84.</w:t>
      </w:r>
      <w:bookmarkEnd w:id="73"/>
    </w:p>
    <w:p w14:paraId="609EB8C1" w14:textId="3102658C" w:rsidR="00685DF0" w:rsidRPr="00976A9A" w:rsidRDefault="009D0A92" w:rsidP="007E7B49">
      <w:pPr>
        <w:pStyle w:val="Caption"/>
        <w:rPr>
          <w:lang w:val="en-GB"/>
        </w:rPr>
      </w:pPr>
      <w:r w:rsidRPr="00976A9A">
        <w:rPr>
          <w:lang w:val="en-GB"/>
        </w:rPr>
        <w:fldChar w:fldCharType="end"/>
      </w:r>
    </w:p>
    <w:sectPr w:rsidR="00685DF0" w:rsidRPr="00976A9A" w:rsidSect="001A7148">
      <w:footnotePr>
        <w:numFmt w:val="lowerRoman"/>
      </w:footnotePr>
      <w:pgSz w:w="11906" w:h="16838"/>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3594C4" w16cid:durableId="1E4B6FE7"/>
  <w16cid:commentId w16cid:paraId="0564C067" w16cid:durableId="1E4B6FE8"/>
  <w16cid:commentId w16cid:paraId="0AD31146" w16cid:durableId="1E4B6FE9"/>
  <w16cid:commentId w16cid:paraId="0DBD14FF" w16cid:durableId="1E4B6FEA"/>
  <w16cid:commentId w16cid:paraId="38FEE3C3" w16cid:durableId="1E4B6FEB"/>
  <w16cid:commentId w16cid:paraId="2E415270" w16cid:durableId="1E4B6FEC"/>
  <w16cid:commentId w16cid:paraId="6C705574" w16cid:durableId="1E4B6FED"/>
  <w16cid:commentId w16cid:paraId="4FC720A0" w16cid:durableId="1E4B6FEE"/>
  <w16cid:commentId w16cid:paraId="7F0E6745" w16cid:durableId="1E4B6FEF"/>
  <w16cid:commentId w16cid:paraId="46786C7C" w16cid:durableId="1E4B6FF0"/>
  <w16cid:commentId w16cid:paraId="7A53E4E1" w16cid:durableId="1E4B6FF1"/>
  <w16cid:commentId w16cid:paraId="03B3E571" w16cid:durableId="1E52966C"/>
  <w16cid:commentId w16cid:paraId="2CD1033E" w16cid:durableId="1E4B6FF2"/>
  <w16cid:commentId w16cid:paraId="7E24C31E" w16cid:durableId="1E4B6FF3"/>
  <w16cid:commentId w16cid:paraId="71F39021" w16cid:durableId="1E4B6FF4"/>
  <w16cid:commentId w16cid:paraId="7EC98FAF" w16cid:durableId="1E4B6FF5"/>
  <w16cid:commentId w16cid:paraId="7DEB6C40" w16cid:durableId="1E3FAB69"/>
  <w16cid:commentId w16cid:paraId="4BA4D6C0" w16cid:durableId="1E3FAB68"/>
  <w16cid:commentId w16cid:paraId="338A336D" w16cid:durableId="1E4B6FF8"/>
  <w16cid:commentId w16cid:paraId="64EA15DD" w16cid:durableId="1E4B6FF9"/>
  <w16cid:commentId w16cid:paraId="390F688D" w16cid:durableId="1E4B6FFA"/>
  <w16cid:commentId w16cid:paraId="742AA238" w16cid:durableId="1E4B6FFB"/>
  <w16cid:commentId w16cid:paraId="1D240F1D" w16cid:durableId="1E4B6FFC"/>
  <w16cid:commentId w16cid:paraId="54AAD872" w16cid:durableId="1E5296F8"/>
  <w16cid:commentId w16cid:paraId="75EC847F" w16cid:durableId="1E529726"/>
  <w16cid:commentId w16cid:paraId="62B3680B" w16cid:durableId="1E529750"/>
  <w16cid:commentId w16cid:paraId="29B8FB99" w16cid:durableId="1E529776"/>
  <w16cid:commentId w16cid:paraId="66DCEE1E" w16cid:durableId="1E4B6FFD"/>
  <w16cid:commentId w16cid:paraId="2F61CDFE" w16cid:durableId="1E4B6FFE"/>
  <w16cid:commentId w16cid:paraId="5C1F15E6" w16cid:durableId="1E4B6FFF"/>
  <w16cid:commentId w16cid:paraId="7B539D06" w16cid:durableId="1E5297AD"/>
  <w16cid:commentId w16cid:paraId="1A46DB64" w16cid:durableId="1E4B7000"/>
  <w16cid:commentId w16cid:paraId="228A1B4A" w16cid:durableId="1E4B7001"/>
  <w16cid:commentId w16cid:paraId="655E8EA5" w16cid:durableId="1E4B7002"/>
  <w16cid:commentId w16cid:paraId="05B9E581" w16cid:durableId="1E5297FC"/>
  <w16cid:commentId w16cid:paraId="71206CE1" w16cid:durableId="1E4B7003"/>
  <w16cid:commentId w16cid:paraId="21106F77" w16cid:durableId="1E4B7004"/>
  <w16cid:commentId w16cid:paraId="3EB28982" w16cid:durableId="1E4B7005"/>
  <w16cid:commentId w16cid:paraId="2ED4016B" w16cid:durableId="1E4B7006"/>
  <w16cid:commentId w16cid:paraId="212CF43C" w16cid:durableId="1E4B7007"/>
  <w16cid:commentId w16cid:paraId="2AFA07AB" w16cid:durableId="1E529834"/>
  <w16cid:commentId w16cid:paraId="5B38C540" w16cid:durableId="1E4B7008"/>
  <w16cid:commentId w16cid:paraId="18BABDB3" w16cid:durableId="1E5298C7"/>
  <w16cid:commentId w16cid:paraId="38E6420B" w16cid:durableId="1E4B7009"/>
  <w16cid:commentId w16cid:paraId="3B8ABB60" w16cid:durableId="1E4B700A"/>
  <w16cid:commentId w16cid:paraId="4B58DE1D" w16cid:durableId="1E4BDA6C"/>
  <w16cid:commentId w16cid:paraId="5C7EDF9B" w16cid:durableId="1E4B700B"/>
  <w16cid:commentId w16cid:paraId="2828407E" w16cid:durableId="1E4B700C"/>
  <w16cid:commentId w16cid:paraId="17D4F7FB" w16cid:durableId="1E3EB946"/>
  <w16cid:commentId w16cid:paraId="044A18CC" w16cid:durableId="1E3EB947"/>
  <w16cid:commentId w16cid:paraId="63CD9CC9" w16cid:durableId="1E3FCCF2"/>
  <w16cid:commentId w16cid:paraId="27226529" w16cid:durableId="1E4B7010"/>
  <w16cid:commentId w16cid:paraId="64B25786" w16cid:durableId="1E4B7011"/>
  <w16cid:commentId w16cid:paraId="1D89001B" w16cid:durableId="1E4B7012"/>
  <w16cid:commentId w16cid:paraId="07D6C547" w16cid:durableId="1E529921"/>
  <w16cid:commentId w16cid:paraId="7DE6800A" w16cid:durableId="1E4B7013"/>
  <w16cid:commentId w16cid:paraId="206F05EB" w16cid:durableId="1E4B7014"/>
  <w16cid:commentId w16cid:paraId="3DCFF6FF" w16cid:durableId="1E4B7015"/>
  <w16cid:commentId w16cid:paraId="2DA40E5C" w16cid:durableId="1E4B7016"/>
  <w16cid:commentId w16cid:paraId="7262D384" w16cid:durableId="1E4B7017"/>
  <w16cid:commentId w16cid:paraId="59C01BBD" w16cid:durableId="1E4B7018"/>
  <w16cid:commentId w16cid:paraId="37B2CFE1" w16cid:durableId="1E4B7019"/>
  <w16cid:commentId w16cid:paraId="7B4CDFF9" w16cid:durableId="1E3FD249"/>
  <w16cid:commentId w16cid:paraId="5EAFABC0" w16cid:durableId="1E4B701B"/>
  <w16cid:commentId w16cid:paraId="15F9EC52" w16cid:durableId="1E4B701C"/>
  <w16cid:commentId w16cid:paraId="09D03E3B" w16cid:durableId="1E4B701D"/>
  <w16cid:commentId w16cid:paraId="3B04A6BE" w16cid:durableId="1E3EB948"/>
  <w16cid:commentId w16cid:paraId="57E713AF" w16cid:durableId="1E3FCF31"/>
  <w16cid:commentId w16cid:paraId="13FF13E3" w16cid:durableId="1E4B7020"/>
  <w16cid:commentId w16cid:paraId="312E3FC6" w16cid:durableId="1E4B7021"/>
  <w16cid:commentId w16cid:paraId="5D36543D" w16cid:durableId="1E4B70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46CF1" w14:textId="77777777" w:rsidR="000C1B76" w:rsidRDefault="000C1B76" w:rsidP="00CA29F2">
      <w:pPr>
        <w:spacing w:line="240" w:lineRule="auto"/>
      </w:pPr>
      <w:r>
        <w:separator/>
      </w:r>
    </w:p>
  </w:endnote>
  <w:endnote w:type="continuationSeparator" w:id="0">
    <w:p w14:paraId="6ED78A10" w14:textId="77777777" w:rsidR="000C1B76" w:rsidRDefault="000C1B76" w:rsidP="00CA29F2">
      <w:pPr>
        <w:spacing w:line="240" w:lineRule="auto"/>
      </w:pPr>
      <w:r>
        <w:continuationSeparator/>
      </w:r>
    </w:p>
  </w:endnote>
  <w:endnote w:type="continuationNotice" w:id="1">
    <w:p w14:paraId="56207C33" w14:textId="77777777" w:rsidR="000C1B76" w:rsidRDefault="000C1B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 45 Light">
    <w:altName w:val="MS Gothic"/>
    <w:panose1 w:val="00000000000000000000"/>
    <w:charset w:val="00"/>
    <w:family w:val="swiss"/>
    <w:notTrueType/>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46567" w14:textId="6CA8038C" w:rsidR="000C1B76" w:rsidRPr="00FA291A" w:rsidRDefault="000C1B76" w:rsidP="00FA291A">
    <w:pPr>
      <w:pStyle w:val="Footer"/>
      <w:rPr>
        <w:rFonts w:cs="Times New Roman"/>
        <w:sz w:val="20"/>
        <w:szCs w:val="20"/>
      </w:rPr>
    </w:pPr>
    <w:r>
      <w:rPr>
        <w:rFonts w:cs="Times New Roman"/>
        <w:sz w:val="20"/>
        <w:szCs w:val="20"/>
      </w:rPr>
      <w:tab/>
    </w:r>
    <w:r w:rsidRPr="00852126">
      <w:rPr>
        <w:rFonts w:cs="Times New Roman"/>
        <w:sz w:val="20"/>
        <w:szCs w:val="20"/>
      </w:rPr>
      <w:fldChar w:fldCharType="begin"/>
    </w:r>
    <w:r w:rsidRPr="00852126">
      <w:rPr>
        <w:rFonts w:cs="Times New Roman"/>
        <w:sz w:val="20"/>
        <w:szCs w:val="20"/>
      </w:rPr>
      <w:instrText xml:space="preserve"> PAGE </w:instrText>
    </w:r>
    <w:r w:rsidRPr="00852126">
      <w:rPr>
        <w:rFonts w:cs="Times New Roman"/>
        <w:sz w:val="20"/>
        <w:szCs w:val="20"/>
      </w:rPr>
      <w:fldChar w:fldCharType="separate"/>
    </w:r>
    <w:r w:rsidR="00CF07A6">
      <w:rPr>
        <w:rFonts w:cs="Times New Roman"/>
        <w:noProof/>
        <w:sz w:val="20"/>
        <w:szCs w:val="20"/>
      </w:rPr>
      <w:t>2</w:t>
    </w:r>
    <w:r w:rsidRPr="00852126">
      <w:rPr>
        <w:rFonts w:cs="Times New Roman"/>
        <w:sz w:val="20"/>
        <w:szCs w:val="20"/>
      </w:rPr>
      <w:fldChar w:fldCharType="end"/>
    </w:r>
    <w:r w:rsidRPr="00852126">
      <w:rPr>
        <w:rFonts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D6C2D" w14:textId="77777777" w:rsidR="000C1B76" w:rsidRDefault="000C1B76" w:rsidP="00CA29F2">
      <w:pPr>
        <w:spacing w:line="240" w:lineRule="auto"/>
      </w:pPr>
      <w:r>
        <w:separator/>
      </w:r>
    </w:p>
  </w:footnote>
  <w:footnote w:type="continuationSeparator" w:id="0">
    <w:p w14:paraId="0913D95D" w14:textId="77777777" w:rsidR="000C1B76" w:rsidRDefault="000C1B76" w:rsidP="00CA29F2">
      <w:pPr>
        <w:spacing w:line="240" w:lineRule="auto"/>
      </w:pPr>
      <w:r>
        <w:continuationSeparator/>
      </w:r>
    </w:p>
  </w:footnote>
  <w:footnote w:type="continuationNotice" w:id="1">
    <w:p w14:paraId="18869F95" w14:textId="77777777" w:rsidR="000C1B76" w:rsidRDefault="000C1B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12A9C"/>
    <w:multiLevelType w:val="hybridMultilevel"/>
    <w:tmpl w:val="D2105EC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95145D"/>
    <w:multiLevelType w:val="hybridMultilevel"/>
    <w:tmpl w:val="FAE008A6"/>
    <w:lvl w:ilvl="0" w:tplc="AEB627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061388"/>
    <w:multiLevelType w:val="hybridMultilevel"/>
    <w:tmpl w:val="FFC61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5A769D"/>
    <w:multiLevelType w:val="multilevel"/>
    <w:tmpl w:val="85F8DB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60323565"/>
    <w:multiLevelType w:val="hybridMultilevel"/>
    <w:tmpl w:val="9E907B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077C8D"/>
    <w:multiLevelType w:val="hybridMultilevel"/>
    <w:tmpl w:val="EA10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F52A45"/>
    <w:multiLevelType w:val="hybridMultilevel"/>
    <w:tmpl w:val="CA3E23F4"/>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9A7708"/>
    <w:multiLevelType w:val="hybridMultilevel"/>
    <w:tmpl w:val="651EB3FC"/>
    <w:lvl w:ilvl="0" w:tplc="4E08E45A">
      <w:start w:val="1"/>
      <w:numFmt w:val="bullet"/>
      <w:lvlText w:val="•"/>
      <w:lvlJc w:val="left"/>
      <w:pPr>
        <w:tabs>
          <w:tab w:val="num" w:pos="720"/>
        </w:tabs>
        <w:ind w:left="720" w:hanging="360"/>
      </w:pPr>
      <w:rPr>
        <w:rFonts w:ascii="Arial" w:hAnsi="Arial" w:hint="default"/>
      </w:rPr>
    </w:lvl>
    <w:lvl w:ilvl="1" w:tplc="CCECFEAC">
      <w:start w:val="2720"/>
      <w:numFmt w:val="bullet"/>
      <w:lvlText w:val="•"/>
      <w:lvlJc w:val="left"/>
      <w:pPr>
        <w:tabs>
          <w:tab w:val="num" w:pos="1440"/>
        </w:tabs>
        <w:ind w:left="1440" w:hanging="360"/>
      </w:pPr>
      <w:rPr>
        <w:rFonts w:ascii="Arial" w:hAnsi="Arial" w:hint="default"/>
      </w:rPr>
    </w:lvl>
    <w:lvl w:ilvl="2" w:tplc="9D22CEE8" w:tentative="1">
      <w:start w:val="1"/>
      <w:numFmt w:val="bullet"/>
      <w:lvlText w:val="•"/>
      <w:lvlJc w:val="left"/>
      <w:pPr>
        <w:tabs>
          <w:tab w:val="num" w:pos="2160"/>
        </w:tabs>
        <w:ind w:left="2160" w:hanging="360"/>
      </w:pPr>
      <w:rPr>
        <w:rFonts w:ascii="Arial" w:hAnsi="Arial" w:hint="default"/>
      </w:rPr>
    </w:lvl>
    <w:lvl w:ilvl="3" w:tplc="316C68EA" w:tentative="1">
      <w:start w:val="1"/>
      <w:numFmt w:val="bullet"/>
      <w:lvlText w:val="•"/>
      <w:lvlJc w:val="left"/>
      <w:pPr>
        <w:tabs>
          <w:tab w:val="num" w:pos="2880"/>
        </w:tabs>
        <w:ind w:left="2880" w:hanging="360"/>
      </w:pPr>
      <w:rPr>
        <w:rFonts w:ascii="Arial" w:hAnsi="Arial" w:hint="default"/>
      </w:rPr>
    </w:lvl>
    <w:lvl w:ilvl="4" w:tplc="6908F0B6" w:tentative="1">
      <w:start w:val="1"/>
      <w:numFmt w:val="bullet"/>
      <w:lvlText w:val="•"/>
      <w:lvlJc w:val="left"/>
      <w:pPr>
        <w:tabs>
          <w:tab w:val="num" w:pos="3600"/>
        </w:tabs>
        <w:ind w:left="3600" w:hanging="360"/>
      </w:pPr>
      <w:rPr>
        <w:rFonts w:ascii="Arial" w:hAnsi="Arial" w:hint="default"/>
      </w:rPr>
    </w:lvl>
    <w:lvl w:ilvl="5" w:tplc="10D29B26" w:tentative="1">
      <w:start w:val="1"/>
      <w:numFmt w:val="bullet"/>
      <w:lvlText w:val="•"/>
      <w:lvlJc w:val="left"/>
      <w:pPr>
        <w:tabs>
          <w:tab w:val="num" w:pos="4320"/>
        </w:tabs>
        <w:ind w:left="4320" w:hanging="360"/>
      </w:pPr>
      <w:rPr>
        <w:rFonts w:ascii="Arial" w:hAnsi="Arial" w:hint="default"/>
      </w:rPr>
    </w:lvl>
    <w:lvl w:ilvl="6" w:tplc="92E6103C" w:tentative="1">
      <w:start w:val="1"/>
      <w:numFmt w:val="bullet"/>
      <w:lvlText w:val="•"/>
      <w:lvlJc w:val="left"/>
      <w:pPr>
        <w:tabs>
          <w:tab w:val="num" w:pos="5040"/>
        </w:tabs>
        <w:ind w:left="5040" w:hanging="360"/>
      </w:pPr>
      <w:rPr>
        <w:rFonts w:ascii="Arial" w:hAnsi="Arial" w:hint="default"/>
      </w:rPr>
    </w:lvl>
    <w:lvl w:ilvl="7" w:tplc="35CA01F6" w:tentative="1">
      <w:start w:val="1"/>
      <w:numFmt w:val="bullet"/>
      <w:lvlText w:val="•"/>
      <w:lvlJc w:val="left"/>
      <w:pPr>
        <w:tabs>
          <w:tab w:val="num" w:pos="5760"/>
        </w:tabs>
        <w:ind w:left="5760" w:hanging="360"/>
      </w:pPr>
      <w:rPr>
        <w:rFonts w:ascii="Arial" w:hAnsi="Arial" w:hint="default"/>
      </w:rPr>
    </w:lvl>
    <w:lvl w:ilvl="8" w:tplc="81401A4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6A441C9"/>
    <w:multiLevelType w:val="hybridMultilevel"/>
    <w:tmpl w:val="20C8FBAA"/>
    <w:lvl w:ilvl="0" w:tplc="94C23D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4"/>
  </w:num>
  <w:num w:numId="5">
    <w:abstractNumId w:val="2"/>
  </w:num>
  <w:num w:numId="6">
    <w:abstractNumId w:val="8"/>
  </w:num>
  <w:num w:numId="7">
    <w:abstractNumId w:val="1"/>
  </w:num>
  <w:num w:numId="8">
    <w:abstractNumId w:val="6"/>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numFmt w:val="lowerRoman"/>
    <w:footnote w:id="-1"/>
    <w:footnote w:id="0"/>
    <w:footnote w:id="1"/>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4D3F32B-DF5B-4AEE-946E-A712BE8A33F1}"/>
    <w:docVar w:name="dgnword-eventsink" w:val="276797792"/>
    <w:docVar w:name="EN.InstantFormat" w:val="&lt;ENInstantFormat&gt;&lt;Enabled&gt;0&lt;/Enabled&gt;&lt;ScanUnformatted&gt;0&lt;/ScanUnformatted&gt;&lt;ScanChanges&gt;0&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svar0xvyasaw1ets97x2v9h905eewfvf0zf&quot;&gt;My EndNote Library-Saved&lt;record-ids&gt;&lt;item&gt;2328&lt;/item&gt;&lt;item&gt;2340&lt;/item&gt;&lt;item&gt;2342&lt;/item&gt;&lt;item&gt;2343&lt;/item&gt;&lt;item&gt;2344&lt;/item&gt;&lt;item&gt;2346&lt;/item&gt;&lt;item&gt;2350&lt;/item&gt;&lt;item&gt;2351&lt;/item&gt;&lt;item&gt;2403&lt;/item&gt;&lt;item&gt;2410&lt;/item&gt;&lt;item&gt;2411&lt;/item&gt;&lt;item&gt;2412&lt;/item&gt;&lt;/record-ids&gt;&lt;/item&gt;&lt;/Libraries&gt;"/>
  </w:docVars>
  <w:rsids>
    <w:rsidRoot w:val="00996E17"/>
    <w:rsid w:val="00000A2C"/>
    <w:rsid w:val="00000C1F"/>
    <w:rsid w:val="00000E1A"/>
    <w:rsid w:val="000015B9"/>
    <w:rsid w:val="0000169B"/>
    <w:rsid w:val="000021D5"/>
    <w:rsid w:val="000037E2"/>
    <w:rsid w:val="0000383F"/>
    <w:rsid w:val="00003ACB"/>
    <w:rsid w:val="00004D5E"/>
    <w:rsid w:val="000054FB"/>
    <w:rsid w:val="00006343"/>
    <w:rsid w:val="00006482"/>
    <w:rsid w:val="00006CD2"/>
    <w:rsid w:val="00007B19"/>
    <w:rsid w:val="00007CFA"/>
    <w:rsid w:val="00011068"/>
    <w:rsid w:val="00011295"/>
    <w:rsid w:val="00012B48"/>
    <w:rsid w:val="00012C11"/>
    <w:rsid w:val="000130EB"/>
    <w:rsid w:val="0001361A"/>
    <w:rsid w:val="00013AC3"/>
    <w:rsid w:val="00013B29"/>
    <w:rsid w:val="000147FF"/>
    <w:rsid w:val="0001480C"/>
    <w:rsid w:val="0001596F"/>
    <w:rsid w:val="000161C0"/>
    <w:rsid w:val="00016371"/>
    <w:rsid w:val="00016A80"/>
    <w:rsid w:val="00016D01"/>
    <w:rsid w:val="00017D9B"/>
    <w:rsid w:val="000201E4"/>
    <w:rsid w:val="0002028F"/>
    <w:rsid w:val="00020BD9"/>
    <w:rsid w:val="00020E5C"/>
    <w:rsid w:val="00021459"/>
    <w:rsid w:val="0002325D"/>
    <w:rsid w:val="000237CC"/>
    <w:rsid w:val="00023B7A"/>
    <w:rsid w:val="0002436B"/>
    <w:rsid w:val="0002617C"/>
    <w:rsid w:val="0003035E"/>
    <w:rsid w:val="000305B0"/>
    <w:rsid w:val="00030B1E"/>
    <w:rsid w:val="0003109E"/>
    <w:rsid w:val="00031470"/>
    <w:rsid w:val="000315A4"/>
    <w:rsid w:val="00031A90"/>
    <w:rsid w:val="00031F6A"/>
    <w:rsid w:val="00032315"/>
    <w:rsid w:val="00032753"/>
    <w:rsid w:val="0003305F"/>
    <w:rsid w:val="0003448F"/>
    <w:rsid w:val="00034730"/>
    <w:rsid w:val="00034954"/>
    <w:rsid w:val="000349E0"/>
    <w:rsid w:val="00035824"/>
    <w:rsid w:val="00036AD8"/>
    <w:rsid w:val="0003754C"/>
    <w:rsid w:val="00037C8D"/>
    <w:rsid w:val="000404D3"/>
    <w:rsid w:val="000407D2"/>
    <w:rsid w:val="00042816"/>
    <w:rsid w:val="00043493"/>
    <w:rsid w:val="000436F0"/>
    <w:rsid w:val="00045964"/>
    <w:rsid w:val="00046342"/>
    <w:rsid w:val="00046869"/>
    <w:rsid w:val="000508B0"/>
    <w:rsid w:val="00051634"/>
    <w:rsid w:val="00053C3C"/>
    <w:rsid w:val="00054BE1"/>
    <w:rsid w:val="00055C66"/>
    <w:rsid w:val="00057223"/>
    <w:rsid w:val="00057B9A"/>
    <w:rsid w:val="00060B8D"/>
    <w:rsid w:val="00060FC9"/>
    <w:rsid w:val="00061206"/>
    <w:rsid w:val="00061D8F"/>
    <w:rsid w:val="00062A5C"/>
    <w:rsid w:val="00063754"/>
    <w:rsid w:val="00065355"/>
    <w:rsid w:val="000657B9"/>
    <w:rsid w:val="000660AE"/>
    <w:rsid w:val="00066A39"/>
    <w:rsid w:val="00067144"/>
    <w:rsid w:val="00067B76"/>
    <w:rsid w:val="0007129A"/>
    <w:rsid w:val="0007153B"/>
    <w:rsid w:val="000716BE"/>
    <w:rsid w:val="00071C5D"/>
    <w:rsid w:val="000738B3"/>
    <w:rsid w:val="00073FD1"/>
    <w:rsid w:val="0007524D"/>
    <w:rsid w:val="000757CC"/>
    <w:rsid w:val="000764E4"/>
    <w:rsid w:val="000771C6"/>
    <w:rsid w:val="000775A4"/>
    <w:rsid w:val="00077FC7"/>
    <w:rsid w:val="00081483"/>
    <w:rsid w:val="000828B8"/>
    <w:rsid w:val="0008297D"/>
    <w:rsid w:val="000832B1"/>
    <w:rsid w:val="000832CA"/>
    <w:rsid w:val="0008343B"/>
    <w:rsid w:val="00084130"/>
    <w:rsid w:val="00087894"/>
    <w:rsid w:val="0009036B"/>
    <w:rsid w:val="00090A52"/>
    <w:rsid w:val="00090C58"/>
    <w:rsid w:val="00090DB9"/>
    <w:rsid w:val="0009102E"/>
    <w:rsid w:val="00092811"/>
    <w:rsid w:val="000928F5"/>
    <w:rsid w:val="0009347D"/>
    <w:rsid w:val="000936D3"/>
    <w:rsid w:val="00093825"/>
    <w:rsid w:val="0009451C"/>
    <w:rsid w:val="00094E83"/>
    <w:rsid w:val="00095619"/>
    <w:rsid w:val="00095733"/>
    <w:rsid w:val="0009586C"/>
    <w:rsid w:val="00095B2D"/>
    <w:rsid w:val="00095F27"/>
    <w:rsid w:val="00096322"/>
    <w:rsid w:val="00096739"/>
    <w:rsid w:val="000A0141"/>
    <w:rsid w:val="000A06D0"/>
    <w:rsid w:val="000A0D63"/>
    <w:rsid w:val="000A0EBF"/>
    <w:rsid w:val="000A1968"/>
    <w:rsid w:val="000A2D5D"/>
    <w:rsid w:val="000A34AE"/>
    <w:rsid w:val="000A359E"/>
    <w:rsid w:val="000A363B"/>
    <w:rsid w:val="000A493B"/>
    <w:rsid w:val="000A4D46"/>
    <w:rsid w:val="000A5D5D"/>
    <w:rsid w:val="000A614E"/>
    <w:rsid w:val="000A6879"/>
    <w:rsid w:val="000A6A5D"/>
    <w:rsid w:val="000A6D4A"/>
    <w:rsid w:val="000A6D79"/>
    <w:rsid w:val="000A79C7"/>
    <w:rsid w:val="000B1050"/>
    <w:rsid w:val="000B19FF"/>
    <w:rsid w:val="000B3060"/>
    <w:rsid w:val="000B34F9"/>
    <w:rsid w:val="000B3661"/>
    <w:rsid w:val="000B4102"/>
    <w:rsid w:val="000B451B"/>
    <w:rsid w:val="000B67AD"/>
    <w:rsid w:val="000B7936"/>
    <w:rsid w:val="000B7AED"/>
    <w:rsid w:val="000C0413"/>
    <w:rsid w:val="000C04BF"/>
    <w:rsid w:val="000C0749"/>
    <w:rsid w:val="000C09AA"/>
    <w:rsid w:val="000C0E08"/>
    <w:rsid w:val="000C1303"/>
    <w:rsid w:val="000C15D4"/>
    <w:rsid w:val="000C1B76"/>
    <w:rsid w:val="000C2046"/>
    <w:rsid w:val="000C2A5D"/>
    <w:rsid w:val="000C4383"/>
    <w:rsid w:val="000C503E"/>
    <w:rsid w:val="000C6134"/>
    <w:rsid w:val="000C6D19"/>
    <w:rsid w:val="000C7376"/>
    <w:rsid w:val="000D02C6"/>
    <w:rsid w:val="000D0B9A"/>
    <w:rsid w:val="000D0D34"/>
    <w:rsid w:val="000D11CC"/>
    <w:rsid w:val="000D1893"/>
    <w:rsid w:val="000D1AA7"/>
    <w:rsid w:val="000D1CFA"/>
    <w:rsid w:val="000D24B6"/>
    <w:rsid w:val="000D2EFC"/>
    <w:rsid w:val="000D32A7"/>
    <w:rsid w:val="000D3D82"/>
    <w:rsid w:val="000D3E04"/>
    <w:rsid w:val="000D4606"/>
    <w:rsid w:val="000D5644"/>
    <w:rsid w:val="000D5A14"/>
    <w:rsid w:val="000D5B06"/>
    <w:rsid w:val="000D7098"/>
    <w:rsid w:val="000D7BB1"/>
    <w:rsid w:val="000E01C8"/>
    <w:rsid w:val="000E1D0B"/>
    <w:rsid w:val="000E22B9"/>
    <w:rsid w:val="000E26A3"/>
    <w:rsid w:val="000E317D"/>
    <w:rsid w:val="000E32EA"/>
    <w:rsid w:val="000E4399"/>
    <w:rsid w:val="000F001C"/>
    <w:rsid w:val="000F0CBC"/>
    <w:rsid w:val="000F1709"/>
    <w:rsid w:val="000F265F"/>
    <w:rsid w:val="000F3627"/>
    <w:rsid w:val="000F3913"/>
    <w:rsid w:val="000F477E"/>
    <w:rsid w:val="000F6A96"/>
    <w:rsid w:val="000F6C15"/>
    <w:rsid w:val="000F6C65"/>
    <w:rsid w:val="000F7970"/>
    <w:rsid w:val="001008B9"/>
    <w:rsid w:val="00101676"/>
    <w:rsid w:val="00102BBE"/>
    <w:rsid w:val="001033B0"/>
    <w:rsid w:val="00104649"/>
    <w:rsid w:val="001052CE"/>
    <w:rsid w:val="001055F4"/>
    <w:rsid w:val="00105A22"/>
    <w:rsid w:val="00107372"/>
    <w:rsid w:val="00107483"/>
    <w:rsid w:val="00107B95"/>
    <w:rsid w:val="001101AF"/>
    <w:rsid w:val="00110C17"/>
    <w:rsid w:val="00112207"/>
    <w:rsid w:val="00112830"/>
    <w:rsid w:val="00112C64"/>
    <w:rsid w:val="0011371A"/>
    <w:rsid w:val="001140B4"/>
    <w:rsid w:val="00114A0F"/>
    <w:rsid w:val="00114ECB"/>
    <w:rsid w:val="00115ABA"/>
    <w:rsid w:val="00116083"/>
    <w:rsid w:val="00120099"/>
    <w:rsid w:val="00120567"/>
    <w:rsid w:val="00120A01"/>
    <w:rsid w:val="001213C7"/>
    <w:rsid w:val="001218D0"/>
    <w:rsid w:val="001239B5"/>
    <w:rsid w:val="00124E10"/>
    <w:rsid w:val="00125621"/>
    <w:rsid w:val="00127524"/>
    <w:rsid w:val="001300EF"/>
    <w:rsid w:val="00130119"/>
    <w:rsid w:val="001307B5"/>
    <w:rsid w:val="001313C2"/>
    <w:rsid w:val="001319A4"/>
    <w:rsid w:val="00131F83"/>
    <w:rsid w:val="0013225F"/>
    <w:rsid w:val="0013233E"/>
    <w:rsid w:val="0013303A"/>
    <w:rsid w:val="0013310E"/>
    <w:rsid w:val="0013333B"/>
    <w:rsid w:val="001340BE"/>
    <w:rsid w:val="00134AB7"/>
    <w:rsid w:val="00134F35"/>
    <w:rsid w:val="00134FFD"/>
    <w:rsid w:val="00135681"/>
    <w:rsid w:val="00135EAD"/>
    <w:rsid w:val="001374D4"/>
    <w:rsid w:val="00137881"/>
    <w:rsid w:val="00141F66"/>
    <w:rsid w:val="001420B9"/>
    <w:rsid w:val="001441E4"/>
    <w:rsid w:val="0014477C"/>
    <w:rsid w:val="0014500E"/>
    <w:rsid w:val="00145CCD"/>
    <w:rsid w:val="001460DB"/>
    <w:rsid w:val="0014642C"/>
    <w:rsid w:val="001471CE"/>
    <w:rsid w:val="001472AA"/>
    <w:rsid w:val="0014738C"/>
    <w:rsid w:val="001475FD"/>
    <w:rsid w:val="001479FC"/>
    <w:rsid w:val="00147B4D"/>
    <w:rsid w:val="00153521"/>
    <w:rsid w:val="00153E53"/>
    <w:rsid w:val="001572D5"/>
    <w:rsid w:val="0015759C"/>
    <w:rsid w:val="001578A5"/>
    <w:rsid w:val="00161021"/>
    <w:rsid w:val="001611F3"/>
    <w:rsid w:val="0016128C"/>
    <w:rsid w:val="00163DB0"/>
    <w:rsid w:val="00166820"/>
    <w:rsid w:val="001668D6"/>
    <w:rsid w:val="00166A07"/>
    <w:rsid w:val="00166C4C"/>
    <w:rsid w:val="001670F9"/>
    <w:rsid w:val="00167ECE"/>
    <w:rsid w:val="00170537"/>
    <w:rsid w:val="0017197E"/>
    <w:rsid w:val="00171B9D"/>
    <w:rsid w:val="00173E6C"/>
    <w:rsid w:val="00173FDC"/>
    <w:rsid w:val="0017557C"/>
    <w:rsid w:val="00175583"/>
    <w:rsid w:val="001762CA"/>
    <w:rsid w:val="00176719"/>
    <w:rsid w:val="001806E3"/>
    <w:rsid w:val="0018107C"/>
    <w:rsid w:val="00181F11"/>
    <w:rsid w:val="001839A5"/>
    <w:rsid w:val="00183BC6"/>
    <w:rsid w:val="00183BDA"/>
    <w:rsid w:val="001849D9"/>
    <w:rsid w:val="0018578C"/>
    <w:rsid w:val="0018579A"/>
    <w:rsid w:val="00186585"/>
    <w:rsid w:val="00191FCC"/>
    <w:rsid w:val="0019313E"/>
    <w:rsid w:val="00193660"/>
    <w:rsid w:val="00193F6E"/>
    <w:rsid w:val="001942C1"/>
    <w:rsid w:val="001956E0"/>
    <w:rsid w:val="00195991"/>
    <w:rsid w:val="00195A29"/>
    <w:rsid w:val="00196172"/>
    <w:rsid w:val="001A0083"/>
    <w:rsid w:val="001A0229"/>
    <w:rsid w:val="001A09CB"/>
    <w:rsid w:val="001A276A"/>
    <w:rsid w:val="001A2A3A"/>
    <w:rsid w:val="001A334C"/>
    <w:rsid w:val="001A3643"/>
    <w:rsid w:val="001A3FE6"/>
    <w:rsid w:val="001A3FE8"/>
    <w:rsid w:val="001A4BFE"/>
    <w:rsid w:val="001A5513"/>
    <w:rsid w:val="001A572C"/>
    <w:rsid w:val="001A7148"/>
    <w:rsid w:val="001A72AC"/>
    <w:rsid w:val="001A7319"/>
    <w:rsid w:val="001A7B74"/>
    <w:rsid w:val="001B14B1"/>
    <w:rsid w:val="001B1D8F"/>
    <w:rsid w:val="001B2D96"/>
    <w:rsid w:val="001B329E"/>
    <w:rsid w:val="001B44F9"/>
    <w:rsid w:val="001B58A7"/>
    <w:rsid w:val="001B5961"/>
    <w:rsid w:val="001B6BF4"/>
    <w:rsid w:val="001B71A2"/>
    <w:rsid w:val="001B7A42"/>
    <w:rsid w:val="001C0047"/>
    <w:rsid w:val="001C02F9"/>
    <w:rsid w:val="001C0929"/>
    <w:rsid w:val="001C1420"/>
    <w:rsid w:val="001C1428"/>
    <w:rsid w:val="001C196E"/>
    <w:rsid w:val="001C29A9"/>
    <w:rsid w:val="001C320E"/>
    <w:rsid w:val="001C320F"/>
    <w:rsid w:val="001C3715"/>
    <w:rsid w:val="001C3795"/>
    <w:rsid w:val="001C3E9C"/>
    <w:rsid w:val="001C4E8D"/>
    <w:rsid w:val="001C5018"/>
    <w:rsid w:val="001C7B81"/>
    <w:rsid w:val="001D018F"/>
    <w:rsid w:val="001D1032"/>
    <w:rsid w:val="001D1B2B"/>
    <w:rsid w:val="001D4D39"/>
    <w:rsid w:val="001D736E"/>
    <w:rsid w:val="001E06BB"/>
    <w:rsid w:val="001E10CE"/>
    <w:rsid w:val="001E1698"/>
    <w:rsid w:val="001E1917"/>
    <w:rsid w:val="001E2DA1"/>
    <w:rsid w:val="001E2FCF"/>
    <w:rsid w:val="001E3F91"/>
    <w:rsid w:val="001E4AB8"/>
    <w:rsid w:val="001E4B96"/>
    <w:rsid w:val="001E4F0F"/>
    <w:rsid w:val="001E5DA0"/>
    <w:rsid w:val="001E5F7A"/>
    <w:rsid w:val="001E601B"/>
    <w:rsid w:val="001E62AE"/>
    <w:rsid w:val="001E6646"/>
    <w:rsid w:val="001E75DD"/>
    <w:rsid w:val="001E76F8"/>
    <w:rsid w:val="001F0799"/>
    <w:rsid w:val="001F1FA9"/>
    <w:rsid w:val="001F2443"/>
    <w:rsid w:val="001F3D52"/>
    <w:rsid w:val="001F47B7"/>
    <w:rsid w:val="001F48AD"/>
    <w:rsid w:val="001F5350"/>
    <w:rsid w:val="001F5C1C"/>
    <w:rsid w:val="001F6F7A"/>
    <w:rsid w:val="001F7114"/>
    <w:rsid w:val="001F7E37"/>
    <w:rsid w:val="001F7EA0"/>
    <w:rsid w:val="0020130E"/>
    <w:rsid w:val="002025EA"/>
    <w:rsid w:val="002030BA"/>
    <w:rsid w:val="0020369A"/>
    <w:rsid w:val="00203914"/>
    <w:rsid w:val="002039E8"/>
    <w:rsid w:val="00204355"/>
    <w:rsid w:val="00205E99"/>
    <w:rsid w:val="00206E55"/>
    <w:rsid w:val="00207D0E"/>
    <w:rsid w:val="00210F29"/>
    <w:rsid w:val="0021173B"/>
    <w:rsid w:val="00212867"/>
    <w:rsid w:val="00212C13"/>
    <w:rsid w:val="00213302"/>
    <w:rsid w:val="00214705"/>
    <w:rsid w:val="00215E6D"/>
    <w:rsid w:val="00217DA1"/>
    <w:rsid w:val="00220123"/>
    <w:rsid w:val="00220BBE"/>
    <w:rsid w:val="002250EF"/>
    <w:rsid w:val="00225ADB"/>
    <w:rsid w:val="0022750F"/>
    <w:rsid w:val="00227DF8"/>
    <w:rsid w:val="00227E43"/>
    <w:rsid w:val="00230221"/>
    <w:rsid w:val="00231DF5"/>
    <w:rsid w:val="002323D7"/>
    <w:rsid w:val="00232BA0"/>
    <w:rsid w:val="002335EF"/>
    <w:rsid w:val="00234D3F"/>
    <w:rsid w:val="002357A8"/>
    <w:rsid w:val="0023585D"/>
    <w:rsid w:val="002359EA"/>
    <w:rsid w:val="0023602D"/>
    <w:rsid w:val="002361FF"/>
    <w:rsid w:val="00236853"/>
    <w:rsid w:val="0023699D"/>
    <w:rsid w:val="00236CE8"/>
    <w:rsid w:val="00236E47"/>
    <w:rsid w:val="00237E15"/>
    <w:rsid w:val="00240EED"/>
    <w:rsid w:val="002414C1"/>
    <w:rsid w:val="00241D59"/>
    <w:rsid w:val="00244048"/>
    <w:rsid w:val="00245D04"/>
    <w:rsid w:val="00246F4F"/>
    <w:rsid w:val="0024717C"/>
    <w:rsid w:val="00251703"/>
    <w:rsid w:val="00251A96"/>
    <w:rsid w:val="00251F36"/>
    <w:rsid w:val="0025245D"/>
    <w:rsid w:val="0025259A"/>
    <w:rsid w:val="002525DA"/>
    <w:rsid w:val="002532FF"/>
    <w:rsid w:val="00253BC3"/>
    <w:rsid w:val="0025562A"/>
    <w:rsid w:val="00256AB3"/>
    <w:rsid w:val="0026104F"/>
    <w:rsid w:val="00262F58"/>
    <w:rsid w:val="00263006"/>
    <w:rsid w:val="0026403A"/>
    <w:rsid w:val="00264563"/>
    <w:rsid w:val="00264DED"/>
    <w:rsid w:val="002660E4"/>
    <w:rsid w:val="00266AEF"/>
    <w:rsid w:val="002672A6"/>
    <w:rsid w:val="00267600"/>
    <w:rsid w:val="0026790A"/>
    <w:rsid w:val="00267969"/>
    <w:rsid w:val="00270417"/>
    <w:rsid w:val="00270E57"/>
    <w:rsid w:val="00272DA0"/>
    <w:rsid w:val="00273638"/>
    <w:rsid w:val="00274E34"/>
    <w:rsid w:val="00274E9D"/>
    <w:rsid w:val="0027599B"/>
    <w:rsid w:val="00281DD9"/>
    <w:rsid w:val="002828D7"/>
    <w:rsid w:val="00282E91"/>
    <w:rsid w:val="00282F56"/>
    <w:rsid w:val="00285006"/>
    <w:rsid w:val="00285BA0"/>
    <w:rsid w:val="00286039"/>
    <w:rsid w:val="002866D9"/>
    <w:rsid w:val="002903CB"/>
    <w:rsid w:val="002906A9"/>
    <w:rsid w:val="00291029"/>
    <w:rsid w:val="00292999"/>
    <w:rsid w:val="0029375D"/>
    <w:rsid w:val="00293A23"/>
    <w:rsid w:val="00294707"/>
    <w:rsid w:val="00294C4F"/>
    <w:rsid w:val="0029515D"/>
    <w:rsid w:val="0029521A"/>
    <w:rsid w:val="0029580A"/>
    <w:rsid w:val="00296416"/>
    <w:rsid w:val="00296607"/>
    <w:rsid w:val="0029773C"/>
    <w:rsid w:val="002977F0"/>
    <w:rsid w:val="002979DD"/>
    <w:rsid w:val="00297ECD"/>
    <w:rsid w:val="002A01D3"/>
    <w:rsid w:val="002A1156"/>
    <w:rsid w:val="002A205C"/>
    <w:rsid w:val="002A3351"/>
    <w:rsid w:val="002A3DDF"/>
    <w:rsid w:val="002A4992"/>
    <w:rsid w:val="002A4A84"/>
    <w:rsid w:val="002A5317"/>
    <w:rsid w:val="002A67AB"/>
    <w:rsid w:val="002A6EA4"/>
    <w:rsid w:val="002A7EB0"/>
    <w:rsid w:val="002B0054"/>
    <w:rsid w:val="002B0976"/>
    <w:rsid w:val="002B0CBC"/>
    <w:rsid w:val="002B221F"/>
    <w:rsid w:val="002B5584"/>
    <w:rsid w:val="002B57A7"/>
    <w:rsid w:val="002B5B58"/>
    <w:rsid w:val="002B6E36"/>
    <w:rsid w:val="002C0847"/>
    <w:rsid w:val="002C146E"/>
    <w:rsid w:val="002C159E"/>
    <w:rsid w:val="002C242F"/>
    <w:rsid w:val="002C3C85"/>
    <w:rsid w:val="002C4060"/>
    <w:rsid w:val="002C41EE"/>
    <w:rsid w:val="002C432E"/>
    <w:rsid w:val="002C4430"/>
    <w:rsid w:val="002C7325"/>
    <w:rsid w:val="002C754C"/>
    <w:rsid w:val="002C7E4E"/>
    <w:rsid w:val="002D0401"/>
    <w:rsid w:val="002D07F8"/>
    <w:rsid w:val="002D08DD"/>
    <w:rsid w:val="002D222A"/>
    <w:rsid w:val="002D3331"/>
    <w:rsid w:val="002D38B9"/>
    <w:rsid w:val="002D4562"/>
    <w:rsid w:val="002D4A85"/>
    <w:rsid w:val="002D5779"/>
    <w:rsid w:val="002D5F03"/>
    <w:rsid w:val="002D5F64"/>
    <w:rsid w:val="002D6C37"/>
    <w:rsid w:val="002D7049"/>
    <w:rsid w:val="002D70EC"/>
    <w:rsid w:val="002D77BD"/>
    <w:rsid w:val="002D7878"/>
    <w:rsid w:val="002D7B85"/>
    <w:rsid w:val="002E001F"/>
    <w:rsid w:val="002E01CE"/>
    <w:rsid w:val="002E09D0"/>
    <w:rsid w:val="002E186E"/>
    <w:rsid w:val="002E1A68"/>
    <w:rsid w:val="002E3B84"/>
    <w:rsid w:val="002E4971"/>
    <w:rsid w:val="002E5265"/>
    <w:rsid w:val="002E597F"/>
    <w:rsid w:val="002E5C1E"/>
    <w:rsid w:val="002E6D1B"/>
    <w:rsid w:val="002E6F4D"/>
    <w:rsid w:val="002E7720"/>
    <w:rsid w:val="002E794D"/>
    <w:rsid w:val="002E79DA"/>
    <w:rsid w:val="002E7C2A"/>
    <w:rsid w:val="002E7F14"/>
    <w:rsid w:val="002F02C1"/>
    <w:rsid w:val="002F0982"/>
    <w:rsid w:val="002F0E49"/>
    <w:rsid w:val="002F1227"/>
    <w:rsid w:val="002F1743"/>
    <w:rsid w:val="002F394C"/>
    <w:rsid w:val="002F3A88"/>
    <w:rsid w:val="002F3B1D"/>
    <w:rsid w:val="002F3DAD"/>
    <w:rsid w:val="002F574F"/>
    <w:rsid w:val="002F6F12"/>
    <w:rsid w:val="002F6F9B"/>
    <w:rsid w:val="002F72A5"/>
    <w:rsid w:val="002F761F"/>
    <w:rsid w:val="0030191B"/>
    <w:rsid w:val="00302353"/>
    <w:rsid w:val="003033C7"/>
    <w:rsid w:val="00306D4E"/>
    <w:rsid w:val="00307877"/>
    <w:rsid w:val="00307EC4"/>
    <w:rsid w:val="00307EE8"/>
    <w:rsid w:val="00310241"/>
    <w:rsid w:val="00310A94"/>
    <w:rsid w:val="00311E5B"/>
    <w:rsid w:val="00312F2A"/>
    <w:rsid w:val="00313D45"/>
    <w:rsid w:val="003154C1"/>
    <w:rsid w:val="00315F3E"/>
    <w:rsid w:val="00316495"/>
    <w:rsid w:val="00316825"/>
    <w:rsid w:val="00316A1E"/>
    <w:rsid w:val="00316ECF"/>
    <w:rsid w:val="003171BF"/>
    <w:rsid w:val="003178E9"/>
    <w:rsid w:val="00317B8B"/>
    <w:rsid w:val="00317EB3"/>
    <w:rsid w:val="003205F4"/>
    <w:rsid w:val="00320837"/>
    <w:rsid w:val="003209E3"/>
    <w:rsid w:val="00320E55"/>
    <w:rsid w:val="003217DA"/>
    <w:rsid w:val="0032358C"/>
    <w:rsid w:val="00325045"/>
    <w:rsid w:val="0032511C"/>
    <w:rsid w:val="003259A5"/>
    <w:rsid w:val="003259B9"/>
    <w:rsid w:val="00326EB0"/>
    <w:rsid w:val="0033085D"/>
    <w:rsid w:val="00333B73"/>
    <w:rsid w:val="00335D21"/>
    <w:rsid w:val="00335D92"/>
    <w:rsid w:val="00335FAD"/>
    <w:rsid w:val="0033695B"/>
    <w:rsid w:val="00337D85"/>
    <w:rsid w:val="00340274"/>
    <w:rsid w:val="00341185"/>
    <w:rsid w:val="00341F2A"/>
    <w:rsid w:val="00341FF9"/>
    <w:rsid w:val="003426B7"/>
    <w:rsid w:val="00342A1A"/>
    <w:rsid w:val="0034325F"/>
    <w:rsid w:val="00343801"/>
    <w:rsid w:val="00344E43"/>
    <w:rsid w:val="00347119"/>
    <w:rsid w:val="00347D06"/>
    <w:rsid w:val="00347D73"/>
    <w:rsid w:val="0035050F"/>
    <w:rsid w:val="00350CE0"/>
    <w:rsid w:val="003510DF"/>
    <w:rsid w:val="003515CB"/>
    <w:rsid w:val="0035225D"/>
    <w:rsid w:val="003533F4"/>
    <w:rsid w:val="00354962"/>
    <w:rsid w:val="00354BB3"/>
    <w:rsid w:val="00355EA1"/>
    <w:rsid w:val="0035627D"/>
    <w:rsid w:val="0035639B"/>
    <w:rsid w:val="003571A6"/>
    <w:rsid w:val="0035763F"/>
    <w:rsid w:val="003612C8"/>
    <w:rsid w:val="003613D5"/>
    <w:rsid w:val="00361CEF"/>
    <w:rsid w:val="0036240B"/>
    <w:rsid w:val="0036259F"/>
    <w:rsid w:val="00362C6A"/>
    <w:rsid w:val="00363029"/>
    <w:rsid w:val="00363D08"/>
    <w:rsid w:val="0036524A"/>
    <w:rsid w:val="0036553E"/>
    <w:rsid w:val="00365B93"/>
    <w:rsid w:val="00365E07"/>
    <w:rsid w:val="0037143B"/>
    <w:rsid w:val="003722CF"/>
    <w:rsid w:val="0037244F"/>
    <w:rsid w:val="003738F1"/>
    <w:rsid w:val="00373C5B"/>
    <w:rsid w:val="00374F70"/>
    <w:rsid w:val="00375F5B"/>
    <w:rsid w:val="00376B5C"/>
    <w:rsid w:val="003829D9"/>
    <w:rsid w:val="00384484"/>
    <w:rsid w:val="00385971"/>
    <w:rsid w:val="00387F8E"/>
    <w:rsid w:val="00390D19"/>
    <w:rsid w:val="0039130B"/>
    <w:rsid w:val="00391460"/>
    <w:rsid w:val="003918E9"/>
    <w:rsid w:val="0039217F"/>
    <w:rsid w:val="00395B52"/>
    <w:rsid w:val="00396D76"/>
    <w:rsid w:val="003978DA"/>
    <w:rsid w:val="00397AE7"/>
    <w:rsid w:val="003A071C"/>
    <w:rsid w:val="003A0F2F"/>
    <w:rsid w:val="003A1528"/>
    <w:rsid w:val="003A19F5"/>
    <w:rsid w:val="003A3015"/>
    <w:rsid w:val="003A3303"/>
    <w:rsid w:val="003A36E9"/>
    <w:rsid w:val="003A40E0"/>
    <w:rsid w:val="003A443D"/>
    <w:rsid w:val="003A4D73"/>
    <w:rsid w:val="003A5156"/>
    <w:rsid w:val="003A57B2"/>
    <w:rsid w:val="003A5DD4"/>
    <w:rsid w:val="003A6066"/>
    <w:rsid w:val="003A6255"/>
    <w:rsid w:val="003A6471"/>
    <w:rsid w:val="003A65C3"/>
    <w:rsid w:val="003A6FBC"/>
    <w:rsid w:val="003A7E5D"/>
    <w:rsid w:val="003B1088"/>
    <w:rsid w:val="003B1762"/>
    <w:rsid w:val="003B1D2F"/>
    <w:rsid w:val="003B213A"/>
    <w:rsid w:val="003B2A6A"/>
    <w:rsid w:val="003B2A73"/>
    <w:rsid w:val="003B31AE"/>
    <w:rsid w:val="003B3507"/>
    <w:rsid w:val="003B374A"/>
    <w:rsid w:val="003B3C0A"/>
    <w:rsid w:val="003B3CC6"/>
    <w:rsid w:val="003B42B7"/>
    <w:rsid w:val="003B4F99"/>
    <w:rsid w:val="003B73ED"/>
    <w:rsid w:val="003B7DE4"/>
    <w:rsid w:val="003C218A"/>
    <w:rsid w:val="003C288E"/>
    <w:rsid w:val="003C3663"/>
    <w:rsid w:val="003C3F23"/>
    <w:rsid w:val="003C7315"/>
    <w:rsid w:val="003C7ABF"/>
    <w:rsid w:val="003D1A2B"/>
    <w:rsid w:val="003D1EC3"/>
    <w:rsid w:val="003D33B0"/>
    <w:rsid w:val="003D34B8"/>
    <w:rsid w:val="003D3A0B"/>
    <w:rsid w:val="003D4C33"/>
    <w:rsid w:val="003D503D"/>
    <w:rsid w:val="003D5598"/>
    <w:rsid w:val="003D6719"/>
    <w:rsid w:val="003D67DD"/>
    <w:rsid w:val="003D6B85"/>
    <w:rsid w:val="003D79FD"/>
    <w:rsid w:val="003D7D81"/>
    <w:rsid w:val="003E0CA1"/>
    <w:rsid w:val="003E148D"/>
    <w:rsid w:val="003E1C99"/>
    <w:rsid w:val="003E2B89"/>
    <w:rsid w:val="003E3730"/>
    <w:rsid w:val="003E49B8"/>
    <w:rsid w:val="003E4F66"/>
    <w:rsid w:val="003E5C6E"/>
    <w:rsid w:val="003E637D"/>
    <w:rsid w:val="003E6FF5"/>
    <w:rsid w:val="003F068A"/>
    <w:rsid w:val="003F126D"/>
    <w:rsid w:val="003F1BEB"/>
    <w:rsid w:val="003F216E"/>
    <w:rsid w:val="003F28E3"/>
    <w:rsid w:val="003F2D49"/>
    <w:rsid w:val="003F306F"/>
    <w:rsid w:val="003F3140"/>
    <w:rsid w:val="003F5B50"/>
    <w:rsid w:val="003F6F85"/>
    <w:rsid w:val="003F7768"/>
    <w:rsid w:val="003F7E75"/>
    <w:rsid w:val="00400924"/>
    <w:rsid w:val="0040320D"/>
    <w:rsid w:val="00403550"/>
    <w:rsid w:val="00404337"/>
    <w:rsid w:val="0040468B"/>
    <w:rsid w:val="004126F8"/>
    <w:rsid w:val="00412C1C"/>
    <w:rsid w:val="00413331"/>
    <w:rsid w:val="004135AF"/>
    <w:rsid w:val="00413A52"/>
    <w:rsid w:val="004141C4"/>
    <w:rsid w:val="004167BA"/>
    <w:rsid w:val="00417757"/>
    <w:rsid w:val="00417DBE"/>
    <w:rsid w:val="004206CE"/>
    <w:rsid w:val="00420B68"/>
    <w:rsid w:val="00420D1A"/>
    <w:rsid w:val="00422F9F"/>
    <w:rsid w:val="00423DC2"/>
    <w:rsid w:val="00425E70"/>
    <w:rsid w:val="0042626D"/>
    <w:rsid w:val="004268C5"/>
    <w:rsid w:val="00426B1C"/>
    <w:rsid w:val="00426D2E"/>
    <w:rsid w:val="00426D68"/>
    <w:rsid w:val="00426DCB"/>
    <w:rsid w:val="00427922"/>
    <w:rsid w:val="004312BA"/>
    <w:rsid w:val="00431E96"/>
    <w:rsid w:val="00432F92"/>
    <w:rsid w:val="00433996"/>
    <w:rsid w:val="00433A69"/>
    <w:rsid w:val="00434C24"/>
    <w:rsid w:val="00434DB4"/>
    <w:rsid w:val="00434ECB"/>
    <w:rsid w:val="0043596F"/>
    <w:rsid w:val="00436012"/>
    <w:rsid w:val="00437DD0"/>
    <w:rsid w:val="00442924"/>
    <w:rsid w:val="00443AD4"/>
    <w:rsid w:val="00443F95"/>
    <w:rsid w:val="00444048"/>
    <w:rsid w:val="0044469F"/>
    <w:rsid w:val="00444F9E"/>
    <w:rsid w:val="0044527F"/>
    <w:rsid w:val="00445A99"/>
    <w:rsid w:val="00446AEB"/>
    <w:rsid w:val="004479BB"/>
    <w:rsid w:val="00447E84"/>
    <w:rsid w:val="00450D28"/>
    <w:rsid w:val="00451197"/>
    <w:rsid w:val="00451790"/>
    <w:rsid w:val="00451D05"/>
    <w:rsid w:val="00452200"/>
    <w:rsid w:val="00453572"/>
    <w:rsid w:val="0045459A"/>
    <w:rsid w:val="0045540B"/>
    <w:rsid w:val="00456FE1"/>
    <w:rsid w:val="00457414"/>
    <w:rsid w:val="00460ABC"/>
    <w:rsid w:val="00461E0D"/>
    <w:rsid w:val="0046253D"/>
    <w:rsid w:val="004629AD"/>
    <w:rsid w:val="00463A5F"/>
    <w:rsid w:val="0046554F"/>
    <w:rsid w:val="00465D96"/>
    <w:rsid w:val="00465FF7"/>
    <w:rsid w:val="00466919"/>
    <w:rsid w:val="00466B94"/>
    <w:rsid w:val="00467444"/>
    <w:rsid w:val="00470E67"/>
    <w:rsid w:val="004719C9"/>
    <w:rsid w:val="004727BE"/>
    <w:rsid w:val="004731DD"/>
    <w:rsid w:val="00474328"/>
    <w:rsid w:val="004744A4"/>
    <w:rsid w:val="004750DD"/>
    <w:rsid w:val="004752F8"/>
    <w:rsid w:val="004753A6"/>
    <w:rsid w:val="00475536"/>
    <w:rsid w:val="00477EB7"/>
    <w:rsid w:val="004804E6"/>
    <w:rsid w:val="00482504"/>
    <w:rsid w:val="004829CD"/>
    <w:rsid w:val="004830D6"/>
    <w:rsid w:val="0048340E"/>
    <w:rsid w:val="0048393D"/>
    <w:rsid w:val="00483FF8"/>
    <w:rsid w:val="00484A21"/>
    <w:rsid w:val="00484AF7"/>
    <w:rsid w:val="004865C1"/>
    <w:rsid w:val="004869FD"/>
    <w:rsid w:val="004910A2"/>
    <w:rsid w:val="00491444"/>
    <w:rsid w:val="004916B9"/>
    <w:rsid w:val="00492181"/>
    <w:rsid w:val="004926DE"/>
    <w:rsid w:val="00493AE0"/>
    <w:rsid w:val="004942FA"/>
    <w:rsid w:val="00494C06"/>
    <w:rsid w:val="00494D0E"/>
    <w:rsid w:val="00495645"/>
    <w:rsid w:val="00496362"/>
    <w:rsid w:val="004970DE"/>
    <w:rsid w:val="004A242F"/>
    <w:rsid w:val="004A42D9"/>
    <w:rsid w:val="004A5FEB"/>
    <w:rsid w:val="004A64FB"/>
    <w:rsid w:val="004A6EAC"/>
    <w:rsid w:val="004A6F6A"/>
    <w:rsid w:val="004A6FA6"/>
    <w:rsid w:val="004A7CF6"/>
    <w:rsid w:val="004A7DAF"/>
    <w:rsid w:val="004B09AC"/>
    <w:rsid w:val="004B0C96"/>
    <w:rsid w:val="004B24F4"/>
    <w:rsid w:val="004B29AD"/>
    <w:rsid w:val="004B3484"/>
    <w:rsid w:val="004B35F8"/>
    <w:rsid w:val="004B3861"/>
    <w:rsid w:val="004B3CF1"/>
    <w:rsid w:val="004B439C"/>
    <w:rsid w:val="004B5E01"/>
    <w:rsid w:val="004B6871"/>
    <w:rsid w:val="004B6E6D"/>
    <w:rsid w:val="004B6E9E"/>
    <w:rsid w:val="004B769C"/>
    <w:rsid w:val="004B7BD9"/>
    <w:rsid w:val="004B7DDE"/>
    <w:rsid w:val="004B7F10"/>
    <w:rsid w:val="004C05B5"/>
    <w:rsid w:val="004C09E8"/>
    <w:rsid w:val="004C0CD1"/>
    <w:rsid w:val="004C14C8"/>
    <w:rsid w:val="004C1726"/>
    <w:rsid w:val="004C1D0A"/>
    <w:rsid w:val="004C2D2E"/>
    <w:rsid w:val="004C3EA7"/>
    <w:rsid w:val="004C41C9"/>
    <w:rsid w:val="004C4BB5"/>
    <w:rsid w:val="004C56EA"/>
    <w:rsid w:val="004C5C57"/>
    <w:rsid w:val="004C6449"/>
    <w:rsid w:val="004C64A0"/>
    <w:rsid w:val="004C6CBC"/>
    <w:rsid w:val="004C70A4"/>
    <w:rsid w:val="004C72E5"/>
    <w:rsid w:val="004C7B63"/>
    <w:rsid w:val="004D1972"/>
    <w:rsid w:val="004D1B23"/>
    <w:rsid w:val="004D22D3"/>
    <w:rsid w:val="004D6CF7"/>
    <w:rsid w:val="004E1E82"/>
    <w:rsid w:val="004E2439"/>
    <w:rsid w:val="004E3EAF"/>
    <w:rsid w:val="004E4EB2"/>
    <w:rsid w:val="004E52B8"/>
    <w:rsid w:val="004E5406"/>
    <w:rsid w:val="004F16E0"/>
    <w:rsid w:val="004F1C91"/>
    <w:rsid w:val="004F2EE7"/>
    <w:rsid w:val="004F2FCC"/>
    <w:rsid w:val="004F338D"/>
    <w:rsid w:val="004F3A05"/>
    <w:rsid w:val="004F51BA"/>
    <w:rsid w:val="004F5C02"/>
    <w:rsid w:val="004F5C64"/>
    <w:rsid w:val="004F671E"/>
    <w:rsid w:val="004F673C"/>
    <w:rsid w:val="004F68D3"/>
    <w:rsid w:val="004F6B81"/>
    <w:rsid w:val="0050251E"/>
    <w:rsid w:val="00502ED0"/>
    <w:rsid w:val="00504486"/>
    <w:rsid w:val="00505522"/>
    <w:rsid w:val="005056ED"/>
    <w:rsid w:val="00507925"/>
    <w:rsid w:val="00507A3E"/>
    <w:rsid w:val="00507B5C"/>
    <w:rsid w:val="00507E2D"/>
    <w:rsid w:val="00510BCC"/>
    <w:rsid w:val="005121FA"/>
    <w:rsid w:val="0051237A"/>
    <w:rsid w:val="005133CB"/>
    <w:rsid w:val="005134B8"/>
    <w:rsid w:val="00516BF7"/>
    <w:rsid w:val="00517455"/>
    <w:rsid w:val="00517822"/>
    <w:rsid w:val="00520A46"/>
    <w:rsid w:val="00520A7B"/>
    <w:rsid w:val="0052231D"/>
    <w:rsid w:val="005226AA"/>
    <w:rsid w:val="00522C56"/>
    <w:rsid w:val="00523FCE"/>
    <w:rsid w:val="00524B4E"/>
    <w:rsid w:val="00525391"/>
    <w:rsid w:val="005256B1"/>
    <w:rsid w:val="00526C44"/>
    <w:rsid w:val="00526E7B"/>
    <w:rsid w:val="00527478"/>
    <w:rsid w:val="0052790E"/>
    <w:rsid w:val="00527FC1"/>
    <w:rsid w:val="00530914"/>
    <w:rsid w:val="00530FA1"/>
    <w:rsid w:val="00532C6D"/>
    <w:rsid w:val="00532EBA"/>
    <w:rsid w:val="00533F4A"/>
    <w:rsid w:val="00534CB1"/>
    <w:rsid w:val="0053503E"/>
    <w:rsid w:val="00535651"/>
    <w:rsid w:val="00535A5B"/>
    <w:rsid w:val="00536BB5"/>
    <w:rsid w:val="005377E0"/>
    <w:rsid w:val="00541CA0"/>
    <w:rsid w:val="00541F08"/>
    <w:rsid w:val="00543409"/>
    <w:rsid w:val="0054390C"/>
    <w:rsid w:val="00545AF1"/>
    <w:rsid w:val="005467FB"/>
    <w:rsid w:val="00547CCB"/>
    <w:rsid w:val="00550F06"/>
    <w:rsid w:val="005512E4"/>
    <w:rsid w:val="0055192C"/>
    <w:rsid w:val="00551D85"/>
    <w:rsid w:val="00552018"/>
    <w:rsid w:val="0055271B"/>
    <w:rsid w:val="005528F8"/>
    <w:rsid w:val="00552D0B"/>
    <w:rsid w:val="00552E68"/>
    <w:rsid w:val="00553222"/>
    <w:rsid w:val="005533E4"/>
    <w:rsid w:val="00554864"/>
    <w:rsid w:val="00555C41"/>
    <w:rsid w:val="00555E1A"/>
    <w:rsid w:val="00556076"/>
    <w:rsid w:val="00556E6A"/>
    <w:rsid w:val="00556E95"/>
    <w:rsid w:val="00560A8E"/>
    <w:rsid w:val="00560B8B"/>
    <w:rsid w:val="00562A99"/>
    <w:rsid w:val="00562B96"/>
    <w:rsid w:val="00562FD9"/>
    <w:rsid w:val="00563D90"/>
    <w:rsid w:val="00563FCF"/>
    <w:rsid w:val="00564CC5"/>
    <w:rsid w:val="005662A9"/>
    <w:rsid w:val="00566AEA"/>
    <w:rsid w:val="00567284"/>
    <w:rsid w:val="005672E1"/>
    <w:rsid w:val="005676A9"/>
    <w:rsid w:val="00570E49"/>
    <w:rsid w:val="00570EEA"/>
    <w:rsid w:val="00572359"/>
    <w:rsid w:val="005729B0"/>
    <w:rsid w:val="00572ABB"/>
    <w:rsid w:val="005741BC"/>
    <w:rsid w:val="00574E7B"/>
    <w:rsid w:val="00576642"/>
    <w:rsid w:val="00576D76"/>
    <w:rsid w:val="00576EC5"/>
    <w:rsid w:val="00580537"/>
    <w:rsid w:val="005811B3"/>
    <w:rsid w:val="00581B59"/>
    <w:rsid w:val="005826FB"/>
    <w:rsid w:val="00582A8E"/>
    <w:rsid w:val="00583967"/>
    <w:rsid w:val="00583EA6"/>
    <w:rsid w:val="00585BB6"/>
    <w:rsid w:val="005863A9"/>
    <w:rsid w:val="005865B4"/>
    <w:rsid w:val="00586666"/>
    <w:rsid w:val="00587B03"/>
    <w:rsid w:val="00590D88"/>
    <w:rsid w:val="00590FF8"/>
    <w:rsid w:val="00591AC3"/>
    <w:rsid w:val="00591AC7"/>
    <w:rsid w:val="00591B56"/>
    <w:rsid w:val="00591C97"/>
    <w:rsid w:val="00592E66"/>
    <w:rsid w:val="005934C1"/>
    <w:rsid w:val="00593D88"/>
    <w:rsid w:val="005948C3"/>
    <w:rsid w:val="005948EC"/>
    <w:rsid w:val="00594A36"/>
    <w:rsid w:val="00595267"/>
    <w:rsid w:val="0059562A"/>
    <w:rsid w:val="00595861"/>
    <w:rsid w:val="00597BE7"/>
    <w:rsid w:val="00597F8A"/>
    <w:rsid w:val="005A00A0"/>
    <w:rsid w:val="005A08ED"/>
    <w:rsid w:val="005A1451"/>
    <w:rsid w:val="005A2754"/>
    <w:rsid w:val="005A3286"/>
    <w:rsid w:val="005A37BA"/>
    <w:rsid w:val="005A47BE"/>
    <w:rsid w:val="005A4B33"/>
    <w:rsid w:val="005A4CFB"/>
    <w:rsid w:val="005A5981"/>
    <w:rsid w:val="005A7173"/>
    <w:rsid w:val="005B03AF"/>
    <w:rsid w:val="005B1E20"/>
    <w:rsid w:val="005B5315"/>
    <w:rsid w:val="005B5575"/>
    <w:rsid w:val="005B62E3"/>
    <w:rsid w:val="005B649D"/>
    <w:rsid w:val="005B6EB4"/>
    <w:rsid w:val="005C09F2"/>
    <w:rsid w:val="005C0D68"/>
    <w:rsid w:val="005C1381"/>
    <w:rsid w:val="005C183D"/>
    <w:rsid w:val="005C2C27"/>
    <w:rsid w:val="005C2DF1"/>
    <w:rsid w:val="005C3A24"/>
    <w:rsid w:val="005C5462"/>
    <w:rsid w:val="005C5679"/>
    <w:rsid w:val="005C5F2A"/>
    <w:rsid w:val="005C6CB3"/>
    <w:rsid w:val="005C764E"/>
    <w:rsid w:val="005C7A1D"/>
    <w:rsid w:val="005D009C"/>
    <w:rsid w:val="005D087D"/>
    <w:rsid w:val="005D186F"/>
    <w:rsid w:val="005D31BF"/>
    <w:rsid w:val="005D33C1"/>
    <w:rsid w:val="005D33E3"/>
    <w:rsid w:val="005D4A97"/>
    <w:rsid w:val="005D4ED2"/>
    <w:rsid w:val="005D63B1"/>
    <w:rsid w:val="005D65BE"/>
    <w:rsid w:val="005E0590"/>
    <w:rsid w:val="005E14A9"/>
    <w:rsid w:val="005E2AA5"/>
    <w:rsid w:val="005E393A"/>
    <w:rsid w:val="005E4A02"/>
    <w:rsid w:val="005E5263"/>
    <w:rsid w:val="005E68D2"/>
    <w:rsid w:val="005E68D5"/>
    <w:rsid w:val="005E72A2"/>
    <w:rsid w:val="005E7E1D"/>
    <w:rsid w:val="005F06BD"/>
    <w:rsid w:val="005F06BF"/>
    <w:rsid w:val="005F08EB"/>
    <w:rsid w:val="005F0C14"/>
    <w:rsid w:val="005F18FA"/>
    <w:rsid w:val="005F2152"/>
    <w:rsid w:val="005F2C4B"/>
    <w:rsid w:val="005F38DB"/>
    <w:rsid w:val="005F3AB6"/>
    <w:rsid w:val="005F450B"/>
    <w:rsid w:val="005F531E"/>
    <w:rsid w:val="005F5FFC"/>
    <w:rsid w:val="005F616D"/>
    <w:rsid w:val="005F62E2"/>
    <w:rsid w:val="0060044A"/>
    <w:rsid w:val="00600BD4"/>
    <w:rsid w:val="00600E10"/>
    <w:rsid w:val="006017E8"/>
    <w:rsid w:val="00601AEE"/>
    <w:rsid w:val="00603719"/>
    <w:rsid w:val="0060430C"/>
    <w:rsid w:val="00604E75"/>
    <w:rsid w:val="00605F48"/>
    <w:rsid w:val="00606091"/>
    <w:rsid w:val="006105A5"/>
    <w:rsid w:val="006107C7"/>
    <w:rsid w:val="00611F3B"/>
    <w:rsid w:val="00613016"/>
    <w:rsid w:val="006151D0"/>
    <w:rsid w:val="00615E2F"/>
    <w:rsid w:val="0061795E"/>
    <w:rsid w:val="00617A67"/>
    <w:rsid w:val="00620B48"/>
    <w:rsid w:val="00620C82"/>
    <w:rsid w:val="00620D13"/>
    <w:rsid w:val="00622149"/>
    <w:rsid w:val="006223BD"/>
    <w:rsid w:val="0062359D"/>
    <w:rsid w:val="0062436F"/>
    <w:rsid w:val="006255C9"/>
    <w:rsid w:val="00625C93"/>
    <w:rsid w:val="00625DF1"/>
    <w:rsid w:val="00626241"/>
    <w:rsid w:val="006273E5"/>
    <w:rsid w:val="00630006"/>
    <w:rsid w:val="00631098"/>
    <w:rsid w:val="0063303C"/>
    <w:rsid w:val="00633559"/>
    <w:rsid w:val="00635724"/>
    <w:rsid w:val="00635E35"/>
    <w:rsid w:val="00635FCE"/>
    <w:rsid w:val="00636079"/>
    <w:rsid w:val="00637E10"/>
    <w:rsid w:val="00640985"/>
    <w:rsid w:val="00640CE4"/>
    <w:rsid w:val="00640EE0"/>
    <w:rsid w:val="006417B1"/>
    <w:rsid w:val="00641DCE"/>
    <w:rsid w:val="0064319D"/>
    <w:rsid w:val="00644D26"/>
    <w:rsid w:val="0064668F"/>
    <w:rsid w:val="00647F8A"/>
    <w:rsid w:val="006509AA"/>
    <w:rsid w:val="006521EB"/>
    <w:rsid w:val="006524C1"/>
    <w:rsid w:val="00652AAC"/>
    <w:rsid w:val="0065543F"/>
    <w:rsid w:val="00656700"/>
    <w:rsid w:val="00657135"/>
    <w:rsid w:val="00660D64"/>
    <w:rsid w:val="00662A27"/>
    <w:rsid w:val="00662CA0"/>
    <w:rsid w:val="006633AC"/>
    <w:rsid w:val="00663829"/>
    <w:rsid w:val="006642AF"/>
    <w:rsid w:val="00664811"/>
    <w:rsid w:val="00664CE9"/>
    <w:rsid w:val="00664DF4"/>
    <w:rsid w:val="0066525F"/>
    <w:rsid w:val="006654F1"/>
    <w:rsid w:val="00665596"/>
    <w:rsid w:val="00665B03"/>
    <w:rsid w:val="006668B5"/>
    <w:rsid w:val="00667360"/>
    <w:rsid w:val="00667423"/>
    <w:rsid w:val="006676FD"/>
    <w:rsid w:val="00667F17"/>
    <w:rsid w:val="00670A7F"/>
    <w:rsid w:val="00671133"/>
    <w:rsid w:val="00671C45"/>
    <w:rsid w:val="00672562"/>
    <w:rsid w:val="00673633"/>
    <w:rsid w:val="00673FD2"/>
    <w:rsid w:val="006742E1"/>
    <w:rsid w:val="00674A35"/>
    <w:rsid w:val="006752EC"/>
    <w:rsid w:val="00675D38"/>
    <w:rsid w:val="00676794"/>
    <w:rsid w:val="00680A13"/>
    <w:rsid w:val="00681214"/>
    <w:rsid w:val="006815AA"/>
    <w:rsid w:val="00681F7B"/>
    <w:rsid w:val="00682D25"/>
    <w:rsid w:val="00682E1A"/>
    <w:rsid w:val="0068300C"/>
    <w:rsid w:val="006850F8"/>
    <w:rsid w:val="00685DF0"/>
    <w:rsid w:val="00686518"/>
    <w:rsid w:val="00686E33"/>
    <w:rsid w:val="006916F3"/>
    <w:rsid w:val="00692949"/>
    <w:rsid w:val="006934A7"/>
    <w:rsid w:val="00694307"/>
    <w:rsid w:val="00696056"/>
    <w:rsid w:val="00696816"/>
    <w:rsid w:val="0069713D"/>
    <w:rsid w:val="00697179"/>
    <w:rsid w:val="00697B12"/>
    <w:rsid w:val="00697B41"/>
    <w:rsid w:val="006A3FF1"/>
    <w:rsid w:val="006A40BC"/>
    <w:rsid w:val="006A5844"/>
    <w:rsid w:val="006A66CB"/>
    <w:rsid w:val="006A7520"/>
    <w:rsid w:val="006B0EE1"/>
    <w:rsid w:val="006B20C1"/>
    <w:rsid w:val="006B25A0"/>
    <w:rsid w:val="006B2907"/>
    <w:rsid w:val="006B368E"/>
    <w:rsid w:val="006B486C"/>
    <w:rsid w:val="006B49F7"/>
    <w:rsid w:val="006B6674"/>
    <w:rsid w:val="006B6B51"/>
    <w:rsid w:val="006B6CFD"/>
    <w:rsid w:val="006B6ECB"/>
    <w:rsid w:val="006C027C"/>
    <w:rsid w:val="006C1044"/>
    <w:rsid w:val="006C128C"/>
    <w:rsid w:val="006C1CD4"/>
    <w:rsid w:val="006C2D7E"/>
    <w:rsid w:val="006C2ED7"/>
    <w:rsid w:val="006C3A93"/>
    <w:rsid w:val="006C3EFB"/>
    <w:rsid w:val="006C4590"/>
    <w:rsid w:val="006C4684"/>
    <w:rsid w:val="006C695F"/>
    <w:rsid w:val="006C7552"/>
    <w:rsid w:val="006C76E5"/>
    <w:rsid w:val="006C7FEA"/>
    <w:rsid w:val="006D1074"/>
    <w:rsid w:val="006D2336"/>
    <w:rsid w:val="006D2BB3"/>
    <w:rsid w:val="006D3307"/>
    <w:rsid w:val="006D33CC"/>
    <w:rsid w:val="006D3558"/>
    <w:rsid w:val="006D3B8C"/>
    <w:rsid w:val="006D3BA1"/>
    <w:rsid w:val="006D503C"/>
    <w:rsid w:val="006D538E"/>
    <w:rsid w:val="006D53CB"/>
    <w:rsid w:val="006D54F5"/>
    <w:rsid w:val="006D67D1"/>
    <w:rsid w:val="006D6AD0"/>
    <w:rsid w:val="006D713B"/>
    <w:rsid w:val="006D7FA2"/>
    <w:rsid w:val="006E05F4"/>
    <w:rsid w:val="006E06D0"/>
    <w:rsid w:val="006E0A9C"/>
    <w:rsid w:val="006E1325"/>
    <w:rsid w:val="006E17E4"/>
    <w:rsid w:val="006E1BF0"/>
    <w:rsid w:val="006E242E"/>
    <w:rsid w:val="006E290E"/>
    <w:rsid w:val="006E2EB1"/>
    <w:rsid w:val="006E2F9A"/>
    <w:rsid w:val="006E3531"/>
    <w:rsid w:val="006E4126"/>
    <w:rsid w:val="006E413F"/>
    <w:rsid w:val="006E471B"/>
    <w:rsid w:val="006E49C9"/>
    <w:rsid w:val="006E50EA"/>
    <w:rsid w:val="006E557B"/>
    <w:rsid w:val="006E604A"/>
    <w:rsid w:val="006E6382"/>
    <w:rsid w:val="006E682F"/>
    <w:rsid w:val="006E757D"/>
    <w:rsid w:val="006F1642"/>
    <w:rsid w:val="006F18BB"/>
    <w:rsid w:val="006F2CA0"/>
    <w:rsid w:val="006F34B9"/>
    <w:rsid w:val="006F3FF4"/>
    <w:rsid w:val="006F403E"/>
    <w:rsid w:val="006F5A09"/>
    <w:rsid w:val="006F5C64"/>
    <w:rsid w:val="006F6AB5"/>
    <w:rsid w:val="006F7471"/>
    <w:rsid w:val="006F7616"/>
    <w:rsid w:val="006F77D2"/>
    <w:rsid w:val="00700C01"/>
    <w:rsid w:val="00701631"/>
    <w:rsid w:val="00701CFA"/>
    <w:rsid w:val="00702472"/>
    <w:rsid w:val="00704082"/>
    <w:rsid w:val="00706370"/>
    <w:rsid w:val="00706753"/>
    <w:rsid w:val="00706AC0"/>
    <w:rsid w:val="00710387"/>
    <w:rsid w:val="00711DEA"/>
    <w:rsid w:val="00712358"/>
    <w:rsid w:val="00712DC9"/>
    <w:rsid w:val="00714010"/>
    <w:rsid w:val="0071428D"/>
    <w:rsid w:val="00714680"/>
    <w:rsid w:val="00715129"/>
    <w:rsid w:val="0071584D"/>
    <w:rsid w:val="00715B4C"/>
    <w:rsid w:val="00716C63"/>
    <w:rsid w:val="00717662"/>
    <w:rsid w:val="007216BE"/>
    <w:rsid w:val="007219EC"/>
    <w:rsid w:val="0072222D"/>
    <w:rsid w:val="007228F1"/>
    <w:rsid w:val="007237A0"/>
    <w:rsid w:val="00723FC8"/>
    <w:rsid w:val="00724055"/>
    <w:rsid w:val="0072406B"/>
    <w:rsid w:val="00724884"/>
    <w:rsid w:val="00724D87"/>
    <w:rsid w:val="00726C03"/>
    <w:rsid w:val="00727832"/>
    <w:rsid w:val="007314B2"/>
    <w:rsid w:val="007324E0"/>
    <w:rsid w:val="00733CF4"/>
    <w:rsid w:val="0073501E"/>
    <w:rsid w:val="007353AA"/>
    <w:rsid w:val="00736162"/>
    <w:rsid w:val="00736D3A"/>
    <w:rsid w:val="00737BC8"/>
    <w:rsid w:val="00737CCC"/>
    <w:rsid w:val="00737E08"/>
    <w:rsid w:val="00740882"/>
    <w:rsid w:val="007413EE"/>
    <w:rsid w:val="00741502"/>
    <w:rsid w:val="00742627"/>
    <w:rsid w:val="00742F88"/>
    <w:rsid w:val="00743F61"/>
    <w:rsid w:val="00744473"/>
    <w:rsid w:val="007449B6"/>
    <w:rsid w:val="00747348"/>
    <w:rsid w:val="00750114"/>
    <w:rsid w:val="0075015E"/>
    <w:rsid w:val="00750164"/>
    <w:rsid w:val="00750C83"/>
    <w:rsid w:val="00753E37"/>
    <w:rsid w:val="00754436"/>
    <w:rsid w:val="00756FA8"/>
    <w:rsid w:val="00763655"/>
    <w:rsid w:val="00763A57"/>
    <w:rsid w:val="00763AFD"/>
    <w:rsid w:val="00763EF6"/>
    <w:rsid w:val="00764EAD"/>
    <w:rsid w:val="0076523A"/>
    <w:rsid w:val="007652CF"/>
    <w:rsid w:val="007666A8"/>
    <w:rsid w:val="00766DE9"/>
    <w:rsid w:val="00771CCC"/>
    <w:rsid w:val="00771E86"/>
    <w:rsid w:val="0077200F"/>
    <w:rsid w:val="00772235"/>
    <w:rsid w:val="00772E2F"/>
    <w:rsid w:val="007742E3"/>
    <w:rsid w:val="00774387"/>
    <w:rsid w:val="007745B4"/>
    <w:rsid w:val="00774653"/>
    <w:rsid w:val="007749E7"/>
    <w:rsid w:val="0077504B"/>
    <w:rsid w:val="0077512A"/>
    <w:rsid w:val="00775367"/>
    <w:rsid w:val="007753ED"/>
    <w:rsid w:val="0077642F"/>
    <w:rsid w:val="007766A1"/>
    <w:rsid w:val="0077766A"/>
    <w:rsid w:val="0078128C"/>
    <w:rsid w:val="00781870"/>
    <w:rsid w:val="00782B9D"/>
    <w:rsid w:val="00782C5D"/>
    <w:rsid w:val="00783FE5"/>
    <w:rsid w:val="00784420"/>
    <w:rsid w:val="00784F69"/>
    <w:rsid w:val="00785EE8"/>
    <w:rsid w:val="007878BD"/>
    <w:rsid w:val="007879F5"/>
    <w:rsid w:val="00790AAB"/>
    <w:rsid w:val="0079167B"/>
    <w:rsid w:val="007924FF"/>
    <w:rsid w:val="0079283A"/>
    <w:rsid w:val="0079286C"/>
    <w:rsid w:val="00792D18"/>
    <w:rsid w:val="0079398C"/>
    <w:rsid w:val="00794F32"/>
    <w:rsid w:val="007953CA"/>
    <w:rsid w:val="007960CC"/>
    <w:rsid w:val="007976D5"/>
    <w:rsid w:val="00797D29"/>
    <w:rsid w:val="007A02BE"/>
    <w:rsid w:val="007A0F7B"/>
    <w:rsid w:val="007A14EA"/>
    <w:rsid w:val="007A2796"/>
    <w:rsid w:val="007A3F98"/>
    <w:rsid w:val="007A4595"/>
    <w:rsid w:val="007A4EE9"/>
    <w:rsid w:val="007A6558"/>
    <w:rsid w:val="007A678D"/>
    <w:rsid w:val="007A71E6"/>
    <w:rsid w:val="007A7327"/>
    <w:rsid w:val="007A7ADA"/>
    <w:rsid w:val="007A7EF8"/>
    <w:rsid w:val="007B0B4C"/>
    <w:rsid w:val="007B1031"/>
    <w:rsid w:val="007B2C12"/>
    <w:rsid w:val="007B3619"/>
    <w:rsid w:val="007B45D7"/>
    <w:rsid w:val="007B4C0B"/>
    <w:rsid w:val="007B515B"/>
    <w:rsid w:val="007B751E"/>
    <w:rsid w:val="007B7EAA"/>
    <w:rsid w:val="007C0340"/>
    <w:rsid w:val="007C1147"/>
    <w:rsid w:val="007C1C38"/>
    <w:rsid w:val="007C2EC5"/>
    <w:rsid w:val="007C3A2B"/>
    <w:rsid w:val="007C3ADA"/>
    <w:rsid w:val="007C4923"/>
    <w:rsid w:val="007C5979"/>
    <w:rsid w:val="007C5CF7"/>
    <w:rsid w:val="007C77D9"/>
    <w:rsid w:val="007C7B76"/>
    <w:rsid w:val="007C7C64"/>
    <w:rsid w:val="007D06A4"/>
    <w:rsid w:val="007D32DB"/>
    <w:rsid w:val="007D354E"/>
    <w:rsid w:val="007D4606"/>
    <w:rsid w:val="007D47F7"/>
    <w:rsid w:val="007D4E48"/>
    <w:rsid w:val="007D52FA"/>
    <w:rsid w:val="007D5403"/>
    <w:rsid w:val="007D65C1"/>
    <w:rsid w:val="007D7026"/>
    <w:rsid w:val="007D7C93"/>
    <w:rsid w:val="007E040D"/>
    <w:rsid w:val="007E07B3"/>
    <w:rsid w:val="007E0833"/>
    <w:rsid w:val="007E0CC4"/>
    <w:rsid w:val="007E0D29"/>
    <w:rsid w:val="007E101F"/>
    <w:rsid w:val="007E1507"/>
    <w:rsid w:val="007E16DE"/>
    <w:rsid w:val="007E1B38"/>
    <w:rsid w:val="007E1C87"/>
    <w:rsid w:val="007E27F2"/>
    <w:rsid w:val="007E2ACD"/>
    <w:rsid w:val="007E425A"/>
    <w:rsid w:val="007E598D"/>
    <w:rsid w:val="007E6416"/>
    <w:rsid w:val="007E7B49"/>
    <w:rsid w:val="007E7E97"/>
    <w:rsid w:val="007F0C54"/>
    <w:rsid w:val="007F0CA4"/>
    <w:rsid w:val="007F17C7"/>
    <w:rsid w:val="007F1883"/>
    <w:rsid w:val="007F28F0"/>
    <w:rsid w:val="007F3851"/>
    <w:rsid w:val="007F4274"/>
    <w:rsid w:val="007F46E3"/>
    <w:rsid w:val="007F52DD"/>
    <w:rsid w:val="007F5549"/>
    <w:rsid w:val="007F6448"/>
    <w:rsid w:val="007F6A93"/>
    <w:rsid w:val="007F7E9A"/>
    <w:rsid w:val="00800898"/>
    <w:rsid w:val="00801A99"/>
    <w:rsid w:val="008023CE"/>
    <w:rsid w:val="00804228"/>
    <w:rsid w:val="008049F1"/>
    <w:rsid w:val="00807679"/>
    <w:rsid w:val="00810C8A"/>
    <w:rsid w:val="00811968"/>
    <w:rsid w:val="00811B0C"/>
    <w:rsid w:val="00811DEC"/>
    <w:rsid w:val="00812B4C"/>
    <w:rsid w:val="008143DD"/>
    <w:rsid w:val="008147E2"/>
    <w:rsid w:val="0081566A"/>
    <w:rsid w:val="00815FAE"/>
    <w:rsid w:val="00816035"/>
    <w:rsid w:val="00816395"/>
    <w:rsid w:val="00816407"/>
    <w:rsid w:val="00816953"/>
    <w:rsid w:val="00817E25"/>
    <w:rsid w:val="00820F57"/>
    <w:rsid w:val="0082165F"/>
    <w:rsid w:val="0082238B"/>
    <w:rsid w:val="00822BCB"/>
    <w:rsid w:val="00823071"/>
    <w:rsid w:val="00823A77"/>
    <w:rsid w:val="00823CA9"/>
    <w:rsid w:val="00824124"/>
    <w:rsid w:val="008242A8"/>
    <w:rsid w:val="00824718"/>
    <w:rsid w:val="008253B0"/>
    <w:rsid w:val="00825DFF"/>
    <w:rsid w:val="00825FC5"/>
    <w:rsid w:val="00826BFB"/>
    <w:rsid w:val="00826E3B"/>
    <w:rsid w:val="00827A66"/>
    <w:rsid w:val="0083156B"/>
    <w:rsid w:val="00831571"/>
    <w:rsid w:val="0083215F"/>
    <w:rsid w:val="0083322A"/>
    <w:rsid w:val="00834D4E"/>
    <w:rsid w:val="00834F6F"/>
    <w:rsid w:val="0083514E"/>
    <w:rsid w:val="00835813"/>
    <w:rsid w:val="0083599F"/>
    <w:rsid w:val="008372AF"/>
    <w:rsid w:val="00837BBC"/>
    <w:rsid w:val="00837DE2"/>
    <w:rsid w:val="0084073C"/>
    <w:rsid w:val="00840AA9"/>
    <w:rsid w:val="00840C77"/>
    <w:rsid w:val="00841032"/>
    <w:rsid w:val="008411AE"/>
    <w:rsid w:val="008419AF"/>
    <w:rsid w:val="008420D8"/>
    <w:rsid w:val="008432A9"/>
    <w:rsid w:val="00843D2B"/>
    <w:rsid w:val="00845716"/>
    <w:rsid w:val="0084710A"/>
    <w:rsid w:val="008479DB"/>
    <w:rsid w:val="00847C06"/>
    <w:rsid w:val="0085028A"/>
    <w:rsid w:val="008510F6"/>
    <w:rsid w:val="00851466"/>
    <w:rsid w:val="008517BE"/>
    <w:rsid w:val="00851BB9"/>
    <w:rsid w:val="00852126"/>
    <w:rsid w:val="008525F3"/>
    <w:rsid w:val="00853538"/>
    <w:rsid w:val="00853E06"/>
    <w:rsid w:val="00854618"/>
    <w:rsid w:val="00854EF4"/>
    <w:rsid w:val="0085659F"/>
    <w:rsid w:val="00857CF7"/>
    <w:rsid w:val="00857F7D"/>
    <w:rsid w:val="0086039C"/>
    <w:rsid w:val="008608BF"/>
    <w:rsid w:val="00862748"/>
    <w:rsid w:val="0086635F"/>
    <w:rsid w:val="00866635"/>
    <w:rsid w:val="0086665E"/>
    <w:rsid w:val="00867CD4"/>
    <w:rsid w:val="00867D4C"/>
    <w:rsid w:val="00870C4B"/>
    <w:rsid w:val="00871AD8"/>
    <w:rsid w:val="00872FDD"/>
    <w:rsid w:val="0087333D"/>
    <w:rsid w:val="00873D1E"/>
    <w:rsid w:val="008767E7"/>
    <w:rsid w:val="00876E2B"/>
    <w:rsid w:val="00877DE7"/>
    <w:rsid w:val="0088013F"/>
    <w:rsid w:val="008802D6"/>
    <w:rsid w:val="00880B47"/>
    <w:rsid w:val="00880F5E"/>
    <w:rsid w:val="00881844"/>
    <w:rsid w:val="008818C4"/>
    <w:rsid w:val="00881A73"/>
    <w:rsid w:val="008830F3"/>
    <w:rsid w:val="008834B0"/>
    <w:rsid w:val="00883634"/>
    <w:rsid w:val="00883F54"/>
    <w:rsid w:val="00884286"/>
    <w:rsid w:val="00884740"/>
    <w:rsid w:val="00884BAB"/>
    <w:rsid w:val="00885914"/>
    <w:rsid w:val="00885957"/>
    <w:rsid w:val="008870E3"/>
    <w:rsid w:val="00891D4D"/>
    <w:rsid w:val="00892875"/>
    <w:rsid w:val="008945B9"/>
    <w:rsid w:val="00894690"/>
    <w:rsid w:val="0089554A"/>
    <w:rsid w:val="00895610"/>
    <w:rsid w:val="008957C5"/>
    <w:rsid w:val="008A15EB"/>
    <w:rsid w:val="008A1DCA"/>
    <w:rsid w:val="008A346D"/>
    <w:rsid w:val="008A4018"/>
    <w:rsid w:val="008A4120"/>
    <w:rsid w:val="008A4803"/>
    <w:rsid w:val="008A4D1F"/>
    <w:rsid w:val="008A5AF7"/>
    <w:rsid w:val="008A609B"/>
    <w:rsid w:val="008A64B9"/>
    <w:rsid w:val="008A6AD1"/>
    <w:rsid w:val="008A6D5F"/>
    <w:rsid w:val="008A78A7"/>
    <w:rsid w:val="008B260E"/>
    <w:rsid w:val="008B2B05"/>
    <w:rsid w:val="008B3122"/>
    <w:rsid w:val="008B4210"/>
    <w:rsid w:val="008B4255"/>
    <w:rsid w:val="008B4652"/>
    <w:rsid w:val="008B7CCB"/>
    <w:rsid w:val="008B7DC4"/>
    <w:rsid w:val="008C0AD9"/>
    <w:rsid w:val="008C2C87"/>
    <w:rsid w:val="008C3200"/>
    <w:rsid w:val="008C34DD"/>
    <w:rsid w:val="008C3C00"/>
    <w:rsid w:val="008C5398"/>
    <w:rsid w:val="008C5B48"/>
    <w:rsid w:val="008C6329"/>
    <w:rsid w:val="008C6C6D"/>
    <w:rsid w:val="008C6E60"/>
    <w:rsid w:val="008D00DF"/>
    <w:rsid w:val="008D175D"/>
    <w:rsid w:val="008D3B46"/>
    <w:rsid w:val="008D4007"/>
    <w:rsid w:val="008D42DD"/>
    <w:rsid w:val="008D562C"/>
    <w:rsid w:val="008D78D0"/>
    <w:rsid w:val="008E0A2B"/>
    <w:rsid w:val="008E1261"/>
    <w:rsid w:val="008E136A"/>
    <w:rsid w:val="008E34EB"/>
    <w:rsid w:val="008E3AAE"/>
    <w:rsid w:val="008E414C"/>
    <w:rsid w:val="008E4248"/>
    <w:rsid w:val="008E5289"/>
    <w:rsid w:val="008E5595"/>
    <w:rsid w:val="008E5EB1"/>
    <w:rsid w:val="008E7EE0"/>
    <w:rsid w:val="008F1E62"/>
    <w:rsid w:val="008F25DB"/>
    <w:rsid w:val="008F34CA"/>
    <w:rsid w:val="008F477B"/>
    <w:rsid w:val="008F5B45"/>
    <w:rsid w:val="008F657D"/>
    <w:rsid w:val="008F6CC5"/>
    <w:rsid w:val="008F7D56"/>
    <w:rsid w:val="00901EE0"/>
    <w:rsid w:val="009022F3"/>
    <w:rsid w:val="00902493"/>
    <w:rsid w:val="0090324E"/>
    <w:rsid w:val="00906963"/>
    <w:rsid w:val="00906D9C"/>
    <w:rsid w:val="00906E77"/>
    <w:rsid w:val="009071D1"/>
    <w:rsid w:val="00910503"/>
    <w:rsid w:val="009120ED"/>
    <w:rsid w:val="00912A8F"/>
    <w:rsid w:val="00912B4B"/>
    <w:rsid w:val="00913C7F"/>
    <w:rsid w:val="00913CB4"/>
    <w:rsid w:val="00915B7E"/>
    <w:rsid w:val="009166AA"/>
    <w:rsid w:val="00917339"/>
    <w:rsid w:val="0092017C"/>
    <w:rsid w:val="009202E3"/>
    <w:rsid w:val="00920322"/>
    <w:rsid w:val="009204C3"/>
    <w:rsid w:val="0092286C"/>
    <w:rsid w:val="009238B2"/>
    <w:rsid w:val="00923C3B"/>
    <w:rsid w:val="00924334"/>
    <w:rsid w:val="00924D6A"/>
    <w:rsid w:val="009262E6"/>
    <w:rsid w:val="00926AD8"/>
    <w:rsid w:val="00926D37"/>
    <w:rsid w:val="00926F88"/>
    <w:rsid w:val="009274C2"/>
    <w:rsid w:val="00927C1F"/>
    <w:rsid w:val="009306A5"/>
    <w:rsid w:val="009307C0"/>
    <w:rsid w:val="00931514"/>
    <w:rsid w:val="009316B2"/>
    <w:rsid w:val="00932320"/>
    <w:rsid w:val="00932433"/>
    <w:rsid w:val="0093258E"/>
    <w:rsid w:val="00933749"/>
    <w:rsid w:val="00934C3F"/>
    <w:rsid w:val="00934EE6"/>
    <w:rsid w:val="009365BF"/>
    <w:rsid w:val="009369B6"/>
    <w:rsid w:val="0093708A"/>
    <w:rsid w:val="00937647"/>
    <w:rsid w:val="00937690"/>
    <w:rsid w:val="0094164A"/>
    <w:rsid w:val="0094252C"/>
    <w:rsid w:val="0094262B"/>
    <w:rsid w:val="00942C0E"/>
    <w:rsid w:val="00942EDC"/>
    <w:rsid w:val="00943056"/>
    <w:rsid w:val="00945CFC"/>
    <w:rsid w:val="00946801"/>
    <w:rsid w:val="0095024D"/>
    <w:rsid w:val="00951A99"/>
    <w:rsid w:val="00951BD0"/>
    <w:rsid w:val="00951C48"/>
    <w:rsid w:val="00951EF5"/>
    <w:rsid w:val="00952A6C"/>
    <w:rsid w:val="0095313A"/>
    <w:rsid w:val="00954B05"/>
    <w:rsid w:val="0095609D"/>
    <w:rsid w:val="009575F2"/>
    <w:rsid w:val="00960A3C"/>
    <w:rsid w:val="00960E5F"/>
    <w:rsid w:val="00961469"/>
    <w:rsid w:val="00961693"/>
    <w:rsid w:val="00961E68"/>
    <w:rsid w:val="00963A5E"/>
    <w:rsid w:val="00963CDC"/>
    <w:rsid w:val="0096460F"/>
    <w:rsid w:val="009647EF"/>
    <w:rsid w:val="00964CC1"/>
    <w:rsid w:val="00965A6C"/>
    <w:rsid w:val="00966315"/>
    <w:rsid w:val="00966E16"/>
    <w:rsid w:val="00967E29"/>
    <w:rsid w:val="0097011B"/>
    <w:rsid w:val="0097160E"/>
    <w:rsid w:val="00971864"/>
    <w:rsid w:val="00971A94"/>
    <w:rsid w:val="00971F8B"/>
    <w:rsid w:val="0097226A"/>
    <w:rsid w:val="00973418"/>
    <w:rsid w:val="00974D5B"/>
    <w:rsid w:val="00975FD7"/>
    <w:rsid w:val="0097668D"/>
    <w:rsid w:val="0097694F"/>
    <w:rsid w:val="00976A9A"/>
    <w:rsid w:val="00976B07"/>
    <w:rsid w:val="00977003"/>
    <w:rsid w:val="00980BB0"/>
    <w:rsid w:val="00980FDE"/>
    <w:rsid w:val="00981403"/>
    <w:rsid w:val="009828AF"/>
    <w:rsid w:val="00983646"/>
    <w:rsid w:val="00983C45"/>
    <w:rsid w:val="0098474D"/>
    <w:rsid w:val="00984F81"/>
    <w:rsid w:val="0098502A"/>
    <w:rsid w:val="00986D38"/>
    <w:rsid w:val="00987426"/>
    <w:rsid w:val="00990462"/>
    <w:rsid w:val="00990D6D"/>
    <w:rsid w:val="009912BA"/>
    <w:rsid w:val="00992638"/>
    <w:rsid w:val="009933EA"/>
    <w:rsid w:val="009935BB"/>
    <w:rsid w:val="00993EAE"/>
    <w:rsid w:val="009949B7"/>
    <w:rsid w:val="0099542F"/>
    <w:rsid w:val="0099668F"/>
    <w:rsid w:val="00996D06"/>
    <w:rsid w:val="00996E17"/>
    <w:rsid w:val="009974A9"/>
    <w:rsid w:val="009A08CC"/>
    <w:rsid w:val="009A0B41"/>
    <w:rsid w:val="009A342C"/>
    <w:rsid w:val="009A4780"/>
    <w:rsid w:val="009A4CCD"/>
    <w:rsid w:val="009A4F60"/>
    <w:rsid w:val="009A4F89"/>
    <w:rsid w:val="009A5070"/>
    <w:rsid w:val="009A53A1"/>
    <w:rsid w:val="009A6103"/>
    <w:rsid w:val="009A726D"/>
    <w:rsid w:val="009B227E"/>
    <w:rsid w:val="009B2487"/>
    <w:rsid w:val="009B3061"/>
    <w:rsid w:val="009B3538"/>
    <w:rsid w:val="009B3B09"/>
    <w:rsid w:val="009B40FC"/>
    <w:rsid w:val="009B4394"/>
    <w:rsid w:val="009B47F3"/>
    <w:rsid w:val="009B4AEE"/>
    <w:rsid w:val="009B4C0A"/>
    <w:rsid w:val="009B5BDF"/>
    <w:rsid w:val="009B7B5E"/>
    <w:rsid w:val="009C08E5"/>
    <w:rsid w:val="009C159D"/>
    <w:rsid w:val="009C1819"/>
    <w:rsid w:val="009C18C6"/>
    <w:rsid w:val="009C18D4"/>
    <w:rsid w:val="009C278F"/>
    <w:rsid w:val="009C3160"/>
    <w:rsid w:val="009C404E"/>
    <w:rsid w:val="009C4473"/>
    <w:rsid w:val="009C4598"/>
    <w:rsid w:val="009C4888"/>
    <w:rsid w:val="009C5A7C"/>
    <w:rsid w:val="009C639E"/>
    <w:rsid w:val="009C6775"/>
    <w:rsid w:val="009C6974"/>
    <w:rsid w:val="009C6B24"/>
    <w:rsid w:val="009C6DA2"/>
    <w:rsid w:val="009D0A92"/>
    <w:rsid w:val="009D0E75"/>
    <w:rsid w:val="009D1741"/>
    <w:rsid w:val="009D1EEA"/>
    <w:rsid w:val="009D2E1B"/>
    <w:rsid w:val="009D3A1F"/>
    <w:rsid w:val="009D55FB"/>
    <w:rsid w:val="009D587C"/>
    <w:rsid w:val="009D642C"/>
    <w:rsid w:val="009E2A50"/>
    <w:rsid w:val="009E4728"/>
    <w:rsid w:val="009E7E10"/>
    <w:rsid w:val="009F089B"/>
    <w:rsid w:val="009F0BD4"/>
    <w:rsid w:val="009F0C9C"/>
    <w:rsid w:val="009F1D74"/>
    <w:rsid w:val="009F4367"/>
    <w:rsid w:val="009F4547"/>
    <w:rsid w:val="009F487B"/>
    <w:rsid w:val="009F4A57"/>
    <w:rsid w:val="009F4B05"/>
    <w:rsid w:val="009F6489"/>
    <w:rsid w:val="009F6833"/>
    <w:rsid w:val="00A012AB"/>
    <w:rsid w:val="00A013C2"/>
    <w:rsid w:val="00A044D7"/>
    <w:rsid w:val="00A04672"/>
    <w:rsid w:val="00A05917"/>
    <w:rsid w:val="00A07875"/>
    <w:rsid w:val="00A07DA6"/>
    <w:rsid w:val="00A10AA0"/>
    <w:rsid w:val="00A11062"/>
    <w:rsid w:val="00A120BD"/>
    <w:rsid w:val="00A12CE6"/>
    <w:rsid w:val="00A13064"/>
    <w:rsid w:val="00A13422"/>
    <w:rsid w:val="00A14231"/>
    <w:rsid w:val="00A16C7E"/>
    <w:rsid w:val="00A16D64"/>
    <w:rsid w:val="00A16EB4"/>
    <w:rsid w:val="00A17D46"/>
    <w:rsid w:val="00A201BC"/>
    <w:rsid w:val="00A20F7E"/>
    <w:rsid w:val="00A21F56"/>
    <w:rsid w:val="00A2249D"/>
    <w:rsid w:val="00A224DC"/>
    <w:rsid w:val="00A23303"/>
    <w:rsid w:val="00A23CA2"/>
    <w:rsid w:val="00A240EB"/>
    <w:rsid w:val="00A27191"/>
    <w:rsid w:val="00A272BC"/>
    <w:rsid w:val="00A27F76"/>
    <w:rsid w:val="00A3181A"/>
    <w:rsid w:val="00A3282A"/>
    <w:rsid w:val="00A32A85"/>
    <w:rsid w:val="00A32F64"/>
    <w:rsid w:val="00A33603"/>
    <w:rsid w:val="00A34EE6"/>
    <w:rsid w:val="00A35FA9"/>
    <w:rsid w:val="00A36BF7"/>
    <w:rsid w:val="00A408E1"/>
    <w:rsid w:val="00A40EF5"/>
    <w:rsid w:val="00A42E79"/>
    <w:rsid w:val="00A450C0"/>
    <w:rsid w:val="00A45E5B"/>
    <w:rsid w:val="00A4626E"/>
    <w:rsid w:val="00A467FE"/>
    <w:rsid w:val="00A46B07"/>
    <w:rsid w:val="00A47262"/>
    <w:rsid w:val="00A50AC9"/>
    <w:rsid w:val="00A521B9"/>
    <w:rsid w:val="00A522B8"/>
    <w:rsid w:val="00A53658"/>
    <w:rsid w:val="00A543C3"/>
    <w:rsid w:val="00A5570D"/>
    <w:rsid w:val="00A55814"/>
    <w:rsid w:val="00A5616F"/>
    <w:rsid w:val="00A56179"/>
    <w:rsid w:val="00A5671C"/>
    <w:rsid w:val="00A573D6"/>
    <w:rsid w:val="00A601C9"/>
    <w:rsid w:val="00A602E9"/>
    <w:rsid w:val="00A605D3"/>
    <w:rsid w:val="00A606DB"/>
    <w:rsid w:val="00A617F0"/>
    <w:rsid w:val="00A61C04"/>
    <w:rsid w:val="00A64A4E"/>
    <w:rsid w:val="00A65423"/>
    <w:rsid w:val="00A65DCC"/>
    <w:rsid w:val="00A66400"/>
    <w:rsid w:val="00A664A2"/>
    <w:rsid w:val="00A67657"/>
    <w:rsid w:val="00A67706"/>
    <w:rsid w:val="00A70D41"/>
    <w:rsid w:val="00A7311E"/>
    <w:rsid w:val="00A73ECF"/>
    <w:rsid w:val="00A746AE"/>
    <w:rsid w:val="00A75EE5"/>
    <w:rsid w:val="00A76176"/>
    <w:rsid w:val="00A76831"/>
    <w:rsid w:val="00A76B5B"/>
    <w:rsid w:val="00A77F3D"/>
    <w:rsid w:val="00A801B5"/>
    <w:rsid w:val="00A8043D"/>
    <w:rsid w:val="00A81248"/>
    <w:rsid w:val="00A81514"/>
    <w:rsid w:val="00A818F8"/>
    <w:rsid w:val="00A8278F"/>
    <w:rsid w:val="00A83A75"/>
    <w:rsid w:val="00A849D2"/>
    <w:rsid w:val="00A850B0"/>
    <w:rsid w:val="00A853C1"/>
    <w:rsid w:val="00A9004A"/>
    <w:rsid w:val="00A90057"/>
    <w:rsid w:val="00A90305"/>
    <w:rsid w:val="00A90BB4"/>
    <w:rsid w:val="00A915B3"/>
    <w:rsid w:val="00A92E42"/>
    <w:rsid w:val="00A9379C"/>
    <w:rsid w:val="00A93A5F"/>
    <w:rsid w:val="00A93ABB"/>
    <w:rsid w:val="00A93D11"/>
    <w:rsid w:val="00A94413"/>
    <w:rsid w:val="00A94C18"/>
    <w:rsid w:val="00A96F64"/>
    <w:rsid w:val="00A9769B"/>
    <w:rsid w:val="00A9792E"/>
    <w:rsid w:val="00AA01B0"/>
    <w:rsid w:val="00AA17E7"/>
    <w:rsid w:val="00AA21E4"/>
    <w:rsid w:val="00AA2CF6"/>
    <w:rsid w:val="00AA5405"/>
    <w:rsid w:val="00AA69DE"/>
    <w:rsid w:val="00AA6B2A"/>
    <w:rsid w:val="00AA7049"/>
    <w:rsid w:val="00AA720B"/>
    <w:rsid w:val="00AA72FC"/>
    <w:rsid w:val="00AA7C26"/>
    <w:rsid w:val="00AA7E8D"/>
    <w:rsid w:val="00AB04BE"/>
    <w:rsid w:val="00AB1A5E"/>
    <w:rsid w:val="00AB24CC"/>
    <w:rsid w:val="00AB2CD1"/>
    <w:rsid w:val="00AB2EF8"/>
    <w:rsid w:val="00AB3533"/>
    <w:rsid w:val="00AB399C"/>
    <w:rsid w:val="00AB3BDC"/>
    <w:rsid w:val="00AB3F9A"/>
    <w:rsid w:val="00AB471C"/>
    <w:rsid w:val="00AB4C26"/>
    <w:rsid w:val="00AB50F6"/>
    <w:rsid w:val="00AB57C0"/>
    <w:rsid w:val="00AB61F9"/>
    <w:rsid w:val="00AB6366"/>
    <w:rsid w:val="00AB78C3"/>
    <w:rsid w:val="00AC027B"/>
    <w:rsid w:val="00AC0417"/>
    <w:rsid w:val="00AC1043"/>
    <w:rsid w:val="00AC1507"/>
    <w:rsid w:val="00AC347E"/>
    <w:rsid w:val="00AC364D"/>
    <w:rsid w:val="00AC3934"/>
    <w:rsid w:val="00AC3F19"/>
    <w:rsid w:val="00AC40B6"/>
    <w:rsid w:val="00AC5AE4"/>
    <w:rsid w:val="00AC646B"/>
    <w:rsid w:val="00AC6AE8"/>
    <w:rsid w:val="00AC7929"/>
    <w:rsid w:val="00AC7C01"/>
    <w:rsid w:val="00AC7C8C"/>
    <w:rsid w:val="00AD096F"/>
    <w:rsid w:val="00AD3956"/>
    <w:rsid w:val="00AD398A"/>
    <w:rsid w:val="00AD45EB"/>
    <w:rsid w:val="00AD553D"/>
    <w:rsid w:val="00AD5D0E"/>
    <w:rsid w:val="00AD5E6D"/>
    <w:rsid w:val="00AD668A"/>
    <w:rsid w:val="00AD690D"/>
    <w:rsid w:val="00AD6B4C"/>
    <w:rsid w:val="00AD713D"/>
    <w:rsid w:val="00AD7CA5"/>
    <w:rsid w:val="00AD7EE3"/>
    <w:rsid w:val="00AE137F"/>
    <w:rsid w:val="00AE146F"/>
    <w:rsid w:val="00AE2151"/>
    <w:rsid w:val="00AE297C"/>
    <w:rsid w:val="00AE5359"/>
    <w:rsid w:val="00AE61BA"/>
    <w:rsid w:val="00AE65B0"/>
    <w:rsid w:val="00AE6618"/>
    <w:rsid w:val="00AE765C"/>
    <w:rsid w:val="00AE77ED"/>
    <w:rsid w:val="00AE78A0"/>
    <w:rsid w:val="00AE7A72"/>
    <w:rsid w:val="00AF162C"/>
    <w:rsid w:val="00AF3D4B"/>
    <w:rsid w:val="00AF3E67"/>
    <w:rsid w:val="00AF58BE"/>
    <w:rsid w:val="00AF58D5"/>
    <w:rsid w:val="00AF6788"/>
    <w:rsid w:val="00AF6944"/>
    <w:rsid w:val="00AF7ED3"/>
    <w:rsid w:val="00B0143D"/>
    <w:rsid w:val="00B0156C"/>
    <w:rsid w:val="00B01D0D"/>
    <w:rsid w:val="00B01DC5"/>
    <w:rsid w:val="00B01FA9"/>
    <w:rsid w:val="00B02C42"/>
    <w:rsid w:val="00B02D4C"/>
    <w:rsid w:val="00B031D9"/>
    <w:rsid w:val="00B034A7"/>
    <w:rsid w:val="00B050D6"/>
    <w:rsid w:val="00B052C5"/>
    <w:rsid w:val="00B05DE5"/>
    <w:rsid w:val="00B06A8E"/>
    <w:rsid w:val="00B06CFD"/>
    <w:rsid w:val="00B072BF"/>
    <w:rsid w:val="00B108FE"/>
    <w:rsid w:val="00B10AA2"/>
    <w:rsid w:val="00B11123"/>
    <w:rsid w:val="00B1125E"/>
    <w:rsid w:val="00B1250E"/>
    <w:rsid w:val="00B1350A"/>
    <w:rsid w:val="00B140E2"/>
    <w:rsid w:val="00B149BF"/>
    <w:rsid w:val="00B14A7F"/>
    <w:rsid w:val="00B14D8E"/>
    <w:rsid w:val="00B15DB9"/>
    <w:rsid w:val="00B168B4"/>
    <w:rsid w:val="00B16AA4"/>
    <w:rsid w:val="00B17495"/>
    <w:rsid w:val="00B17C44"/>
    <w:rsid w:val="00B22C1D"/>
    <w:rsid w:val="00B24835"/>
    <w:rsid w:val="00B24C21"/>
    <w:rsid w:val="00B24C96"/>
    <w:rsid w:val="00B24F61"/>
    <w:rsid w:val="00B250DC"/>
    <w:rsid w:val="00B26D11"/>
    <w:rsid w:val="00B271B9"/>
    <w:rsid w:val="00B27700"/>
    <w:rsid w:val="00B307F4"/>
    <w:rsid w:val="00B30C67"/>
    <w:rsid w:val="00B30C6A"/>
    <w:rsid w:val="00B30CE6"/>
    <w:rsid w:val="00B3155C"/>
    <w:rsid w:val="00B31FA7"/>
    <w:rsid w:val="00B3273E"/>
    <w:rsid w:val="00B337C8"/>
    <w:rsid w:val="00B3383D"/>
    <w:rsid w:val="00B3434B"/>
    <w:rsid w:val="00B3442C"/>
    <w:rsid w:val="00B34F09"/>
    <w:rsid w:val="00B34F72"/>
    <w:rsid w:val="00B3518E"/>
    <w:rsid w:val="00B35C98"/>
    <w:rsid w:val="00B360F1"/>
    <w:rsid w:val="00B372AB"/>
    <w:rsid w:val="00B37B09"/>
    <w:rsid w:val="00B41A30"/>
    <w:rsid w:val="00B41B81"/>
    <w:rsid w:val="00B42013"/>
    <w:rsid w:val="00B423FF"/>
    <w:rsid w:val="00B4273F"/>
    <w:rsid w:val="00B4350B"/>
    <w:rsid w:val="00B437C9"/>
    <w:rsid w:val="00B43EAE"/>
    <w:rsid w:val="00B44049"/>
    <w:rsid w:val="00B44D24"/>
    <w:rsid w:val="00B4611D"/>
    <w:rsid w:val="00B51BC6"/>
    <w:rsid w:val="00B52436"/>
    <w:rsid w:val="00B52934"/>
    <w:rsid w:val="00B53668"/>
    <w:rsid w:val="00B5541C"/>
    <w:rsid w:val="00B56370"/>
    <w:rsid w:val="00B57D0F"/>
    <w:rsid w:val="00B57E0C"/>
    <w:rsid w:val="00B6047F"/>
    <w:rsid w:val="00B604F3"/>
    <w:rsid w:val="00B60AB5"/>
    <w:rsid w:val="00B61540"/>
    <w:rsid w:val="00B62035"/>
    <w:rsid w:val="00B63069"/>
    <w:rsid w:val="00B633BB"/>
    <w:rsid w:val="00B6368F"/>
    <w:rsid w:val="00B637EB"/>
    <w:rsid w:val="00B641C4"/>
    <w:rsid w:val="00B647F6"/>
    <w:rsid w:val="00B64D5B"/>
    <w:rsid w:val="00B66BB2"/>
    <w:rsid w:val="00B670AE"/>
    <w:rsid w:val="00B70CD0"/>
    <w:rsid w:val="00B72BBB"/>
    <w:rsid w:val="00B72F87"/>
    <w:rsid w:val="00B737AE"/>
    <w:rsid w:val="00B7476F"/>
    <w:rsid w:val="00B775AD"/>
    <w:rsid w:val="00B77B12"/>
    <w:rsid w:val="00B80596"/>
    <w:rsid w:val="00B80955"/>
    <w:rsid w:val="00B81FCA"/>
    <w:rsid w:val="00B8203A"/>
    <w:rsid w:val="00B83681"/>
    <w:rsid w:val="00B83B6C"/>
    <w:rsid w:val="00B84A91"/>
    <w:rsid w:val="00B86653"/>
    <w:rsid w:val="00B8674B"/>
    <w:rsid w:val="00B87315"/>
    <w:rsid w:val="00B878E3"/>
    <w:rsid w:val="00B907DE"/>
    <w:rsid w:val="00B9248E"/>
    <w:rsid w:val="00B927A9"/>
    <w:rsid w:val="00B92A89"/>
    <w:rsid w:val="00B931BA"/>
    <w:rsid w:val="00B933CD"/>
    <w:rsid w:val="00B954A4"/>
    <w:rsid w:val="00B95DA2"/>
    <w:rsid w:val="00B9799B"/>
    <w:rsid w:val="00B97A50"/>
    <w:rsid w:val="00BA009A"/>
    <w:rsid w:val="00BA0525"/>
    <w:rsid w:val="00BA0EA4"/>
    <w:rsid w:val="00BA2E0F"/>
    <w:rsid w:val="00BA434D"/>
    <w:rsid w:val="00BA516C"/>
    <w:rsid w:val="00BA628A"/>
    <w:rsid w:val="00BA6D40"/>
    <w:rsid w:val="00BA7989"/>
    <w:rsid w:val="00BA7DD8"/>
    <w:rsid w:val="00BB1A42"/>
    <w:rsid w:val="00BB3B24"/>
    <w:rsid w:val="00BB406B"/>
    <w:rsid w:val="00BB6100"/>
    <w:rsid w:val="00BB64D4"/>
    <w:rsid w:val="00BB76A7"/>
    <w:rsid w:val="00BC0ED0"/>
    <w:rsid w:val="00BC1311"/>
    <w:rsid w:val="00BC26A0"/>
    <w:rsid w:val="00BC2C01"/>
    <w:rsid w:val="00BC2C8A"/>
    <w:rsid w:val="00BC2D26"/>
    <w:rsid w:val="00BC366D"/>
    <w:rsid w:val="00BC3713"/>
    <w:rsid w:val="00BC43B8"/>
    <w:rsid w:val="00BC6398"/>
    <w:rsid w:val="00BC6EEA"/>
    <w:rsid w:val="00BC6F90"/>
    <w:rsid w:val="00BD04C9"/>
    <w:rsid w:val="00BD0E58"/>
    <w:rsid w:val="00BD1D42"/>
    <w:rsid w:val="00BD3688"/>
    <w:rsid w:val="00BD4065"/>
    <w:rsid w:val="00BD48CB"/>
    <w:rsid w:val="00BD61C3"/>
    <w:rsid w:val="00BD6ECC"/>
    <w:rsid w:val="00BD6F6F"/>
    <w:rsid w:val="00BD6FC3"/>
    <w:rsid w:val="00BD78AE"/>
    <w:rsid w:val="00BD7B9D"/>
    <w:rsid w:val="00BD7F5C"/>
    <w:rsid w:val="00BE0AAF"/>
    <w:rsid w:val="00BE0EF3"/>
    <w:rsid w:val="00BE1597"/>
    <w:rsid w:val="00BE2320"/>
    <w:rsid w:val="00BE3722"/>
    <w:rsid w:val="00BE4369"/>
    <w:rsid w:val="00BE46BF"/>
    <w:rsid w:val="00BE47BF"/>
    <w:rsid w:val="00BE4CF9"/>
    <w:rsid w:val="00BE4D78"/>
    <w:rsid w:val="00BE5117"/>
    <w:rsid w:val="00BE592C"/>
    <w:rsid w:val="00BE5B14"/>
    <w:rsid w:val="00BE6032"/>
    <w:rsid w:val="00BE6363"/>
    <w:rsid w:val="00BE67A7"/>
    <w:rsid w:val="00BE6930"/>
    <w:rsid w:val="00BE7133"/>
    <w:rsid w:val="00BE71D7"/>
    <w:rsid w:val="00BE771E"/>
    <w:rsid w:val="00BE7CDD"/>
    <w:rsid w:val="00BF0CC9"/>
    <w:rsid w:val="00BF0E76"/>
    <w:rsid w:val="00BF1BDE"/>
    <w:rsid w:val="00BF1F4E"/>
    <w:rsid w:val="00BF25F4"/>
    <w:rsid w:val="00BF2CB6"/>
    <w:rsid w:val="00BF3E67"/>
    <w:rsid w:val="00BF6ABA"/>
    <w:rsid w:val="00C026DF"/>
    <w:rsid w:val="00C02BD7"/>
    <w:rsid w:val="00C03505"/>
    <w:rsid w:val="00C05495"/>
    <w:rsid w:val="00C05952"/>
    <w:rsid w:val="00C0626E"/>
    <w:rsid w:val="00C0684F"/>
    <w:rsid w:val="00C07375"/>
    <w:rsid w:val="00C11530"/>
    <w:rsid w:val="00C1165F"/>
    <w:rsid w:val="00C12029"/>
    <w:rsid w:val="00C12268"/>
    <w:rsid w:val="00C126E2"/>
    <w:rsid w:val="00C1348E"/>
    <w:rsid w:val="00C13853"/>
    <w:rsid w:val="00C138F3"/>
    <w:rsid w:val="00C14AEB"/>
    <w:rsid w:val="00C15B3B"/>
    <w:rsid w:val="00C160C4"/>
    <w:rsid w:val="00C1642C"/>
    <w:rsid w:val="00C172FC"/>
    <w:rsid w:val="00C173B6"/>
    <w:rsid w:val="00C17492"/>
    <w:rsid w:val="00C17781"/>
    <w:rsid w:val="00C1794E"/>
    <w:rsid w:val="00C17C2E"/>
    <w:rsid w:val="00C20A32"/>
    <w:rsid w:val="00C20CCD"/>
    <w:rsid w:val="00C21D3D"/>
    <w:rsid w:val="00C2261D"/>
    <w:rsid w:val="00C22CA2"/>
    <w:rsid w:val="00C23AF1"/>
    <w:rsid w:val="00C24040"/>
    <w:rsid w:val="00C24185"/>
    <w:rsid w:val="00C3288E"/>
    <w:rsid w:val="00C32E56"/>
    <w:rsid w:val="00C33223"/>
    <w:rsid w:val="00C3452A"/>
    <w:rsid w:val="00C363FF"/>
    <w:rsid w:val="00C37361"/>
    <w:rsid w:val="00C373BF"/>
    <w:rsid w:val="00C376D1"/>
    <w:rsid w:val="00C37E70"/>
    <w:rsid w:val="00C40FBD"/>
    <w:rsid w:val="00C42790"/>
    <w:rsid w:val="00C427B6"/>
    <w:rsid w:val="00C42D95"/>
    <w:rsid w:val="00C43434"/>
    <w:rsid w:val="00C43CE4"/>
    <w:rsid w:val="00C451D1"/>
    <w:rsid w:val="00C46016"/>
    <w:rsid w:val="00C4617C"/>
    <w:rsid w:val="00C4618D"/>
    <w:rsid w:val="00C46356"/>
    <w:rsid w:val="00C469B9"/>
    <w:rsid w:val="00C46E8B"/>
    <w:rsid w:val="00C474BD"/>
    <w:rsid w:val="00C50A81"/>
    <w:rsid w:val="00C51846"/>
    <w:rsid w:val="00C52C42"/>
    <w:rsid w:val="00C5563B"/>
    <w:rsid w:val="00C55683"/>
    <w:rsid w:val="00C57813"/>
    <w:rsid w:val="00C578D5"/>
    <w:rsid w:val="00C57BBC"/>
    <w:rsid w:val="00C609F6"/>
    <w:rsid w:val="00C61E4E"/>
    <w:rsid w:val="00C625E7"/>
    <w:rsid w:val="00C6324E"/>
    <w:rsid w:val="00C63862"/>
    <w:rsid w:val="00C63A89"/>
    <w:rsid w:val="00C63DAF"/>
    <w:rsid w:val="00C64DC5"/>
    <w:rsid w:val="00C65466"/>
    <w:rsid w:val="00C65D10"/>
    <w:rsid w:val="00C668AC"/>
    <w:rsid w:val="00C67A0B"/>
    <w:rsid w:val="00C7077F"/>
    <w:rsid w:val="00C71226"/>
    <w:rsid w:val="00C715DF"/>
    <w:rsid w:val="00C725EF"/>
    <w:rsid w:val="00C72A90"/>
    <w:rsid w:val="00C73293"/>
    <w:rsid w:val="00C744EA"/>
    <w:rsid w:val="00C74D04"/>
    <w:rsid w:val="00C758D6"/>
    <w:rsid w:val="00C7645E"/>
    <w:rsid w:val="00C768DB"/>
    <w:rsid w:val="00C7743E"/>
    <w:rsid w:val="00C81A62"/>
    <w:rsid w:val="00C820E3"/>
    <w:rsid w:val="00C82B4A"/>
    <w:rsid w:val="00C8527B"/>
    <w:rsid w:val="00C86D39"/>
    <w:rsid w:val="00C87B02"/>
    <w:rsid w:val="00C90723"/>
    <w:rsid w:val="00C92241"/>
    <w:rsid w:val="00C9230E"/>
    <w:rsid w:val="00C93E40"/>
    <w:rsid w:val="00C9491B"/>
    <w:rsid w:val="00C9493E"/>
    <w:rsid w:val="00C95926"/>
    <w:rsid w:val="00C959EF"/>
    <w:rsid w:val="00C95DFC"/>
    <w:rsid w:val="00C961DC"/>
    <w:rsid w:val="00C96415"/>
    <w:rsid w:val="00C97573"/>
    <w:rsid w:val="00CA0FC4"/>
    <w:rsid w:val="00CA252D"/>
    <w:rsid w:val="00CA29F2"/>
    <w:rsid w:val="00CA40B9"/>
    <w:rsid w:val="00CA41BD"/>
    <w:rsid w:val="00CA487B"/>
    <w:rsid w:val="00CA57BE"/>
    <w:rsid w:val="00CA6A37"/>
    <w:rsid w:val="00CA6C6A"/>
    <w:rsid w:val="00CA77FD"/>
    <w:rsid w:val="00CA7C07"/>
    <w:rsid w:val="00CB0D70"/>
    <w:rsid w:val="00CB1320"/>
    <w:rsid w:val="00CB1885"/>
    <w:rsid w:val="00CB1AB7"/>
    <w:rsid w:val="00CB3AF4"/>
    <w:rsid w:val="00CB5254"/>
    <w:rsid w:val="00CB5472"/>
    <w:rsid w:val="00CB5EF6"/>
    <w:rsid w:val="00CB620A"/>
    <w:rsid w:val="00CB62B9"/>
    <w:rsid w:val="00CB7CFB"/>
    <w:rsid w:val="00CC00A5"/>
    <w:rsid w:val="00CC143F"/>
    <w:rsid w:val="00CC2006"/>
    <w:rsid w:val="00CC23FE"/>
    <w:rsid w:val="00CC2E1A"/>
    <w:rsid w:val="00CC3BED"/>
    <w:rsid w:val="00CC4300"/>
    <w:rsid w:val="00CC4A1D"/>
    <w:rsid w:val="00CC6127"/>
    <w:rsid w:val="00CC771E"/>
    <w:rsid w:val="00CD07D2"/>
    <w:rsid w:val="00CD15D3"/>
    <w:rsid w:val="00CD276F"/>
    <w:rsid w:val="00CD27A4"/>
    <w:rsid w:val="00CD288C"/>
    <w:rsid w:val="00CD2A81"/>
    <w:rsid w:val="00CD2B2E"/>
    <w:rsid w:val="00CD2D4E"/>
    <w:rsid w:val="00CD44D1"/>
    <w:rsid w:val="00CD4BFC"/>
    <w:rsid w:val="00CD5564"/>
    <w:rsid w:val="00CD6E3D"/>
    <w:rsid w:val="00CD74D4"/>
    <w:rsid w:val="00CD76A3"/>
    <w:rsid w:val="00CE04FD"/>
    <w:rsid w:val="00CE07BB"/>
    <w:rsid w:val="00CE20CB"/>
    <w:rsid w:val="00CE2641"/>
    <w:rsid w:val="00CE2D44"/>
    <w:rsid w:val="00CE30A1"/>
    <w:rsid w:val="00CE3632"/>
    <w:rsid w:val="00CE3CF7"/>
    <w:rsid w:val="00CE4BAC"/>
    <w:rsid w:val="00CE4CAD"/>
    <w:rsid w:val="00CE4DCA"/>
    <w:rsid w:val="00CE628A"/>
    <w:rsid w:val="00CE64A9"/>
    <w:rsid w:val="00CE661C"/>
    <w:rsid w:val="00CE756B"/>
    <w:rsid w:val="00CE7E3E"/>
    <w:rsid w:val="00CF07A6"/>
    <w:rsid w:val="00CF0CF1"/>
    <w:rsid w:val="00CF1C91"/>
    <w:rsid w:val="00CF211A"/>
    <w:rsid w:val="00CF2F6B"/>
    <w:rsid w:val="00CF4707"/>
    <w:rsid w:val="00CF4CD4"/>
    <w:rsid w:val="00CF53F7"/>
    <w:rsid w:val="00CF660C"/>
    <w:rsid w:val="00CF6786"/>
    <w:rsid w:val="00CF6ED4"/>
    <w:rsid w:val="00CF78E4"/>
    <w:rsid w:val="00D01CBE"/>
    <w:rsid w:val="00D01F3A"/>
    <w:rsid w:val="00D026EA"/>
    <w:rsid w:val="00D0359B"/>
    <w:rsid w:val="00D03846"/>
    <w:rsid w:val="00D03DD5"/>
    <w:rsid w:val="00D04169"/>
    <w:rsid w:val="00D04556"/>
    <w:rsid w:val="00D0458D"/>
    <w:rsid w:val="00D04744"/>
    <w:rsid w:val="00D056C1"/>
    <w:rsid w:val="00D058C2"/>
    <w:rsid w:val="00D066DD"/>
    <w:rsid w:val="00D06959"/>
    <w:rsid w:val="00D069FD"/>
    <w:rsid w:val="00D0782D"/>
    <w:rsid w:val="00D07A35"/>
    <w:rsid w:val="00D10208"/>
    <w:rsid w:val="00D105DB"/>
    <w:rsid w:val="00D108B9"/>
    <w:rsid w:val="00D117EA"/>
    <w:rsid w:val="00D11DD8"/>
    <w:rsid w:val="00D15201"/>
    <w:rsid w:val="00D15FC5"/>
    <w:rsid w:val="00D161BC"/>
    <w:rsid w:val="00D163AE"/>
    <w:rsid w:val="00D163EB"/>
    <w:rsid w:val="00D16628"/>
    <w:rsid w:val="00D16D80"/>
    <w:rsid w:val="00D175EE"/>
    <w:rsid w:val="00D175FA"/>
    <w:rsid w:val="00D17940"/>
    <w:rsid w:val="00D20FA7"/>
    <w:rsid w:val="00D214D4"/>
    <w:rsid w:val="00D215E6"/>
    <w:rsid w:val="00D223E8"/>
    <w:rsid w:val="00D22536"/>
    <w:rsid w:val="00D236BB"/>
    <w:rsid w:val="00D237C5"/>
    <w:rsid w:val="00D23CC7"/>
    <w:rsid w:val="00D262FD"/>
    <w:rsid w:val="00D26636"/>
    <w:rsid w:val="00D27E57"/>
    <w:rsid w:val="00D27EF5"/>
    <w:rsid w:val="00D30321"/>
    <w:rsid w:val="00D335F3"/>
    <w:rsid w:val="00D33E6F"/>
    <w:rsid w:val="00D3461B"/>
    <w:rsid w:val="00D34D05"/>
    <w:rsid w:val="00D35735"/>
    <w:rsid w:val="00D35B00"/>
    <w:rsid w:val="00D378CA"/>
    <w:rsid w:val="00D40262"/>
    <w:rsid w:val="00D402D2"/>
    <w:rsid w:val="00D40667"/>
    <w:rsid w:val="00D409DA"/>
    <w:rsid w:val="00D41085"/>
    <w:rsid w:val="00D41B7C"/>
    <w:rsid w:val="00D43866"/>
    <w:rsid w:val="00D445DB"/>
    <w:rsid w:val="00D44C38"/>
    <w:rsid w:val="00D44C9D"/>
    <w:rsid w:val="00D45682"/>
    <w:rsid w:val="00D45B14"/>
    <w:rsid w:val="00D45D55"/>
    <w:rsid w:val="00D465C1"/>
    <w:rsid w:val="00D47DCA"/>
    <w:rsid w:val="00D504CC"/>
    <w:rsid w:val="00D50A38"/>
    <w:rsid w:val="00D51D5C"/>
    <w:rsid w:val="00D523DE"/>
    <w:rsid w:val="00D52CF7"/>
    <w:rsid w:val="00D53603"/>
    <w:rsid w:val="00D53A39"/>
    <w:rsid w:val="00D53AF0"/>
    <w:rsid w:val="00D53E16"/>
    <w:rsid w:val="00D53E30"/>
    <w:rsid w:val="00D54DE2"/>
    <w:rsid w:val="00D5559C"/>
    <w:rsid w:val="00D6050F"/>
    <w:rsid w:val="00D613FC"/>
    <w:rsid w:val="00D61646"/>
    <w:rsid w:val="00D61936"/>
    <w:rsid w:val="00D622FD"/>
    <w:rsid w:val="00D62644"/>
    <w:rsid w:val="00D62951"/>
    <w:rsid w:val="00D62B23"/>
    <w:rsid w:val="00D62B3D"/>
    <w:rsid w:val="00D63FEB"/>
    <w:rsid w:val="00D64962"/>
    <w:rsid w:val="00D65E04"/>
    <w:rsid w:val="00D700FD"/>
    <w:rsid w:val="00D72A85"/>
    <w:rsid w:val="00D73642"/>
    <w:rsid w:val="00D743B4"/>
    <w:rsid w:val="00D74E55"/>
    <w:rsid w:val="00D74FDD"/>
    <w:rsid w:val="00D75690"/>
    <w:rsid w:val="00D76D85"/>
    <w:rsid w:val="00D76E29"/>
    <w:rsid w:val="00D82B41"/>
    <w:rsid w:val="00D84374"/>
    <w:rsid w:val="00D84D34"/>
    <w:rsid w:val="00D86005"/>
    <w:rsid w:val="00D866D3"/>
    <w:rsid w:val="00D87373"/>
    <w:rsid w:val="00D87D8D"/>
    <w:rsid w:val="00D904FD"/>
    <w:rsid w:val="00D919B0"/>
    <w:rsid w:val="00D927A1"/>
    <w:rsid w:val="00D93229"/>
    <w:rsid w:val="00D940E0"/>
    <w:rsid w:val="00D947FC"/>
    <w:rsid w:val="00D9498D"/>
    <w:rsid w:val="00D94CEF"/>
    <w:rsid w:val="00D956BA"/>
    <w:rsid w:val="00D95EBA"/>
    <w:rsid w:val="00D964E3"/>
    <w:rsid w:val="00D96574"/>
    <w:rsid w:val="00D969CB"/>
    <w:rsid w:val="00D96F1C"/>
    <w:rsid w:val="00D97960"/>
    <w:rsid w:val="00D97AFD"/>
    <w:rsid w:val="00DA097C"/>
    <w:rsid w:val="00DA0DDD"/>
    <w:rsid w:val="00DA0FC3"/>
    <w:rsid w:val="00DA11DF"/>
    <w:rsid w:val="00DA2008"/>
    <w:rsid w:val="00DA22B4"/>
    <w:rsid w:val="00DA2CA9"/>
    <w:rsid w:val="00DA2CF2"/>
    <w:rsid w:val="00DA2E72"/>
    <w:rsid w:val="00DA31C6"/>
    <w:rsid w:val="00DA3C50"/>
    <w:rsid w:val="00DA4E54"/>
    <w:rsid w:val="00DA5316"/>
    <w:rsid w:val="00DA5336"/>
    <w:rsid w:val="00DA566D"/>
    <w:rsid w:val="00DA587C"/>
    <w:rsid w:val="00DA6701"/>
    <w:rsid w:val="00DA6DF4"/>
    <w:rsid w:val="00DA7C23"/>
    <w:rsid w:val="00DB18C7"/>
    <w:rsid w:val="00DB2476"/>
    <w:rsid w:val="00DB4317"/>
    <w:rsid w:val="00DB48EA"/>
    <w:rsid w:val="00DB4B5C"/>
    <w:rsid w:val="00DB6031"/>
    <w:rsid w:val="00DB62F1"/>
    <w:rsid w:val="00DB70FC"/>
    <w:rsid w:val="00DC00BB"/>
    <w:rsid w:val="00DC1212"/>
    <w:rsid w:val="00DC1810"/>
    <w:rsid w:val="00DC19BB"/>
    <w:rsid w:val="00DC3FF0"/>
    <w:rsid w:val="00DC4262"/>
    <w:rsid w:val="00DC5342"/>
    <w:rsid w:val="00DC605A"/>
    <w:rsid w:val="00DC77CF"/>
    <w:rsid w:val="00DD1D45"/>
    <w:rsid w:val="00DD20B1"/>
    <w:rsid w:val="00DD2445"/>
    <w:rsid w:val="00DD25EA"/>
    <w:rsid w:val="00DD30DF"/>
    <w:rsid w:val="00DD317C"/>
    <w:rsid w:val="00DD439E"/>
    <w:rsid w:val="00DD4C1C"/>
    <w:rsid w:val="00DD5C26"/>
    <w:rsid w:val="00DD5E2B"/>
    <w:rsid w:val="00DD5F07"/>
    <w:rsid w:val="00DD74E9"/>
    <w:rsid w:val="00DE0E19"/>
    <w:rsid w:val="00DE133D"/>
    <w:rsid w:val="00DE3276"/>
    <w:rsid w:val="00DE3586"/>
    <w:rsid w:val="00DE39FC"/>
    <w:rsid w:val="00DE4B8C"/>
    <w:rsid w:val="00DE4C63"/>
    <w:rsid w:val="00DE51C0"/>
    <w:rsid w:val="00DE547B"/>
    <w:rsid w:val="00DE7139"/>
    <w:rsid w:val="00DE745F"/>
    <w:rsid w:val="00DE7CB0"/>
    <w:rsid w:val="00DF006B"/>
    <w:rsid w:val="00DF06C4"/>
    <w:rsid w:val="00DF1215"/>
    <w:rsid w:val="00DF12C9"/>
    <w:rsid w:val="00DF1421"/>
    <w:rsid w:val="00DF172E"/>
    <w:rsid w:val="00DF3DE3"/>
    <w:rsid w:val="00DF4E2B"/>
    <w:rsid w:val="00DF535A"/>
    <w:rsid w:val="00DF5573"/>
    <w:rsid w:val="00DF6550"/>
    <w:rsid w:val="00DF68DD"/>
    <w:rsid w:val="00DF6A1C"/>
    <w:rsid w:val="00DF72EF"/>
    <w:rsid w:val="00E001D3"/>
    <w:rsid w:val="00E007B3"/>
    <w:rsid w:val="00E018C6"/>
    <w:rsid w:val="00E02517"/>
    <w:rsid w:val="00E028BF"/>
    <w:rsid w:val="00E02E61"/>
    <w:rsid w:val="00E03400"/>
    <w:rsid w:val="00E04304"/>
    <w:rsid w:val="00E044EE"/>
    <w:rsid w:val="00E048F2"/>
    <w:rsid w:val="00E04A18"/>
    <w:rsid w:val="00E05A09"/>
    <w:rsid w:val="00E0638D"/>
    <w:rsid w:val="00E06E7F"/>
    <w:rsid w:val="00E0705A"/>
    <w:rsid w:val="00E10390"/>
    <w:rsid w:val="00E116D0"/>
    <w:rsid w:val="00E12139"/>
    <w:rsid w:val="00E125CC"/>
    <w:rsid w:val="00E12EB6"/>
    <w:rsid w:val="00E13103"/>
    <w:rsid w:val="00E13C16"/>
    <w:rsid w:val="00E155D1"/>
    <w:rsid w:val="00E1578B"/>
    <w:rsid w:val="00E16ACA"/>
    <w:rsid w:val="00E16BCF"/>
    <w:rsid w:val="00E16BD5"/>
    <w:rsid w:val="00E20026"/>
    <w:rsid w:val="00E21282"/>
    <w:rsid w:val="00E213DC"/>
    <w:rsid w:val="00E23342"/>
    <w:rsid w:val="00E23762"/>
    <w:rsid w:val="00E24D57"/>
    <w:rsid w:val="00E24E75"/>
    <w:rsid w:val="00E250A7"/>
    <w:rsid w:val="00E25216"/>
    <w:rsid w:val="00E279F8"/>
    <w:rsid w:val="00E30360"/>
    <w:rsid w:val="00E31C34"/>
    <w:rsid w:val="00E32AF8"/>
    <w:rsid w:val="00E33081"/>
    <w:rsid w:val="00E3354A"/>
    <w:rsid w:val="00E33C7D"/>
    <w:rsid w:val="00E3471B"/>
    <w:rsid w:val="00E349EC"/>
    <w:rsid w:val="00E34E85"/>
    <w:rsid w:val="00E376D3"/>
    <w:rsid w:val="00E40555"/>
    <w:rsid w:val="00E40DF4"/>
    <w:rsid w:val="00E40E11"/>
    <w:rsid w:val="00E423CC"/>
    <w:rsid w:val="00E42BEC"/>
    <w:rsid w:val="00E43211"/>
    <w:rsid w:val="00E436A3"/>
    <w:rsid w:val="00E4440B"/>
    <w:rsid w:val="00E44862"/>
    <w:rsid w:val="00E450BD"/>
    <w:rsid w:val="00E45260"/>
    <w:rsid w:val="00E45360"/>
    <w:rsid w:val="00E46369"/>
    <w:rsid w:val="00E4666D"/>
    <w:rsid w:val="00E46748"/>
    <w:rsid w:val="00E46B20"/>
    <w:rsid w:val="00E46B64"/>
    <w:rsid w:val="00E47442"/>
    <w:rsid w:val="00E514F2"/>
    <w:rsid w:val="00E5171F"/>
    <w:rsid w:val="00E51A74"/>
    <w:rsid w:val="00E54995"/>
    <w:rsid w:val="00E558E4"/>
    <w:rsid w:val="00E5596C"/>
    <w:rsid w:val="00E55997"/>
    <w:rsid w:val="00E55FD9"/>
    <w:rsid w:val="00E56464"/>
    <w:rsid w:val="00E569A9"/>
    <w:rsid w:val="00E574C0"/>
    <w:rsid w:val="00E60106"/>
    <w:rsid w:val="00E6041B"/>
    <w:rsid w:val="00E604E9"/>
    <w:rsid w:val="00E61BF9"/>
    <w:rsid w:val="00E62D88"/>
    <w:rsid w:val="00E632AB"/>
    <w:rsid w:val="00E638D4"/>
    <w:rsid w:val="00E63C06"/>
    <w:rsid w:val="00E642EE"/>
    <w:rsid w:val="00E64DEA"/>
    <w:rsid w:val="00E650A1"/>
    <w:rsid w:val="00E650FE"/>
    <w:rsid w:val="00E660A1"/>
    <w:rsid w:val="00E669DD"/>
    <w:rsid w:val="00E67544"/>
    <w:rsid w:val="00E705E2"/>
    <w:rsid w:val="00E71534"/>
    <w:rsid w:val="00E715F3"/>
    <w:rsid w:val="00E722FC"/>
    <w:rsid w:val="00E7266F"/>
    <w:rsid w:val="00E73FF0"/>
    <w:rsid w:val="00E741D9"/>
    <w:rsid w:val="00E755E3"/>
    <w:rsid w:val="00E75A9C"/>
    <w:rsid w:val="00E75CD4"/>
    <w:rsid w:val="00E770BA"/>
    <w:rsid w:val="00E777A6"/>
    <w:rsid w:val="00E8179F"/>
    <w:rsid w:val="00E8273B"/>
    <w:rsid w:val="00E828BC"/>
    <w:rsid w:val="00E83168"/>
    <w:rsid w:val="00E84EE9"/>
    <w:rsid w:val="00E85F51"/>
    <w:rsid w:val="00E866EC"/>
    <w:rsid w:val="00E870F4"/>
    <w:rsid w:val="00E8749E"/>
    <w:rsid w:val="00E879A0"/>
    <w:rsid w:val="00E900A3"/>
    <w:rsid w:val="00E9162E"/>
    <w:rsid w:val="00E918F8"/>
    <w:rsid w:val="00E92D13"/>
    <w:rsid w:val="00E93C7D"/>
    <w:rsid w:val="00E9486C"/>
    <w:rsid w:val="00E94C40"/>
    <w:rsid w:val="00E94D37"/>
    <w:rsid w:val="00E95079"/>
    <w:rsid w:val="00E955CC"/>
    <w:rsid w:val="00E96899"/>
    <w:rsid w:val="00E96AA9"/>
    <w:rsid w:val="00E97835"/>
    <w:rsid w:val="00EA0441"/>
    <w:rsid w:val="00EA0F9C"/>
    <w:rsid w:val="00EA1259"/>
    <w:rsid w:val="00EA1770"/>
    <w:rsid w:val="00EA1C5F"/>
    <w:rsid w:val="00EA1D8F"/>
    <w:rsid w:val="00EA3662"/>
    <w:rsid w:val="00EA3A30"/>
    <w:rsid w:val="00EA479F"/>
    <w:rsid w:val="00EA49A6"/>
    <w:rsid w:val="00EA56C7"/>
    <w:rsid w:val="00EA6593"/>
    <w:rsid w:val="00EA6DA2"/>
    <w:rsid w:val="00EA6FCF"/>
    <w:rsid w:val="00EB049E"/>
    <w:rsid w:val="00EB0B1A"/>
    <w:rsid w:val="00EB1654"/>
    <w:rsid w:val="00EB1AB8"/>
    <w:rsid w:val="00EB2781"/>
    <w:rsid w:val="00EB2F36"/>
    <w:rsid w:val="00EB316C"/>
    <w:rsid w:val="00EB35D8"/>
    <w:rsid w:val="00EB3756"/>
    <w:rsid w:val="00EB3A25"/>
    <w:rsid w:val="00EB4168"/>
    <w:rsid w:val="00EB57DD"/>
    <w:rsid w:val="00EC0505"/>
    <w:rsid w:val="00EC22EE"/>
    <w:rsid w:val="00EC317A"/>
    <w:rsid w:val="00EC3A3A"/>
    <w:rsid w:val="00EC3EDC"/>
    <w:rsid w:val="00EC456F"/>
    <w:rsid w:val="00EC4CB0"/>
    <w:rsid w:val="00EC5119"/>
    <w:rsid w:val="00EC58D0"/>
    <w:rsid w:val="00EC7A32"/>
    <w:rsid w:val="00ED0BC3"/>
    <w:rsid w:val="00ED0C9C"/>
    <w:rsid w:val="00ED0EC7"/>
    <w:rsid w:val="00ED114A"/>
    <w:rsid w:val="00ED1426"/>
    <w:rsid w:val="00ED14CF"/>
    <w:rsid w:val="00ED2BC7"/>
    <w:rsid w:val="00ED2C17"/>
    <w:rsid w:val="00ED2DA6"/>
    <w:rsid w:val="00ED44FE"/>
    <w:rsid w:val="00ED48F1"/>
    <w:rsid w:val="00ED4BF4"/>
    <w:rsid w:val="00ED4C1B"/>
    <w:rsid w:val="00ED55F2"/>
    <w:rsid w:val="00ED568F"/>
    <w:rsid w:val="00ED6C8E"/>
    <w:rsid w:val="00ED70D0"/>
    <w:rsid w:val="00EE0C26"/>
    <w:rsid w:val="00EE3384"/>
    <w:rsid w:val="00EE33BB"/>
    <w:rsid w:val="00EE397C"/>
    <w:rsid w:val="00EE4C01"/>
    <w:rsid w:val="00EE4FC9"/>
    <w:rsid w:val="00EE6825"/>
    <w:rsid w:val="00EE69D9"/>
    <w:rsid w:val="00EE7326"/>
    <w:rsid w:val="00EE73E6"/>
    <w:rsid w:val="00EE74A4"/>
    <w:rsid w:val="00EF008B"/>
    <w:rsid w:val="00EF0351"/>
    <w:rsid w:val="00EF091D"/>
    <w:rsid w:val="00EF2939"/>
    <w:rsid w:val="00EF2DE2"/>
    <w:rsid w:val="00EF47F0"/>
    <w:rsid w:val="00EF61AD"/>
    <w:rsid w:val="00EF6AB8"/>
    <w:rsid w:val="00F0015F"/>
    <w:rsid w:val="00F018D1"/>
    <w:rsid w:val="00F01B6B"/>
    <w:rsid w:val="00F021B4"/>
    <w:rsid w:val="00F03595"/>
    <w:rsid w:val="00F03B3B"/>
    <w:rsid w:val="00F03D06"/>
    <w:rsid w:val="00F04A86"/>
    <w:rsid w:val="00F069F8"/>
    <w:rsid w:val="00F06F87"/>
    <w:rsid w:val="00F1016C"/>
    <w:rsid w:val="00F10F72"/>
    <w:rsid w:val="00F1103F"/>
    <w:rsid w:val="00F11678"/>
    <w:rsid w:val="00F11DC1"/>
    <w:rsid w:val="00F120A7"/>
    <w:rsid w:val="00F12AD2"/>
    <w:rsid w:val="00F1300C"/>
    <w:rsid w:val="00F1353F"/>
    <w:rsid w:val="00F13FDB"/>
    <w:rsid w:val="00F1609B"/>
    <w:rsid w:val="00F16B95"/>
    <w:rsid w:val="00F17648"/>
    <w:rsid w:val="00F17657"/>
    <w:rsid w:val="00F1770E"/>
    <w:rsid w:val="00F1780E"/>
    <w:rsid w:val="00F17F20"/>
    <w:rsid w:val="00F20BEE"/>
    <w:rsid w:val="00F20C18"/>
    <w:rsid w:val="00F20F06"/>
    <w:rsid w:val="00F216E5"/>
    <w:rsid w:val="00F23D1E"/>
    <w:rsid w:val="00F2432E"/>
    <w:rsid w:val="00F24F5E"/>
    <w:rsid w:val="00F2568C"/>
    <w:rsid w:val="00F2694F"/>
    <w:rsid w:val="00F27B02"/>
    <w:rsid w:val="00F27E89"/>
    <w:rsid w:val="00F27FB4"/>
    <w:rsid w:val="00F305CE"/>
    <w:rsid w:val="00F34D29"/>
    <w:rsid w:val="00F353D5"/>
    <w:rsid w:val="00F37CE7"/>
    <w:rsid w:val="00F4255C"/>
    <w:rsid w:val="00F42A39"/>
    <w:rsid w:val="00F4315B"/>
    <w:rsid w:val="00F4321D"/>
    <w:rsid w:val="00F438E4"/>
    <w:rsid w:val="00F445FE"/>
    <w:rsid w:val="00F44FD6"/>
    <w:rsid w:val="00F453D6"/>
    <w:rsid w:val="00F45411"/>
    <w:rsid w:val="00F45641"/>
    <w:rsid w:val="00F46719"/>
    <w:rsid w:val="00F46E5D"/>
    <w:rsid w:val="00F46E63"/>
    <w:rsid w:val="00F47185"/>
    <w:rsid w:val="00F476D7"/>
    <w:rsid w:val="00F50563"/>
    <w:rsid w:val="00F5076D"/>
    <w:rsid w:val="00F50BDF"/>
    <w:rsid w:val="00F51EC6"/>
    <w:rsid w:val="00F53D9C"/>
    <w:rsid w:val="00F54677"/>
    <w:rsid w:val="00F547C4"/>
    <w:rsid w:val="00F54FB6"/>
    <w:rsid w:val="00F55EE8"/>
    <w:rsid w:val="00F56B97"/>
    <w:rsid w:val="00F56CFA"/>
    <w:rsid w:val="00F60B06"/>
    <w:rsid w:val="00F60DB4"/>
    <w:rsid w:val="00F61D6F"/>
    <w:rsid w:val="00F62530"/>
    <w:rsid w:val="00F636AE"/>
    <w:rsid w:val="00F63C1F"/>
    <w:rsid w:val="00F63DA4"/>
    <w:rsid w:val="00F64C6D"/>
    <w:rsid w:val="00F653CB"/>
    <w:rsid w:val="00F65673"/>
    <w:rsid w:val="00F6575C"/>
    <w:rsid w:val="00F65A8E"/>
    <w:rsid w:val="00F66180"/>
    <w:rsid w:val="00F66B1E"/>
    <w:rsid w:val="00F66F4D"/>
    <w:rsid w:val="00F679AA"/>
    <w:rsid w:val="00F67AAB"/>
    <w:rsid w:val="00F7006C"/>
    <w:rsid w:val="00F70C8D"/>
    <w:rsid w:val="00F716BF"/>
    <w:rsid w:val="00F71D98"/>
    <w:rsid w:val="00F72A09"/>
    <w:rsid w:val="00F73A26"/>
    <w:rsid w:val="00F73F63"/>
    <w:rsid w:val="00F74822"/>
    <w:rsid w:val="00F75449"/>
    <w:rsid w:val="00F755EB"/>
    <w:rsid w:val="00F76B8E"/>
    <w:rsid w:val="00F819E1"/>
    <w:rsid w:val="00F81D7A"/>
    <w:rsid w:val="00F821B4"/>
    <w:rsid w:val="00F82B53"/>
    <w:rsid w:val="00F82F13"/>
    <w:rsid w:val="00F83120"/>
    <w:rsid w:val="00F83136"/>
    <w:rsid w:val="00F832FE"/>
    <w:rsid w:val="00F83B4C"/>
    <w:rsid w:val="00F843AC"/>
    <w:rsid w:val="00F8576E"/>
    <w:rsid w:val="00F86DDD"/>
    <w:rsid w:val="00F87650"/>
    <w:rsid w:val="00F90644"/>
    <w:rsid w:val="00F90E2B"/>
    <w:rsid w:val="00F91F38"/>
    <w:rsid w:val="00F92140"/>
    <w:rsid w:val="00F933EE"/>
    <w:rsid w:val="00F93456"/>
    <w:rsid w:val="00F93714"/>
    <w:rsid w:val="00F94BC8"/>
    <w:rsid w:val="00F96ED0"/>
    <w:rsid w:val="00F96FB9"/>
    <w:rsid w:val="00F97E4C"/>
    <w:rsid w:val="00FA03FB"/>
    <w:rsid w:val="00FA0471"/>
    <w:rsid w:val="00FA0E10"/>
    <w:rsid w:val="00FA22A6"/>
    <w:rsid w:val="00FA240E"/>
    <w:rsid w:val="00FA2711"/>
    <w:rsid w:val="00FA291A"/>
    <w:rsid w:val="00FA3268"/>
    <w:rsid w:val="00FA50E4"/>
    <w:rsid w:val="00FA524C"/>
    <w:rsid w:val="00FA5669"/>
    <w:rsid w:val="00FA779D"/>
    <w:rsid w:val="00FB0A59"/>
    <w:rsid w:val="00FB0D71"/>
    <w:rsid w:val="00FB0ED7"/>
    <w:rsid w:val="00FB0F3F"/>
    <w:rsid w:val="00FB1D31"/>
    <w:rsid w:val="00FB1FA9"/>
    <w:rsid w:val="00FB252F"/>
    <w:rsid w:val="00FB29A5"/>
    <w:rsid w:val="00FB322C"/>
    <w:rsid w:val="00FB3457"/>
    <w:rsid w:val="00FB43DB"/>
    <w:rsid w:val="00FB4998"/>
    <w:rsid w:val="00FB5352"/>
    <w:rsid w:val="00FB5371"/>
    <w:rsid w:val="00FB56F6"/>
    <w:rsid w:val="00FB59E4"/>
    <w:rsid w:val="00FB6233"/>
    <w:rsid w:val="00FB6843"/>
    <w:rsid w:val="00FB6E30"/>
    <w:rsid w:val="00FB7C51"/>
    <w:rsid w:val="00FC017D"/>
    <w:rsid w:val="00FC01BB"/>
    <w:rsid w:val="00FC05B1"/>
    <w:rsid w:val="00FC0EB0"/>
    <w:rsid w:val="00FC137D"/>
    <w:rsid w:val="00FC1520"/>
    <w:rsid w:val="00FC1C76"/>
    <w:rsid w:val="00FC249C"/>
    <w:rsid w:val="00FC426B"/>
    <w:rsid w:val="00FC4965"/>
    <w:rsid w:val="00FC4D32"/>
    <w:rsid w:val="00FC5ECE"/>
    <w:rsid w:val="00FD00F4"/>
    <w:rsid w:val="00FD053E"/>
    <w:rsid w:val="00FD0F0B"/>
    <w:rsid w:val="00FD116A"/>
    <w:rsid w:val="00FD35E6"/>
    <w:rsid w:val="00FD36A9"/>
    <w:rsid w:val="00FD3BB3"/>
    <w:rsid w:val="00FD3C42"/>
    <w:rsid w:val="00FD42B1"/>
    <w:rsid w:val="00FD42BC"/>
    <w:rsid w:val="00FD4A3C"/>
    <w:rsid w:val="00FD502C"/>
    <w:rsid w:val="00FD51A4"/>
    <w:rsid w:val="00FD51E3"/>
    <w:rsid w:val="00FD5EE8"/>
    <w:rsid w:val="00FD640A"/>
    <w:rsid w:val="00FD71F6"/>
    <w:rsid w:val="00FD7C3E"/>
    <w:rsid w:val="00FE2C01"/>
    <w:rsid w:val="00FE2D45"/>
    <w:rsid w:val="00FE2EFC"/>
    <w:rsid w:val="00FE3C45"/>
    <w:rsid w:val="00FE5132"/>
    <w:rsid w:val="00FE5EB0"/>
    <w:rsid w:val="00FE5EC2"/>
    <w:rsid w:val="00FE66A4"/>
    <w:rsid w:val="00FE68D5"/>
    <w:rsid w:val="00FE6DD7"/>
    <w:rsid w:val="00FE72F9"/>
    <w:rsid w:val="00FE7913"/>
    <w:rsid w:val="00FE7AA7"/>
    <w:rsid w:val="00FF0A21"/>
    <w:rsid w:val="00FF0B34"/>
    <w:rsid w:val="00FF10B2"/>
    <w:rsid w:val="00FF19C1"/>
    <w:rsid w:val="00FF218A"/>
    <w:rsid w:val="00FF2ACA"/>
    <w:rsid w:val="00FF4776"/>
    <w:rsid w:val="00FF577F"/>
    <w:rsid w:val="00FF5A05"/>
    <w:rsid w:val="00FF6C39"/>
    <w:rsid w:val="00FF6D0F"/>
    <w:rsid w:val="00FF6E12"/>
    <w:rsid w:val="00FF6F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F9A998C"/>
  <w15:docId w15:val="{4896E9D2-D30D-4FB5-BD4A-D33F811B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6EC"/>
    <w:pPr>
      <w:spacing w:after="240" w:line="360" w:lineRule="auto"/>
    </w:pPr>
    <w:rPr>
      <w:rFonts w:ascii="Times New Roman" w:hAnsi="Times New Roman"/>
      <w:sz w:val="24"/>
    </w:rPr>
  </w:style>
  <w:style w:type="paragraph" w:styleId="Heading1">
    <w:name w:val="heading 1"/>
    <w:basedOn w:val="Normal"/>
    <w:next w:val="Normal"/>
    <w:link w:val="Heading1Char"/>
    <w:uiPriority w:val="9"/>
    <w:qFormat/>
    <w:rsid w:val="00E5596C"/>
    <w:pPr>
      <w:keepNext/>
      <w:keepLines/>
      <w:spacing w:before="480" w:after="120"/>
      <w:outlineLvl w:val="0"/>
    </w:pPr>
    <w:rPr>
      <w:rFonts w:eastAsiaTheme="majorEastAsia" w:cs="Times New Roman"/>
      <w:b/>
      <w:bCs/>
      <w:caps/>
      <w:color w:val="000000" w:themeColor="text1"/>
      <w:szCs w:val="28"/>
    </w:rPr>
  </w:style>
  <w:style w:type="paragraph" w:styleId="Heading2">
    <w:name w:val="heading 2"/>
    <w:basedOn w:val="Normal"/>
    <w:next w:val="Normal"/>
    <w:link w:val="Heading2Char"/>
    <w:uiPriority w:val="9"/>
    <w:unhideWhenUsed/>
    <w:qFormat/>
    <w:rsid w:val="00236853"/>
    <w:pPr>
      <w:keepNext/>
      <w:keepLines/>
      <w:spacing w:after="6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112207"/>
    <w:pPr>
      <w:keepNext/>
      <w:keepLines/>
      <w:numPr>
        <w:ilvl w:val="2"/>
        <w:numId w:val="1"/>
      </w:numPr>
      <w:spacing w:before="20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12207"/>
    <w:pPr>
      <w:keepNext/>
      <w:keepLines/>
      <w:numPr>
        <w:ilvl w:val="3"/>
        <w:numId w:val="1"/>
      </w:numPr>
      <w:spacing w:before="200" w:after="120"/>
      <w:ind w:left="862" w:hanging="862"/>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96E1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96E1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96E1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96E1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96E1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96C"/>
    <w:rPr>
      <w:rFonts w:ascii="Times New Roman" w:eastAsiaTheme="majorEastAsia" w:hAnsi="Times New Roman" w:cs="Times New Roman"/>
      <w:b/>
      <w:bCs/>
      <w:caps/>
      <w:color w:val="000000" w:themeColor="text1"/>
      <w:sz w:val="24"/>
      <w:szCs w:val="28"/>
    </w:rPr>
  </w:style>
  <w:style w:type="character" w:customStyle="1" w:styleId="Heading2Char">
    <w:name w:val="Heading 2 Char"/>
    <w:basedOn w:val="DefaultParagraphFont"/>
    <w:link w:val="Heading2"/>
    <w:uiPriority w:val="9"/>
    <w:rsid w:val="00236853"/>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112207"/>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112207"/>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996E17"/>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996E17"/>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996E17"/>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996E1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96E17"/>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996E17"/>
    <w:pPr>
      <w:outlineLvl w:val="9"/>
    </w:pPr>
    <w:rPr>
      <w:lang w:val="en-US" w:eastAsia="ja-JP"/>
    </w:rPr>
  </w:style>
  <w:style w:type="paragraph" w:styleId="TOC1">
    <w:name w:val="toc 1"/>
    <w:basedOn w:val="Normal"/>
    <w:next w:val="Normal"/>
    <w:autoRedefine/>
    <w:uiPriority w:val="39"/>
    <w:unhideWhenUsed/>
    <w:qFormat/>
    <w:rsid w:val="00996E17"/>
    <w:pPr>
      <w:spacing w:after="100"/>
    </w:pPr>
  </w:style>
  <w:style w:type="paragraph" w:styleId="TOC2">
    <w:name w:val="toc 2"/>
    <w:basedOn w:val="Normal"/>
    <w:next w:val="Normal"/>
    <w:autoRedefine/>
    <w:uiPriority w:val="39"/>
    <w:unhideWhenUsed/>
    <w:qFormat/>
    <w:rsid w:val="00996E17"/>
    <w:pPr>
      <w:spacing w:after="100"/>
      <w:ind w:left="220"/>
    </w:pPr>
  </w:style>
  <w:style w:type="paragraph" w:styleId="TOC3">
    <w:name w:val="toc 3"/>
    <w:basedOn w:val="Normal"/>
    <w:next w:val="Normal"/>
    <w:autoRedefine/>
    <w:uiPriority w:val="39"/>
    <w:unhideWhenUsed/>
    <w:qFormat/>
    <w:rsid w:val="00996E17"/>
    <w:pPr>
      <w:spacing w:after="100"/>
      <w:ind w:left="440"/>
    </w:pPr>
  </w:style>
  <w:style w:type="character" w:styleId="Hyperlink">
    <w:name w:val="Hyperlink"/>
    <w:basedOn w:val="DefaultParagraphFont"/>
    <w:uiPriority w:val="99"/>
    <w:unhideWhenUsed/>
    <w:rsid w:val="00996E17"/>
    <w:rPr>
      <w:color w:val="0000FF" w:themeColor="hyperlink"/>
      <w:u w:val="single"/>
    </w:rPr>
  </w:style>
  <w:style w:type="paragraph" w:styleId="BalloonText">
    <w:name w:val="Balloon Text"/>
    <w:basedOn w:val="Normal"/>
    <w:link w:val="BalloonTextChar"/>
    <w:semiHidden/>
    <w:unhideWhenUsed/>
    <w:rsid w:val="00996E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E17"/>
    <w:rPr>
      <w:rFonts w:ascii="Tahoma" w:hAnsi="Tahoma" w:cs="Tahoma"/>
      <w:sz w:val="16"/>
      <w:szCs w:val="16"/>
    </w:rPr>
  </w:style>
  <w:style w:type="paragraph" w:styleId="FootnoteText">
    <w:name w:val="footnote text"/>
    <w:basedOn w:val="Normal"/>
    <w:link w:val="FootnoteTextChar"/>
    <w:uiPriority w:val="99"/>
    <w:unhideWhenUsed/>
    <w:rsid w:val="00CA29F2"/>
    <w:pPr>
      <w:spacing w:line="240" w:lineRule="auto"/>
    </w:pPr>
    <w:rPr>
      <w:sz w:val="20"/>
      <w:szCs w:val="20"/>
    </w:rPr>
  </w:style>
  <w:style w:type="character" w:customStyle="1" w:styleId="FootnoteTextChar">
    <w:name w:val="Footnote Text Char"/>
    <w:basedOn w:val="DefaultParagraphFont"/>
    <w:link w:val="FootnoteText"/>
    <w:uiPriority w:val="99"/>
    <w:rsid w:val="00CA29F2"/>
    <w:rPr>
      <w:sz w:val="20"/>
      <w:szCs w:val="20"/>
    </w:rPr>
  </w:style>
  <w:style w:type="character" w:styleId="FootnoteReference">
    <w:name w:val="footnote reference"/>
    <w:basedOn w:val="DefaultParagraphFont"/>
    <w:uiPriority w:val="99"/>
    <w:unhideWhenUsed/>
    <w:rsid w:val="00CA29F2"/>
    <w:rPr>
      <w:vertAlign w:val="superscript"/>
    </w:rPr>
  </w:style>
  <w:style w:type="character" w:styleId="CommentReference">
    <w:name w:val="annotation reference"/>
    <w:basedOn w:val="DefaultParagraphFont"/>
    <w:uiPriority w:val="99"/>
    <w:unhideWhenUsed/>
    <w:rsid w:val="00CA29F2"/>
    <w:rPr>
      <w:sz w:val="16"/>
      <w:szCs w:val="16"/>
    </w:rPr>
  </w:style>
  <w:style w:type="paragraph" w:styleId="CommentText">
    <w:name w:val="annotation text"/>
    <w:basedOn w:val="Normal"/>
    <w:link w:val="CommentTextChar"/>
    <w:uiPriority w:val="99"/>
    <w:unhideWhenUsed/>
    <w:rsid w:val="00CA29F2"/>
    <w:pPr>
      <w:spacing w:line="240" w:lineRule="auto"/>
    </w:pPr>
    <w:rPr>
      <w:sz w:val="20"/>
      <w:szCs w:val="20"/>
    </w:rPr>
  </w:style>
  <w:style w:type="character" w:customStyle="1" w:styleId="CommentTextChar">
    <w:name w:val="Comment Text Char"/>
    <w:basedOn w:val="DefaultParagraphFont"/>
    <w:link w:val="CommentText"/>
    <w:uiPriority w:val="99"/>
    <w:rsid w:val="00CA29F2"/>
    <w:rPr>
      <w:sz w:val="20"/>
      <w:szCs w:val="20"/>
    </w:rPr>
  </w:style>
  <w:style w:type="paragraph" w:styleId="CommentSubject">
    <w:name w:val="annotation subject"/>
    <w:basedOn w:val="CommentText"/>
    <w:next w:val="CommentText"/>
    <w:link w:val="CommentSubjectChar"/>
    <w:unhideWhenUsed/>
    <w:rsid w:val="00CA29F2"/>
    <w:rPr>
      <w:b/>
      <w:bCs/>
    </w:rPr>
  </w:style>
  <w:style w:type="character" w:customStyle="1" w:styleId="CommentSubjectChar">
    <w:name w:val="Comment Subject Char"/>
    <w:basedOn w:val="CommentTextChar"/>
    <w:link w:val="CommentSubject"/>
    <w:rsid w:val="00CA29F2"/>
    <w:rPr>
      <w:b/>
      <w:bCs/>
      <w:sz w:val="20"/>
      <w:szCs w:val="20"/>
    </w:rPr>
  </w:style>
  <w:style w:type="paragraph" w:styleId="Revision">
    <w:name w:val="Revision"/>
    <w:hidden/>
    <w:uiPriority w:val="99"/>
    <w:semiHidden/>
    <w:rsid w:val="00754436"/>
    <w:pPr>
      <w:spacing w:after="0" w:line="240" w:lineRule="auto"/>
    </w:pPr>
  </w:style>
  <w:style w:type="character" w:styleId="PlaceholderText">
    <w:name w:val="Placeholder Text"/>
    <w:basedOn w:val="DefaultParagraphFont"/>
    <w:uiPriority w:val="99"/>
    <w:semiHidden/>
    <w:rsid w:val="002E597F"/>
    <w:rPr>
      <w:color w:val="808080"/>
    </w:rPr>
  </w:style>
  <w:style w:type="table" w:styleId="TableGrid">
    <w:name w:val="Table Grid"/>
    <w:basedOn w:val="TableNormal"/>
    <w:rsid w:val="00BA0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BA0EA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autoRedefine/>
    <w:uiPriority w:val="35"/>
    <w:unhideWhenUsed/>
    <w:qFormat/>
    <w:rsid w:val="007A4595"/>
    <w:pPr>
      <w:keepNext/>
      <w:spacing w:after="0" w:line="276" w:lineRule="auto"/>
    </w:pPr>
    <w:rPr>
      <w:rFonts w:cs="Times New Roman"/>
      <w:bCs/>
      <w:szCs w:val="24"/>
      <w:lang w:val="en-US"/>
    </w:rPr>
  </w:style>
  <w:style w:type="paragraph" w:styleId="ListParagraph">
    <w:name w:val="List Paragraph"/>
    <w:basedOn w:val="Normal"/>
    <w:uiPriority w:val="34"/>
    <w:qFormat/>
    <w:rsid w:val="008D78D0"/>
    <w:pPr>
      <w:ind w:left="720"/>
      <w:contextualSpacing/>
    </w:pPr>
  </w:style>
  <w:style w:type="paragraph" w:styleId="PlainText">
    <w:name w:val="Plain Text"/>
    <w:basedOn w:val="Normal"/>
    <w:link w:val="PlainTextChar"/>
    <w:uiPriority w:val="99"/>
    <w:unhideWhenUsed/>
    <w:rsid w:val="00A81514"/>
    <w:rPr>
      <w:rFonts w:ascii="Consolas" w:eastAsiaTheme="minorHAnsi" w:hAnsi="Consolas"/>
      <w:color w:val="000000" w:themeColor="text1"/>
      <w:sz w:val="21"/>
      <w:szCs w:val="21"/>
      <w:lang w:eastAsia="en-US"/>
    </w:rPr>
  </w:style>
  <w:style w:type="character" w:customStyle="1" w:styleId="PlainTextChar">
    <w:name w:val="Plain Text Char"/>
    <w:basedOn w:val="DefaultParagraphFont"/>
    <w:link w:val="PlainText"/>
    <w:uiPriority w:val="99"/>
    <w:rsid w:val="00A81514"/>
    <w:rPr>
      <w:rFonts w:ascii="Consolas" w:eastAsiaTheme="minorHAnsi" w:hAnsi="Consolas"/>
      <w:color w:val="000000" w:themeColor="text1"/>
      <w:sz w:val="21"/>
      <w:szCs w:val="21"/>
      <w:lang w:eastAsia="en-US"/>
    </w:rPr>
  </w:style>
  <w:style w:type="paragraph" w:styleId="Header">
    <w:name w:val="header"/>
    <w:basedOn w:val="Normal"/>
    <w:link w:val="HeaderChar"/>
    <w:uiPriority w:val="99"/>
    <w:unhideWhenUsed/>
    <w:rsid w:val="003E4F66"/>
    <w:pPr>
      <w:tabs>
        <w:tab w:val="center" w:pos="4513"/>
        <w:tab w:val="right" w:pos="9026"/>
      </w:tabs>
      <w:spacing w:line="240" w:lineRule="auto"/>
    </w:pPr>
  </w:style>
  <w:style w:type="character" w:customStyle="1" w:styleId="HeaderChar">
    <w:name w:val="Header Char"/>
    <w:basedOn w:val="DefaultParagraphFont"/>
    <w:link w:val="Header"/>
    <w:uiPriority w:val="99"/>
    <w:rsid w:val="003E4F66"/>
  </w:style>
  <w:style w:type="paragraph" w:styleId="Footer">
    <w:name w:val="footer"/>
    <w:basedOn w:val="Normal"/>
    <w:link w:val="FooterChar"/>
    <w:uiPriority w:val="99"/>
    <w:unhideWhenUsed/>
    <w:rsid w:val="003E4F66"/>
    <w:pPr>
      <w:tabs>
        <w:tab w:val="center" w:pos="4513"/>
        <w:tab w:val="right" w:pos="9026"/>
      </w:tabs>
      <w:spacing w:line="240" w:lineRule="auto"/>
    </w:pPr>
  </w:style>
  <w:style w:type="character" w:customStyle="1" w:styleId="FooterChar">
    <w:name w:val="Footer Char"/>
    <w:basedOn w:val="DefaultParagraphFont"/>
    <w:link w:val="Footer"/>
    <w:uiPriority w:val="99"/>
    <w:rsid w:val="003E4F66"/>
  </w:style>
  <w:style w:type="character" w:customStyle="1" w:styleId="apple-converted-space">
    <w:name w:val="apple-converted-space"/>
    <w:basedOn w:val="DefaultParagraphFont"/>
    <w:rsid w:val="00A76B5B"/>
  </w:style>
  <w:style w:type="character" w:styleId="Strong">
    <w:name w:val="Strong"/>
    <w:basedOn w:val="DefaultParagraphFont"/>
    <w:uiPriority w:val="22"/>
    <w:qFormat/>
    <w:rsid w:val="00A76B5B"/>
    <w:rPr>
      <w:b/>
      <w:bCs/>
    </w:rPr>
  </w:style>
  <w:style w:type="paragraph" w:customStyle="1" w:styleId="Default">
    <w:name w:val="Default"/>
    <w:rsid w:val="00492181"/>
    <w:pPr>
      <w:autoSpaceDE w:val="0"/>
      <w:autoSpaceDN w:val="0"/>
      <w:adjustRightInd w:val="0"/>
      <w:spacing w:after="0" w:line="240" w:lineRule="auto"/>
    </w:pPr>
    <w:rPr>
      <w:rFonts w:ascii="Frutiger 45 Light" w:eastAsia="Times New Roman" w:hAnsi="Frutiger 45 Light" w:cs="Frutiger 45 Light"/>
      <w:color w:val="000000"/>
      <w:sz w:val="24"/>
      <w:szCs w:val="24"/>
    </w:rPr>
  </w:style>
  <w:style w:type="paragraph" w:styleId="NormalWeb">
    <w:name w:val="Normal (Web)"/>
    <w:basedOn w:val="Normal"/>
    <w:uiPriority w:val="99"/>
    <w:rsid w:val="00492181"/>
    <w:pPr>
      <w:spacing w:before="100" w:beforeAutospacing="1" w:after="100" w:afterAutospacing="1" w:line="240" w:lineRule="auto"/>
    </w:pPr>
    <w:rPr>
      <w:rFonts w:eastAsia="Times New Roman" w:cs="Times New Roman"/>
      <w:szCs w:val="24"/>
    </w:rPr>
  </w:style>
  <w:style w:type="character" w:customStyle="1" w:styleId="A8">
    <w:name w:val="A8"/>
    <w:uiPriority w:val="99"/>
    <w:rsid w:val="00390D19"/>
    <w:rPr>
      <w:i/>
      <w:iCs/>
      <w:color w:val="000000"/>
      <w:sz w:val="22"/>
      <w:szCs w:val="22"/>
    </w:rPr>
  </w:style>
  <w:style w:type="paragraph" w:styleId="TableofFigures">
    <w:name w:val="table of figures"/>
    <w:basedOn w:val="Normal"/>
    <w:next w:val="Normal"/>
    <w:uiPriority w:val="99"/>
    <w:unhideWhenUsed/>
    <w:rsid w:val="00556076"/>
  </w:style>
  <w:style w:type="paragraph" w:styleId="Title">
    <w:name w:val="Title"/>
    <w:basedOn w:val="Normal"/>
    <w:next w:val="Normal"/>
    <w:link w:val="TitleChar"/>
    <w:uiPriority w:val="10"/>
    <w:qFormat/>
    <w:rsid w:val="006554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54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2CA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DA2CA9"/>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DA2CA9"/>
    <w:rPr>
      <w:i/>
      <w:iCs/>
    </w:rPr>
  </w:style>
  <w:style w:type="character" w:styleId="IntenseEmphasis">
    <w:name w:val="Intense Emphasis"/>
    <w:basedOn w:val="DefaultParagraphFont"/>
    <w:uiPriority w:val="21"/>
    <w:qFormat/>
    <w:rsid w:val="00DA2CA9"/>
    <w:rPr>
      <w:b/>
      <w:bCs/>
      <w:i/>
      <w:iCs/>
      <w:color w:val="4F81BD" w:themeColor="accent1"/>
    </w:rPr>
  </w:style>
  <w:style w:type="character" w:styleId="FollowedHyperlink">
    <w:name w:val="FollowedHyperlink"/>
    <w:basedOn w:val="DefaultParagraphFont"/>
    <w:uiPriority w:val="99"/>
    <w:semiHidden/>
    <w:unhideWhenUsed/>
    <w:rsid w:val="00B72BBB"/>
    <w:rPr>
      <w:color w:val="800080" w:themeColor="followedHyperlink"/>
      <w:u w:val="single"/>
    </w:rPr>
  </w:style>
  <w:style w:type="paragraph" w:customStyle="1" w:styleId="EndNoteBibliography">
    <w:name w:val="EndNote Bibliography"/>
    <w:basedOn w:val="Normal"/>
    <w:link w:val="EndNoteBibliographyChar"/>
    <w:rsid w:val="001B44F9"/>
    <w:pPr>
      <w:spacing w:after="0" w:line="240" w:lineRule="auto"/>
    </w:pPr>
    <w:rPr>
      <w:rFonts w:ascii="Calibri" w:eastAsia="Times New Roman" w:hAnsi="Calibri" w:cs="Calibri"/>
      <w:noProof/>
      <w:sz w:val="22"/>
      <w:lang w:val="en-US" w:eastAsia="en-US"/>
    </w:rPr>
  </w:style>
  <w:style w:type="character" w:customStyle="1" w:styleId="EndNoteBibliographyChar">
    <w:name w:val="EndNote Bibliography Char"/>
    <w:basedOn w:val="DefaultParagraphFont"/>
    <w:link w:val="EndNoteBibliography"/>
    <w:locked/>
    <w:rsid w:val="001B44F9"/>
    <w:rPr>
      <w:rFonts w:ascii="Calibri" w:eastAsia="Times New Roman" w:hAnsi="Calibri" w:cs="Calibri"/>
      <w:noProof/>
      <w:lang w:val="en-US" w:eastAsia="en-US"/>
    </w:rPr>
  </w:style>
  <w:style w:type="character" w:customStyle="1" w:styleId="il">
    <w:name w:val="il"/>
    <w:basedOn w:val="DefaultParagraphFont"/>
    <w:rsid w:val="00B95DA2"/>
  </w:style>
  <w:style w:type="character" w:customStyle="1" w:styleId="MTEquationSection">
    <w:name w:val="MTEquationSection"/>
    <w:basedOn w:val="DefaultParagraphFont"/>
    <w:rsid w:val="00A93ABB"/>
    <w:rPr>
      <w:vanish w:val="0"/>
      <w:color w:val="FF0000"/>
      <w:sz w:val="40"/>
      <w:szCs w:val="40"/>
    </w:rPr>
  </w:style>
  <w:style w:type="paragraph" w:customStyle="1" w:styleId="MTDisplayEquation">
    <w:name w:val="MTDisplayEquation"/>
    <w:basedOn w:val="Normal"/>
    <w:next w:val="Normal"/>
    <w:link w:val="MTDisplayEquationChar"/>
    <w:rsid w:val="00A93ABB"/>
    <w:pPr>
      <w:tabs>
        <w:tab w:val="center" w:pos="4160"/>
        <w:tab w:val="right" w:pos="8320"/>
      </w:tabs>
    </w:pPr>
  </w:style>
  <w:style w:type="character" w:customStyle="1" w:styleId="MTDisplayEquationChar">
    <w:name w:val="MTDisplayEquation Char"/>
    <w:basedOn w:val="DefaultParagraphFont"/>
    <w:link w:val="MTDisplayEquation"/>
    <w:rsid w:val="00A93ABB"/>
    <w:rPr>
      <w:rFonts w:ascii="Times New Roman" w:hAnsi="Times New Roman"/>
      <w:sz w:val="24"/>
    </w:rPr>
  </w:style>
  <w:style w:type="paragraph" w:customStyle="1" w:styleId="default0">
    <w:name w:val="default"/>
    <w:basedOn w:val="Normal"/>
    <w:rsid w:val="00C95DFC"/>
    <w:pPr>
      <w:spacing w:before="100" w:beforeAutospacing="1" w:after="100" w:afterAutospacing="1" w:line="240" w:lineRule="auto"/>
    </w:pPr>
    <w:rPr>
      <w:rFonts w:eastAsia="Times New Roman" w:cs="Times New Roman"/>
      <w:szCs w:val="24"/>
      <w:lang w:val="en-US" w:eastAsia="en-US"/>
    </w:rPr>
  </w:style>
  <w:style w:type="paragraph" w:styleId="NoSpacing">
    <w:name w:val="No Spacing"/>
    <w:uiPriority w:val="1"/>
    <w:qFormat/>
    <w:rsid w:val="008C6E60"/>
    <w:pPr>
      <w:spacing w:after="0" w:line="240" w:lineRule="auto"/>
    </w:pPr>
    <w:rPr>
      <w:rFonts w:eastAsiaTheme="minorHAnsi"/>
      <w:lang w:val="en-US" w:eastAsia="en-US"/>
    </w:rPr>
  </w:style>
  <w:style w:type="paragraph" w:customStyle="1" w:styleId="EndNoteBibliographyTitle">
    <w:name w:val="EndNote Bibliography Title"/>
    <w:basedOn w:val="Normal"/>
    <w:link w:val="EndNoteBibliographyTitleChar"/>
    <w:rsid w:val="00B031D9"/>
    <w:pPr>
      <w:spacing w:after="0"/>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B031D9"/>
    <w:rPr>
      <w:rFonts w:ascii="Calibri" w:hAnsi="Calibri" w:cs="Calibri"/>
      <w:noProof/>
    </w:rPr>
  </w:style>
  <w:style w:type="paragraph" w:styleId="EndnoteText">
    <w:name w:val="endnote text"/>
    <w:basedOn w:val="Normal"/>
    <w:link w:val="EndnoteTextChar"/>
    <w:uiPriority w:val="99"/>
    <w:semiHidden/>
    <w:unhideWhenUsed/>
    <w:rsid w:val="003E6F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6FF5"/>
    <w:rPr>
      <w:rFonts w:ascii="Times New Roman" w:hAnsi="Times New Roman"/>
      <w:sz w:val="20"/>
      <w:szCs w:val="20"/>
    </w:rPr>
  </w:style>
  <w:style w:type="character" w:styleId="EndnoteReference">
    <w:name w:val="endnote reference"/>
    <w:basedOn w:val="DefaultParagraphFont"/>
    <w:uiPriority w:val="99"/>
    <w:semiHidden/>
    <w:unhideWhenUsed/>
    <w:rsid w:val="003E6FF5"/>
    <w:rPr>
      <w:vertAlign w:val="superscript"/>
    </w:rPr>
  </w:style>
  <w:style w:type="paragraph" w:styleId="DocumentMap">
    <w:name w:val="Document Map"/>
    <w:basedOn w:val="Normal"/>
    <w:link w:val="DocumentMapChar"/>
    <w:uiPriority w:val="99"/>
    <w:semiHidden/>
    <w:unhideWhenUsed/>
    <w:rsid w:val="00F60DB4"/>
    <w:pPr>
      <w:spacing w:after="0" w:line="240" w:lineRule="auto"/>
    </w:pPr>
    <w:rPr>
      <w:rFonts w:cs="Times New Roman"/>
      <w:szCs w:val="24"/>
    </w:rPr>
  </w:style>
  <w:style w:type="character" w:customStyle="1" w:styleId="DocumentMapChar">
    <w:name w:val="Document Map Char"/>
    <w:basedOn w:val="DefaultParagraphFont"/>
    <w:link w:val="DocumentMap"/>
    <w:uiPriority w:val="99"/>
    <w:semiHidden/>
    <w:rsid w:val="00F60DB4"/>
    <w:rPr>
      <w:rFonts w:ascii="Times New Roman" w:hAnsi="Times New Roman" w:cs="Times New Roman"/>
      <w:sz w:val="24"/>
      <w:szCs w:val="24"/>
    </w:rPr>
  </w:style>
  <w:style w:type="table" w:customStyle="1" w:styleId="TableGrid1">
    <w:name w:val="Table Grid1"/>
    <w:basedOn w:val="TableNormal"/>
    <w:next w:val="TableGrid"/>
    <w:uiPriority w:val="39"/>
    <w:rsid w:val="00E423C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9043">
      <w:bodyDiv w:val="1"/>
      <w:marLeft w:val="0"/>
      <w:marRight w:val="0"/>
      <w:marTop w:val="0"/>
      <w:marBottom w:val="0"/>
      <w:divBdr>
        <w:top w:val="none" w:sz="0" w:space="0" w:color="auto"/>
        <w:left w:val="none" w:sz="0" w:space="0" w:color="auto"/>
        <w:bottom w:val="none" w:sz="0" w:space="0" w:color="auto"/>
        <w:right w:val="none" w:sz="0" w:space="0" w:color="auto"/>
      </w:divBdr>
    </w:div>
    <w:div w:id="31268837">
      <w:bodyDiv w:val="1"/>
      <w:marLeft w:val="0"/>
      <w:marRight w:val="0"/>
      <w:marTop w:val="0"/>
      <w:marBottom w:val="0"/>
      <w:divBdr>
        <w:top w:val="none" w:sz="0" w:space="0" w:color="auto"/>
        <w:left w:val="none" w:sz="0" w:space="0" w:color="auto"/>
        <w:bottom w:val="none" w:sz="0" w:space="0" w:color="auto"/>
        <w:right w:val="none" w:sz="0" w:space="0" w:color="auto"/>
      </w:divBdr>
    </w:div>
    <w:div w:id="53433663">
      <w:bodyDiv w:val="1"/>
      <w:marLeft w:val="0"/>
      <w:marRight w:val="0"/>
      <w:marTop w:val="0"/>
      <w:marBottom w:val="0"/>
      <w:divBdr>
        <w:top w:val="none" w:sz="0" w:space="0" w:color="auto"/>
        <w:left w:val="none" w:sz="0" w:space="0" w:color="auto"/>
        <w:bottom w:val="none" w:sz="0" w:space="0" w:color="auto"/>
        <w:right w:val="none" w:sz="0" w:space="0" w:color="auto"/>
      </w:divBdr>
    </w:div>
    <w:div w:id="53504421">
      <w:bodyDiv w:val="1"/>
      <w:marLeft w:val="0"/>
      <w:marRight w:val="0"/>
      <w:marTop w:val="0"/>
      <w:marBottom w:val="0"/>
      <w:divBdr>
        <w:top w:val="none" w:sz="0" w:space="0" w:color="auto"/>
        <w:left w:val="none" w:sz="0" w:space="0" w:color="auto"/>
        <w:bottom w:val="none" w:sz="0" w:space="0" w:color="auto"/>
        <w:right w:val="none" w:sz="0" w:space="0" w:color="auto"/>
      </w:divBdr>
    </w:div>
    <w:div w:id="134682817">
      <w:bodyDiv w:val="1"/>
      <w:marLeft w:val="0"/>
      <w:marRight w:val="0"/>
      <w:marTop w:val="0"/>
      <w:marBottom w:val="0"/>
      <w:divBdr>
        <w:top w:val="none" w:sz="0" w:space="0" w:color="auto"/>
        <w:left w:val="none" w:sz="0" w:space="0" w:color="auto"/>
        <w:bottom w:val="none" w:sz="0" w:space="0" w:color="auto"/>
        <w:right w:val="none" w:sz="0" w:space="0" w:color="auto"/>
      </w:divBdr>
    </w:div>
    <w:div w:id="373425136">
      <w:bodyDiv w:val="1"/>
      <w:marLeft w:val="0"/>
      <w:marRight w:val="0"/>
      <w:marTop w:val="0"/>
      <w:marBottom w:val="0"/>
      <w:divBdr>
        <w:top w:val="none" w:sz="0" w:space="0" w:color="auto"/>
        <w:left w:val="none" w:sz="0" w:space="0" w:color="auto"/>
        <w:bottom w:val="none" w:sz="0" w:space="0" w:color="auto"/>
        <w:right w:val="none" w:sz="0" w:space="0" w:color="auto"/>
      </w:divBdr>
      <w:divsChild>
        <w:div w:id="230359293">
          <w:marLeft w:val="562"/>
          <w:marRight w:val="0"/>
          <w:marTop w:val="0"/>
          <w:marBottom w:val="0"/>
          <w:divBdr>
            <w:top w:val="none" w:sz="0" w:space="0" w:color="auto"/>
            <w:left w:val="none" w:sz="0" w:space="0" w:color="auto"/>
            <w:bottom w:val="none" w:sz="0" w:space="0" w:color="auto"/>
            <w:right w:val="none" w:sz="0" w:space="0" w:color="auto"/>
          </w:divBdr>
        </w:div>
        <w:div w:id="252903547">
          <w:marLeft w:val="562"/>
          <w:marRight w:val="0"/>
          <w:marTop w:val="0"/>
          <w:marBottom w:val="0"/>
          <w:divBdr>
            <w:top w:val="none" w:sz="0" w:space="0" w:color="auto"/>
            <w:left w:val="none" w:sz="0" w:space="0" w:color="auto"/>
            <w:bottom w:val="none" w:sz="0" w:space="0" w:color="auto"/>
            <w:right w:val="none" w:sz="0" w:space="0" w:color="auto"/>
          </w:divBdr>
        </w:div>
        <w:div w:id="960377383">
          <w:marLeft w:val="562"/>
          <w:marRight w:val="0"/>
          <w:marTop w:val="0"/>
          <w:marBottom w:val="0"/>
          <w:divBdr>
            <w:top w:val="none" w:sz="0" w:space="0" w:color="auto"/>
            <w:left w:val="none" w:sz="0" w:space="0" w:color="auto"/>
            <w:bottom w:val="none" w:sz="0" w:space="0" w:color="auto"/>
            <w:right w:val="none" w:sz="0" w:space="0" w:color="auto"/>
          </w:divBdr>
        </w:div>
        <w:div w:id="1174418837">
          <w:marLeft w:val="562"/>
          <w:marRight w:val="0"/>
          <w:marTop w:val="0"/>
          <w:marBottom w:val="0"/>
          <w:divBdr>
            <w:top w:val="none" w:sz="0" w:space="0" w:color="auto"/>
            <w:left w:val="none" w:sz="0" w:space="0" w:color="auto"/>
            <w:bottom w:val="none" w:sz="0" w:space="0" w:color="auto"/>
            <w:right w:val="none" w:sz="0" w:space="0" w:color="auto"/>
          </w:divBdr>
        </w:div>
        <w:div w:id="1574119256">
          <w:marLeft w:val="562"/>
          <w:marRight w:val="0"/>
          <w:marTop w:val="0"/>
          <w:marBottom w:val="0"/>
          <w:divBdr>
            <w:top w:val="none" w:sz="0" w:space="0" w:color="auto"/>
            <w:left w:val="none" w:sz="0" w:space="0" w:color="auto"/>
            <w:bottom w:val="none" w:sz="0" w:space="0" w:color="auto"/>
            <w:right w:val="none" w:sz="0" w:space="0" w:color="auto"/>
          </w:divBdr>
        </w:div>
        <w:div w:id="1838768589">
          <w:marLeft w:val="562"/>
          <w:marRight w:val="0"/>
          <w:marTop w:val="0"/>
          <w:marBottom w:val="0"/>
          <w:divBdr>
            <w:top w:val="none" w:sz="0" w:space="0" w:color="auto"/>
            <w:left w:val="none" w:sz="0" w:space="0" w:color="auto"/>
            <w:bottom w:val="none" w:sz="0" w:space="0" w:color="auto"/>
            <w:right w:val="none" w:sz="0" w:space="0" w:color="auto"/>
          </w:divBdr>
        </w:div>
      </w:divsChild>
    </w:div>
    <w:div w:id="377554085">
      <w:bodyDiv w:val="1"/>
      <w:marLeft w:val="0"/>
      <w:marRight w:val="0"/>
      <w:marTop w:val="0"/>
      <w:marBottom w:val="0"/>
      <w:divBdr>
        <w:top w:val="none" w:sz="0" w:space="0" w:color="auto"/>
        <w:left w:val="none" w:sz="0" w:space="0" w:color="auto"/>
        <w:bottom w:val="none" w:sz="0" w:space="0" w:color="auto"/>
        <w:right w:val="none" w:sz="0" w:space="0" w:color="auto"/>
      </w:divBdr>
    </w:div>
    <w:div w:id="387849459">
      <w:bodyDiv w:val="1"/>
      <w:marLeft w:val="0"/>
      <w:marRight w:val="0"/>
      <w:marTop w:val="0"/>
      <w:marBottom w:val="0"/>
      <w:divBdr>
        <w:top w:val="none" w:sz="0" w:space="0" w:color="auto"/>
        <w:left w:val="none" w:sz="0" w:space="0" w:color="auto"/>
        <w:bottom w:val="none" w:sz="0" w:space="0" w:color="auto"/>
        <w:right w:val="none" w:sz="0" w:space="0" w:color="auto"/>
      </w:divBdr>
    </w:div>
    <w:div w:id="408845918">
      <w:bodyDiv w:val="1"/>
      <w:marLeft w:val="0"/>
      <w:marRight w:val="0"/>
      <w:marTop w:val="0"/>
      <w:marBottom w:val="0"/>
      <w:divBdr>
        <w:top w:val="none" w:sz="0" w:space="0" w:color="auto"/>
        <w:left w:val="none" w:sz="0" w:space="0" w:color="auto"/>
        <w:bottom w:val="none" w:sz="0" w:space="0" w:color="auto"/>
        <w:right w:val="none" w:sz="0" w:space="0" w:color="auto"/>
      </w:divBdr>
    </w:div>
    <w:div w:id="421342390">
      <w:bodyDiv w:val="1"/>
      <w:marLeft w:val="0"/>
      <w:marRight w:val="0"/>
      <w:marTop w:val="0"/>
      <w:marBottom w:val="0"/>
      <w:divBdr>
        <w:top w:val="none" w:sz="0" w:space="0" w:color="auto"/>
        <w:left w:val="none" w:sz="0" w:space="0" w:color="auto"/>
        <w:bottom w:val="none" w:sz="0" w:space="0" w:color="auto"/>
        <w:right w:val="none" w:sz="0" w:space="0" w:color="auto"/>
      </w:divBdr>
    </w:div>
    <w:div w:id="503545362">
      <w:bodyDiv w:val="1"/>
      <w:marLeft w:val="0"/>
      <w:marRight w:val="0"/>
      <w:marTop w:val="0"/>
      <w:marBottom w:val="0"/>
      <w:divBdr>
        <w:top w:val="none" w:sz="0" w:space="0" w:color="auto"/>
        <w:left w:val="none" w:sz="0" w:space="0" w:color="auto"/>
        <w:bottom w:val="none" w:sz="0" w:space="0" w:color="auto"/>
        <w:right w:val="none" w:sz="0" w:space="0" w:color="auto"/>
      </w:divBdr>
    </w:div>
    <w:div w:id="573854272">
      <w:bodyDiv w:val="1"/>
      <w:marLeft w:val="0"/>
      <w:marRight w:val="0"/>
      <w:marTop w:val="0"/>
      <w:marBottom w:val="0"/>
      <w:divBdr>
        <w:top w:val="none" w:sz="0" w:space="0" w:color="auto"/>
        <w:left w:val="none" w:sz="0" w:space="0" w:color="auto"/>
        <w:bottom w:val="none" w:sz="0" w:space="0" w:color="auto"/>
        <w:right w:val="none" w:sz="0" w:space="0" w:color="auto"/>
      </w:divBdr>
    </w:div>
    <w:div w:id="580674437">
      <w:bodyDiv w:val="1"/>
      <w:marLeft w:val="0"/>
      <w:marRight w:val="0"/>
      <w:marTop w:val="0"/>
      <w:marBottom w:val="0"/>
      <w:divBdr>
        <w:top w:val="none" w:sz="0" w:space="0" w:color="auto"/>
        <w:left w:val="none" w:sz="0" w:space="0" w:color="auto"/>
        <w:bottom w:val="none" w:sz="0" w:space="0" w:color="auto"/>
        <w:right w:val="none" w:sz="0" w:space="0" w:color="auto"/>
      </w:divBdr>
    </w:div>
    <w:div w:id="638464715">
      <w:bodyDiv w:val="1"/>
      <w:marLeft w:val="0"/>
      <w:marRight w:val="0"/>
      <w:marTop w:val="0"/>
      <w:marBottom w:val="0"/>
      <w:divBdr>
        <w:top w:val="none" w:sz="0" w:space="0" w:color="auto"/>
        <w:left w:val="none" w:sz="0" w:space="0" w:color="auto"/>
        <w:bottom w:val="none" w:sz="0" w:space="0" w:color="auto"/>
        <w:right w:val="none" w:sz="0" w:space="0" w:color="auto"/>
      </w:divBdr>
    </w:div>
    <w:div w:id="789396311">
      <w:bodyDiv w:val="1"/>
      <w:marLeft w:val="0"/>
      <w:marRight w:val="0"/>
      <w:marTop w:val="0"/>
      <w:marBottom w:val="0"/>
      <w:divBdr>
        <w:top w:val="none" w:sz="0" w:space="0" w:color="auto"/>
        <w:left w:val="none" w:sz="0" w:space="0" w:color="auto"/>
        <w:bottom w:val="none" w:sz="0" w:space="0" w:color="auto"/>
        <w:right w:val="none" w:sz="0" w:space="0" w:color="auto"/>
      </w:divBdr>
    </w:div>
    <w:div w:id="821846567">
      <w:bodyDiv w:val="1"/>
      <w:marLeft w:val="0"/>
      <w:marRight w:val="0"/>
      <w:marTop w:val="0"/>
      <w:marBottom w:val="0"/>
      <w:divBdr>
        <w:top w:val="none" w:sz="0" w:space="0" w:color="auto"/>
        <w:left w:val="none" w:sz="0" w:space="0" w:color="auto"/>
        <w:bottom w:val="none" w:sz="0" w:space="0" w:color="auto"/>
        <w:right w:val="none" w:sz="0" w:space="0" w:color="auto"/>
      </w:divBdr>
    </w:div>
    <w:div w:id="833448335">
      <w:bodyDiv w:val="1"/>
      <w:marLeft w:val="0"/>
      <w:marRight w:val="0"/>
      <w:marTop w:val="0"/>
      <w:marBottom w:val="0"/>
      <w:divBdr>
        <w:top w:val="none" w:sz="0" w:space="0" w:color="auto"/>
        <w:left w:val="none" w:sz="0" w:space="0" w:color="auto"/>
        <w:bottom w:val="none" w:sz="0" w:space="0" w:color="auto"/>
        <w:right w:val="none" w:sz="0" w:space="0" w:color="auto"/>
      </w:divBdr>
    </w:div>
    <w:div w:id="888303962">
      <w:bodyDiv w:val="1"/>
      <w:marLeft w:val="0"/>
      <w:marRight w:val="0"/>
      <w:marTop w:val="0"/>
      <w:marBottom w:val="0"/>
      <w:divBdr>
        <w:top w:val="none" w:sz="0" w:space="0" w:color="auto"/>
        <w:left w:val="none" w:sz="0" w:space="0" w:color="auto"/>
        <w:bottom w:val="none" w:sz="0" w:space="0" w:color="auto"/>
        <w:right w:val="none" w:sz="0" w:space="0" w:color="auto"/>
      </w:divBdr>
    </w:div>
    <w:div w:id="941954606">
      <w:bodyDiv w:val="1"/>
      <w:marLeft w:val="0"/>
      <w:marRight w:val="0"/>
      <w:marTop w:val="0"/>
      <w:marBottom w:val="0"/>
      <w:divBdr>
        <w:top w:val="none" w:sz="0" w:space="0" w:color="auto"/>
        <w:left w:val="none" w:sz="0" w:space="0" w:color="auto"/>
        <w:bottom w:val="none" w:sz="0" w:space="0" w:color="auto"/>
        <w:right w:val="none" w:sz="0" w:space="0" w:color="auto"/>
      </w:divBdr>
    </w:div>
    <w:div w:id="941957413">
      <w:bodyDiv w:val="1"/>
      <w:marLeft w:val="0"/>
      <w:marRight w:val="0"/>
      <w:marTop w:val="0"/>
      <w:marBottom w:val="0"/>
      <w:divBdr>
        <w:top w:val="none" w:sz="0" w:space="0" w:color="auto"/>
        <w:left w:val="none" w:sz="0" w:space="0" w:color="auto"/>
        <w:bottom w:val="none" w:sz="0" w:space="0" w:color="auto"/>
        <w:right w:val="none" w:sz="0" w:space="0" w:color="auto"/>
      </w:divBdr>
    </w:div>
    <w:div w:id="1045907342">
      <w:bodyDiv w:val="1"/>
      <w:marLeft w:val="0"/>
      <w:marRight w:val="0"/>
      <w:marTop w:val="0"/>
      <w:marBottom w:val="0"/>
      <w:divBdr>
        <w:top w:val="none" w:sz="0" w:space="0" w:color="auto"/>
        <w:left w:val="none" w:sz="0" w:space="0" w:color="auto"/>
        <w:bottom w:val="none" w:sz="0" w:space="0" w:color="auto"/>
        <w:right w:val="none" w:sz="0" w:space="0" w:color="auto"/>
      </w:divBdr>
    </w:div>
    <w:div w:id="1070154501">
      <w:bodyDiv w:val="1"/>
      <w:marLeft w:val="0"/>
      <w:marRight w:val="0"/>
      <w:marTop w:val="0"/>
      <w:marBottom w:val="0"/>
      <w:divBdr>
        <w:top w:val="none" w:sz="0" w:space="0" w:color="auto"/>
        <w:left w:val="none" w:sz="0" w:space="0" w:color="auto"/>
        <w:bottom w:val="none" w:sz="0" w:space="0" w:color="auto"/>
        <w:right w:val="none" w:sz="0" w:space="0" w:color="auto"/>
      </w:divBdr>
    </w:div>
    <w:div w:id="1195272223">
      <w:bodyDiv w:val="1"/>
      <w:marLeft w:val="0"/>
      <w:marRight w:val="0"/>
      <w:marTop w:val="0"/>
      <w:marBottom w:val="0"/>
      <w:divBdr>
        <w:top w:val="none" w:sz="0" w:space="0" w:color="auto"/>
        <w:left w:val="none" w:sz="0" w:space="0" w:color="auto"/>
        <w:bottom w:val="none" w:sz="0" w:space="0" w:color="auto"/>
        <w:right w:val="none" w:sz="0" w:space="0" w:color="auto"/>
      </w:divBdr>
      <w:divsChild>
        <w:div w:id="555627818">
          <w:marLeft w:val="1267"/>
          <w:marRight w:val="0"/>
          <w:marTop w:val="0"/>
          <w:marBottom w:val="0"/>
          <w:divBdr>
            <w:top w:val="none" w:sz="0" w:space="0" w:color="auto"/>
            <w:left w:val="none" w:sz="0" w:space="0" w:color="auto"/>
            <w:bottom w:val="none" w:sz="0" w:space="0" w:color="auto"/>
            <w:right w:val="none" w:sz="0" w:space="0" w:color="auto"/>
          </w:divBdr>
        </w:div>
        <w:div w:id="994334176">
          <w:marLeft w:val="547"/>
          <w:marRight w:val="0"/>
          <w:marTop w:val="0"/>
          <w:marBottom w:val="0"/>
          <w:divBdr>
            <w:top w:val="none" w:sz="0" w:space="0" w:color="auto"/>
            <w:left w:val="none" w:sz="0" w:space="0" w:color="auto"/>
            <w:bottom w:val="none" w:sz="0" w:space="0" w:color="auto"/>
            <w:right w:val="none" w:sz="0" w:space="0" w:color="auto"/>
          </w:divBdr>
        </w:div>
        <w:div w:id="1226179579">
          <w:marLeft w:val="547"/>
          <w:marRight w:val="0"/>
          <w:marTop w:val="0"/>
          <w:marBottom w:val="0"/>
          <w:divBdr>
            <w:top w:val="none" w:sz="0" w:space="0" w:color="auto"/>
            <w:left w:val="none" w:sz="0" w:space="0" w:color="auto"/>
            <w:bottom w:val="none" w:sz="0" w:space="0" w:color="auto"/>
            <w:right w:val="none" w:sz="0" w:space="0" w:color="auto"/>
          </w:divBdr>
        </w:div>
        <w:div w:id="1864200494">
          <w:marLeft w:val="547"/>
          <w:marRight w:val="0"/>
          <w:marTop w:val="0"/>
          <w:marBottom w:val="0"/>
          <w:divBdr>
            <w:top w:val="none" w:sz="0" w:space="0" w:color="auto"/>
            <w:left w:val="none" w:sz="0" w:space="0" w:color="auto"/>
            <w:bottom w:val="none" w:sz="0" w:space="0" w:color="auto"/>
            <w:right w:val="none" w:sz="0" w:space="0" w:color="auto"/>
          </w:divBdr>
        </w:div>
        <w:div w:id="1869634078">
          <w:marLeft w:val="1267"/>
          <w:marRight w:val="0"/>
          <w:marTop w:val="0"/>
          <w:marBottom w:val="0"/>
          <w:divBdr>
            <w:top w:val="none" w:sz="0" w:space="0" w:color="auto"/>
            <w:left w:val="none" w:sz="0" w:space="0" w:color="auto"/>
            <w:bottom w:val="none" w:sz="0" w:space="0" w:color="auto"/>
            <w:right w:val="none" w:sz="0" w:space="0" w:color="auto"/>
          </w:divBdr>
        </w:div>
      </w:divsChild>
    </w:div>
    <w:div w:id="1296838459">
      <w:bodyDiv w:val="1"/>
      <w:marLeft w:val="0"/>
      <w:marRight w:val="0"/>
      <w:marTop w:val="0"/>
      <w:marBottom w:val="0"/>
      <w:divBdr>
        <w:top w:val="none" w:sz="0" w:space="0" w:color="auto"/>
        <w:left w:val="none" w:sz="0" w:space="0" w:color="auto"/>
        <w:bottom w:val="none" w:sz="0" w:space="0" w:color="auto"/>
        <w:right w:val="none" w:sz="0" w:space="0" w:color="auto"/>
      </w:divBdr>
    </w:div>
    <w:div w:id="1352758667">
      <w:bodyDiv w:val="1"/>
      <w:marLeft w:val="0"/>
      <w:marRight w:val="0"/>
      <w:marTop w:val="0"/>
      <w:marBottom w:val="0"/>
      <w:divBdr>
        <w:top w:val="none" w:sz="0" w:space="0" w:color="auto"/>
        <w:left w:val="none" w:sz="0" w:space="0" w:color="auto"/>
        <w:bottom w:val="none" w:sz="0" w:space="0" w:color="auto"/>
        <w:right w:val="none" w:sz="0" w:space="0" w:color="auto"/>
      </w:divBdr>
    </w:div>
    <w:div w:id="1365717306">
      <w:bodyDiv w:val="1"/>
      <w:marLeft w:val="0"/>
      <w:marRight w:val="0"/>
      <w:marTop w:val="0"/>
      <w:marBottom w:val="0"/>
      <w:divBdr>
        <w:top w:val="none" w:sz="0" w:space="0" w:color="auto"/>
        <w:left w:val="none" w:sz="0" w:space="0" w:color="auto"/>
        <w:bottom w:val="none" w:sz="0" w:space="0" w:color="auto"/>
        <w:right w:val="none" w:sz="0" w:space="0" w:color="auto"/>
      </w:divBdr>
    </w:div>
    <w:div w:id="1379740592">
      <w:bodyDiv w:val="1"/>
      <w:marLeft w:val="0"/>
      <w:marRight w:val="0"/>
      <w:marTop w:val="0"/>
      <w:marBottom w:val="0"/>
      <w:divBdr>
        <w:top w:val="none" w:sz="0" w:space="0" w:color="auto"/>
        <w:left w:val="none" w:sz="0" w:space="0" w:color="auto"/>
        <w:bottom w:val="none" w:sz="0" w:space="0" w:color="auto"/>
        <w:right w:val="none" w:sz="0" w:space="0" w:color="auto"/>
      </w:divBdr>
    </w:div>
    <w:div w:id="1385326789">
      <w:bodyDiv w:val="1"/>
      <w:marLeft w:val="0"/>
      <w:marRight w:val="0"/>
      <w:marTop w:val="0"/>
      <w:marBottom w:val="0"/>
      <w:divBdr>
        <w:top w:val="none" w:sz="0" w:space="0" w:color="auto"/>
        <w:left w:val="none" w:sz="0" w:space="0" w:color="auto"/>
        <w:bottom w:val="none" w:sz="0" w:space="0" w:color="auto"/>
        <w:right w:val="none" w:sz="0" w:space="0" w:color="auto"/>
      </w:divBdr>
    </w:div>
    <w:div w:id="1425876001">
      <w:bodyDiv w:val="1"/>
      <w:marLeft w:val="0"/>
      <w:marRight w:val="0"/>
      <w:marTop w:val="0"/>
      <w:marBottom w:val="0"/>
      <w:divBdr>
        <w:top w:val="none" w:sz="0" w:space="0" w:color="auto"/>
        <w:left w:val="none" w:sz="0" w:space="0" w:color="auto"/>
        <w:bottom w:val="none" w:sz="0" w:space="0" w:color="auto"/>
        <w:right w:val="none" w:sz="0" w:space="0" w:color="auto"/>
      </w:divBdr>
      <w:divsChild>
        <w:div w:id="78063050">
          <w:marLeft w:val="0"/>
          <w:marRight w:val="0"/>
          <w:marTop w:val="0"/>
          <w:marBottom w:val="0"/>
          <w:divBdr>
            <w:top w:val="none" w:sz="0" w:space="0" w:color="auto"/>
            <w:left w:val="none" w:sz="0" w:space="0" w:color="auto"/>
            <w:bottom w:val="none" w:sz="0" w:space="0" w:color="auto"/>
            <w:right w:val="none" w:sz="0" w:space="0" w:color="auto"/>
          </w:divBdr>
        </w:div>
        <w:div w:id="1547765350">
          <w:marLeft w:val="0"/>
          <w:marRight w:val="0"/>
          <w:marTop w:val="0"/>
          <w:marBottom w:val="0"/>
          <w:divBdr>
            <w:top w:val="none" w:sz="0" w:space="0" w:color="auto"/>
            <w:left w:val="none" w:sz="0" w:space="0" w:color="auto"/>
            <w:bottom w:val="none" w:sz="0" w:space="0" w:color="auto"/>
            <w:right w:val="none" w:sz="0" w:space="0" w:color="auto"/>
          </w:divBdr>
        </w:div>
        <w:div w:id="2039771566">
          <w:marLeft w:val="0"/>
          <w:marRight w:val="0"/>
          <w:marTop w:val="0"/>
          <w:marBottom w:val="0"/>
          <w:divBdr>
            <w:top w:val="none" w:sz="0" w:space="0" w:color="auto"/>
            <w:left w:val="none" w:sz="0" w:space="0" w:color="auto"/>
            <w:bottom w:val="none" w:sz="0" w:space="0" w:color="auto"/>
            <w:right w:val="none" w:sz="0" w:space="0" w:color="auto"/>
          </w:divBdr>
        </w:div>
      </w:divsChild>
    </w:div>
    <w:div w:id="1433554315">
      <w:bodyDiv w:val="1"/>
      <w:marLeft w:val="0"/>
      <w:marRight w:val="0"/>
      <w:marTop w:val="0"/>
      <w:marBottom w:val="0"/>
      <w:divBdr>
        <w:top w:val="none" w:sz="0" w:space="0" w:color="auto"/>
        <w:left w:val="none" w:sz="0" w:space="0" w:color="auto"/>
        <w:bottom w:val="none" w:sz="0" w:space="0" w:color="auto"/>
        <w:right w:val="none" w:sz="0" w:space="0" w:color="auto"/>
      </w:divBdr>
      <w:divsChild>
        <w:div w:id="255947872">
          <w:marLeft w:val="0"/>
          <w:marRight w:val="0"/>
          <w:marTop w:val="0"/>
          <w:marBottom w:val="0"/>
          <w:divBdr>
            <w:top w:val="none" w:sz="0" w:space="0" w:color="auto"/>
            <w:left w:val="none" w:sz="0" w:space="0" w:color="auto"/>
            <w:bottom w:val="none" w:sz="0" w:space="0" w:color="auto"/>
            <w:right w:val="none" w:sz="0" w:space="0" w:color="auto"/>
          </w:divBdr>
        </w:div>
        <w:div w:id="659382334">
          <w:marLeft w:val="0"/>
          <w:marRight w:val="0"/>
          <w:marTop w:val="0"/>
          <w:marBottom w:val="0"/>
          <w:divBdr>
            <w:top w:val="none" w:sz="0" w:space="0" w:color="auto"/>
            <w:left w:val="none" w:sz="0" w:space="0" w:color="auto"/>
            <w:bottom w:val="none" w:sz="0" w:space="0" w:color="auto"/>
            <w:right w:val="none" w:sz="0" w:space="0" w:color="auto"/>
          </w:divBdr>
        </w:div>
        <w:div w:id="1212570027">
          <w:marLeft w:val="0"/>
          <w:marRight w:val="0"/>
          <w:marTop w:val="0"/>
          <w:marBottom w:val="0"/>
          <w:divBdr>
            <w:top w:val="none" w:sz="0" w:space="0" w:color="auto"/>
            <w:left w:val="none" w:sz="0" w:space="0" w:color="auto"/>
            <w:bottom w:val="none" w:sz="0" w:space="0" w:color="auto"/>
            <w:right w:val="none" w:sz="0" w:space="0" w:color="auto"/>
          </w:divBdr>
        </w:div>
      </w:divsChild>
    </w:div>
    <w:div w:id="1433892819">
      <w:bodyDiv w:val="1"/>
      <w:marLeft w:val="0"/>
      <w:marRight w:val="0"/>
      <w:marTop w:val="0"/>
      <w:marBottom w:val="0"/>
      <w:divBdr>
        <w:top w:val="none" w:sz="0" w:space="0" w:color="auto"/>
        <w:left w:val="none" w:sz="0" w:space="0" w:color="auto"/>
        <w:bottom w:val="none" w:sz="0" w:space="0" w:color="auto"/>
        <w:right w:val="none" w:sz="0" w:space="0" w:color="auto"/>
      </w:divBdr>
    </w:div>
    <w:div w:id="1494760314">
      <w:bodyDiv w:val="1"/>
      <w:marLeft w:val="0"/>
      <w:marRight w:val="0"/>
      <w:marTop w:val="0"/>
      <w:marBottom w:val="0"/>
      <w:divBdr>
        <w:top w:val="none" w:sz="0" w:space="0" w:color="auto"/>
        <w:left w:val="none" w:sz="0" w:space="0" w:color="auto"/>
        <w:bottom w:val="none" w:sz="0" w:space="0" w:color="auto"/>
        <w:right w:val="none" w:sz="0" w:space="0" w:color="auto"/>
      </w:divBdr>
    </w:div>
    <w:div w:id="1518689766">
      <w:bodyDiv w:val="1"/>
      <w:marLeft w:val="0"/>
      <w:marRight w:val="0"/>
      <w:marTop w:val="0"/>
      <w:marBottom w:val="0"/>
      <w:divBdr>
        <w:top w:val="none" w:sz="0" w:space="0" w:color="auto"/>
        <w:left w:val="none" w:sz="0" w:space="0" w:color="auto"/>
        <w:bottom w:val="none" w:sz="0" w:space="0" w:color="auto"/>
        <w:right w:val="none" w:sz="0" w:space="0" w:color="auto"/>
      </w:divBdr>
    </w:div>
    <w:div w:id="1575697911">
      <w:bodyDiv w:val="1"/>
      <w:marLeft w:val="0"/>
      <w:marRight w:val="0"/>
      <w:marTop w:val="0"/>
      <w:marBottom w:val="0"/>
      <w:divBdr>
        <w:top w:val="none" w:sz="0" w:space="0" w:color="auto"/>
        <w:left w:val="none" w:sz="0" w:space="0" w:color="auto"/>
        <w:bottom w:val="none" w:sz="0" w:space="0" w:color="auto"/>
        <w:right w:val="none" w:sz="0" w:space="0" w:color="auto"/>
      </w:divBdr>
    </w:div>
    <w:div w:id="1819034665">
      <w:bodyDiv w:val="1"/>
      <w:marLeft w:val="0"/>
      <w:marRight w:val="0"/>
      <w:marTop w:val="0"/>
      <w:marBottom w:val="0"/>
      <w:divBdr>
        <w:top w:val="none" w:sz="0" w:space="0" w:color="auto"/>
        <w:left w:val="none" w:sz="0" w:space="0" w:color="auto"/>
        <w:bottom w:val="none" w:sz="0" w:space="0" w:color="auto"/>
        <w:right w:val="none" w:sz="0" w:space="0" w:color="auto"/>
      </w:divBdr>
    </w:div>
    <w:div w:id="1975911569">
      <w:bodyDiv w:val="1"/>
      <w:marLeft w:val="0"/>
      <w:marRight w:val="0"/>
      <w:marTop w:val="0"/>
      <w:marBottom w:val="0"/>
      <w:divBdr>
        <w:top w:val="none" w:sz="0" w:space="0" w:color="auto"/>
        <w:left w:val="none" w:sz="0" w:space="0" w:color="auto"/>
        <w:bottom w:val="none" w:sz="0" w:space="0" w:color="auto"/>
        <w:right w:val="none" w:sz="0" w:space="0" w:color="auto"/>
      </w:divBdr>
    </w:div>
    <w:div w:id="210371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mimah.ride@york.ac.uk" TargetMode="External"/><Relationship Id="rId13" Type="http://schemas.openxmlformats.org/officeDocument/2006/relationships/hyperlink" Target="mailto:anne.mason@york.ac.uk)" TargetMode="External"/><Relationship Id="rId18" Type="http://schemas.openxmlformats.org/officeDocument/2006/relationships/hyperlink" Target="mailto:najma.siddiqi@york.ac.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lmeaylott@gmail.com" TargetMode="External"/><Relationship Id="rId7" Type="http://schemas.openxmlformats.org/officeDocument/2006/relationships/endnotes" Target="endnotes.xml"/><Relationship Id="rId12" Type="http://schemas.openxmlformats.org/officeDocument/2006/relationships/hyperlink" Target="mailto:tim.doran@york.ac.uk" TargetMode="External"/><Relationship Id="rId17" Type="http://schemas.openxmlformats.org/officeDocument/2006/relationships/hyperlink" Target="mailto:A.R.Kendrick@soton.ac.uk" TargetMode="External"/><Relationship Id="rId25"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maria.goddard@york.ac.uk" TargetMode="External"/><Relationship Id="rId20" Type="http://schemas.openxmlformats.org/officeDocument/2006/relationships/hyperlink" Target="mailto:ceri.owen@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oph.kronenberg@uni-due.d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hugh.gravelle@york.ac.uk)" TargetMode="External"/><Relationship Id="rId23" Type="http://schemas.openxmlformats.org/officeDocument/2006/relationships/hyperlink" Target="mailto:rowena.jacobs@york.ac.uk" TargetMode="External"/><Relationship Id="rId10" Type="http://schemas.openxmlformats.org/officeDocument/2006/relationships/hyperlink" Target="mailto:nils.gutacker@york.ac.uk)" TargetMode="External"/><Relationship Id="rId19" Type="http://schemas.openxmlformats.org/officeDocument/2006/relationships/hyperlink" Target="mailto:simon.gilbody@york.ac.uk" TargetMode="External"/><Relationship Id="rId4" Type="http://schemas.openxmlformats.org/officeDocument/2006/relationships/settings" Target="settings.xml"/><Relationship Id="rId9" Type="http://schemas.openxmlformats.org/officeDocument/2006/relationships/hyperlink" Target="mailto:panos.kasteridis@york.ac.uk)" TargetMode="External"/><Relationship Id="rId14" Type="http://schemas.openxmlformats.org/officeDocument/2006/relationships/hyperlink" Target="mailto:nigel.rice@york.ac.uk)" TargetMode="External"/><Relationship Id="rId22" Type="http://schemas.openxmlformats.org/officeDocument/2006/relationships/hyperlink" Target="mailto:Rachael.Williams@mhr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41B5D-A16C-4A16-B84A-A28FDA50E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11466</Words>
  <Characters>65362</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76675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Jemimah Ride</dc:creator>
  <cp:lastModifiedBy>Jemimah Ride</cp:lastModifiedBy>
  <cp:revision>2</cp:revision>
  <cp:lastPrinted>2018-08-06T09:42:00Z</cp:lastPrinted>
  <dcterms:created xsi:type="dcterms:W3CDTF">2018-10-09T13:02:00Z</dcterms:created>
  <dcterms:modified xsi:type="dcterms:W3CDTF">2018-10-09T13:02:00Z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y fmtid="{D5CDD505-2E9C-101B-9397-08002B2CF9AE}" pid="5" name="MTEqnNumsOnRight">
    <vt:bool>true</vt:bool>
  </property>
</Properties>
</file>