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0300" w14:textId="6D7BB273" w:rsidR="00147AAB" w:rsidRDefault="004862D2" w:rsidP="004862D2">
      <w:pPr>
        <w:pStyle w:val="Title"/>
        <w:spacing w:before="120" w:after="120" w:line="360" w:lineRule="auto"/>
        <w:rPr>
          <w:rFonts w:ascii="Baskerville" w:hAnsi="Baskerville"/>
          <w:color w:val="000000" w:themeColor="text1"/>
          <w:sz w:val="40"/>
          <w:szCs w:val="40"/>
        </w:rPr>
      </w:pPr>
      <w:r w:rsidRPr="00D952CF">
        <w:rPr>
          <w:rFonts w:ascii="Baskerville" w:hAnsi="Baskerville"/>
          <w:color w:val="000000" w:themeColor="text1"/>
          <w:sz w:val="40"/>
          <w:szCs w:val="40"/>
        </w:rPr>
        <w:t xml:space="preserve">The Ethics of Consumer Credit: </w:t>
      </w:r>
      <w:r w:rsidR="00560495" w:rsidRPr="00D952CF">
        <w:rPr>
          <w:rFonts w:ascii="Baskerville" w:hAnsi="Baskerville"/>
          <w:color w:val="000000" w:themeColor="text1"/>
          <w:sz w:val="40"/>
          <w:szCs w:val="40"/>
        </w:rPr>
        <w:t>Balancing</w:t>
      </w:r>
      <w:r w:rsidRPr="00D952CF">
        <w:rPr>
          <w:rFonts w:ascii="Baskerville" w:hAnsi="Baskerville"/>
          <w:color w:val="000000" w:themeColor="text1"/>
          <w:sz w:val="40"/>
          <w:szCs w:val="40"/>
        </w:rPr>
        <w:t xml:space="preserve"> </w:t>
      </w:r>
      <w:r w:rsidR="00B95C3B" w:rsidRPr="00D952CF">
        <w:rPr>
          <w:rFonts w:ascii="Baskerville" w:hAnsi="Baskerville"/>
          <w:color w:val="000000" w:themeColor="text1"/>
          <w:sz w:val="40"/>
          <w:szCs w:val="40"/>
        </w:rPr>
        <w:t>Wrongful Inclusion</w:t>
      </w:r>
      <w:r w:rsidR="00560495" w:rsidRPr="00D952CF">
        <w:rPr>
          <w:rFonts w:ascii="Baskerville" w:hAnsi="Baskerville"/>
          <w:color w:val="000000" w:themeColor="text1"/>
          <w:sz w:val="40"/>
          <w:szCs w:val="40"/>
        </w:rPr>
        <w:t xml:space="preserve"> and</w:t>
      </w:r>
      <w:r w:rsidR="00B95C3B" w:rsidRPr="00D952CF">
        <w:rPr>
          <w:rFonts w:ascii="Baskerville" w:hAnsi="Baskerville"/>
          <w:color w:val="000000" w:themeColor="text1"/>
          <w:sz w:val="40"/>
          <w:szCs w:val="40"/>
        </w:rPr>
        <w:t xml:space="preserve"> Wrongful Exclusion</w:t>
      </w:r>
    </w:p>
    <w:p w14:paraId="14DC8570" w14:textId="3FA91461" w:rsidR="00FB6F21" w:rsidRPr="00FB6F21" w:rsidRDefault="00FB6F21" w:rsidP="00FB6F21">
      <w:pPr>
        <w:rPr>
          <w:rFonts w:ascii="Baskerville" w:hAnsi="Baskerville"/>
        </w:rPr>
      </w:pPr>
      <w:r w:rsidRPr="00FB6F21">
        <w:rPr>
          <w:rFonts w:ascii="Baskerville" w:hAnsi="Baskerville"/>
        </w:rPr>
        <w:t>Marco Meyer</w:t>
      </w:r>
    </w:p>
    <w:p w14:paraId="7D1C98BD" w14:textId="77777777" w:rsidR="00FB6F21" w:rsidRPr="00FB6F21" w:rsidRDefault="00FB6F21" w:rsidP="00FB6F21"/>
    <w:p w14:paraId="4DBAD7D0" w14:textId="77777777" w:rsidR="00147AAB" w:rsidRPr="00D952CF" w:rsidRDefault="00147AAB" w:rsidP="002244BE">
      <w:pPr>
        <w:spacing w:before="120" w:after="120" w:line="360" w:lineRule="auto"/>
        <w:rPr>
          <w:rFonts w:ascii="Baskerville" w:hAnsi="Baskerville" w:cs="Helvetica"/>
          <w:b/>
          <w:color w:val="000000" w:themeColor="text1"/>
        </w:rPr>
      </w:pPr>
      <w:r w:rsidRPr="00D952CF">
        <w:rPr>
          <w:rFonts w:ascii="Baskerville" w:hAnsi="Baskerville" w:cs="Helvetica"/>
          <w:b/>
          <w:bCs/>
          <w:color w:val="000000" w:themeColor="text1"/>
        </w:rPr>
        <w:t>Abstract</w:t>
      </w:r>
    </w:p>
    <w:p w14:paraId="13F624FA" w14:textId="367A1228" w:rsidR="00147AAB" w:rsidRPr="00D952CF" w:rsidRDefault="00836047" w:rsidP="002244BE">
      <w:pPr>
        <w:spacing w:before="120" w:after="120" w:line="360" w:lineRule="auto"/>
        <w:rPr>
          <w:rFonts w:ascii="Baskerville" w:hAnsi="Baskerville" w:cs="Helvetica"/>
          <w:i/>
          <w:color w:val="000000" w:themeColor="text1"/>
        </w:rPr>
      </w:pPr>
      <w:r>
        <w:rPr>
          <w:rFonts w:ascii="Baskerville" w:hAnsi="Baskerville" w:cs="Helvetica"/>
          <w:i/>
          <w:color w:val="000000" w:themeColor="text1"/>
        </w:rPr>
        <w:t>B</w:t>
      </w:r>
      <w:r w:rsidR="004F1845">
        <w:rPr>
          <w:rFonts w:ascii="Baskerville" w:hAnsi="Baskerville" w:cs="Helvetica"/>
          <w:i/>
          <w:color w:val="000000" w:themeColor="text1"/>
        </w:rPr>
        <w:t xml:space="preserve">anks </w:t>
      </w:r>
      <w:r w:rsidR="0022022E">
        <w:rPr>
          <w:rFonts w:ascii="Baskerville" w:hAnsi="Baskerville" w:cs="Helvetica"/>
          <w:i/>
          <w:color w:val="000000" w:themeColor="text1"/>
        </w:rPr>
        <w:t xml:space="preserve">can make </w:t>
      </w:r>
      <w:r>
        <w:rPr>
          <w:rFonts w:ascii="Baskerville" w:hAnsi="Baskerville" w:cs="Helvetica"/>
          <w:i/>
          <w:color w:val="000000" w:themeColor="text1"/>
        </w:rPr>
        <w:t>two kinds of mistakes when assessing credit applications</w:t>
      </w:r>
      <w:r w:rsidR="00FF49AE">
        <w:rPr>
          <w:rFonts w:ascii="Baskerville" w:hAnsi="Baskerville" w:cs="Helvetica"/>
          <w:i/>
          <w:color w:val="000000" w:themeColor="text1"/>
        </w:rPr>
        <w:t xml:space="preserve">: </w:t>
      </w:r>
      <w:r w:rsidR="00D9582A">
        <w:rPr>
          <w:rFonts w:ascii="Baskerville" w:hAnsi="Baskerville" w:cs="Helvetica"/>
          <w:i/>
          <w:color w:val="000000" w:themeColor="text1"/>
        </w:rPr>
        <w:t xml:space="preserve">first, </w:t>
      </w:r>
      <w:r w:rsidR="00FF49AE">
        <w:rPr>
          <w:rFonts w:ascii="Baskerville" w:hAnsi="Baskerville" w:cs="Helvetica"/>
          <w:i/>
          <w:color w:val="000000" w:themeColor="text1"/>
        </w:rPr>
        <w:t>to</w:t>
      </w:r>
      <w:r>
        <w:rPr>
          <w:rFonts w:ascii="Baskerville" w:hAnsi="Baskerville" w:cs="Helvetica"/>
          <w:i/>
          <w:color w:val="000000" w:themeColor="text1"/>
        </w:rPr>
        <w:t xml:space="preserve"> exclude applicants who are c</w:t>
      </w:r>
      <w:r w:rsidR="00147AAB" w:rsidRPr="00D952CF">
        <w:rPr>
          <w:rFonts w:ascii="Baskerville" w:hAnsi="Baskerville" w:cs="Helvetica"/>
          <w:i/>
          <w:color w:val="000000" w:themeColor="text1"/>
        </w:rPr>
        <w:t>reditworthy</w:t>
      </w:r>
      <w:r>
        <w:rPr>
          <w:rFonts w:ascii="Baskerville" w:hAnsi="Baskerville" w:cs="Helvetica"/>
          <w:i/>
          <w:color w:val="000000" w:themeColor="text1"/>
        </w:rPr>
        <w:t xml:space="preserve">, </w:t>
      </w:r>
      <w:r w:rsidR="00FF49AE">
        <w:rPr>
          <w:rFonts w:ascii="Baskerville" w:hAnsi="Baskerville" w:cs="Helvetica"/>
          <w:i/>
          <w:color w:val="000000" w:themeColor="text1"/>
        </w:rPr>
        <w:t xml:space="preserve">and </w:t>
      </w:r>
      <w:r w:rsidR="00D9582A">
        <w:rPr>
          <w:rFonts w:ascii="Baskerville" w:hAnsi="Baskerville" w:cs="Helvetica"/>
          <w:i/>
          <w:color w:val="000000" w:themeColor="text1"/>
        </w:rPr>
        <w:t xml:space="preserve">second, </w:t>
      </w:r>
      <w:r w:rsidR="00FF49AE">
        <w:rPr>
          <w:rFonts w:ascii="Baskerville" w:hAnsi="Baskerville" w:cs="Helvetica"/>
          <w:i/>
          <w:color w:val="000000" w:themeColor="text1"/>
        </w:rPr>
        <w:t xml:space="preserve">to </w:t>
      </w:r>
      <w:r>
        <w:rPr>
          <w:rFonts w:ascii="Baskerville" w:hAnsi="Baskerville" w:cs="Helvetica"/>
          <w:i/>
          <w:color w:val="000000" w:themeColor="text1"/>
        </w:rPr>
        <w:t>grant credit to uncredi</w:t>
      </w:r>
      <w:bookmarkStart w:id="0" w:name="_GoBack"/>
      <w:bookmarkEnd w:id="0"/>
      <w:r>
        <w:rPr>
          <w:rFonts w:ascii="Baskerville" w:hAnsi="Baskerville" w:cs="Helvetica"/>
          <w:i/>
          <w:color w:val="000000" w:themeColor="text1"/>
        </w:rPr>
        <w:t>tworthy applicants</w:t>
      </w:r>
      <w:r w:rsidR="00147AAB" w:rsidRPr="00D952CF">
        <w:rPr>
          <w:rFonts w:ascii="Baskerville" w:hAnsi="Baskerville" w:cs="Helvetica"/>
          <w:i/>
          <w:color w:val="000000" w:themeColor="text1"/>
        </w:rPr>
        <w:t>.</w:t>
      </w:r>
      <w:r w:rsidR="004F1845">
        <w:rPr>
          <w:rFonts w:ascii="Baskerville" w:hAnsi="Baskerville" w:cs="Helvetica"/>
          <w:i/>
          <w:color w:val="000000" w:themeColor="text1"/>
        </w:rPr>
        <w:t xml:space="preserve"> </w:t>
      </w:r>
      <w:r>
        <w:rPr>
          <w:rFonts w:ascii="Baskerville" w:hAnsi="Baskerville" w:cs="Helvetica"/>
          <w:i/>
          <w:color w:val="000000" w:themeColor="text1"/>
        </w:rPr>
        <w:t xml:space="preserve">I argue that banks have obligations to avoid both kinds of mistakes, but for different reasons. Each mistake of wrongful exclusion is a rights violation, whereas mistakes of wrongful inclusion are only wrong </w:t>
      </w:r>
      <w:r w:rsidR="005D2229">
        <w:rPr>
          <w:rFonts w:ascii="Baskerville" w:hAnsi="Baskerville" w:cs="Helvetica"/>
          <w:i/>
          <w:color w:val="000000" w:themeColor="text1"/>
        </w:rPr>
        <w:t>in the aggregate, once their number infringes the claims of shareholders, bondholders, and depositors, or financial stability is threatened</w:t>
      </w:r>
      <w:r>
        <w:rPr>
          <w:rFonts w:ascii="Baskerville" w:hAnsi="Baskerville" w:cs="Helvetica"/>
          <w:i/>
          <w:color w:val="000000" w:themeColor="text1"/>
        </w:rPr>
        <w:t xml:space="preserve">. </w:t>
      </w:r>
      <w:r w:rsidR="00147AAB" w:rsidRPr="00D952CF">
        <w:rPr>
          <w:rFonts w:ascii="Baskerville" w:hAnsi="Baskerville" w:cs="Helvetica"/>
          <w:i/>
          <w:color w:val="000000" w:themeColor="text1"/>
        </w:rPr>
        <w:t>I argue</w:t>
      </w:r>
      <w:r w:rsidR="00D1529F">
        <w:rPr>
          <w:rFonts w:ascii="Baskerville" w:hAnsi="Baskerville" w:cs="Helvetica"/>
          <w:i/>
          <w:color w:val="000000" w:themeColor="text1"/>
        </w:rPr>
        <w:t>,</w:t>
      </w:r>
      <w:r w:rsidR="00147AAB" w:rsidRPr="00D952CF">
        <w:rPr>
          <w:rFonts w:ascii="Baskerville" w:hAnsi="Baskerville" w:cs="Helvetica"/>
          <w:i/>
          <w:color w:val="000000" w:themeColor="text1"/>
        </w:rPr>
        <w:t xml:space="preserve"> </w:t>
      </w:r>
      <w:r w:rsidR="00D1529F">
        <w:rPr>
          <w:rFonts w:ascii="Baskerville" w:hAnsi="Baskerville" w:cs="Helvetica"/>
          <w:i/>
          <w:color w:val="000000" w:themeColor="text1"/>
        </w:rPr>
        <w:t xml:space="preserve">however, </w:t>
      </w:r>
      <w:r w:rsidR="00147AAB" w:rsidRPr="00D952CF">
        <w:rPr>
          <w:rFonts w:ascii="Baskerville" w:hAnsi="Baskerville" w:cs="Helvetica"/>
          <w:i/>
          <w:color w:val="000000" w:themeColor="text1"/>
        </w:rPr>
        <w:t xml:space="preserve">that </w:t>
      </w:r>
      <w:r w:rsidR="004F1845">
        <w:rPr>
          <w:rFonts w:ascii="Baskerville" w:hAnsi="Baskerville" w:cs="Helvetica"/>
          <w:i/>
          <w:color w:val="000000" w:themeColor="text1"/>
        </w:rPr>
        <w:t>it is not in the self-interest of banks to</w:t>
      </w:r>
      <w:r w:rsidR="00147AAB" w:rsidRPr="00D952CF">
        <w:rPr>
          <w:rFonts w:ascii="Baskerville" w:hAnsi="Baskerville" w:cs="Helvetica"/>
          <w:i/>
          <w:color w:val="000000" w:themeColor="text1"/>
        </w:rPr>
        <w:t xml:space="preserve"> minimise </w:t>
      </w:r>
      <w:r w:rsidR="004F1845">
        <w:rPr>
          <w:rFonts w:ascii="Baskerville" w:hAnsi="Baskerville" w:cs="Helvetica"/>
          <w:i/>
          <w:color w:val="000000" w:themeColor="text1"/>
        </w:rPr>
        <w:t xml:space="preserve">either </w:t>
      </w:r>
      <w:r w:rsidR="00147AAB" w:rsidRPr="00D952CF">
        <w:rPr>
          <w:rFonts w:ascii="Baskerville" w:hAnsi="Baskerville" w:cs="Helvetica"/>
          <w:i/>
          <w:color w:val="000000" w:themeColor="text1"/>
        </w:rPr>
        <w:t xml:space="preserve">mistakes of wrongful </w:t>
      </w:r>
      <w:r w:rsidR="004F1845">
        <w:rPr>
          <w:rFonts w:ascii="Baskerville" w:hAnsi="Baskerville" w:cs="Helvetica"/>
          <w:i/>
          <w:color w:val="000000" w:themeColor="text1"/>
        </w:rPr>
        <w:t>ex</w:t>
      </w:r>
      <w:r w:rsidR="00147AAB" w:rsidRPr="00D952CF">
        <w:rPr>
          <w:rFonts w:ascii="Baskerville" w:hAnsi="Baskerville" w:cs="Helvetica"/>
          <w:i/>
          <w:color w:val="000000" w:themeColor="text1"/>
        </w:rPr>
        <w:t xml:space="preserve">clusion </w:t>
      </w:r>
      <w:r w:rsidR="004F1845">
        <w:rPr>
          <w:rFonts w:ascii="Baskerville" w:hAnsi="Baskerville" w:cs="Helvetica"/>
          <w:i/>
          <w:color w:val="000000" w:themeColor="text1"/>
        </w:rPr>
        <w:t>or</w:t>
      </w:r>
      <w:r w:rsidR="00147AAB" w:rsidRPr="00D952CF">
        <w:rPr>
          <w:rFonts w:ascii="Baskerville" w:hAnsi="Baskerville" w:cs="Helvetica"/>
          <w:i/>
          <w:color w:val="000000" w:themeColor="text1"/>
        </w:rPr>
        <w:t xml:space="preserve"> </w:t>
      </w:r>
      <w:r w:rsidR="004F1845">
        <w:rPr>
          <w:rFonts w:ascii="Baskerville" w:hAnsi="Baskerville" w:cs="Helvetica"/>
          <w:i/>
          <w:color w:val="000000" w:themeColor="text1"/>
        </w:rPr>
        <w:t>in</w:t>
      </w:r>
      <w:r w:rsidR="00147AAB" w:rsidRPr="00D952CF">
        <w:rPr>
          <w:rFonts w:ascii="Baskerville" w:hAnsi="Baskerville" w:cs="Helvetica"/>
          <w:i/>
          <w:color w:val="000000" w:themeColor="text1"/>
        </w:rPr>
        <w:t xml:space="preserve">clusion. Modern portfolio theory and the availability of securitisation imply that there is an economically optimal level of mistakes of </w:t>
      </w:r>
      <w:r w:rsidR="00D9582A">
        <w:rPr>
          <w:rFonts w:ascii="Baskerville" w:hAnsi="Baskerville" w:cs="Helvetica"/>
          <w:i/>
          <w:color w:val="000000" w:themeColor="text1"/>
        </w:rPr>
        <w:t xml:space="preserve">both </w:t>
      </w:r>
      <w:r w:rsidR="00147AAB" w:rsidRPr="00D952CF">
        <w:rPr>
          <w:rFonts w:ascii="Baskerville" w:hAnsi="Baskerville" w:cs="Helvetica"/>
          <w:i/>
          <w:color w:val="000000" w:themeColor="text1"/>
        </w:rPr>
        <w:t>wr</w:t>
      </w:r>
      <w:r>
        <w:rPr>
          <w:rFonts w:ascii="Baskerville" w:hAnsi="Baskerville" w:cs="Helvetica"/>
          <w:i/>
          <w:color w:val="000000" w:themeColor="text1"/>
        </w:rPr>
        <w:t>ongful inclusion and exclusion, and</w:t>
      </w:r>
      <w:r w:rsidR="00147AAB" w:rsidRPr="00D952CF">
        <w:rPr>
          <w:rFonts w:ascii="Baskerville" w:hAnsi="Baskerville" w:cs="Helvetica"/>
          <w:i/>
          <w:color w:val="000000" w:themeColor="text1"/>
        </w:rPr>
        <w:t xml:space="preserve"> the economically optimal level exceeds </w:t>
      </w:r>
      <w:r w:rsidR="00147AAB" w:rsidRPr="00966BDB">
        <w:rPr>
          <w:rFonts w:ascii="Baskerville" w:hAnsi="Baskerville" w:cs="Helvetica"/>
          <w:i/>
          <w:color w:val="000000" w:themeColor="text1"/>
        </w:rPr>
        <w:t xml:space="preserve">what is required </w:t>
      </w:r>
      <w:r w:rsidR="00966BDB">
        <w:rPr>
          <w:rFonts w:ascii="Baskerville" w:hAnsi="Baskerville" w:cs="Helvetica"/>
          <w:i/>
          <w:color w:val="000000" w:themeColor="text1"/>
        </w:rPr>
        <w:t>of banks</w:t>
      </w:r>
      <w:r w:rsidR="00147AAB" w:rsidRPr="00D952CF">
        <w:rPr>
          <w:rFonts w:ascii="Baskerville" w:hAnsi="Baskerville" w:cs="Helvetica"/>
          <w:i/>
          <w:color w:val="000000" w:themeColor="text1"/>
        </w:rPr>
        <w:t>. Therefore</w:t>
      </w:r>
      <w:r>
        <w:rPr>
          <w:rFonts w:ascii="Baskerville" w:hAnsi="Baskerville" w:cs="Helvetica"/>
          <w:i/>
          <w:color w:val="000000" w:themeColor="text1"/>
        </w:rPr>
        <w:t>,</w:t>
      </w:r>
      <w:r w:rsidR="00147AAB" w:rsidRPr="00D952CF">
        <w:rPr>
          <w:rFonts w:ascii="Baskerville" w:hAnsi="Baskerville" w:cs="Helvetica"/>
          <w:i/>
          <w:color w:val="000000" w:themeColor="text1"/>
        </w:rPr>
        <w:t xml:space="preserve"> financial regulation and supervision are required </w:t>
      </w:r>
      <w:r w:rsidR="00D9582A">
        <w:rPr>
          <w:rFonts w:ascii="Baskerville" w:hAnsi="Baskerville" w:cs="Helvetica"/>
          <w:i/>
          <w:color w:val="000000" w:themeColor="text1"/>
        </w:rPr>
        <w:t xml:space="preserve">in order to make the </w:t>
      </w:r>
      <w:r w:rsidR="00147AAB" w:rsidRPr="00D952CF">
        <w:rPr>
          <w:rFonts w:ascii="Baskerville" w:hAnsi="Baskerville" w:cs="Helvetica"/>
          <w:i/>
          <w:color w:val="000000" w:themeColor="text1"/>
        </w:rPr>
        <w:t xml:space="preserve">credit system </w:t>
      </w:r>
      <w:r w:rsidR="00D9582A">
        <w:rPr>
          <w:rFonts w:ascii="Baskerville" w:hAnsi="Baskerville" w:cs="Helvetica"/>
          <w:i/>
          <w:color w:val="000000" w:themeColor="text1"/>
        </w:rPr>
        <w:t xml:space="preserve">meet </w:t>
      </w:r>
      <w:r w:rsidR="00FC6B2A">
        <w:rPr>
          <w:rFonts w:ascii="Baskerville" w:hAnsi="Baskerville" w:cs="Helvetica"/>
          <w:i/>
          <w:color w:val="000000" w:themeColor="text1"/>
        </w:rPr>
        <w:t>its obligations toward</w:t>
      </w:r>
      <w:r w:rsidR="005D2229">
        <w:rPr>
          <w:rFonts w:ascii="Baskerville" w:hAnsi="Baskerville" w:cs="Helvetica"/>
          <w:i/>
          <w:color w:val="000000" w:themeColor="text1"/>
        </w:rPr>
        <w:t>s</w:t>
      </w:r>
      <w:r w:rsidR="00FC6B2A">
        <w:rPr>
          <w:rFonts w:ascii="Baskerville" w:hAnsi="Baskerville" w:cs="Helvetica"/>
          <w:i/>
          <w:color w:val="000000" w:themeColor="text1"/>
        </w:rPr>
        <w:t xml:space="preserve"> customers</w:t>
      </w:r>
      <w:r w:rsidR="00147AAB" w:rsidRPr="00D952CF">
        <w:rPr>
          <w:rFonts w:ascii="Baskerville" w:hAnsi="Baskerville" w:cs="Helvetica"/>
          <w:i/>
          <w:color w:val="000000" w:themeColor="text1"/>
        </w:rPr>
        <w:t xml:space="preserve">. </w:t>
      </w:r>
      <w:r w:rsidR="00FC6B2A">
        <w:rPr>
          <w:rFonts w:ascii="Baskerville" w:hAnsi="Baskerville" w:cs="Helvetica"/>
          <w:i/>
          <w:color w:val="000000" w:themeColor="text1"/>
        </w:rPr>
        <w:t xml:space="preserve">But regulators face normative trade-offs. </w:t>
      </w:r>
      <w:r>
        <w:rPr>
          <w:rFonts w:ascii="Baskerville" w:hAnsi="Baskerville" w:cs="Helvetica"/>
          <w:i/>
          <w:color w:val="000000" w:themeColor="text1"/>
        </w:rPr>
        <w:t xml:space="preserve">I distinguish </w:t>
      </w:r>
      <w:r w:rsidR="00FC6B2A">
        <w:rPr>
          <w:rFonts w:ascii="Baskerville" w:hAnsi="Baskerville" w:cs="Helvetica"/>
          <w:i/>
          <w:color w:val="000000" w:themeColor="text1"/>
        </w:rPr>
        <w:t>a trade-off between</w:t>
      </w:r>
      <w:r>
        <w:rPr>
          <w:rFonts w:ascii="Baskerville" w:hAnsi="Baskerville" w:cs="Helvetica"/>
          <w:i/>
          <w:color w:val="000000" w:themeColor="text1"/>
        </w:rPr>
        <w:t xml:space="preserve"> mistakes of wrongful inclusion and exclusion, and </w:t>
      </w:r>
      <w:r w:rsidR="00FC6B2A">
        <w:rPr>
          <w:rFonts w:ascii="Baskerville" w:hAnsi="Baskerville" w:cs="Helvetica"/>
          <w:i/>
          <w:color w:val="000000" w:themeColor="text1"/>
        </w:rPr>
        <w:t xml:space="preserve">a trade-off between the </w:t>
      </w:r>
      <w:r>
        <w:rPr>
          <w:rFonts w:ascii="Baskerville" w:hAnsi="Baskerville" w:cs="Helvetica"/>
          <w:i/>
          <w:color w:val="000000" w:themeColor="text1"/>
        </w:rPr>
        <w:t xml:space="preserve">groups </w:t>
      </w:r>
      <w:r w:rsidR="00FC6B2A">
        <w:rPr>
          <w:rFonts w:ascii="Baskerville" w:hAnsi="Baskerville" w:cs="Helvetica"/>
          <w:i/>
          <w:color w:val="000000" w:themeColor="text1"/>
        </w:rPr>
        <w:t>of applicants that</w:t>
      </w:r>
      <w:r>
        <w:rPr>
          <w:rFonts w:ascii="Baskerville" w:hAnsi="Baskerville" w:cs="Helvetica"/>
          <w:i/>
          <w:color w:val="000000" w:themeColor="text1"/>
        </w:rPr>
        <w:t xml:space="preserve"> </w:t>
      </w:r>
      <w:r w:rsidR="00FC6B2A">
        <w:rPr>
          <w:rFonts w:ascii="Baskerville" w:hAnsi="Baskerville" w:cs="Helvetica"/>
          <w:i/>
          <w:color w:val="000000" w:themeColor="text1"/>
        </w:rPr>
        <w:t>will</w:t>
      </w:r>
      <w:r>
        <w:rPr>
          <w:rFonts w:ascii="Baskerville" w:hAnsi="Baskerville" w:cs="Helvetica"/>
          <w:i/>
          <w:color w:val="000000" w:themeColor="text1"/>
        </w:rPr>
        <w:t xml:space="preserve"> foreseeably </w:t>
      </w:r>
      <w:r w:rsidR="00FC6B2A">
        <w:rPr>
          <w:rFonts w:ascii="Baskerville" w:hAnsi="Baskerville" w:cs="Helvetica"/>
          <w:i/>
          <w:color w:val="000000" w:themeColor="text1"/>
        </w:rPr>
        <w:t xml:space="preserve">be </w:t>
      </w:r>
      <w:r>
        <w:rPr>
          <w:rFonts w:ascii="Baskerville" w:hAnsi="Baskerville" w:cs="Helvetica"/>
          <w:i/>
          <w:color w:val="000000" w:themeColor="text1"/>
        </w:rPr>
        <w:t xml:space="preserve">wrongfully excluded. </w:t>
      </w:r>
      <w:r w:rsidR="00147AAB" w:rsidRPr="00D952CF">
        <w:rPr>
          <w:rFonts w:ascii="Baskerville" w:hAnsi="Baskerville" w:cs="Helvetica"/>
          <w:i/>
          <w:color w:val="000000" w:themeColor="text1"/>
        </w:rPr>
        <w:t xml:space="preserve">I illustrate the </w:t>
      </w:r>
      <w:r>
        <w:rPr>
          <w:rFonts w:ascii="Baskerville" w:hAnsi="Baskerville" w:cs="Helvetica"/>
          <w:i/>
          <w:color w:val="000000" w:themeColor="text1"/>
        </w:rPr>
        <w:t xml:space="preserve">second kind of trade-off </w:t>
      </w:r>
      <w:r w:rsidR="00147AAB" w:rsidRPr="00D952CF">
        <w:rPr>
          <w:rFonts w:ascii="Baskerville" w:hAnsi="Baskerville" w:cs="Helvetica"/>
          <w:i/>
          <w:color w:val="000000" w:themeColor="text1"/>
        </w:rPr>
        <w:t>by discussing the distributive impact of Loan-to-Value and Debt-to-Income ratios.</w:t>
      </w:r>
    </w:p>
    <w:p w14:paraId="238EFC83" w14:textId="77777777" w:rsidR="00B95C3B" w:rsidRPr="00D952CF" w:rsidRDefault="00B95C3B" w:rsidP="002244BE">
      <w:pPr>
        <w:spacing w:before="120" w:after="120" w:line="360" w:lineRule="auto"/>
        <w:rPr>
          <w:rFonts w:ascii="Baskerville" w:hAnsi="Baskerville" w:cs="Helvetica"/>
          <w:i/>
          <w:color w:val="000000" w:themeColor="text1"/>
        </w:rPr>
      </w:pPr>
    </w:p>
    <w:p w14:paraId="64F544AA" w14:textId="2CAF7C93" w:rsidR="00147AAB" w:rsidRPr="00D952CF" w:rsidRDefault="00147AAB" w:rsidP="002244BE">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Introduction</w:t>
      </w:r>
      <w:r w:rsidR="00B26E6D" w:rsidRPr="00F876B8">
        <w:rPr>
          <w:rStyle w:val="FootnoteReference"/>
        </w:rPr>
        <w:footnoteReference w:id="1"/>
      </w:r>
    </w:p>
    <w:p w14:paraId="5EC97101" w14:textId="2769D7DA" w:rsidR="00682803" w:rsidRPr="00D952CF" w:rsidRDefault="00836047" w:rsidP="00883A09">
      <w:pPr>
        <w:spacing w:before="120" w:after="120" w:line="360" w:lineRule="auto"/>
        <w:rPr>
          <w:rFonts w:ascii="Baskerville" w:hAnsi="Baskerville"/>
          <w:color w:val="000000" w:themeColor="text1"/>
        </w:rPr>
      </w:pPr>
      <w:r>
        <w:rPr>
          <w:rFonts w:ascii="Baskerville" w:hAnsi="Baskerville"/>
          <w:color w:val="000000" w:themeColor="text1"/>
        </w:rPr>
        <w:t>Perhaps i</w:t>
      </w:r>
      <w:r w:rsidR="00C0588E" w:rsidRPr="00D952CF">
        <w:rPr>
          <w:rFonts w:ascii="Baskerville" w:hAnsi="Baskerville"/>
          <w:color w:val="000000" w:themeColor="text1"/>
        </w:rPr>
        <w:t xml:space="preserve">n an ideal world, </w:t>
      </w:r>
      <w:r w:rsidR="00E67756" w:rsidRPr="00D952CF">
        <w:rPr>
          <w:rFonts w:ascii="Baskerville" w:hAnsi="Baskerville"/>
          <w:color w:val="000000" w:themeColor="text1"/>
        </w:rPr>
        <w:t>banks</w:t>
      </w:r>
      <w:r w:rsidR="0071585B" w:rsidRPr="00F876B8">
        <w:rPr>
          <w:rStyle w:val="FootnoteReference"/>
        </w:rPr>
        <w:footnoteReference w:id="2"/>
      </w:r>
      <w:r w:rsidR="00E67756" w:rsidRPr="00D952CF">
        <w:rPr>
          <w:rFonts w:ascii="Baskerville" w:hAnsi="Baskerville"/>
          <w:color w:val="000000" w:themeColor="text1"/>
        </w:rPr>
        <w:t xml:space="preserve"> would </w:t>
      </w:r>
      <w:r>
        <w:rPr>
          <w:rFonts w:ascii="Baskerville" w:hAnsi="Baskerville"/>
          <w:color w:val="000000" w:themeColor="text1"/>
        </w:rPr>
        <w:t>grant</w:t>
      </w:r>
      <w:r w:rsidR="00E67756" w:rsidRPr="00D952CF">
        <w:rPr>
          <w:rFonts w:ascii="Baskerville" w:hAnsi="Baskerville"/>
          <w:color w:val="000000" w:themeColor="text1"/>
        </w:rPr>
        <w:t xml:space="preserve"> credit to </w:t>
      </w:r>
      <w:r>
        <w:rPr>
          <w:rFonts w:ascii="Baskerville" w:hAnsi="Baskerville"/>
          <w:color w:val="000000" w:themeColor="text1"/>
        </w:rPr>
        <w:t xml:space="preserve">all creditworthy </w:t>
      </w:r>
      <w:r w:rsidR="00E67756" w:rsidRPr="00D952CF">
        <w:rPr>
          <w:rFonts w:ascii="Baskerville" w:hAnsi="Baskerville"/>
          <w:color w:val="000000" w:themeColor="text1"/>
        </w:rPr>
        <w:t xml:space="preserve">applicants, and deny credit to </w:t>
      </w:r>
      <w:r>
        <w:rPr>
          <w:rFonts w:ascii="Baskerville" w:hAnsi="Baskerville"/>
          <w:color w:val="000000" w:themeColor="text1"/>
        </w:rPr>
        <w:t xml:space="preserve">all </w:t>
      </w:r>
      <w:r w:rsidR="00D937B1">
        <w:rPr>
          <w:rFonts w:ascii="Baskerville" w:hAnsi="Baskerville"/>
          <w:color w:val="000000" w:themeColor="text1"/>
        </w:rPr>
        <w:t xml:space="preserve">those </w:t>
      </w:r>
      <w:r w:rsidR="00E67756" w:rsidRPr="00D952CF">
        <w:rPr>
          <w:rFonts w:ascii="Baskerville" w:hAnsi="Baskerville"/>
          <w:color w:val="000000" w:themeColor="text1"/>
        </w:rPr>
        <w:t>who would default on their debt. But even the most developed credit systems, such as</w:t>
      </w:r>
      <w:r w:rsidR="006262D0">
        <w:rPr>
          <w:rFonts w:ascii="Baskerville" w:hAnsi="Baskerville"/>
          <w:color w:val="000000" w:themeColor="text1"/>
        </w:rPr>
        <w:t xml:space="preserve"> that</w:t>
      </w:r>
      <w:r w:rsidR="00E67756" w:rsidRPr="00D952CF">
        <w:rPr>
          <w:rFonts w:ascii="Baskerville" w:hAnsi="Baskerville"/>
          <w:color w:val="000000" w:themeColor="text1"/>
        </w:rPr>
        <w:t xml:space="preserve"> in the US, </w:t>
      </w:r>
      <w:r>
        <w:rPr>
          <w:rFonts w:ascii="Baskerville" w:hAnsi="Baskerville"/>
          <w:color w:val="000000" w:themeColor="text1"/>
        </w:rPr>
        <w:t xml:space="preserve">fall </w:t>
      </w:r>
      <w:r w:rsidR="00A80DF5">
        <w:rPr>
          <w:rFonts w:ascii="Baskerville" w:hAnsi="Baskerville"/>
          <w:color w:val="000000" w:themeColor="text1"/>
        </w:rPr>
        <w:t>far</w:t>
      </w:r>
      <w:r>
        <w:rPr>
          <w:rFonts w:ascii="Baskerville" w:hAnsi="Baskerville"/>
          <w:color w:val="000000" w:themeColor="text1"/>
        </w:rPr>
        <w:t xml:space="preserve"> short of </w:t>
      </w:r>
      <w:r w:rsidR="0071585B">
        <w:rPr>
          <w:rFonts w:ascii="Baskerville" w:hAnsi="Baskerville"/>
          <w:color w:val="000000" w:themeColor="text1"/>
        </w:rPr>
        <w:t xml:space="preserve">this </w:t>
      </w:r>
      <w:r>
        <w:rPr>
          <w:rFonts w:ascii="Baskerville" w:hAnsi="Baskerville"/>
          <w:color w:val="000000" w:themeColor="text1"/>
        </w:rPr>
        <w:t>ideal.</w:t>
      </w:r>
      <w:r w:rsidRPr="00D952CF">
        <w:rPr>
          <w:rFonts w:ascii="Baskerville" w:hAnsi="Baskerville"/>
          <w:color w:val="000000" w:themeColor="text1"/>
        </w:rPr>
        <w:t xml:space="preserve"> </w:t>
      </w:r>
      <w:r w:rsidR="0071585B">
        <w:rPr>
          <w:rFonts w:ascii="Baskerville" w:hAnsi="Baskerville"/>
          <w:color w:val="000000" w:themeColor="text1"/>
        </w:rPr>
        <w:t xml:space="preserve">On the one hand, banks </w:t>
      </w:r>
      <w:r w:rsidR="00E67756" w:rsidRPr="00D952CF">
        <w:rPr>
          <w:rFonts w:ascii="Baskerville" w:hAnsi="Baskerville"/>
          <w:color w:val="000000" w:themeColor="text1"/>
        </w:rPr>
        <w:t>often</w:t>
      </w:r>
      <w:r w:rsidR="0071585B">
        <w:rPr>
          <w:rFonts w:ascii="Baskerville" w:hAnsi="Baskerville"/>
          <w:color w:val="000000" w:themeColor="text1"/>
        </w:rPr>
        <w:t xml:space="preserve"> </w:t>
      </w:r>
      <w:r w:rsidR="00E67756" w:rsidRPr="00D952CF">
        <w:rPr>
          <w:rFonts w:ascii="Baskerville" w:hAnsi="Baskerville"/>
          <w:color w:val="000000" w:themeColor="text1"/>
        </w:rPr>
        <w:t>give credit to applicants who later default. At the height of the financial crisis,</w:t>
      </w:r>
      <w:r w:rsidR="002244BE" w:rsidRPr="00D952CF">
        <w:rPr>
          <w:rFonts w:ascii="Baskerville" w:hAnsi="Baskerville"/>
          <w:color w:val="000000" w:themeColor="text1"/>
        </w:rPr>
        <w:t xml:space="preserve"> </w:t>
      </w:r>
      <w:r w:rsidR="0071585B">
        <w:rPr>
          <w:rFonts w:ascii="Baskerville" w:hAnsi="Baskerville"/>
          <w:color w:val="000000" w:themeColor="text1"/>
        </w:rPr>
        <w:t xml:space="preserve">US banks wrote off more than </w:t>
      </w:r>
      <w:r w:rsidR="00682803" w:rsidRPr="00D952CF">
        <w:rPr>
          <w:rFonts w:ascii="Baskerville" w:hAnsi="Baskerville"/>
          <w:color w:val="000000" w:themeColor="text1"/>
        </w:rPr>
        <w:t>6</w:t>
      </w:r>
      <w:r w:rsidR="002244BE" w:rsidRPr="00D952CF">
        <w:rPr>
          <w:rFonts w:ascii="Baskerville" w:hAnsi="Baskerville"/>
          <w:color w:val="000000" w:themeColor="text1"/>
        </w:rPr>
        <w:t xml:space="preserve">% </w:t>
      </w:r>
      <w:r w:rsidR="0071585B">
        <w:rPr>
          <w:rFonts w:ascii="Baskerville" w:hAnsi="Baskerville"/>
          <w:color w:val="000000" w:themeColor="text1"/>
        </w:rPr>
        <w:t>of their consumer loan portfolio</w:t>
      </w:r>
      <w:r w:rsidR="00883A09">
        <w:rPr>
          <w:rFonts w:ascii="Baskerville" w:hAnsi="Baskerville"/>
          <w:color w:val="000000" w:themeColor="text1"/>
        </w:rPr>
        <w:t>s</w:t>
      </w:r>
      <w:r w:rsidR="0071585B">
        <w:rPr>
          <w:rFonts w:ascii="Baskerville" w:hAnsi="Baskerville"/>
          <w:color w:val="000000" w:themeColor="text1"/>
        </w:rPr>
        <w:t xml:space="preserve"> in a single quarter</w:t>
      </w:r>
      <w:r w:rsidR="002244BE" w:rsidRPr="00D952CF">
        <w:rPr>
          <w:rFonts w:ascii="Baskerville" w:hAnsi="Baskerville"/>
          <w:color w:val="000000" w:themeColor="text1"/>
        </w:rPr>
        <w:t>.</w:t>
      </w:r>
      <w:r w:rsidR="00404067" w:rsidRPr="00F876B8">
        <w:rPr>
          <w:rStyle w:val="FootnoteReference"/>
        </w:rPr>
        <w:footnoteReference w:id="3"/>
      </w:r>
      <w:r w:rsidR="002244BE" w:rsidRPr="00D952CF">
        <w:rPr>
          <w:rFonts w:ascii="Baskerville" w:hAnsi="Baskerville"/>
          <w:color w:val="000000" w:themeColor="text1"/>
        </w:rPr>
        <w:t xml:space="preserve"> </w:t>
      </w:r>
      <w:r w:rsidR="0071585B">
        <w:rPr>
          <w:rFonts w:ascii="Baskerville" w:hAnsi="Baskerville"/>
          <w:color w:val="000000" w:themeColor="text1"/>
        </w:rPr>
        <w:t>US households were</w:t>
      </w:r>
      <w:r w:rsidR="002244BE" w:rsidRPr="00D952CF">
        <w:rPr>
          <w:rFonts w:ascii="Baskerville" w:hAnsi="Baskerville"/>
          <w:color w:val="000000" w:themeColor="text1"/>
        </w:rPr>
        <w:t xml:space="preserve"> </w:t>
      </w:r>
      <w:r w:rsidR="002244BE" w:rsidRPr="00D952CF">
        <w:rPr>
          <w:rFonts w:ascii="Baskerville" w:hAnsi="Baskerville"/>
          <w:color w:val="000000" w:themeColor="text1"/>
        </w:rPr>
        <w:lastRenderedPageBreak/>
        <w:t xml:space="preserve">more than 30 days </w:t>
      </w:r>
      <w:r w:rsidR="00D9582A">
        <w:rPr>
          <w:rFonts w:ascii="Baskerville" w:hAnsi="Baskerville"/>
          <w:color w:val="000000" w:themeColor="text1"/>
        </w:rPr>
        <w:t>in</w:t>
      </w:r>
      <w:r w:rsidR="00D9582A" w:rsidRPr="00D952CF">
        <w:rPr>
          <w:rFonts w:ascii="Baskerville" w:hAnsi="Baskerville"/>
          <w:color w:val="000000" w:themeColor="text1"/>
        </w:rPr>
        <w:t xml:space="preserve"> </w:t>
      </w:r>
      <w:r w:rsidR="00D9582A">
        <w:rPr>
          <w:rFonts w:ascii="Baskerville" w:hAnsi="Baskerville"/>
          <w:color w:val="000000" w:themeColor="text1"/>
        </w:rPr>
        <w:t xml:space="preserve">arrears </w:t>
      </w:r>
      <w:r w:rsidR="002244BE" w:rsidRPr="00D952CF">
        <w:rPr>
          <w:rFonts w:ascii="Baskerville" w:hAnsi="Baskerville"/>
          <w:color w:val="000000" w:themeColor="text1"/>
        </w:rPr>
        <w:t xml:space="preserve">on </w:t>
      </w:r>
      <w:r w:rsidR="0071585B">
        <w:rPr>
          <w:rFonts w:ascii="Baskerville" w:hAnsi="Baskerville"/>
          <w:color w:val="000000" w:themeColor="text1"/>
        </w:rPr>
        <w:t xml:space="preserve">almost 12% of </w:t>
      </w:r>
      <w:r w:rsidR="002244BE" w:rsidRPr="00D952CF">
        <w:rPr>
          <w:rFonts w:ascii="Baskerville" w:hAnsi="Baskerville"/>
          <w:color w:val="000000" w:themeColor="text1"/>
        </w:rPr>
        <w:t>loans</w:t>
      </w:r>
      <w:r w:rsidR="0071585B">
        <w:rPr>
          <w:rFonts w:ascii="Baskerville" w:hAnsi="Baskerville"/>
          <w:color w:val="000000" w:themeColor="text1"/>
        </w:rPr>
        <w:t xml:space="preserve"> by volume</w:t>
      </w:r>
      <w:r w:rsidR="002244BE" w:rsidRPr="00D952CF">
        <w:rPr>
          <w:rFonts w:ascii="Baskerville" w:hAnsi="Baskerville"/>
          <w:color w:val="000000" w:themeColor="text1"/>
        </w:rPr>
        <w:t>.</w:t>
      </w:r>
      <w:r w:rsidR="002244BE" w:rsidRPr="00E93D72">
        <w:rPr>
          <w:rStyle w:val="FootnoteReference"/>
        </w:rPr>
        <w:footnoteReference w:id="4"/>
      </w:r>
      <w:r w:rsidR="0071585B">
        <w:rPr>
          <w:rFonts w:ascii="Baskerville" w:hAnsi="Baskerville"/>
          <w:color w:val="000000" w:themeColor="text1"/>
        </w:rPr>
        <w:t xml:space="preserve"> On the other hand,</w:t>
      </w:r>
      <w:r w:rsidR="00760591">
        <w:rPr>
          <w:rFonts w:ascii="Baskerville" w:hAnsi="Baskerville"/>
          <w:color w:val="000000" w:themeColor="text1"/>
        </w:rPr>
        <w:t xml:space="preserve"> banks deny credit to many applicants who could in fact service it</w:t>
      </w:r>
      <w:r w:rsidR="002244BE" w:rsidRPr="00D952CF">
        <w:rPr>
          <w:rFonts w:ascii="Baskerville" w:hAnsi="Baskerville"/>
          <w:color w:val="000000" w:themeColor="text1"/>
        </w:rPr>
        <w:t xml:space="preserve">. </w:t>
      </w:r>
      <w:r w:rsidR="00760591">
        <w:rPr>
          <w:rFonts w:ascii="Baskerville" w:hAnsi="Baskerville"/>
          <w:color w:val="000000" w:themeColor="text1"/>
        </w:rPr>
        <w:t>One third</w:t>
      </w:r>
      <w:r w:rsidR="00760591" w:rsidRPr="00D952CF">
        <w:rPr>
          <w:rFonts w:ascii="Baskerville" w:hAnsi="Baskerville"/>
          <w:color w:val="000000" w:themeColor="text1"/>
        </w:rPr>
        <w:t xml:space="preserve"> of US Americans who wanted credit last year did not get credit</w:t>
      </w:r>
      <w:r w:rsidR="00760591">
        <w:rPr>
          <w:rFonts w:ascii="Baskerville" w:hAnsi="Baskerville"/>
          <w:color w:val="000000" w:themeColor="text1"/>
        </w:rPr>
        <w:t>—</w:t>
      </w:r>
      <w:r w:rsidR="00760591" w:rsidRPr="00D952CF">
        <w:rPr>
          <w:rFonts w:ascii="Baskerville" w:hAnsi="Baskerville"/>
          <w:color w:val="000000" w:themeColor="text1"/>
        </w:rPr>
        <w:t>either</w:t>
      </w:r>
      <w:r w:rsidR="00760591">
        <w:rPr>
          <w:rFonts w:ascii="Baskerville" w:hAnsi="Baskerville"/>
          <w:color w:val="000000" w:themeColor="text1"/>
        </w:rPr>
        <w:t xml:space="preserve"> </w:t>
      </w:r>
      <w:r w:rsidR="00760591" w:rsidRPr="00D952CF">
        <w:rPr>
          <w:rFonts w:ascii="Baskerville" w:hAnsi="Baskerville"/>
          <w:color w:val="000000" w:themeColor="text1"/>
        </w:rPr>
        <w:t xml:space="preserve">because they were rejected, or because they were discouraged from even applying. </w:t>
      </w:r>
      <w:r w:rsidR="00760591">
        <w:rPr>
          <w:rFonts w:ascii="Baskerville" w:hAnsi="Baskerville"/>
          <w:color w:val="000000" w:themeColor="text1"/>
        </w:rPr>
        <w:t>But the share of the excluded who could have serviced their debt is difficult to gauge, because estimates hinge</w:t>
      </w:r>
      <w:r w:rsidR="002244BE" w:rsidRPr="00D952CF">
        <w:rPr>
          <w:rFonts w:ascii="Baskerville" w:hAnsi="Baskerville"/>
          <w:color w:val="000000" w:themeColor="text1"/>
        </w:rPr>
        <w:t xml:space="preserve"> on a counter-factual: </w:t>
      </w:r>
      <w:r w:rsidR="00A80DF5">
        <w:rPr>
          <w:rFonts w:ascii="Baskerville" w:hAnsi="Baskerville"/>
          <w:color w:val="000000" w:themeColor="text1"/>
        </w:rPr>
        <w:t xml:space="preserve">if they had been granted credit, </w:t>
      </w:r>
      <w:r w:rsidR="00760591">
        <w:rPr>
          <w:rFonts w:ascii="Baskerville" w:hAnsi="Baskerville"/>
          <w:color w:val="000000" w:themeColor="text1"/>
        </w:rPr>
        <w:t>would these applicants have repaid</w:t>
      </w:r>
      <w:r w:rsidR="002244BE" w:rsidRPr="00D952CF">
        <w:rPr>
          <w:rFonts w:ascii="Baskerville" w:hAnsi="Baskerville"/>
          <w:color w:val="000000" w:themeColor="text1"/>
        </w:rPr>
        <w:t xml:space="preserve">? </w:t>
      </w:r>
      <w:r w:rsidR="00682803" w:rsidRPr="00D952CF">
        <w:rPr>
          <w:rFonts w:ascii="Baskerville" w:hAnsi="Baskerville"/>
          <w:color w:val="000000" w:themeColor="text1"/>
        </w:rPr>
        <w:t xml:space="preserve">In section 1, I will say more about the </w:t>
      </w:r>
      <w:r w:rsidR="00404067" w:rsidRPr="00D952CF">
        <w:rPr>
          <w:rFonts w:ascii="Baskerville" w:hAnsi="Baskerville"/>
          <w:color w:val="000000" w:themeColor="text1"/>
        </w:rPr>
        <w:t xml:space="preserve">magnitude of </w:t>
      </w:r>
      <w:r w:rsidR="00760591">
        <w:rPr>
          <w:rFonts w:ascii="Baskerville" w:hAnsi="Baskerville"/>
          <w:color w:val="000000" w:themeColor="text1"/>
        </w:rPr>
        <w:t>wrongful</w:t>
      </w:r>
      <w:r w:rsidR="00404067" w:rsidRPr="00D952CF">
        <w:rPr>
          <w:rFonts w:ascii="Baskerville" w:hAnsi="Baskerville"/>
          <w:color w:val="000000" w:themeColor="text1"/>
        </w:rPr>
        <w:t xml:space="preserve"> inclusion and exclusion</w:t>
      </w:r>
      <w:r w:rsidR="00682803" w:rsidRPr="00D952CF">
        <w:rPr>
          <w:rFonts w:ascii="Baskerville" w:hAnsi="Baskerville"/>
          <w:color w:val="000000" w:themeColor="text1"/>
        </w:rPr>
        <w:t xml:space="preserve">. </w:t>
      </w:r>
      <w:r w:rsidR="00E57B50">
        <w:rPr>
          <w:rFonts w:ascii="Baskerville" w:hAnsi="Baskerville"/>
          <w:color w:val="000000" w:themeColor="text1"/>
        </w:rPr>
        <w:t xml:space="preserve">I focus throughout on the US example, which is special in some </w:t>
      </w:r>
      <w:r w:rsidR="00B30036">
        <w:rPr>
          <w:rFonts w:ascii="Baskerville" w:hAnsi="Baskerville"/>
          <w:color w:val="000000" w:themeColor="text1"/>
        </w:rPr>
        <w:t>respects</w:t>
      </w:r>
      <w:r w:rsidR="00E57B50">
        <w:rPr>
          <w:rFonts w:ascii="Baskerville" w:hAnsi="Baskerville"/>
          <w:color w:val="000000" w:themeColor="text1"/>
        </w:rPr>
        <w:t xml:space="preserve">, including the lack of a developed rental market, and some features of its legal system concerning defaults on mortgages. Much of my discussion does, however, also apply to other developed countries, such as European countries. </w:t>
      </w:r>
    </w:p>
    <w:p w14:paraId="78BAB671" w14:textId="77777777" w:rsidR="00F858A1" w:rsidRDefault="00682803" w:rsidP="00273A20">
      <w:pPr>
        <w:spacing w:before="120" w:after="120" w:line="360" w:lineRule="auto"/>
        <w:rPr>
          <w:rFonts w:ascii="Baskerville" w:hAnsi="Baskerville"/>
          <w:color w:val="000000" w:themeColor="text1"/>
        </w:rPr>
      </w:pPr>
      <w:r w:rsidRPr="00D952CF">
        <w:rPr>
          <w:rFonts w:ascii="Baskerville" w:hAnsi="Baskerville"/>
          <w:color w:val="000000" w:themeColor="text1"/>
        </w:rPr>
        <w:t xml:space="preserve">My </w:t>
      </w:r>
      <w:r w:rsidR="00404067" w:rsidRPr="00D952CF">
        <w:rPr>
          <w:rFonts w:ascii="Baskerville" w:hAnsi="Baskerville"/>
          <w:color w:val="000000" w:themeColor="text1"/>
        </w:rPr>
        <w:t xml:space="preserve">concern in this paper is normative: How should we think </w:t>
      </w:r>
      <w:r w:rsidR="00700C19">
        <w:rPr>
          <w:rFonts w:ascii="Baskerville" w:hAnsi="Baskerville"/>
          <w:color w:val="000000" w:themeColor="text1"/>
        </w:rPr>
        <w:t>about the ethics of</w:t>
      </w:r>
      <w:r w:rsidR="00404067" w:rsidRPr="00D952CF">
        <w:rPr>
          <w:rFonts w:ascii="Baskerville" w:hAnsi="Baskerville"/>
          <w:color w:val="000000" w:themeColor="text1"/>
        </w:rPr>
        <w:t xml:space="preserve"> credit inclusion and exclusion? </w:t>
      </w:r>
      <w:r w:rsidR="00A80DF5" w:rsidRPr="00A80DF5">
        <w:rPr>
          <w:rFonts w:ascii="Baskerville" w:hAnsi="Baskerville"/>
          <w:color w:val="000000" w:themeColor="text1"/>
        </w:rPr>
        <w:t xml:space="preserve">In particular, I focus on the following two questions. </w:t>
      </w:r>
      <w:r w:rsidR="00A80DF5">
        <w:rPr>
          <w:rFonts w:ascii="Baskerville" w:hAnsi="Baskerville"/>
          <w:color w:val="000000" w:themeColor="text1"/>
        </w:rPr>
        <w:t>First, w</w:t>
      </w:r>
      <w:r w:rsidR="00A80DF5" w:rsidRPr="00A80DF5">
        <w:rPr>
          <w:rFonts w:ascii="Baskerville" w:hAnsi="Baskerville"/>
          <w:color w:val="000000" w:themeColor="text1"/>
        </w:rPr>
        <w:t>hat are the relative weights of the obligation</w:t>
      </w:r>
      <w:r w:rsidR="00A80DF5">
        <w:rPr>
          <w:rFonts w:ascii="Baskerville" w:hAnsi="Baskerville"/>
          <w:color w:val="000000" w:themeColor="text1"/>
        </w:rPr>
        <w:t>s</w:t>
      </w:r>
      <w:r w:rsidR="00A80DF5" w:rsidRPr="00A80DF5">
        <w:rPr>
          <w:rFonts w:ascii="Baskerville" w:hAnsi="Baskerville"/>
          <w:color w:val="000000" w:themeColor="text1"/>
        </w:rPr>
        <w:t xml:space="preserve"> to </w:t>
      </w:r>
      <w:r w:rsidR="00A80DF5">
        <w:rPr>
          <w:rFonts w:ascii="Baskerville" w:hAnsi="Baskerville"/>
          <w:color w:val="000000" w:themeColor="text1"/>
        </w:rPr>
        <w:t>avoid</w:t>
      </w:r>
      <w:r w:rsidR="00A80DF5" w:rsidRPr="00A80DF5">
        <w:rPr>
          <w:rFonts w:ascii="Baskerville" w:hAnsi="Baskerville"/>
          <w:color w:val="000000" w:themeColor="text1"/>
        </w:rPr>
        <w:t xml:space="preserve"> mistakes of wrongful inclusion </w:t>
      </w:r>
      <w:r w:rsidR="00A80DF5">
        <w:rPr>
          <w:rFonts w:ascii="Baskerville" w:hAnsi="Baskerville"/>
          <w:color w:val="000000" w:themeColor="text1"/>
        </w:rPr>
        <w:t>and to avoid mistakes of wrongful</w:t>
      </w:r>
      <w:r w:rsidR="00A80DF5" w:rsidRPr="00A80DF5">
        <w:rPr>
          <w:rFonts w:ascii="Baskerville" w:hAnsi="Baskerville"/>
          <w:color w:val="000000" w:themeColor="text1"/>
        </w:rPr>
        <w:t xml:space="preserve"> exclusion? </w:t>
      </w:r>
      <w:r w:rsidR="00A80DF5">
        <w:rPr>
          <w:rFonts w:ascii="Baskerville" w:hAnsi="Baskerville"/>
          <w:color w:val="000000" w:themeColor="text1"/>
        </w:rPr>
        <w:t>Second,</w:t>
      </w:r>
      <w:r w:rsidR="00A80DF5" w:rsidRPr="00A80DF5">
        <w:rPr>
          <w:rFonts w:ascii="Baskerville" w:hAnsi="Baskerville"/>
          <w:color w:val="000000" w:themeColor="text1"/>
        </w:rPr>
        <w:t xml:space="preserve"> </w:t>
      </w:r>
      <w:r w:rsidR="00A80DF5">
        <w:rPr>
          <w:rFonts w:ascii="Baskerville" w:hAnsi="Baskerville"/>
          <w:color w:val="000000" w:themeColor="text1"/>
        </w:rPr>
        <w:t>w</w:t>
      </w:r>
      <w:r w:rsidR="00A80DF5" w:rsidRPr="00A80DF5">
        <w:rPr>
          <w:rFonts w:ascii="Baskerville" w:hAnsi="Baskerville"/>
          <w:color w:val="000000" w:themeColor="text1"/>
        </w:rPr>
        <w:t>hat are the moral trade-offs involved in regulating banks to meet those obligations?</w:t>
      </w:r>
      <w:r w:rsidR="00A80DF5">
        <w:rPr>
          <w:rFonts w:ascii="Baskerville" w:hAnsi="Baskerville"/>
          <w:color w:val="000000" w:themeColor="text1"/>
        </w:rPr>
        <w:t xml:space="preserve"> </w:t>
      </w:r>
    </w:p>
    <w:p w14:paraId="78604D3F" w14:textId="2DF60649" w:rsidR="0057193D" w:rsidRPr="00D952CF" w:rsidRDefault="00DB411B" w:rsidP="00273A20">
      <w:pPr>
        <w:spacing w:before="120" w:after="120" w:line="360" w:lineRule="auto"/>
        <w:rPr>
          <w:rFonts w:ascii="Baskerville" w:hAnsi="Baskerville"/>
          <w:color w:val="000000" w:themeColor="text1"/>
        </w:rPr>
      </w:pPr>
      <w:r w:rsidRPr="00D952CF">
        <w:rPr>
          <w:rFonts w:ascii="Baskerville" w:hAnsi="Baskerville"/>
          <w:color w:val="000000" w:themeColor="text1"/>
        </w:rPr>
        <w:t>In section 2, I argue that banks have obligations to avoid mistakes of wrongful exclusion</w:t>
      </w:r>
      <w:r w:rsidR="00700C19">
        <w:rPr>
          <w:rFonts w:ascii="Baskerville" w:hAnsi="Baskerville"/>
          <w:color w:val="000000" w:themeColor="text1"/>
        </w:rPr>
        <w:t>—</w:t>
      </w:r>
      <w:r w:rsidRPr="00D952CF">
        <w:rPr>
          <w:rFonts w:ascii="Baskerville" w:hAnsi="Baskerville"/>
          <w:color w:val="000000" w:themeColor="text1"/>
        </w:rPr>
        <w:t>denying</w:t>
      </w:r>
      <w:r w:rsidR="00700C19">
        <w:rPr>
          <w:rFonts w:ascii="Baskerville" w:hAnsi="Baskerville"/>
          <w:color w:val="000000" w:themeColor="text1"/>
        </w:rPr>
        <w:t xml:space="preserve"> </w:t>
      </w:r>
      <w:r w:rsidRPr="00D952CF">
        <w:rPr>
          <w:rFonts w:ascii="Baskerville" w:hAnsi="Baskerville"/>
          <w:color w:val="000000" w:themeColor="text1"/>
        </w:rPr>
        <w:t>credit</w:t>
      </w:r>
      <w:r w:rsidR="00A80DF5">
        <w:rPr>
          <w:rFonts w:ascii="Baskerville" w:hAnsi="Baskerville"/>
          <w:color w:val="000000" w:themeColor="text1"/>
        </w:rPr>
        <w:t xml:space="preserve"> to applicants</w:t>
      </w:r>
      <w:r w:rsidRPr="00D952CF">
        <w:rPr>
          <w:rFonts w:ascii="Baskerville" w:hAnsi="Baskerville"/>
          <w:color w:val="000000" w:themeColor="text1"/>
        </w:rPr>
        <w:t xml:space="preserve"> who could service their credit</w:t>
      </w:r>
      <w:r w:rsidR="00700C19">
        <w:rPr>
          <w:rFonts w:ascii="Baskerville" w:hAnsi="Baskerville"/>
          <w:color w:val="000000" w:themeColor="text1"/>
        </w:rPr>
        <w:t>—a</w:t>
      </w:r>
      <w:r w:rsidRPr="00D952CF">
        <w:rPr>
          <w:rFonts w:ascii="Baskerville" w:hAnsi="Baskerville"/>
          <w:color w:val="000000" w:themeColor="text1"/>
        </w:rPr>
        <w:t>s</w:t>
      </w:r>
      <w:r w:rsidR="00700C19">
        <w:rPr>
          <w:rFonts w:ascii="Baskerville" w:hAnsi="Baskerville"/>
          <w:color w:val="000000" w:themeColor="text1"/>
        </w:rPr>
        <w:t xml:space="preserve"> </w:t>
      </w:r>
      <w:r w:rsidRPr="00D952CF">
        <w:rPr>
          <w:rFonts w:ascii="Baskerville" w:hAnsi="Baskerville"/>
          <w:color w:val="000000" w:themeColor="text1"/>
        </w:rPr>
        <w:t xml:space="preserve">well as </w:t>
      </w:r>
      <w:r w:rsidR="00700C19">
        <w:rPr>
          <w:rFonts w:ascii="Baskerville" w:hAnsi="Baskerville"/>
          <w:color w:val="000000" w:themeColor="text1"/>
        </w:rPr>
        <w:t>obligations to avoid</w:t>
      </w:r>
      <w:r w:rsidRPr="00D952CF">
        <w:rPr>
          <w:rFonts w:ascii="Baskerville" w:hAnsi="Baskerville"/>
          <w:color w:val="000000" w:themeColor="text1"/>
        </w:rPr>
        <w:t xml:space="preserve"> wrongful inclusion</w:t>
      </w:r>
      <w:r w:rsidR="00700C19">
        <w:rPr>
          <w:rFonts w:ascii="Baskerville" w:hAnsi="Baskerville"/>
          <w:color w:val="000000" w:themeColor="text1"/>
        </w:rPr>
        <w:t>—</w:t>
      </w:r>
      <w:r w:rsidRPr="00D952CF">
        <w:rPr>
          <w:rFonts w:ascii="Baskerville" w:hAnsi="Baskerville"/>
          <w:color w:val="000000" w:themeColor="text1"/>
        </w:rPr>
        <w:t>granting</w:t>
      </w:r>
      <w:r w:rsidR="00700C19">
        <w:rPr>
          <w:rFonts w:ascii="Baskerville" w:hAnsi="Baskerville"/>
          <w:color w:val="000000" w:themeColor="text1"/>
        </w:rPr>
        <w:t xml:space="preserve"> </w:t>
      </w:r>
      <w:r w:rsidRPr="00D952CF">
        <w:rPr>
          <w:rFonts w:ascii="Baskerville" w:hAnsi="Baskerville"/>
          <w:color w:val="000000" w:themeColor="text1"/>
        </w:rPr>
        <w:t xml:space="preserve">credit to applicants who will default. </w:t>
      </w:r>
      <w:r w:rsidR="002D4DED">
        <w:rPr>
          <w:rFonts w:ascii="Baskerville" w:hAnsi="Baskerville"/>
          <w:color w:val="000000" w:themeColor="text1"/>
        </w:rPr>
        <w:t>Since the</w:t>
      </w:r>
      <w:r w:rsidR="00273A20">
        <w:rPr>
          <w:rFonts w:ascii="Baskerville" w:hAnsi="Baskerville"/>
          <w:color w:val="000000" w:themeColor="text1"/>
        </w:rPr>
        <w:t xml:space="preserve">se </w:t>
      </w:r>
      <w:r w:rsidR="002D4DED">
        <w:rPr>
          <w:rFonts w:ascii="Baskerville" w:hAnsi="Baskerville"/>
          <w:color w:val="000000" w:themeColor="text1"/>
        </w:rPr>
        <w:t xml:space="preserve">obligations can conflict, </w:t>
      </w:r>
      <w:r w:rsidR="004F4BC1">
        <w:rPr>
          <w:rFonts w:ascii="Baskerville" w:hAnsi="Baskerville"/>
          <w:color w:val="000000" w:themeColor="text1"/>
        </w:rPr>
        <w:t>their relative weight</w:t>
      </w:r>
      <w:r w:rsidR="00883A09">
        <w:rPr>
          <w:rFonts w:ascii="Baskerville" w:hAnsi="Baskerville"/>
          <w:color w:val="000000" w:themeColor="text1"/>
        </w:rPr>
        <w:t>s</w:t>
      </w:r>
      <w:r w:rsidR="004F4BC1">
        <w:rPr>
          <w:rFonts w:ascii="Baskerville" w:hAnsi="Baskerville"/>
          <w:color w:val="000000" w:themeColor="text1"/>
        </w:rPr>
        <w:t xml:space="preserve"> </w:t>
      </w:r>
      <w:r w:rsidR="00883A09">
        <w:rPr>
          <w:rFonts w:ascii="Baskerville" w:hAnsi="Baskerville"/>
          <w:color w:val="000000" w:themeColor="text1"/>
        </w:rPr>
        <w:t xml:space="preserve">pose </w:t>
      </w:r>
      <w:r w:rsidR="004F4BC1">
        <w:rPr>
          <w:rFonts w:ascii="Baskerville" w:hAnsi="Baskerville"/>
          <w:color w:val="000000" w:themeColor="text1"/>
        </w:rPr>
        <w:t xml:space="preserve">an </w:t>
      </w:r>
      <w:r w:rsidR="002D4DED">
        <w:rPr>
          <w:rFonts w:ascii="Baskerville" w:hAnsi="Baskerville"/>
          <w:color w:val="000000" w:themeColor="text1"/>
        </w:rPr>
        <w:t xml:space="preserve">important ethical </w:t>
      </w:r>
      <w:r w:rsidR="004F4BC1">
        <w:rPr>
          <w:rFonts w:ascii="Baskerville" w:hAnsi="Baskerville"/>
          <w:color w:val="000000" w:themeColor="text1"/>
        </w:rPr>
        <w:t>question</w:t>
      </w:r>
      <w:r w:rsidRPr="00D952CF">
        <w:rPr>
          <w:rFonts w:ascii="Baskerville" w:hAnsi="Baskerville"/>
          <w:color w:val="000000" w:themeColor="text1"/>
        </w:rPr>
        <w:t>. My view</w:t>
      </w:r>
      <w:r w:rsidR="002D4DED">
        <w:rPr>
          <w:rFonts w:ascii="Baskerville" w:hAnsi="Baskerville"/>
          <w:color w:val="000000" w:themeColor="text1"/>
        </w:rPr>
        <w:t xml:space="preserve"> is that </w:t>
      </w:r>
      <w:r w:rsidR="00A80DF5">
        <w:rPr>
          <w:rFonts w:ascii="Baskerville" w:hAnsi="Baskerville"/>
          <w:color w:val="000000" w:themeColor="text1"/>
        </w:rPr>
        <w:t>each mistake</w:t>
      </w:r>
      <w:r w:rsidRPr="00D952CF">
        <w:rPr>
          <w:rFonts w:ascii="Baskerville" w:hAnsi="Baskerville"/>
          <w:color w:val="000000" w:themeColor="text1"/>
        </w:rPr>
        <w:t xml:space="preserve"> of wrongful exclusion </w:t>
      </w:r>
      <w:r w:rsidR="00B30036">
        <w:rPr>
          <w:rFonts w:ascii="Baskerville" w:hAnsi="Baskerville"/>
          <w:color w:val="000000" w:themeColor="text1"/>
        </w:rPr>
        <w:t>infringes</w:t>
      </w:r>
      <w:r w:rsidR="002D4DED">
        <w:rPr>
          <w:rFonts w:ascii="Baskerville" w:hAnsi="Baskerville"/>
          <w:color w:val="000000" w:themeColor="text1"/>
        </w:rPr>
        <w:t xml:space="preserve"> the rights of applicants</w:t>
      </w:r>
      <w:r w:rsidRPr="00D952CF">
        <w:rPr>
          <w:rFonts w:ascii="Baskerville" w:hAnsi="Baskerville"/>
          <w:color w:val="000000" w:themeColor="text1"/>
        </w:rPr>
        <w:t xml:space="preserve">, </w:t>
      </w:r>
      <w:r w:rsidR="004F4BC1">
        <w:rPr>
          <w:rFonts w:ascii="Baskerville" w:hAnsi="Baskerville"/>
          <w:color w:val="000000" w:themeColor="text1"/>
        </w:rPr>
        <w:t>but</w:t>
      </w:r>
      <w:r w:rsidR="002D4DED">
        <w:rPr>
          <w:rFonts w:ascii="Baskerville" w:hAnsi="Baskerville"/>
          <w:color w:val="000000" w:themeColor="text1"/>
        </w:rPr>
        <w:t xml:space="preserve"> </w:t>
      </w:r>
      <w:r w:rsidR="00A80DF5">
        <w:rPr>
          <w:rFonts w:ascii="Baskerville" w:hAnsi="Baskerville"/>
          <w:color w:val="000000" w:themeColor="text1"/>
        </w:rPr>
        <w:t xml:space="preserve">individual </w:t>
      </w:r>
      <w:r w:rsidR="002D4DED">
        <w:rPr>
          <w:rFonts w:ascii="Baskerville" w:hAnsi="Baskerville"/>
          <w:color w:val="000000" w:themeColor="text1"/>
        </w:rPr>
        <w:t xml:space="preserve">mistakes of wrongful inclusion </w:t>
      </w:r>
      <w:r w:rsidR="004F4BC1">
        <w:rPr>
          <w:rFonts w:ascii="Baskerville" w:hAnsi="Baskerville"/>
          <w:color w:val="000000" w:themeColor="text1"/>
        </w:rPr>
        <w:t>do not</w:t>
      </w:r>
      <w:r w:rsidRPr="00D952CF">
        <w:rPr>
          <w:rFonts w:ascii="Baskerville" w:hAnsi="Baskerville"/>
          <w:color w:val="000000" w:themeColor="text1"/>
        </w:rPr>
        <w:t xml:space="preserve">. </w:t>
      </w:r>
      <w:r w:rsidR="00DC5529" w:rsidRPr="00D952CF">
        <w:rPr>
          <w:rFonts w:ascii="Baskerville" w:hAnsi="Baskerville"/>
          <w:color w:val="000000" w:themeColor="text1"/>
        </w:rPr>
        <w:t xml:space="preserve">Hence </w:t>
      </w:r>
      <w:r w:rsidR="004F4BC1">
        <w:rPr>
          <w:rFonts w:ascii="Baskerville" w:hAnsi="Baskerville"/>
          <w:color w:val="000000" w:themeColor="text1"/>
        </w:rPr>
        <w:t xml:space="preserve">considered </w:t>
      </w:r>
      <w:r w:rsidR="004F4BC1" w:rsidRPr="00966BDB">
        <w:rPr>
          <w:rFonts w:ascii="Baskerville" w:hAnsi="Baskerville"/>
          <w:i/>
          <w:color w:val="000000" w:themeColor="text1"/>
        </w:rPr>
        <w:t>in isolation</w:t>
      </w:r>
      <w:r w:rsidR="004F4BC1">
        <w:rPr>
          <w:rFonts w:ascii="Baskerville" w:hAnsi="Baskerville"/>
          <w:color w:val="000000" w:themeColor="text1"/>
        </w:rPr>
        <w:t xml:space="preserve">, </w:t>
      </w:r>
      <w:r w:rsidR="00DC5529" w:rsidRPr="00D952CF">
        <w:rPr>
          <w:rFonts w:ascii="Baskerville" w:hAnsi="Baskerville"/>
          <w:color w:val="000000" w:themeColor="text1"/>
        </w:rPr>
        <w:t xml:space="preserve">avoiding </w:t>
      </w:r>
      <w:r w:rsidR="004F4BC1">
        <w:rPr>
          <w:rFonts w:ascii="Baskerville" w:hAnsi="Baskerville"/>
          <w:color w:val="000000" w:themeColor="text1"/>
        </w:rPr>
        <w:t>a mistake</w:t>
      </w:r>
      <w:r w:rsidR="00DC5529" w:rsidRPr="00D952CF">
        <w:rPr>
          <w:rFonts w:ascii="Baskerville" w:hAnsi="Baskerville"/>
          <w:color w:val="000000" w:themeColor="text1"/>
        </w:rPr>
        <w:t xml:space="preserve"> of wrongful exclusion trumps avoiding </w:t>
      </w:r>
      <w:r w:rsidR="004F4BC1">
        <w:rPr>
          <w:rFonts w:ascii="Baskerville" w:hAnsi="Baskerville"/>
          <w:color w:val="000000" w:themeColor="text1"/>
        </w:rPr>
        <w:t xml:space="preserve">a </w:t>
      </w:r>
      <w:r w:rsidR="00DC5529" w:rsidRPr="00D952CF">
        <w:rPr>
          <w:rFonts w:ascii="Baskerville" w:hAnsi="Baskerville"/>
          <w:color w:val="000000" w:themeColor="text1"/>
        </w:rPr>
        <w:t>m</w:t>
      </w:r>
      <w:r w:rsidR="004F4BC1">
        <w:rPr>
          <w:rFonts w:ascii="Baskerville" w:hAnsi="Baskerville"/>
          <w:color w:val="000000" w:themeColor="text1"/>
        </w:rPr>
        <w:t>istake</w:t>
      </w:r>
      <w:r w:rsidRPr="00D952CF">
        <w:rPr>
          <w:rFonts w:ascii="Baskerville" w:hAnsi="Baskerville"/>
          <w:color w:val="000000" w:themeColor="text1"/>
        </w:rPr>
        <w:t xml:space="preserve"> of wrongful inclusion</w:t>
      </w:r>
      <w:r w:rsidR="004F4BC1">
        <w:rPr>
          <w:rFonts w:ascii="Baskerville" w:hAnsi="Baskerville"/>
          <w:color w:val="000000" w:themeColor="text1"/>
        </w:rPr>
        <w:t xml:space="preserve">. </w:t>
      </w:r>
      <w:r w:rsidR="00D9582A" w:rsidRPr="00966BDB">
        <w:rPr>
          <w:rFonts w:ascii="Baskerville" w:hAnsi="Baskerville"/>
          <w:i/>
          <w:color w:val="000000" w:themeColor="text1"/>
        </w:rPr>
        <w:t>I</w:t>
      </w:r>
      <w:r w:rsidR="004F4BC1" w:rsidRPr="00966BDB">
        <w:rPr>
          <w:rFonts w:ascii="Baskerville" w:hAnsi="Baskerville"/>
          <w:i/>
          <w:color w:val="000000" w:themeColor="text1"/>
        </w:rPr>
        <w:t>n the aggreg</w:t>
      </w:r>
      <w:r w:rsidR="004F4BC1">
        <w:rPr>
          <w:rFonts w:ascii="Baskerville" w:hAnsi="Baskerville"/>
          <w:color w:val="000000" w:themeColor="text1"/>
        </w:rPr>
        <w:t xml:space="preserve">ate, </w:t>
      </w:r>
      <w:r w:rsidR="00D9582A">
        <w:rPr>
          <w:rFonts w:ascii="Baskerville" w:hAnsi="Baskerville"/>
          <w:color w:val="000000" w:themeColor="text1"/>
        </w:rPr>
        <w:t xml:space="preserve">however, </w:t>
      </w:r>
      <w:r w:rsidR="004F4BC1">
        <w:rPr>
          <w:rFonts w:ascii="Baskerville" w:hAnsi="Baskerville"/>
          <w:color w:val="000000" w:themeColor="text1"/>
        </w:rPr>
        <w:t xml:space="preserve">mistakes of wrongful inclusion </w:t>
      </w:r>
      <w:r w:rsidR="00E57B50">
        <w:rPr>
          <w:rFonts w:ascii="Baskerville" w:hAnsi="Baskerville"/>
          <w:color w:val="000000" w:themeColor="text1"/>
        </w:rPr>
        <w:t xml:space="preserve">can </w:t>
      </w:r>
      <w:r w:rsidR="00A80DF5">
        <w:rPr>
          <w:rFonts w:ascii="Baskerville" w:hAnsi="Baskerville"/>
          <w:color w:val="000000" w:themeColor="text1"/>
        </w:rPr>
        <w:t xml:space="preserve">also </w:t>
      </w:r>
      <w:r w:rsidR="004F4BC1">
        <w:rPr>
          <w:rFonts w:ascii="Baskerville" w:hAnsi="Baskerville"/>
          <w:color w:val="000000" w:themeColor="text1"/>
        </w:rPr>
        <w:t>lead to severe rights violations</w:t>
      </w:r>
      <w:r w:rsidR="00A80DF5">
        <w:rPr>
          <w:rFonts w:ascii="Baskerville" w:hAnsi="Baskerville"/>
          <w:color w:val="000000" w:themeColor="text1"/>
        </w:rPr>
        <w:t xml:space="preserve">, </w:t>
      </w:r>
      <w:r w:rsidR="00E57B50">
        <w:rPr>
          <w:rFonts w:ascii="Baskerville" w:hAnsi="Baskerville"/>
          <w:color w:val="000000" w:themeColor="text1"/>
        </w:rPr>
        <w:t xml:space="preserve">namely </w:t>
      </w:r>
      <w:r w:rsidR="00A80DF5">
        <w:rPr>
          <w:rFonts w:ascii="Baskerville" w:hAnsi="Baskerville"/>
          <w:color w:val="000000" w:themeColor="text1"/>
        </w:rPr>
        <w:t>when they threaten the rights of shareholders, bondholders, or depositors, or even threaten financial stability</w:t>
      </w:r>
      <w:r w:rsidR="00D8055B">
        <w:rPr>
          <w:rFonts w:ascii="Baskerville" w:hAnsi="Baskerville"/>
          <w:color w:val="000000" w:themeColor="text1"/>
        </w:rPr>
        <w:t xml:space="preserve">. </w:t>
      </w:r>
      <w:r w:rsidR="004F4BC1">
        <w:rPr>
          <w:rFonts w:ascii="Baskerville" w:hAnsi="Baskerville"/>
          <w:color w:val="000000" w:themeColor="text1"/>
        </w:rPr>
        <w:t>Hence</w:t>
      </w:r>
      <w:r w:rsidR="0057193D" w:rsidRPr="00D952CF">
        <w:rPr>
          <w:rFonts w:ascii="Baskerville" w:hAnsi="Baskerville"/>
          <w:color w:val="000000" w:themeColor="text1"/>
        </w:rPr>
        <w:t xml:space="preserve"> banks have </w:t>
      </w:r>
      <w:r w:rsidR="004F4BC1">
        <w:rPr>
          <w:rFonts w:ascii="Baskerville" w:hAnsi="Baskerville"/>
          <w:color w:val="000000" w:themeColor="text1"/>
        </w:rPr>
        <w:t xml:space="preserve">the dual </w:t>
      </w:r>
      <w:r w:rsidR="0057193D" w:rsidRPr="00D952CF">
        <w:rPr>
          <w:rFonts w:ascii="Baskerville" w:hAnsi="Baskerville"/>
          <w:color w:val="000000" w:themeColor="text1"/>
        </w:rPr>
        <w:t xml:space="preserve">obligation to provide creditworthy applicants with credit, and to avoid over-borrowing. </w:t>
      </w:r>
      <w:r w:rsidR="00E57B50">
        <w:rPr>
          <w:rFonts w:ascii="Baskerville" w:hAnsi="Baskerville"/>
          <w:color w:val="000000" w:themeColor="text1"/>
        </w:rPr>
        <w:t xml:space="preserve">Meeting this dual obligation </w:t>
      </w:r>
      <w:r w:rsidR="0057193D" w:rsidRPr="00D952CF">
        <w:rPr>
          <w:rFonts w:ascii="Baskerville" w:hAnsi="Baskerville"/>
          <w:color w:val="000000" w:themeColor="text1"/>
        </w:rPr>
        <w:t xml:space="preserve">is the social purpose of banks concerning consumer credit. </w:t>
      </w:r>
    </w:p>
    <w:p w14:paraId="76957573" w14:textId="077DC8C2" w:rsidR="000E3A6D" w:rsidRPr="00D952CF" w:rsidRDefault="0057193D" w:rsidP="00B30036">
      <w:pPr>
        <w:spacing w:before="120" w:after="120" w:line="360" w:lineRule="auto"/>
        <w:rPr>
          <w:rFonts w:ascii="Baskerville" w:hAnsi="Baskerville"/>
          <w:color w:val="000000" w:themeColor="text1"/>
        </w:rPr>
      </w:pPr>
      <w:r w:rsidRPr="00D952CF">
        <w:rPr>
          <w:rFonts w:ascii="Baskerville" w:hAnsi="Baskerville"/>
          <w:color w:val="000000" w:themeColor="text1"/>
        </w:rPr>
        <w:t xml:space="preserve">In section 3, I </w:t>
      </w:r>
      <w:r w:rsidR="006300F5">
        <w:rPr>
          <w:rFonts w:ascii="Baskerville" w:hAnsi="Baskerville"/>
          <w:color w:val="000000" w:themeColor="text1"/>
        </w:rPr>
        <w:t xml:space="preserve">introduce the problem that </w:t>
      </w:r>
      <w:r w:rsidRPr="00D952CF">
        <w:rPr>
          <w:rFonts w:ascii="Baskerville" w:hAnsi="Baskerville"/>
          <w:color w:val="000000" w:themeColor="text1"/>
        </w:rPr>
        <w:t>banks</w:t>
      </w:r>
      <w:r w:rsidR="004F4BC1">
        <w:rPr>
          <w:rFonts w:ascii="Baskerville" w:hAnsi="Baskerville"/>
          <w:color w:val="000000" w:themeColor="text1"/>
        </w:rPr>
        <w:t>’</w:t>
      </w:r>
      <w:r w:rsidRPr="00D952CF">
        <w:rPr>
          <w:rFonts w:ascii="Baskerville" w:hAnsi="Baskerville"/>
          <w:color w:val="000000" w:themeColor="text1"/>
        </w:rPr>
        <w:t xml:space="preserve"> </w:t>
      </w:r>
      <w:r w:rsidR="000E3A6D" w:rsidRPr="00D952CF">
        <w:rPr>
          <w:rFonts w:ascii="Baskerville" w:hAnsi="Baskerville"/>
          <w:color w:val="000000" w:themeColor="text1"/>
        </w:rPr>
        <w:t xml:space="preserve">self-interest </w:t>
      </w:r>
      <w:r w:rsidR="004F4BC1">
        <w:rPr>
          <w:rFonts w:ascii="Baskerville" w:hAnsi="Baskerville"/>
          <w:color w:val="000000" w:themeColor="text1"/>
        </w:rPr>
        <w:t>is at odds with their social purpose</w:t>
      </w:r>
      <w:r w:rsidR="006300F5">
        <w:rPr>
          <w:rFonts w:ascii="Baskerville" w:hAnsi="Baskerville"/>
          <w:color w:val="000000" w:themeColor="text1"/>
        </w:rPr>
        <w:t>.</w:t>
      </w:r>
      <w:r w:rsidR="004F4BC1">
        <w:rPr>
          <w:rFonts w:ascii="Baskerville" w:hAnsi="Baskerville"/>
          <w:color w:val="000000" w:themeColor="text1"/>
        </w:rPr>
        <w:t xml:space="preserve"> </w:t>
      </w:r>
      <w:r w:rsidR="006300F5">
        <w:rPr>
          <w:rFonts w:ascii="Baskerville" w:hAnsi="Baskerville"/>
          <w:color w:val="000000" w:themeColor="text1"/>
        </w:rPr>
        <w:t xml:space="preserve">The reason is that </w:t>
      </w:r>
      <w:r w:rsidR="004F4BC1">
        <w:rPr>
          <w:rFonts w:ascii="Baskerville" w:hAnsi="Baskerville"/>
          <w:color w:val="000000" w:themeColor="text1"/>
        </w:rPr>
        <w:t>i</w:t>
      </w:r>
      <w:r w:rsidRPr="00D952CF">
        <w:rPr>
          <w:rFonts w:ascii="Baskerville" w:hAnsi="Baskerville"/>
          <w:color w:val="000000" w:themeColor="text1"/>
        </w:rPr>
        <w:t xml:space="preserve">t </w:t>
      </w:r>
      <w:r w:rsidR="000E3A6D" w:rsidRPr="00D952CF">
        <w:rPr>
          <w:rFonts w:ascii="Baskerville" w:hAnsi="Baskerville"/>
          <w:color w:val="000000" w:themeColor="text1"/>
        </w:rPr>
        <w:t xml:space="preserve">is </w:t>
      </w:r>
      <w:r w:rsidRPr="00D952CF">
        <w:rPr>
          <w:rFonts w:ascii="Baskerville" w:hAnsi="Baskerville"/>
          <w:color w:val="000000" w:themeColor="text1"/>
        </w:rPr>
        <w:t xml:space="preserve">profitable for banks to allow for more mistakes of wrongful inclusion and wrongful exclusion than </w:t>
      </w:r>
      <w:r w:rsidR="00A80DF5">
        <w:rPr>
          <w:rFonts w:ascii="Baskerville" w:hAnsi="Baskerville"/>
          <w:color w:val="000000" w:themeColor="text1"/>
        </w:rPr>
        <w:t>they ought</w:t>
      </w:r>
      <w:r w:rsidRPr="00D952CF">
        <w:rPr>
          <w:rFonts w:ascii="Baskerville" w:hAnsi="Baskerville"/>
          <w:color w:val="000000" w:themeColor="text1"/>
        </w:rPr>
        <w:t xml:space="preserve">. </w:t>
      </w:r>
      <w:r w:rsidR="004F4BC1">
        <w:rPr>
          <w:rFonts w:ascii="Baskerville" w:hAnsi="Baskerville"/>
          <w:color w:val="000000" w:themeColor="text1"/>
        </w:rPr>
        <w:t xml:space="preserve">Banks </w:t>
      </w:r>
      <w:r w:rsidR="00B30036">
        <w:rPr>
          <w:rFonts w:ascii="Baskerville" w:hAnsi="Baskerville"/>
          <w:color w:val="000000" w:themeColor="text1"/>
        </w:rPr>
        <w:t>may be tempted</w:t>
      </w:r>
      <w:r w:rsidR="004F4BC1">
        <w:rPr>
          <w:rFonts w:ascii="Baskerville" w:hAnsi="Baskerville"/>
          <w:color w:val="000000" w:themeColor="text1"/>
        </w:rPr>
        <w:t xml:space="preserve"> to </w:t>
      </w:r>
      <w:r w:rsidRPr="00D952CF">
        <w:rPr>
          <w:rFonts w:ascii="Baskerville" w:hAnsi="Baskerville"/>
          <w:color w:val="000000" w:themeColor="text1"/>
        </w:rPr>
        <w:t>allow mistakes of wrongful inclusion</w:t>
      </w:r>
      <w:r w:rsidR="00B30036">
        <w:rPr>
          <w:rFonts w:ascii="Baskerville" w:hAnsi="Baskerville"/>
          <w:color w:val="000000" w:themeColor="text1"/>
        </w:rPr>
        <w:t xml:space="preserve"> for two reasons</w:t>
      </w:r>
      <w:r w:rsidRPr="00D952CF">
        <w:rPr>
          <w:rFonts w:ascii="Baskerville" w:hAnsi="Baskerville"/>
          <w:color w:val="000000" w:themeColor="text1"/>
        </w:rPr>
        <w:t>. First, borrower</w:t>
      </w:r>
      <w:r w:rsidR="00966BDB">
        <w:rPr>
          <w:rFonts w:ascii="Baskerville" w:hAnsi="Baskerville"/>
          <w:color w:val="000000" w:themeColor="text1"/>
        </w:rPr>
        <w:t>s in arrears</w:t>
      </w:r>
      <w:r w:rsidR="0008116E">
        <w:rPr>
          <w:rFonts w:ascii="Baskerville" w:hAnsi="Baskerville"/>
          <w:color w:val="000000" w:themeColor="text1"/>
        </w:rPr>
        <w:t xml:space="preserve"> </w:t>
      </w:r>
      <w:r w:rsidRPr="00D952CF">
        <w:rPr>
          <w:rFonts w:ascii="Baskerville" w:hAnsi="Baskerville"/>
          <w:color w:val="000000" w:themeColor="text1"/>
        </w:rPr>
        <w:t>ar</w:t>
      </w:r>
      <w:r w:rsidR="004F4BC1">
        <w:rPr>
          <w:rFonts w:ascii="Baskerville" w:hAnsi="Baskerville"/>
          <w:color w:val="000000" w:themeColor="text1"/>
        </w:rPr>
        <w:t xml:space="preserve">e the most profitable </w:t>
      </w:r>
      <w:r w:rsidR="004F4BC1">
        <w:rPr>
          <w:rFonts w:ascii="Baskerville" w:hAnsi="Baskerville"/>
          <w:color w:val="000000" w:themeColor="text1"/>
        </w:rPr>
        <w:lastRenderedPageBreak/>
        <w:t>customers</w:t>
      </w:r>
      <w:r w:rsidR="0008116E">
        <w:rPr>
          <w:rFonts w:ascii="Baskerville" w:hAnsi="Baskerville"/>
          <w:color w:val="000000" w:themeColor="text1"/>
        </w:rPr>
        <w:t xml:space="preserve">, as they pay hefty surcharges. </w:t>
      </w:r>
      <w:r w:rsidR="004F4BC1">
        <w:rPr>
          <w:rFonts w:ascii="Baskerville" w:hAnsi="Baskerville"/>
          <w:color w:val="000000" w:themeColor="text1"/>
        </w:rPr>
        <w:t>S</w:t>
      </w:r>
      <w:r w:rsidRPr="00D952CF">
        <w:rPr>
          <w:rFonts w:ascii="Baskerville" w:hAnsi="Baskerville"/>
          <w:color w:val="000000" w:themeColor="text1"/>
        </w:rPr>
        <w:t>econd</w:t>
      </w:r>
      <w:r w:rsidR="004F4BC1">
        <w:rPr>
          <w:rFonts w:ascii="Baskerville" w:hAnsi="Baskerville"/>
          <w:color w:val="000000" w:themeColor="text1"/>
        </w:rPr>
        <w:t>,</w:t>
      </w:r>
      <w:r w:rsidRPr="00D952CF">
        <w:rPr>
          <w:rFonts w:ascii="Baskerville" w:hAnsi="Baskerville"/>
          <w:color w:val="000000" w:themeColor="text1"/>
        </w:rPr>
        <w:t xml:space="preserve"> securiti</w:t>
      </w:r>
      <w:r w:rsidR="00CE7F39">
        <w:rPr>
          <w:rFonts w:ascii="Baskerville" w:hAnsi="Baskerville"/>
          <w:color w:val="000000" w:themeColor="text1"/>
        </w:rPr>
        <w:t>s</w:t>
      </w:r>
      <w:r w:rsidRPr="00D952CF">
        <w:rPr>
          <w:rFonts w:ascii="Baskerville" w:hAnsi="Baskerville"/>
          <w:color w:val="000000" w:themeColor="text1"/>
        </w:rPr>
        <w:t xml:space="preserve">ation and the too-big-to-fail </w:t>
      </w:r>
      <w:r w:rsidR="004F4BC1">
        <w:rPr>
          <w:rFonts w:ascii="Baskerville" w:hAnsi="Baskerville"/>
          <w:color w:val="000000" w:themeColor="text1"/>
        </w:rPr>
        <w:t xml:space="preserve">problem </w:t>
      </w:r>
      <w:r w:rsidRPr="00D952CF">
        <w:rPr>
          <w:rFonts w:ascii="Baskerville" w:hAnsi="Baskerville"/>
          <w:color w:val="000000" w:themeColor="text1"/>
        </w:rPr>
        <w:t xml:space="preserve">allow banks to pass on some of the costs of wrongful inclusion to other banks or society at large. Banks </w:t>
      </w:r>
      <w:r w:rsidR="006300F5">
        <w:rPr>
          <w:rFonts w:ascii="Baskerville" w:hAnsi="Baskerville"/>
          <w:color w:val="000000" w:themeColor="text1"/>
        </w:rPr>
        <w:t xml:space="preserve">are also tempted to </w:t>
      </w:r>
      <w:r w:rsidRPr="00D952CF">
        <w:rPr>
          <w:rFonts w:ascii="Baskerville" w:hAnsi="Baskerville"/>
          <w:color w:val="000000" w:themeColor="text1"/>
        </w:rPr>
        <w:t xml:space="preserve">allow for mistakes of wrongful exclusion. I draw on some basic portfolio theory to show that banks </w:t>
      </w:r>
      <w:r w:rsidR="000E3A6D" w:rsidRPr="00D952CF">
        <w:rPr>
          <w:rFonts w:ascii="Baskerville" w:hAnsi="Baskerville"/>
          <w:color w:val="000000" w:themeColor="text1"/>
        </w:rPr>
        <w:t xml:space="preserve">may fare best if they deny credit to a large group of applicants who they know to be almost entirely creditworthy, as long as they cannot identify the few that might not be. </w:t>
      </w:r>
    </w:p>
    <w:p w14:paraId="0FF26BBD" w14:textId="1014F121" w:rsidR="0057193D" w:rsidRPr="008A3A49" w:rsidRDefault="000E3A6D" w:rsidP="002244BE">
      <w:pPr>
        <w:spacing w:before="120" w:after="120" w:line="360" w:lineRule="auto"/>
        <w:rPr>
          <w:rFonts w:ascii="Baskerville" w:hAnsi="Baskerville"/>
          <w:color w:val="000000" w:themeColor="text1"/>
        </w:rPr>
      </w:pPr>
      <w:r w:rsidRPr="00D952CF">
        <w:rPr>
          <w:rFonts w:ascii="Baskerville" w:hAnsi="Baskerville"/>
          <w:color w:val="000000" w:themeColor="text1"/>
        </w:rPr>
        <w:t xml:space="preserve">In section 4, I </w:t>
      </w:r>
      <w:r w:rsidR="006300F5">
        <w:rPr>
          <w:rFonts w:ascii="Baskerville" w:hAnsi="Baskerville"/>
          <w:color w:val="000000" w:themeColor="text1"/>
        </w:rPr>
        <w:t>present a so</w:t>
      </w:r>
      <w:r w:rsidR="00A80DF5">
        <w:rPr>
          <w:rFonts w:ascii="Baskerville" w:hAnsi="Baskerville"/>
          <w:color w:val="000000" w:themeColor="text1"/>
        </w:rPr>
        <w:t>lution to the problem that bank</w:t>
      </w:r>
      <w:r w:rsidR="006300F5">
        <w:rPr>
          <w:rFonts w:ascii="Baskerville" w:hAnsi="Baskerville"/>
          <w:color w:val="000000" w:themeColor="text1"/>
        </w:rPr>
        <w:t>s</w:t>
      </w:r>
      <w:r w:rsidR="00A80DF5">
        <w:rPr>
          <w:rFonts w:ascii="Baskerville" w:hAnsi="Baskerville"/>
          <w:color w:val="000000" w:themeColor="text1"/>
        </w:rPr>
        <w:t>’</w:t>
      </w:r>
      <w:r w:rsidR="006300F5">
        <w:rPr>
          <w:rFonts w:ascii="Baskerville" w:hAnsi="Baskerville"/>
          <w:color w:val="000000" w:themeColor="text1"/>
        </w:rPr>
        <w:t xml:space="preserve"> social purpose and their self-interest are misaligned. I </w:t>
      </w:r>
      <w:r w:rsidRPr="00D952CF">
        <w:rPr>
          <w:rFonts w:ascii="Baskerville" w:hAnsi="Baskerville"/>
          <w:color w:val="000000" w:themeColor="text1"/>
        </w:rPr>
        <w:t xml:space="preserve">argue that financial regulation can </w:t>
      </w:r>
      <w:r w:rsidR="006300F5">
        <w:rPr>
          <w:rFonts w:ascii="Baskerville" w:hAnsi="Baskerville"/>
          <w:color w:val="000000" w:themeColor="text1"/>
        </w:rPr>
        <w:t>steer banks toward their social purpose</w:t>
      </w:r>
      <w:r w:rsidRPr="00D952CF">
        <w:rPr>
          <w:rFonts w:ascii="Baskerville" w:hAnsi="Baskerville"/>
          <w:color w:val="000000" w:themeColor="text1"/>
        </w:rPr>
        <w:t xml:space="preserve">. However, crafting regulation is not a merely technical exercise. Financial regulators face moral trade-offs, of two kinds. The first is due to the fact that minimizing mistakes of wrongful inclusion leads to </w:t>
      </w:r>
      <w:r w:rsidR="00A80DF5">
        <w:rPr>
          <w:rFonts w:ascii="Baskerville" w:hAnsi="Baskerville"/>
          <w:color w:val="000000" w:themeColor="text1"/>
        </w:rPr>
        <w:t xml:space="preserve">an increase in </w:t>
      </w:r>
      <w:r w:rsidRPr="00D952CF">
        <w:rPr>
          <w:rFonts w:ascii="Baskerville" w:hAnsi="Baskerville"/>
          <w:color w:val="000000" w:themeColor="text1"/>
        </w:rPr>
        <w:t>the number of mistakes of wrongful exclusion, and vice versa. Hence</w:t>
      </w:r>
      <w:r w:rsidR="00A80DF5">
        <w:rPr>
          <w:rFonts w:ascii="Baskerville" w:hAnsi="Baskerville"/>
          <w:color w:val="000000" w:themeColor="text1"/>
        </w:rPr>
        <w:t>,</w:t>
      </w:r>
      <w:r w:rsidRPr="00D952CF">
        <w:rPr>
          <w:rFonts w:ascii="Baskerville" w:hAnsi="Baskerville"/>
          <w:color w:val="000000" w:themeColor="text1"/>
        </w:rPr>
        <w:t xml:space="preserve"> regulators need to decide how to </w:t>
      </w:r>
      <w:r w:rsidR="006300F5">
        <w:rPr>
          <w:rFonts w:ascii="Baskerville" w:hAnsi="Baskerville"/>
          <w:color w:val="000000" w:themeColor="text1"/>
        </w:rPr>
        <w:t>balance</w:t>
      </w:r>
      <w:r w:rsidRPr="00D952CF">
        <w:rPr>
          <w:rFonts w:ascii="Baskerville" w:hAnsi="Baskerville"/>
          <w:color w:val="000000" w:themeColor="text1"/>
        </w:rPr>
        <w:t xml:space="preserve"> mistakes of wrongful inclusion and </w:t>
      </w:r>
      <w:r w:rsidR="0008116E">
        <w:rPr>
          <w:rFonts w:ascii="Baskerville" w:hAnsi="Baskerville"/>
          <w:color w:val="000000" w:themeColor="text1"/>
        </w:rPr>
        <w:t xml:space="preserve">mistakes of </w:t>
      </w:r>
      <w:r w:rsidRPr="00D952CF">
        <w:rPr>
          <w:rFonts w:ascii="Baskerville" w:hAnsi="Baskerville"/>
          <w:color w:val="000000" w:themeColor="text1"/>
        </w:rPr>
        <w:t xml:space="preserve">wrongful exclusion. </w:t>
      </w:r>
      <w:r w:rsidR="00DC5529" w:rsidRPr="00D952CF">
        <w:rPr>
          <w:rFonts w:ascii="Baskerville" w:hAnsi="Baskerville"/>
          <w:color w:val="000000" w:themeColor="text1"/>
        </w:rPr>
        <w:t xml:space="preserve">The second kind of trade-off concerns how to allocate the burdens of wrongful exclusion. For instance, regulators have several tools at their disposal to limit </w:t>
      </w:r>
      <w:r w:rsidR="006300F5">
        <w:rPr>
          <w:rFonts w:ascii="Baskerville" w:hAnsi="Baskerville"/>
          <w:color w:val="000000" w:themeColor="text1"/>
        </w:rPr>
        <w:t xml:space="preserve">the growth of </w:t>
      </w:r>
      <w:r w:rsidR="00DC5529" w:rsidRPr="00D952CF">
        <w:rPr>
          <w:rFonts w:ascii="Baskerville" w:hAnsi="Baskerville"/>
          <w:color w:val="000000" w:themeColor="text1"/>
        </w:rPr>
        <w:t xml:space="preserve">mortgage borrowing, each of which may be sufficient to avoid financial instability. </w:t>
      </w:r>
      <w:r w:rsidR="006300F5">
        <w:rPr>
          <w:rFonts w:ascii="Baskerville" w:hAnsi="Baskerville"/>
          <w:color w:val="000000" w:themeColor="text1"/>
        </w:rPr>
        <w:t xml:space="preserve">The </w:t>
      </w:r>
      <w:r w:rsidR="00DC5529" w:rsidRPr="00D952CF">
        <w:rPr>
          <w:rFonts w:ascii="Baskerville" w:hAnsi="Baskerville"/>
          <w:color w:val="000000" w:themeColor="text1"/>
        </w:rPr>
        <w:t>moral trade-off arises because depending on which tool regulators cho</w:t>
      </w:r>
      <w:r w:rsidR="00A41F37">
        <w:rPr>
          <w:rFonts w:ascii="Baskerville" w:hAnsi="Baskerville"/>
          <w:color w:val="000000" w:themeColor="text1"/>
        </w:rPr>
        <w:t>o</w:t>
      </w:r>
      <w:r w:rsidR="00DC5529" w:rsidRPr="00D952CF">
        <w:rPr>
          <w:rFonts w:ascii="Baskerville" w:hAnsi="Baskerville"/>
          <w:color w:val="000000" w:themeColor="text1"/>
        </w:rPr>
        <w:t xml:space="preserve">se, </w:t>
      </w:r>
      <w:r w:rsidR="00DC5529" w:rsidRPr="008A3A49">
        <w:rPr>
          <w:rFonts w:ascii="Baskerville" w:hAnsi="Baskerville"/>
          <w:color w:val="000000" w:themeColor="text1"/>
        </w:rPr>
        <w:t xml:space="preserve">different groups of people </w:t>
      </w:r>
      <w:r w:rsidR="006300F5" w:rsidRPr="008A3A49">
        <w:rPr>
          <w:rFonts w:ascii="Baskerville" w:hAnsi="Baskerville"/>
          <w:color w:val="000000" w:themeColor="text1"/>
        </w:rPr>
        <w:t>are</w:t>
      </w:r>
      <w:r w:rsidR="00DC5529" w:rsidRPr="008A3A49">
        <w:rPr>
          <w:rFonts w:ascii="Baskerville" w:hAnsi="Baskerville"/>
          <w:color w:val="000000" w:themeColor="text1"/>
        </w:rPr>
        <w:t xml:space="preserve"> excluded from credit. In effect, regulators decide who bears the burden of exclusion from credit on behalf of everyone’s interest in financial stability.   </w:t>
      </w:r>
    </w:p>
    <w:p w14:paraId="0B006864" w14:textId="218FFCEC" w:rsidR="00B95C3B" w:rsidRPr="008A3A49" w:rsidRDefault="00757740" w:rsidP="008A3A49">
      <w:pPr>
        <w:spacing w:before="120" w:after="120" w:line="360" w:lineRule="auto"/>
        <w:rPr>
          <w:rFonts w:ascii="Baskerville" w:hAnsi="Baskerville"/>
          <w:color w:val="000000" w:themeColor="text1"/>
        </w:rPr>
      </w:pPr>
      <w:r w:rsidRPr="00752E85">
        <w:rPr>
          <w:rFonts w:ascii="Baskerville" w:hAnsi="Baskerville"/>
          <w:color w:val="000000" w:themeColor="text1"/>
        </w:rPr>
        <w:t>In s</w:t>
      </w:r>
      <w:r w:rsidR="00DC5529" w:rsidRPr="00DA051F">
        <w:rPr>
          <w:rFonts w:ascii="Baskerville" w:hAnsi="Baskerville"/>
          <w:color w:val="000000" w:themeColor="text1"/>
        </w:rPr>
        <w:t>ection 5</w:t>
      </w:r>
      <w:r w:rsidRPr="008A3A49">
        <w:rPr>
          <w:rFonts w:ascii="Baskerville" w:hAnsi="Baskerville"/>
          <w:color w:val="000000" w:themeColor="text1"/>
        </w:rPr>
        <w:t>, I give</w:t>
      </w:r>
      <w:r w:rsidR="006300F5" w:rsidRPr="008A3A49">
        <w:rPr>
          <w:rFonts w:ascii="Baskerville" w:hAnsi="Baskerville"/>
          <w:color w:val="000000" w:themeColor="text1"/>
        </w:rPr>
        <w:t xml:space="preserve"> an </w:t>
      </w:r>
      <w:r w:rsidRPr="008A3A49">
        <w:rPr>
          <w:rFonts w:ascii="Baskerville" w:hAnsi="Baskerville"/>
          <w:color w:val="000000" w:themeColor="text1"/>
        </w:rPr>
        <w:t xml:space="preserve">example of this latter kind of regulatory trade-off. </w:t>
      </w:r>
      <w:r w:rsidR="00A41F37" w:rsidRPr="008A3A49">
        <w:rPr>
          <w:rFonts w:ascii="Baskerville" w:hAnsi="Baskerville"/>
          <w:color w:val="000000" w:themeColor="text1"/>
        </w:rPr>
        <w:t>In some circumstances, s</w:t>
      </w:r>
      <w:r w:rsidR="00511F4B" w:rsidRPr="008A3A49">
        <w:rPr>
          <w:rFonts w:ascii="Baskerville" w:hAnsi="Baskerville"/>
          <w:color w:val="000000" w:themeColor="text1"/>
        </w:rPr>
        <w:t>afeguarding financial stability</w:t>
      </w:r>
      <w:r w:rsidR="00A41F37" w:rsidRPr="008A3A49">
        <w:rPr>
          <w:rFonts w:ascii="Baskerville" w:hAnsi="Baskerville"/>
          <w:color w:val="000000" w:themeColor="text1"/>
        </w:rPr>
        <w:t xml:space="preserve"> </w:t>
      </w:r>
      <w:r w:rsidR="00511F4B" w:rsidRPr="008A3A49">
        <w:rPr>
          <w:rFonts w:ascii="Baskerville" w:hAnsi="Baskerville"/>
          <w:color w:val="000000" w:themeColor="text1"/>
        </w:rPr>
        <w:t>require</w:t>
      </w:r>
      <w:r w:rsidR="00A80DF5" w:rsidRPr="008A3A49">
        <w:rPr>
          <w:rFonts w:ascii="Baskerville" w:hAnsi="Baskerville"/>
          <w:color w:val="000000" w:themeColor="text1"/>
        </w:rPr>
        <w:t xml:space="preserve">s </w:t>
      </w:r>
      <w:r w:rsidR="00A41F37" w:rsidRPr="008A3A49">
        <w:rPr>
          <w:rFonts w:ascii="Baskerville" w:hAnsi="Baskerville"/>
          <w:color w:val="000000" w:themeColor="text1"/>
        </w:rPr>
        <w:t>slowing</w:t>
      </w:r>
      <w:r w:rsidR="00511F4B" w:rsidRPr="008A3A49">
        <w:rPr>
          <w:rFonts w:ascii="Baskerville" w:hAnsi="Baskerville"/>
          <w:color w:val="000000" w:themeColor="text1"/>
        </w:rPr>
        <w:t xml:space="preserve"> down the growth of mortgage credit. </w:t>
      </w:r>
      <w:r w:rsidR="00A80DF5" w:rsidRPr="008A3A49">
        <w:rPr>
          <w:rFonts w:ascii="Baskerville" w:hAnsi="Baskerville"/>
          <w:color w:val="000000" w:themeColor="text1"/>
        </w:rPr>
        <w:t xml:space="preserve">Financial regulators have so-called macro-prudential tools at their disposal to </w:t>
      </w:r>
      <w:r w:rsidR="009B79A9" w:rsidRPr="008A3A49">
        <w:rPr>
          <w:rFonts w:ascii="Baskerville" w:hAnsi="Baskerville"/>
          <w:color w:val="000000" w:themeColor="text1"/>
        </w:rPr>
        <w:t>steer the growth of mortgage credit</w:t>
      </w:r>
      <w:r w:rsidR="00A41F37" w:rsidRPr="008A3A49">
        <w:rPr>
          <w:rFonts w:ascii="Baskerville" w:hAnsi="Baskerville"/>
          <w:color w:val="000000" w:themeColor="text1"/>
        </w:rPr>
        <w:t>.</w:t>
      </w:r>
      <w:r w:rsidR="009B79A9" w:rsidRPr="008A3A49">
        <w:rPr>
          <w:rFonts w:ascii="Baskerville" w:hAnsi="Baskerville"/>
          <w:color w:val="000000" w:themeColor="text1"/>
        </w:rPr>
        <w:t xml:space="preserve"> </w:t>
      </w:r>
      <w:r w:rsidR="00511F4B" w:rsidRPr="008A3A49">
        <w:rPr>
          <w:rFonts w:ascii="Baskerville" w:hAnsi="Baskerville"/>
          <w:color w:val="000000" w:themeColor="text1"/>
        </w:rPr>
        <w:t xml:space="preserve">I show that which kind of macro-prudential policy regulators adopt </w:t>
      </w:r>
      <w:r w:rsidR="009B79A9" w:rsidRPr="008A3A49">
        <w:rPr>
          <w:rFonts w:ascii="Baskerville" w:hAnsi="Baskerville"/>
          <w:color w:val="000000" w:themeColor="text1"/>
        </w:rPr>
        <w:t>has distributive consequences by determining who is foreseeably wrongfully excluded from credit</w:t>
      </w:r>
      <w:r w:rsidR="00511F4B" w:rsidRPr="008A3A49">
        <w:rPr>
          <w:rFonts w:ascii="Baskerville" w:hAnsi="Baskerville"/>
          <w:color w:val="000000" w:themeColor="text1"/>
        </w:rPr>
        <w:t xml:space="preserve">. </w:t>
      </w:r>
    </w:p>
    <w:p w14:paraId="6AC17820" w14:textId="67124AA8" w:rsidR="007F6AD1" w:rsidRPr="00D952CF" w:rsidRDefault="00682803" w:rsidP="002244BE">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1</w:t>
      </w:r>
      <w:r w:rsidR="00B95C3B" w:rsidRPr="00D952CF">
        <w:rPr>
          <w:rFonts w:ascii="Baskerville" w:hAnsi="Baskerville"/>
          <w:color w:val="000000" w:themeColor="text1"/>
        </w:rPr>
        <w:t xml:space="preserve"> </w:t>
      </w:r>
      <w:r w:rsidR="007F6AD1" w:rsidRPr="00D952CF">
        <w:rPr>
          <w:rFonts w:ascii="Baskerville" w:hAnsi="Baskerville"/>
          <w:color w:val="000000" w:themeColor="text1"/>
        </w:rPr>
        <w:t xml:space="preserve">The </w:t>
      </w:r>
      <w:r w:rsidR="000B6315" w:rsidRPr="00D952CF">
        <w:rPr>
          <w:rFonts w:ascii="Baskerville" w:hAnsi="Baskerville"/>
          <w:color w:val="000000" w:themeColor="text1"/>
        </w:rPr>
        <w:t xml:space="preserve">magnitude of mistakes of </w:t>
      </w:r>
      <w:r w:rsidR="007F6AD1" w:rsidRPr="00D952CF">
        <w:rPr>
          <w:rFonts w:ascii="Baskerville" w:hAnsi="Baskerville"/>
          <w:color w:val="000000" w:themeColor="text1"/>
        </w:rPr>
        <w:t>wrongful inclusion and exclusion</w:t>
      </w:r>
    </w:p>
    <w:p w14:paraId="1FD9120A" w14:textId="0FC99CAE" w:rsidR="004A2A98" w:rsidRDefault="0086308A" w:rsidP="00FE03C0">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M</w:t>
      </w:r>
      <w:r w:rsidR="00AE357E" w:rsidRPr="00D952CF">
        <w:rPr>
          <w:rFonts w:ascii="Baskerville" w:hAnsi="Baskerville" w:cs="Baskerville"/>
          <w:color w:val="000000" w:themeColor="text1"/>
          <w:sz w:val="24"/>
          <w:szCs w:val="24"/>
        </w:rPr>
        <w:t xml:space="preserve">istakes of wrongful inclusion and wrongful </w:t>
      </w:r>
      <w:r w:rsidR="006300F5">
        <w:rPr>
          <w:rFonts w:ascii="Baskerville" w:hAnsi="Baskerville" w:cs="Baskerville"/>
          <w:color w:val="000000" w:themeColor="text1"/>
          <w:sz w:val="24"/>
          <w:szCs w:val="24"/>
        </w:rPr>
        <w:t xml:space="preserve">exclusion </w:t>
      </w:r>
      <w:r>
        <w:rPr>
          <w:rFonts w:ascii="Baskerville" w:hAnsi="Baskerville" w:cs="Baskerville"/>
          <w:color w:val="000000" w:themeColor="text1"/>
          <w:sz w:val="24"/>
          <w:szCs w:val="24"/>
        </w:rPr>
        <w:t>are more common than one might think.</w:t>
      </w:r>
      <w:r w:rsidR="00AE357E" w:rsidRPr="00D952CF">
        <w:rPr>
          <w:rFonts w:ascii="Baskerville" w:hAnsi="Baskerville" w:cs="Baskerville"/>
          <w:color w:val="000000" w:themeColor="text1"/>
          <w:sz w:val="24"/>
          <w:szCs w:val="24"/>
        </w:rPr>
        <w:t xml:space="preserve"> Very roughly, 5%-10% of consumer credit granted in developed countries like the US </w:t>
      </w:r>
      <w:r>
        <w:rPr>
          <w:rFonts w:ascii="Baskerville" w:hAnsi="Baskerville" w:cs="Baskerville"/>
          <w:color w:val="000000" w:themeColor="text1"/>
          <w:sz w:val="24"/>
          <w:szCs w:val="24"/>
        </w:rPr>
        <w:t>will either not be repaid at all, or</w:t>
      </w:r>
      <w:r w:rsidR="00A41F37">
        <w:rPr>
          <w:rFonts w:ascii="Baskerville" w:hAnsi="Baskerville" w:cs="Baskerville"/>
          <w:color w:val="000000" w:themeColor="text1"/>
          <w:sz w:val="24"/>
          <w:szCs w:val="24"/>
        </w:rPr>
        <w:t xml:space="preserve"> will</w:t>
      </w:r>
      <w:r>
        <w:rPr>
          <w:rFonts w:ascii="Baskerville" w:hAnsi="Baskerville" w:cs="Baskerville"/>
          <w:color w:val="000000" w:themeColor="text1"/>
          <w:sz w:val="24"/>
          <w:szCs w:val="24"/>
        </w:rPr>
        <w:t xml:space="preserve"> only </w:t>
      </w:r>
      <w:r w:rsidR="009B79A9">
        <w:rPr>
          <w:rFonts w:ascii="Baskerville" w:hAnsi="Baskerville" w:cs="Baskerville"/>
          <w:color w:val="000000" w:themeColor="text1"/>
          <w:sz w:val="24"/>
          <w:szCs w:val="24"/>
        </w:rPr>
        <w:t xml:space="preserve">be repaid </w:t>
      </w:r>
      <w:r>
        <w:rPr>
          <w:rFonts w:ascii="Baskerville" w:hAnsi="Baskerville" w:cs="Baskerville"/>
          <w:color w:val="000000" w:themeColor="text1"/>
          <w:sz w:val="24"/>
          <w:szCs w:val="24"/>
        </w:rPr>
        <w:t>afte</w:t>
      </w:r>
      <w:r>
        <w:rPr>
          <w:rFonts w:ascii="Baskerville" w:hAnsi="Baskerville" w:cs="Baskerville"/>
          <w:color w:val="000000" w:themeColor="text1"/>
          <w:sz w:val="24"/>
          <w:szCs w:val="24"/>
        </w:rPr>
        <w:t>r</w:t>
      </w:r>
      <w:r w:rsidR="009B79A9">
        <w:rPr>
          <w:rFonts w:ascii="Baskerville" w:hAnsi="Baskerville" w:cs="Baskerville"/>
          <w:color w:val="000000" w:themeColor="text1"/>
          <w:sz w:val="24"/>
          <w:szCs w:val="24"/>
        </w:rPr>
        <w:t xml:space="preserve"> missed payments from </w:t>
      </w:r>
      <w:r>
        <w:rPr>
          <w:rFonts w:ascii="Baskerville" w:hAnsi="Baskerville" w:cs="Baskerville"/>
          <w:color w:val="000000" w:themeColor="text1"/>
          <w:sz w:val="24"/>
          <w:szCs w:val="24"/>
        </w:rPr>
        <w:t>borrowers</w:t>
      </w:r>
      <w:r w:rsidR="00F876B8">
        <w:rPr>
          <w:rFonts w:ascii="Baskerville" w:hAnsi="Baskerville" w:cs="Baskerville"/>
          <w:color w:val="000000" w:themeColor="text1"/>
          <w:sz w:val="24"/>
          <w:szCs w:val="24"/>
        </w:rPr>
        <w:t>, an indication that households experience financial stress</w:t>
      </w:r>
      <w:r w:rsidR="00AE357E"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L</w:t>
      </w:r>
      <w:r w:rsidR="00AE357E" w:rsidRPr="00D952CF">
        <w:rPr>
          <w:rFonts w:ascii="Baskerville" w:hAnsi="Baskerville" w:cs="Baskerville"/>
          <w:color w:val="000000" w:themeColor="text1"/>
          <w:sz w:val="24"/>
          <w:szCs w:val="24"/>
        </w:rPr>
        <w:t xml:space="preserve">arge differences </w:t>
      </w:r>
      <w:r>
        <w:rPr>
          <w:rFonts w:ascii="Baskerville" w:hAnsi="Baskerville" w:cs="Baskerville"/>
          <w:color w:val="000000" w:themeColor="text1"/>
          <w:sz w:val="24"/>
          <w:szCs w:val="24"/>
        </w:rPr>
        <w:t xml:space="preserve">in default rates emerge </w:t>
      </w:r>
      <w:r w:rsidR="00AE357E" w:rsidRPr="00D952CF">
        <w:rPr>
          <w:rFonts w:ascii="Baskerville" w:hAnsi="Baskerville" w:cs="Baskerville"/>
          <w:color w:val="000000" w:themeColor="text1"/>
          <w:sz w:val="24"/>
          <w:szCs w:val="24"/>
        </w:rPr>
        <w:t>between types of credit</w:t>
      </w:r>
      <w:r>
        <w:rPr>
          <w:rFonts w:ascii="Baskerville" w:hAnsi="Baskerville" w:cs="Baskerville"/>
          <w:color w:val="000000" w:themeColor="text1"/>
          <w:sz w:val="24"/>
          <w:szCs w:val="24"/>
        </w:rPr>
        <w:t xml:space="preserve"> and </w:t>
      </w:r>
      <w:r w:rsidR="00AE357E" w:rsidRPr="00D952CF">
        <w:rPr>
          <w:rFonts w:ascii="Baskerville" w:hAnsi="Baskerville" w:cs="Baskerville"/>
          <w:color w:val="000000" w:themeColor="text1"/>
          <w:sz w:val="24"/>
          <w:szCs w:val="24"/>
        </w:rPr>
        <w:t xml:space="preserve">over time. Consider the </w:t>
      </w:r>
      <w:r w:rsidR="004A2A98" w:rsidRPr="00D952CF">
        <w:rPr>
          <w:rFonts w:ascii="Baskerville" w:hAnsi="Baskerville" w:cs="Baskerville"/>
          <w:color w:val="000000" w:themeColor="text1"/>
          <w:sz w:val="24"/>
          <w:szCs w:val="24"/>
        </w:rPr>
        <w:t xml:space="preserve">quarterly </w:t>
      </w:r>
      <w:r w:rsidR="00AE357E" w:rsidRPr="00D952CF">
        <w:rPr>
          <w:rFonts w:ascii="Baskerville" w:hAnsi="Baskerville" w:cs="Baskerville"/>
          <w:color w:val="000000" w:themeColor="text1"/>
          <w:sz w:val="24"/>
          <w:szCs w:val="24"/>
        </w:rPr>
        <w:t xml:space="preserve">charge-off rate </w:t>
      </w:r>
      <w:r w:rsidR="003C36C2" w:rsidRPr="00D952CF">
        <w:rPr>
          <w:rFonts w:ascii="Baskerville" w:hAnsi="Baskerville" w:cs="Baskerville"/>
          <w:color w:val="000000" w:themeColor="text1"/>
          <w:sz w:val="24"/>
          <w:szCs w:val="24"/>
        </w:rPr>
        <w:t>on residential</w:t>
      </w:r>
      <w:r w:rsidR="00AE357E" w:rsidRPr="00D952CF">
        <w:rPr>
          <w:rFonts w:ascii="Baskerville" w:hAnsi="Baskerville" w:cs="Baskerville"/>
          <w:color w:val="000000" w:themeColor="text1"/>
          <w:sz w:val="24"/>
          <w:szCs w:val="24"/>
        </w:rPr>
        <w:t xml:space="preserve"> mortgage loans. The charge-off rate </w:t>
      </w:r>
      <w:r w:rsidR="004A2A98" w:rsidRPr="00D952CF">
        <w:rPr>
          <w:rFonts w:ascii="Baskerville" w:hAnsi="Baskerville" w:cs="Baskerville"/>
          <w:color w:val="000000" w:themeColor="text1"/>
          <w:sz w:val="24"/>
          <w:szCs w:val="24"/>
        </w:rPr>
        <w:t xml:space="preserve">concerns the proportion of </w:t>
      </w:r>
      <w:r w:rsidR="0008116E">
        <w:rPr>
          <w:rFonts w:ascii="Baskerville" w:hAnsi="Baskerville" w:cs="Baskerville"/>
          <w:color w:val="000000" w:themeColor="text1"/>
          <w:sz w:val="24"/>
          <w:szCs w:val="24"/>
        </w:rPr>
        <w:t xml:space="preserve">a </w:t>
      </w:r>
      <w:r w:rsidR="004A2A98" w:rsidRPr="00D952CF">
        <w:rPr>
          <w:rFonts w:ascii="Baskerville" w:hAnsi="Baskerville" w:cs="Baskerville"/>
          <w:color w:val="000000" w:themeColor="text1"/>
          <w:sz w:val="24"/>
          <w:szCs w:val="24"/>
        </w:rPr>
        <w:t xml:space="preserve">bank’s loan </w:t>
      </w:r>
      <w:r w:rsidR="004A2A98" w:rsidRPr="00D952CF">
        <w:rPr>
          <w:rFonts w:ascii="Baskerville" w:hAnsi="Baskerville" w:cs="Baskerville"/>
          <w:color w:val="000000" w:themeColor="text1"/>
          <w:sz w:val="24"/>
          <w:szCs w:val="24"/>
        </w:rPr>
        <w:lastRenderedPageBreak/>
        <w:t xml:space="preserve">portfolio </w:t>
      </w:r>
      <w:r w:rsidR="003C36C2" w:rsidRPr="00D952CF">
        <w:rPr>
          <w:rFonts w:ascii="Baskerville" w:hAnsi="Baskerville" w:cs="Baskerville"/>
          <w:color w:val="000000" w:themeColor="text1"/>
          <w:sz w:val="24"/>
          <w:szCs w:val="24"/>
        </w:rPr>
        <w:t>that is “written off”</w:t>
      </w:r>
      <w:r w:rsidR="004A2A98" w:rsidRPr="00D952CF">
        <w:rPr>
          <w:rFonts w:ascii="Baskerville" w:hAnsi="Baskerville" w:cs="Baskerville"/>
          <w:color w:val="000000" w:themeColor="text1"/>
          <w:sz w:val="24"/>
          <w:szCs w:val="24"/>
        </w:rPr>
        <w:t xml:space="preserve"> in a given quarter.</w:t>
      </w:r>
      <w:r w:rsidR="003C36C2" w:rsidRPr="00E93D72">
        <w:rPr>
          <w:rStyle w:val="FootnoteReference"/>
        </w:rPr>
        <w:footnoteReference w:id="5"/>
      </w:r>
      <w:r w:rsidR="004A2A98" w:rsidRPr="00D952CF">
        <w:rPr>
          <w:rFonts w:ascii="Baskerville" w:hAnsi="Baskerville" w:cs="Baskerville"/>
          <w:color w:val="000000" w:themeColor="text1"/>
          <w:sz w:val="24"/>
          <w:szCs w:val="24"/>
        </w:rPr>
        <w:t xml:space="preserve"> As figure A shows, </w:t>
      </w:r>
      <w:r w:rsidR="005525A0">
        <w:rPr>
          <w:rFonts w:ascii="Baskerville" w:hAnsi="Baskerville" w:cs="Baskerville"/>
          <w:color w:val="000000" w:themeColor="text1"/>
          <w:sz w:val="24"/>
          <w:szCs w:val="24"/>
        </w:rPr>
        <w:t>at</w:t>
      </w:r>
      <w:r w:rsidR="00FE03C0" w:rsidRPr="00D952CF">
        <w:rPr>
          <w:rFonts w:ascii="Baskerville" w:hAnsi="Baskerville" w:cs="Baskerville"/>
          <w:color w:val="000000" w:themeColor="text1"/>
          <w:sz w:val="24"/>
          <w:szCs w:val="24"/>
        </w:rPr>
        <w:t xml:space="preserve"> </w:t>
      </w:r>
      <w:r w:rsidR="004A2A98" w:rsidRPr="00D952CF">
        <w:rPr>
          <w:rFonts w:ascii="Baskerville" w:hAnsi="Baskerville" w:cs="Baskerville"/>
          <w:color w:val="000000" w:themeColor="text1"/>
          <w:sz w:val="24"/>
          <w:szCs w:val="24"/>
        </w:rPr>
        <w:t xml:space="preserve">the height of the recent global financial crisis, US banks wrote off as much as 2.7% of their </w:t>
      </w:r>
      <w:r w:rsidR="003C36C2" w:rsidRPr="00D952CF">
        <w:rPr>
          <w:rFonts w:ascii="Baskerville" w:hAnsi="Baskerville" w:cs="Baskerville"/>
          <w:color w:val="000000" w:themeColor="text1"/>
          <w:sz w:val="24"/>
          <w:szCs w:val="24"/>
        </w:rPr>
        <w:t>residential mortgage</w:t>
      </w:r>
      <w:r w:rsidR="004A2A98" w:rsidRPr="00D952CF">
        <w:rPr>
          <w:rFonts w:ascii="Baskerville" w:hAnsi="Baskerville" w:cs="Baskerville"/>
          <w:color w:val="000000" w:themeColor="text1"/>
          <w:sz w:val="24"/>
          <w:szCs w:val="24"/>
        </w:rPr>
        <w:t xml:space="preserve"> portfolio</w:t>
      </w:r>
      <w:r w:rsidR="00A41F37">
        <w:rPr>
          <w:rFonts w:ascii="Baskerville" w:hAnsi="Baskerville" w:cs="Baskerville"/>
          <w:color w:val="000000" w:themeColor="text1"/>
          <w:sz w:val="24"/>
          <w:szCs w:val="24"/>
        </w:rPr>
        <w:t>s</w:t>
      </w:r>
      <w:r w:rsidR="004A2A98" w:rsidRPr="00D952CF">
        <w:rPr>
          <w:rFonts w:ascii="Baskerville" w:hAnsi="Baskerville" w:cs="Baskerville"/>
          <w:color w:val="000000" w:themeColor="text1"/>
          <w:sz w:val="24"/>
          <w:szCs w:val="24"/>
        </w:rPr>
        <w:t xml:space="preserve"> in a single quarter.</w:t>
      </w:r>
      <w:r w:rsidR="00AE357E" w:rsidRPr="00D952CF">
        <w:rPr>
          <w:rFonts w:ascii="Baskerville" w:hAnsi="Baskerville" w:cs="Baskerville"/>
          <w:color w:val="000000" w:themeColor="text1"/>
          <w:sz w:val="24"/>
          <w:szCs w:val="24"/>
        </w:rPr>
        <w:t xml:space="preserve"> </w:t>
      </w:r>
      <w:r w:rsidR="004A2A98" w:rsidRPr="00D952CF">
        <w:rPr>
          <w:rFonts w:ascii="Baskerville" w:hAnsi="Baskerville" w:cs="Baskerville"/>
          <w:color w:val="000000" w:themeColor="text1"/>
          <w:sz w:val="24"/>
          <w:szCs w:val="24"/>
        </w:rPr>
        <w:t xml:space="preserve">In </w:t>
      </w:r>
      <w:r w:rsidR="003C36C2" w:rsidRPr="00D952CF">
        <w:rPr>
          <w:rFonts w:ascii="Baskerville" w:hAnsi="Baskerville" w:cs="Baskerville"/>
          <w:color w:val="000000" w:themeColor="text1"/>
          <w:sz w:val="24"/>
          <w:szCs w:val="24"/>
        </w:rPr>
        <w:t>2016</w:t>
      </w:r>
      <w:r w:rsidR="004A2A98" w:rsidRPr="00D952CF">
        <w:rPr>
          <w:rFonts w:ascii="Baskerville" w:hAnsi="Baskerville" w:cs="Baskerville"/>
          <w:color w:val="000000" w:themeColor="text1"/>
          <w:sz w:val="24"/>
          <w:szCs w:val="24"/>
        </w:rPr>
        <w:t xml:space="preserve">, this figure had </w:t>
      </w:r>
      <w:r w:rsidR="006757DE">
        <w:rPr>
          <w:rFonts w:ascii="Baskerville" w:hAnsi="Baskerville" w:cs="Baskerville"/>
          <w:color w:val="000000" w:themeColor="text1"/>
          <w:sz w:val="24"/>
          <w:szCs w:val="24"/>
        </w:rPr>
        <w:t>fallen</w:t>
      </w:r>
      <w:r w:rsidR="004A2A98" w:rsidRPr="00D952CF">
        <w:rPr>
          <w:rFonts w:ascii="Baskerville" w:hAnsi="Baskerville" w:cs="Baskerville"/>
          <w:color w:val="000000" w:themeColor="text1"/>
          <w:sz w:val="24"/>
          <w:szCs w:val="24"/>
        </w:rPr>
        <w:t xml:space="preserve"> to</w:t>
      </w:r>
      <w:r w:rsidR="006300F5">
        <w:rPr>
          <w:rFonts w:ascii="Baskerville" w:hAnsi="Baskerville" w:cs="Baskerville"/>
          <w:color w:val="000000" w:themeColor="text1"/>
          <w:sz w:val="24"/>
          <w:szCs w:val="24"/>
        </w:rPr>
        <w:t xml:space="preserve"> </w:t>
      </w:r>
      <w:r w:rsidR="006757DE">
        <w:rPr>
          <w:rFonts w:ascii="Baskerville" w:hAnsi="Baskerville" w:cs="Baskerville"/>
          <w:color w:val="000000" w:themeColor="text1"/>
          <w:sz w:val="24"/>
          <w:szCs w:val="24"/>
        </w:rPr>
        <w:t xml:space="preserve">a more savoury </w:t>
      </w:r>
      <w:r w:rsidR="004A2A98" w:rsidRPr="00D952CF">
        <w:rPr>
          <w:rFonts w:ascii="Baskerville" w:hAnsi="Baskerville" w:cs="Baskerville"/>
          <w:color w:val="000000" w:themeColor="text1"/>
          <w:sz w:val="24"/>
          <w:szCs w:val="24"/>
        </w:rPr>
        <w:t>0.1%</w:t>
      </w:r>
      <w:r w:rsidR="000C473D" w:rsidRPr="00D952CF">
        <w:rPr>
          <w:rFonts w:ascii="Baskerville" w:hAnsi="Baskerville" w:cs="Baskerville"/>
          <w:color w:val="000000" w:themeColor="text1"/>
          <w:sz w:val="24"/>
          <w:szCs w:val="24"/>
        </w:rPr>
        <w:t xml:space="preserve"> per quarter</w:t>
      </w:r>
      <w:r w:rsidR="004A2A98" w:rsidRPr="00D952CF">
        <w:rPr>
          <w:rFonts w:ascii="Baskerville" w:hAnsi="Baskerville" w:cs="Baskerville"/>
          <w:color w:val="000000" w:themeColor="text1"/>
          <w:sz w:val="24"/>
          <w:szCs w:val="24"/>
        </w:rPr>
        <w:t xml:space="preserve">. </w:t>
      </w:r>
      <w:r w:rsidR="006757DE">
        <w:rPr>
          <w:rFonts w:ascii="Baskerville" w:hAnsi="Baskerville" w:cs="Baskerville"/>
          <w:color w:val="000000" w:themeColor="text1"/>
          <w:sz w:val="24"/>
          <w:szCs w:val="24"/>
        </w:rPr>
        <w:t>For c</w:t>
      </w:r>
      <w:r w:rsidR="004A2A98" w:rsidRPr="00D952CF">
        <w:rPr>
          <w:rFonts w:ascii="Baskerville" w:hAnsi="Baskerville" w:cs="Baskerville"/>
          <w:color w:val="000000" w:themeColor="text1"/>
          <w:sz w:val="24"/>
          <w:szCs w:val="24"/>
        </w:rPr>
        <w:t>onsumer credit</w:t>
      </w:r>
      <w:r w:rsidR="003C36C2" w:rsidRPr="00D952CF">
        <w:rPr>
          <w:rFonts w:ascii="Baskerville" w:hAnsi="Baskerville" w:cs="Baskerville"/>
          <w:color w:val="000000" w:themeColor="text1"/>
          <w:sz w:val="24"/>
          <w:szCs w:val="24"/>
        </w:rPr>
        <w:t xml:space="preserve"> </w:t>
      </w:r>
      <w:r w:rsidR="006757DE">
        <w:rPr>
          <w:rFonts w:ascii="Baskerville" w:hAnsi="Baskerville" w:cs="Baskerville"/>
          <w:color w:val="000000" w:themeColor="text1"/>
          <w:sz w:val="24"/>
          <w:szCs w:val="24"/>
        </w:rPr>
        <w:t>excluding</w:t>
      </w:r>
      <w:r w:rsidR="003C36C2" w:rsidRPr="00D952CF">
        <w:rPr>
          <w:rFonts w:ascii="Baskerville" w:hAnsi="Baskerville" w:cs="Baskerville"/>
          <w:color w:val="000000" w:themeColor="text1"/>
          <w:sz w:val="24"/>
          <w:szCs w:val="24"/>
        </w:rPr>
        <w:t xml:space="preserve"> mortgages</w:t>
      </w:r>
      <w:r w:rsidR="004A2A98" w:rsidRPr="00D952CF">
        <w:rPr>
          <w:rFonts w:ascii="Baskerville" w:hAnsi="Baskerville" w:cs="Baskerville"/>
          <w:color w:val="000000" w:themeColor="text1"/>
          <w:sz w:val="24"/>
          <w:szCs w:val="24"/>
        </w:rPr>
        <w:t xml:space="preserve">, </w:t>
      </w:r>
      <w:r w:rsidR="006757DE">
        <w:rPr>
          <w:rFonts w:ascii="Baskerville" w:hAnsi="Baskerville" w:cs="Baskerville"/>
          <w:color w:val="000000" w:themeColor="text1"/>
          <w:sz w:val="24"/>
          <w:szCs w:val="24"/>
        </w:rPr>
        <w:t>such as</w:t>
      </w:r>
      <w:r w:rsidR="004A2A98" w:rsidRPr="00D952CF">
        <w:rPr>
          <w:rFonts w:ascii="Baskerville" w:hAnsi="Baskerville" w:cs="Baskerville"/>
          <w:color w:val="000000" w:themeColor="text1"/>
          <w:sz w:val="24"/>
          <w:szCs w:val="24"/>
        </w:rPr>
        <w:t xml:space="preserve"> credit card debt, car loans, and student loans, charge-off rates increase</w:t>
      </w:r>
      <w:r w:rsidR="006757DE">
        <w:rPr>
          <w:rFonts w:ascii="Baskerville" w:hAnsi="Baskerville" w:cs="Baskerville"/>
          <w:color w:val="000000" w:themeColor="text1"/>
          <w:sz w:val="24"/>
          <w:szCs w:val="24"/>
        </w:rPr>
        <w:t>d</w:t>
      </w:r>
      <w:r w:rsidR="004A2A98" w:rsidRPr="00D952CF">
        <w:rPr>
          <w:rFonts w:ascii="Baskerville" w:hAnsi="Baskerville" w:cs="Baskerville"/>
          <w:color w:val="000000" w:themeColor="text1"/>
          <w:sz w:val="24"/>
          <w:szCs w:val="24"/>
        </w:rPr>
        <w:t xml:space="preserve"> to 6</w:t>
      </w:r>
      <w:r w:rsidR="003C36C2" w:rsidRPr="00D952CF">
        <w:rPr>
          <w:rFonts w:ascii="Baskerville" w:hAnsi="Baskerville" w:cs="Baskerville"/>
          <w:color w:val="000000" w:themeColor="text1"/>
          <w:sz w:val="24"/>
          <w:szCs w:val="24"/>
        </w:rPr>
        <w:t>.6</w:t>
      </w:r>
      <w:r w:rsidR="004A2A98" w:rsidRPr="00D952CF">
        <w:rPr>
          <w:rFonts w:ascii="Baskerville" w:hAnsi="Baskerville" w:cs="Baskerville"/>
          <w:color w:val="000000" w:themeColor="text1"/>
          <w:sz w:val="24"/>
          <w:szCs w:val="24"/>
        </w:rPr>
        <w:t xml:space="preserve">% in </w:t>
      </w:r>
      <w:r w:rsidR="003C36C2" w:rsidRPr="00D952CF">
        <w:rPr>
          <w:rFonts w:ascii="Baskerville" w:hAnsi="Baskerville" w:cs="Baskerville"/>
          <w:color w:val="000000" w:themeColor="text1"/>
          <w:sz w:val="24"/>
          <w:szCs w:val="24"/>
        </w:rPr>
        <w:t>the worst quarter</w:t>
      </w:r>
      <w:r w:rsidR="004A2A98" w:rsidRPr="00D952CF">
        <w:rPr>
          <w:rFonts w:ascii="Baskerville" w:hAnsi="Baskerville" w:cs="Baskerville"/>
          <w:color w:val="000000" w:themeColor="text1"/>
          <w:sz w:val="24"/>
          <w:szCs w:val="24"/>
        </w:rPr>
        <w:t xml:space="preserve"> </w:t>
      </w:r>
      <w:r w:rsidR="00280363">
        <w:rPr>
          <w:rFonts w:ascii="Baskerville" w:hAnsi="Baskerville" w:cs="Baskerville"/>
          <w:color w:val="000000" w:themeColor="text1"/>
          <w:sz w:val="24"/>
          <w:szCs w:val="24"/>
        </w:rPr>
        <w:t>of</w:t>
      </w:r>
      <w:r w:rsidR="00280363" w:rsidRPr="00D952CF">
        <w:rPr>
          <w:rFonts w:ascii="Baskerville" w:hAnsi="Baskerville" w:cs="Baskerville"/>
          <w:color w:val="000000" w:themeColor="text1"/>
          <w:sz w:val="24"/>
          <w:szCs w:val="24"/>
        </w:rPr>
        <w:t xml:space="preserve"> </w:t>
      </w:r>
      <w:r w:rsidR="003C36C2" w:rsidRPr="00D952CF">
        <w:rPr>
          <w:rFonts w:ascii="Baskerville" w:hAnsi="Baskerville" w:cs="Baskerville"/>
          <w:color w:val="000000" w:themeColor="text1"/>
          <w:sz w:val="24"/>
          <w:szCs w:val="24"/>
        </w:rPr>
        <w:t>the crisis</w:t>
      </w:r>
      <w:r w:rsidR="00970CEC" w:rsidRPr="00D952CF">
        <w:rPr>
          <w:rFonts w:ascii="Baskerville" w:hAnsi="Baskerville" w:cs="Baskerville"/>
          <w:color w:val="000000" w:themeColor="text1"/>
          <w:sz w:val="24"/>
          <w:szCs w:val="24"/>
        </w:rPr>
        <w:t>.</w:t>
      </w:r>
      <w:r w:rsidR="004A2A98" w:rsidRPr="00D952CF">
        <w:rPr>
          <w:rFonts w:ascii="Baskerville" w:hAnsi="Baskerville" w:cs="Baskerville"/>
          <w:color w:val="000000" w:themeColor="text1"/>
          <w:sz w:val="24"/>
          <w:szCs w:val="24"/>
        </w:rPr>
        <w:t xml:space="preserve"> </w:t>
      </w:r>
      <w:r w:rsidR="00970CEC" w:rsidRPr="00D952CF">
        <w:rPr>
          <w:rFonts w:ascii="Baskerville" w:hAnsi="Baskerville" w:cs="Baskerville"/>
          <w:color w:val="000000" w:themeColor="text1"/>
          <w:sz w:val="24"/>
          <w:szCs w:val="24"/>
        </w:rPr>
        <w:t xml:space="preserve">Similar to mortgage credit, charge-off rates </w:t>
      </w:r>
      <w:r w:rsidR="003C36C2" w:rsidRPr="00D952CF">
        <w:rPr>
          <w:rFonts w:ascii="Baskerville" w:hAnsi="Baskerville" w:cs="Baskerville"/>
          <w:color w:val="000000" w:themeColor="text1"/>
          <w:sz w:val="24"/>
          <w:szCs w:val="24"/>
        </w:rPr>
        <w:t xml:space="preserve">on consumer loans </w:t>
      </w:r>
      <w:r w:rsidR="00970CEC" w:rsidRPr="00D952CF">
        <w:rPr>
          <w:rFonts w:ascii="Baskerville" w:hAnsi="Baskerville" w:cs="Baskerville"/>
          <w:color w:val="000000" w:themeColor="text1"/>
          <w:sz w:val="24"/>
          <w:szCs w:val="24"/>
        </w:rPr>
        <w:t>fell subst</w:t>
      </w:r>
      <w:r w:rsidR="003C36C2" w:rsidRPr="00D952CF">
        <w:rPr>
          <w:rFonts w:ascii="Baskerville" w:hAnsi="Baskerville" w:cs="Baskerville"/>
          <w:color w:val="000000" w:themeColor="text1"/>
          <w:sz w:val="24"/>
          <w:szCs w:val="24"/>
        </w:rPr>
        <w:t>antially</w:t>
      </w:r>
      <w:r w:rsidR="00970CEC" w:rsidRPr="00D952CF">
        <w:rPr>
          <w:rFonts w:ascii="Baskerville" w:hAnsi="Baskerville" w:cs="Baskerville"/>
          <w:color w:val="000000" w:themeColor="text1"/>
          <w:sz w:val="24"/>
          <w:szCs w:val="24"/>
        </w:rPr>
        <w:t>, yet stood</w:t>
      </w:r>
      <w:r w:rsidR="003C36C2" w:rsidRPr="00D952CF">
        <w:rPr>
          <w:rFonts w:ascii="Baskerville" w:hAnsi="Baskerville" w:cs="Baskerville"/>
          <w:color w:val="000000" w:themeColor="text1"/>
          <w:sz w:val="24"/>
          <w:szCs w:val="24"/>
        </w:rPr>
        <w:t xml:space="preserve"> still at more than 2% </w:t>
      </w:r>
      <w:r w:rsidR="000C473D" w:rsidRPr="00D952CF">
        <w:rPr>
          <w:rFonts w:ascii="Baskerville" w:hAnsi="Baskerville" w:cs="Baskerville"/>
          <w:color w:val="000000" w:themeColor="text1"/>
          <w:sz w:val="24"/>
          <w:szCs w:val="24"/>
        </w:rPr>
        <w:t xml:space="preserve">per quarter </w:t>
      </w:r>
      <w:r w:rsidR="003C36C2" w:rsidRPr="00D952CF">
        <w:rPr>
          <w:rFonts w:ascii="Baskerville" w:hAnsi="Baskerville" w:cs="Baskerville"/>
          <w:color w:val="000000" w:themeColor="text1"/>
          <w:sz w:val="24"/>
          <w:szCs w:val="24"/>
        </w:rPr>
        <w:t>in 2016</w:t>
      </w:r>
      <w:r w:rsidR="004A2A98" w:rsidRPr="00D952CF">
        <w:rPr>
          <w:rFonts w:ascii="Baskerville" w:hAnsi="Baskerville" w:cs="Baskerville"/>
          <w:color w:val="000000" w:themeColor="text1"/>
          <w:sz w:val="24"/>
          <w:szCs w:val="24"/>
        </w:rPr>
        <w:t xml:space="preserve">. </w:t>
      </w:r>
    </w:p>
    <w:p w14:paraId="5041029E" w14:textId="7EF5C68C" w:rsidR="000C473D" w:rsidRPr="00A86792" w:rsidRDefault="00A86792" w:rsidP="00A86792">
      <w:pPr>
        <w:pStyle w:val="BodyText"/>
        <w:spacing w:line="360" w:lineRule="auto"/>
        <w:rPr>
          <w:rFonts w:ascii="Baskerville" w:hAnsi="Baskerville" w:cs="Baskerville"/>
          <w:color w:val="000000" w:themeColor="text1"/>
          <w:sz w:val="24"/>
          <w:szCs w:val="24"/>
        </w:rPr>
      </w:pPr>
      <w:r>
        <w:rPr>
          <w:rFonts w:ascii="Baskerville" w:hAnsi="Baskerville" w:cs="Baskerville"/>
          <w:noProof/>
          <w:color w:val="000000" w:themeColor="text1"/>
          <w:sz w:val="24"/>
          <w:szCs w:val="24"/>
        </w:rPr>
        <w:drawing>
          <wp:inline distT="0" distB="0" distL="0" distR="0" wp14:anchorId="6EFE956B" wp14:editId="00E45486">
            <wp:extent cx="5739765" cy="3745865"/>
            <wp:effectExtent l="0" t="0" r="635" b="0"/>
            <wp:docPr id="10" name="Picture 10" descr="Charge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geof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9765" cy="3745865"/>
                    </a:xfrm>
                    <a:prstGeom prst="rect">
                      <a:avLst/>
                    </a:prstGeom>
                    <a:noFill/>
                    <a:ln>
                      <a:noFill/>
                    </a:ln>
                  </pic:spPr>
                </pic:pic>
              </a:graphicData>
            </a:graphic>
          </wp:inline>
        </w:drawing>
      </w:r>
    </w:p>
    <w:p w14:paraId="6470A399" w14:textId="5CB6293B" w:rsidR="000C473D" w:rsidRPr="0020355A" w:rsidRDefault="000C473D" w:rsidP="000C473D">
      <w:pPr>
        <w:pStyle w:val="Caption"/>
        <w:jc w:val="center"/>
        <w:rPr>
          <w:rFonts w:ascii="Baskerville" w:hAnsi="Baskerville" w:cs="Baskerville"/>
          <w:color w:val="000000" w:themeColor="text1"/>
          <w:sz w:val="24"/>
          <w:szCs w:val="24"/>
        </w:rPr>
      </w:pPr>
      <w:r w:rsidRPr="0020355A">
        <w:rPr>
          <w:rFonts w:ascii="Baskerville" w:hAnsi="Baskerville"/>
          <w:color w:val="000000" w:themeColor="text1"/>
        </w:rPr>
        <w:t xml:space="preserve">Figure </w:t>
      </w:r>
      <w:r w:rsidR="0030223C" w:rsidRPr="0020355A">
        <w:rPr>
          <w:rFonts w:ascii="Baskerville" w:hAnsi="Baskerville"/>
          <w:color w:val="000000" w:themeColor="text1"/>
        </w:rPr>
        <w:fldChar w:fldCharType="begin"/>
      </w:r>
      <w:r w:rsidR="0030223C" w:rsidRPr="0020355A">
        <w:rPr>
          <w:rFonts w:ascii="Baskerville" w:hAnsi="Baskerville"/>
          <w:color w:val="000000" w:themeColor="text1"/>
        </w:rPr>
        <w:instrText xml:space="preserve"> SEQ Figure \* ALPHABETIC </w:instrText>
      </w:r>
      <w:r w:rsidR="0030223C" w:rsidRPr="0020355A">
        <w:rPr>
          <w:rFonts w:ascii="Baskerville" w:hAnsi="Baskerville"/>
          <w:color w:val="000000" w:themeColor="text1"/>
        </w:rPr>
        <w:fldChar w:fldCharType="separate"/>
      </w:r>
      <w:r w:rsidR="00A41181" w:rsidRPr="0020355A">
        <w:rPr>
          <w:rFonts w:ascii="Baskerville" w:hAnsi="Baskerville"/>
          <w:noProof/>
          <w:color w:val="000000" w:themeColor="text1"/>
        </w:rPr>
        <w:t>A</w:t>
      </w:r>
      <w:r w:rsidR="0030223C" w:rsidRPr="0020355A">
        <w:rPr>
          <w:rFonts w:ascii="Baskerville" w:hAnsi="Baskerville"/>
          <w:noProof/>
          <w:color w:val="000000" w:themeColor="text1"/>
        </w:rPr>
        <w:fldChar w:fldCharType="end"/>
      </w:r>
      <w:r w:rsidR="00A86792">
        <w:rPr>
          <w:rFonts w:ascii="Baskerville" w:hAnsi="Baskerville"/>
          <w:noProof/>
          <w:color w:val="000000" w:themeColor="text1"/>
        </w:rPr>
        <w:t>: Charge-off rates on consumer loans for US banks, 1992-2007</w:t>
      </w:r>
      <w:r w:rsidR="005C0B95" w:rsidRPr="00E93D72">
        <w:rPr>
          <w:rStyle w:val="FootnoteReference"/>
        </w:rPr>
        <w:footnoteReference w:id="6"/>
      </w:r>
    </w:p>
    <w:p w14:paraId="433409C7" w14:textId="543A104B" w:rsidR="00D9514A" w:rsidRPr="00D952CF" w:rsidRDefault="00970CEC" w:rsidP="008A3A49">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Charge-off rates </w:t>
      </w:r>
      <w:r w:rsidR="000C473D" w:rsidRPr="00D952CF">
        <w:rPr>
          <w:rFonts w:ascii="Baskerville" w:hAnsi="Baskerville" w:cs="Baskerville"/>
          <w:color w:val="000000" w:themeColor="text1"/>
          <w:sz w:val="24"/>
          <w:szCs w:val="24"/>
        </w:rPr>
        <w:t xml:space="preserve">capture only the most severe cases of </w:t>
      </w:r>
      <w:r w:rsidRPr="00D952CF">
        <w:rPr>
          <w:rFonts w:ascii="Baskerville" w:hAnsi="Baskerville" w:cs="Baskerville"/>
          <w:color w:val="000000" w:themeColor="text1"/>
          <w:sz w:val="24"/>
          <w:szCs w:val="24"/>
        </w:rPr>
        <w:t xml:space="preserve">wrongful inclusion, because they </w:t>
      </w:r>
      <w:r w:rsidR="000C473D" w:rsidRPr="00D952CF">
        <w:rPr>
          <w:rFonts w:ascii="Baskerville" w:hAnsi="Baskerville" w:cs="Baskerville"/>
          <w:color w:val="000000" w:themeColor="text1"/>
          <w:sz w:val="24"/>
          <w:szCs w:val="24"/>
        </w:rPr>
        <w:t>measure</w:t>
      </w:r>
      <w:r w:rsidR="006300F5">
        <w:rPr>
          <w:rFonts w:ascii="Baskerville" w:hAnsi="Baskerville" w:cs="Baskerville"/>
          <w:color w:val="000000" w:themeColor="text1"/>
          <w:sz w:val="24"/>
          <w:szCs w:val="24"/>
        </w:rPr>
        <w:t xml:space="preserve"> only</w:t>
      </w:r>
      <w:r w:rsidR="000C473D" w:rsidRPr="00D952CF">
        <w:rPr>
          <w:rFonts w:ascii="Baskerville" w:hAnsi="Baskerville" w:cs="Baskerville"/>
          <w:color w:val="000000" w:themeColor="text1"/>
          <w:sz w:val="24"/>
          <w:szCs w:val="24"/>
        </w:rPr>
        <w:t xml:space="preserve"> loans banks have</w:t>
      </w:r>
      <w:r w:rsidR="006300F5">
        <w:rPr>
          <w:rFonts w:ascii="Baskerville" w:hAnsi="Baskerville" w:cs="Baskerville"/>
          <w:color w:val="000000" w:themeColor="text1"/>
          <w:sz w:val="24"/>
          <w:szCs w:val="24"/>
        </w:rPr>
        <w:t xml:space="preserve"> essentially</w:t>
      </w:r>
      <w:r w:rsidR="000C473D" w:rsidRPr="00D952CF">
        <w:rPr>
          <w:rFonts w:ascii="Baskerville" w:hAnsi="Baskerville" w:cs="Baskerville"/>
          <w:color w:val="000000" w:themeColor="text1"/>
          <w:sz w:val="24"/>
          <w:szCs w:val="24"/>
        </w:rPr>
        <w:t xml:space="preserve"> given up on</w:t>
      </w:r>
      <w:r w:rsidRPr="00D952CF">
        <w:rPr>
          <w:rFonts w:ascii="Baskerville" w:hAnsi="Baskerville" w:cs="Baskerville"/>
          <w:color w:val="000000" w:themeColor="text1"/>
          <w:sz w:val="24"/>
          <w:szCs w:val="24"/>
        </w:rPr>
        <w:t xml:space="preserve">. Many more </w:t>
      </w:r>
      <w:r w:rsidR="000C473D" w:rsidRPr="00D952CF">
        <w:rPr>
          <w:rFonts w:ascii="Baskerville" w:hAnsi="Baskerville" w:cs="Baskerville"/>
          <w:color w:val="000000" w:themeColor="text1"/>
          <w:sz w:val="24"/>
          <w:szCs w:val="24"/>
        </w:rPr>
        <w:t xml:space="preserve">borrowers </w:t>
      </w:r>
      <w:r w:rsidRPr="00D952CF">
        <w:rPr>
          <w:rFonts w:ascii="Baskerville" w:hAnsi="Baskerville" w:cs="Baskerville"/>
          <w:color w:val="000000" w:themeColor="text1"/>
          <w:sz w:val="24"/>
          <w:szCs w:val="24"/>
        </w:rPr>
        <w:t xml:space="preserve">struggle to service their credit commitments, but eventually succeed </w:t>
      </w:r>
      <w:r w:rsidR="009B79A9">
        <w:rPr>
          <w:rFonts w:ascii="Baskerville" w:hAnsi="Baskerville" w:cs="Baskerville"/>
          <w:color w:val="000000" w:themeColor="text1"/>
          <w:sz w:val="24"/>
          <w:szCs w:val="24"/>
        </w:rPr>
        <w:t>in repaying</w:t>
      </w:r>
      <w:r w:rsidR="006300F5">
        <w:rPr>
          <w:rFonts w:ascii="Baskerville" w:hAnsi="Baskerville" w:cs="Baskerville"/>
          <w:color w:val="000000" w:themeColor="text1"/>
          <w:sz w:val="24"/>
          <w:szCs w:val="24"/>
        </w:rPr>
        <w:t xml:space="preserve">, and are therefore not </w:t>
      </w:r>
      <w:r w:rsidR="00500791">
        <w:rPr>
          <w:rFonts w:ascii="Baskerville" w:hAnsi="Baskerville" w:cs="Baskerville"/>
          <w:color w:val="000000" w:themeColor="text1"/>
          <w:sz w:val="24"/>
          <w:szCs w:val="24"/>
        </w:rPr>
        <w:t xml:space="preserve">included </w:t>
      </w:r>
      <w:r w:rsidR="006300F5">
        <w:rPr>
          <w:rFonts w:ascii="Baskerville" w:hAnsi="Baskerville" w:cs="Baskerville"/>
          <w:color w:val="000000" w:themeColor="text1"/>
          <w:sz w:val="24"/>
          <w:szCs w:val="24"/>
        </w:rPr>
        <w:t>in this statistic</w:t>
      </w:r>
      <w:r w:rsidRPr="00D952CF">
        <w:rPr>
          <w:rFonts w:ascii="Baskerville" w:hAnsi="Baskerville" w:cs="Baskerville"/>
          <w:color w:val="000000" w:themeColor="text1"/>
          <w:sz w:val="24"/>
          <w:szCs w:val="24"/>
        </w:rPr>
        <w:t xml:space="preserve">. This group is better captured by the delinquency rate, the proportion of the loan portfolio </w:t>
      </w:r>
      <w:r w:rsidR="006300F5">
        <w:rPr>
          <w:rFonts w:ascii="Baskerville" w:hAnsi="Baskerville" w:cs="Baskerville"/>
          <w:color w:val="000000" w:themeColor="text1"/>
          <w:sz w:val="24"/>
          <w:szCs w:val="24"/>
        </w:rPr>
        <w:t xml:space="preserve">where payments were </w:t>
      </w:r>
      <w:r w:rsidR="000C473D" w:rsidRPr="00D952CF">
        <w:rPr>
          <w:rFonts w:ascii="Baskerville" w:hAnsi="Baskerville" w:cs="Baskerville"/>
          <w:color w:val="000000" w:themeColor="text1"/>
          <w:sz w:val="24"/>
          <w:szCs w:val="24"/>
        </w:rPr>
        <w:t xml:space="preserve">at </w:t>
      </w:r>
      <w:r w:rsidRPr="00D952CF">
        <w:rPr>
          <w:rFonts w:ascii="Baskerville" w:hAnsi="Baskerville" w:cs="Baskerville"/>
          <w:color w:val="000000" w:themeColor="text1"/>
          <w:sz w:val="24"/>
          <w:szCs w:val="24"/>
        </w:rPr>
        <w:t>least 30</w:t>
      </w:r>
      <w:r w:rsidR="00D05856">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days overdue</w:t>
      </w:r>
      <w:r w:rsidR="000C473D" w:rsidRPr="00D952CF">
        <w:rPr>
          <w:rFonts w:ascii="Baskerville" w:hAnsi="Baskerville" w:cs="Baskerville"/>
          <w:color w:val="000000" w:themeColor="text1"/>
          <w:sz w:val="24"/>
          <w:szCs w:val="24"/>
        </w:rPr>
        <w:t xml:space="preserve"> in any given quarter</w:t>
      </w:r>
      <w:r w:rsidRPr="00D952CF">
        <w:rPr>
          <w:rFonts w:ascii="Baskerville" w:hAnsi="Baskerville" w:cs="Baskerville"/>
          <w:color w:val="000000" w:themeColor="text1"/>
          <w:sz w:val="24"/>
          <w:szCs w:val="24"/>
        </w:rPr>
        <w:t>.</w:t>
      </w:r>
      <w:r w:rsidR="003C36C2" w:rsidRPr="00E93D72">
        <w:rPr>
          <w:rStyle w:val="FootnoteReference"/>
        </w:rPr>
        <w:footnoteReference w:id="7"/>
      </w:r>
      <w:r w:rsidRPr="00D952CF">
        <w:rPr>
          <w:rFonts w:ascii="Baskerville" w:hAnsi="Baskerville" w:cs="Baskerville"/>
          <w:color w:val="000000" w:themeColor="text1"/>
          <w:sz w:val="24"/>
          <w:szCs w:val="24"/>
        </w:rPr>
        <w:t xml:space="preserve"> At the height of the financial crisis, the delinquency rate on </w:t>
      </w:r>
      <w:r w:rsidR="000C473D" w:rsidRPr="00D952CF">
        <w:rPr>
          <w:rFonts w:ascii="Baskerville" w:hAnsi="Baskerville" w:cs="Baskerville"/>
          <w:color w:val="000000" w:themeColor="text1"/>
          <w:sz w:val="24"/>
          <w:szCs w:val="24"/>
        </w:rPr>
        <w:t xml:space="preserve">residential </w:t>
      </w:r>
      <w:r w:rsidRPr="00D952CF">
        <w:rPr>
          <w:rFonts w:ascii="Baskerville" w:hAnsi="Baskerville" w:cs="Baskerville"/>
          <w:color w:val="000000" w:themeColor="text1"/>
          <w:sz w:val="24"/>
          <w:szCs w:val="24"/>
        </w:rPr>
        <w:t>mortgage</w:t>
      </w:r>
      <w:r w:rsidR="000C473D" w:rsidRPr="00D952CF">
        <w:rPr>
          <w:rFonts w:ascii="Baskerville" w:hAnsi="Baskerville" w:cs="Baskerville"/>
          <w:color w:val="000000" w:themeColor="text1"/>
          <w:sz w:val="24"/>
          <w:szCs w:val="24"/>
        </w:rPr>
        <w:t>s</w:t>
      </w:r>
      <w:r w:rsidRPr="00D952CF">
        <w:rPr>
          <w:rFonts w:ascii="Baskerville" w:hAnsi="Baskerville" w:cs="Baskerville"/>
          <w:color w:val="000000" w:themeColor="text1"/>
          <w:sz w:val="24"/>
          <w:szCs w:val="24"/>
        </w:rPr>
        <w:t xml:space="preserve"> was </w:t>
      </w:r>
      <w:r w:rsidR="000C473D" w:rsidRPr="00D952CF">
        <w:rPr>
          <w:rFonts w:ascii="Baskerville" w:hAnsi="Baskerville" w:cs="Baskerville"/>
          <w:color w:val="000000" w:themeColor="text1"/>
          <w:sz w:val="24"/>
          <w:szCs w:val="24"/>
        </w:rPr>
        <w:t>11</w:t>
      </w:r>
      <w:r w:rsidRPr="00D952CF">
        <w:rPr>
          <w:rFonts w:ascii="Baskerville" w:hAnsi="Baskerville" w:cs="Baskerville"/>
          <w:color w:val="000000" w:themeColor="text1"/>
          <w:sz w:val="24"/>
          <w:szCs w:val="24"/>
        </w:rPr>
        <w:t>.5%</w:t>
      </w:r>
      <w:r w:rsidR="000C473D" w:rsidRPr="00D952CF">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 xml:space="preserve"> In </w:t>
      </w:r>
      <w:r w:rsidRPr="00D952CF">
        <w:rPr>
          <w:rFonts w:ascii="Baskerville" w:hAnsi="Baskerville" w:cs="Baskerville"/>
          <w:color w:val="000000" w:themeColor="text1"/>
          <w:sz w:val="24"/>
          <w:szCs w:val="24"/>
        </w:rPr>
        <w:lastRenderedPageBreak/>
        <w:t>201</w:t>
      </w:r>
      <w:r w:rsidR="000C473D" w:rsidRPr="00D952CF">
        <w:rPr>
          <w:rFonts w:ascii="Baskerville" w:hAnsi="Baskerville" w:cs="Baskerville"/>
          <w:color w:val="000000" w:themeColor="text1"/>
          <w:sz w:val="24"/>
          <w:szCs w:val="24"/>
        </w:rPr>
        <w:t>6</w:t>
      </w:r>
      <w:r w:rsidRPr="00D952CF">
        <w:rPr>
          <w:rFonts w:ascii="Baskerville" w:hAnsi="Baskerville" w:cs="Baskerville"/>
          <w:color w:val="000000" w:themeColor="text1"/>
          <w:sz w:val="24"/>
          <w:szCs w:val="24"/>
        </w:rPr>
        <w:t xml:space="preserve">, </w:t>
      </w:r>
      <w:r w:rsidR="000C473D" w:rsidRPr="00D952CF">
        <w:rPr>
          <w:rFonts w:ascii="Baskerville" w:hAnsi="Baskerville" w:cs="Baskerville"/>
          <w:color w:val="000000" w:themeColor="text1"/>
          <w:sz w:val="24"/>
          <w:szCs w:val="24"/>
        </w:rPr>
        <w:t xml:space="preserve">the </w:t>
      </w:r>
      <w:r w:rsidRPr="00D952CF">
        <w:rPr>
          <w:rFonts w:ascii="Baskerville" w:hAnsi="Baskerville" w:cs="Baskerville"/>
          <w:color w:val="000000" w:themeColor="text1"/>
          <w:sz w:val="24"/>
          <w:szCs w:val="24"/>
        </w:rPr>
        <w:t xml:space="preserve">delinquency </w:t>
      </w:r>
      <w:r w:rsidR="000C473D" w:rsidRPr="00D952CF">
        <w:rPr>
          <w:rFonts w:ascii="Baskerville" w:hAnsi="Baskerville" w:cs="Baskerville"/>
          <w:color w:val="000000" w:themeColor="text1"/>
          <w:sz w:val="24"/>
          <w:szCs w:val="24"/>
        </w:rPr>
        <w:t>rate</w:t>
      </w:r>
      <w:r w:rsidRPr="00D952CF">
        <w:rPr>
          <w:rFonts w:ascii="Baskerville" w:hAnsi="Baskerville" w:cs="Baskerville"/>
          <w:color w:val="000000" w:themeColor="text1"/>
          <w:sz w:val="24"/>
          <w:szCs w:val="24"/>
        </w:rPr>
        <w:t xml:space="preserve"> </w:t>
      </w:r>
      <w:r w:rsidR="000C473D" w:rsidRPr="00D952CF">
        <w:rPr>
          <w:rFonts w:ascii="Baskerville" w:hAnsi="Baskerville" w:cs="Baskerville"/>
          <w:color w:val="000000" w:themeColor="text1"/>
          <w:sz w:val="24"/>
          <w:szCs w:val="24"/>
        </w:rPr>
        <w:t xml:space="preserve">on residential mortgages </w:t>
      </w:r>
      <w:r w:rsidRPr="00D952CF">
        <w:rPr>
          <w:rFonts w:ascii="Baskerville" w:hAnsi="Baskerville" w:cs="Baskerville"/>
          <w:color w:val="000000" w:themeColor="text1"/>
          <w:sz w:val="24"/>
          <w:szCs w:val="24"/>
        </w:rPr>
        <w:t>had fallen</w:t>
      </w:r>
      <w:r w:rsidR="000C473D" w:rsidRPr="00D952CF">
        <w:rPr>
          <w:rFonts w:ascii="Baskerville" w:hAnsi="Baskerville" w:cs="Baskerville"/>
          <w:color w:val="000000" w:themeColor="text1"/>
          <w:sz w:val="24"/>
          <w:szCs w:val="24"/>
        </w:rPr>
        <w:t>, but still stood at</w:t>
      </w:r>
      <w:r w:rsidRPr="00D952CF">
        <w:rPr>
          <w:rFonts w:ascii="Baskerville" w:hAnsi="Baskerville" w:cs="Baskerville"/>
          <w:color w:val="000000" w:themeColor="text1"/>
          <w:sz w:val="24"/>
          <w:szCs w:val="24"/>
        </w:rPr>
        <w:t xml:space="preserve"> </w:t>
      </w:r>
      <w:r w:rsidR="000C473D" w:rsidRPr="00D952CF">
        <w:rPr>
          <w:rFonts w:ascii="Baskerville" w:hAnsi="Baskerville" w:cs="Baskerville"/>
          <w:color w:val="000000" w:themeColor="text1"/>
          <w:sz w:val="24"/>
          <w:szCs w:val="24"/>
        </w:rPr>
        <w:t>4.2%</w:t>
      </w:r>
      <w:r w:rsidRPr="00D952CF">
        <w:rPr>
          <w:rFonts w:ascii="Baskerville" w:hAnsi="Baskerville" w:cs="Baskerville"/>
          <w:color w:val="000000" w:themeColor="text1"/>
          <w:sz w:val="24"/>
          <w:szCs w:val="24"/>
        </w:rPr>
        <w:t xml:space="preserve">. </w:t>
      </w:r>
      <w:r w:rsidR="006757DE">
        <w:rPr>
          <w:rFonts w:ascii="Baskerville" w:hAnsi="Baskerville" w:cs="Baskerville"/>
          <w:color w:val="000000" w:themeColor="text1"/>
          <w:sz w:val="24"/>
          <w:szCs w:val="24"/>
        </w:rPr>
        <w:t>It is also noteworthy that</w:t>
      </w:r>
      <w:r w:rsidR="008579E9" w:rsidRPr="00D952CF">
        <w:rPr>
          <w:rFonts w:ascii="Baskerville" w:hAnsi="Baskerville" w:cs="Baskerville"/>
          <w:color w:val="000000" w:themeColor="text1"/>
          <w:sz w:val="24"/>
          <w:szCs w:val="24"/>
        </w:rPr>
        <w:t xml:space="preserve"> i</w:t>
      </w:r>
      <w:r w:rsidR="00D9514A" w:rsidRPr="00D952CF">
        <w:rPr>
          <w:rFonts w:ascii="Baskerville" w:hAnsi="Baskerville" w:cs="Baskerville"/>
          <w:color w:val="000000" w:themeColor="text1"/>
          <w:sz w:val="24"/>
          <w:szCs w:val="24"/>
        </w:rPr>
        <w:t>n 2013, 4.</w:t>
      </w:r>
      <w:r w:rsidR="008579E9" w:rsidRPr="00D952CF">
        <w:rPr>
          <w:rFonts w:ascii="Baskerville" w:hAnsi="Baskerville" w:cs="Baskerville"/>
          <w:color w:val="000000" w:themeColor="text1"/>
          <w:sz w:val="24"/>
          <w:szCs w:val="24"/>
        </w:rPr>
        <w:t>1% of US citizens had declared bankruptcy at some point during the last 5 years.</w:t>
      </w:r>
      <w:r w:rsidR="008579E9" w:rsidRPr="00E93D72">
        <w:rPr>
          <w:rStyle w:val="FootnoteReference"/>
        </w:rPr>
        <w:footnoteReference w:id="8"/>
      </w:r>
    </w:p>
    <w:p w14:paraId="35F000E3" w14:textId="22055CE2" w:rsidR="0008090F" w:rsidRPr="0020355A" w:rsidRDefault="00E45B66" w:rsidP="00A6363C">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The magnitude of mistakes of wrongful exclusion is more difficult to gauge, because it involves assessing a counterfactual</w:t>
      </w:r>
      <w:r w:rsidR="000C473D" w:rsidRPr="00D952CF">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 xml:space="preserve"> </w:t>
      </w:r>
      <w:r w:rsidR="000C473D" w:rsidRPr="00D952CF">
        <w:rPr>
          <w:rFonts w:ascii="Baskerville" w:hAnsi="Baskerville" w:cs="Baskerville"/>
          <w:color w:val="000000" w:themeColor="text1"/>
          <w:sz w:val="24"/>
          <w:szCs w:val="24"/>
        </w:rPr>
        <w:t>W</w:t>
      </w:r>
      <w:r w:rsidRPr="00D952CF">
        <w:rPr>
          <w:rFonts w:ascii="Baskerville" w:hAnsi="Baskerville" w:cs="Baskerville"/>
          <w:color w:val="000000" w:themeColor="text1"/>
          <w:sz w:val="24"/>
          <w:szCs w:val="24"/>
        </w:rPr>
        <w:t>ould applicants have repaid had they been granted credit? As an upper estimate, we can consider the magnit</w:t>
      </w:r>
      <w:r w:rsidR="006757DE">
        <w:rPr>
          <w:rFonts w:ascii="Baskerville" w:hAnsi="Baskerville" w:cs="Baskerville"/>
          <w:color w:val="000000" w:themeColor="text1"/>
          <w:sz w:val="24"/>
          <w:szCs w:val="24"/>
        </w:rPr>
        <w:t>ude of exclusion from credit</w:t>
      </w:r>
      <w:r w:rsidR="009B79A9">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not</w:t>
      </w:r>
      <w:r w:rsidR="006757DE">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all of which is wrongful.</w:t>
      </w:r>
      <w:r w:rsidR="006757DE">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 xml:space="preserve">48% of US citizens wanted some kind of credit in 2016. </w:t>
      </w:r>
      <w:r w:rsidR="00A6363C">
        <w:rPr>
          <w:rFonts w:ascii="Baskerville" w:hAnsi="Baskerville" w:cs="Baskerville"/>
          <w:color w:val="000000" w:themeColor="text1"/>
          <w:sz w:val="24"/>
          <w:szCs w:val="24"/>
        </w:rPr>
        <w:t>T</w:t>
      </w:r>
      <w:r w:rsidRPr="00D952CF">
        <w:rPr>
          <w:rFonts w:ascii="Baskerville" w:hAnsi="Baskerville" w:cs="Baskerville"/>
          <w:color w:val="000000" w:themeColor="text1"/>
          <w:sz w:val="24"/>
          <w:szCs w:val="24"/>
        </w:rPr>
        <w:t xml:space="preserve">wo thirds </w:t>
      </w:r>
      <w:r w:rsidR="00A6363C">
        <w:rPr>
          <w:rFonts w:ascii="Baskerville" w:hAnsi="Baskerville" w:cs="Baskerville"/>
          <w:color w:val="000000" w:themeColor="text1"/>
          <w:sz w:val="24"/>
          <w:szCs w:val="24"/>
        </w:rPr>
        <w:t>of this group obtain</w:t>
      </w:r>
      <w:r w:rsidR="007A13DA">
        <w:rPr>
          <w:rFonts w:ascii="Baskerville" w:hAnsi="Baskerville" w:cs="Baskerville"/>
          <w:color w:val="000000" w:themeColor="text1"/>
          <w:sz w:val="24"/>
          <w:szCs w:val="24"/>
        </w:rPr>
        <w:t>ed</w:t>
      </w:r>
      <w:r w:rsidRPr="00D952CF">
        <w:rPr>
          <w:rFonts w:ascii="Baskerville" w:hAnsi="Baskerville" w:cs="Baskerville"/>
          <w:color w:val="000000" w:themeColor="text1"/>
          <w:sz w:val="24"/>
          <w:szCs w:val="24"/>
        </w:rPr>
        <w:t xml:space="preserve"> credit</w:t>
      </w:r>
      <w:r w:rsidR="00A6363C">
        <w:rPr>
          <w:rFonts w:ascii="Baskerville" w:hAnsi="Baskerville" w:cs="Baskerville"/>
          <w:color w:val="000000" w:themeColor="text1"/>
          <w:sz w:val="24"/>
          <w:szCs w:val="24"/>
        </w:rPr>
        <w:t>,</w:t>
      </w:r>
      <w:r w:rsidR="000C473D" w:rsidRPr="00D952CF">
        <w:rPr>
          <w:rFonts w:ascii="Baskerville" w:hAnsi="Baskerville" w:cs="Baskerville"/>
          <w:color w:val="000000" w:themeColor="text1"/>
          <w:sz w:val="24"/>
          <w:szCs w:val="24"/>
        </w:rPr>
        <w:t xml:space="preserve"> </w:t>
      </w:r>
      <w:r w:rsidR="00A6363C">
        <w:rPr>
          <w:rFonts w:ascii="Baskerville" w:hAnsi="Baskerville" w:cs="Baskerville"/>
          <w:color w:val="000000" w:themeColor="text1"/>
          <w:sz w:val="24"/>
          <w:szCs w:val="24"/>
        </w:rPr>
        <w:t xml:space="preserve">but </w:t>
      </w:r>
      <w:r w:rsidR="000C473D" w:rsidRPr="00D952CF">
        <w:rPr>
          <w:rFonts w:ascii="Baskerville" w:hAnsi="Baskerville" w:cs="Baskerville"/>
          <w:color w:val="000000" w:themeColor="text1"/>
          <w:sz w:val="24"/>
          <w:szCs w:val="24"/>
        </w:rPr>
        <w:t>o</w:t>
      </w:r>
      <w:r w:rsidRPr="00D952CF">
        <w:rPr>
          <w:rFonts w:ascii="Baskerville" w:hAnsi="Baskerville" w:cs="Baskerville"/>
          <w:color w:val="000000" w:themeColor="text1"/>
          <w:sz w:val="24"/>
          <w:szCs w:val="24"/>
        </w:rPr>
        <w:t xml:space="preserve">ne third </w:t>
      </w:r>
      <w:r w:rsidR="00CD5A6C" w:rsidRPr="00D952CF">
        <w:rPr>
          <w:rFonts w:ascii="Baskerville" w:hAnsi="Baskerville" w:cs="Baskerville"/>
          <w:color w:val="000000" w:themeColor="text1"/>
          <w:sz w:val="24"/>
          <w:szCs w:val="24"/>
        </w:rPr>
        <w:t>did</w:t>
      </w:r>
      <w:r w:rsidR="000C473D" w:rsidRPr="00D952CF">
        <w:rPr>
          <w:rFonts w:ascii="Baskerville" w:hAnsi="Baskerville" w:cs="Baskerville"/>
          <w:color w:val="000000" w:themeColor="text1"/>
          <w:sz w:val="24"/>
          <w:szCs w:val="24"/>
        </w:rPr>
        <w:t xml:space="preserve"> not get the credit they </w:t>
      </w:r>
      <w:r w:rsidR="00CD5A6C" w:rsidRPr="00D952CF">
        <w:rPr>
          <w:rFonts w:ascii="Baskerville" w:hAnsi="Baskerville" w:cs="Baskerville"/>
          <w:color w:val="000000" w:themeColor="text1"/>
          <w:sz w:val="24"/>
          <w:szCs w:val="24"/>
        </w:rPr>
        <w:t>sought</w:t>
      </w:r>
      <w:r w:rsidRPr="00D952CF">
        <w:rPr>
          <w:rFonts w:ascii="Baskerville" w:hAnsi="Baskerville" w:cs="Baskerville"/>
          <w:color w:val="000000" w:themeColor="text1"/>
          <w:sz w:val="24"/>
          <w:szCs w:val="24"/>
        </w:rPr>
        <w:t>.</w:t>
      </w:r>
      <w:r w:rsidR="00F858A1" w:rsidRPr="00E93D72">
        <w:rPr>
          <w:rStyle w:val="FootnoteReference"/>
        </w:rPr>
        <w:footnoteReference w:id="9"/>
      </w:r>
      <w:r w:rsidRPr="00D952CF">
        <w:rPr>
          <w:rFonts w:ascii="Baskerville" w:hAnsi="Baskerville" w:cs="Baskerville"/>
          <w:color w:val="000000" w:themeColor="text1"/>
          <w:sz w:val="24"/>
          <w:szCs w:val="24"/>
        </w:rPr>
        <w:t xml:space="preserve"> </w:t>
      </w:r>
      <w:r w:rsidR="0008090F" w:rsidRPr="00D952CF">
        <w:rPr>
          <w:rFonts w:ascii="Baskerville" w:hAnsi="Baskerville" w:cs="Baskerville"/>
          <w:color w:val="000000" w:themeColor="text1"/>
          <w:sz w:val="24"/>
          <w:szCs w:val="24"/>
        </w:rPr>
        <w:t>The main reason consumers did not get credit is that it was denied</w:t>
      </w:r>
      <w:r w:rsidR="00A6363C">
        <w:rPr>
          <w:rFonts w:ascii="Baskerville" w:hAnsi="Baskerville" w:cs="Baskerville"/>
          <w:color w:val="000000" w:themeColor="text1"/>
          <w:sz w:val="24"/>
          <w:szCs w:val="24"/>
        </w:rPr>
        <w:t xml:space="preserve"> (63% of unsuccessful participants)</w:t>
      </w:r>
      <w:r w:rsidR="0008090F" w:rsidRPr="00D952CF">
        <w:rPr>
          <w:rFonts w:ascii="Baskerville" w:hAnsi="Baskerville" w:cs="Baskerville"/>
          <w:color w:val="000000" w:themeColor="text1"/>
          <w:sz w:val="24"/>
          <w:szCs w:val="24"/>
        </w:rPr>
        <w:t>. There is another large group, however, wh</w:t>
      </w:r>
      <w:r w:rsidR="00DA051F">
        <w:rPr>
          <w:rFonts w:ascii="Baskerville" w:hAnsi="Baskerville" w:cs="Baskerville"/>
          <w:color w:val="000000" w:themeColor="text1"/>
          <w:sz w:val="24"/>
          <w:szCs w:val="24"/>
        </w:rPr>
        <w:t>o</w:t>
      </w:r>
      <w:r w:rsidR="0008090F" w:rsidRPr="00D952CF">
        <w:rPr>
          <w:rFonts w:ascii="Baskerville" w:hAnsi="Baskerville" w:cs="Baskerville"/>
          <w:color w:val="000000" w:themeColor="text1"/>
          <w:sz w:val="24"/>
          <w:szCs w:val="24"/>
        </w:rPr>
        <w:t xml:space="preserve"> </w:t>
      </w:r>
      <w:r w:rsidR="007A13DA">
        <w:rPr>
          <w:rFonts w:ascii="Baskerville" w:hAnsi="Baskerville" w:cs="Baskerville"/>
          <w:color w:val="000000" w:themeColor="text1"/>
          <w:sz w:val="24"/>
          <w:szCs w:val="24"/>
        </w:rPr>
        <w:t>wa</w:t>
      </w:r>
      <w:r w:rsidR="0008090F" w:rsidRPr="00D952CF">
        <w:rPr>
          <w:rFonts w:ascii="Baskerville" w:hAnsi="Baskerville" w:cs="Baskerville"/>
          <w:color w:val="000000" w:themeColor="text1"/>
          <w:sz w:val="24"/>
          <w:szCs w:val="24"/>
        </w:rPr>
        <w:t xml:space="preserve">s discouraged from </w:t>
      </w:r>
      <w:r w:rsidR="006757DE">
        <w:rPr>
          <w:rFonts w:ascii="Baskerville" w:hAnsi="Baskerville" w:cs="Baskerville"/>
          <w:color w:val="000000" w:themeColor="text1"/>
          <w:sz w:val="24"/>
          <w:szCs w:val="24"/>
        </w:rPr>
        <w:t xml:space="preserve">even </w:t>
      </w:r>
      <w:r w:rsidR="0008090F" w:rsidRPr="00D952CF">
        <w:rPr>
          <w:rFonts w:ascii="Baskerville" w:hAnsi="Baskerville" w:cs="Baskerville"/>
          <w:color w:val="000000" w:themeColor="text1"/>
          <w:sz w:val="24"/>
          <w:szCs w:val="24"/>
        </w:rPr>
        <w:t>applying for credit</w:t>
      </w:r>
      <w:r w:rsidR="00A6363C">
        <w:rPr>
          <w:rFonts w:ascii="Baskerville" w:hAnsi="Baskerville" w:cs="Baskerville"/>
          <w:color w:val="000000" w:themeColor="text1"/>
          <w:sz w:val="24"/>
          <w:szCs w:val="24"/>
        </w:rPr>
        <w:t xml:space="preserve"> (37%).</w:t>
      </w:r>
      <w:r w:rsidR="005C0B95" w:rsidRPr="00E93D72">
        <w:rPr>
          <w:rStyle w:val="FootnoteReference"/>
        </w:rPr>
        <w:footnoteReference w:id="10"/>
      </w:r>
    </w:p>
    <w:p w14:paraId="4E76145C" w14:textId="1D5AFE42" w:rsidR="000B6315" w:rsidRPr="00AC76DD" w:rsidRDefault="00437CE1" w:rsidP="00DA546B">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Clearly, not all cases of exclusion from credit are cases of wrongful exclusion. But </w:t>
      </w:r>
      <w:r w:rsidR="006757DE">
        <w:rPr>
          <w:rFonts w:ascii="Baskerville" w:hAnsi="Baskerville" w:cs="Baskerville"/>
          <w:color w:val="000000" w:themeColor="text1"/>
          <w:sz w:val="24"/>
          <w:szCs w:val="24"/>
        </w:rPr>
        <w:t>there is ample</w:t>
      </w:r>
      <w:r w:rsidRPr="00D952CF">
        <w:rPr>
          <w:rFonts w:ascii="Baskerville" w:hAnsi="Baskerville" w:cs="Baskerville"/>
          <w:color w:val="000000" w:themeColor="text1"/>
          <w:sz w:val="24"/>
          <w:szCs w:val="24"/>
        </w:rPr>
        <w:t xml:space="preserve"> evidence that </w:t>
      </w:r>
      <w:r w:rsidR="00C605D4">
        <w:rPr>
          <w:rFonts w:ascii="Baskerville" w:hAnsi="Baskerville" w:cs="Baskerville"/>
          <w:color w:val="000000" w:themeColor="text1"/>
          <w:sz w:val="24"/>
          <w:szCs w:val="24"/>
        </w:rPr>
        <w:t>many</w:t>
      </w:r>
      <w:r w:rsidR="006757DE">
        <w:rPr>
          <w:rFonts w:ascii="Baskerville" w:hAnsi="Baskerville" w:cs="Baskerville"/>
          <w:color w:val="000000" w:themeColor="text1"/>
          <w:sz w:val="24"/>
          <w:szCs w:val="24"/>
        </w:rPr>
        <w:t xml:space="preserve"> of </w:t>
      </w:r>
      <w:r w:rsidRPr="00D952CF">
        <w:rPr>
          <w:rFonts w:ascii="Baskerville" w:hAnsi="Baskerville" w:cs="Baskerville"/>
          <w:color w:val="000000" w:themeColor="text1"/>
          <w:sz w:val="24"/>
          <w:szCs w:val="24"/>
        </w:rPr>
        <w:t xml:space="preserve">them are. </w:t>
      </w:r>
      <w:r w:rsidR="00A6363C">
        <w:rPr>
          <w:rFonts w:ascii="Baskerville" w:hAnsi="Baskerville" w:cs="Baskerville"/>
          <w:color w:val="000000" w:themeColor="text1"/>
          <w:sz w:val="24"/>
          <w:szCs w:val="24"/>
        </w:rPr>
        <w:t xml:space="preserve">One way to get around the problem of assessing counterfactuals is to study </w:t>
      </w:r>
      <w:r w:rsidR="00AC76DD">
        <w:rPr>
          <w:rFonts w:ascii="Baskerville" w:hAnsi="Baskerville" w:cs="Baskerville"/>
          <w:color w:val="000000" w:themeColor="text1"/>
          <w:sz w:val="24"/>
          <w:szCs w:val="24"/>
        </w:rPr>
        <w:t xml:space="preserve">how entrepreneurs who cannot obtain credit put to use capital injections, for instance through inheritance. If they invest their inheritance into their business and run it successfully, this suggests that they could have done equally well with borrowed money and serviced their credit contract. </w:t>
      </w:r>
      <w:r w:rsidR="00CB2A74" w:rsidRPr="00D952CF">
        <w:rPr>
          <w:rFonts w:ascii="Baskerville" w:hAnsi="Baskerville" w:cs="Baskerville"/>
          <w:color w:val="000000"/>
          <w:sz w:val="24"/>
          <w:szCs w:val="24"/>
        </w:rPr>
        <w:t xml:space="preserve">In the US, </w:t>
      </w:r>
      <w:r w:rsidR="00A6363C">
        <w:rPr>
          <w:rFonts w:ascii="Baskerville" w:hAnsi="Baskerville" w:cs="Baskerville"/>
          <w:color w:val="000000"/>
          <w:sz w:val="24"/>
          <w:szCs w:val="24"/>
        </w:rPr>
        <w:t>a</w:t>
      </w:r>
      <w:r w:rsidR="00CB2A74" w:rsidRPr="00D952CF">
        <w:rPr>
          <w:rFonts w:ascii="Baskerville" w:hAnsi="Baskerville" w:cs="Baskerville"/>
          <w:color w:val="000000"/>
          <w:sz w:val="24"/>
          <w:szCs w:val="24"/>
        </w:rPr>
        <w:t xml:space="preserve"> study found that all else </w:t>
      </w:r>
      <w:r w:rsidR="00D12860">
        <w:rPr>
          <w:rFonts w:ascii="Baskerville" w:hAnsi="Baskerville" w:cs="Baskerville"/>
          <w:color w:val="000000"/>
          <w:sz w:val="24"/>
          <w:szCs w:val="24"/>
        </w:rPr>
        <w:t xml:space="preserve">being </w:t>
      </w:r>
      <w:r w:rsidR="00CB2A74" w:rsidRPr="00D952CF">
        <w:rPr>
          <w:rFonts w:ascii="Baskerville" w:hAnsi="Baskerville" w:cs="Baskerville"/>
          <w:color w:val="000000"/>
          <w:sz w:val="24"/>
          <w:szCs w:val="24"/>
        </w:rPr>
        <w:t>equal, owning more assets makes switches into self-employment more likely.</w:t>
      </w:r>
      <w:r w:rsidR="00CB2A74" w:rsidRPr="00E93D72">
        <w:rPr>
          <w:rStyle w:val="FootnoteReference"/>
        </w:rPr>
        <w:footnoteReference w:id="11"/>
      </w:r>
      <w:r w:rsidR="00CB2A74" w:rsidRPr="00D952CF">
        <w:rPr>
          <w:rFonts w:ascii="Baskerville" w:hAnsi="Baskerville" w:cs="Baskerville"/>
          <w:color w:val="000000"/>
          <w:sz w:val="24"/>
          <w:szCs w:val="24"/>
        </w:rPr>
        <w:t xml:space="preserve"> </w:t>
      </w:r>
      <w:r w:rsidR="00A6363C">
        <w:rPr>
          <w:rFonts w:ascii="Baskerville" w:hAnsi="Baskerville" w:cs="Baskerville"/>
          <w:color w:val="000000"/>
          <w:sz w:val="24"/>
          <w:szCs w:val="24"/>
        </w:rPr>
        <w:t>This</w:t>
      </w:r>
      <w:r w:rsidR="00CB2A74" w:rsidRPr="00D952CF">
        <w:rPr>
          <w:rFonts w:ascii="Baskerville" w:hAnsi="Baskerville" w:cs="Baskerville"/>
          <w:color w:val="000000"/>
          <w:sz w:val="24"/>
          <w:szCs w:val="24"/>
        </w:rPr>
        <w:t xml:space="preserve"> </w:t>
      </w:r>
      <w:r w:rsidR="00A6363C">
        <w:rPr>
          <w:rFonts w:ascii="Baskerville" w:hAnsi="Baskerville" w:cs="Baskerville"/>
          <w:color w:val="000000"/>
          <w:sz w:val="24"/>
          <w:szCs w:val="24"/>
        </w:rPr>
        <w:t xml:space="preserve">result </w:t>
      </w:r>
      <w:r w:rsidR="00CB2A74" w:rsidRPr="00D952CF">
        <w:rPr>
          <w:rFonts w:ascii="Baskerville" w:hAnsi="Baskerville" w:cs="Baskerville"/>
          <w:color w:val="000000"/>
          <w:sz w:val="24"/>
          <w:szCs w:val="24"/>
        </w:rPr>
        <w:t>suggest</w:t>
      </w:r>
      <w:r w:rsidR="00A6363C">
        <w:rPr>
          <w:rFonts w:ascii="Baskerville" w:hAnsi="Baskerville" w:cs="Baskerville"/>
          <w:color w:val="000000"/>
          <w:sz w:val="24"/>
          <w:szCs w:val="24"/>
        </w:rPr>
        <w:t>s</w:t>
      </w:r>
      <w:r w:rsidR="00CB2A74" w:rsidRPr="00D952CF">
        <w:rPr>
          <w:rFonts w:ascii="Baskerville" w:hAnsi="Baskerville" w:cs="Baskerville"/>
          <w:color w:val="000000"/>
          <w:sz w:val="24"/>
          <w:szCs w:val="24"/>
        </w:rPr>
        <w:t xml:space="preserve"> that lack of access to capital stifles entrepreneurial activity.</w:t>
      </w:r>
      <w:r w:rsidR="00A6363C" w:rsidRPr="00E93D72">
        <w:rPr>
          <w:rStyle w:val="FootnoteReference"/>
        </w:rPr>
        <w:footnoteReference w:id="12"/>
      </w:r>
      <w:r w:rsidR="00AC76DD">
        <w:rPr>
          <w:rFonts w:ascii="Baskerville" w:hAnsi="Baskerville" w:cs="Baskerville"/>
          <w:color w:val="000000" w:themeColor="text1"/>
          <w:sz w:val="24"/>
          <w:szCs w:val="24"/>
        </w:rPr>
        <w:t xml:space="preserve"> But </w:t>
      </w:r>
      <w:r w:rsidR="00AC76DD">
        <w:rPr>
          <w:rFonts w:ascii="Baskerville" w:hAnsi="Baskerville" w:cs="Baskerville"/>
          <w:color w:val="000000"/>
          <w:sz w:val="24"/>
          <w:szCs w:val="24"/>
        </w:rPr>
        <w:t>i</w:t>
      </w:r>
      <w:r w:rsidR="00CB2A74" w:rsidRPr="00D952CF">
        <w:rPr>
          <w:rFonts w:ascii="Baskerville" w:hAnsi="Baskerville" w:cs="Baskerville"/>
          <w:color w:val="000000"/>
          <w:sz w:val="24"/>
          <w:szCs w:val="24"/>
        </w:rPr>
        <w:t xml:space="preserve">t does not yet follow from these results that </w:t>
      </w:r>
      <w:r w:rsidR="00AC76DD">
        <w:rPr>
          <w:rFonts w:ascii="Baskerville" w:hAnsi="Baskerville" w:cs="Baskerville"/>
          <w:color w:val="000000"/>
          <w:sz w:val="24"/>
          <w:szCs w:val="24"/>
        </w:rPr>
        <w:t xml:space="preserve">entrepreneurs </w:t>
      </w:r>
      <w:r w:rsidR="00CB2A74" w:rsidRPr="00D952CF">
        <w:rPr>
          <w:rFonts w:ascii="Baskerville" w:hAnsi="Baskerville" w:cs="Baskerville"/>
          <w:color w:val="000000"/>
          <w:sz w:val="24"/>
          <w:szCs w:val="24"/>
        </w:rPr>
        <w:t>are wrongfully excluded</w:t>
      </w:r>
      <w:r w:rsidR="00AC76DD">
        <w:rPr>
          <w:rFonts w:ascii="Baskerville" w:hAnsi="Baskerville" w:cs="Baskerville"/>
          <w:color w:val="000000"/>
          <w:sz w:val="24"/>
          <w:szCs w:val="24"/>
        </w:rPr>
        <w:t>, because we don’t know whether these businesses succeed.</w:t>
      </w:r>
      <w:r w:rsidR="00CB2A74" w:rsidRPr="00D952CF">
        <w:rPr>
          <w:rFonts w:ascii="Baskerville" w:hAnsi="Baskerville" w:cs="Baskerville"/>
          <w:color w:val="000000"/>
          <w:sz w:val="24"/>
          <w:szCs w:val="24"/>
        </w:rPr>
        <w:t xml:space="preserve"> Alternatively, </w:t>
      </w:r>
      <w:r w:rsidR="00EA4279" w:rsidRPr="00D952CF">
        <w:rPr>
          <w:rFonts w:ascii="Baskerville" w:hAnsi="Baskerville" w:cs="Baskerville"/>
          <w:color w:val="000000"/>
          <w:sz w:val="24"/>
          <w:szCs w:val="24"/>
        </w:rPr>
        <w:t xml:space="preserve">people who become </w:t>
      </w:r>
      <w:r w:rsidR="00CB2A74" w:rsidRPr="00D952CF">
        <w:rPr>
          <w:rFonts w:ascii="Baskerville" w:hAnsi="Baskerville" w:cs="Baskerville"/>
          <w:color w:val="000000"/>
          <w:sz w:val="24"/>
          <w:szCs w:val="24"/>
        </w:rPr>
        <w:t>entrepreneurs</w:t>
      </w:r>
      <w:r w:rsidR="00EA4279" w:rsidRPr="00D952CF">
        <w:rPr>
          <w:rFonts w:ascii="Baskerville" w:hAnsi="Baskerville" w:cs="Baskerville"/>
          <w:color w:val="000000"/>
          <w:sz w:val="24"/>
          <w:szCs w:val="24"/>
        </w:rPr>
        <w:t xml:space="preserve"> because they receive an</w:t>
      </w:r>
      <w:r w:rsidR="00CB2A74" w:rsidRPr="00D952CF">
        <w:rPr>
          <w:rFonts w:ascii="Baskerville" w:hAnsi="Baskerville" w:cs="Baskerville"/>
          <w:color w:val="000000"/>
          <w:sz w:val="24"/>
          <w:szCs w:val="24"/>
        </w:rPr>
        <w:t xml:space="preserve"> inheritance or additional credit </w:t>
      </w:r>
      <w:r w:rsidR="00EA4279" w:rsidRPr="00D952CF">
        <w:rPr>
          <w:rFonts w:ascii="Baskerville" w:hAnsi="Baskerville" w:cs="Baskerville"/>
          <w:color w:val="000000"/>
          <w:sz w:val="24"/>
          <w:szCs w:val="24"/>
        </w:rPr>
        <w:t xml:space="preserve">due to raising house prices may squander their </w:t>
      </w:r>
      <w:r w:rsidR="00913359">
        <w:rPr>
          <w:rFonts w:ascii="Baskerville" w:hAnsi="Baskerville" w:cs="Baskerville"/>
          <w:color w:val="000000"/>
          <w:sz w:val="24"/>
          <w:szCs w:val="24"/>
        </w:rPr>
        <w:t>capital</w:t>
      </w:r>
      <w:r w:rsidR="000C006A">
        <w:rPr>
          <w:rFonts w:ascii="Baskerville" w:hAnsi="Baskerville" w:cs="Baskerville"/>
          <w:color w:val="000000"/>
          <w:sz w:val="24"/>
          <w:szCs w:val="24"/>
        </w:rPr>
        <w:t>. Unfortunately, the cited</w:t>
      </w:r>
      <w:r w:rsidR="00CB2A74" w:rsidRPr="00D952CF">
        <w:rPr>
          <w:rFonts w:ascii="Baskerville" w:hAnsi="Baskerville" w:cs="Baskerville"/>
          <w:color w:val="000000"/>
          <w:sz w:val="24"/>
          <w:szCs w:val="24"/>
        </w:rPr>
        <w:t xml:space="preserve"> studies do not track the success rates of the businesses. But we have complementary data from the US</w:t>
      </w:r>
      <w:r w:rsidR="000C006A">
        <w:rPr>
          <w:rFonts w:ascii="Baskerville" w:hAnsi="Baskerville" w:cs="Baskerville"/>
          <w:color w:val="000000"/>
          <w:sz w:val="24"/>
          <w:szCs w:val="24"/>
        </w:rPr>
        <w:t xml:space="preserve"> </w:t>
      </w:r>
      <w:r w:rsidR="00811308">
        <w:rPr>
          <w:rFonts w:ascii="Baskerville" w:hAnsi="Baskerville" w:cs="Baskerville"/>
          <w:color w:val="000000"/>
          <w:sz w:val="24"/>
          <w:szCs w:val="24"/>
        </w:rPr>
        <w:t>that sheds</w:t>
      </w:r>
      <w:r w:rsidR="00EA4279" w:rsidRPr="00D952CF">
        <w:rPr>
          <w:rFonts w:ascii="Baskerville" w:hAnsi="Baskerville" w:cs="Baskerville"/>
          <w:color w:val="000000"/>
          <w:sz w:val="24"/>
          <w:szCs w:val="24"/>
        </w:rPr>
        <w:t xml:space="preserve"> light on </w:t>
      </w:r>
      <w:r w:rsidR="000C006A">
        <w:rPr>
          <w:rFonts w:ascii="Baskerville" w:hAnsi="Baskerville" w:cs="Baskerville"/>
          <w:color w:val="000000"/>
          <w:sz w:val="24"/>
          <w:szCs w:val="24"/>
        </w:rPr>
        <w:t>how</w:t>
      </w:r>
      <w:r w:rsidR="00EA4279" w:rsidRPr="00D952CF">
        <w:rPr>
          <w:rFonts w:ascii="Baskerville" w:hAnsi="Baskerville" w:cs="Baskerville"/>
          <w:color w:val="000000"/>
          <w:sz w:val="24"/>
          <w:szCs w:val="24"/>
        </w:rPr>
        <w:t xml:space="preserve"> additional capital </w:t>
      </w:r>
      <w:r w:rsidR="000C006A">
        <w:rPr>
          <w:rFonts w:ascii="Baskerville" w:hAnsi="Baskerville" w:cs="Baskerville"/>
          <w:color w:val="000000"/>
          <w:sz w:val="24"/>
          <w:szCs w:val="24"/>
        </w:rPr>
        <w:t xml:space="preserve">affects the success rates of </w:t>
      </w:r>
      <w:r w:rsidR="00EA4279" w:rsidRPr="00D952CF">
        <w:rPr>
          <w:rFonts w:ascii="Baskerville" w:hAnsi="Baskerville" w:cs="Baskerville"/>
          <w:color w:val="000000"/>
          <w:sz w:val="24"/>
          <w:szCs w:val="24"/>
        </w:rPr>
        <w:t>businesses</w:t>
      </w:r>
      <w:r w:rsidR="000C006A">
        <w:rPr>
          <w:rFonts w:ascii="Baskerville" w:hAnsi="Baskerville" w:cs="Baskerville"/>
          <w:color w:val="000000"/>
          <w:sz w:val="24"/>
          <w:szCs w:val="24"/>
        </w:rPr>
        <w:t>. One</w:t>
      </w:r>
      <w:r w:rsidR="00CB2A74" w:rsidRPr="00D952CF">
        <w:rPr>
          <w:rFonts w:ascii="Baskerville" w:hAnsi="Baskerville" w:cs="Baskerville"/>
          <w:color w:val="000000"/>
          <w:sz w:val="24"/>
          <w:szCs w:val="24"/>
        </w:rPr>
        <w:t xml:space="preserve"> study</w:t>
      </w:r>
      <w:r w:rsidR="000C006A">
        <w:rPr>
          <w:rFonts w:ascii="Baskerville" w:hAnsi="Baskerville" w:cs="Baskerville"/>
          <w:color w:val="000000"/>
          <w:sz w:val="24"/>
          <w:szCs w:val="24"/>
        </w:rPr>
        <w:t xml:space="preserve"> shows</w:t>
      </w:r>
      <w:r w:rsidR="000B6315" w:rsidRPr="00D952CF">
        <w:rPr>
          <w:rFonts w:ascii="Baskerville" w:hAnsi="Baskerville" w:cs="Baskerville"/>
          <w:color w:val="000000"/>
          <w:sz w:val="24"/>
          <w:szCs w:val="24"/>
        </w:rPr>
        <w:t xml:space="preserve"> that if busines</w:t>
      </w:r>
      <w:r w:rsidR="000C006A">
        <w:rPr>
          <w:rFonts w:ascii="Baskerville" w:hAnsi="Baskerville" w:cs="Baskerville"/>
          <w:color w:val="000000"/>
          <w:sz w:val="24"/>
          <w:szCs w:val="24"/>
        </w:rPr>
        <w:t>s owners inherit $150,000, the</w:t>
      </w:r>
      <w:r w:rsidR="000B6315" w:rsidRPr="00D952CF">
        <w:rPr>
          <w:rFonts w:ascii="Baskerville" w:hAnsi="Baskerville" w:cs="Baskerville"/>
          <w:color w:val="000000"/>
          <w:sz w:val="24"/>
          <w:szCs w:val="24"/>
        </w:rPr>
        <w:t xml:space="preserve"> probability </w:t>
      </w:r>
      <w:r w:rsidR="000C006A">
        <w:rPr>
          <w:rFonts w:ascii="Baskerville" w:hAnsi="Baskerville" w:cs="Baskerville"/>
          <w:color w:val="000000"/>
          <w:sz w:val="24"/>
          <w:szCs w:val="24"/>
        </w:rPr>
        <w:t>that they</w:t>
      </w:r>
      <w:r w:rsidR="000B6315" w:rsidRPr="00D952CF">
        <w:rPr>
          <w:rFonts w:ascii="Baskerville" w:hAnsi="Baskerville" w:cs="Baskerville"/>
          <w:color w:val="000000"/>
          <w:sz w:val="24"/>
          <w:szCs w:val="24"/>
        </w:rPr>
        <w:t xml:space="preserve"> remain sole proprietors increases significantly.</w:t>
      </w:r>
      <w:r w:rsidR="00585E03">
        <w:rPr>
          <w:rFonts w:ascii="Baskerville" w:hAnsi="Baskerville" w:cs="Baskerville"/>
          <w:color w:val="000000"/>
          <w:sz w:val="24"/>
          <w:szCs w:val="24"/>
        </w:rPr>
        <w:t xml:space="preserve"> At the same time, the r</w:t>
      </w:r>
      <w:r w:rsidR="000B6315" w:rsidRPr="00D952CF">
        <w:rPr>
          <w:rFonts w:ascii="Baskerville" w:hAnsi="Baskerville" w:cs="Baskerville"/>
          <w:color w:val="000000"/>
          <w:sz w:val="24"/>
          <w:szCs w:val="24"/>
        </w:rPr>
        <w:t xml:space="preserve">eceipts of enterprises </w:t>
      </w:r>
      <w:r w:rsidR="00585E03">
        <w:rPr>
          <w:rFonts w:ascii="Baskerville" w:hAnsi="Baskerville" w:cs="Baskerville"/>
          <w:color w:val="000000"/>
          <w:sz w:val="24"/>
          <w:szCs w:val="24"/>
        </w:rPr>
        <w:t xml:space="preserve">that survived five years </w:t>
      </w:r>
      <w:r w:rsidR="000B6315" w:rsidRPr="00D952CF">
        <w:rPr>
          <w:rFonts w:ascii="Baskerville" w:hAnsi="Baskerville" w:cs="Baskerville"/>
          <w:color w:val="000000"/>
          <w:sz w:val="24"/>
          <w:szCs w:val="24"/>
        </w:rPr>
        <w:t>increase by almost 20%.</w:t>
      </w:r>
      <w:r w:rsidR="000B6315" w:rsidRPr="00E93D72">
        <w:rPr>
          <w:rStyle w:val="FootnoteReference"/>
        </w:rPr>
        <w:footnoteReference w:id="13"/>
      </w:r>
      <w:r w:rsidR="00CB2A74" w:rsidRPr="00D952CF">
        <w:rPr>
          <w:rFonts w:ascii="Baskerville" w:hAnsi="Baskerville" w:cs="Baskerville"/>
          <w:color w:val="000000"/>
          <w:sz w:val="24"/>
          <w:szCs w:val="24"/>
        </w:rPr>
        <w:t xml:space="preserve"> </w:t>
      </w:r>
      <w:r w:rsidR="000C006A">
        <w:rPr>
          <w:rFonts w:ascii="Baskerville" w:hAnsi="Baskerville" w:cs="Baskerville"/>
          <w:color w:val="000000"/>
          <w:sz w:val="24"/>
          <w:szCs w:val="24"/>
        </w:rPr>
        <w:t>Hence</w:t>
      </w:r>
      <w:r w:rsidR="00CB2A74" w:rsidRPr="00D952CF">
        <w:rPr>
          <w:rFonts w:ascii="Baskerville" w:hAnsi="Baskerville" w:cs="Baskerville"/>
          <w:color w:val="000000"/>
          <w:sz w:val="24"/>
          <w:szCs w:val="24"/>
        </w:rPr>
        <w:t xml:space="preserve"> an injection with capital</w:t>
      </w:r>
      <w:r w:rsidR="00EA4279" w:rsidRPr="00D952CF">
        <w:rPr>
          <w:rFonts w:ascii="Baskerville" w:hAnsi="Baskerville" w:cs="Baskerville"/>
          <w:color w:val="000000"/>
          <w:sz w:val="24"/>
          <w:szCs w:val="24"/>
        </w:rPr>
        <w:t xml:space="preserve"> </w:t>
      </w:r>
      <w:r w:rsidR="00CB2A74" w:rsidRPr="00D952CF">
        <w:rPr>
          <w:rFonts w:ascii="Baskerville" w:hAnsi="Baskerville" w:cs="Baskerville"/>
          <w:color w:val="000000"/>
          <w:sz w:val="24"/>
          <w:szCs w:val="24"/>
        </w:rPr>
        <w:t xml:space="preserve">increases </w:t>
      </w:r>
      <w:r w:rsidR="00EA4279" w:rsidRPr="00D952CF">
        <w:rPr>
          <w:rFonts w:ascii="Baskerville" w:hAnsi="Baskerville" w:cs="Baskerville"/>
          <w:color w:val="000000"/>
          <w:sz w:val="24"/>
          <w:szCs w:val="24"/>
        </w:rPr>
        <w:t xml:space="preserve">both the </w:t>
      </w:r>
      <w:r w:rsidR="00CB2A74" w:rsidRPr="00D952CF">
        <w:rPr>
          <w:rFonts w:ascii="Baskerville" w:hAnsi="Baskerville" w:cs="Baskerville"/>
          <w:color w:val="000000"/>
          <w:sz w:val="24"/>
          <w:szCs w:val="24"/>
        </w:rPr>
        <w:t>likelihood that businesses survive</w:t>
      </w:r>
      <w:r w:rsidR="00A9415F">
        <w:rPr>
          <w:rFonts w:ascii="Baskerville" w:hAnsi="Baskerville" w:cs="Baskerville"/>
          <w:color w:val="000000"/>
          <w:sz w:val="24"/>
          <w:szCs w:val="24"/>
        </w:rPr>
        <w:t xml:space="preserve"> and</w:t>
      </w:r>
      <w:r w:rsidR="000C006A">
        <w:rPr>
          <w:rFonts w:ascii="Baskerville" w:hAnsi="Baskerville" w:cs="Baskerville"/>
          <w:color w:val="000000"/>
          <w:sz w:val="24"/>
          <w:szCs w:val="24"/>
        </w:rPr>
        <w:t xml:space="preserve"> </w:t>
      </w:r>
      <w:r w:rsidR="00CB2A74" w:rsidRPr="00D952CF">
        <w:rPr>
          <w:rFonts w:ascii="Baskerville" w:hAnsi="Baskerville" w:cs="Baskerville"/>
          <w:color w:val="000000"/>
          <w:sz w:val="24"/>
          <w:szCs w:val="24"/>
        </w:rPr>
        <w:t>their profitability.</w:t>
      </w:r>
      <w:r w:rsidR="00EA4279" w:rsidRPr="00D952CF">
        <w:rPr>
          <w:rFonts w:ascii="Baskerville" w:hAnsi="Baskerville" w:cs="Baskerville"/>
          <w:color w:val="000000"/>
          <w:sz w:val="24"/>
          <w:szCs w:val="24"/>
        </w:rPr>
        <w:t xml:space="preserve"> </w:t>
      </w:r>
      <w:r w:rsidR="00AC76DD">
        <w:rPr>
          <w:rFonts w:ascii="Baskerville" w:hAnsi="Baskerville" w:cs="Baskerville"/>
          <w:color w:val="000000"/>
          <w:sz w:val="24"/>
          <w:szCs w:val="24"/>
        </w:rPr>
        <w:t xml:space="preserve">But it </w:t>
      </w:r>
      <w:r w:rsidR="00AC76DD">
        <w:rPr>
          <w:rFonts w:ascii="Baskerville" w:hAnsi="Baskerville" w:cs="Baskerville"/>
          <w:color w:val="000000"/>
          <w:sz w:val="24"/>
          <w:szCs w:val="24"/>
        </w:rPr>
        <w:lastRenderedPageBreak/>
        <w:t xml:space="preserve">still does not follow that entrepreneurs are wrongfully excluded from credit. </w:t>
      </w:r>
      <w:r w:rsidR="00F858A1">
        <w:rPr>
          <w:rFonts w:ascii="Baskerville" w:hAnsi="Baskerville" w:cs="Baskerville"/>
          <w:color w:val="000000"/>
          <w:sz w:val="24"/>
          <w:szCs w:val="24"/>
        </w:rPr>
        <w:t xml:space="preserve">Perhaps </w:t>
      </w:r>
      <w:r w:rsidR="00AC76DD">
        <w:rPr>
          <w:rFonts w:ascii="Baskerville" w:hAnsi="Baskerville" w:cs="Baskerville"/>
          <w:color w:val="000000"/>
          <w:sz w:val="24"/>
          <w:szCs w:val="24"/>
        </w:rPr>
        <w:t xml:space="preserve">people who receive large inheritances </w:t>
      </w:r>
      <w:r w:rsidR="00F858A1">
        <w:rPr>
          <w:rFonts w:ascii="Baskerville" w:hAnsi="Baskerville" w:cs="Baskerville"/>
          <w:color w:val="000000"/>
          <w:sz w:val="24"/>
          <w:szCs w:val="24"/>
        </w:rPr>
        <w:t>are</w:t>
      </w:r>
      <w:r w:rsidR="00AC76DD">
        <w:rPr>
          <w:rFonts w:ascii="Baskerville" w:hAnsi="Baskerville" w:cs="Baskerville"/>
          <w:color w:val="000000"/>
          <w:sz w:val="24"/>
          <w:szCs w:val="24"/>
        </w:rPr>
        <w:t xml:space="preserve"> better entrepreneurs</w:t>
      </w:r>
      <w:r w:rsidR="00F858A1">
        <w:rPr>
          <w:rFonts w:ascii="Baskerville" w:hAnsi="Baskerville" w:cs="Baskerville"/>
          <w:color w:val="000000"/>
          <w:sz w:val="24"/>
          <w:szCs w:val="24"/>
        </w:rPr>
        <w:t>?</w:t>
      </w:r>
      <w:r w:rsidR="00AC76DD">
        <w:rPr>
          <w:rFonts w:ascii="Baskerville" w:hAnsi="Baskerville" w:cs="Baskerville"/>
          <w:color w:val="000000"/>
          <w:sz w:val="24"/>
          <w:szCs w:val="24"/>
        </w:rPr>
        <w:t xml:space="preserve"> </w:t>
      </w:r>
      <w:r w:rsidR="00F858A1">
        <w:rPr>
          <w:rFonts w:ascii="Baskerville" w:hAnsi="Baskerville" w:cs="Baskerville"/>
          <w:color w:val="000000"/>
          <w:sz w:val="24"/>
          <w:szCs w:val="24"/>
        </w:rPr>
        <w:t xml:space="preserve">By contrast, </w:t>
      </w:r>
      <w:r w:rsidR="00811308">
        <w:rPr>
          <w:rFonts w:ascii="Baskerville" w:hAnsi="Baskerville" w:cs="Baskerville"/>
          <w:color w:val="000000"/>
          <w:sz w:val="24"/>
          <w:szCs w:val="24"/>
        </w:rPr>
        <w:t>t</w:t>
      </w:r>
      <w:r w:rsidR="000C006A">
        <w:rPr>
          <w:rFonts w:ascii="Baskerville" w:hAnsi="Baskerville" w:cs="Baskerville"/>
          <w:color w:val="000000"/>
          <w:sz w:val="24"/>
          <w:szCs w:val="24"/>
        </w:rPr>
        <w:t>here is evidence that the wealthy a</w:t>
      </w:r>
      <w:r w:rsidR="00811308">
        <w:rPr>
          <w:rFonts w:ascii="Baskerville" w:hAnsi="Baskerville" w:cs="Baskerville"/>
          <w:color w:val="000000"/>
          <w:sz w:val="24"/>
          <w:szCs w:val="24"/>
        </w:rPr>
        <w:t>re not the better entrepreneurs</w:t>
      </w:r>
      <w:r w:rsidR="000C006A">
        <w:rPr>
          <w:rFonts w:ascii="Baskerville" w:hAnsi="Baskerville" w:cs="Baskerville"/>
          <w:color w:val="000000"/>
          <w:sz w:val="24"/>
          <w:szCs w:val="24"/>
        </w:rPr>
        <w:t>.</w:t>
      </w:r>
      <w:r w:rsidR="000C006A" w:rsidRPr="00E93D72">
        <w:rPr>
          <w:rStyle w:val="FootnoteReference"/>
        </w:rPr>
        <w:footnoteReference w:id="14"/>
      </w:r>
      <w:r w:rsidR="000C006A">
        <w:rPr>
          <w:rFonts w:ascii="Baskerville" w:hAnsi="Baskerville" w:cs="Baskerville"/>
          <w:color w:val="000000"/>
          <w:sz w:val="24"/>
          <w:szCs w:val="24"/>
        </w:rPr>
        <w:t xml:space="preserve"> </w:t>
      </w:r>
      <w:r w:rsidR="000B6315" w:rsidRPr="00D952CF">
        <w:rPr>
          <w:rFonts w:ascii="Baskerville" w:hAnsi="Baskerville" w:cs="Baskerville"/>
          <w:color w:val="000000"/>
          <w:sz w:val="24"/>
          <w:szCs w:val="24"/>
        </w:rPr>
        <w:t xml:space="preserve">Again using US data, </w:t>
      </w:r>
      <w:r w:rsidR="00EA4279" w:rsidRPr="00D952CF">
        <w:rPr>
          <w:rFonts w:ascii="Baskerville" w:hAnsi="Baskerville" w:cs="Baskerville"/>
          <w:color w:val="000000"/>
          <w:sz w:val="24"/>
          <w:szCs w:val="24"/>
        </w:rPr>
        <w:t>another study concludes that</w:t>
      </w:r>
      <w:r w:rsidR="00717E7A">
        <w:rPr>
          <w:rFonts w:ascii="Baskerville" w:hAnsi="Baskerville" w:cs="Baskerville"/>
          <w:color w:val="000000"/>
          <w:sz w:val="24"/>
          <w:szCs w:val="24"/>
        </w:rPr>
        <w:t xml:space="preserve"> </w:t>
      </w:r>
      <w:r w:rsidR="000B6315" w:rsidRPr="00D952CF">
        <w:rPr>
          <w:rFonts w:ascii="Baskerville" w:hAnsi="Baskerville" w:cs="Baskerville"/>
          <w:color w:val="000000"/>
          <w:sz w:val="24"/>
          <w:szCs w:val="24"/>
        </w:rPr>
        <w:t>higher survival rate</w:t>
      </w:r>
      <w:r w:rsidR="00EA4279" w:rsidRPr="00D952CF">
        <w:rPr>
          <w:rFonts w:ascii="Baskerville" w:hAnsi="Baskerville" w:cs="Baskerville"/>
          <w:color w:val="000000"/>
          <w:sz w:val="24"/>
          <w:szCs w:val="24"/>
        </w:rPr>
        <w:t>s</w:t>
      </w:r>
      <w:r w:rsidR="000B6315" w:rsidRPr="00D952CF">
        <w:rPr>
          <w:rFonts w:ascii="Baskerville" w:hAnsi="Baskerville" w:cs="Baskerville"/>
          <w:color w:val="000000"/>
          <w:sz w:val="24"/>
          <w:szCs w:val="24"/>
        </w:rPr>
        <w:t xml:space="preserve"> of enterprises run by wealthier people </w:t>
      </w:r>
      <w:r w:rsidR="00EA4279" w:rsidRPr="00D952CF">
        <w:rPr>
          <w:rFonts w:ascii="Baskerville" w:hAnsi="Baskerville" w:cs="Baskerville"/>
          <w:color w:val="000000"/>
          <w:sz w:val="24"/>
          <w:szCs w:val="24"/>
        </w:rPr>
        <w:t xml:space="preserve">are caused by </w:t>
      </w:r>
      <w:r w:rsidR="000B6315" w:rsidRPr="00D952CF">
        <w:rPr>
          <w:rFonts w:ascii="Baskerville" w:hAnsi="Baskerville" w:cs="Baskerville"/>
          <w:color w:val="000000"/>
          <w:sz w:val="24"/>
          <w:szCs w:val="24"/>
        </w:rPr>
        <w:t>liquidity constraints</w:t>
      </w:r>
      <w:r w:rsidR="00EA4279" w:rsidRPr="00D952CF">
        <w:rPr>
          <w:rFonts w:ascii="Baskerville" w:hAnsi="Baskerville" w:cs="Baskerville"/>
          <w:color w:val="000000"/>
          <w:sz w:val="24"/>
          <w:szCs w:val="24"/>
        </w:rPr>
        <w:t xml:space="preserve"> on poorer entrepreneurs</w:t>
      </w:r>
      <w:r w:rsidR="000B6315" w:rsidRPr="00D952CF">
        <w:rPr>
          <w:rFonts w:ascii="Baskerville" w:hAnsi="Baskerville" w:cs="Baskerville"/>
          <w:color w:val="000000"/>
          <w:sz w:val="24"/>
          <w:szCs w:val="24"/>
        </w:rPr>
        <w:t xml:space="preserve">. </w:t>
      </w:r>
      <w:r w:rsidR="00BC18BB">
        <w:rPr>
          <w:rFonts w:ascii="Baskerville" w:hAnsi="Baskerville" w:cs="Baskerville"/>
          <w:color w:val="000000"/>
          <w:sz w:val="24"/>
          <w:szCs w:val="24"/>
        </w:rPr>
        <w:t>Taken together,</w:t>
      </w:r>
      <w:r w:rsidR="00EA4279" w:rsidRPr="00D952CF">
        <w:rPr>
          <w:rFonts w:ascii="Baskerville" w:hAnsi="Baskerville" w:cs="Baskerville"/>
          <w:color w:val="000000"/>
          <w:sz w:val="24"/>
          <w:szCs w:val="24"/>
        </w:rPr>
        <w:t xml:space="preserve"> these studies suggest that a sizable share of entrepreneurs lacking access to credit are wrongfully excluded</w:t>
      </w:r>
      <w:r w:rsidR="000B6315" w:rsidRPr="00D952CF">
        <w:rPr>
          <w:rFonts w:ascii="Baskerville" w:hAnsi="Baskerville" w:cs="Baskerville"/>
          <w:color w:val="000000"/>
          <w:sz w:val="24"/>
          <w:szCs w:val="24"/>
        </w:rPr>
        <w:t>.</w:t>
      </w:r>
    </w:p>
    <w:p w14:paraId="22F7F08E" w14:textId="0132F0C9" w:rsidR="000B6315" w:rsidRPr="00D952CF" w:rsidRDefault="0057406A" w:rsidP="000B6315">
      <w:pPr>
        <w:pStyle w:val="BodyText"/>
        <w:spacing w:line="360" w:lineRule="auto"/>
        <w:rPr>
          <w:rFonts w:ascii="Baskerville" w:hAnsi="Baskerville" w:cs="Baskerville"/>
          <w:color w:val="000000"/>
          <w:sz w:val="24"/>
          <w:szCs w:val="24"/>
        </w:rPr>
      </w:pPr>
      <w:r w:rsidRPr="00D952CF">
        <w:rPr>
          <w:rFonts w:ascii="Baskerville" w:hAnsi="Baskerville" w:cs="Baskerville"/>
          <w:color w:val="000000"/>
          <w:sz w:val="24"/>
          <w:szCs w:val="24"/>
        </w:rPr>
        <w:t xml:space="preserve">The studies we have considered so far apply to credit for small businesses. Do the observations from these studies carry over to consumer credit? </w:t>
      </w:r>
      <w:r w:rsidR="000B6315" w:rsidRPr="00D952CF">
        <w:rPr>
          <w:rFonts w:ascii="Baskerville" w:hAnsi="Baskerville" w:cs="Baskerville"/>
          <w:color w:val="000000"/>
          <w:sz w:val="24"/>
          <w:szCs w:val="24"/>
        </w:rPr>
        <w:t xml:space="preserve">There is evidence of </w:t>
      </w:r>
      <w:r w:rsidRPr="00D952CF">
        <w:rPr>
          <w:rFonts w:ascii="Baskerville" w:hAnsi="Baskerville" w:cs="Baskerville"/>
          <w:color w:val="000000"/>
          <w:sz w:val="24"/>
          <w:szCs w:val="24"/>
        </w:rPr>
        <w:t xml:space="preserve">wrongful exclusion </w:t>
      </w:r>
      <w:r w:rsidR="000B6315" w:rsidRPr="00D952CF">
        <w:rPr>
          <w:rFonts w:ascii="Baskerville" w:hAnsi="Baskerville" w:cs="Baskerville"/>
          <w:color w:val="000000"/>
          <w:sz w:val="24"/>
          <w:szCs w:val="24"/>
        </w:rPr>
        <w:t>in US consumpt</w:t>
      </w:r>
      <w:r w:rsidR="00811308">
        <w:rPr>
          <w:rFonts w:ascii="Baskerville" w:hAnsi="Baskerville" w:cs="Baskerville"/>
          <w:color w:val="000000"/>
          <w:sz w:val="24"/>
          <w:szCs w:val="24"/>
        </w:rPr>
        <w:t>ion contexts. One study compares</w:t>
      </w:r>
      <w:r w:rsidR="000B6315" w:rsidRPr="00D952CF">
        <w:rPr>
          <w:rFonts w:ascii="Baskerville" w:hAnsi="Baskerville" w:cs="Baskerville"/>
          <w:color w:val="000000"/>
          <w:sz w:val="24"/>
          <w:szCs w:val="24"/>
        </w:rPr>
        <w:t xml:space="preserve"> trade-offs that high- and low-income buyers make between initial outlay and operating costs when buying air conditioners.</w:t>
      </w:r>
      <w:r w:rsidR="000B6315" w:rsidRPr="00E93D72">
        <w:rPr>
          <w:rStyle w:val="FootnoteReference"/>
        </w:rPr>
        <w:footnoteReference w:id="15"/>
      </w:r>
      <w:r w:rsidR="000B6315" w:rsidRPr="00D952CF">
        <w:rPr>
          <w:rFonts w:ascii="Baskerville" w:hAnsi="Baskerville" w:cs="Baskerville"/>
          <w:color w:val="000000"/>
          <w:sz w:val="24"/>
          <w:szCs w:val="24"/>
        </w:rPr>
        <w:t xml:space="preserve"> The study finds that high-income buyers </w:t>
      </w:r>
      <w:r w:rsidRPr="00D952CF">
        <w:rPr>
          <w:rFonts w:ascii="Baskerville" w:hAnsi="Baskerville" w:cs="Baskerville"/>
          <w:color w:val="000000"/>
          <w:sz w:val="24"/>
          <w:szCs w:val="24"/>
        </w:rPr>
        <w:t>pay less for</w:t>
      </w:r>
      <w:r w:rsidR="000B6315" w:rsidRPr="00D952CF">
        <w:rPr>
          <w:rFonts w:ascii="Baskerville" w:hAnsi="Baskerville" w:cs="Baskerville"/>
          <w:color w:val="000000"/>
          <w:sz w:val="24"/>
          <w:szCs w:val="24"/>
        </w:rPr>
        <w:t xml:space="preserve"> air conditioning </w:t>
      </w:r>
      <w:r w:rsidR="00BC18BB">
        <w:rPr>
          <w:rFonts w:ascii="Baskerville" w:hAnsi="Baskerville" w:cs="Baskerville"/>
          <w:color w:val="000000"/>
          <w:sz w:val="24"/>
          <w:szCs w:val="24"/>
        </w:rPr>
        <w:t xml:space="preserve">in the long run </w:t>
      </w:r>
      <w:r w:rsidR="000B6315" w:rsidRPr="00D952CF">
        <w:rPr>
          <w:rFonts w:ascii="Baskerville" w:hAnsi="Baskerville" w:cs="Baskerville"/>
          <w:color w:val="000000"/>
          <w:sz w:val="24"/>
          <w:szCs w:val="24"/>
        </w:rPr>
        <w:t xml:space="preserve">than low-income buyers. </w:t>
      </w:r>
      <w:r w:rsidRPr="00D952CF">
        <w:rPr>
          <w:rFonts w:ascii="Baskerville" w:hAnsi="Baskerville" w:cs="Baskerville"/>
          <w:color w:val="000000"/>
          <w:sz w:val="24"/>
          <w:szCs w:val="24"/>
        </w:rPr>
        <w:t xml:space="preserve">The reason is that </w:t>
      </w:r>
      <w:r w:rsidR="00BC18BB">
        <w:rPr>
          <w:rFonts w:ascii="Baskerville" w:hAnsi="Baskerville" w:cs="Baskerville"/>
          <w:color w:val="000000"/>
          <w:sz w:val="24"/>
          <w:szCs w:val="24"/>
        </w:rPr>
        <w:t>low-income buyers</w:t>
      </w:r>
      <w:r w:rsidR="000B6315" w:rsidRPr="00D952CF">
        <w:rPr>
          <w:rFonts w:ascii="Baskerville" w:hAnsi="Baskerville" w:cs="Baskerville"/>
          <w:color w:val="000000"/>
          <w:sz w:val="24"/>
          <w:szCs w:val="24"/>
        </w:rPr>
        <w:t xml:space="preserve"> </w:t>
      </w:r>
      <w:r w:rsidR="00BC18BB">
        <w:rPr>
          <w:rFonts w:ascii="Baskerville" w:hAnsi="Baskerville" w:cs="Baskerville"/>
          <w:color w:val="000000"/>
          <w:sz w:val="24"/>
          <w:szCs w:val="24"/>
        </w:rPr>
        <w:t>chose</w:t>
      </w:r>
      <w:r w:rsidR="000B6315" w:rsidRPr="00D952CF">
        <w:rPr>
          <w:rFonts w:ascii="Baskerville" w:hAnsi="Baskerville" w:cs="Baskerville"/>
          <w:color w:val="000000"/>
          <w:sz w:val="24"/>
          <w:szCs w:val="24"/>
        </w:rPr>
        <w:t xml:space="preserve"> cheaper models</w:t>
      </w:r>
      <w:r w:rsidRPr="00D952CF">
        <w:rPr>
          <w:rFonts w:ascii="Baskerville" w:hAnsi="Baskerville" w:cs="Baskerville"/>
          <w:color w:val="000000"/>
          <w:sz w:val="24"/>
          <w:szCs w:val="24"/>
        </w:rPr>
        <w:t xml:space="preserve"> </w:t>
      </w:r>
      <w:r w:rsidR="00BC18BB">
        <w:rPr>
          <w:rFonts w:ascii="Baskerville" w:hAnsi="Baskerville" w:cs="Baskerville"/>
          <w:color w:val="000000"/>
          <w:sz w:val="24"/>
          <w:szCs w:val="24"/>
        </w:rPr>
        <w:t>with</w:t>
      </w:r>
      <w:r w:rsidRPr="00D952CF">
        <w:rPr>
          <w:rFonts w:ascii="Baskerville" w:hAnsi="Baskerville" w:cs="Baskerville"/>
          <w:color w:val="000000"/>
          <w:sz w:val="24"/>
          <w:szCs w:val="24"/>
        </w:rPr>
        <w:t xml:space="preserve"> higher operating costs</w:t>
      </w:r>
      <w:r w:rsidR="000B6315" w:rsidRPr="00D952CF">
        <w:rPr>
          <w:rFonts w:ascii="Baskerville" w:hAnsi="Baskerville" w:cs="Baskerville"/>
          <w:color w:val="000000"/>
          <w:sz w:val="24"/>
          <w:szCs w:val="24"/>
        </w:rPr>
        <w:t xml:space="preserve">. </w:t>
      </w:r>
      <w:r w:rsidRPr="00D952CF">
        <w:rPr>
          <w:rFonts w:ascii="Baskerville" w:hAnsi="Baskerville" w:cs="Baskerville"/>
          <w:color w:val="000000"/>
          <w:sz w:val="24"/>
          <w:szCs w:val="24"/>
        </w:rPr>
        <w:t xml:space="preserve">Taking </w:t>
      </w:r>
      <w:r w:rsidR="00BC18BB">
        <w:rPr>
          <w:rFonts w:ascii="Baskerville" w:hAnsi="Baskerville" w:cs="Baskerville"/>
          <w:color w:val="000000"/>
          <w:sz w:val="24"/>
          <w:szCs w:val="24"/>
        </w:rPr>
        <w:t>operating</w:t>
      </w:r>
      <w:r w:rsidRPr="00D952CF">
        <w:rPr>
          <w:rFonts w:ascii="Baskerville" w:hAnsi="Baskerville" w:cs="Baskerville"/>
          <w:color w:val="000000"/>
          <w:sz w:val="24"/>
          <w:szCs w:val="24"/>
        </w:rPr>
        <w:t xml:space="preserve"> costs into account, low-income buyers </w:t>
      </w:r>
      <w:r w:rsidR="00BC18BB">
        <w:rPr>
          <w:rFonts w:ascii="Baskerville" w:hAnsi="Baskerville" w:cs="Baskerville"/>
          <w:color w:val="000000"/>
          <w:sz w:val="24"/>
          <w:szCs w:val="24"/>
        </w:rPr>
        <w:t>pay</w:t>
      </w:r>
      <w:r w:rsidR="000B6315" w:rsidRPr="00D952CF">
        <w:rPr>
          <w:rFonts w:ascii="Baskerville" w:hAnsi="Baskerville" w:cs="Baskerville"/>
          <w:color w:val="000000"/>
          <w:sz w:val="24"/>
          <w:szCs w:val="24"/>
        </w:rPr>
        <w:t xml:space="preserve"> substantially </w:t>
      </w:r>
      <w:r w:rsidR="00BC18BB">
        <w:rPr>
          <w:rFonts w:ascii="Baskerville" w:hAnsi="Baskerville" w:cs="Baskerville"/>
          <w:color w:val="000000"/>
          <w:sz w:val="24"/>
          <w:szCs w:val="24"/>
        </w:rPr>
        <w:t>more</w:t>
      </w:r>
      <w:r w:rsidRPr="00D952CF">
        <w:rPr>
          <w:rFonts w:ascii="Baskerville" w:hAnsi="Baskerville" w:cs="Baskerville"/>
          <w:color w:val="000000"/>
          <w:sz w:val="24"/>
          <w:szCs w:val="24"/>
        </w:rPr>
        <w:t xml:space="preserve"> for air</w:t>
      </w:r>
      <w:r w:rsidR="00620EEC">
        <w:rPr>
          <w:rFonts w:ascii="Baskerville" w:hAnsi="Baskerville" w:cs="Baskerville"/>
          <w:color w:val="000000"/>
          <w:sz w:val="24"/>
          <w:szCs w:val="24"/>
        </w:rPr>
        <w:t xml:space="preserve"> </w:t>
      </w:r>
      <w:r w:rsidRPr="00D952CF">
        <w:rPr>
          <w:rFonts w:ascii="Baskerville" w:hAnsi="Baskerville" w:cs="Baskerville"/>
          <w:color w:val="000000"/>
          <w:sz w:val="24"/>
          <w:szCs w:val="24"/>
        </w:rPr>
        <w:t>conditioning, even though they are more price-sensitive</w:t>
      </w:r>
      <w:r w:rsidR="000B6315" w:rsidRPr="00D952CF">
        <w:rPr>
          <w:rFonts w:ascii="Baskerville" w:hAnsi="Baskerville" w:cs="Baskerville"/>
          <w:color w:val="000000"/>
          <w:sz w:val="24"/>
          <w:szCs w:val="24"/>
        </w:rPr>
        <w:t>.</w:t>
      </w:r>
      <w:r w:rsidRPr="00D952CF">
        <w:rPr>
          <w:rFonts w:ascii="Baskerville" w:hAnsi="Baskerville" w:cs="Baskerville"/>
          <w:color w:val="000000"/>
          <w:sz w:val="24"/>
          <w:szCs w:val="24"/>
        </w:rPr>
        <w:t xml:space="preserve"> The </w:t>
      </w:r>
      <w:r w:rsidR="00966BDB">
        <w:rPr>
          <w:rFonts w:ascii="Baskerville" w:hAnsi="Baskerville" w:cs="Baskerville"/>
          <w:color w:val="000000"/>
          <w:sz w:val="24"/>
          <w:szCs w:val="24"/>
        </w:rPr>
        <w:t xml:space="preserve">major reason the </w:t>
      </w:r>
      <w:r w:rsidRPr="00D952CF">
        <w:rPr>
          <w:rFonts w:ascii="Baskerville" w:hAnsi="Baskerville" w:cs="Baskerville"/>
          <w:color w:val="000000"/>
          <w:sz w:val="24"/>
          <w:szCs w:val="24"/>
        </w:rPr>
        <w:t xml:space="preserve">study identifies </w:t>
      </w:r>
      <w:r w:rsidR="00966BDB">
        <w:rPr>
          <w:rFonts w:ascii="Baskerville" w:hAnsi="Baskerville" w:cs="Baskerville"/>
          <w:color w:val="000000"/>
          <w:sz w:val="24"/>
          <w:szCs w:val="24"/>
        </w:rPr>
        <w:t xml:space="preserve">is </w:t>
      </w:r>
      <w:r w:rsidRPr="00D952CF">
        <w:rPr>
          <w:rFonts w:ascii="Baskerville" w:hAnsi="Baskerville" w:cs="Baskerville"/>
          <w:color w:val="000000"/>
          <w:sz w:val="24"/>
          <w:szCs w:val="24"/>
        </w:rPr>
        <w:t>liquidity constraints. Since low-income buyers manage to meet the substantially higher overall costs of cheap air</w:t>
      </w:r>
      <w:r w:rsidR="000830F0">
        <w:rPr>
          <w:rFonts w:ascii="Baskerville" w:hAnsi="Baskerville" w:cs="Baskerville"/>
          <w:color w:val="000000"/>
          <w:sz w:val="24"/>
          <w:szCs w:val="24"/>
        </w:rPr>
        <w:t xml:space="preserve"> </w:t>
      </w:r>
      <w:r w:rsidRPr="00D952CF">
        <w:rPr>
          <w:rFonts w:ascii="Baskerville" w:hAnsi="Baskerville" w:cs="Baskerville"/>
          <w:color w:val="000000"/>
          <w:sz w:val="24"/>
          <w:szCs w:val="24"/>
        </w:rPr>
        <w:t xml:space="preserve">conditioners, they </w:t>
      </w:r>
      <w:r w:rsidR="00BC18BB">
        <w:rPr>
          <w:rFonts w:ascii="Baskerville" w:hAnsi="Baskerville" w:cs="Baskerville"/>
          <w:color w:val="000000"/>
          <w:sz w:val="24"/>
          <w:szCs w:val="24"/>
        </w:rPr>
        <w:t>would</w:t>
      </w:r>
      <w:r w:rsidRPr="00D952CF">
        <w:rPr>
          <w:rFonts w:ascii="Baskerville" w:hAnsi="Baskerville" w:cs="Baskerville"/>
          <w:color w:val="000000"/>
          <w:sz w:val="24"/>
          <w:szCs w:val="24"/>
        </w:rPr>
        <w:t xml:space="preserve"> also be able to service a consumption credit to buy a more expensive model, with only some of the savings due to lower running costs eaten up by interest payments. </w:t>
      </w:r>
    </w:p>
    <w:p w14:paraId="1CD436FA" w14:textId="16AFFE47" w:rsidR="000B6315" w:rsidRPr="00D952CF" w:rsidRDefault="00BC18BB" w:rsidP="000B6315">
      <w:pPr>
        <w:pStyle w:val="BodyText"/>
        <w:spacing w:line="360" w:lineRule="auto"/>
        <w:rPr>
          <w:rFonts w:ascii="Baskerville" w:hAnsi="Baskerville" w:cs="Baskerville"/>
          <w:color w:val="000000"/>
          <w:sz w:val="24"/>
          <w:szCs w:val="24"/>
        </w:rPr>
      </w:pPr>
      <w:r>
        <w:rPr>
          <w:rFonts w:ascii="Baskerville" w:hAnsi="Baskerville" w:cs="Baskerville"/>
          <w:color w:val="000000"/>
          <w:sz w:val="24"/>
          <w:szCs w:val="24"/>
        </w:rPr>
        <w:t>Credit</w:t>
      </w:r>
      <w:r w:rsidR="0057406A" w:rsidRPr="00D952CF">
        <w:rPr>
          <w:rFonts w:ascii="Baskerville" w:hAnsi="Baskerville" w:cs="Baskerville"/>
          <w:color w:val="000000"/>
          <w:sz w:val="24"/>
          <w:szCs w:val="24"/>
        </w:rPr>
        <w:t xml:space="preserve"> exclusion has</w:t>
      </w:r>
      <w:r w:rsidR="000B6315" w:rsidRPr="00D952CF">
        <w:rPr>
          <w:rFonts w:ascii="Baskerville" w:hAnsi="Baskerville" w:cs="Baskerville"/>
          <w:color w:val="000000"/>
          <w:sz w:val="24"/>
          <w:szCs w:val="24"/>
        </w:rPr>
        <w:t xml:space="preserve"> also been studied in the US housing market.</w:t>
      </w:r>
      <w:r w:rsidR="0057406A" w:rsidRPr="00E93D72">
        <w:rPr>
          <w:rStyle w:val="FootnoteReference"/>
        </w:rPr>
        <w:footnoteReference w:id="16"/>
      </w:r>
      <w:r w:rsidR="000B6315" w:rsidRPr="00D952CF">
        <w:rPr>
          <w:rFonts w:ascii="Baskerville" w:hAnsi="Baskerville" w:cs="Baskerville"/>
          <w:color w:val="000000"/>
          <w:sz w:val="24"/>
          <w:szCs w:val="24"/>
        </w:rPr>
        <w:t xml:space="preserve"> A third of </w:t>
      </w:r>
      <w:r w:rsidR="00913359">
        <w:rPr>
          <w:rFonts w:ascii="Baskerville" w:hAnsi="Baskerville" w:cs="Baskerville"/>
          <w:color w:val="000000"/>
          <w:sz w:val="24"/>
          <w:szCs w:val="24"/>
        </w:rPr>
        <w:t xml:space="preserve">US </w:t>
      </w:r>
      <w:r w:rsidR="000B6315" w:rsidRPr="00D952CF">
        <w:rPr>
          <w:rFonts w:ascii="Baskerville" w:hAnsi="Baskerville" w:cs="Baskerville"/>
          <w:color w:val="000000"/>
          <w:sz w:val="24"/>
          <w:szCs w:val="24"/>
        </w:rPr>
        <w:t>families rent rather than own</w:t>
      </w:r>
      <w:r w:rsidR="0057406A" w:rsidRPr="00D952CF">
        <w:rPr>
          <w:rFonts w:ascii="Baskerville" w:hAnsi="Baskerville" w:cs="Baskerville"/>
          <w:color w:val="000000"/>
          <w:sz w:val="24"/>
          <w:szCs w:val="24"/>
        </w:rPr>
        <w:t>. Renting families are not more geographical</w:t>
      </w:r>
      <w:r>
        <w:rPr>
          <w:rFonts w:ascii="Baskerville" w:hAnsi="Baskerville" w:cs="Baskerville"/>
          <w:color w:val="000000"/>
          <w:sz w:val="24"/>
          <w:szCs w:val="24"/>
        </w:rPr>
        <w:t>ly mobile than buying families—</w:t>
      </w:r>
      <w:r w:rsidR="0057406A" w:rsidRPr="00D952CF">
        <w:rPr>
          <w:rFonts w:ascii="Baskerville" w:hAnsi="Baskerville" w:cs="Baskerville"/>
          <w:color w:val="000000"/>
          <w:sz w:val="24"/>
          <w:szCs w:val="24"/>
        </w:rPr>
        <w:t>if</w:t>
      </w:r>
      <w:r>
        <w:rPr>
          <w:rFonts w:ascii="Baskerville" w:hAnsi="Baskerville" w:cs="Baskerville"/>
          <w:color w:val="000000"/>
          <w:sz w:val="24"/>
          <w:szCs w:val="24"/>
        </w:rPr>
        <w:t xml:space="preserve"> </w:t>
      </w:r>
      <w:r w:rsidR="0057406A" w:rsidRPr="00D952CF">
        <w:rPr>
          <w:rFonts w:ascii="Baskerville" w:hAnsi="Baskerville" w:cs="Baskerville"/>
          <w:color w:val="000000"/>
          <w:sz w:val="24"/>
          <w:szCs w:val="24"/>
        </w:rPr>
        <w:t>anything, the opposite</w:t>
      </w:r>
      <w:r>
        <w:rPr>
          <w:rFonts w:ascii="Baskerville" w:hAnsi="Baskerville" w:cs="Baskerville"/>
          <w:color w:val="000000"/>
          <w:sz w:val="24"/>
          <w:szCs w:val="24"/>
        </w:rPr>
        <w:t xml:space="preserve"> holds</w:t>
      </w:r>
      <w:r w:rsidR="0057406A" w:rsidRPr="00D952CF">
        <w:rPr>
          <w:rFonts w:ascii="Baskerville" w:hAnsi="Baskerville" w:cs="Baskerville"/>
          <w:color w:val="000000"/>
          <w:sz w:val="24"/>
          <w:szCs w:val="24"/>
        </w:rPr>
        <w:t xml:space="preserve">. </w:t>
      </w:r>
      <w:r w:rsidR="00F771CF" w:rsidRPr="00D952CF">
        <w:rPr>
          <w:rFonts w:ascii="Baskerville" w:hAnsi="Baskerville" w:cs="Baskerville"/>
          <w:color w:val="000000"/>
          <w:sz w:val="24"/>
          <w:szCs w:val="24"/>
        </w:rPr>
        <w:t>Similar to the air</w:t>
      </w:r>
      <w:r w:rsidR="004D1AC8">
        <w:rPr>
          <w:rFonts w:ascii="Baskerville" w:hAnsi="Baskerville" w:cs="Baskerville"/>
          <w:color w:val="000000"/>
          <w:sz w:val="24"/>
          <w:szCs w:val="24"/>
        </w:rPr>
        <w:t>-</w:t>
      </w:r>
      <w:r w:rsidR="00F771CF" w:rsidRPr="00D952CF">
        <w:rPr>
          <w:rFonts w:ascii="Baskerville" w:hAnsi="Baskerville" w:cs="Baskerville"/>
          <w:color w:val="000000"/>
          <w:sz w:val="24"/>
          <w:szCs w:val="24"/>
        </w:rPr>
        <w:t>conditioning case, buying houses in the US is</w:t>
      </w:r>
      <w:r w:rsidR="000B6315" w:rsidRPr="00D952CF">
        <w:rPr>
          <w:rFonts w:ascii="Baskerville" w:hAnsi="Baskerville" w:cs="Baskerville"/>
          <w:color w:val="000000"/>
          <w:sz w:val="24"/>
          <w:szCs w:val="24"/>
        </w:rPr>
        <w:t xml:space="preserve"> generally cheaper in the long run. </w:t>
      </w:r>
      <w:r w:rsidR="00F771CF" w:rsidRPr="00D952CF">
        <w:rPr>
          <w:rFonts w:ascii="Baskerville" w:hAnsi="Baskerville" w:cs="Baskerville"/>
          <w:color w:val="000000"/>
          <w:sz w:val="24"/>
          <w:szCs w:val="24"/>
        </w:rPr>
        <w:t>Moreover, in the US, buying generally opens up opportunities</w:t>
      </w:r>
      <w:r w:rsidR="000B6315" w:rsidRPr="00D952CF">
        <w:rPr>
          <w:rFonts w:ascii="Baskerville" w:hAnsi="Baskerville" w:cs="Baskerville"/>
          <w:color w:val="000000"/>
          <w:sz w:val="24"/>
          <w:szCs w:val="24"/>
        </w:rPr>
        <w:t xml:space="preserve"> to live in higher quality </w:t>
      </w:r>
      <w:r w:rsidR="00F771CF" w:rsidRPr="00D952CF">
        <w:rPr>
          <w:rFonts w:ascii="Baskerville" w:hAnsi="Baskerville" w:cs="Baskerville"/>
          <w:color w:val="000000"/>
          <w:sz w:val="24"/>
          <w:szCs w:val="24"/>
        </w:rPr>
        <w:t xml:space="preserve">property and </w:t>
      </w:r>
      <w:r w:rsidR="000B6315" w:rsidRPr="00D952CF">
        <w:rPr>
          <w:rFonts w:ascii="Baskerville" w:hAnsi="Baskerville" w:cs="Baskerville"/>
          <w:color w:val="000000"/>
          <w:sz w:val="24"/>
          <w:szCs w:val="24"/>
        </w:rPr>
        <w:t>neighbourhoods. Why do low-income families rent</w:t>
      </w:r>
      <w:r w:rsidR="00F771CF" w:rsidRPr="00D952CF">
        <w:rPr>
          <w:rFonts w:ascii="Baskerville" w:hAnsi="Baskerville" w:cs="Baskerville"/>
          <w:color w:val="000000"/>
          <w:sz w:val="24"/>
          <w:szCs w:val="24"/>
        </w:rPr>
        <w:t xml:space="preserve"> nevertheless</w:t>
      </w:r>
      <w:r w:rsidR="000B6315" w:rsidRPr="00D952CF">
        <w:rPr>
          <w:rFonts w:ascii="Baskerville" w:hAnsi="Baskerville" w:cs="Baskerville"/>
          <w:color w:val="000000"/>
          <w:sz w:val="24"/>
          <w:szCs w:val="24"/>
        </w:rPr>
        <w:t xml:space="preserve">? </w:t>
      </w:r>
      <w:r w:rsidR="00F771CF" w:rsidRPr="00D952CF">
        <w:rPr>
          <w:rFonts w:ascii="Baskerville" w:hAnsi="Baskerville" w:cs="Baskerville"/>
          <w:color w:val="000000"/>
          <w:sz w:val="24"/>
          <w:szCs w:val="24"/>
        </w:rPr>
        <w:t xml:space="preserve">The study suggests </w:t>
      </w:r>
      <w:r w:rsidR="000B6315" w:rsidRPr="00D952CF">
        <w:rPr>
          <w:rFonts w:ascii="Baskerville" w:hAnsi="Baskerville" w:cs="Baskerville"/>
          <w:color w:val="000000"/>
          <w:sz w:val="24"/>
          <w:szCs w:val="24"/>
        </w:rPr>
        <w:t xml:space="preserve">that </w:t>
      </w:r>
      <w:r w:rsidR="00F771CF" w:rsidRPr="00D952CF">
        <w:rPr>
          <w:rFonts w:ascii="Baskerville" w:hAnsi="Baskerville" w:cs="Baskerville"/>
          <w:color w:val="000000"/>
          <w:sz w:val="24"/>
          <w:szCs w:val="24"/>
        </w:rPr>
        <w:t xml:space="preserve">low-income households </w:t>
      </w:r>
      <w:r w:rsidR="00F858A1">
        <w:rPr>
          <w:rFonts w:ascii="Baskerville" w:hAnsi="Baskerville" w:cs="Baskerville"/>
          <w:color w:val="000000"/>
          <w:sz w:val="24"/>
          <w:szCs w:val="24"/>
        </w:rPr>
        <w:t xml:space="preserve">often </w:t>
      </w:r>
      <w:r w:rsidR="00F771CF" w:rsidRPr="00D952CF">
        <w:rPr>
          <w:rFonts w:ascii="Baskerville" w:hAnsi="Baskerville" w:cs="Baskerville"/>
          <w:color w:val="000000"/>
          <w:sz w:val="24"/>
          <w:szCs w:val="24"/>
        </w:rPr>
        <w:t>do not have access to mortgage credit: O</w:t>
      </w:r>
      <w:r w:rsidR="000B6315" w:rsidRPr="00D952CF">
        <w:rPr>
          <w:rFonts w:ascii="Baskerville" w:hAnsi="Baskerville" w:cs="Baskerville"/>
          <w:color w:val="000000"/>
          <w:sz w:val="24"/>
          <w:szCs w:val="24"/>
        </w:rPr>
        <w:t xml:space="preserve">nly eight percent of renting families </w:t>
      </w:r>
      <w:r w:rsidR="00F771CF" w:rsidRPr="00D952CF">
        <w:rPr>
          <w:rFonts w:ascii="Baskerville" w:hAnsi="Baskerville" w:cs="Baskerville"/>
          <w:color w:val="000000"/>
          <w:sz w:val="24"/>
          <w:szCs w:val="24"/>
        </w:rPr>
        <w:t>would be</w:t>
      </w:r>
      <w:r w:rsidR="000B6315" w:rsidRPr="00D952CF">
        <w:rPr>
          <w:rFonts w:ascii="Baskerville" w:hAnsi="Baskerville" w:cs="Baskerville"/>
          <w:color w:val="000000"/>
          <w:sz w:val="24"/>
          <w:szCs w:val="24"/>
        </w:rPr>
        <w:t xml:space="preserve"> able to secure a conventional mortgage.</w:t>
      </w:r>
      <w:r w:rsidR="00F771CF" w:rsidRPr="00D952CF">
        <w:rPr>
          <w:rFonts w:ascii="Baskerville" w:hAnsi="Baskerville" w:cs="Baskerville"/>
          <w:color w:val="000000"/>
          <w:sz w:val="24"/>
          <w:szCs w:val="24"/>
        </w:rPr>
        <w:t xml:space="preserve"> Many of these households must be wrongfully excluded, since </w:t>
      </w:r>
      <w:r w:rsidR="00913359">
        <w:rPr>
          <w:rFonts w:ascii="Baskerville" w:hAnsi="Baskerville" w:cs="Baskerville"/>
          <w:color w:val="000000"/>
          <w:sz w:val="24"/>
          <w:szCs w:val="24"/>
        </w:rPr>
        <w:t xml:space="preserve">a) </w:t>
      </w:r>
      <w:r w:rsidR="00F771CF" w:rsidRPr="00D952CF">
        <w:rPr>
          <w:rFonts w:ascii="Baskerville" w:hAnsi="Baskerville" w:cs="Baskerville"/>
          <w:color w:val="000000"/>
          <w:sz w:val="24"/>
          <w:szCs w:val="24"/>
        </w:rPr>
        <w:t xml:space="preserve">renting is usually more expensive in the long run than buying a place of similar quality, and </w:t>
      </w:r>
      <w:r w:rsidR="00913359">
        <w:rPr>
          <w:rFonts w:ascii="Baskerville" w:hAnsi="Baskerville" w:cs="Baskerville"/>
          <w:color w:val="000000"/>
          <w:sz w:val="24"/>
          <w:szCs w:val="24"/>
        </w:rPr>
        <w:t xml:space="preserve">b) </w:t>
      </w:r>
      <w:r w:rsidR="00F771CF" w:rsidRPr="00D952CF">
        <w:rPr>
          <w:rFonts w:ascii="Baskerville" w:hAnsi="Baskerville" w:cs="Baskerville"/>
          <w:color w:val="000000"/>
          <w:sz w:val="24"/>
          <w:szCs w:val="24"/>
        </w:rPr>
        <w:t>most of these households manage to make regular rent payments.</w:t>
      </w:r>
    </w:p>
    <w:p w14:paraId="1FABA4D7" w14:textId="6B4DBE46" w:rsidR="006B683F" w:rsidRPr="00D952CF" w:rsidRDefault="00560495" w:rsidP="00560495">
      <w:pPr>
        <w:pStyle w:val="BodyText"/>
        <w:spacing w:line="360" w:lineRule="auto"/>
        <w:rPr>
          <w:rFonts w:ascii="Baskerville" w:hAnsi="Baskerville" w:cs="Baskerville"/>
          <w:color w:val="000000"/>
          <w:sz w:val="24"/>
          <w:szCs w:val="24"/>
        </w:rPr>
      </w:pPr>
      <w:r w:rsidRPr="00D952CF">
        <w:rPr>
          <w:rFonts w:ascii="Baskerville" w:hAnsi="Baskerville" w:cs="Baskerville"/>
          <w:color w:val="000000"/>
          <w:sz w:val="24"/>
          <w:szCs w:val="24"/>
        </w:rPr>
        <w:t xml:space="preserve">In sum, there is ample evidence that mistakes of wrongful inclusion and exclusion </w:t>
      </w:r>
      <w:r w:rsidR="00913359">
        <w:rPr>
          <w:rFonts w:ascii="Baskerville" w:hAnsi="Baskerville" w:cs="Baskerville"/>
          <w:color w:val="000000"/>
          <w:sz w:val="24"/>
          <w:szCs w:val="24"/>
        </w:rPr>
        <w:t>are</w:t>
      </w:r>
      <w:r w:rsidR="00913359" w:rsidRPr="00D952CF">
        <w:rPr>
          <w:rFonts w:ascii="Baskerville" w:hAnsi="Baskerville" w:cs="Baskerville"/>
          <w:color w:val="000000"/>
          <w:sz w:val="24"/>
          <w:szCs w:val="24"/>
        </w:rPr>
        <w:t xml:space="preserve"> </w:t>
      </w:r>
      <w:r w:rsidR="00913359">
        <w:rPr>
          <w:rFonts w:ascii="Baskerville" w:hAnsi="Baskerville" w:cs="Baskerville"/>
          <w:color w:val="000000"/>
          <w:sz w:val="24"/>
          <w:szCs w:val="24"/>
        </w:rPr>
        <w:t xml:space="preserve">made in </w:t>
      </w:r>
      <w:r w:rsidRPr="00D952CF">
        <w:rPr>
          <w:rFonts w:ascii="Baskerville" w:hAnsi="Baskerville" w:cs="Baskerville"/>
          <w:color w:val="000000"/>
          <w:sz w:val="24"/>
          <w:szCs w:val="24"/>
        </w:rPr>
        <w:t xml:space="preserve">significant </w:t>
      </w:r>
      <w:r w:rsidR="00913359">
        <w:rPr>
          <w:rFonts w:ascii="Baskerville" w:hAnsi="Baskerville" w:cs="Baskerville"/>
          <w:color w:val="000000"/>
          <w:sz w:val="24"/>
          <w:szCs w:val="24"/>
        </w:rPr>
        <w:t>numbers</w:t>
      </w:r>
      <w:r w:rsidRPr="00D952CF">
        <w:rPr>
          <w:rFonts w:ascii="Baskerville" w:hAnsi="Baskerville" w:cs="Baskerville"/>
          <w:color w:val="000000"/>
          <w:sz w:val="24"/>
          <w:szCs w:val="24"/>
        </w:rPr>
        <w:t xml:space="preserve">. </w:t>
      </w:r>
      <w:r w:rsidR="00784474" w:rsidRPr="00D952CF">
        <w:rPr>
          <w:rFonts w:ascii="Baskerville" w:hAnsi="Baskerville" w:cs="Baskerville"/>
          <w:color w:val="000000"/>
          <w:sz w:val="24"/>
          <w:szCs w:val="24"/>
        </w:rPr>
        <w:t>R</w:t>
      </w:r>
      <w:r w:rsidRPr="00D952CF">
        <w:rPr>
          <w:rFonts w:ascii="Baskerville" w:hAnsi="Baskerville" w:cs="Baskerville"/>
          <w:color w:val="000000"/>
          <w:sz w:val="24"/>
          <w:szCs w:val="24"/>
        </w:rPr>
        <w:t xml:space="preserve">oughly, </w:t>
      </w:r>
      <w:r w:rsidR="00784474" w:rsidRPr="00D952CF">
        <w:rPr>
          <w:rFonts w:ascii="Baskerville" w:hAnsi="Baskerville" w:cs="Baskerville"/>
          <w:color w:val="000000"/>
          <w:sz w:val="24"/>
          <w:szCs w:val="24"/>
        </w:rPr>
        <w:t xml:space="preserve">5-10% of borrowers are wrongfully included. Wrongful </w:t>
      </w:r>
      <w:r w:rsidR="00784474" w:rsidRPr="00D952CF">
        <w:rPr>
          <w:rFonts w:ascii="Baskerville" w:hAnsi="Baskerville" w:cs="Baskerville"/>
          <w:color w:val="000000"/>
          <w:sz w:val="24"/>
          <w:szCs w:val="24"/>
        </w:rPr>
        <w:lastRenderedPageBreak/>
        <w:t>exclusion is more difficult to quantify. Again very roughly, fewer than one third and most likely more than just a few percent of people wanting credit (roughly 50% of the population in any given year) are wrongfully excluded</w:t>
      </w:r>
      <w:r w:rsidR="001C6157" w:rsidRPr="00D952CF">
        <w:rPr>
          <w:rFonts w:ascii="Baskerville" w:hAnsi="Baskerville" w:cs="Baskerville"/>
          <w:color w:val="000000"/>
          <w:sz w:val="24"/>
          <w:szCs w:val="24"/>
        </w:rPr>
        <w:t xml:space="preserve"> in the US.</w:t>
      </w:r>
      <w:r w:rsidR="00784474" w:rsidRPr="00D952CF">
        <w:rPr>
          <w:rFonts w:ascii="Baskerville" w:hAnsi="Baskerville" w:cs="Baskerville"/>
          <w:color w:val="000000"/>
          <w:sz w:val="24"/>
          <w:szCs w:val="24"/>
        </w:rPr>
        <w:t xml:space="preserve"> </w:t>
      </w:r>
    </w:p>
    <w:p w14:paraId="5029EED2" w14:textId="5DB5F599" w:rsidR="00682803" w:rsidRPr="00D952CF" w:rsidRDefault="00682803" w:rsidP="00682803">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 xml:space="preserve">2 The </w:t>
      </w:r>
      <w:r w:rsidR="00583C25">
        <w:rPr>
          <w:rFonts w:ascii="Baskerville" w:hAnsi="Baskerville"/>
          <w:color w:val="000000" w:themeColor="text1"/>
        </w:rPr>
        <w:t>obligations</w:t>
      </w:r>
      <w:r w:rsidRPr="00D952CF">
        <w:rPr>
          <w:rFonts w:ascii="Baskerville" w:hAnsi="Baskerville"/>
          <w:color w:val="000000" w:themeColor="text1"/>
        </w:rPr>
        <w:t xml:space="preserve"> of banks concerning wrongful inclusion and exclusion</w:t>
      </w:r>
    </w:p>
    <w:p w14:paraId="22FD65B8" w14:textId="77777777" w:rsidR="001865A7" w:rsidRDefault="00A41181" w:rsidP="00A41181">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In this section, I will argue that banks have obligations to provide creditworthy applicants with credit, and to prevent over-borrowing. </w:t>
      </w:r>
      <w:r w:rsidR="001865A7">
        <w:rPr>
          <w:rFonts w:ascii="Baskerville" w:hAnsi="Baskerville" w:cs="Baskerville"/>
          <w:color w:val="000000" w:themeColor="text1"/>
          <w:sz w:val="24"/>
          <w:szCs w:val="24"/>
        </w:rPr>
        <w:t>This view implies that</w:t>
      </w:r>
      <w:r w:rsidR="00FF5D32" w:rsidRPr="00D952CF">
        <w:rPr>
          <w:rFonts w:ascii="Baskerville" w:hAnsi="Baskerville" w:cs="Baskerville"/>
          <w:color w:val="000000" w:themeColor="text1"/>
          <w:sz w:val="24"/>
          <w:szCs w:val="24"/>
        </w:rPr>
        <w:t xml:space="preserve"> </w:t>
      </w:r>
      <w:r w:rsidR="00D20316" w:rsidRPr="00D952CF">
        <w:rPr>
          <w:rFonts w:ascii="Baskerville" w:hAnsi="Baskerville" w:cs="Baskerville"/>
          <w:color w:val="000000" w:themeColor="text1"/>
          <w:sz w:val="24"/>
          <w:szCs w:val="24"/>
        </w:rPr>
        <w:t xml:space="preserve">banks have obligations to avoid mistakes of wrongful exclusion and inclusion. </w:t>
      </w:r>
    </w:p>
    <w:p w14:paraId="1F146878" w14:textId="7005DF72" w:rsidR="00A41181" w:rsidRPr="00D952CF" w:rsidRDefault="001865A7" w:rsidP="00A41181">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W</w:t>
      </w:r>
      <w:r w:rsidR="00FB7916" w:rsidRPr="00D952CF">
        <w:rPr>
          <w:rFonts w:ascii="Baskerville" w:hAnsi="Baskerville" w:cs="Baskerville"/>
          <w:color w:val="000000" w:themeColor="text1"/>
          <w:sz w:val="24"/>
          <w:szCs w:val="24"/>
        </w:rPr>
        <w:t xml:space="preserve">e need to draw two distinctions. First, </w:t>
      </w:r>
      <w:r>
        <w:rPr>
          <w:rFonts w:ascii="Baskerville" w:hAnsi="Baskerville" w:cs="Baskerville"/>
          <w:color w:val="000000" w:themeColor="text1"/>
          <w:sz w:val="24"/>
          <w:szCs w:val="24"/>
        </w:rPr>
        <w:t>let’s</w:t>
      </w:r>
      <w:r w:rsidR="00FB7916" w:rsidRPr="00D952CF">
        <w:rPr>
          <w:rFonts w:ascii="Baskerville" w:hAnsi="Baskerville" w:cs="Baskerville"/>
          <w:color w:val="000000" w:themeColor="text1"/>
          <w:sz w:val="24"/>
          <w:szCs w:val="24"/>
        </w:rPr>
        <w:t xml:space="preserve"> </w:t>
      </w:r>
      <w:r w:rsidR="004E6C36" w:rsidRPr="00D952CF">
        <w:rPr>
          <w:rFonts w:ascii="Baskerville" w:hAnsi="Baskerville" w:cs="Baskerville"/>
          <w:color w:val="000000" w:themeColor="text1"/>
          <w:sz w:val="24"/>
          <w:szCs w:val="24"/>
        </w:rPr>
        <w:t>differentiate between creditworthy applicants and applicants who are not creditworthy. For our purpose</w:t>
      </w:r>
      <w:r>
        <w:rPr>
          <w:rFonts w:ascii="Baskerville" w:hAnsi="Baskerville" w:cs="Baskerville"/>
          <w:color w:val="000000" w:themeColor="text1"/>
          <w:sz w:val="24"/>
          <w:szCs w:val="24"/>
        </w:rPr>
        <w:t>s</w:t>
      </w:r>
      <w:r w:rsidR="004E6C36" w:rsidRPr="00D952CF">
        <w:rPr>
          <w:rFonts w:ascii="Baskerville" w:hAnsi="Baskerville" w:cs="Baskerville"/>
          <w:color w:val="000000" w:themeColor="text1"/>
          <w:sz w:val="24"/>
          <w:szCs w:val="24"/>
        </w:rPr>
        <w:t xml:space="preserve">, applicants are creditworthy if they </w:t>
      </w:r>
      <w:r w:rsidR="00E533E0">
        <w:rPr>
          <w:rFonts w:ascii="Baskerville" w:hAnsi="Baskerville" w:cs="Baskerville"/>
          <w:color w:val="000000" w:themeColor="text1"/>
          <w:sz w:val="24"/>
          <w:szCs w:val="24"/>
        </w:rPr>
        <w:t xml:space="preserve">are willing and able to </w:t>
      </w:r>
      <w:r w:rsidR="004E6C36" w:rsidRPr="00D952CF">
        <w:rPr>
          <w:rFonts w:ascii="Baskerville" w:hAnsi="Baskerville" w:cs="Baskerville"/>
          <w:color w:val="000000" w:themeColor="text1"/>
          <w:sz w:val="24"/>
          <w:szCs w:val="24"/>
        </w:rPr>
        <w:t xml:space="preserve">service the credit contract they seek to conclude. </w:t>
      </w:r>
      <w:r w:rsidR="00FB7916" w:rsidRPr="00D952CF">
        <w:rPr>
          <w:rFonts w:ascii="Baskerville" w:hAnsi="Baskerville" w:cs="Baskerville"/>
          <w:color w:val="000000" w:themeColor="text1"/>
          <w:sz w:val="24"/>
          <w:szCs w:val="24"/>
        </w:rPr>
        <w:t xml:space="preserve">Second, </w:t>
      </w:r>
      <w:r w:rsidR="0020355A">
        <w:rPr>
          <w:rFonts w:ascii="Baskerville" w:hAnsi="Baskerville" w:cs="Baskerville"/>
          <w:color w:val="000000" w:themeColor="text1"/>
          <w:sz w:val="24"/>
          <w:szCs w:val="24"/>
        </w:rPr>
        <w:t>let’s</w:t>
      </w:r>
      <w:r w:rsidR="00FB7916" w:rsidRPr="00D952CF">
        <w:rPr>
          <w:rFonts w:ascii="Baskerville" w:hAnsi="Baskerville" w:cs="Baskerville"/>
          <w:color w:val="000000" w:themeColor="text1"/>
          <w:sz w:val="24"/>
          <w:szCs w:val="24"/>
        </w:rPr>
        <w:t xml:space="preserve"> </w:t>
      </w:r>
      <w:r w:rsidR="00505614" w:rsidRPr="00D952CF">
        <w:rPr>
          <w:rFonts w:ascii="Baskerville" w:hAnsi="Baskerville" w:cs="Baskerville"/>
          <w:color w:val="000000" w:themeColor="text1"/>
          <w:sz w:val="24"/>
          <w:szCs w:val="24"/>
        </w:rPr>
        <w:t xml:space="preserve">differentiate between </w:t>
      </w:r>
      <w:r w:rsidR="004E6C36" w:rsidRPr="00D952CF">
        <w:rPr>
          <w:rFonts w:ascii="Baskerville" w:hAnsi="Baskerville" w:cs="Baskerville"/>
          <w:color w:val="000000" w:themeColor="text1"/>
          <w:sz w:val="24"/>
          <w:szCs w:val="24"/>
        </w:rPr>
        <w:t xml:space="preserve">applicants who are </w:t>
      </w:r>
      <w:r w:rsidR="0020355A">
        <w:rPr>
          <w:rFonts w:ascii="Baskerville" w:hAnsi="Baskerville" w:cs="Baskerville"/>
          <w:color w:val="000000" w:themeColor="text1"/>
          <w:sz w:val="24"/>
          <w:szCs w:val="24"/>
        </w:rPr>
        <w:t>granted credit</w:t>
      </w:r>
      <w:r w:rsidR="004E6C36" w:rsidRPr="00D952CF">
        <w:rPr>
          <w:rFonts w:ascii="Baskerville" w:hAnsi="Baskerville" w:cs="Baskerville"/>
          <w:color w:val="000000" w:themeColor="text1"/>
          <w:sz w:val="24"/>
          <w:szCs w:val="24"/>
        </w:rPr>
        <w:t xml:space="preserve"> and applicants who are </w:t>
      </w:r>
      <w:r w:rsidR="0020355A">
        <w:rPr>
          <w:rFonts w:ascii="Baskerville" w:hAnsi="Baskerville" w:cs="Baskerville"/>
          <w:color w:val="000000" w:themeColor="text1"/>
          <w:sz w:val="24"/>
          <w:szCs w:val="24"/>
        </w:rPr>
        <w:t>rejected</w:t>
      </w:r>
      <w:r w:rsidR="004E6C36" w:rsidRPr="00D952CF">
        <w:rPr>
          <w:rFonts w:ascii="Baskerville" w:hAnsi="Baskerville" w:cs="Baskerville"/>
          <w:color w:val="000000" w:themeColor="text1"/>
          <w:sz w:val="24"/>
          <w:szCs w:val="24"/>
        </w:rPr>
        <w:t xml:space="preserve">. </w:t>
      </w:r>
      <w:r w:rsidR="00505614" w:rsidRPr="00D952CF">
        <w:rPr>
          <w:rFonts w:ascii="Baskerville" w:hAnsi="Baskerville" w:cs="Baskerville"/>
          <w:color w:val="000000" w:themeColor="text1"/>
          <w:sz w:val="24"/>
          <w:szCs w:val="24"/>
        </w:rPr>
        <w:t xml:space="preserve">Combining the cases leads to four </w:t>
      </w:r>
      <w:r w:rsidR="0020355A">
        <w:rPr>
          <w:rFonts w:ascii="Baskerville" w:hAnsi="Baskerville" w:cs="Baskerville"/>
          <w:color w:val="000000" w:themeColor="text1"/>
          <w:sz w:val="24"/>
          <w:szCs w:val="24"/>
        </w:rPr>
        <w:t>cases</w:t>
      </w:r>
      <w:r w:rsidR="00505614" w:rsidRPr="00D952CF">
        <w:rPr>
          <w:rFonts w:ascii="Baskerville" w:hAnsi="Baskerville" w:cs="Baskerville"/>
          <w:color w:val="000000" w:themeColor="text1"/>
          <w:sz w:val="24"/>
          <w:szCs w:val="24"/>
        </w:rPr>
        <w:t xml:space="preserve">, </w:t>
      </w:r>
      <w:r w:rsidR="0020355A">
        <w:rPr>
          <w:rFonts w:ascii="Baskerville" w:hAnsi="Baskerville" w:cs="Baskerville"/>
          <w:color w:val="000000" w:themeColor="text1"/>
          <w:sz w:val="24"/>
          <w:szCs w:val="24"/>
        </w:rPr>
        <w:t xml:space="preserve">as </w:t>
      </w:r>
      <w:r w:rsidR="00505614" w:rsidRPr="00D952CF">
        <w:rPr>
          <w:rFonts w:ascii="Baskerville" w:hAnsi="Baskerville" w:cs="Baskerville"/>
          <w:color w:val="000000" w:themeColor="text1"/>
          <w:sz w:val="24"/>
          <w:szCs w:val="24"/>
        </w:rPr>
        <w:t xml:space="preserve">illustrated in </w:t>
      </w:r>
      <w:r w:rsidR="0020355A">
        <w:rPr>
          <w:rFonts w:ascii="Baskerville" w:hAnsi="Baskerville" w:cs="Baskerville"/>
          <w:color w:val="000000" w:themeColor="text1"/>
          <w:sz w:val="24"/>
          <w:szCs w:val="24"/>
        </w:rPr>
        <w:t>f</w:t>
      </w:r>
      <w:r w:rsidR="00505614" w:rsidRPr="00D952CF">
        <w:rPr>
          <w:rFonts w:ascii="Baskerville" w:hAnsi="Baskerville" w:cs="Baskerville"/>
          <w:color w:val="000000" w:themeColor="text1"/>
          <w:sz w:val="24"/>
          <w:szCs w:val="24"/>
        </w:rPr>
        <w:t xml:space="preserve">igure </w:t>
      </w:r>
      <w:r w:rsidR="00811308">
        <w:rPr>
          <w:rFonts w:ascii="Baskerville" w:hAnsi="Baskerville" w:cs="Baskerville"/>
          <w:color w:val="000000" w:themeColor="text1"/>
          <w:sz w:val="24"/>
          <w:szCs w:val="24"/>
        </w:rPr>
        <w:t>B</w:t>
      </w:r>
      <w:r w:rsidR="004E6C36" w:rsidRPr="00D952CF">
        <w:rPr>
          <w:rFonts w:ascii="Baskerville" w:hAnsi="Baskerville" w:cs="Baskerville"/>
          <w:color w:val="000000" w:themeColor="text1"/>
          <w:sz w:val="24"/>
          <w:szCs w:val="24"/>
        </w:rPr>
        <w:t xml:space="preserve">. </w:t>
      </w:r>
    </w:p>
    <w:tbl>
      <w:tblPr>
        <w:tblStyle w:val="TableGrid"/>
        <w:tblW w:w="0" w:type="auto"/>
        <w:jc w:val="center"/>
        <w:tblLook w:val="04A0" w:firstRow="1" w:lastRow="0" w:firstColumn="1" w:lastColumn="0" w:noHBand="0" w:noVBand="1"/>
      </w:tblPr>
      <w:tblGrid>
        <w:gridCol w:w="2219"/>
        <w:gridCol w:w="2059"/>
        <w:gridCol w:w="2092"/>
      </w:tblGrid>
      <w:tr w:rsidR="00A41181" w:rsidRPr="00D952CF" w14:paraId="72E7AAD3" w14:textId="77777777" w:rsidTr="00727337">
        <w:trPr>
          <w:jc w:val="center"/>
        </w:trPr>
        <w:tc>
          <w:tcPr>
            <w:tcW w:w="0" w:type="auto"/>
            <w:hideMark/>
          </w:tcPr>
          <w:p w14:paraId="2F3FD289" w14:textId="77777777" w:rsidR="00A41181" w:rsidRPr="00D952CF" w:rsidRDefault="00A41181" w:rsidP="00A41181">
            <w:pPr>
              <w:pStyle w:val="Heading2"/>
              <w:spacing w:before="120" w:after="120"/>
              <w:rPr>
                <w:rFonts w:ascii="Baskerville" w:hAnsi="Baskerville"/>
                <w:color w:val="000000" w:themeColor="text1"/>
                <w:sz w:val="24"/>
                <w:szCs w:val="24"/>
              </w:rPr>
            </w:pPr>
          </w:p>
        </w:tc>
        <w:tc>
          <w:tcPr>
            <w:tcW w:w="0" w:type="auto"/>
            <w:hideMark/>
          </w:tcPr>
          <w:p w14:paraId="3E7C8BC4"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b/>
                <w:bCs/>
                <w:color w:val="000000" w:themeColor="text1"/>
                <w:sz w:val="24"/>
                <w:szCs w:val="24"/>
              </w:rPr>
              <w:t>Accepted</w:t>
            </w:r>
          </w:p>
        </w:tc>
        <w:tc>
          <w:tcPr>
            <w:tcW w:w="0" w:type="auto"/>
            <w:hideMark/>
          </w:tcPr>
          <w:p w14:paraId="4B0AA84F"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b/>
                <w:bCs/>
                <w:color w:val="000000" w:themeColor="text1"/>
                <w:sz w:val="24"/>
                <w:szCs w:val="24"/>
              </w:rPr>
              <w:t>Rejected</w:t>
            </w:r>
          </w:p>
        </w:tc>
      </w:tr>
      <w:tr w:rsidR="00A41181" w:rsidRPr="00D952CF" w14:paraId="224DF2BA" w14:textId="77777777" w:rsidTr="00727337">
        <w:trPr>
          <w:jc w:val="center"/>
        </w:trPr>
        <w:tc>
          <w:tcPr>
            <w:tcW w:w="0" w:type="auto"/>
            <w:hideMark/>
          </w:tcPr>
          <w:p w14:paraId="3C914F79"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b/>
                <w:bCs/>
                <w:color w:val="000000" w:themeColor="text1"/>
                <w:sz w:val="24"/>
                <w:szCs w:val="24"/>
              </w:rPr>
              <w:t>Creditworthy</w:t>
            </w:r>
          </w:p>
        </w:tc>
        <w:tc>
          <w:tcPr>
            <w:tcW w:w="0" w:type="auto"/>
            <w:hideMark/>
          </w:tcPr>
          <w:p w14:paraId="2DA2A14F"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color w:val="000000" w:themeColor="text1"/>
                <w:sz w:val="24"/>
                <w:szCs w:val="24"/>
              </w:rPr>
              <w:t>Rightful inclusion</w:t>
            </w:r>
          </w:p>
        </w:tc>
        <w:tc>
          <w:tcPr>
            <w:tcW w:w="0" w:type="auto"/>
            <w:hideMark/>
          </w:tcPr>
          <w:p w14:paraId="5313310F"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color w:val="000000" w:themeColor="text1"/>
                <w:sz w:val="24"/>
                <w:szCs w:val="24"/>
              </w:rPr>
              <w:t>Wrongful exclusion</w:t>
            </w:r>
          </w:p>
        </w:tc>
      </w:tr>
      <w:tr w:rsidR="00A41181" w:rsidRPr="00D952CF" w14:paraId="2420BE5E" w14:textId="77777777" w:rsidTr="00727337">
        <w:trPr>
          <w:jc w:val="center"/>
        </w:trPr>
        <w:tc>
          <w:tcPr>
            <w:tcW w:w="0" w:type="auto"/>
            <w:hideMark/>
          </w:tcPr>
          <w:p w14:paraId="2365A117"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b/>
                <w:bCs/>
                <w:color w:val="000000" w:themeColor="text1"/>
                <w:sz w:val="24"/>
                <w:szCs w:val="24"/>
              </w:rPr>
              <w:t>Not Creditworthy</w:t>
            </w:r>
          </w:p>
        </w:tc>
        <w:tc>
          <w:tcPr>
            <w:tcW w:w="0" w:type="auto"/>
            <w:hideMark/>
          </w:tcPr>
          <w:p w14:paraId="0CE1A8D4"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color w:val="000000" w:themeColor="text1"/>
                <w:sz w:val="24"/>
                <w:szCs w:val="24"/>
              </w:rPr>
              <w:t>Wrongful inclusion</w:t>
            </w:r>
          </w:p>
        </w:tc>
        <w:tc>
          <w:tcPr>
            <w:tcW w:w="0" w:type="auto"/>
            <w:hideMark/>
          </w:tcPr>
          <w:p w14:paraId="48168CB4" w14:textId="77777777" w:rsidR="00A41181" w:rsidRPr="00D952CF" w:rsidRDefault="00A41181" w:rsidP="00A41181">
            <w:pPr>
              <w:pStyle w:val="Heading2"/>
              <w:spacing w:before="120" w:after="120"/>
              <w:rPr>
                <w:rFonts w:ascii="Baskerville" w:hAnsi="Baskerville"/>
                <w:color w:val="000000" w:themeColor="text1"/>
                <w:sz w:val="24"/>
                <w:szCs w:val="24"/>
              </w:rPr>
            </w:pPr>
            <w:r w:rsidRPr="00D952CF">
              <w:rPr>
                <w:rFonts w:ascii="Baskerville" w:hAnsi="Baskerville"/>
                <w:color w:val="000000" w:themeColor="text1"/>
                <w:sz w:val="24"/>
                <w:szCs w:val="24"/>
              </w:rPr>
              <w:t>Rightful Exclusion</w:t>
            </w:r>
          </w:p>
        </w:tc>
      </w:tr>
    </w:tbl>
    <w:p w14:paraId="10463B5F" w14:textId="5490AFFE" w:rsidR="00A41181" w:rsidRPr="0020355A" w:rsidRDefault="00727337" w:rsidP="00A41181">
      <w:pPr>
        <w:pStyle w:val="Caption"/>
        <w:jc w:val="center"/>
        <w:rPr>
          <w:rFonts w:ascii="Baskerville" w:hAnsi="Baskerville" w:cs="Baskerville"/>
          <w:color w:val="000000" w:themeColor="text1"/>
          <w:sz w:val="24"/>
          <w:szCs w:val="24"/>
        </w:rPr>
      </w:pPr>
      <w:r w:rsidRPr="0020355A">
        <w:rPr>
          <w:rFonts w:ascii="Baskerville" w:hAnsi="Baskerville"/>
          <w:color w:val="000000" w:themeColor="text1"/>
        </w:rPr>
        <w:br/>
      </w:r>
      <w:r w:rsidR="00A41181" w:rsidRPr="0020355A">
        <w:rPr>
          <w:rFonts w:ascii="Baskerville" w:hAnsi="Baskerville"/>
          <w:color w:val="000000" w:themeColor="text1"/>
        </w:rPr>
        <w:t xml:space="preserve">Figure </w:t>
      </w:r>
      <w:r w:rsidR="00811308">
        <w:rPr>
          <w:rFonts w:ascii="Baskerville" w:hAnsi="Baskerville"/>
          <w:color w:val="000000" w:themeColor="text1"/>
        </w:rPr>
        <w:t>B</w:t>
      </w:r>
    </w:p>
    <w:p w14:paraId="23360A75" w14:textId="35D80C73" w:rsidR="004E6C36" w:rsidRPr="00D952CF" w:rsidRDefault="0020355A" w:rsidP="00C83AAF">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I will take it for granted</w:t>
      </w:r>
      <w:r w:rsidR="008D54D1" w:rsidRPr="00D952CF">
        <w:rPr>
          <w:rFonts w:ascii="Baskerville" w:hAnsi="Baskerville" w:cs="Baskerville"/>
          <w:color w:val="000000" w:themeColor="text1"/>
          <w:sz w:val="24"/>
          <w:szCs w:val="24"/>
        </w:rPr>
        <w:t xml:space="preserve"> that it is permissible for banks to rightfully include and </w:t>
      </w:r>
      <w:r w:rsidR="00505614" w:rsidRPr="00D952CF">
        <w:rPr>
          <w:rFonts w:ascii="Baskerville" w:hAnsi="Baskerville" w:cs="Baskerville"/>
          <w:color w:val="000000" w:themeColor="text1"/>
          <w:sz w:val="24"/>
          <w:szCs w:val="24"/>
        </w:rPr>
        <w:t xml:space="preserve">to rightfully </w:t>
      </w:r>
      <w:r w:rsidR="008D54D1" w:rsidRPr="00D952CF">
        <w:rPr>
          <w:rFonts w:ascii="Baskerville" w:hAnsi="Baskerville" w:cs="Baskerville"/>
          <w:color w:val="000000" w:themeColor="text1"/>
          <w:sz w:val="24"/>
          <w:szCs w:val="24"/>
        </w:rPr>
        <w:t xml:space="preserve">exclude applicants. Some will disagree. For instance, if credit </w:t>
      </w:r>
      <w:r w:rsidR="00C83AAF">
        <w:rPr>
          <w:rFonts w:ascii="Baskerville" w:hAnsi="Baskerville" w:cs="Baskerville"/>
          <w:color w:val="000000" w:themeColor="text1"/>
          <w:sz w:val="24"/>
          <w:szCs w:val="24"/>
        </w:rPr>
        <w:t>were</w:t>
      </w:r>
      <w:r w:rsidR="00C83AAF" w:rsidRPr="00D952CF">
        <w:rPr>
          <w:rFonts w:ascii="Baskerville" w:hAnsi="Baskerville" w:cs="Baskerville"/>
          <w:color w:val="000000" w:themeColor="text1"/>
          <w:sz w:val="24"/>
          <w:szCs w:val="24"/>
        </w:rPr>
        <w:t xml:space="preserve"> </w:t>
      </w:r>
      <w:r w:rsidR="008D54D1" w:rsidRPr="00D952CF">
        <w:rPr>
          <w:rFonts w:ascii="Baskerville" w:hAnsi="Baskerville" w:cs="Baskerville"/>
          <w:color w:val="000000" w:themeColor="text1"/>
          <w:sz w:val="24"/>
          <w:szCs w:val="24"/>
        </w:rPr>
        <w:t xml:space="preserve">inherently bad, granting credit even to creditworthy applicants </w:t>
      </w:r>
      <w:r w:rsidR="00505614" w:rsidRPr="00D952CF">
        <w:rPr>
          <w:rFonts w:ascii="Baskerville" w:hAnsi="Baskerville" w:cs="Baskerville"/>
          <w:color w:val="000000" w:themeColor="text1"/>
          <w:sz w:val="24"/>
          <w:szCs w:val="24"/>
        </w:rPr>
        <w:t>might</w:t>
      </w:r>
      <w:r w:rsidR="008D54D1" w:rsidRPr="00D952CF">
        <w:rPr>
          <w:rFonts w:ascii="Baskerville" w:hAnsi="Baskerville" w:cs="Baskerville"/>
          <w:color w:val="000000" w:themeColor="text1"/>
          <w:sz w:val="24"/>
          <w:szCs w:val="24"/>
        </w:rPr>
        <w:t xml:space="preserve"> be impermissible. I will </w:t>
      </w:r>
      <w:r w:rsidR="00505614" w:rsidRPr="00D952CF">
        <w:rPr>
          <w:rFonts w:ascii="Baskerville" w:hAnsi="Baskerville" w:cs="Baskerville"/>
          <w:color w:val="000000" w:themeColor="text1"/>
          <w:sz w:val="24"/>
          <w:szCs w:val="24"/>
        </w:rPr>
        <w:t>set aside</w:t>
      </w:r>
      <w:r w:rsidR="008D54D1" w:rsidRPr="00D952CF">
        <w:rPr>
          <w:rFonts w:ascii="Baskerville" w:hAnsi="Baskerville" w:cs="Baskerville"/>
          <w:color w:val="000000" w:themeColor="text1"/>
          <w:sz w:val="24"/>
          <w:szCs w:val="24"/>
        </w:rPr>
        <w:t xml:space="preserve"> this possibility here. Similarly, I will </w:t>
      </w:r>
      <w:r w:rsidR="00505614" w:rsidRPr="00D952CF">
        <w:rPr>
          <w:rFonts w:ascii="Baskerville" w:hAnsi="Baskerville" w:cs="Baskerville"/>
          <w:color w:val="000000" w:themeColor="text1"/>
          <w:sz w:val="24"/>
          <w:szCs w:val="24"/>
        </w:rPr>
        <w:t>set aside</w:t>
      </w:r>
      <w:r w:rsidR="008D54D1" w:rsidRPr="00D952CF">
        <w:rPr>
          <w:rFonts w:ascii="Baskerville" w:hAnsi="Baskerville" w:cs="Baskerville"/>
          <w:color w:val="000000" w:themeColor="text1"/>
          <w:sz w:val="24"/>
          <w:szCs w:val="24"/>
        </w:rPr>
        <w:t xml:space="preserve"> suggestions that </w:t>
      </w:r>
      <w:r w:rsidR="00505614" w:rsidRPr="00D952CF">
        <w:rPr>
          <w:rFonts w:ascii="Baskerville" w:hAnsi="Baskerville" w:cs="Baskerville"/>
          <w:color w:val="000000" w:themeColor="text1"/>
          <w:sz w:val="24"/>
          <w:szCs w:val="24"/>
        </w:rPr>
        <w:t xml:space="preserve">rightful exclusion might be impermissible because </w:t>
      </w:r>
      <w:r w:rsidR="008D54D1" w:rsidRPr="00D952CF">
        <w:rPr>
          <w:rFonts w:ascii="Baskerville" w:hAnsi="Baskerville" w:cs="Baskerville"/>
          <w:color w:val="000000" w:themeColor="text1"/>
          <w:sz w:val="24"/>
          <w:szCs w:val="24"/>
        </w:rPr>
        <w:t>banks should lend regardless of whether applicants are creditworthy.</w:t>
      </w:r>
      <w:r w:rsidR="008D54D1" w:rsidRPr="00F858A1">
        <w:rPr>
          <w:rStyle w:val="FootnoteReference"/>
        </w:rPr>
        <w:footnoteReference w:id="17"/>
      </w:r>
      <w:r w:rsidR="008D54D1" w:rsidRPr="00D952CF">
        <w:rPr>
          <w:rFonts w:ascii="Baskerville" w:hAnsi="Baskerville" w:cs="Baskerville"/>
          <w:color w:val="000000" w:themeColor="text1"/>
          <w:sz w:val="24"/>
          <w:szCs w:val="24"/>
        </w:rPr>
        <w:t xml:space="preserve"> I am sympathetic to the idea that </w:t>
      </w:r>
      <w:r w:rsidR="00505614" w:rsidRPr="00D952CF">
        <w:rPr>
          <w:rFonts w:ascii="Baskerville" w:hAnsi="Baskerville" w:cs="Baskerville"/>
          <w:color w:val="000000" w:themeColor="text1"/>
          <w:sz w:val="24"/>
          <w:szCs w:val="24"/>
        </w:rPr>
        <w:t xml:space="preserve">in market economies based on private property, </w:t>
      </w:r>
      <w:r w:rsidR="008D54D1" w:rsidRPr="00D952CF">
        <w:rPr>
          <w:rFonts w:ascii="Baskerville" w:hAnsi="Baskerville" w:cs="Baskerville"/>
          <w:color w:val="000000" w:themeColor="text1"/>
          <w:sz w:val="24"/>
          <w:szCs w:val="24"/>
        </w:rPr>
        <w:t>uncreditworthy applicants have some claim to support in becoming creditworthy. But</w:t>
      </w:r>
      <w:r w:rsidR="00505614" w:rsidRPr="00D952CF">
        <w:rPr>
          <w:rFonts w:ascii="Baskerville" w:hAnsi="Baskerville" w:cs="Baskerville"/>
          <w:color w:val="000000" w:themeColor="text1"/>
          <w:sz w:val="24"/>
          <w:szCs w:val="24"/>
        </w:rPr>
        <w:t>, as I have argued elsewhere,</w:t>
      </w:r>
      <w:r w:rsidR="00505614" w:rsidRPr="00F858A1">
        <w:rPr>
          <w:rStyle w:val="FootnoteReference"/>
        </w:rPr>
        <w:footnoteReference w:id="18"/>
      </w:r>
      <w:r w:rsidR="008D54D1" w:rsidRPr="00D952CF">
        <w:rPr>
          <w:rFonts w:ascii="Baskerville" w:hAnsi="Baskerville" w:cs="Baskerville"/>
          <w:color w:val="000000" w:themeColor="text1"/>
          <w:sz w:val="24"/>
          <w:szCs w:val="24"/>
        </w:rPr>
        <w:t xml:space="preserve"> </w:t>
      </w:r>
      <w:r w:rsidR="00811308">
        <w:rPr>
          <w:rFonts w:ascii="Baskerville" w:hAnsi="Baskerville" w:cs="Baskerville"/>
          <w:color w:val="000000" w:themeColor="text1"/>
          <w:sz w:val="24"/>
          <w:szCs w:val="24"/>
        </w:rPr>
        <w:t xml:space="preserve">this support should not come in the form of lower access barriers to credit, and </w:t>
      </w:r>
      <w:r w:rsidR="008D54D1" w:rsidRPr="00D952CF">
        <w:rPr>
          <w:rFonts w:ascii="Baskerville" w:hAnsi="Baskerville" w:cs="Baskerville"/>
          <w:color w:val="000000" w:themeColor="text1"/>
          <w:sz w:val="24"/>
          <w:szCs w:val="24"/>
        </w:rPr>
        <w:t>the corresponding duty should fall on the state, not on banks</w:t>
      </w:r>
      <w:r w:rsidR="00505614" w:rsidRPr="00D952CF">
        <w:rPr>
          <w:rFonts w:ascii="Baskerville" w:hAnsi="Baskerville" w:cs="Baskerville"/>
          <w:color w:val="000000" w:themeColor="text1"/>
          <w:sz w:val="24"/>
          <w:szCs w:val="24"/>
        </w:rPr>
        <w:t>. In sum, I maintain</w:t>
      </w:r>
      <w:r w:rsidR="004A0C85">
        <w:rPr>
          <w:rFonts w:ascii="Baskerville" w:hAnsi="Baskerville" w:cs="Baskerville"/>
          <w:color w:val="000000" w:themeColor="text1"/>
          <w:sz w:val="24"/>
          <w:szCs w:val="24"/>
        </w:rPr>
        <w:t>,</w:t>
      </w:r>
      <w:r w:rsidR="00505614" w:rsidRPr="00D952CF">
        <w:rPr>
          <w:rFonts w:ascii="Baskerville" w:hAnsi="Baskerville" w:cs="Baskerville"/>
          <w:color w:val="000000" w:themeColor="text1"/>
          <w:sz w:val="24"/>
          <w:szCs w:val="24"/>
        </w:rPr>
        <w:t xml:space="preserve"> in line with </w:t>
      </w:r>
      <w:r w:rsidR="00505614" w:rsidRPr="00D952CF">
        <w:rPr>
          <w:rFonts w:ascii="Baskerville" w:hAnsi="Baskerville" w:cs="Baskerville"/>
          <w:color w:val="000000" w:themeColor="text1"/>
          <w:sz w:val="24"/>
          <w:szCs w:val="24"/>
        </w:rPr>
        <w:lastRenderedPageBreak/>
        <w:t>common</w:t>
      </w:r>
      <w:r w:rsidR="009003E9">
        <w:rPr>
          <w:rFonts w:ascii="Baskerville" w:hAnsi="Baskerville" w:cs="Baskerville"/>
          <w:color w:val="000000" w:themeColor="text1"/>
          <w:sz w:val="24"/>
          <w:szCs w:val="24"/>
        </w:rPr>
        <w:t xml:space="preserve"> </w:t>
      </w:r>
      <w:r w:rsidR="00505614" w:rsidRPr="00D952CF">
        <w:rPr>
          <w:rFonts w:ascii="Baskerville" w:hAnsi="Baskerville" w:cs="Baskerville"/>
          <w:color w:val="000000" w:themeColor="text1"/>
          <w:sz w:val="24"/>
          <w:szCs w:val="24"/>
        </w:rPr>
        <w:t>sense</w:t>
      </w:r>
      <w:r w:rsidR="004A0C85">
        <w:rPr>
          <w:rFonts w:ascii="Baskerville" w:hAnsi="Baskerville" w:cs="Baskerville"/>
          <w:color w:val="000000" w:themeColor="text1"/>
          <w:sz w:val="24"/>
          <w:szCs w:val="24"/>
        </w:rPr>
        <w:t>,</w:t>
      </w:r>
      <w:r w:rsidR="00505614" w:rsidRPr="00D952CF">
        <w:rPr>
          <w:rFonts w:ascii="Baskerville" w:hAnsi="Baskerville" w:cs="Baskerville"/>
          <w:color w:val="000000" w:themeColor="text1"/>
          <w:sz w:val="24"/>
          <w:szCs w:val="24"/>
        </w:rPr>
        <w:t xml:space="preserve"> that it is permissible for banks </w:t>
      </w:r>
      <w:r w:rsidR="00811308">
        <w:rPr>
          <w:rFonts w:ascii="Baskerville" w:hAnsi="Baskerville" w:cs="Baskerville"/>
          <w:color w:val="000000" w:themeColor="text1"/>
          <w:sz w:val="24"/>
          <w:szCs w:val="24"/>
        </w:rPr>
        <w:t>to</w:t>
      </w:r>
      <w:r w:rsidR="00505614" w:rsidRPr="00D952CF">
        <w:rPr>
          <w:rFonts w:ascii="Baskerville" w:hAnsi="Baskerville" w:cs="Baskerville"/>
          <w:color w:val="000000" w:themeColor="text1"/>
          <w:sz w:val="24"/>
          <w:szCs w:val="24"/>
        </w:rPr>
        <w:t xml:space="preserve"> accept borrowers who are creditworthy, and to reject borrowers who are not creditworthy. </w:t>
      </w:r>
    </w:p>
    <w:p w14:paraId="7304B4C0" w14:textId="1A93E64B" w:rsidR="004E6C36" w:rsidRPr="00D952CF" w:rsidRDefault="0020355A" w:rsidP="00A71CD6">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I want to focus on the moral status of the two remaining cases, </w:t>
      </w:r>
      <w:r w:rsidR="00380881">
        <w:rPr>
          <w:rFonts w:ascii="Baskerville" w:hAnsi="Baskerville" w:cs="Baskerville"/>
          <w:color w:val="000000" w:themeColor="text1"/>
          <w:sz w:val="24"/>
          <w:szCs w:val="24"/>
        </w:rPr>
        <w:t xml:space="preserve">those </w:t>
      </w:r>
      <w:r w:rsidR="00046429" w:rsidRPr="00D952CF">
        <w:rPr>
          <w:rFonts w:ascii="Baskerville" w:hAnsi="Baskerville" w:cs="Baskerville"/>
          <w:color w:val="000000" w:themeColor="text1"/>
          <w:sz w:val="24"/>
          <w:szCs w:val="24"/>
        </w:rPr>
        <w:t>of wrongful exclusion and</w:t>
      </w:r>
      <w:r w:rsidR="00380881">
        <w:rPr>
          <w:rFonts w:ascii="Baskerville" w:hAnsi="Baskerville" w:cs="Baskerville"/>
          <w:color w:val="000000" w:themeColor="text1"/>
          <w:sz w:val="24"/>
          <w:szCs w:val="24"/>
        </w:rPr>
        <w:t xml:space="preserve"> of</w:t>
      </w:r>
      <w:r w:rsidR="00046429" w:rsidRPr="00D952CF">
        <w:rPr>
          <w:rFonts w:ascii="Baskerville" w:hAnsi="Baskerville" w:cs="Baskerville"/>
          <w:color w:val="000000" w:themeColor="text1"/>
          <w:sz w:val="24"/>
          <w:szCs w:val="24"/>
        </w:rPr>
        <w:t xml:space="preserve"> </w:t>
      </w:r>
      <w:r w:rsidR="00505614" w:rsidRPr="00D952CF">
        <w:rPr>
          <w:rFonts w:ascii="Baskerville" w:hAnsi="Baskerville" w:cs="Baskerville"/>
          <w:color w:val="000000" w:themeColor="text1"/>
          <w:sz w:val="24"/>
          <w:szCs w:val="24"/>
        </w:rPr>
        <w:t xml:space="preserve">wrongful </w:t>
      </w:r>
      <w:r w:rsidR="00046429" w:rsidRPr="00D952CF">
        <w:rPr>
          <w:rFonts w:ascii="Baskerville" w:hAnsi="Baskerville" w:cs="Baskerville"/>
          <w:color w:val="000000" w:themeColor="text1"/>
          <w:sz w:val="24"/>
          <w:szCs w:val="24"/>
        </w:rPr>
        <w:t>inclusion</w:t>
      </w:r>
      <w:r w:rsidR="00D310C0"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Can banks be faulted for allowing either of these mistakes? </w:t>
      </w:r>
      <w:r w:rsidR="00505614" w:rsidRPr="00D952CF">
        <w:rPr>
          <w:rFonts w:ascii="Baskerville" w:hAnsi="Baskerville" w:cs="Baskerville"/>
          <w:color w:val="000000" w:themeColor="text1"/>
          <w:sz w:val="24"/>
          <w:szCs w:val="24"/>
        </w:rPr>
        <w:t xml:space="preserve">Initially, you may be moved by </w:t>
      </w:r>
      <w:r w:rsidR="00096A73" w:rsidRPr="00D952CF">
        <w:rPr>
          <w:rFonts w:ascii="Baskerville" w:hAnsi="Baskerville" w:cs="Baskerville"/>
          <w:color w:val="000000" w:themeColor="text1"/>
          <w:sz w:val="24"/>
          <w:szCs w:val="24"/>
        </w:rPr>
        <w:t>t</w:t>
      </w:r>
      <w:r w:rsidR="00505614" w:rsidRPr="00D952CF">
        <w:rPr>
          <w:rFonts w:ascii="Baskerville" w:hAnsi="Baskerville" w:cs="Baskerville"/>
          <w:color w:val="000000" w:themeColor="text1"/>
          <w:sz w:val="24"/>
          <w:szCs w:val="24"/>
        </w:rPr>
        <w:t>he liber</w:t>
      </w:r>
      <w:r w:rsidR="00096A73" w:rsidRPr="00D952CF">
        <w:rPr>
          <w:rFonts w:ascii="Baskerville" w:hAnsi="Baskerville" w:cs="Baskerville"/>
          <w:color w:val="000000" w:themeColor="text1"/>
          <w:sz w:val="24"/>
          <w:szCs w:val="24"/>
        </w:rPr>
        <w:t>al</w:t>
      </w:r>
      <w:r w:rsidR="00505614" w:rsidRPr="00D952CF">
        <w:rPr>
          <w:rFonts w:ascii="Baskerville" w:hAnsi="Baskerville" w:cs="Baskerville"/>
          <w:color w:val="000000" w:themeColor="text1"/>
          <w:sz w:val="24"/>
          <w:szCs w:val="24"/>
        </w:rPr>
        <w:t xml:space="preserve"> thought that </w:t>
      </w:r>
      <w:r w:rsidR="00096A73" w:rsidRPr="00D952CF">
        <w:rPr>
          <w:rFonts w:ascii="Baskerville" w:hAnsi="Baskerville" w:cs="Baskerville"/>
          <w:color w:val="000000" w:themeColor="text1"/>
          <w:sz w:val="24"/>
          <w:szCs w:val="24"/>
        </w:rPr>
        <w:t>banks, at least if they are privately operated, should be</w:t>
      </w:r>
      <w:r w:rsidR="00DB66EB">
        <w:rPr>
          <w:rFonts w:ascii="Baskerville" w:hAnsi="Baskerville" w:cs="Baskerville"/>
          <w:color w:val="000000" w:themeColor="text1"/>
          <w:sz w:val="24"/>
          <w:szCs w:val="24"/>
        </w:rPr>
        <w:t xml:space="preserve"> allowed to run their business</w:t>
      </w:r>
      <w:r w:rsidR="00096A73" w:rsidRPr="00D952CF">
        <w:rPr>
          <w:rFonts w:ascii="Baskerville" w:hAnsi="Baskerville" w:cs="Baskerville"/>
          <w:color w:val="000000" w:themeColor="text1"/>
          <w:sz w:val="24"/>
          <w:szCs w:val="24"/>
        </w:rPr>
        <w:t xml:space="preserve"> as they see fit. </w:t>
      </w:r>
      <w:r>
        <w:rPr>
          <w:rFonts w:ascii="Baskerville" w:hAnsi="Baskerville" w:cs="Baskerville"/>
          <w:color w:val="000000" w:themeColor="text1"/>
          <w:sz w:val="24"/>
          <w:szCs w:val="24"/>
        </w:rPr>
        <w:t>If so,</w:t>
      </w:r>
      <w:r w:rsidR="00096A73" w:rsidRPr="00D952CF">
        <w:rPr>
          <w:rFonts w:ascii="Baskerville" w:hAnsi="Baskerville" w:cs="Baskerville"/>
          <w:color w:val="000000" w:themeColor="text1"/>
          <w:sz w:val="24"/>
          <w:szCs w:val="24"/>
        </w:rPr>
        <w:t xml:space="preserve"> they </w:t>
      </w:r>
      <w:r w:rsidR="00DB66EB">
        <w:rPr>
          <w:rFonts w:ascii="Baskerville" w:hAnsi="Baskerville" w:cs="Baskerville"/>
          <w:color w:val="000000" w:themeColor="text1"/>
          <w:sz w:val="24"/>
          <w:szCs w:val="24"/>
        </w:rPr>
        <w:t xml:space="preserve">do not have an obligation </w:t>
      </w:r>
      <w:r w:rsidR="00096A73" w:rsidRPr="00D952CF">
        <w:rPr>
          <w:rFonts w:ascii="Baskerville" w:hAnsi="Baskerville" w:cs="Baskerville"/>
          <w:color w:val="000000" w:themeColor="text1"/>
          <w:sz w:val="24"/>
          <w:szCs w:val="24"/>
        </w:rPr>
        <w:t xml:space="preserve">to service </w:t>
      </w:r>
      <w:r>
        <w:rPr>
          <w:rFonts w:ascii="Baskerville" w:hAnsi="Baskerville" w:cs="Baskerville"/>
          <w:color w:val="000000" w:themeColor="text1"/>
          <w:sz w:val="24"/>
          <w:szCs w:val="24"/>
        </w:rPr>
        <w:t xml:space="preserve">or to reject any applicant, </w:t>
      </w:r>
      <w:r w:rsidR="00096A73" w:rsidRPr="00D952CF">
        <w:rPr>
          <w:rFonts w:ascii="Baskerville" w:hAnsi="Baskerville" w:cs="Baskerville"/>
          <w:color w:val="000000" w:themeColor="text1"/>
          <w:sz w:val="24"/>
          <w:szCs w:val="24"/>
        </w:rPr>
        <w:t>creditworthy</w:t>
      </w:r>
      <w:r>
        <w:rPr>
          <w:rFonts w:ascii="Baskerville" w:hAnsi="Baskerville" w:cs="Baskerville"/>
          <w:color w:val="000000" w:themeColor="text1"/>
          <w:sz w:val="24"/>
          <w:szCs w:val="24"/>
        </w:rPr>
        <w:t xml:space="preserve"> or not</w:t>
      </w:r>
      <w:r w:rsidR="00096A73" w:rsidRPr="00D952CF">
        <w:rPr>
          <w:rFonts w:ascii="Baskerville" w:hAnsi="Baskerville" w:cs="Baskerville"/>
          <w:color w:val="000000" w:themeColor="text1"/>
          <w:sz w:val="24"/>
          <w:szCs w:val="24"/>
        </w:rPr>
        <w:t>.</w:t>
      </w:r>
      <w:r w:rsidR="00505614" w:rsidRPr="00D952CF">
        <w:rPr>
          <w:rFonts w:ascii="Baskerville" w:hAnsi="Baskerville" w:cs="Baskerville"/>
          <w:color w:val="000000" w:themeColor="text1"/>
          <w:sz w:val="24"/>
          <w:szCs w:val="24"/>
        </w:rPr>
        <w:t xml:space="preserve"> </w:t>
      </w:r>
      <w:r w:rsidR="00096A73" w:rsidRPr="00D952CF">
        <w:rPr>
          <w:rFonts w:ascii="Baskerville" w:hAnsi="Baskerville" w:cs="Baskerville"/>
          <w:color w:val="000000" w:themeColor="text1"/>
          <w:sz w:val="24"/>
          <w:szCs w:val="24"/>
        </w:rPr>
        <w:t xml:space="preserve">By contrast, </w:t>
      </w:r>
      <w:r w:rsidR="00A71CD6" w:rsidRPr="00D952CF">
        <w:rPr>
          <w:rFonts w:ascii="Baskerville" w:hAnsi="Baskerville" w:cs="Baskerville"/>
          <w:color w:val="000000" w:themeColor="text1"/>
          <w:sz w:val="24"/>
          <w:szCs w:val="24"/>
        </w:rPr>
        <w:t xml:space="preserve">I </w:t>
      </w:r>
      <w:r w:rsidR="00DB66EB">
        <w:rPr>
          <w:rFonts w:ascii="Baskerville" w:hAnsi="Baskerville" w:cs="Baskerville"/>
          <w:color w:val="000000" w:themeColor="text1"/>
          <w:sz w:val="24"/>
          <w:szCs w:val="24"/>
        </w:rPr>
        <w:t>will argue</w:t>
      </w:r>
      <w:r w:rsidR="00A71CD6" w:rsidRPr="00D952CF">
        <w:rPr>
          <w:rFonts w:ascii="Baskerville" w:hAnsi="Baskerville" w:cs="Baskerville"/>
          <w:color w:val="000000" w:themeColor="text1"/>
          <w:sz w:val="24"/>
          <w:szCs w:val="24"/>
        </w:rPr>
        <w:t xml:space="preserve"> that banks have obligation</w:t>
      </w:r>
      <w:r>
        <w:rPr>
          <w:rFonts w:ascii="Baskerville" w:hAnsi="Baskerville" w:cs="Baskerville"/>
          <w:color w:val="000000" w:themeColor="text1"/>
          <w:sz w:val="24"/>
          <w:szCs w:val="24"/>
        </w:rPr>
        <w:t>s</w:t>
      </w:r>
      <w:r w:rsidR="00A71CD6" w:rsidRPr="00D952CF">
        <w:rPr>
          <w:rFonts w:ascii="Baskerville" w:hAnsi="Baskerville" w:cs="Baskerville"/>
          <w:color w:val="000000" w:themeColor="text1"/>
          <w:sz w:val="24"/>
          <w:szCs w:val="24"/>
        </w:rPr>
        <w:t xml:space="preserve"> to avoid wrongful inclusion and exclusion. </w:t>
      </w:r>
      <w:r w:rsidR="0017359B" w:rsidRPr="00D952CF">
        <w:rPr>
          <w:rFonts w:ascii="Baskerville" w:hAnsi="Baskerville" w:cs="Baskerville"/>
          <w:color w:val="000000" w:themeColor="text1"/>
          <w:sz w:val="24"/>
          <w:szCs w:val="24"/>
        </w:rPr>
        <w:t xml:space="preserve">There are different ways </w:t>
      </w:r>
      <w:r w:rsidR="00DB66EB">
        <w:rPr>
          <w:rFonts w:ascii="Baskerville" w:hAnsi="Baskerville" w:cs="Baskerville"/>
          <w:color w:val="000000" w:themeColor="text1"/>
          <w:sz w:val="24"/>
          <w:szCs w:val="24"/>
        </w:rPr>
        <w:t>to</w:t>
      </w:r>
      <w:r w:rsidR="0017359B" w:rsidRPr="00D952CF">
        <w:rPr>
          <w:rFonts w:ascii="Baskerville" w:hAnsi="Baskerville" w:cs="Baskerville"/>
          <w:color w:val="000000" w:themeColor="text1"/>
          <w:sz w:val="24"/>
          <w:szCs w:val="24"/>
        </w:rPr>
        <w:t xml:space="preserve"> </w:t>
      </w:r>
      <w:r w:rsidR="00DB66EB">
        <w:rPr>
          <w:rFonts w:ascii="Baskerville" w:hAnsi="Baskerville" w:cs="Baskerville"/>
          <w:color w:val="000000" w:themeColor="text1"/>
          <w:sz w:val="24"/>
          <w:szCs w:val="24"/>
        </w:rPr>
        <w:t>argue</w:t>
      </w:r>
      <w:r w:rsidR="00096A73" w:rsidRPr="00D952CF">
        <w:rPr>
          <w:rFonts w:ascii="Baskerville" w:hAnsi="Baskerville" w:cs="Baskerville"/>
          <w:color w:val="000000" w:themeColor="text1"/>
          <w:sz w:val="24"/>
          <w:szCs w:val="24"/>
        </w:rPr>
        <w:t xml:space="preserve"> for this view.</w:t>
      </w:r>
      <w:r w:rsidR="0017359B" w:rsidRPr="00D952CF">
        <w:rPr>
          <w:rFonts w:ascii="Baskerville" w:hAnsi="Baskerville" w:cs="Baskerville"/>
          <w:color w:val="000000" w:themeColor="text1"/>
          <w:sz w:val="24"/>
          <w:szCs w:val="24"/>
        </w:rPr>
        <w:t xml:space="preserve"> For instance, one might ground such an obligation in the fiduciary duties of banks, or in a general duty of businesses to benefit customers and avoid harm. </w:t>
      </w:r>
    </w:p>
    <w:p w14:paraId="44086F16" w14:textId="6448917D" w:rsidR="00A41181" w:rsidRPr="00D952CF" w:rsidRDefault="0020355A" w:rsidP="00C96E90">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My preferred way of arguing for the conclusion that banks have obligations to avoid wrongful exclusion </w:t>
      </w:r>
      <w:r w:rsidRPr="00E533E0">
        <w:rPr>
          <w:rFonts w:ascii="Baskerville" w:hAnsi="Baskerville" w:cs="Baskerville"/>
          <w:color w:val="000000" w:themeColor="text1"/>
          <w:sz w:val="24"/>
          <w:szCs w:val="24"/>
        </w:rPr>
        <w:t>and inclusion</w:t>
      </w:r>
      <w:r>
        <w:rPr>
          <w:rFonts w:ascii="Baskerville" w:hAnsi="Baskerville" w:cs="Baskerville"/>
          <w:color w:val="000000" w:themeColor="text1"/>
          <w:sz w:val="24"/>
          <w:szCs w:val="24"/>
        </w:rPr>
        <w:t xml:space="preserve"> appeals to</w:t>
      </w:r>
      <w:r w:rsidR="00C96E90"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a</w:t>
      </w:r>
      <w:r w:rsidR="00C96E90" w:rsidRPr="00D952CF">
        <w:rPr>
          <w:rFonts w:ascii="Baskerville" w:hAnsi="Baskerville" w:cs="Baskerville"/>
          <w:color w:val="000000" w:themeColor="text1"/>
          <w:sz w:val="24"/>
          <w:szCs w:val="24"/>
        </w:rPr>
        <w:t xml:space="preserve"> right </w:t>
      </w:r>
      <w:r w:rsidR="00096A73" w:rsidRPr="00D952CF">
        <w:rPr>
          <w:rFonts w:ascii="Baskerville" w:hAnsi="Baskerville" w:cs="Baskerville"/>
          <w:color w:val="000000" w:themeColor="text1"/>
          <w:sz w:val="24"/>
          <w:szCs w:val="24"/>
        </w:rPr>
        <w:t>to credit</w:t>
      </w:r>
      <w:r>
        <w:rPr>
          <w:rFonts w:ascii="Baskerville" w:hAnsi="Baskerville" w:cs="Baskerville"/>
          <w:color w:val="000000" w:themeColor="text1"/>
          <w:sz w:val="24"/>
          <w:szCs w:val="24"/>
        </w:rPr>
        <w:t xml:space="preserve">, which I have argued </w:t>
      </w:r>
      <w:r w:rsidR="00DB66EB">
        <w:rPr>
          <w:rFonts w:ascii="Baskerville" w:hAnsi="Baskerville" w:cs="Baskerville"/>
          <w:color w:val="000000" w:themeColor="text1"/>
          <w:sz w:val="24"/>
          <w:szCs w:val="24"/>
        </w:rPr>
        <w:t xml:space="preserve">for </w:t>
      </w:r>
      <w:r>
        <w:rPr>
          <w:rFonts w:ascii="Baskerville" w:hAnsi="Baskerville" w:cs="Baskerville"/>
          <w:color w:val="000000" w:themeColor="text1"/>
          <w:sz w:val="24"/>
          <w:szCs w:val="24"/>
        </w:rPr>
        <w:t>elsewhere.</w:t>
      </w:r>
      <w:r w:rsidRPr="00E93D72">
        <w:rPr>
          <w:rStyle w:val="FootnoteReference"/>
        </w:rPr>
        <w:footnoteReference w:id="19"/>
      </w:r>
      <w:r w:rsidR="00A41181" w:rsidRPr="00D952CF">
        <w:rPr>
          <w:rFonts w:ascii="Baskerville" w:hAnsi="Baskerville" w:cs="Baskerville"/>
          <w:color w:val="000000" w:themeColor="text1"/>
          <w:sz w:val="24"/>
          <w:szCs w:val="24"/>
        </w:rPr>
        <w:t xml:space="preserve"> The right to credit </w:t>
      </w:r>
      <w:r>
        <w:rPr>
          <w:rFonts w:ascii="Baskerville" w:hAnsi="Baskerville" w:cs="Baskerville"/>
          <w:color w:val="000000" w:themeColor="text1"/>
          <w:sz w:val="24"/>
          <w:szCs w:val="24"/>
        </w:rPr>
        <w:t>includes</w:t>
      </w:r>
      <w:r w:rsidR="00A41181" w:rsidRPr="00D952CF">
        <w:rPr>
          <w:rFonts w:ascii="Baskerville" w:hAnsi="Baskerville" w:cs="Baskerville"/>
          <w:color w:val="000000" w:themeColor="text1"/>
          <w:sz w:val="24"/>
          <w:szCs w:val="24"/>
        </w:rPr>
        <w:t xml:space="preserve"> a claim-right of </w:t>
      </w:r>
      <w:r w:rsidR="00096A73" w:rsidRPr="00D952CF">
        <w:rPr>
          <w:rFonts w:ascii="Baskerville" w:hAnsi="Baskerville" w:cs="Baskerville"/>
          <w:color w:val="000000" w:themeColor="text1"/>
          <w:sz w:val="24"/>
          <w:szCs w:val="24"/>
        </w:rPr>
        <w:t xml:space="preserve">creditworthy </w:t>
      </w:r>
      <w:r w:rsidR="00A41181" w:rsidRPr="00D952CF">
        <w:rPr>
          <w:rFonts w:ascii="Baskerville" w:hAnsi="Baskerville" w:cs="Baskerville"/>
          <w:color w:val="000000" w:themeColor="text1"/>
          <w:sz w:val="24"/>
          <w:szCs w:val="24"/>
        </w:rPr>
        <w:t>citizens to obtain credit at reasonable rates.</w:t>
      </w:r>
      <w:r w:rsidR="00A71CD6" w:rsidRPr="00D952CF">
        <w:rPr>
          <w:rFonts w:ascii="Baskerville" w:hAnsi="Baskerville" w:cs="Baskerville"/>
          <w:color w:val="000000" w:themeColor="text1"/>
          <w:sz w:val="24"/>
          <w:szCs w:val="24"/>
        </w:rPr>
        <w:t xml:space="preserve"> </w:t>
      </w:r>
      <w:r w:rsidR="00A41181" w:rsidRPr="00D952CF">
        <w:rPr>
          <w:rFonts w:ascii="Baskerville" w:hAnsi="Baskerville" w:cs="Baskerville"/>
          <w:color w:val="000000" w:themeColor="text1"/>
          <w:sz w:val="24"/>
          <w:szCs w:val="24"/>
        </w:rPr>
        <w:t>To summarize</w:t>
      </w:r>
      <w:r w:rsidR="00C96E90"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the argument </w:t>
      </w:r>
      <w:r w:rsidR="00C96E90" w:rsidRPr="00D952CF">
        <w:rPr>
          <w:rFonts w:ascii="Baskerville" w:hAnsi="Baskerville" w:cs="Baskerville"/>
          <w:color w:val="000000" w:themeColor="text1"/>
          <w:sz w:val="24"/>
          <w:szCs w:val="24"/>
        </w:rPr>
        <w:t>briefly</w:t>
      </w:r>
      <w:r w:rsidR="00A41181" w:rsidRPr="00D952CF">
        <w:rPr>
          <w:rFonts w:ascii="Baskerville" w:hAnsi="Baskerville" w:cs="Baskerville"/>
          <w:color w:val="000000" w:themeColor="text1"/>
          <w:sz w:val="24"/>
          <w:szCs w:val="24"/>
        </w:rPr>
        <w:t xml:space="preserve">: Private property is inherently exclusionary, </w:t>
      </w:r>
      <w:r>
        <w:rPr>
          <w:rFonts w:ascii="Baskerville" w:hAnsi="Baskerville" w:cs="Baskerville"/>
          <w:color w:val="000000" w:themeColor="text1"/>
          <w:sz w:val="24"/>
          <w:szCs w:val="24"/>
        </w:rPr>
        <w:t>because it prohibits</w:t>
      </w:r>
      <w:r w:rsidR="00A41181" w:rsidRPr="00D952CF">
        <w:rPr>
          <w:rFonts w:ascii="Baskerville" w:hAnsi="Baskerville" w:cs="Baskerville"/>
          <w:color w:val="000000" w:themeColor="text1"/>
          <w:sz w:val="24"/>
          <w:szCs w:val="24"/>
        </w:rPr>
        <w:t xml:space="preserve"> everyone else from controlling the things you own, and vice versa. Enforcing </w:t>
      </w:r>
      <w:r>
        <w:rPr>
          <w:rFonts w:ascii="Baskerville" w:hAnsi="Baskerville" w:cs="Baskerville"/>
          <w:color w:val="000000" w:themeColor="text1"/>
          <w:sz w:val="24"/>
          <w:szCs w:val="24"/>
        </w:rPr>
        <w:t>property rights</w:t>
      </w:r>
      <w:r w:rsidR="00A41181" w:rsidRPr="00D952CF">
        <w:rPr>
          <w:rFonts w:ascii="Baskerville" w:hAnsi="Baskerville" w:cs="Baskerville"/>
          <w:color w:val="000000" w:themeColor="text1"/>
          <w:sz w:val="24"/>
          <w:szCs w:val="24"/>
        </w:rPr>
        <w:t xml:space="preserve"> requires the coercive power of the state, and exercising the state’s coercive power needs to be legitimised. To render the coercive force of the state legitimate, non-owners need to have sufficient reason to accept a duty to respect others’ property rights. But—and </w:t>
      </w:r>
      <w:r w:rsidR="00DB66EB">
        <w:rPr>
          <w:rFonts w:ascii="Baskerville" w:hAnsi="Baskerville" w:cs="Baskerville"/>
          <w:color w:val="000000" w:themeColor="text1"/>
          <w:sz w:val="24"/>
          <w:szCs w:val="24"/>
        </w:rPr>
        <w:t xml:space="preserve">this </w:t>
      </w:r>
      <w:r w:rsidR="00A41181" w:rsidRPr="00D952CF">
        <w:rPr>
          <w:rFonts w:ascii="Baskerville" w:hAnsi="Baskerville" w:cs="Baskerville"/>
          <w:color w:val="000000" w:themeColor="text1"/>
          <w:sz w:val="24"/>
          <w:szCs w:val="24"/>
        </w:rPr>
        <w:t>is the core of the argument—non-owners lack sufficient reason to accept such a duty unless a right to credit mitigates the exclusionary character of private property. The reason is that a private property system that does not acknowledge a right to credit imposes a</w:t>
      </w:r>
      <w:r w:rsidR="00096A73" w:rsidRPr="00D952CF">
        <w:rPr>
          <w:rFonts w:ascii="Baskerville" w:hAnsi="Baskerville" w:cs="Baskerville"/>
          <w:color w:val="000000" w:themeColor="text1"/>
          <w:sz w:val="24"/>
          <w:szCs w:val="24"/>
        </w:rPr>
        <w:t>n unnecessary</w:t>
      </w:r>
      <w:r w:rsidR="00A41181" w:rsidRPr="00D952CF">
        <w:rPr>
          <w:rFonts w:ascii="Baskerville" w:hAnsi="Baskerville" w:cs="Baskerville"/>
          <w:color w:val="000000" w:themeColor="text1"/>
          <w:sz w:val="24"/>
          <w:szCs w:val="24"/>
        </w:rPr>
        <w:t xml:space="preserve"> burden on the citizens excluded from credit</w:t>
      </w:r>
      <w:r w:rsidR="00A71CD6" w:rsidRPr="00D952CF">
        <w:rPr>
          <w:rFonts w:ascii="Baskerville" w:hAnsi="Baskerville" w:cs="Baskerville"/>
          <w:color w:val="000000" w:themeColor="text1"/>
          <w:sz w:val="24"/>
          <w:szCs w:val="24"/>
        </w:rPr>
        <w:t>.</w:t>
      </w:r>
      <w:r w:rsidR="00A41181" w:rsidRPr="00D952CF">
        <w:rPr>
          <w:rFonts w:ascii="Baskerville" w:hAnsi="Baskerville" w:cs="Baskerville"/>
          <w:color w:val="000000" w:themeColor="text1"/>
          <w:sz w:val="24"/>
          <w:szCs w:val="24"/>
        </w:rPr>
        <w:t xml:space="preserve"> </w:t>
      </w:r>
      <w:r w:rsidR="00096A73" w:rsidRPr="00D952CF">
        <w:rPr>
          <w:rFonts w:ascii="Baskerville" w:hAnsi="Baskerville" w:cs="Baskerville"/>
          <w:color w:val="000000" w:themeColor="text1"/>
          <w:sz w:val="24"/>
          <w:szCs w:val="24"/>
        </w:rPr>
        <w:t xml:space="preserve">Withholding credit from creditworthy citizens limits their economic agency beyond what is required to safeguard the advantages of private property. </w:t>
      </w:r>
      <w:r w:rsidR="00A41181" w:rsidRPr="00D952CF">
        <w:rPr>
          <w:rFonts w:ascii="Baskerville" w:hAnsi="Baskerville" w:cs="Baskerville"/>
          <w:color w:val="000000" w:themeColor="text1"/>
          <w:sz w:val="24"/>
          <w:szCs w:val="24"/>
        </w:rPr>
        <w:t>Hence, capitalist societies, which are based on private property, should recognise a right to credit.</w:t>
      </w:r>
    </w:p>
    <w:p w14:paraId="4F0253A2" w14:textId="6BD9870B" w:rsidR="00DB66EB" w:rsidRDefault="0044099F" w:rsidP="002035F9">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If we recognize that citizens have a right to credit, we need to acknowledge a</w:t>
      </w:r>
      <w:r w:rsidR="00C96E90" w:rsidRPr="00D952CF">
        <w:rPr>
          <w:rFonts w:ascii="Baskerville" w:hAnsi="Baskerville" w:cs="Baskerville"/>
          <w:color w:val="000000" w:themeColor="text1"/>
          <w:sz w:val="24"/>
          <w:szCs w:val="24"/>
        </w:rPr>
        <w:t xml:space="preserve"> normative asymmetry between mistakes of wrongful exclusion and inclusion. Cases of wrongful exclusion </w:t>
      </w:r>
      <w:r w:rsidRPr="00D952CF">
        <w:rPr>
          <w:rFonts w:ascii="Baskerville" w:hAnsi="Baskerville" w:cs="Baskerville"/>
          <w:color w:val="000000" w:themeColor="text1"/>
          <w:sz w:val="24"/>
          <w:szCs w:val="24"/>
        </w:rPr>
        <w:t>infringe upon a right of citizens</w:t>
      </w:r>
      <w:r>
        <w:rPr>
          <w:rFonts w:ascii="Baskerville" w:hAnsi="Baskerville" w:cs="Baskerville"/>
          <w:color w:val="000000" w:themeColor="text1"/>
          <w:sz w:val="24"/>
          <w:szCs w:val="24"/>
        </w:rPr>
        <w:t>—the right to credit</w:t>
      </w:r>
      <w:r w:rsidR="00096A73" w:rsidRPr="00D952CF">
        <w:rPr>
          <w:rFonts w:ascii="Baskerville" w:hAnsi="Baskerville" w:cs="Baskerville"/>
          <w:color w:val="000000" w:themeColor="text1"/>
          <w:sz w:val="24"/>
          <w:szCs w:val="24"/>
        </w:rPr>
        <w:t>.</w:t>
      </w:r>
      <w:r w:rsidR="00C96E90" w:rsidRPr="00D952CF">
        <w:rPr>
          <w:rFonts w:ascii="Baskerville" w:hAnsi="Baskerville" w:cs="Baskerville"/>
          <w:color w:val="000000" w:themeColor="text1"/>
          <w:sz w:val="24"/>
          <w:szCs w:val="24"/>
        </w:rPr>
        <w:t xml:space="preserve"> </w:t>
      </w:r>
      <w:r w:rsidR="00096A73" w:rsidRPr="00D952CF">
        <w:rPr>
          <w:rFonts w:ascii="Baskerville" w:hAnsi="Baskerville" w:cs="Baskerville"/>
          <w:color w:val="000000" w:themeColor="text1"/>
          <w:sz w:val="24"/>
          <w:szCs w:val="24"/>
        </w:rPr>
        <w:t xml:space="preserve">By contrast, </w:t>
      </w:r>
      <w:r>
        <w:rPr>
          <w:rFonts w:ascii="Baskerville" w:hAnsi="Baskerville" w:cs="Baskerville"/>
          <w:color w:val="000000" w:themeColor="text1"/>
          <w:sz w:val="24"/>
          <w:szCs w:val="24"/>
        </w:rPr>
        <w:t>individual mistakes of wrongful inclusion</w:t>
      </w:r>
      <w:r w:rsidR="00096A73"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are not</w:t>
      </w:r>
      <w:r w:rsidR="00096A73" w:rsidRPr="00D952CF">
        <w:rPr>
          <w:rFonts w:ascii="Baskerville" w:hAnsi="Baskerville" w:cs="Baskerville"/>
          <w:color w:val="000000" w:themeColor="text1"/>
          <w:sz w:val="24"/>
          <w:szCs w:val="24"/>
        </w:rPr>
        <w:t xml:space="preserve"> similarly serious rights violation</w:t>
      </w:r>
      <w:r>
        <w:rPr>
          <w:rFonts w:ascii="Baskerville" w:hAnsi="Baskerville" w:cs="Baskerville"/>
          <w:color w:val="000000" w:themeColor="text1"/>
          <w:sz w:val="24"/>
          <w:szCs w:val="24"/>
        </w:rPr>
        <w:t>s</w:t>
      </w:r>
      <w:r w:rsidR="00096A73" w:rsidRPr="00D952CF">
        <w:rPr>
          <w:rFonts w:ascii="Baskerville" w:hAnsi="Baskerville" w:cs="Baskerville"/>
          <w:color w:val="000000" w:themeColor="text1"/>
          <w:sz w:val="24"/>
          <w:szCs w:val="24"/>
        </w:rPr>
        <w:t xml:space="preserve">. </w:t>
      </w:r>
      <w:r w:rsidR="00402DFA" w:rsidRPr="00D952CF">
        <w:rPr>
          <w:rFonts w:ascii="Baskerville" w:hAnsi="Baskerville" w:cs="Baskerville"/>
          <w:color w:val="000000" w:themeColor="text1"/>
          <w:sz w:val="24"/>
          <w:szCs w:val="24"/>
        </w:rPr>
        <w:t xml:space="preserve">Since rights </w:t>
      </w:r>
      <w:r w:rsidR="003A5988" w:rsidRPr="00D952CF">
        <w:rPr>
          <w:rFonts w:ascii="Baskerville" w:hAnsi="Baskerville" w:cs="Baskerville"/>
          <w:color w:val="000000" w:themeColor="text1"/>
          <w:sz w:val="24"/>
          <w:szCs w:val="24"/>
        </w:rPr>
        <w:t xml:space="preserve">generally trump lesser normative considerations, </w:t>
      </w:r>
      <w:r w:rsidR="002035F9" w:rsidRPr="00D952CF">
        <w:rPr>
          <w:rFonts w:ascii="Baskerville" w:hAnsi="Baskerville" w:cs="Baskerville"/>
          <w:color w:val="000000" w:themeColor="text1"/>
          <w:sz w:val="24"/>
          <w:szCs w:val="24"/>
        </w:rPr>
        <w:t xml:space="preserve">one might think that banks should put all their efforts </w:t>
      </w:r>
      <w:r w:rsidR="002035F9" w:rsidRPr="00D952CF">
        <w:rPr>
          <w:rFonts w:ascii="Baskerville" w:hAnsi="Baskerville" w:cs="Baskerville"/>
          <w:color w:val="000000" w:themeColor="text1"/>
          <w:sz w:val="24"/>
          <w:szCs w:val="24"/>
        </w:rPr>
        <w:lastRenderedPageBreak/>
        <w:t>in</w:t>
      </w:r>
      <w:r w:rsidR="009003E9">
        <w:rPr>
          <w:rFonts w:ascii="Baskerville" w:hAnsi="Baskerville" w:cs="Baskerville"/>
          <w:color w:val="000000" w:themeColor="text1"/>
          <w:sz w:val="24"/>
          <w:szCs w:val="24"/>
        </w:rPr>
        <w:t>to</w:t>
      </w:r>
      <w:r w:rsidR="002035F9" w:rsidRPr="00D952CF">
        <w:rPr>
          <w:rFonts w:ascii="Baskerville" w:hAnsi="Baskerville" w:cs="Baskerville"/>
          <w:color w:val="000000" w:themeColor="text1"/>
          <w:sz w:val="24"/>
          <w:szCs w:val="24"/>
        </w:rPr>
        <w:t xml:space="preserve"> avoiding mistakes of wrongful exclusion, even if this leads to a large number of mistakes of wrongful inclusion. </w:t>
      </w:r>
    </w:p>
    <w:p w14:paraId="253D65EE" w14:textId="112CD55C" w:rsidR="00C96E90" w:rsidRPr="00D952CF" w:rsidRDefault="0044099F" w:rsidP="005C0F0B">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But this would be too quick</w:t>
      </w:r>
      <w:r w:rsidR="002035F9"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If the number of mistakes of wrongful inclusion </w:t>
      </w:r>
      <w:r w:rsidR="00DB66EB">
        <w:rPr>
          <w:rFonts w:ascii="Baskerville" w:hAnsi="Baskerville" w:cs="Baskerville"/>
          <w:color w:val="000000" w:themeColor="text1"/>
          <w:sz w:val="24"/>
          <w:szCs w:val="24"/>
        </w:rPr>
        <w:t xml:space="preserve">made by a bank </w:t>
      </w:r>
      <w:r>
        <w:rPr>
          <w:rFonts w:ascii="Baskerville" w:hAnsi="Baskerville" w:cs="Baskerville"/>
          <w:color w:val="000000" w:themeColor="text1"/>
          <w:sz w:val="24"/>
          <w:szCs w:val="24"/>
        </w:rPr>
        <w:t>reaches a certain threshold, the bank’s economic viability is threatened</w:t>
      </w:r>
      <w:r w:rsidR="002035F9" w:rsidRPr="00D952CF">
        <w:rPr>
          <w:rFonts w:ascii="Baskerville" w:hAnsi="Baskerville" w:cs="Baskerville"/>
          <w:color w:val="000000" w:themeColor="text1"/>
          <w:sz w:val="24"/>
          <w:szCs w:val="24"/>
        </w:rPr>
        <w:t>.</w:t>
      </w:r>
      <w:r w:rsidR="00DB66EB">
        <w:rPr>
          <w:rFonts w:ascii="Baskerville" w:hAnsi="Baskerville" w:cs="Baskerville"/>
          <w:color w:val="000000" w:themeColor="text1"/>
          <w:sz w:val="24"/>
          <w:szCs w:val="24"/>
        </w:rPr>
        <w:t xml:space="preserve"> Shareholders, bondholders, and depositors have moral claims on the management of the bank to take their interests into account.</w:t>
      </w:r>
      <w:r w:rsidR="002035F9" w:rsidRPr="00D952CF">
        <w:rPr>
          <w:rFonts w:ascii="Baskerville" w:hAnsi="Baskerville" w:cs="Baskerville"/>
          <w:color w:val="000000" w:themeColor="text1"/>
          <w:sz w:val="24"/>
          <w:szCs w:val="24"/>
        </w:rPr>
        <w:t xml:space="preserve"> </w:t>
      </w:r>
      <w:r w:rsidR="00DB66EB">
        <w:rPr>
          <w:rFonts w:ascii="Baskerville" w:hAnsi="Baskerville" w:cs="Baskerville"/>
          <w:color w:val="000000" w:themeColor="text1"/>
          <w:sz w:val="24"/>
          <w:szCs w:val="24"/>
        </w:rPr>
        <w:t>Moreover, f</w:t>
      </w:r>
      <w:r w:rsidR="002035F9" w:rsidRPr="00D952CF">
        <w:rPr>
          <w:rFonts w:ascii="Baskerville" w:hAnsi="Baskerville" w:cs="Baskerville"/>
          <w:color w:val="000000" w:themeColor="text1"/>
          <w:sz w:val="24"/>
          <w:szCs w:val="24"/>
        </w:rPr>
        <w:t>ailing banks</w:t>
      </w:r>
      <w:r w:rsidR="008A4DC8">
        <w:rPr>
          <w:rFonts w:ascii="Baskerville" w:hAnsi="Baskerville" w:cs="Baskerville"/>
          <w:color w:val="000000" w:themeColor="text1"/>
          <w:sz w:val="24"/>
          <w:szCs w:val="24"/>
        </w:rPr>
        <w:t xml:space="preserve">, if they are systemically important or interconnected with other banks, </w:t>
      </w:r>
      <w:r w:rsidR="002035F9" w:rsidRPr="00D952CF">
        <w:rPr>
          <w:rFonts w:ascii="Baskerville" w:hAnsi="Baskerville" w:cs="Baskerville"/>
          <w:color w:val="000000" w:themeColor="text1"/>
          <w:sz w:val="24"/>
          <w:szCs w:val="24"/>
        </w:rPr>
        <w:t>threaten financial stability, lead to increased</w:t>
      </w:r>
      <w:r w:rsidR="00C96E90" w:rsidRPr="00D952CF">
        <w:rPr>
          <w:rFonts w:ascii="Baskerville" w:hAnsi="Baskerville" w:cs="Baskerville"/>
          <w:color w:val="000000" w:themeColor="text1"/>
          <w:sz w:val="24"/>
          <w:szCs w:val="24"/>
        </w:rPr>
        <w:t xml:space="preserve"> interest rates for creditworthy borrowers</w:t>
      </w:r>
      <w:r>
        <w:rPr>
          <w:rFonts w:ascii="Baskerville" w:hAnsi="Baskerville" w:cs="Baskerville"/>
          <w:color w:val="000000" w:themeColor="text1"/>
          <w:sz w:val="24"/>
          <w:szCs w:val="24"/>
        </w:rPr>
        <w:t>,</w:t>
      </w:r>
      <w:r w:rsidR="002035F9" w:rsidRPr="00D952CF">
        <w:rPr>
          <w:rFonts w:ascii="Baskerville" w:hAnsi="Baskerville" w:cs="Baskerville"/>
          <w:color w:val="000000" w:themeColor="text1"/>
          <w:sz w:val="24"/>
          <w:szCs w:val="24"/>
        </w:rPr>
        <w:t xml:space="preserve"> or even </w:t>
      </w:r>
      <w:r>
        <w:rPr>
          <w:rFonts w:ascii="Baskerville" w:hAnsi="Baskerville" w:cs="Baskerville"/>
          <w:color w:val="000000" w:themeColor="text1"/>
          <w:sz w:val="24"/>
          <w:szCs w:val="24"/>
        </w:rPr>
        <w:t xml:space="preserve">to </w:t>
      </w:r>
      <w:r w:rsidR="002035F9" w:rsidRPr="00D952CF">
        <w:rPr>
          <w:rFonts w:ascii="Baskerville" w:hAnsi="Baskerville" w:cs="Baskerville"/>
          <w:color w:val="000000" w:themeColor="text1"/>
          <w:sz w:val="24"/>
          <w:szCs w:val="24"/>
        </w:rPr>
        <w:t xml:space="preserve">a </w:t>
      </w:r>
      <w:r>
        <w:rPr>
          <w:rFonts w:ascii="Baskerville" w:hAnsi="Baskerville" w:cs="Baskerville"/>
          <w:color w:val="000000" w:themeColor="text1"/>
          <w:sz w:val="24"/>
          <w:szCs w:val="24"/>
        </w:rPr>
        <w:t>freeze of credit markets</w:t>
      </w:r>
      <w:r w:rsidR="00C96E90"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Since exercising </w:t>
      </w:r>
      <w:r w:rsidRPr="00D952CF">
        <w:rPr>
          <w:rFonts w:ascii="Baskerville" w:hAnsi="Baskerville" w:cs="Baskerville"/>
          <w:color w:val="000000" w:themeColor="text1"/>
          <w:sz w:val="24"/>
          <w:szCs w:val="24"/>
        </w:rPr>
        <w:t>the right</w:t>
      </w:r>
      <w:r>
        <w:rPr>
          <w:rFonts w:ascii="Baskerville" w:hAnsi="Baskerville" w:cs="Baskerville"/>
          <w:color w:val="000000" w:themeColor="text1"/>
          <w:sz w:val="24"/>
          <w:szCs w:val="24"/>
        </w:rPr>
        <w:t xml:space="preserve"> to credit requires a functioning</w:t>
      </w:r>
      <w:r w:rsidRPr="00D952CF">
        <w:rPr>
          <w:rFonts w:ascii="Baskerville" w:hAnsi="Baskerville" w:cs="Baskerville"/>
          <w:color w:val="000000" w:themeColor="text1"/>
          <w:sz w:val="24"/>
          <w:szCs w:val="24"/>
        </w:rPr>
        <w:t xml:space="preserve"> credit system</w:t>
      </w:r>
      <w:r>
        <w:rPr>
          <w:rFonts w:ascii="Baskerville" w:hAnsi="Baskerville" w:cs="Baskerville"/>
          <w:color w:val="000000" w:themeColor="text1"/>
          <w:sz w:val="24"/>
          <w:szCs w:val="24"/>
        </w:rPr>
        <w:t>,</w:t>
      </w:r>
      <w:r w:rsidR="002035F9"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the right to credit implies an indirect </w:t>
      </w:r>
      <w:r w:rsidR="002035F9" w:rsidRPr="00D952CF">
        <w:rPr>
          <w:rFonts w:ascii="Baskerville" w:hAnsi="Baskerville" w:cs="Baskerville"/>
          <w:color w:val="000000" w:themeColor="text1"/>
          <w:sz w:val="24"/>
          <w:szCs w:val="24"/>
        </w:rPr>
        <w:t>right that mistakes o</w:t>
      </w:r>
      <w:r>
        <w:rPr>
          <w:rFonts w:ascii="Baskerville" w:hAnsi="Baskerville" w:cs="Baskerville"/>
          <w:color w:val="000000" w:themeColor="text1"/>
          <w:sz w:val="24"/>
          <w:szCs w:val="24"/>
        </w:rPr>
        <w:t>f wrongful inclusion be limited</w:t>
      </w:r>
      <w:r w:rsidR="002035F9" w:rsidRPr="00D952CF">
        <w:rPr>
          <w:rFonts w:ascii="Baskerville" w:hAnsi="Baskerville" w:cs="Baskerville"/>
          <w:color w:val="000000" w:themeColor="text1"/>
          <w:sz w:val="24"/>
          <w:szCs w:val="24"/>
        </w:rPr>
        <w:t>.</w:t>
      </w:r>
      <w:r w:rsidR="00DB66EB">
        <w:rPr>
          <w:rFonts w:ascii="Baskerville" w:hAnsi="Baskerville" w:cs="Baskerville"/>
          <w:color w:val="000000" w:themeColor="text1"/>
          <w:sz w:val="24"/>
          <w:szCs w:val="24"/>
        </w:rPr>
        <w:t xml:space="preserve"> Hence </w:t>
      </w:r>
      <w:r w:rsidR="00DB66EB">
        <w:rPr>
          <w:rFonts w:ascii="Baskerville" w:hAnsi="Baskerville" w:cs="Baskerville"/>
          <w:color w:val="000000" w:themeColor="text1"/>
          <w:sz w:val="24"/>
          <w:szCs w:val="24"/>
        </w:rPr>
        <w:t xml:space="preserve">rights are in play regarding </w:t>
      </w:r>
      <w:r w:rsidR="005C0F0B">
        <w:rPr>
          <w:rFonts w:ascii="Baskerville" w:hAnsi="Baskerville" w:cs="Baskerville"/>
          <w:color w:val="000000" w:themeColor="text1"/>
          <w:sz w:val="24"/>
          <w:szCs w:val="24"/>
        </w:rPr>
        <w:t xml:space="preserve">both </w:t>
      </w:r>
      <w:r w:rsidR="00DB66EB">
        <w:rPr>
          <w:rFonts w:ascii="Baskerville" w:hAnsi="Baskerville" w:cs="Baskerville"/>
          <w:color w:val="000000" w:themeColor="text1"/>
          <w:sz w:val="24"/>
          <w:szCs w:val="24"/>
        </w:rPr>
        <w:t xml:space="preserve">wrongful exclusion and inclusion. But the asymmetry persists: every mistake of wrongful exclusion is a violation of the right to credit. Mistakes of wrongful inclusion only infringe rights of shareholders, bondholders, depositors and applicants cumulatively. </w:t>
      </w:r>
    </w:p>
    <w:p w14:paraId="387821C5" w14:textId="77777777" w:rsidR="002B5DCE" w:rsidRDefault="002035F9" w:rsidP="00A41181">
      <w:pPr>
        <w:pStyle w:val="FirstParagraph"/>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I have argued that citizens have rights not to be wrongfully excluded, and that wrongful inclusion be limited. But w</w:t>
      </w:r>
      <w:r w:rsidR="00C96E90" w:rsidRPr="00D952CF">
        <w:rPr>
          <w:rFonts w:ascii="Baskerville" w:hAnsi="Baskerville" w:cs="Baskerville"/>
          <w:color w:val="000000" w:themeColor="text1"/>
          <w:sz w:val="24"/>
          <w:szCs w:val="24"/>
        </w:rPr>
        <w:t>hy does the obligation to avoid mistakes of wrongful exclusion and inclusion fall on banks?</w:t>
      </w:r>
      <w:r w:rsidR="00A41181"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 xml:space="preserve">Recall that </w:t>
      </w:r>
      <w:r w:rsidR="0044099F">
        <w:rPr>
          <w:rFonts w:ascii="Baskerville" w:hAnsi="Baskerville" w:cs="Baskerville"/>
          <w:color w:val="000000" w:themeColor="text1"/>
          <w:sz w:val="24"/>
          <w:szCs w:val="24"/>
        </w:rPr>
        <w:t>my</w:t>
      </w:r>
      <w:r w:rsidRPr="00D952CF">
        <w:rPr>
          <w:rFonts w:ascii="Baskerville" w:hAnsi="Baskerville" w:cs="Baskerville"/>
          <w:color w:val="000000" w:themeColor="text1"/>
          <w:sz w:val="24"/>
          <w:szCs w:val="24"/>
        </w:rPr>
        <w:t xml:space="preserve"> argument for the right to credit stems from the need to </w:t>
      </w:r>
      <w:r w:rsidR="0044099F">
        <w:rPr>
          <w:rFonts w:ascii="Baskerville" w:hAnsi="Baskerville" w:cs="Baskerville"/>
          <w:color w:val="000000" w:themeColor="text1"/>
          <w:sz w:val="24"/>
          <w:szCs w:val="24"/>
        </w:rPr>
        <w:t>justify</w:t>
      </w:r>
      <w:r w:rsidRPr="00D952CF">
        <w:rPr>
          <w:rFonts w:ascii="Baskerville" w:hAnsi="Baskerville" w:cs="Baskerville"/>
          <w:color w:val="000000" w:themeColor="text1"/>
          <w:sz w:val="24"/>
          <w:szCs w:val="24"/>
        </w:rPr>
        <w:t xml:space="preserve"> </w:t>
      </w:r>
      <w:r w:rsidR="00881D8A" w:rsidRPr="00D952CF">
        <w:rPr>
          <w:rFonts w:ascii="Baskerville" w:hAnsi="Baskerville" w:cs="Baskerville"/>
          <w:color w:val="000000" w:themeColor="text1"/>
          <w:sz w:val="24"/>
          <w:szCs w:val="24"/>
        </w:rPr>
        <w:t xml:space="preserve">the enforcement of </w:t>
      </w:r>
      <w:r w:rsidRPr="00D952CF">
        <w:rPr>
          <w:rFonts w:ascii="Baskerville" w:hAnsi="Baskerville" w:cs="Baskerville"/>
          <w:color w:val="000000" w:themeColor="text1"/>
          <w:sz w:val="24"/>
          <w:szCs w:val="24"/>
        </w:rPr>
        <w:t>private property</w:t>
      </w:r>
      <w:r w:rsidR="00881D8A" w:rsidRPr="00D952CF">
        <w:rPr>
          <w:rFonts w:ascii="Baskerville" w:hAnsi="Baskerville" w:cs="Baskerville"/>
          <w:color w:val="000000" w:themeColor="text1"/>
          <w:sz w:val="24"/>
          <w:szCs w:val="24"/>
        </w:rPr>
        <w:t xml:space="preserve"> rights by the state</w:t>
      </w:r>
      <w:r w:rsidRPr="00D952CF">
        <w:rPr>
          <w:rFonts w:ascii="Baskerville" w:hAnsi="Baskerville" w:cs="Baskerville"/>
          <w:color w:val="000000" w:themeColor="text1"/>
          <w:sz w:val="24"/>
          <w:szCs w:val="24"/>
        </w:rPr>
        <w:t xml:space="preserve">. </w:t>
      </w:r>
      <w:r w:rsidR="00881D8A" w:rsidRPr="00D952CF">
        <w:rPr>
          <w:rFonts w:ascii="Baskerville" w:hAnsi="Baskerville" w:cs="Baskerville"/>
          <w:color w:val="000000" w:themeColor="text1"/>
          <w:sz w:val="24"/>
          <w:szCs w:val="24"/>
        </w:rPr>
        <w:t>The right to credit partially mitigates the exclusionary character of private property. Hence</w:t>
      </w:r>
      <w:r w:rsidR="002B5DCE">
        <w:rPr>
          <w:rFonts w:ascii="Baskerville" w:hAnsi="Baskerville" w:cs="Baskerville"/>
          <w:color w:val="000000" w:themeColor="text1"/>
          <w:sz w:val="24"/>
          <w:szCs w:val="24"/>
        </w:rPr>
        <w:t>,</w:t>
      </w:r>
      <w:r w:rsidR="00881D8A" w:rsidRPr="00D952CF">
        <w:rPr>
          <w:rFonts w:ascii="Baskerville" w:hAnsi="Baskerville" w:cs="Baskerville"/>
          <w:color w:val="000000" w:themeColor="text1"/>
          <w:sz w:val="24"/>
          <w:szCs w:val="24"/>
        </w:rPr>
        <w:t xml:space="preserve"> ensuring that creditworthy citizens have access to credit is in the first instance the state’s business. </w:t>
      </w:r>
    </w:p>
    <w:p w14:paraId="129A7B15" w14:textId="12DBA111" w:rsidR="00A41181" w:rsidRPr="00D952CF" w:rsidRDefault="00A41181" w:rsidP="00F74EBE">
      <w:pPr>
        <w:pStyle w:val="FirstParagraph"/>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But there is no need for the state to discharge the duty itself.</w:t>
      </w:r>
      <w:r w:rsidR="00C96E90" w:rsidRPr="00E93D72">
        <w:rPr>
          <w:rStyle w:val="FootnoteReference"/>
        </w:rPr>
        <w:footnoteReference w:id="20"/>
      </w:r>
      <w:r w:rsidRPr="00D952CF">
        <w:rPr>
          <w:rFonts w:ascii="Baskerville" w:hAnsi="Baskerville" w:cs="Baskerville"/>
          <w:color w:val="000000" w:themeColor="text1"/>
          <w:sz w:val="24"/>
          <w:szCs w:val="24"/>
        </w:rPr>
        <w:t xml:space="preserve"> </w:t>
      </w:r>
      <w:r w:rsidR="00DF073E">
        <w:rPr>
          <w:rFonts w:ascii="Baskerville" w:hAnsi="Baskerville" w:cs="Baskerville"/>
          <w:color w:val="000000" w:themeColor="text1"/>
          <w:sz w:val="24"/>
          <w:szCs w:val="24"/>
        </w:rPr>
        <w:t xml:space="preserve">The state </w:t>
      </w:r>
      <w:r w:rsidR="00E93D72">
        <w:rPr>
          <w:rFonts w:ascii="Baskerville" w:hAnsi="Baskerville" w:cs="Baskerville"/>
          <w:color w:val="000000" w:themeColor="text1"/>
          <w:sz w:val="24"/>
          <w:szCs w:val="24"/>
        </w:rPr>
        <w:t xml:space="preserve">needs to ensure that </w:t>
      </w:r>
      <w:r w:rsidR="00DF073E">
        <w:rPr>
          <w:rFonts w:ascii="Baskerville" w:hAnsi="Baskerville" w:cs="Baskerville"/>
          <w:color w:val="000000" w:themeColor="text1"/>
          <w:sz w:val="24"/>
          <w:szCs w:val="24"/>
        </w:rPr>
        <w:t xml:space="preserve">people </w:t>
      </w:r>
      <w:r w:rsidR="00E93D72">
        <w:rPr>
          <w:rFonts w:ascii="Baskerville" w:hAnsi="Baskerville" w:cs="Baskerville"/>
          <w:color w:val="000000" w:themeColor="text1"/>
          <w:sz w:val="24"/>
          <w:szCs w:val="24"/>
        </w:rPr>
        <w:t>can exercise their right to credit, but does not need to act as the counterpart in credit transactions itself. As long as p</w:t>
      </w:r>
      <w:r w:rsidRPr="00D952CF">
        <w:rPr>
          <w:rFonts w:ascii="Baskerville" w:hAnsi="Baskerville" w:cs="Baskerville"/>
          <w:color w:val="000000" w:themeColor="text1"/>
          <w:sz w:val="24"/>
          <w:szCs w:val="24"/>
        </w:rPr>
        <w:t xml:space="preserve">rivate companies </w:t>
      </w:r>
      <w:r w:rsidR="00E93D72">
        <w:rPr>
          <w:rFonts w:ascii="Baskerville" w:hAnsi="Baskerville" w:cs="Baskerville"/>
          <w:color w:val="000000" w:themeColor="text1"/>
          <w:sz w:val="24"/>
          <w:szCs w:val="24"/>
        </w:rPr>
        <w:t>provide credit consistent with the right to credit, they may act as counterparts in credit transactions instead</w:t>
      </w:r>
      <w:r w:rsidRPr="00D952CF">
        <w:rPr>
          <w:rFonts w:ascii="Baskerville" w:hAnsi="Baskerville" w:cs="Baskerville"/>
          <w:color w:val="000000" w:themeColor="text1"/>
          <w:sz w:val="24"/>
          <w:szCs w:val="24"/>
        </w:rPr>
        <w:t xml:space="preserve">. </w:t>
      </w:r>
      <w:r w:rsidR="00881D8A" w:rsidRPr="00D952CF">
        <w:rPr>
          <w:rFonts w:ascii="Baskerville" w:hAnsi="Baskerville" w:cs="Baskerville"/>
          <w:color w:val="000000" w:themeColor="text1"/>
          <w:sz w:val="24"/>
          <w:szCs w:val="24"/>
        </w:rPr>
        <w:t xml:space="preserve">Private hospitals </w:t>
      </w:r>
      <w:r w:rsidR="00E93D72">
        <w:rPr>
          <w:rFonts w:ascii="Baskerville" w:hAnsi="Baskerville" w:cs="Baskerville"/>
          <w:color w:val="000000" w:themeColor="text1"/>
          <w:sz w:val="24"/>
          <w:szCs w:val="24"/>
        </w:rPr>
        <w:t>provide serve a similar function vis à vis citizen’s right to health care</w:t>
      </w:r>
      <w:r w:rsidR="00881D8A" w:rsidRPr="00D952CF">
        <w:rPr>
          <w:rFonts w:ascii="Baskerville" w:hAnsi="Baskerville" w:cs="Baskerville"/>
          <w:color w:val="000000" w:themeColor="text1"/>
          <w:sz w:val="24"/>
          <w:szCs w:val="24"/>
        </w:rPr>
        <w:t>. By operating in the domain of healthcare, h</w:t>
      </w:r>
      <w:r w:rsidRPr="00D952CF">
        <w:rPr>
          <w:rFonts w:ascii="Baskerville" w:hAnsi="Baskerville" w:cs="Baskerville"/>
          <w:color w:val="000000" w:themeColor="text1"/>
          <w:sz w:val="24"/>
          <w:szCs w:val="24"/>
        </w:rPr>
        <w:t xml:space="preserve">ospitals acquire obligations to provide care consistent with the requirements of citizens’ rights. </w:t>
      </w:r>
      <w:r w:rsidR="0044099F">
        <w:rPr>
          <w:rFonts w:ascii="Baskerville" w:hAnsi="Baskerville" w:cs="Baskerville"/>
          <w:color w:val="000000" w:themeColor="text1"/>
          <w:sz w:val="24"/>
          <w:szCs w:val="24"/>
        </w:rPr>
        <w:t>H</w:t>
      </w:r>
      <w:r w:rsidRPr="00D952CF">
        <w:rPr>
          <w:rFonts w:ascii="Baskerville" w:hAnsi="Baskerville" w:cs="Baskerville"/>
          <w:color w:val="000000" w:themeColor="text1"/>
          <w:sz w:val="24"/>
          <w:szCs w:val="24"/>
        </w:rPr>
        <w:t>ospitals need to meet high standards of quality of care, facilities, and clinical quality</w:t>
      </w:r>
      <w:r w:rsidR="0044099F">
        <w:rPr>
          <w:rFonts w:ascii="Baskerville" w:hAnsi="Baskerville" w:cs="Baskerville"/>
          <w:color w:val="000000" w:themeColor="text1"/>
          <w:sz w:val="24"/>
          <w:szCs w:val="24"/>
        </w:rPr>
        <w:t>, for instance</w:t>
      </w:r>
      <w:r w:rsidRPr="00D952CF">
        <w:rPr>
          <w:rFonts w:ascii="Baskerville" w:hAnsi="Baskerville" w:cs="Baskerville"/>
          <w:color w:val="000000" w:themeColor="text1"/>
          <w:sz w:val="24"/>
          <w:szCs w:val="24"/>
        </w:rPr>
        <w:t xml:space="preserve">. From a normative perspective, meeting these standards provides hospitals with their ‘licence to operate’. </w:t>
      </w:r>
      <w:r w:rsidR="00881D8A" w:rsidRPr="00D952CF">
        <w:rPr>
          <w:rFonts w:ascii="Baskerville" w:hAnsi="Baskerville" w:cs="Baskerville"/>
          <w:color w:val="000000" w:themeColor="text1"/>
          <w:sz w:val="24"/>
          <w:szCs w:val="24"/>
        </w:rPr>
        <w:t xml:space="preserve">Another way of expressing the </w:t>
      </w:r>
      <w:r w:rsidR="0044099F">
        <w:rPr>
          <w:rFonts w:ascii="Baskerville" w:hAnsi="Baskerville" w:cs="Baskerville"/>
          <w:color w:val="000000" w:themeColor="text1"/>
          <w:sz w:val="24"/>
          <w:szCs w:val="24"/>
        </w:rPr>
        <w:t>thought</w:t>
      </w:r>
      <w:r w:rsidR="00881D8A" w:rsidRPr="00D952CF">
        <w:rPr>
          <w:rFonts w:ascii="Baskerville" w:hAnsi="Baskerville" w:cs="Baskerville"/>
          <w:color w:val="000000" w:themeColor="text1"/>
          <w:sz w:val="24"/>
          <w:szCs w:val="24"/>
        </w:rPr>
        <w:t xml:space="preserve"> that a private company has acquired obligations towards its customers is to say that it </w:t>
      </w:r>
      <w:r w:rsidR="004F5601" w:rsidRPr="00D952CF">
        <w:rPr>
          <w:rFonts w:ascii="Baskerville" w:hAnsi="Baskerville" w:cs="Baskerville"/>
          <w:color w:val="000000" w:themeColor="text1"/>
          <w:sz w:val="24"/>
          <w:szCs w:val="24"/>
        </w:rPr>
        <w:t xml:space="preserve">is required to pursue a social purpose. The social purpose private hospitals are required to pursue is to provide high quality health care for patients. </w:t>
      </w:r>
      <w:r w:rsidR="00881D8A" w:rsidRPr="00D952CF">
        <w:rPr>
          <w:rFonts w:ascii="Baskerville" w:hAnsi="Baskerville" w:cs="Baskerville"/>
          <w:color w:val="000000" w:themeColor="text1"/>
          <w:sz w:val="24"/>
          <w:szCs w:val="24"/>
        </w:rPr>
        <w:t xml:space="preserve"> </w:t>
      </w:r>
    </w:p>
    <w:p w14:paraId="44322407" w14:textId="6E7A4A7C" w:rsidR="001D438A" w:rsidRPr="00D952CF" w:rsidRDefault="004F5601" w:rsidP="001D438A">
      <w:pPr>
        <w:pStyle w:val="FirstParagraph"/>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lastRenderedPageBreak/>
        <w:t>T</w:t>
      </w:r>
      <w:r w:rsidR="00C96E90" w:rsidRPr="00D952CF">
        <w:rPr>
          <w:rFonts w:ascii="Baskerville" w:hAnsi="Baskerville" w:cs="Baskerville"/>
          <w:color w:val="000000" w:themeColor="text1"/>
          <w:sz w:val="24"/>
          <w:szCs w:val="24"/>
        </w:rPr>
        <w:t>he</w:t>
      </w:r>
      <w:r w:rsidR="00E01480" w:rsidRPr="00D952CF">
        <w:rPr>
          <w:rFonts w:ascii="Baskerville" w:hAnsi="Baskerville" w:cs="Baskerville"/>
          <w:color w:val="000000" w:themeColor="text1"/>
          <w:sz w:val="24"/>
          <w:szCs w:val="24"/>
        </w:rPr>
        <w:t xml:space="preserve"> obligation </w:t>
      </w:r>
      <w:r w:rsidR="00C96E90" w:rsidRPr="00D952CF">
        <w:rPr>
          <w:rFonts w:ascii="Baskerville" w:hAnsi="Baskerville" w:cs="Baskerville"/>
          <w:color w:val="000000" w:themeColor="text1"/>
          <w:sz w:val="24"/>
          <w:szCs w:val="24"/>
        </w:rPr>
        <w:t xml:space="preserve">of banks </w:t>
      </w:r>
      <w:r w:rsidR="00E01480" w:rsidRPr="00D952CF">
        <w:rPr>
          <w:rFonts w:ascii="Baskerville" w:hAnsi="Baskerville" w:cs="Baskerville"/>
          <w:color w:val="000000" w:themeColor="text1"/>
          <w:sz w:val="24"/>
          <w:szCs w:val="24"/>
        </w:rPr>
        <w:t>to avoid mistakes of wrongful exclusion</w:t>
      </w:r>
      <w:r w:rsidR="00C96E90"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and inclusion is similarly grounded</w:t>
      </w:r>
      <w:r w:rsidR="00A41181"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In the first instance, the obligation to provide creditworthy citizens with credit falls on the state. By operating in the domain of consumer finance, b</w:t>
      </w:r>
      <w:r w:rsidR="00A41181" w:rsidRPr="00D952CF">
        <w:rPr>
          <w:rFonts w:ascii="Baskerville" w:hAnsi="Baskerville" w:cs="Baskerville"/>
          <w:color w:val="000000" w:themeColor="text1"/>
          <w:sz w:val="24"/>
          <w:szCs w:val="24"/>
        </w:rPr>
        <w:t xml:space="preserve">anks acquire </w:t>
      </w:r>
      <w:r w:rsidR="00E01480" w:rsidRPr="00D952CF">
        <w:rPr>
          <w:rFonts w:ascii="Baskerville" w:hAnsi="Baskerville" w:cs="Baskerville"/>
          <w:color w:val="000000" w:themeColor="text1"/>
          <w:sz w:val="24"/>
          <w:szCs w:val="24"/>
        </w:rPr>
        <w:t>obligation</w:t>
      </w:r>
      <w:r w:rsidR="00C96E90" w:rsidRPr="00D952CF">
        <w:rPr>
          <w:rFonts w:ascii="Baskerville" w:hAnsi="Baskerville" w:cs="Baskerville"/>
          <w:color w:val="000000" w:themeColor="text1"/>
          <w:sz w:val="24"/>
          <w:szCs w:val="24"/>
        </w:rPr>
        <w:t xml:space="preserve">s </w:t>
      </w:r>
      <w:r w:rsidRPr="00D952CF">
        <w:rPr>
          <w:rFonts w:ascii="Baskerville" w:hAnsi="Baskerville" w:cs="Baskerville"/>
          <w:color w:val="000000" w:themeColor="text1"/>
          <w:sz w:val="24"/>
          <w:szCs w:val="24"/>
        </w:rPr>
        <w:t xml:space="preserve">to </w:t>
      </w:r>
      <w:r w:rsidR="000F0432">
        <w:rPr>
          <w:rFonts w:ascii="Baskerville" w:hAnsi="Baskerville" w:cs="Baskerville"/>
          <w:color w:val="000000" w:themeColor="text1"/>
          <w:sz w:val="24"/>
          <w:szCs w:val="24"/>
        </w:rPr>
        <w:t>operate</w:t>
      </w:r>
      <w:r w:rsidRPr="00D952CF">
        <w:rPr>
          <w:rFonts w:ascii="Baskerville" w:hAnsi="Baskerville" w:cs="Baskerville"/>
          <w:color w:val="000000" w:themeColor="text1"/>
          <w:sz w:val="24"/>
          <w:szCs w:val="24"/>
        </w:rPr>
        <w:t xml:space="preserve"> consistent</w:t>
      </w:r>
      <w:r w:rsidR="000F0432">
        <w:rPr>
          <w:rFonts w:ascii="Baskerville" w:hAnsi="Baskerville" w:cs="Baskerville"/>
          <w:color w:val="000000" w:themeColor="text1"/>
          <w:sz w:val="24"/>
          <w:szCs w:val="24"/>
        </w:rPr>
        <w:t>ly</w:t>
      </w:r>
      <w:r w:rsidRPr="00D952CF">
        <w:rPr>
          <w:rFonts w:ascii="Baskerville" w:hAnsi="Baskerville" w:cs="Baskerville"/>
          <w:color w:val="000000" w:themeColor="text1"/>
          <w:sz w:val="24"/>
          <w:szCs w:val="24"/>
        </w:rPr>
        <w:t xml:space="preserve"> with citizen</w:t>
      </w:r>
      <w:r w:rsidR="002B5DCE">
        <w:rPr>
          <w:rFonts w:ascii="Baskerville" w:hAnsi="Baskerville" w:cs="Baskerville"/>
          <w:color w:val="000000" w:themeColor="text1"/>
          <w:sz w:val="24"/>
          <w:szCs w:val="24"/>
        </w:rPr>
        <w:t>s</w:t>
      </w:r>
      <w:r w:rsidRPr="00D952CF">
        <w:rPr>
          <w:rFonts w:ascii="Baskerville" w:hAnsi="Baskerville" w:cs="Baskerville"/>
          <w:color w:val="000000" w:themeColor="text1"/>
          <w:sz w:val="24"/>
          <w:szCs w:val="24"/>
        </w:rPr>
        <w:t>’ right to credit</w:t>
      </w:r>
      <w:r w:rsidR="00A41181" w:rsidRPr="00D952CF">
        <w:rPr>
          <w:rFonts w:ascii="Baskerville" w:hAnsi="Baskerville" w:cs="Baskerville"/>
          <w:color w:val="000000" w:themeColor="text1"/>
          <w:sz w:val="24"/>
          <w:szCs w:val="24"/>
        </w:rPr>
        <w:t xml:space="preserve">. </w:t>
      </w:r>
      <w:r w:rsidR="000F0432">
        <w:rPr>
          <w:rFonts w:ascii="Baskerville" w:hAnsi="Baskerville" w:cs="Baskerville"/>
          <w:color w:val="000000" w:themeColor="text1"/>
          <w:sz w:val="24"/>
          <w:szCs w:val="24"/>
        </w:rPr>
        <w:t>For instance, b</w:t>
      </w:r>
      <w:r w:rsidR="00A41181" w:rsidRPr="00D952CF">
        <w:rPr>
          <w:rFonts w:ascii="Baskerville" w:hAnsi="Baskerville" w:cs="Baskerville"/>
          <w:color w:val="000000" w:themeColor="text1"/>
          <w:sz w:val="24"/>
          <w:szCs w:val="24"/>
        </w:rPr>
        <w:t xml:space="preserve">anks </w:t>
      </w:r>
      <w:r w:rsidR="00E01480" w:rsidRPr="00D952CF">
        <w:rPr>
          <w:rFonts w:ascii="Baskerville" w:hAnsi="Baskerville" w:cs="Baskerville"/>
          <w:color w:val="000000" w:themeColor="text1"/>
          <w:sz w:val="24"/>
          <w:szCs w:val="24"/>
        </w:rPr>
        <w:t xml:space="preserve">need </w:t>
      </w:r>
      <w:r w:rsidR="00A41181" w:rsidRPr="00D952CF">
        <w:rPr>
          <w:rFonts w:ascii="Baskerville" w:hAnsi="Baskerville" w:cs="Baskerville"/>
          <w:color w:val="000000" w:themeColor="text1"/>
          <w:sz w:val="24"/>
          <w:szCs w:val="24"/>
        </w:rPr>
        <w:t xml:space="preserve">to meet </w:t>
      </w:r>
      <w:r w:rsidR="00E01480" w:rsidRPr="00D952CF">
        <w:rPr>
          <w:rFonts w:ascii="Baskerville" w:hAnsi="Baskerville" w:cs="Baskerville"/>
          <w:color w:val="000000" w:themeColor="text1"/>
          <w:sz w:val="24"/>
          <w:szCs w:val="24"/>
        </w:rPr>
        <w:t xml:space="preserve">quality standards in </w:t>
      </w:r>
      <w:r w:rsidR="000F0432">
        <w:rPr>
          <w:rFonts w:ascii="Baskerville" w:hAnsi="Baskerville" w:cs="Baskerville"/>
          <w:color w:val="000000" w:themeColor="text1"/>
          <w:sz w:val="24"/>
          <w:szCs w:val="24"/>
        </w:rPr>
        <w:t>conducting credit assessments</w:t>
      </w:r>
      <w:r w:rsidR="00A41181" w:rsidRPr="00D952CF">
        <w:rPr>
          <w:rFonts w:ascii="Baskerville" w:hAnsi="Baskerville" w:cs="Baskerville"/>
          <w:color w:val="000000" w:themeColor="text1"/>
          <w:sz w:val="24"/>
          <w:szCs w:val="24"/>
        </w:rPr>
        <w:t xml:space="preserve"> </w:t>
      </w:r>
      <w:r w:rsidR="000F0432">
        <w:rPr>
          <w:rFonts w:ascii="Baskerville" w:hAnsi="Baskerville" w:cs="Baskerville"/>
          <w:color w:val="000000" w:themeColor="text1"/>
          <w:sz w:val="24"/>
          <w:szCs w:val="24"/>
        </w:rPr>
        <w:t xml:space="preserve">and in </w:t>
      </w:r>
      <w:r w:rsidR="00A41181" w:rsidRPr="00D952CF">
        <w:rPr>
          <w:rFonts w:ascii="Baskerville" w:hAnsi="Baskerville" w:cs="Baskerville"/>
          <w:color w:val="000000" w:themeColor="text1"/>
          <w:sz w:val="24"/>
          <w:szCs w:val="24"/>
        </w:rPr>
        <w:t>designing their product</w:t>
      </w:r>
      <w:r w:rsidR="000F0432">
        <w:rPr>
          <w:rFonts w:ascii="Baskerville" w:hAnsi="Baskerville" w:cs="Baskerville"/>
          <w:color w:val="000000" w:themeColor="text1"/>
          <w:sz w:val="24"/>
          <w:szCs w:val="24"/>
        </w:rPr>
        <w:t>s</w:t>
      </w:r>
      <w:r w:rsidR="00A41181"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 xml:space="preserve">The social purpose </w:t>
      </w:r>
      <w:r w:rsidR="002B5DCE">
        <w:rPr>
          <w:rFonts w:ascii="Baskerville" w:hAnsi="Baskerville" w:cs="Baskerville"/>
          <w:color w:val="000000" w:themeColor="text1"/>
          <w:sz w:val="24"/>
          <w:szCs w:val="24"/>
        </w:rPr>
        <w:t xml:space="preserve">that </w:t>
      </w:r>
      <w:r w:rsidRPr="00D952CF">
        <w:rPr>
          <w:rFonts w:ascii="Baskerville" w:hAnsi="Baskerville" w:cs="Baskerville"/>
          <w:color w:val="000000" w:themeColor="text1"/>
          <w:sz w:val="24"/>
          <w:szCs w:val="24"/>
        </w:rPr>
        <w:t xml:space="preserve">banks are required to pursue in the domain of consumer credit is to avoid mistakes of wrongful exclusion and, derivatively, </w:t>
      </w:r>
      <w:r w:rsidR="000F0432">
        <w:rPr>
          <w:rFonts w:ascii="Baskerville" w:hAnsi="Baskerville" w:cs="Baskerville"/>
          <w:color w:val="000000" w:themeColor="text1"/>
          <w:sz w:val="24"/>
          <w:szCs w:val="24"/>
        </w:rPr>
        <w:t xml:space="preserve">to avoid mistakes of </w:t>
      </w:r>
      <w:r w:rsidRPr="00D952CF">
        <w:rPr>
          <w:rFonts w:ascii="Baskerville" w:hAnsi="Baskerville" w:cs="Baskerville"/>
          <w:color w:val="000000" w:themeColor="text1"/>
          <w:sz w:val="24"/>
          <w:szCs w:val="24"/>
        </w:rPr>
        <w:t>wrongful inclusion.</w:t>
      </w:r>
    </w:p>
    <w:p w14:paraId="581865D8" w14:textId="4AF7B208" w:rsidR="00A41181" w:rsidRPr="00D952CF" w:rsidRDefault="000F0432" w:rsidP="001751D5">
      <w:pPr>
        <w:pStyle w:val="FirstParagraph"/>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Applying this description of banks’ obligations in practice gives rise to interesting challenges. </w:t>
      </w:r>
      <w:r w:rsidR="00E01480" w:rsidRPr="00D952CF">
        <w:rPr>
          <w:rFonts w:ascii="Baskerville" w:hAnsi="Baskerville" w:cs="Baskerville"/>
          <w:color w:val="000000" w:themeColor="text1"/>
          <w:sz w:val="24"/>
          <w:szCs w:val="24"/>
        </w:rPr>
        <w:t xml:space="preserve">I have said above that applicants are creditworthy if they </w:t>
      </w:r>
      <w:r w:rsidR="00FB368C">
        <w:rPr>
          <w:rFonts w:ascii="Baskerville" w:hAnsi="Baskerville" w:cs="Baskerville"/>
          <w:color w:val="000000" w:themeColor="text1"/>
          <w:sz w:val="24"/>
          <w:szCs w:val="24"/>
        </w:rPr>
        <w:t xml:space="preserve">are able and willing to </w:t>
      </w:r>
      <w:r w:rsidR="00E01480" w:rsidRPr="00D952CF">
        <w:rPr>
          <w:rFonts w:ascii="Baskerville" w:hAnsi="Baskerville" w:cs="Baskerville"/>
          <w:color w:val="000000" w:themeColor="text1"/>
          <w:sz w:val="24"/>
          <w:szCs w:val="24"/>
        </w:rPr>
        <w:t xml:space="preserve">service the credit contract they seek to conclude. </w:t>
      </w:r>
      <w:r>
        <w:rPr>
          <w:rFonts w:ascii="Baskerville" w:hAnsi="Baskerville" w:cs="Baskerville"/>
          <w:color w:val="000000" w:themeColor="text1"/>
          <w:sz w:val="24"/>
          <w:szCs w:val="24"/>
        </w:rPr>
        <w:t>But</w:t>
      </w:r>
      <w:r w:rsidR="00D20316" w:rsidRPr="00D952CF">
        <w:rPr>
          <w:rFonts w:ascii="Baskerville" w:hAnsi="Baskerville" w:cs="Baskerville"/>
          <w:color w:val="000000" w:themeColor="text1"/>
          <w:sz w:val="24"/>
          <w:szCs w:val="24"/>
        </w:rPr>
        <w:t xml:space="preserve"> a</w:t>
      </w:r>
      <w:r w:rsidR="00E01480" w:rsidRPr="00D952CF">
        <w:rPr>
          <w:rFonts w:ascii="Baskerville" w:hAnsi="Baskerville" w:cs="Baskerville"/>
          <w:color w:val="000000" w:themeColor="text1"/>
          <w:sz w:val="24"/>
          <w:szCs w:val="24"/>
        </w:rPr>
        <w:t xml:space="preserve">t the time </w:t>
      </w:r>
      <w:r>
        <w:rPr>
          <w:rFonts w:ascii="Baskerville" w:hAnsi="Baskerville" w:cs="Baskerville"/>
          <w:color w:val="000000" w:themeColor="text1"/>
          <w:sz w:val="24"/>
          <w:szCs w:val="24"/>
        </w:rPr>
        <w:t>banks and applicants negotiate a credit contract</w:t>
      </w:r>
      <w:r w:rsidR="00E01480" w:rsidRPr="00D952CF">
        <w:rPr>
          <w:rFonts w:ascii="Baskerville" w:hAnsi="Baskerville" w:cs="Baskerville"/>
          <w:color w:val="000000" w:themeColor="text1"/>
          <w:sz w:val="24"/>
          <w:szCs w:val="24"/>
        </w:rPr>
        <w:t xml:space="preserve">, it is unknown whether applicants are in fact creditworthy. </w:t>
      </w:r>
      <w:r w:rsidR="001D438A" w:rsidRPr="00D952CF">
        <w:rPr>
          <w:rFonts w:ascii="Baskerville" w:hAnsi="Baskerville" w:cs="Baskerville"/>
          <w:color w:val="000000" w:themeColor="text1"/>
          <w:sz w:val="24"/>
          <w:szCs w:val="24"/>
        </w:rPr>
        <w:t>First, an applicant’s ability to repay</w:t>
      </w:r>
      <w:r w:rsidR="00FB368C" w:rsidRPr="00FB368C">
        <w:rPr>
          <w:rFonts w:ascii="Baskerville" w:hAnsi="Baskerville" w:cs="Baskerville"/>
          <w:color w:val="000000" w:themeColor="text1"/>
          <w:sz w:val="24"/>
          <w:szCs w:val="24"/>
        </w:rPr>
        <w:t xml:space="preserve"> </w:t>
      </w:r>
      <w:r w:rsidR="00FB368C">
        <w:rPr>
          <w:rFonts w:ascii="Baskerville" w:hAnsi="Baskerville" w:cs="Baskerville"/>
          <w:color w:val="000000" w:themeColor="text1"/>
          <w:sz w:val="24"/>
          <w:szCs w:val="24"/>
        </w:rPr>
        <w:t xml:space="preserve">can be undermined by </w:t>
      </w:r>
      <w:r w:rsidR="00FB368C" w:rsidRPr="00D952CF">
        <w:rPr>
          <w:rFonts w:ascii="Baskerville" w:hAnsi="Baskerville" w:cs="Baskerville"/>
          <w:color w:val="000000" w:themeColor="text1"/>
          <w:sz w:val="24"/>
          <w:szCs w:val="24"/>
        </w:rPr>
        <w:t>future calamities</w:t>
      </w:r>
      <w:r w:rsidR="00FB368C">
        <w:rPr>
          <w:rFonts w:ascii="Baskerville" w:hAnsi="Baskerville" w:cs="Baskerville"/>
          <w:color w:val="000000" w:themeColor="text1"/>
          <w:sz w:val="24"/>
          <w:szCs w:val="24"/>
        </w:rPr>
        <w:t>.</w:t>
      </w:r>
      <w:r w:rsidR="001D438A" w:rsidRPr="00D952CF">
        <w:rPr>
          <w:rFonts w:ascii="Baskerville" w:hAnsi="Baskerville" w:cs="Baskerville"/>
          <w:color w:val="000000" w:themeColor="text1"/>
          <w:sz w:val="24"/>
          <w:szCs w:val="24"/>
        </w:rPr>
        <w:t xml:space="preserve"> Second, </w:t>
      </w:r>
      <w:r w:rsidR="00FB368C">
        <w:rPr>
          <w:rFonts w:ascii="Baskerville" w:hAnsi="Baskerville" w:cs="Baskerville"/>
          <w:color w:val="000000" w:themeColor="text1"/>
          <w:sz w:val="24"/>
          <w:szCs w:val="24"/>
        </w:rPr>
        <w:t xml:space="preserve">an </w:t>
      </w:r>
      <w:r w:rsidR="001D438A" w:rsidRPr="00D952CF">
        <w:rPr>
          <w:rFonts w:ascii="Baskerville" w:hAnsi="Baskerville" w:cs="Baskerville"/>
          <w:color w:val="000000" w:themeColor="text1"/>
          <w:sz w:val="24"/>
          <w:szCs w:val="24"/>
        </w:rPr>
        <w:t>applicant</w:t>
      </w:r>
      <w:r w:rsidR="00966BDB">
        <w:rPr>
          <w:rFonts w:ascii="Baskerville" w:hAnsi="Baskerville" w:cs="Baskerville"/>
          <w:color w:val="000000" w:themeColor="text1"/>
          <w:sz w:val="24"/>
          <w:szCs w:val="24"/>
        </w:rPr>
        <w:t>’</w:t>
      </w:r>
      <w:r w:rsidR="001D438A" w:rsidRPr="00D952CF">
        <w:rPr>
          <w:rFonts w:ascii="Baskerville" w:hAnsi="Baskerville" w:cs="Baskerville"/>
          <w:color w:val="000000" w:themeColor="text1"/>
          <w:sz w:val="24"/>
          <w:szCs w:val="24"/>
        </w:rPr>
        <w:t xml:space="preserve">s </w:t>
      </w:r>
      <w:r w:rsidR="00FB368C">
        <w:rPr>
          <w:rFonts w:ascii="Baskerville" w:hAnsi="Baskerville" w:cs="Baskerville"/>
          <w:color w:val="000000" w:themeColor="text1"/>
          <w:sz w:val="24"/>
          <w:szCs w:val="24"/>
        </w:rPr>
        <w:t>will to repay can be weakened by unforeseen developments, or may have been feigned in the first place.</w:t>
      </w:r>
      <w:r w:rsidR="002B5DCE">
        <w:rPr>
          <w:rFonts w:ascii="Baskerville" w:hAnsi="Baskerville" w:cs="Baskerville"/>
          <w:color w:val="000000" w:themeColor="text1"/>
          <w:sz w:val="24"/>
          <w:szCs w:val="24"/>
        </w:rPr>
        <w:t xml:space="preserve"> This opens up a gap between the decision of the bank whether or not to grant an applicant credit, which needs to be made </w:t>
      </w:r>
      <w:r w:rsidR="002B5DCE" w:rsidRPr="002B5DCE">
        <w:rPr>
          <w:rFonts w:ascii="Baskerville" w:hAnsi="Baskerville" w:cs="Baskerville"/>
          <w:i/>
          <w:color w:val="000000" w:themeColor="text1"/>
          <w:sz w:val="24"/>
          <w:szCs w:val="24"/>
        </w:rPr>
        <w:t>ex ante</w:t>
      </w:r>
      <w:r w:rsidR="002B5DCE">
        <w:rPr>
          <w:rFonts w:ascii="Baskerville" w:hAnsi="Baskerville" w:cs="Baskerville"/>
          <w:color w:val="000000" w:themeColor="text1"/>
          <w:sz w:val="24"/>
          <w:szCs w:val="24"/>
        </w:rPr>
        <w:t xml:space="preserve">, and the knowledge required to discharge the obligation to avoid mistakes of wrongful inclusion and exclusion, which can only be had </w:t>
      </w:r>
      <w:r w:rsidR="002B5DCE" w:rsidRPr="002B5DCE">
        <w:rPr>
          <w:rFonts w:ascii="Baskerville" w:hAnsi="Baskerville" w:cs="Baskerville"/>
          <w:i/>
          <w:color w:val="000000" w:themeColor="text1"/>
          <w:sz w:val="24"/>
          <w:szCs w:val="24"/>
        </w:rPr>
        <w:t>ex post</w:t>
      </w:r>
      <w:r w:rsidR="002B5DCE">
        <w:rPr>
          <w:rFonts w:ascii="Baskerville" w:hAnsi="Baskerville" w:cs="Baskerville"/>
          <w:color w:val="000000" w:themeColor="text1"/>
          <w:sz w:val="24"/>
          <w:szCs w:val="24"/>
        </w:rPr>
        <w:t>.</w:t>
      </w:r>
      <w:r w:rsidR="00FB368C">
        <w:rPr>
          <w:rFonts w:ascii="Baskerville" w:hAnsi="Baskerville" w:cs="Baskerville"/>
          <w:color w:val="000000" w:themeColor="text1"/>
          <w:sz w:val="24"/>
          <w:szCs w:val="24"/>
        </w:rPr>
        <w:t xml:space="preserve"> </w:t>
      </w:r>
      <w:r w:rsidR="002B5DCE">
        <w:rPr>
          <w:rFonts w:ascii="Baskerville" w:hAnsi="Baskerville" w:cs="Baskerville"/>
          <w:color w:val="000000" w:themeColor="text1"/>
          <w:sz w:val="24"/>
          <w:szCs w:val="24"/>
        </w:rPr>
        <w:t>This gap implies that what is required of banks in practice is to exercise care and judgment in a</w:t>
      </w:r>
      <w:r w:rsidR="00E20566">
        <w:rPr>
          <w:rFonts w:ascii="Baskerville" w:hAnsi="Baskerville" w:cs="Baskerville"/>
          <w:color w:val="000000" w:themeColor="text1"/>
          <w:sz w:val="24"/>
          <w:szCs w:val="24"/>
        </w:rPr>
        <w:t>ssessing an applicants’ creditworthiness</w:t>
      </w:r>
      <w:r w:rsidR="002B5DCE">
        <w:rPr>
          <w:rFonts w:ascii="Baskerville" w:hAnsi="Baskerville" w:cs="Baskerville"/>
          <w:color w:val="000000" w:themeColor="text1"/>
          <w:sz w:val="24"/>
          <w:szCs w:val="24"/>
        </w:rPr>
        <w:t>, and to act on their best judgment</w:t>
      </w:r>
      <w:r w:rsidR="00E20566">
        <w:rPr>
          <w:rFonts w:ascii="Baskerville" w:hAnsi="Baskerville" w:cs="Baskerville"/>
          <w:color w:val="000000" w:themeColor="text1"/>
          <w:sz w:val="24"/>
          <w:szCs w:val="24"/>
        </w:rPr>
        <w:t>.</w:t>
      </w:r>
      <w:r w:rsidR="001D438A" w:rsidRPr="00E93D72">
        <w:rPr>
          <w:rStyle w:val="FootnoteReference"/>
        </w:rPr>
        <w:footnoteReference w:id="21"/>
      </w:r>
      <w:r w:rsidR="00A41181" w:rsidRPr="00D952CF">
        <w:rPr>
          <w:rFonts w:ascii="Baskerville" w:hAnsi="Baskerville" w:cs="Baskerville"/>
          <w:color w:val="000000" w:themeColor="text1"/>
          <w:sz w:val="24"/>
          <w:szCs w:val="24"/>
        </w:rPr>
        <w:t xml:space="preserve"> </w:t>
      </w:r>
      <w:r w:rsidR="006415E7" w:rsidRPr="00D952CF">
        <w:rPr>
          <w:rFonts w:ascii="Baskerville" w:hAnsi="Baskerville" w:cs="Baskerville"/>
          <w:color w:val="000000" w:themeColor="text1"/>
          <w:sz w:val="24"/>
          <w:szCs w:val="24"/>
        </w:rPr>
        <w:t xml:space="preserve">As we’ll see in the next section, it is not </w:t>
      </w:r>
      <w:r w:rsidR="00D20316" w:rsidRPr="00D952CF">
        <w:rPr>
          <w:rFonts w:ascii="Baskerville" w:hAnsi="Baskerville" w:cs="Baskerville"/>
          <w:color w:val="000000" w:themeColor="text1"/>
          <w:sz w:val="24"/>
          <w:szCs w:val="24"/>
        </w:rPr>
        <w:t xml:space="preserve">always </w:t>
      </w:r>
      <w:r w:rsidR="006415E7" w:rsidRPr="00D952CF">
        <w:rPr>
          <w:rFonts w:ascii="Baskerville" w:hAnsi="Baskerville" w:cs="Baskerville"/>
          <w:color w:val="000000" w:themeColor="text1"/>
          <w:sz w:val="24"/>
          <w:szCs w:val="24"/>
        </w:rPr>
        <w:t xml:space="preserve">in the self-interest of banks to do so. </w:t>
      </w:r>
    </w:p>
    <w:p w14:paraId="0B0BB044" w14:textId="71BFE2CC" w:rsidR="006415E7" w:rsidRPr="00D952CF" w:rsidRDefault="006415E7" w:rsidP="00A41181">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In sum, </w:t>
      </w:r>
      <w:r w:rsidR="00F978BA" w:rsidRPr="00D952CF">
        <w:rPr>
          <w:rFonts w:ascii="Baskerville" w:hAnsi="Baskerville" w:cs="Baskerville"/>
          <w:color w:val="000000" w:themeColor="text1"/>
          <w:sz w:val="24"/>
          <w:szCs w:val="24"/>
        </w:rPr>
        <w:t xml:space="preserve">I have argued that </w:t>
      </w:r>
      <w:r w:rsidRPr="00D952CF">
        <w:rPr>
          <w:rFonts w:ascii="Baskerville" w:hAnsi="Baskerville" w:cs="Baskerville"/>
          <w:color w:val="000000" w:themeColor="text1"/>
          <w:sz w:val="24"/>
          <w:szCs w:val="24"/>
        </w:rPr>
        <w:t xml:space="preserve">banks have obligations both to avoid </w:t>
      </w:r>
      <w:r w:rsidR="00F978BA" w:rsidRPr="00D952CF">
        <w:rPr>
          <w:rFonts w:ascii="Baskerville" w:hAnsi="Baskerville" w:cs="Baskerville"/>
          <w:color w:val="000000" w:themeColor="text1"/>
          <w:sz w:val="24"/>
          <w:szCs w:val="24"/>
        </w:rPr>
        <w:t xml:space="preserve">mistakes of </w:t>
      </w:r>
      <w:r w:rsidRPr="00D952CF">
        <w:rPr>
          <w:rFonts w:ascii="Baskerville" w:hAnsi="Baskerville" w:cs="Baskerville"/>
          <w:color w:val="000000" w:themeColor="text1"/>
          <w:sz w:val="24"/>
          <w:szCs w:val="24"/>
        </w:rPr>
        <w:t xml:space="preserve">wrongful exclusion and inclusion. </w:t>
      </w:r>
      <w:r w:rsidR="00E20566">
        <w:rPr>
          <w:rFonts w:ascii="Baskerville" w:hAnsi="Baskerville" w:cs="Baskerville"/>
          <w:color w:val="000000" w:themeColor="text1"/>
          <w:sz w:val="24"/>
          <w:szCs w:val="24"/>
        </w:rPr>
        <w:t>T</w:t>
      </w:r>
      <w:r w:rsidRPr="00D952CF">
        <w:rPr>
          <w:rFonts w:ascii="Baskerville" w:hAnsi="Baskerville" w:cs="Baskerville"/>
          <w:color w:val="000000" w:themeColor="text1"/>
          <w:sz w:val="24"/>
          <w:szCs w:val="24"/>
        </w:rPr>
        <w:t xml:space="preserve">hese obligations </w:t>
      </w:r>
      <w:r w:rsidR="00E20566">
        <w:rPr>
          <w:rFonts w:ascii="Baskerville" w:hAnsi="Baskerville" w:cs="Baskerville"/>
          <w:color w:val="000000" w:themeColor="text1"/>
          <w:sz w:val="24"/>
          <w:szCs w:val="24"/>
        </w:rPr>
        <w:t xml:space="preserve">can be </w:t>
      </w:r>
      <w:r w:rsidRPr="00D952CF">
        <w:rPr>
          <w:rFonts w:ascii="Baskerville" w:hAnsi="Baskerville" w:cs="Baskerville"/>
          <w:color w:val="000000" w:themeColor="text1"/>
          <w:sz w:val="24"/>
          <w:szCs w:val="24"/>
        </w:rPr>
        <w:t>grounded in</w:t>
      </w:r>
      <w:r w:rsidR="00E20566">
        <w:rPr>
          <w:rFonts w:ascii="Baskerville" w:hAnsi="Baskerville" w:cs="Baskerville"/>
          <w:color w:val="000000" w:themeColor="text1"/>
          <w:sz w:val="24"/>
          <w:szCs w:val="24"/>
        </w:rPr>
        <w:t xml:space="preserve"> the</w:t>
      </w:r>
      <w:r w:rsidRPr="00D952CF">
        <w:rPr>
          <w:rFonts w:ascii="Baskerville" w:hAnsi="Baskerville" w:cs="Baskerville"/>
          <w:color w:val="000000" w:themeColor="text1"/>
          <w:sz w:val="24"/>
          <w:szCs w:val="24"/>
        </w:rPr>
        <w:t xml:space="preserve"> right to credit. </w:t>
      </w:r>
      <w:r w:rsidR="00E20566">
        <w:rPr>
          <w:rFonts w:ascii="Baskerville" w:hAnsi="Baskerville" w:cs="Baskerville"/>
          <w:color w:val="000000" w:themeColor="text1"/>
          <w:sz w:val="24"/>
          <w:szCs w:val="24"/>
        </w:rPr>
        <w:t>On this view</w:t>
      </w:r>
      <w:r w:rsidRPr="00D952CF">
        <w:rPr>
          <w:rFonts w:ascii="Baskerville" w:hAnsi="Baskerville" w:cs="Baskerville"/>
          <w:color w:val="000000" w:themeColor="text1"/>
          <w:sz w:val="24"/>
          <w:szCs w:val="24"/>
        </w:rPr>
        <w:t xml:space="preserve">, mistakes of wrongful exclusion are rights violations, whereas mistakes of wrongful inclusion </w:t>
      </w:r>
      <w:r w:rsidR="002B5DCE">
        <w:rPr>
          <w:rFonts w:ascii="Baskerville" w:hAnsi="Baskerville" w:cs="Baskerville"/>
          <w:color w:val="000000" w:themeColor="text1"/>
          <w:sz w:val="24"/>
          <w:szCs w:val="24"/>
        </w:rPr>
        <w:t>infringe rights only in the aggregate</w:t>
      </w:r>
      <w:r w:rsidRPr="00D952CF">
        <w:rPr>
          <w:rFonts w:ascii="Baskerville" w:hAnsi="Baskerville" w:cs="Baskerville"/>
          <w:color w:val="000000" w:themeColor="text1"/>
          <w:sz w:val="24"/>
          <w:szCs w:val="24"/>
        </w:rPr>
        <w:t xml:space="preserve">, </w:t>
      </w:r>
      <w:r w:rsidR="00D20316" w:rsidRPr="00D952CF">
        <w:rPr>
          <w:rFonts w:ascii="Baskerville" w:hAnsi="Baskerville" w:cs="Baskerville"/>
          <w:color w:val="000000" w:themeColor="text1"/>
          <w:sz w:val="24"/>
          <w:szCs w:val="24"/>
        </w:rPr>
        <w:t>insofar as</w:t>
      </w:r>
      <w:r w:rsidRPr="00D952CF">
        <w:rPr>
          <w:rFonts w:ascii="Baskerville" w:hAnsi="Baskerville" w:cs="Baskerville"/>
          <w:color w:val="000000" w:themeColor="text1"/>
          <w:sz w:val="24"/>
          <w:szCs w:val="24"/>
        </w:rPr>
        <w:t xml:space="preserve"> they </w:t>
      </w:r>
      <w:r w:rsidR="002B5DCE">
        <w:rPr>
          <w:rFonts w:ascii="Baskerville" w:hAnsi="Baskerville" w:cs="Baskerville"/>
          <w:color w:val="000000" w:themeColor="text1"/>
          <w:sz w:val="24"/>
          <w:szCs w:val="24"/>
        </w:rPr>
        <w:t xml:space="preserve">undermine the claims of shareholders, bondholders, depositors, or </w:t>
      </w:r>
      <w:r w:rsidR="00A86792">
        <w:rPr>
          <w:rFonts w:ascii="Baskerville" w:hAnsi="Baskerville" w:cs="Baskerville"/>
          <w:color w:val="000000" w:themeColor="text1"/>
          <w:sz w:val="24"/>
          <w:szCs w:val="24"/>
        </w:rPr>
        <w:t>threaten financial stability</w:t>
      </w:r>
      <w:r w:rsidRPr="00D952CF">
        <w:rPr>
          <w:rFonts w:ascii="Baskerville" w:hAnsi="Baskerville" w:cs="Baskerville"/>
          <w:color w:val="000000" w:themeColor="text1"/>
          <w:sz w:val="24"/>
          <w:szCs w:val="24"/>
        </w:rPr>
        <w:t xml:space="preserve">. </w:t>
      </w:r>
    </w:p>
    <w:p w14:paraId="596987AF" w14:textId="637447A6" w:rsidR="006B683F" w:rsidRPr="00D952CF" w:rsidRDefault="007F6AD1" w:rsidP="00F978BA">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 xml:space="preserve">3 The need for </w:t>
      </w:r>
      <w:r w:rsidR="00E20566">
        <w:rPr>
          <w:rFonts w:ascii="Baskerville" w:hAnsi="Baskerville"/>
          <w:color w:val="000000" w:themeColor="text1"/>
        </w:rPr>
        <w:t xml:space="preserve">financial </w:t>
      </w:r>
      <w:r w:rsidRPr="00D952CF">
        <w:rPr>
          <w:rFonts w:ascii="Baskerville" w:hAnsi="Baskerville"/>
          <w:color w:val="000000" w:themeColor="text1"/>
        </w:rPr>
        <w:t xml:space="preserve">regulation </w:t>
      </w:r>
    </w:p>
    <w:p w14:paraId="0F8D65A4" w14:textId="490165B0" w:rsidR="00F978BA" w:rsidRPr="00D952CF" w:rsidRDefault="003B42A5" w:rsidP="00F978BA">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It might </w:t>
      </w:r>
      <w:r w:rsidR="00583C25">
        <w:rPr>
          <w:rFonts w:ascii="Baskerville" w:hAnsi="Baskerville" w:cs="Baskerville"/>
          <w:color w:val="000000" w:themeColor="text1"/>
          <w:sz w:val="24"/>
          <w:szCs w:val="24"/>
        </w:rPr>
        <w:t xml:space="preserve">at </w:t>
      </w:r>
      <w:r w:rsidRPr="00D952CF">
        <w:rPr>
          <w:rFonts w:ascii="Baskerville" w:hAnsi="Baskerville" w:cs="Baskerville"/>
          <w:color w:val="000000" w:themeColor="text1"/>
          <w:sz w:val="24"/>
          <w:szCs w:val="24"/>
        </w:rPr>
        <w:t xml:space="preserve">first seem that </w:t>
      </w:r>
      <w:r w:rsidR="00583C25">
        <w:rPr>
          <w:rFonts w:ascii="Baskerville" w:hAnsi="Baskerville" w:cs="Baskerville"/>
          <w:color w:val="000000" w:themeColor="text1"/>
          <w:sz w:val="24"/>
          <w:szCs w:val="24"/>
        </w:rPr>
        <w:t xml:space="preserve">the moral obligations of banks are benignly in sync with their financial self-interest. </w:t>
      </w:r>
      <w:r w:rsidRPr="00D952CF">
        <w:rPr>
          <w:rFonts w:ascii="Baskerville" w:hAnsi="Baskerville" w:cs="Baskerville"/>
          <w:color w:val="000000" w:themeColor="text1"/>
          <w:sz w:val="24"/>
          <w:szCs w:val="24"/>
        </w:rPr>
        <w:t xml:space="preserve">If so, </w:t>
      </w:r>
      <w:r w:rsidR="00583C25">
        <w:rPr>
          <w:rFonts w:ascii="Baskerville" w:hAnsi="Baskerville" w:cs="Baskerville"/>
          <w:color w:val="000000" w:themeColor="text1"/>
          <w:sz w:val="24"/>
          <w:szCs w:val="24"/>
        </w:rPr>
        <w:t>self-</w:t>
      </w:r>
      <w:r w:rsidR="00583C25">
        <w:rPr>
          <w:rFonts w:ascii="Baskerville" w:hAnsi="Baskerville" w:cs="Baskerville"/>
          <w:color w:val="000000" w:themeColor="text1"/>
          <w:sz w:val="24"/>
          <w:szCs w:val="24"/>
        </w:rPr>
        <w:t xml:space="preserve">interest should propel banks </w:t>
      </w:r>
      <w:r w:rsidRPr="00D952CF">
        <w:rPr>
          <w:rFonts w:ascii="Baskerville" w:hAnsi="Baskerville" w:cs="Baskerville"/>
          <w:color w:val="000000" w:themeColor="text1"/>
          <w:sz w:val="24"/>
          <w:szCs w:val="24"/>
        </w:rPr>
        <w:t xml:space="preserve">to keep mistakes of wrongful inclusion and exclusion to the bare minimum. </w:t>
      </w:r>
      <w:r w:rsidR="002B5DCE">
        <w:rPr>
          <w:rFonts w:ascii="Baskerville" w:hAnsi="Baskerville" w:cs="Baskerville"/>
          <w:color w:val="000000" w:themeColor="text1"/>
          <w:sz w:val="24"/>
          <w:szCs w:val="24"/>
        </w:rPr>
        <w:t>But this is not the case</w:t>
      </w:r>
      <w:r w:rsidRPr="00D952CF">
        <w:rPr>
          <w:rFonts w:ascii="Baskerville" w:hAnsi="Baskerville" w:cs="Baskerville"/>
          <w:color w:val="000000" w:themeColor="text1"/>
          <w:sz w:val="24"/>
          <w:szCs w:val="24"/>
        </w:rPr>
        <w:t xml:space="preserve">. </w:t>
      </w:r>
      <w:r w:rsidR="002B5DCE">
        <w:rPr>
          <w:rFonts w:ascii="Baskerville" w:hAnsi="Baskerville" w:cs="Baskerville"/>
          <w:color w:val="000000" w:themeColor="text1"/>
          <w:sz w:val="24"/>
          <w:szCs w:val="24"/>
        </w:rPr>
        <w:t xml:space="preserve">In section 1, </w:t>
      </w:r>
      <w:r w:rsidR="00227141">
        <w:rPr>
          <w:rFonts w:ascii="Baskerville" w:hAnsi="Baskerville" w:cs="Baskerville"/>
          <w:color w:val="000000" w:themeColor="text1"/>
          <w:sz w:val="24"/>
          <w:szCs w:val="24"/>
        </w:rPr>
        <w:t>we saw</w:t>
      </w:r>
      <w:r w:rsidRPr="00D952CF">
        <w:rPr>
          <w:rFonts w:ascii="Baskerville" w:hAnsi="Baskerville" w:cs="Baskerville"/>
          <w:color w:val="000000" w:themeColor="text1"/>
          <w:sz w:val="24"/>
          <w:szCs w:val="24"/>
        </w:rPr>
        <w:t xml:space="preserve"> that mistakes of wrongful exclusion and </w:t>
      </w:r>
      <w:r w:rsidRPr="00D952CF">
        <w:rPr>
          <w:rFonts w:ascii="Baskerville" w:hAnsi="Baskerville" w:cs="Baskerville"/>
          <w:color w:val="000000" w:themeColor="text1"/>
          <w:sz w:val="24"/>
          <w:szCs w:val="24"/>
        </w:rPr>
        <w:t xml:space="preserve">inclusion are not uncommon. </w:t>
      </w:r>
      <w:r w:rsidR="00F978BA" w:rsidRPr="00D952CF">
        <w:rPr>
          <w:rFonts w:ascii="Baskerville" w:hAnsi="Baskerville" w:cs="Baskerville"/>
          <w:color w:val="000000" w:themeColor="text1"/>
          <w:sz w:val="24"/>
          <w:szCs w:val="24"/>
        </w:rPr>
        <w:t xml:space="preserve">I will argue that </w:t>
      </w:r>
      <w:r w:rsidRPr="00D952CF">
        <w:rPr>
          <w:rFonts w:ascii="Baskerville" w:hAnsi="Baskerville" w:cs="Baskerville"/>
          <w:color w:val="000000" w:themeColor="text1"/>
          <w:sz w:val="24"/>
          <w:szCs w:val="24"/>
        </w:rPr>
        <w:t xml:space="preserve">the frequency of these mistakes should not come as a surprise, because </w:t>
      </w:r>
      <w:r w:rsidR="00F978BA" w:rsidRPr="00D952CF">
        <w:rPr>
          <w:rFonts w:ascii="Baskerville" w:hAnsi="Baskerville" w:cs="Baskerville"/>
          <w:color w:val="000000" w:themeColor="text1"/>
          <w:sz w:val="24"/>
          <w:szCs w:val="24"/>
        </w:rPr>
        <w:t xml:space="preserve">it is </w:t>
      </w:r>
      <w:r w:rsidR="00583C25">
        <w:rPr>
          <w:rFonts w:ascii="Baskerville" w:hAnsi="Baskerville" w:cs="Baskerville"/>
          <w:color w:val="000000" w:themeColor="text1"/>
          <w:sz w:val="24"/>
          <w:szCs w:val="24"/>
        </w:rPr>
        <w:t xml:space="preserve">in fact not in the </w:t>
      </w:r>
      <w:r w:rsidR="00F978BA" w:rsidRPr="00D952CF">
        <w:rPr>
          <w:rFonts w:ascii="Baskerville" w:hAnsi="Baskerville" w:cs="Baskerville"/>
          <w:color w:val="000000" w:themeColor="text1"/>
          <w:sz w:val="24"/>
          <w:szCs w:val="24"/>
        </w:rPr>
        <w:lastRenderedPageBreak/>
        <w:t xml:space="preserve">interest of banks to minimize mistakes of wrongful exclusion and inclusion. </w:t>
      </w:r>
      <w:r w:rsidRPr="00D952CF">
        <w:rPr>
          <w:rFonts w:ascii="Baskerville" w:hAnsi="Baskerville" w:cs="Baskerville"/>
          <w:color w:val="000000" w:themeColor="text1"/>
          <w:sz w:val="24"/>
          <w:szCs w:val="24"/>
        </w:rPr>
        <w:t>In this section, we will take a</w:t>
      </w:r>
      <w:r w:rsidR="00F978BA" w:rsidRPr="00D952CF">
        <w:rPr>
          <w:rFonts w:ascii="Baskerville" w:hAnsi="Baskerville" w:cs="Baskerville"/>
          <w:color w:val="000000" w:themeColor="text1"/>
          <w:sz w:val="24"/>
          <w:szCs w:val="24"/>
        </w:rPr>
        <w:t xml:space="preserve"> closer look at the economics of wrongful inclusion and exclusion</w:t>
      </w:r>
      <w:r w:rsidRPr="00D952CF">
        <w:rPr>
          <w:rFonts w:ascii="Baskerville" w:hAnsi="Baskerville" w:cs="Baskerville"/>
          <w:color w:val="000000" w:themeColor="text1"/>
          <w:sz w:val="24"/>
          <w:szCs w:val="24"/>
        </w:rPr>
        <w:t>, revealing</w:t>
      </w:r>
      <w:r w:rsidR="00F978BA" w:rsidRPr="00D952CF">
        <w:rPr>
          <w:rFonts w:ascii="Baskerville" w:hAnsi="Baskerville" w:cs="Baskerville"/>
          <w:color w:val="000000" w:themeColor="text1"/>
          <w:sz w:val="24"/>
          <w:szCs w:val="24"/>
        </w:rPr>
        <w:t xml:space="preserve"> that banks </w:t>
      </w:r>
      <w:r w:rsidR="00B17206">
        <w:rPr>
          <w:rFonts w:ascii="Baskerville" w:hAnsi="Baskerville" w:cs="Baskerville"/>
          <w:color w:val="000000" w:themeColor="text1"/>
          <w:sz w:val="24"/>
          <w:szCs w:val="24"/>
        </w:rPr>
        <w:t>face temptations</w:t>
      </w:r>
      <w:r w:rsidR="00F978BA" w:rsidRPr="00D952CF">
        <w:rPr>
          <w:rFonts w:ascii="Baskerville" w:hAnsi="Baskerville" w:cs="Baskerville"/>
          <w:color w:val="000000" w:themeColor="text1"/>
          <w:sz w:val="24"/>
          <w:szCs w:val="24"/>
        </w:rPr>
        <w:t xml:space="preserve"> to allow both </w:t>
      </w:r>
      <w:r w:rsidRPr="00D952CF">
        <w:rPr>
          <w:rFonts w:ascii="Baskerville" w:hAnsi="Baskerville" w:cs="Baskerville"/>
          <w:color w:val="000000" w:themeColor="text1"/>
          <w:sz w:val="24"/>
          <w:szCs w:val="24"/>
        </w:rPr>
        <w:t>kinds of mistakes</w:t>
      </w:r>
      <w:r w:rsidR="00B17206">
        <w:rPr>
          <w:rFonts w:ascii="Baskerville" w:hAnsi="Baskerville" w:cs="Baskerville"/>
          <w:color w:val="000000" w:themeColor="text1"/>
          <w:sz w:val="24"/>
          <w:szCs w:val="24"/>
        </w:rPr>
        <w:t>.</w:t>
      </w:r>
      <w:r w:rsidR="007A5839">
        <w:rPr>
          <w:rFonts w:ascii="Baskerville" w:hAnsi="Baskerville" w:cs="Baskerville"/>
          <w:color w:val="000000" w:themeColor="text1"/>
          <w:sz w:val="24"/>
          <w:szCs w:val="24"/>
        </w:rPr>
        <w:t xml:space="preserve"> Therefore, we need financial regulation and supervision to steer banks toward their social purpose. </w:t>
      </w:r>
    </w:p>
    <w:p w14:paraId="15A6F20C" w14:textId="0294A2EC" w:rsidR="007A5839" w:rsidRDefault="00F978BA" w:rsidP="00F978BA">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Consider</w:t>
      </w:r>
      <w:r w:rsidR="009439CD" w:rsidRPr="00D952CF">
        <w:rPr>
          <w:rFonts w:ascii="Baskerville" w:hAnsi="Baskerville" w:cs="Baskerville"/>
          <w:color w:val="000000" w:themeColor="text1"/>
          <w:sz w:val="24"/>
          <w:szCs w:val="24"/>
        </w:rPr>
        <w:t xml:space="preserve"> mistakes of wrongful exclusion</w:t>
      </w:r>
      <w:r w:rsidRPr="00D952CF">
        <w:rPr>
          <w:rFonts w:ascii="Baskerville" w:hAnsi="Baskerville" w:cs="Baskerville"/>
          <w:color w:val="000000" w:themeColor="text1"/>
          <w:sz w:val="24"/>
          <w:szCs w:val="24"/>
        </w:rPr>
        <w:t xml:space="preserve">. </w:t>
      </w:r>
      <w:r w:rsidR="00C84B52" w:rsidRPr="00D952CF">
        <w:rPr>
          <w:rFonts w:ascii="Baskerville" w:hAnsi="Baskerville" w:cs="Baskerville"/>
          <w:color w:val="000000" w:themeColor="text1"/>
          <w:sz w:val="24"/>
          <w:szCs w:val="24"/>
        </w:rPr>
        <w:t>I</w:t>
      </w:r>
      <w:r w:rsidR="009439CD" w:rsidRPr="00D952CF">
        <w:rPr>
          <w:rFonts w:ascii="Baskerville" w:hAnsi="Baskerville" w:cs="Baskerville"/>
          <w:color w:val="000000" w:themeColor="text1"/>
          <w:sz w:val="24"/>
          <w:szCs w:val="24"/>
        </w:rPr>
        <w:t xml:space="preserve">t is important to realize that the economic goal of banks is to </w:t>
      </w:r>
      <w:r w:rsidR="000D7504" w:rsidRPr="00D952CF">
        <w:rPr>
          <w:rFonts w:ascii="Baskerville" w:hAnsi="Baskerville" w:cs="Baskerville"/>
          <w:color w:val="000000" w:themeColor="text1"/>
          <w:sz w:val="24"/>
          <w:szCs w:val="24"/>
        </w:rPr>
        <w:t xml:space="preserve">build up </w:t>
      </w:r>
      <w:r w:rsidR="009439CD" w:rsidRPr="00D952CF">
        <w:rPr>
          <w:rFonts w:ascii="Baskerville" w:hAnsi="Baskerville" w:cs="Baskerville"/>
          <w:color w:val="000000" w:themeColor="text1"/>
          <w:sz w:val="24"/>
          <w:szCs w:val="24"/>
        </w:rPr>
        <w:t>a profitable loan portfolio</w:t>
      </w:r>
      <w:r w:rsidR="00B17206">
        <w:rPr>
          <w:rFonts w:ascii="Baskerville" w:hAnsi="Baskerville" w:cs="Baskerville"/>
          <w:color w:val="000000" w:themeColor="text1"/>
          <w:sz w:val="24"/>
          <w:szCs w:val="24"/>
        </w:rPr>
        <w:t>. A</w:t>
      </w:r>
      <w:r w:rsidR="000D7504" w:rsidRPr="00D952CF">
        <w:rPr>
          <w:rFonts w:ascii="Baskerville" w:hAnsi="Baskerville" w:cs="Baskerville"/>
          <w:color w:val="000000" w:themeColor="text1"/>
          <w:sz w:val="24"/>
          <w:szCs w:val="24"/>
        </w:rPr>
        <w:t xml:space="preserve">ccepting </w:t>
      </w:r>
      <w:r w:rsidR="007A5839">
        <w:rPr>
          <w:rFonts w:ascii="Baskerville" w:hAnsi="Baskerville" w:cs="Baskerville"/>
          <w:color w:val="000000" w:themeColor="text1"/>
          <w:sz w:val="24"/>
          <w:szCs w:val="24"/>
        </w:rPr>
        <w:t>the most</w:t>
      </w:r>
      <w:r w:rsidR="000D7504" w:rsidRPr="00D952CF">
        <w:rPr>
          <w:rFonts w:ascii="Baskerville" w:hAnsi="Baskerville" w:cs="Baskerville"/>
          <w:color w:val="000000" w:themeColor="text1"/>
          <w:sz w:val="24"/>
          <w:szCs w:val="24"/>
        </w:rPr>
        <w:t xml:space="preserve"> </w:t>
      </w:r>
      <w:r w:rsidR="007A5839">
        <w:rPr>
          <w:rFonts w:ascii="Baskerville" w:hAnsi="Baskerville" w:cs="Baskerville"/>
          <w:color w:val="000000" w:themeColor="text1"/>
          <w:sz w:val="24"/>
          <w:szCs w:val="24"/>
        </w:rPr>
        <w:t xml:space="preserve">creditworthy </w:t>
      </w:r>
      <w:r w:rsidR="000D7504" w:rsidRPr="00D952CF">
        <w:rPr>
          <w:rFonts w:ascii="Baskerville" w:hAnsi="Baskerville" w:cs="Baskerville"/>
          <w:color w:val="000000" w:themeColor="text1"/>
          <w:sz w:val="24"/>
          <w:szCs w:val="24"/>
        </w:rPr>
        <w:t xml:space="preserve">applicants </w:t>
      </w:r>
      <w:r w:rsidR="00B17206">
        <w:rPr>
          <w:rFonts w:ascii="Baskerville" w:hAnsi="Baskerville" w:cs="Baskerville"/>
          <w:color w:val="000000" w:themeColor="text1"/>
          <w:sz w:val="24"/>
          <w:szCs w:val="24"/>
        </w:rPr>
        <w:t xml:space="preserve">is not </w:t>
      </w:r>
      <w:r w:rsidR="007A5839">
        <w:rPr>
          <w:rFonts w:ascii="Baskerville" w:hAnsi="Baskerville" w:cs="Baskerville"/>
          <w:color w:val="000000" w:themeColor="text1"/>
          <w:sz w:val="24"/>
          <w:szCs w:val="24"/>
        </w:rPr>
        <w:t>the best</w:t>
      </w:r>
      <w:r w:rsidR="00B17206">
        <w:rPr>
          <w:rFonts w:ascii="Baskerville" w:hAnsi="Baskerville" w:cs="Baskerville"/>
          <w:color w:val="000000" w:themeColor="text1"/>
          <w:sz w:val="24"/>
          <w:szCs w:val="24"/>
        </w:rPr>
        <w:t xml:space="preserve"> strategy to reach this goal</w:t>
      </w:r>
      <w:r w:rsidR="009439CD" w:rsidRPr="00D952CF">
        <w:rPr>
          <w:rFonts w:ascii="Baskerville" w:hAnsi="Baskerville" w:cs="Baskerville"/>
          <w:color w:val="000000" w:themeColor="text1"/>
          <w:sz w:val="24"/>
          <w:szCs w:val="24"/>
        </w:rPr>
        <w:t xml:space="preserve">. </w:t>
      </w:r>
      <w:r w:rsidR="003B42A5" w:rsidRPr="00D952CF">
        <w:rPr>
          <w:rFonts w:ascii="Baskerville" w:hAnsi="Baskerville" w:cs="Baskerville"/>
          <w:color w:val="000000" w:themeColor="text1"/>
          <w:sz w:val="24"/>
          <w:szCs w:val="24"/>
        </w:rPr>
        <w:t xml:space="preserve">The key insight is that </w:t>
      </w:r>
      <w:r w:rsidR="009439CD" w:rsidRPr="00D952CF">
        <w:rPr>
          <w:rFonts w:ascii="Baskerville" w:hAnsi="Baskerville" w:cs="Baskerville"/>
          <w:color w:val="000000" w:themeColor="text1"/>
          <w:sz w:val="24"/>
          <w:szCs w:val="24"/>
        </w:rPr>
        <w:t>accepting</w:t>
      </w:r>
      <w:r w:rsidR="0027268A" w:rsidRPr="00D952CF">
        <w:rPr>
          <w:rFonts w:ascii="Baskerville" w:hAnsi="Baskerville" w:cs="Baskerville"/>
          <w:color w:val="000000" w:themeColor="text1"/>
          <w:sz w:val="24"/>
          <w:szCs w:val="24"/>
        </w:rPr>
        <w:t xml:space="preserve"> </w:t>
      </w:r>
      <w:r w:rsidR="007A5839">
        <w:rPr>
          <w:rFonts w:ascii="Baskerville" w:hAnsi="Baskerville" w:cs="Baskerville"/>
          <w:color w:val="000000" w:themeColor="text1"/>
          <w:sz w:val="24"/>
          <w:szCs w:val="24"/>
        </w:rPr>
        <w:t xml:space="preserve">the most creditworthy </w:t>
      </w:r>
      <w:r w:rsidR="0027268A" w:rsidRPr="00D952CF">
        <w:rPr>
          <w:rFonts w:ascii="Baskerville" w:hAnsi="Baskerville" w:cs="Baskerville"/>
          <w:color w:val="000000" w:themeColor="text1"/>
          <w:sz w:val="24"/>
          <w:szCs w:val="24"/>
        </w:rPr>
        <w:t>applicants does not lead to an optimal portfolio</w:t>
      </w:r>
      <w:r w:rsidRPr="00D952CF">
        <w:rPr>
          <w:rFonts w:ascii="Baskerville" w:hAnsi="Baskerville" w:cs="Baskerville"/>
          <w:color w:val="000000" w:themeColor="text1"/>
          <w:sz w:val="24"/>
          <w:szCs w:val="24"/>
        </w:rPr>
        <w:t>.</w:t>
      </w:r>
      <w:r w:rsidR="009439CD" w:rsidRPr="00E93D72">
        <w:rPr>
          <w:rStyle w:val="FootnoteReference"/>
        </w:rPr>
        <w:footnoteReference w:id="22"/>
      </w:r>
      <w:r w:rsidRPr="00D952CF">
        <w:rPr>
          <w:rFonts w:ascii="Baskerville" w:hAnsi="Baskerville" w:cs="Baskerville"/>
          <w:color w:val="000000" w:themeColor="text1"/>
          <w:sz w:val="24"/>
          <w:szCs w:val="24"/>
        </w:rPr>
        <w:t xml:space="preserve"> </w:t>
      </w:r>
      <w:r w:rsidR="00ED46F4" w:rsidRPr="00D952CF">
        <w:rPr>
          <w:rFonts w:ascii="Baskerville" w:hAnsi="Baskerville" w:cs="Baskerville"/>
          <w:color w:val="000000" w:themeColor="text1"/>
          <w:sz w:val="24"/>
          <w:szCs w:val="24"/>
        </w:rPr>
        <w:t>To see this, c</w:t>
      </w:r>
      <w:r w:rsidR="000D7504" w:rsidRPr="00D952CF">
        <w:rPr>
          <w:rFonts w:ascii="Baskerville" w:hAnsi="Baskerville" w:cs="Baskerville"/>
          <w:color w:val="000000" w:themeColor="text1"/>
          <w:sz w:val="24"/>
          <w:szCs w:val="24"/>
        </w:rPr>
        <w:t>onsider three applicants</w:t>
      </w:r>
      <w:r w:rsidR="00D135B1">
        <w:rPr>
          <w:rFonts w:ascii="Baskerville" w:hAnsi="Baskerville" w:cs="Baskerville"/>
          <w:color w:val="000000" w:themeColor="text1"/>
          <w:sz w:val="24"/>
          <w:szCs w:val="24"/>
        </w:rPr>
        <w:t>:</w:t>
      </w:r>
      <w:r w:rsidR="000D7504" w:rsidRPr="00D952CF">
        <w:rPr>
          <w:rFonts w:ascii="Baskerville" w:hAnsi="Baskerville" w:cs="Baskerville"/>
          <w:color w:val="000000" w:themeColor="text1"/>
          <w:sz w:val="24"/>
          <w:szCs w:val="24"/>
        </w:rPr>
        <w:t xml:space="preserve"> Anne</w:t>
      </w:r>
      <w:r w:rsidR="00D135B1">
        <w:rPr>
          <w:rFonts w:ascii="Baskerville" w:hAnsi="Baskerville" w:cs="Baskerville"/>
          <w:color w:val="000000" w:themeColor="text1"/>
          <w:sz w:val="24"/>
          <w:szCs w:val="24"/>
        </w:rPr>
        <w:t>,</w:t>
      </w:r>
      <w:r w:rsidR="000D7504" w:rsidRPr="00D952CF">
        <w:rPr>
          <w:rFonts w:ascii="Baskerville" w:hAnsi="Baskerville" w:cs="Baskerville"/>
          <w:color w:val="000000" w:themeColor="text1"/>
          <w:sz w:val="24"/>
          <w:szCs w:val="24"/>
        </w:rPr>
        <w:t xml:space="preserve"> Bettina </w:t>
      </w:r>
      <w:r w:rsidR="007A5839">
        <w:rPr>
          <w:rFonts w:ascii="Baskerville" w:hAnsi="Baskerville" w:cs="Baskerville"/>
          <w:color w:val="000000" w:themeColor="text1"/>
          <w:sz w:val="24"/>
          <w:szCs w:val="24"/>
        </w:rPr>
        <w:t xml:space="preserve">and Caspar. All three apply for </w:t>
      </w:r>
      <w:r w:rsidR="007A5839" w:rsidRPr="00D952CF">
        <w:rPr>
          <w:rFonts w:ascii="Baskerville" w:hAnsi="Baskerville" w:cs="Baskerville"/>
          <w:color w:val="000000" w:themeColor="text1"/>
          <w:sz w:val="24"/>
          <w:szCs w:val="24"/>
        </w:rPr>
        <w:t>a private unsecured loan</w:t>
      </w:r>
      <w:r w:rsidR="007A5839">
        <w:rPr>
          <w:rFonts w:ascii="Baskerville" w:hAnsi="Baskerville" w:cs="Baskerville"/>
          <w:color w:val="000000" w:themeColor="text1"/>
          <w:sz w:val="24"/>
          <w:szCs w:val="24"/>
        </w:rPr>
        <w:t xml:space="preserve"> from</w:t>
      </w:r>
      <w:r w:rsidR="007A5839" w:rsidRPr="00D952CF">
        <w:rPr>
          <w:rFonts w:ascii="Baskerville" w:hAnsi="Baskerville" w:cs="Baskerville"/>
          <w:color w:val="000000" w:themeColor="text1"/>
          <w:sz w:val="24"/>
          <w:szCs w:val="24"/>
        </w:rPr>
        <w:t xml:space="preserve"> CleverBank</w:t>
      </w:r>
      <w:r w:rsidR="007A5839">
        <w:rPr>
          <w:rFonts w:ascii="Baskerville" w:hAnsi="Baskerville" w:cs="Baskerville"/>
          <w:color w:val="000000" w:themeColor="text1"/>
          <w:sz w:val="24"/>
          <w:szCs w:val="24"/>
        </w:rPr>
        <w:t>.</w:t>
      </w:r>
      <w:r w:rsidR="007A5839" w:rsidRPr="00D952CF">
        <w:rPr>
          <w:rFonts w:ascii="Baskerville" w:hAnsi="Baskerville" w:cs="Baskerville"/>
          <w:color w:val="000000" w:themeColor="text1"/>
          <w:sz w:val="24"/>
          <w:szCs w:val="24"/>
        </w:rPr>
        <w:t xml:space="preserve"> </w:t>
      </w:r>
      <w:r w:rsidR="007A5839">
        <w:rPr>
          <w:rFonts w:ascii="Baskerville" w:hAnsi="Baskerville" w:cs="Baskerville"/>
          <w:color w:val="000000" w:themeColor="text1"/>
          <w:sz w:val="24"/>
          <w:szCs w:val="24"/>
        </w:rPr>
        <w:t xml:space="preserve">CleverBank </w:t>
      </w:r>
      <w:r w:rsidR="007A5839" w:rsidRPr="00D952CF">
        <w:rPr>
          <w:rFonts w:ascii="Baskerville" w:hAnsi="Baskerville" w:cs="Baskerville"/>
          <w:color w:val="000000" w:themeColor="text1"/>
          <w:sz w:val="24"/>
          <w:szCs w:val="24"/>
        </w:rPr>
        <w:t xml:space="preserve">assesses </w:t>
      </w:r>
      <w:r w:rsidR="007A5839">
        <w:rPr>
          <w:rFonts w:ascii="Baskerville" w:hAnsi="Baskerville" w:cs="Baskerville"/>
          <w:color w:val="000000" w:themeColor="text1"/>
          <w:sz w:val="24"/>
          <w:szCs w:val="24"/>
        </w:rPr>
        <w:t xml:space="preserve">their creditworthiness </w:t>
      </w:r>
      <w:r w:rsidR="007A5839" w:rsidRPr="00D952CF">
        <w:rPr>
          <w:rFonts w:ascii="Baskerville" w:hAnsi="Baskerville" w:cs="Baskerville"/>
          <w:color w:val="000000" w:themeColor="text1"/>
          <w:sz w:val="24"/>
          <w:szCs w:val="24"/>
        </w:rPr>
        <w:t>as follows:</w:t>
      </w:r>
      <w:r w:rsidR="007A5839">
        <w:rPr>
          <w:rFonts w:ascii="Baskerville" w:hAnsi="Baskerville" w:cs="Baskerville"/>
          <w:color w:val="000000" w:themeColor="text1"/>
          <w:sz w:val="24"/>
          <w:szCs w:val="24"/>
        </w:rPr>
        <w:t xml:space="preserve"> Anne and Bettina </w:t>
      </w:r>
      <w:r w:rsidR="000D7504" w:rsidRPr="00D952CF">
        <w:rPr>
          <w:rFonts w:ascii="Baskerville" w:hAnsi="Baskerville" w:cs="Baskerville"/>
          <w:color w:val="000000" w:themeColor="text1"/>
          <w:sz w:val="24"/>
          <w:szCs w:val="24"/>
        </w:rPr>
        <w:t xml:space="preserve">will </w:t>
      </w:r>
      <w:r w:rsidR="00E57737" w:rsidRPr="00D952CF">
        <w:rPr>
          <w:rFonts w:ascii="Baskerville" w:hAnsi="Baskerville" w:cs="Baskerville"/>
          <w:color w:val="000000" w:themeColor="text1"/>
          <w:sz w:val="24"/>
          <w:szCs w:val="24"/>
        </w:rPr>
        <w:t xml:space="preserve">service their </w:t>
      </w:r>
      <w:r w:rsidR="00F45E5F" w:rsidRPr="00D952CF">
        <w:rPr>
          <w:rFonts w:ascii="Baskerville" w:hAnsi="Baskerville" w:cs="Baskerville"/>
          <w:color w:val="000000" w:themeColor="text1"/>
          <w:sz w:val="24"/>
          <w:szCs w:val="24"/>
        </w:rPr>
        <w:t>loan</w:t>
      </w:r>
      <w:r w:rsidR="00E57737" w:rsidRPr="00D952CF">
        <w:rPr>
          <w:rFonts w:ascii="Baskerville" w:hAnsi="Baskerville" w:cs="Baskerville"/>
          <w:color w:val="000000" w:themeColor="text1"/>
          <w:sz w:val="24"/>
          <w:szCs w:val="24"/>
        </w:rPr>
        <w:t xml:space="preserve"> </w:t>
      </w:r>
      <w:r w:rsidR="000D7504" w:rsidRPr="00D952CF">
        <w:rPr>
          <w:rFonts w:ascii="Baskerville" w:hAnsi="Baskerville" w:cs="Baskerville"/>
          <w:color w:val="000000" w:themeColor="text1"/>
          <w:sz w:val="24"/>
          <w:szCs w:val="24"/>
        </w:rPr>
        <w:t xml:space="preserve">with a probability of </w:t>
      </w:r>
      <w:r w:rsidR="00E57737" w:rsidRPr="00D952CF">
        <w:rPr>
          <w:rFonts w:ascii="Baskerville" w:hAnsi="Baskerville" w:cs="Baskerville"/>
          <w:color w:val="000000" w:themeColor="text1"/>
          <w:sz w:val="24"/>
          <w:szCs w:val="24"/>
        </w:rPr>
        <w:t>90</w:t>
      </w:r>
      <w:r w:rsidR="000D7504" w:rsidRPr="00D952CF">
        <w:rPr>
          <w:rFonts w:ascii="Baskerville" w:hAnsi="Baskerville" w:cs="Baskerville"/>
          <w:color w:val="000000" w:themeColor="text1"/>
          <w:sz w:val="24"/>
          <w:szCs w:val="24"/>
        </w:rPr>
        <w:t xml:space="preserve">%, while Caspar will </w:t>
      </w:r>
      <w:r w:rsidR="00E57737" w:rsidRPr="00D952CF">
        <w:rPr>
          <w:rFonts w:ascii="Baskerville" w:hAnsi="Baskerville" w:cs="Baskerville"/>
          <w:color w:val="000000" w:themeColor="text1"/>
          <w:sz w:val="24"/>
          <w:szCs w:val="24"/>
        </w:rPr>
        <w:t xml:space="preserve">service </w:t>
      </w:r>
      <w:r w:rsidR="003B42A5" w:rsidRPr="00D952CF">
        <w:rPr>
          <w:rFonts w:ascii="Baskerville" w:hAnsi="Baskerville" w:cs="Baskerville"/>
          <w:color w:val="000000" w:themeColor="text1"/>
          <w:sz w:val="24"/>
          <w:szCs w:val="24"/>
        </w:rPr>
        <w:t>his</w:t>
      </w:r>
      <w:r w:rsidR="00F45E5F" w:rsidRPr="00D952CF">
        <w:rPr>
          <w:rFonts w:ascii="Baskerville" w:hAnsi="Baskerville" w:cs="Baskerville"/>
          <w:color w:val="000000" w:themeColor="text1"/>
          <w:sz w:val="24"/>
          <w:szCs w:val="24"/>
        </w:rPr>
        <w:t xml:space="preserve"> loan </w:t>
      </w:r>
      <w:r w:rsidR="000D7504" w:rsidRPr="00D952CF">
        <w:rPr>
          <w:rFonts w:ascii="Baskerville" w:hAnsi="Baskerville" w:cs="Baskerville"/>
          <w:color w:val="000000" w:themeColor="text1"/>
          <w:sz w:val="24"/>
          <w:szCs w:val="24"/>
        </w:rPr>
        <w:t xml:space="preserve">with a probability of </w:t>
      </w:r>
      <w:r w:rsidR="00E57737" w:rsidRPr="00D952CF">
        <w:rPr>
          <w:rFonts w:ascii="Baskerville" w:hAnsi="Baskerville" w:cs="Baskerville"/>
          <w:color w:val="000000" w:themeColor="text1"/>
          <w:sz w:val="24"/>
          <w:szCs w:val="24"/>
        </w:rPr>
        <w:t>85</w:t>
      </w:r>
      <w:r w:rsidR="000D7504" w:rsidRPr="00D952CF">
        <w:rPr>
          <w:rFonts w:ascii="Baskerville" w:hAnsi="Baskerville" w:cs="Baskerville"/>
          <w:color w:val="000000" w:themeColor="text1"/>
          <w:sz w:val="24"/>
          <w:szCs w:val="24"/>
        </w:rPr>
        <w:t xml:space="preserve">%. If </w:t>
      </w:r>
      <w:r w:rsidR="003B42A5" w:rsidRPr="00D952CF">
        <w:rPr>
          <w:rFonts w:ascii="Baskerville" w:hAnsi="Baskerville" w:cs="Baskerville"/>
          <w:color w:val="000000" w:themeColor="text1"/>
          <w:sz w:val="24"/>
          <w:szCs w:val="24"/>
        </w:rPr>
        <w:t>CleverBank</w:t>
      </w:r>
      <w:r w:rsidR="000D7504" w:rsidRPr="00D952CF">
        <w:rPr>
          <w:rFonts w:ascii="Baskerville" w:hAnsi="Baskerville" w:cs="Baskerville"/>
          <w:color w:val="000000" w:themeColor="text1"/>
          <w:sz w:val="24"/>
          <w:szCs w:val="24"/>
        </w:rPr>
        <w:t xml:space="preserve"> wants to select two out of three applicants, which ones should it </w:t>
      </w:r>
      <w:r w:rsidR="003B42A5" w:rsidRPr="00D952CF">
        <w:rPr>
          <w:rFonts w:ascii="Baskerville" w:hAnsi="Baskerville" w:cs="Baskerville"/>
          <w:color w:val="000000" w:themeColor="text1"/>
          <w:sz w:val="24"/>
          <w:szCs w:val="24"/>
        </w:rPr>
        <w:t>accept</w:t>
      </w:r>
      <w:r w:rsidR="000D7504" w:rsidRPr="00D952CF">
        <w:rPr>
          <w:rFonts w:ascii="Baskerville" w:hAnsi="Baskerville" w:cs="Baskerville"/>
          <w:color w:val="000000" w:themeColor="text1"/>
          <w:sz w:val="24"/>
          <w:szCs w:val="24"/>
        </w:rPr>
        <w:t xml:space="preserve">? If </w:t>
      </w:r>
      <w:r w:rsidR="003B42A5" w:rsidRPr="00D952CF">
        <w:rPr>
          <w:rFonts w:ascii="Baskerville" w:hAnsi="Baskerville" w:cs="Baskerville"/>
          <w:color w:val="000000" w:themeColor="text1"/>
          <w:sz w:val="24"/>
          <w:szCs w:val="24"/>
        </w:rPr>
        <w:t>CleverBank</w:t>
      </w:r>
      <w:r w:rsidR="000D7504" w:rsidRPr="00D952CF">
        <w:rPr>
          <w:rFonts w:ascii="Baskerville" w:hAnsi="Baskerville" w:cs="Baskerville"/>
          <w:color w:val="000000" w:themeColor="text1"/>
          <w:sz w:val="24"/>
          <w:szCs w:val="24"/>
        </w:rPr>
        <w:t xml:space="preserve"> were to select the most creditworthy applicants, </w:t>
      </w:r>
      <w:r w:rsidR="003B42A5" w:rsidRPr="00D952CF">
        <w:rPr>
          <w:rFonts w:ascii="Baskerville" w:hAnsi="Baskerville" w:cs="Baskerville"/>
          <w:color w:val="000000" w:themeColor="text1"/>
          <w:sz w:val="24"/>
          <w:szCs w:val="24"/>
        </w:rPr>
        <w:t xml:space="preserve">it would accept </w:t>
      </w:r>
      <w:r w:rsidR="000D7504" w:rsidRPr="00D952CF">
        <w:rPr>
          <w:rFonts w:ascii="Baskerville" w:hAnsi="Baskerville" w:cs="Baskerville"/>
          <w:color w:val="000000" w:themeColor="text1"/>
          <w:sz w:val="24"/>
          <w:szCs w:val="24"/>
        </w:rPr>
        <w:t xml:space="preserve">Anne and Bettina, </w:t>
      </w:r>
      <w:r w:rsidR="003B42A5" w:rsidRPr="00D952CF">
        <w:rPr>
          <w:rFonts w:ascii="Baskerville" w:hAnsi="Baskerville" w:cs="Baskerville"/>
          <w:color w:val="000000" w:themeColor="text1"/>
          <w:sz w:val="24"/>
          <w:szCs w:val="24"/>
        </w:rPr>
        <w:t>and reject Caspar</w:t>
      </w:r>
      <w:r w:rsidR="000D7504" w:rsidRPr="00D952CF">
        <w:rPr>
          <w:rFonts w:ascii="Baskerville" w:hAnsi="Baskerville" w:cs="Baskerville"/>
          <w:color w:val="000000" w:themeColor="text1"/>
          <w:sz w:val="24"/>
          <w:szCs w:val="24"/>
        </w:rPr>
        <w:t xml:space="preserve">. But </w:t>
      </w:r>
      <w:r w:rsidR="003B42A5" w:rsidRPr="00D952CF">
        <w:rPr>
          <w:rFonts w:ascii="Baskerville" w:hAnsi="Baskerville" w:cs="Baskerville"/>
          <w:color w:val="000000" w:themeColor="text1"/>
          <w:sz w:val="24"/>
          <w:szCs w:val="24"/>
        </w:rPr>
        <w:t xml:space="preserve">CleverBank </w:t>
      </w:r>
      <w:r w:rsidR="007A5839">
        <w:rPr>
          <w:rFonts w:ascii="Baskerville" w:hAnsi="Baskerville" w:cs="Baskerville"/>
          <w:color w:val="000000" w:themeColor="text1"/>
          <w:sz w:val="24"/>
          <w:szCs w:val="24"/>
        </w:rPr>
        <w:t xml:space="preserve">would maximize its expected profits by diversifying its loan portfolio, rather than by selecting the most creditworthy applicants. And diversification might well require a different decision on the part of the bank. </w:t>
      </w:r>
    </w:p>
    <w:p w14:paraId="581E82B1" w14:textId="1B3AE67E" w:rsidR="00C84B52" w:rsidRPr="00D952CF" w:rsidRDefault="00E571E7" w:rsidP="00663C27">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To</w:t>
      </w:r>
      <w:r w:rsidR="0086499A">
        <w:rPr>
          <w:rFonts w:ascii="Baskerville" w:hAnsi="Baskerville" w:cs="Baskerville"/>
          <w:color w:val="000000" w:themeColor="text1"/>
          <w:sz w:val="24"/>
          <w:szCs w:val="24"/>
        </w:rPr>
        <w:t xml:space="preserve"> see</w:t>
      </w:r>
      <w:r w:rsidR="00A70EAA">
        <w:rPr>
          <w:rFonts w:ascii="Baskerville" w:hAnsi="Baskerville" w:cs="Baskerville"/>
          <w:color w:val="000000" w:themeColor="text1"/>
          <w:sz w:val="24"/>
          <w:szCs w:val="24"/>
        </w:rPr>
        <w:t xml:space="preserve"> </w:t>
      </w:r>
      <w:r w:rsidR="007A5839">
        <w:rPr>
          <w:rFonts w:ascii="Baskerville" w:hAnsi="Baskerville" w:cs="Baskerville"/>
          <w:color w:val="000000" w:themeColor="text1"/>
          <w:sz w:val="24"/>
          <w:szCs w:val="24"/>
        </w:rPr>
        <w:t>th</w:t>
      </w:r>
      <w:r w:rsidR="00FD202D">
        <w:rPr>
          <w:rFonts w:ascii="Baskerville" w:hAnsi="Baskerville" w:cs="Baskerville"/>
          <w:color w:val="000000" w:themeColor="text1"/>
          <w:sz w:val="24"/>
          <w:szCs w:val="24"/>
        </w:rPr>
        <w:t>is</w:t>
      </w:r>
      <w:r w:rsidR="007A5839">
        <w:rPr>
          <w:rFonts w:ascii="Baskerville" w:hAnsi="Baskerville" w:cs="Baskerville"/>
          <w:color w:val="000000" w:themeColor="text1"/>
          <w:sz w:val="24"/>
          <w:szCs w:val="24"/>
        </w:rPr>
        <w:t xml:space="preserve"> last point, I will add </w:t>
      </w:r>
      <w:r w:rsidR="007A5839">
        <w:rPr>
          <w:rFonts w:ascii="Baskerville" w:hAnsi="Baskerville" w:cs="Baskerville"/>
          <w:color w:val="000000" w:themeColor="text1"/>
          <w:sz w:val="24"/>
          <w:szCs w:val="24"/>
        </w:rPr>
        <w:t>some simplifying assumptions.</w:t>
      </w:r>
      <w:r w:rsidR="00E57737" w:rsidRPr="00D952CF">
        <w:rPr>
          <w:rFonts w:ascii="Baskerville" w:hAnsi="Baskerville" w:cs="Baskerville"/>
          <w:color w:val="000000" w:themeColor="text1"/>
          <w:sz w:val="24"/>
          <w:szCs w:val="24"/>
        </w:rPr>
        <w:t xml:space="preserve"> </w:t>
      </w:r>
      <w:r w:rsidR="007A5839">
        <w:rPr>
          <w:rFonts w:ascii="Baskerville" w:hAnsi="Baskerville" w:cs="Baskerville"/>
          <w:color w:val="000000" w:themeColor="text1"/>
          <w:sz w:val="24"/>
          <w:szCs w:val="24"/>
        </w:rPr>
        <w:t>S</w:t>
      </w:r>
      <w:r w:rsidR="000D7504" w:rsidRPr="00D952CF">
        <w:rPr>
          <w:rFonts w:ascii="Baskerville" w:hAnsi="Baskerville" w:cs="Baskerville"/>
          <w:color w:val="000000" w:themeColor="text1"/>
          <w:sz w:val="24"/>
          <w:szCs w:val="24"/>
        </w:rPr>
        <w:t xml:space="preserve">uppose that </w:t>
      </w:r>
      <w:r w:rsidR="00E57737" w:rsidRPr="00D952CF">
        <w:rPr>
          <w:rFonts w:ascii="Baskerville" w:hAnsi="Baskerville" w:cs="Baskerville"/>
          <w:color w:val="000000" w:themeColor="text1"/>
          <w:sz w:val="24"/>
          <w:szCs w:val="24"/>
        </w:rPr>
        <w:t xml:space="preserve">the risk that </w:t>
      </w:r>
      <w:proofErr w:type="gramStart"/>
      <w:r w:rsidR="002F1A92">
        <w:rPr>
          <w:rFonts w:ascii="Baskerville" w:hAnsi="Baskerville" w:cs="Baskerville"/>
          <w:color w:val="000000" w:themeColor="text1"/>
          <w:sz w:val="24"/>
          <w:szCs w:val="24"/>
        </w:rPr>
        <w:t>an</w:t>
      </w:r>
      <w:r w:rsidR="00E57737" w:rsidRPr="00D952CF">
        <w:rPr>
          <w:rFonts w:ascii="Baskerville" w:hAnsi="Baskerville" w:cs="Baskerville"/>
          <w:color w:val="000000" w:themeColor="text1"/>
          <w:sz w:val="24"/>
          <w:szCs w:val="24"/>
        </w:rPr>
        <w:t xml:space="preserve"> applicant defaults</w:t>
      </w:r>
      <w:proofErr w:type="gramEnd"/>
      <w:r w:rsidR="00E57737" w:rsidRPr="00D952CF">
        <w:rPr>
          <w:rFonts w:ascii="Baskerville" w:hAnsi="Baskerville" w:cs="Baskerville"/>
          <w:color w:val="000000" w:themeColor="text1"/>
          <w:sz w:val="24"/>
          <w:szCs w:val="24"/>
        </w:rPr>
        <w:t xml:space="preserve"> </w:t>
      </w:r>
      <w:r w:rsidR="002F1A92">
        <w:rPr>
          <w:rFonts w:ascii="Baskerville" w:hAnsi="Baskerville" w:cs="Baskerville"/>
          <w:color w:val="000000" w:themeColor="text1"/>
          <w:sz w:val="24"/>
          <w:szCs w:val="24"/>
        </w:rPr>
        <w:t>is</w:t>
      </w:r>
      <w:r w:rsidR="00E57737" w:rsidRPr="00D952CF">
        <w:rPr>
          <w:rFonts w:ascii="Baskerville" w:hAnsi="Baskerville" w:cs="Baskerville"/>
          <w:color w:val="000000" w:themeColor="text1"/>
          <w:sz w:val="24"/>
          <w:szCs w:val="24"/>
        </w:rPr>
        <w:t xml:space="preserve"> entirely due to the possibility </w:t>
      </w:r>
      <w:r w:rsidR="003B42A5" w:rsidRPr="00D952CF">
        <w:rPr>
          <w:rFonts w:ascii="Baskerville" w:hAnsi="Baskerville" w:cs="Baskerville"/>
          <w:color w:val="000000" w:themeColor="text1"/>
          <w:sz w:val="24"/>
          <w:szCs w:val="24"/>
        </w:rPr>
        <w:t xml:space="preserve">that they </w:t>
      </w:r>
      <w:r w:rsidR="00A65329">
        <w:rPr>
          <w:rFonts w:ascii="Baskerville" w:hAnsi="Baskerville" w:cs="Baskerville"/>
          <w:color w:val="000000" w:themeColor="text1"/>
          <w:sz w:val="24"/>
          <w:szCs w:val="24"/>
        </w:rPr>
        <w:t>are</w:t>
      </w:r>
      <w:r w:rsidR="003B42A5" w:rsidRPr="00D952CF">
        <w:rPr>
          <w:rFonts w:ascii="Baskerville" w:hAnsi="Baskerville" w:cs="Baskerville"/>
          <w:color w:val="000000" w:themeColor="text1"/>
          <w:sz w:val="24"/>
          <w:szCs w:val="24"/>
        </w:rPr>
        <w:t xml:space="preserve"> laid off</w:t>
      </w:r>
      <w:r w:rsidR="00A65329">
        <w:rPr>
          <w:rFonts w:ascii="Baskerville" w:hAnsi="Baskerville" w:cs="Baskerville"/>
          <w:color w:val="000000" w:themeColor="text1"/>
          <w:sz w:val="24"/>
          <w:szCs w:val="24"/>
        </w:rPr>
        <w:t xml:space="preserve">, and that each applicant will only be laid off </w:t>
      </w:r>
      <w:r w:rsidR="003B42A5" w:rsidRPr="00D952CF">
        <w:rPr>
          <w:rFonts w:ascii="Baskerville" w:hAnsi="Baskerville" w:cs="Baskerville"/>
          <w:color w:val="000000" w:themeColor="text1"/>
          <w:sz w:val="24"/>
          <w:szCs w:val="24"/>
        </w:rPr>
        <w:t xml:space="preserve">if their </w:t>
      </w:r>
      <w:r w:rsidR="00D135B1">
        <w:rPr>
          <w:rFonts w:ascii="Baskerville" w:hAnsi="Baskerville" w:cs="Baskerville"/>
          <w:color w:val="000000" w:themeColor="text1"/>
          <w:sz w:val="24"/>
          <w:szCs w:val="24"/>
        </w:rPr>
        <w:t>employer</w:t>
      </w:r>
      <w:r w:rsidR="00D135B1" w:rsidRPr="00D952CF">
        <w:rPr>
          <w:rFonts w:ascii="Baskerville" w:hAnsi="Baskerville" w:cs="Baskerville"/>
          <w:color w:val="000000" w:themeColor="text1"/>
          <w:sz w:val="24"/>
          <w:szCs w:val="24"/>
        </w:rPr>
        <w:t xml:space="preserve"> </w:t>
      </w:r>
      <w:r w:rsidR="003B42A5" w:rsidRPr="00D952CF">
        <w:rPr>
          <w:rFonts w:ascii="Baskerville" w:hAnsi="Baskerville" w:cs="Baskerville"/>
          <w:color w:val="000000" w:themeColor="text1"/>
          <w:sz w:val="24"/>
          <w:szCs w:val="24"/>
        </w:rPr>
        <w:t>closes</w:t>
      </w:r>
      <w:r w:rsidR="00E57737" w:rsidRPr="00D952CF">
        <w:rPr>
          <w:rFonts w:ascii="Baskerville" w:hAnsi="Baskerville" w:cs="Baskerville"/>
          <w:color w:val="000000" w:themeColor="text1"/>
          <w:sz w:val="24"/>
          <w:szCs w:val="24"/>
        </w:rPr>
        <w:t xml:space="preserve"> down. </w:t>
      </w:r>
      <w:r w:rsidR="00B17206">
        <w:rPr>
          <w:rFonts w:ascii="Baskerville" w:hAnsi="Baskerville" w:cs="Baskerville"/>
          <w:color w:val="000000" w:themeColor="text1"/>
          <w:sz w:val="24"/>
          <w:szCs w:val="24"/>
        </w:rPr>
        <w:t>Against the backdrop of</w:t>
      </w:r>
      <w:r w:rsidR="003B42A5" w:rsidRPr="00D952CF">
        <w:rPr>
          <w:rFonts w:ascii="Baskerville" w:hAnsi="Baskerville" w:cs="Baskerville"/>
          <w:color w:val="000000" w:themeColor="text1"/>
          <w:sz w:val="24"/>
          <w:szCs w:val="24"/>
        </w:rPr>
        <w:t xml:space="preserve"> this additional </w:t>
      </w:r>
      <w:r w:rsidR="00B17206">
        <w:rPr>
          <w:rFonts w:ascii="Baskerville" w:hAnsi="Baskerville" w:cs="Baskerville"/>
          <w:color w:val="000000" w:themeColor="text1"/>
          <w:sz w:val="24"/>
          <w:szCs w:val="24"/>
        </w:rPr>
        <w:t xml:space="preserve">piece of </w:t>
      </w:r>
      <w:r w:rsidR="003B42A5" w:rsidRPr="00D952CF">
        <w:rPr>
          <w:rFonts w:ascii="Baskerville" w:hAnsi="Baskerville" w:cs="Baskerville"/>
          <w:color w:val="000000" w:themeColor="text1"/>
          <w:sz w:val="24"/>
          <w:szCs w:val="24"/>
        </w:rPr>
        <w:t xml:space="preserve">information, we </w:t>
      </w:r>
      <w:r w:rsidR="003B42A5" w:rsidRPr="00D952CF">
        <w:rPr>
          <w:rFonts w:ascii="Baskerville" w:hAnsi="Baskerville" w:cs="Baskerville"/>
          <w:color w:val="000000" w:themeColor="text1"/>
          <w:sz w:val="24"/>
          <w:szCs w:val="24"/>
        </w:rPr>
        <w:t xml:space="preserve">can read the credit assessments by CleverBank as a reflection of the probability that </w:t>
      </w:r>
      <w:r w:rsidR="00A65329">
        <w:rPr>
          <w:rFonts w:ascii="Baskerville" w:hAnsi="Baskerville" w:cs="Baskerville"/>
          <w:color w:val="000000" w:themeColor="text1"/>
          <w:sz w:val="24"/>
          <w:szCs w:val="24"/>
        </w:rPr>
        <w:t>the employers of Anne, Bettina, or Caspar</w:t>
      </w:r>
      <w:r w:rsidR="003B42A5" w:rsidRPr="00D952CF">
        <w:rPr>
          <w:rFonts w:ascii="Baskerville" w:hAnsi="Baskerville" w:cs="Baskerville"/>
          <w:color w:val="000000" w:themeColor="text1"/>
          <w:sz w:val="24"/>
          <w:szCs w:val="24"/>
        </w:rPr>
        <w:t xml:space="preserve"> will go out of business. The probability scores suggest that</w:t>
      </w:r>
      <w:r w:rsidR="00E57737" w:rsidRPr="00D952CF">
        <w:rPr>
          <w:rFonts w:ascii="Baskerville" w:hAnsi="Baskerville" w:cs="Baskerville"/>
          <w:color w:val="000000" w:themeColor="text1"/>
          <w:sz w:val="24"/>
          <w:szCs w:val="24"/>
        </w:rPr>
        <w:t xml:space="preserve"> </w:t>
      </w:r>
      <w:r w:rsidR="00B17206">
        <w:rPr>
          <w:rFonts w:ascii="Baskerville" w:hAnsi="Baskerville" w:cs="Baskerville"/>
          <w:color w:val="000000" w:themeColor="text1"/>
          <w:sz w:val="24"/>
          <w:szCs w:val="24"/>
        </w:rPr>
        <w:t xml:space="preserve">the </w:t>
      </w:r>
      <w:r w:rsidR="00E57737" w:rsidRPr="00D952CF">
        <w:rPr>
          <w:rFonts w:ascii="Baskerville" w:hAnsi="Baskerville" w:cs="Baskerville"/>
          <w:color w:val="000000" w:themeColor="text1"/>
          <w:sz w:val="24"/>
          <w:szCs w:val="24"/>
        </w:rPr>
        <w:t xml:space="preserve">most likely outcome is that </w:t>
      </w:r>
      <w:r w:rsidR="00A65329">
        <w:rPr>
          <w:rFonts w:ascii="Baskerville" w:hAnsi="Baskerville" w:cs="Baskerville"/>
          <w:color w:val="000000" w:themeColor="text1"/>
          <w:sz w:val="24"/>
          <w:szCs w:val="24"/>
        </w:rPr>
        <w:t>all employers</w:t>
      </w:r>
      <w:r w:rsidR="00E57737" w:rsidRPr="00D952CF">
        <w:rPr>
          <w:rFonts w:ascii="Baskerville" w:hAnsi="Baskerville" w:cs="Baskerville"/>
          <w:color w:val="000000" w:themeColor="text1"/>
          <w:sz w:val="24"/>
          <w:szCs w:val="24"/>
        </w:rPr>
        <w:t xml:space="preserve"> will stay in business, with Caspar’s employer being a bit more likely to go bank</w:t>
      </w:r>
      <w:r w:rsidR="00B17206">
        <w:rPr>
          <w:rFonts w:ascii="Baskerville" w:hAnsi="Baskerville" w:cs="Baskerville"/>
          <w:color w:val="000000" w:themeColor="text1"/>
          <w:sz w:val="24"/>
          <w:szCs w:val="24"/>
        </w:rPr>
        <w:t>rupt than Bettina’s and Anne’s</w:t>
      </w:r>
      <w:r w:rsidR="00A65329">
        <w:rPr>
          <w:rFonts w:ascii="Baskerville" w:hAnsi="Baskerville" w:cs="Baskerville"/>
          <w:color w:val="000000" w:themeColor="text1"/>
          <w:sz w:val="24"/>
          <w:szCs w:val="24"/>
        </w:rPr>
        <w:t xml:space="preserve"> employers</w:t>
      </w:r>
      <w:r w:rsidR="00B17206">
        <w:rPr>
          <w:rFonts w:ascii="Baskerville" w:hAnsi="Baskerville" w:cs="Baskerville"/>
          <w:color w:val="000000" w:themeColor="text1"/>
          <w:sz w:val="24"/>
          <w:szCs w:val="24"/>
        </w:rPr>
        <w:t>.</w:t>
      </w:r>
    </w:p>
    <w:p w14:paraId="16CA8429" w14:textId="3DA93070" w:rsidR="00A65329" w:rsidRDefault="00A65329" w:rsidP="00F978BA">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Now here is the rub: Anne and Bettina work for the same employer, AlphaBeta, a clothing manufacturer, whereas </w:t>
      </w:r>
      <w:r w:rsidR="00E57737" w:rsidRPr="00D952CF">
        <w:rPr>
          <w:rFonts w:ascii="Baskerville" w:hAnsi="Baskerville" w:cs="Baskerville"/>
          <w:color w:val="000000" w:themeColor="text1"/>
          <w:sz w:val="24"/>
          <w:szCs w:val="24"/>
        </w:rPr>
        <w:t xml:space="preserve">Caspar </w:t>
      </w:r>
      <w:r>
        <w:rPr>
          <w:rFonts w:ascii="Baskerville" w:hAnsi="Baskerville" w:cs="Baskerville"/>
          <w:color w:val="000000" w:themeColor="text1"/>
          <w:sz w:val="24"/>
          <w:szCs w:val="24"/>
        </w:rPr>
        <w:t xml:space="preserve">works for a different employer, Delta, a competing clothing manufacturer. Hence the risks </w:t>
      </w:r>
      <w:r>
        <w:rPr>
          <w:rFonts w:ascii="Baskerville" w:hAnsi="Baskerville" w:cs="Baskerville"/>
          <w:color w:val="000000" w:themeColor="text1"/>
          <w:sz w:val="24"/>
          <w:szCs w:val="24"/>
        </w:rPr>
        <w:t xml:space="preserve">that either of them defaults </w:t>
      </w:r>
      <w:r w:rsidR="00E57737" w:rsidRPr="00D952CF">
        <w:rPr>
          <w:rFonts w:ascii="Baskerville" w:hAnsi="Baskerville" w:cs="Baskerville"/>
          <w:color w:val="000000" w:themeColor="text1"/>
          <w:sz w:val="24"/>
          <w:szCs w:val="24"/>
        </w:rPr>
        <w:t>are not independent. In fact, the risk</w:t>
      </w:r>
      <w:r w:rsidR="003B42A5" w:rsidRPr="00D952CF">
        <w:rPr>
          <w:rFonts w:ascii="Baskerville" w:hAnsi="Baskerville" w:cs="Baskerville"/>
          <w:color w:val="000000" w:themeColor="text1"/>
          <w:sz w:val="24"/>
          <w:szCs w:val="24"/>
        </w:rPr>
        <w:t>s</w:t>
      </w:r>
      <w:r w:rsidR="00E57737" w:rsidRPr="00D952CF">
        <w:rPr>
          <w:rFonts w:ascii="Baskerville" w:hAnsi="Baskerville" w:cs="Baskerville"/>
          <w:color w:val="000000" w:themeColor="text1"/>
          <w:sz w:val="24"/>
          <w:szCs w:val="24"/>
        </w:rPr>
        <w:t xml:space="preserve"> that Anne and Bettina </w:t>
      </w:r>
      <w:r w:rsidR="003B42A5" w:rsidRPr="00D952CF">
        <w:rPr>
          <w:rFonts w:ascii="Baskerville" w:hAnsi="Baskerville" w:cs="Baskerville"/>
          <w:color w:val="000000" w:themeColor="text1"/>
          <w:sz w:val="24"/>
          <w:szCs w:val="24"/>
        </w:rPr>
        <w:t>default are</w:t>
      </w:r>
      <w:r w:rsidR="00E57737"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highly </w:t>
      </w:r>
      <w:r w:rsidR="00E57737" w:rsidRPr="00D952CF">
        <w:rPr>
          <w:rFonts w:ascii="Baskerville" w:hAnsi="Baskerville" w:cs="Baskerville"/>
          <w:color w:val="000000" w:themeColor="text1"/>
          <w:sz w:val="24"/>
          <w:szCs w:val="24"/>
        </w:rPr>
        <w:t>correlated</w:t>
      </w:r>
      <w:r w:rsidR="00F45E5F" w:rsidRPr="00D952CF">
        <w:rPr>
          <w:rFonts w:ascii="Baskerville" w:hAnsi="Baskerville" w:cs="Baskerville"/>
          <w:color w:val="000000" w:themeColor="text1"/>
          <w:sz w:val="24"/>
          <w:szCs w:val="24"/>
        </w:rPr>
        <w:t xml:space="preserve">: if </w:t>
      </w:r>
      <w:r>
        <w:rPr>
          <w:rFonts w:ascii="Baskerville" w:hAnsi="Baskerville" w:cs="Baskerville"/>
          <w:color w:val="000000" w:themeColor="text1"/>
          <w:sz w:val="24"/>
          <w:szCs w:val="24"/>
        </w:rPr>
        <w:t xml:space="preserve">AlphaBeta </w:t>
      </w:r>
      <w:r w:rsidR="00F45E5F" w:rsidRPr="00D952CF">
        <w:rPr>
          <w:rFonts w:ascii="Baskerville" w:hAnsi="Baskerville" w:cs="Baskerville"/>
          <w:color w:val="000000" w:themeColor="text1"/>
          <w:sz w:val="24"/>
          <w:szCs w:val="24"/>
        </w:rPr>
        <w:t>goes out of business</w:t>
      </w:r>
      <w:r>
        <w:rPr>
          <w:rFonts w:ascii="Baskerville" w:hAnsi="Baskerville" w:cs="Baskerville"/>
          <w:color w:val="000000" w:themeColor="text1"/>
          <w:sz w:val="24"/>
          <w:szCs w:val="24"/>
        </w:rPr>
        <w:t>—and only then—</w:t>
      </w:r>
      <w:r w:rsidR="00F45E5F" w:rsidRPr="00D952CF">
        <w:rPr>
          <w:rFonts w:ascii="Baskerville" w:hAnsi="Baskerville" w:cs="Baskerville"/>
          <w:color w:val="000000" w:themeColor="text1"/>
          <w:sz w:val="24"/>
          <w:szCs w:val="24"/>
        </w:rPr>
        <w:t xml:space="preserve">both </w:t>
      </w:r>
      <w:r w:rsidR="00B90055">
        <w:rPr>
          <w:rFonts w:ascii="Baskerville" w:hAnsi="Baskerville" w:cs="Baskerville"/>
          <w:color w:val="000000" w:themeColor="text1"/>
          <w:sz w:val="24"/>
          <w:szCs w:val="24"/>
        </w:rPr>
        <w:t xml:space="preserve">will </w:t>
      </w:r>
      <w:r w:rsidR="00F45E5F" w:rsidRPr="00D952CF">
        <w:rPr>
          <w:rFonts w:ascii="Baskerville" w:hAnsi="Baskerville" w:cs="Baskerville"/>
          <w:color w:val="000000" w:themeColor="text1"/>
          <w:sz w:val="24"/>
          <w:szCs w:val="24"/>
        </w:rPr>
        <w:t xml:space="preserve">default on </w:t>
      </w:r>
      <w:r w:rsidR="00F45E5F" w:rsidRPr="00D952CF">
        <w:rPr>
          <w:rFonts w:ascii="Baskerville" w:hAnsi="Baskerville" w:cs="Baskerville"/>
          <w:color w:val="000000" w:themeColor="text1"/>
          <w:sz w:val="24"/>
          <w:szCs w:val="24"/>
        </w:rPr>
        <w:t xml:space="preserve">their loan. </w:t>
      </w:r>
      <w:r>
        <w:rPr>
          <w:rFonts w:ascii="Baskerville" w:hAnsi="Baskerville" w:cs="Baskerville"/>
          <w:color w:val="000000" w:themeColor="text1"/>
          <w:sz w:val="24"/>
          <w:szCs w:val="24"/>
        </w:rPr>
        <w:t>Let’s suppose that if either AlphaBeta or Delta go</w:t>
      </w:r>
      <w:r w:rsidR="00B90055">
        <w:rPr>
          <w:rFonts w:ascii="Baskerville" w:hAnsi="Baskerville" w:cs="Baskerville"/>
          <w:color w:val="000000" w:themeColor="text1"/>
          <w:sz w:val="24"/>
          <w:szCs w:val="24"/>
        </w:rPr>
        <w:t>es</w:t>
      </w:r>
      <w:r>
        <w:rPr>
          <w:rFonts w:ascii="Baskerville" w:hAnsi="Baskerville" w:cs="Baskerville"/>
          <w:color w:val="000000" w:themeColor="text1"/>
          <w:sz w:val="24"/>
          <w:szCs w:val="24"/>
        </w:rPr>
        <w:t xml:space="preserve"> out of business, the other company is going to survive with certainty. Then the risk that </w:t>
      </w:r>
      <w:r>
        <w:rPr>
          <w:rFonts w:ascii="Baskerville" w:hAnsi="Baskerville" w:cs="Baskerville"/>
          <w:color w:val="000000" w:themeColor="text1"/>
          <w:sz w:val="24"/>
          <w:szCs w:val="24"/>
        </w:rPr>
        <w:lastRenderedPageBreak/>
        <w:t xml:space="preserve">Bettina or Anne default is highly </w:t>
      </w:r>
      <w:r w:rsidRPr="00A65329">
        <w:rPr>
          <w:rFonts w:ascii="Baskerville" w:hAnsi="Baskerville" w:cs="Baskerville"/>
          <w:i/>
          <w:color w:val="000000" w:themeColor="text1"/>
          <w:sz w:val="24"/>
          <w:szCs w:val="24"/>
        </w:rPr>
        <w:t>inversely</w:t>
      </w:r>
      <w:r>
        <w:rPr>
          <w:rFonts w:ascii="Baskerville" w:hAnsi="Baskerville" w:cs="Baskerville"/>
          <w:color w:val="000000" w:themeColor="text1"/>
          <w:sz w:val="24"/>
          <w:szCs w:val="24"/>
        </w:rPr>
        <w:t xml:space="preserve"> correlated with the risk that Caspar defaults, to the extent that if either Anne or Bettina defaults, Caspar will repay with certainty, and vice versa. </w:t>
      </w:r>
    </w:p>
    <w:p w14:paraId="1AB93DC5" w14:textId="77777777" w:rsidR="00855CC2" w:rsidRPr="00D952CF" w:rsidRDefault="00F45E5F" w:rsidP="00855CC2">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If so, lending to Anne </w:t>
      </w:r>
      <w:r w:rsidRPr="00D952CF">
        <w:rPr>
          <w:rFonts w:ascii="Baskerville" w:hAnsi="Baskerville" w:cs="Baskerville"/>
          <w:i/>
          <w:color w:val="000000" w:themeColor="text1"/>
          <w:sz w:val="24"/>
          <w:szCs w:val="24"/>
        </w:rPr>
        <w:t>or</w:t>
      </w:r>
      <w:r w:rsidRPr="00D952CF">
        <w:rPr>
          <w:rFonts w:ascii="Baskerville" w:hAnsi="Baskerville" w:cs="Baskerville"/>
          <w:color w:val="000000" w:themeColor="text1"/>
          <w:sz w:val="24"/>
          <w:szCs w:val="24"/>
        </w:rPr>
        <w:t xml:space="preserve"> Bettina</w:t>
      </w:r>
      <w:r w:rsidRPr="00B17206">
        <w:rPr>
          <w:rFonts w:ascii="Baskerville" w:hAnsi="Baskerville" w:cs="Baskerville"/>
          <w:color w:val="000000" w:themeColor="text1"/>
          <w:sz w:val="24"/>
          <w:szCs w:val="24"/>
        </w:rPr>
        <w:t xml:space="preserve"> </w:t>
      </w:r>
      <w:r w:rsidRPr="00855CC2">
        <w:rPr>
          <w:rFonts w:ascii="Baskerville" w:hAnsi="Baskerville" w:cs="Baskerville"/>
          <w:i/>
          <w:color w:val="000000" w:themeColor="text1"/>
          <w:sz w:val="24"/>
          <w:szCs w:val="24"/>
        </w:rPr>
        <w:t>and</w:t>
      </w:r>
      <w:r w:rsidRPr="00D952CF">
        <w:rPr>
          <w:rFonts w:ascii="Baskerville" w:hAnsi="Baskerville" w:cs="Baskerville"/>
          <w:color w:val="000000" w:themeColor="text1"/>
          <w:sz w:val="24"/>
          <w:szCs w:val="24"/>
        </w:rPr>
        <w:t xml:space="preserve"> Caspar </w:t>
      </w:r>
      <w:r w:rsidR="00ED46F4" w:rsidRPr="00D952CF">
        <w:rPr>
          <w:rFonts w:ascii="Baskerville" w:hAnsi="Baskerville" w:cs="Baskerville"/>
          <w:color w:val="000000" w:themeColor="text1"/>
          <w:sz w:val="24"/>
          <w:szCs w:val="24"/>
        </w:rPr>
        <w:t xml:space="preserve">looks </w:t>
      </w:r>
      <w:r w:rsidRPr="00D952CF">
        <w:rPr>
          <w:rFonts w:ascii="Baskerville" w:hAnsi="Baskerville" w:cs="Baskerville"/>
          <w:color w:val="000000" w:themeColor="text1"/>
          <w:sz w:val="24"/>
          <w:szCs w:val="24"/>
        </w:rPr>
        <w:t xml:space="preserve">more attractive </w:t>
      </w:r>
      <w:r w:rsidR="00ED46F4" w:rsidRPr="00D952CF">
        <w:rPr>
          <w:rFonts w:ascii="Baskerville" w:hAnsi="Baskerville" w:cs="Baskerville"/>
          <w:color w:val="000000" w:themeColor="text1"/>
          <w:sz w:val="24"/>
          <w:szCs w:val="24"/>
        </w:rPr>
        <w:t>from the bank’s perspective</w:t>
      </w:r>
      <w:r w:rsidRPr="00D952CF">
        <w:rPr>
          <w:rFonts w:ascii="Baskerville" w:hAnsi="Baskerville" w:cs="Baskerville"/>
          <w:color w:val="000000" w:themeColor="text1"/>
          <w:sz w:val="24"/>
          <w:szCs w:val="24"/>
        </w:rPr>
        <w:t xml:space="preserve"> than lending to Anne</w:t>
      </w:r>
      <w:r w:rsidRPr="00B17206">
        <w:rPr>
          <w:rFonts w:ascii="Baskerville" w:hAnsi="Baskerville" w:cs="Baskerville"/>
          <w:i/>
          <w:color w:val="000000" w:themeColor="text1"/>
          <w:sz w:val="24"/>
          <w:szCs w:val="24"/>
        </w:rPr>
        <w:t xml:space="preserve"> and</w:t>
      </w:r>
      <w:r w:rsidRPr="00D952CF">
        <w:rPr>
          <w:rFonts w:ascii="Baskerville" w:hAnsi="Baskerville" w:cs="Baskerville"/>
          <w:color w:val="000000" w:themeColor="text1"/>
          <w:sz w:val="24"/>
          <w:szCs w:val="24"/>
        </w:rPr>
        <w:t xml:space="preserve"> Bettina. The reason is that in the latter case, the bank faces a 10% risk </w:t>
      </w:r>
      <w:r w:rsidR="00855CC2">
        <w:rPr>
          <w:rFonts w:ascii="Baskerville" w:hAnsi="Baskerville" w:cs="Baskerville"/>
          <w:color w:val="000000" w:themeColor="text1"/>
          <w:sz w:val="24"/>
          <w:szCs w:val="24"/>
        </w:rPr>
        <w:t>of losing</w:t>
      </w:r>
      <w:r w:rsidRPr="00D952CF">
        <w:rPr>
          <w:rFonts w:ascii="Baskerville" w:hAnsi="Baskerville" w:cs="Baskerville"/>
          <w:color w:val="000000" w:themeColor="text1"/>
          <w:sz w:val="24"/>
          <w:szCs w:val="24"/>
        </w:rPr>
        <w:t xml:space="preserve"> the principal on both loans. By contrast, in the former case, the risk that the bank loses the principal on both loans is zero, because </w:t>
      </w:r>
      <w:r w:rsidR="00ED46F4" w:rsidRPr="00D952CF">
        <w:rPr>
          <w:rFonts w:ascii="Baskerville" w:hAnsi="Baskerville" w:cs="Baskerville"/>
          <w:color w:val="000000" w:themeColor="text1"/>
          <w:sz w:val="24"/>
          <w:szCs w:val="24"/>
        </w:rPr>
        <w:t xml:space="preserve">at least one of the two borrowers in the portfolio will keep </w:t>
      </w:r>
      <w:r w:rsidR="003B42A5" w:rsidRPr="00D952CF">
        <w:rPr>
          <w:rFonts w:ascii="Baskerville" w:hAnsi="Baskerville" w:cs="Baskerville"/>
          <w:color w:val="000000" w:themeColor="text1"/>
          <w:sz w:val="24"/>
          <w:szCs w:val="24"/>
        </w:rPr>
        <w:t>their</w:t>
      </w:r>
      <w:r w:rsidR="00ED46F4" w:rsidRPr="00D952CF">
        <w:rPr>
          <w:rFonts w:ascii="Baskerville" w:hAnsi="Baskerville" w:cs="Baskerville"/>
          <w:color w:val="000000" w:themeColor="text1"/>
          <w:sz w:val="24"/>
          <w:szCs w:val="24"/>
        </w:rPr>
        <w:t xml:space="preserve"> job with certainty. </w:t>
      </w:r>
      <w:r w:rsidR="00855CC2" w:rsidRPr="00D952CF">
        <w:rPr>
          <w:rFonts w:ascii="Baskerville" w:hAnsi="Baskerville" w:cs="Baskerville"/>
          <w:color w:val="000000" w:themeColor="text1"/>
          <w:sz w:val="24"/>
          <w:szCs w:val="24"/>
        </w:rPr>
        <w:t xml:space="preserve">The example illustrates a general fact about the economic incentives </w:t>
      </w:r>
      <w:r w:rsidR="00855CC2">
        <w:rPr>
          <w:rFonts w:ascii="Baskerville" w:hAnsi="Baskerville" w:cs="Baskerville"/>
          <w:color w:val="000000" w:themeColor="text1"/>
          <w:sz w:val="24"/>
          <w:szCs w:val="24"/>
        </w:rPr>
        <w:t>faced by banks. Banks are not concerned about the prospects of an individual loan. Instead, they are concerned about</w:t>
      </w:r>
      <w:r w:rsidR="00855CC2" w:rsidRPr="00D952CF">
        <w:rPr>
          <w:rFonts w:ascii="Baskerville" w:hAnsi="Baskerville" w:cs="Baskerville"/>
          <w:color w:val="000000" w:themeColor="text1"/>
          <w:sz w:val="24"/>
          <w:szCs w:val="24"/>
        </w:rPr>
        <w:t xml:space="preserve"> the impact </w:t>
      </w:r>
      <w:r w:rsidR="00855CC2">
        <w:rPr>
          <w:rFonts w:ascii="Baskerville" w:hAnsi="Baskerville" w:cs="Baskerville"/>
          <w:color w:val="000000" w:themeColor="text1"/>
          <w:sz w:val="24"/>
          <w:szCs w:val="24"/>
        </w:rPr>
        <w:t xml:space="preserve">that </w:t>
      </w:r>
      <w:r w:rsidR="00855CC2" w:rsidRPr="00D952CF">
        <w:rPr>
          <w:rFonts w:ascii="Baskerville" w:hAnsi="Baskerville" w:cs="Baskerville"/>
          <w:color w:val="000000" w:themeColor="text1"/>
          <w:sz w:val="24"/>
          <w:szCs w:val="24"/>
        </w:rPr>
        <w:t>granting a loan will have on the riskiness of the</w:t>
      </w:r>
      <w:r w:rsidR="00855CC2">
        <w:rPr>
          <w:rFonts w:ascii="Baskerville" w:hAnsi="Baskerville" w:cs="Baskerville"/>
          <w:color w:val="000000" w:themeColor="text1"/>
          <w:sz w:val="24"/>
          <w:szCs w:val="24"/>
        </w:rPr>
        <w:t>ir</w:t>
      </w:r>
      <w:r w:rsidR="00855CC2" w:rsidRPr="00D952CF">
        <w:rPr>
          <w:rFonts w:ascii="Baskerville" w:hAnsi="Baskerville" w:cs="Baskerville"/>
          <w:color w:val="000000" w:themeColor="text1"/>
          <w:sz w:val="24"/>
          <w:szCs w:val="24"/>
        </w:rPr>
        <w:t xml:space="preserve"> overall portfolio. </w:t>
      </w:r>
    </w:p>
    <w:p w14:paraId="1259ADAA" w14:textId="30CE1DA6" w:rsidR="00855CC2" w:rsidRDefault="00855CC2" w:rsidP="00F978BA">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The portfolio perspective </w:t>
      </w:r>
      <w:r>
        <w:rPr>
          <w:rFonts w:ascii="Baskerville" w:hAnsi="Baskerville" w:cs="Baskerville"/>
          <w:color w:val="000000" w:themeColor="text1"/>
          <w:sz w:val="24"/>
          <w:szCs w:val="24"/>
        </w:rPr>
        <w:t>explains</w:t>
      </w:r>
      <w:r w:rsidRPr="00D952CF">
        <w:rPr>
          <w:rFonts w:ascii="Baskerville" w:hAnsi="Baskerville" w:cs="Baskerville"/>
          <w:color w:val="000000" w:themeColor="text1"/>
          <w:sz w:val="24"/>
          <w:szCs w:val="24"/>
        </w:rPr>
        <w:t xml:space="preserve"> why</w:t>
      </w:r>
      <w:r>
        <w:rPr>
          <w:rFonts w:ascii="Baskerville" w:hAnsi="Baskerville" w:cs="Baskerville"/>
          <w:color w:val="000000" w:themeColor="text1"/>
          <w:sz w:val="24"/>
          <w:szCs w:val="24"/>
        </w:rPr>
        <w:t xml:space="preserve">, in some cases, </w:t>
      </w:r>
      <w:r w:rsidRPr="00D952CF">
        <w:rPr>
          <w:rFonts w:ascii="Baskerville" w:hAnsi="Baskerville" w:cs="Baskerville"/>
          <w:color w:val="000000" w:themeColor="text1"/>
          <w:sz w:val="24"/>
          <w:szCs w:val="24"/>
        </w:rPr>
        <w:t>banks may refuse to lend to</w:t>
      </w:r>
      <w:r>
        <w:rPr>
          <w:rFonts w:ascii="Baskerville" w:hAnsi="Baskerville" w:cs="Baskerville"/>
          <w:color w:val="000000" w:themeColor="text1"/>
          <w:sz w:val="24"/>
          <w:szCs w:val="24"/>
        </w:rPr>
        <w:t xml:space="preserve"> the most creditworthy</w:t>
      </w:r>
      <w:r w:rsidRPr="00D952CF">
        <w:rPr>
          <w:rFonts w:ascii="Baskerville" w:hAnsi="Baskerville" w:cs="Baskerville"/>
          <w:color w:val="000000" w:themeColor="text1"/>
          <w:sz w:val="24"/>
          <w:szCs w:val="24"/>
        </w:rPr>
        <w:t xml:space="preserve"> applicants. </w:t>
      </w:r>
      <w:r>
        <w:rPr>
          <w:rFonts w:ascii="Baskerville" w:hAnsi="Baskerville" w:cs="Baskerville"/>
          <w:color w:val="000000" w:themeColor="text1"/>
          <w:sz w:val="24"/>
          <w:szCs w:val="24"/>
        </w:rPr>
        <w:t xml:space="preserve">An insight about the economics of consumer credit helps give a more complete picture of </w:t>
      </w:r>
      <w:r w:rsidRPr="00D952CF">
        <w:rPr>
          <w:rFonts w:ascii="Baskerville" w:hAnsi="Baskerville" w:cs="Baskerville"/>
          <w:color w:val="000000" w:themeColor="text1"/>
          <w:sz w:val="24"/>
          <w:szCs w:val="24"/>
        </w:rPr>
        <w:t xml:space="preserve">why banks </w:t>
      </w:r>
      <w:r>
        <w:rPr>
          <w:rFonts w:ascii="Baskerville" w:hAnsi="Baskerville" w:cs="Baskerville"/>
          <w:color w:val="000000" w:themeColor="text1"/>
          <w:sz w:val="24"/>
          <w:szCs w:val="24"/>
        </w:rPr>
        <w:t xml:space="preserve">tend to allow for </w:t>
      </w:r>
      <w:r w:rsidRPr="00D952CF">
        <w:rPr>
          <w:rFonts w:ascii="Baskerville" w:hAnsi="Baskerville" w:cs="Baskerville"/>
          <w:color w:val="000000" w:themeColor="text1"/>
          <w:sz w:val="24"/>
          <w:szCs w:val="24"/>
        </w:rPr>
        <w:t>mistakes of wrongful exclusion. Banks have a st</w:t>
      </w:r>
      <w:r>
        <w:rPr>
          <w:rFonts w:ascii="Baskerville" w:hAnsi="Baskerville" w:cs="Baskerville"/>
          <w:color w:val="000000" w:themeColor="text1"/>
          <w:sz w:val="24"/>
          <w:szCs w:val="24"/>
        </w:rPr>
        <w:t xml:space="preserve">rong incentive to be cautious in granting credit. That is because </w:t>
      </w:r>
      <w:r w:rsidRPr="00D952CF">
        <w:rPr>
          <w:rFonts w:ascii="Baskerville" w:hAnsi="Baskerville" w:cs="Baskerville"/>
          <w:color w:val="000000" w:themeColor="text1"/>
          <w:sz w:val="24"/>
          <w:szCs w:val="24"/>
        </w:rPr>
        <w:t xml:space="preserve">they stand to lose more when they grant credit that is not repaid than they forfeit when they deny credit to someone who is creditworthy. </w:t>
      </w:r>
      <w:r w:rsidR="00C84B52" w:rsidRPr="00D952CF">
        <w:rPr>
          <w:rFonts w:ascii="Baskerville" w:hAnsi="Baskerville" w:cs="Baskerville"/>
          <w:color w:val="000000" w:themeColor="text1"/>
          <w:sz w:val="24"/>
          <w:szCs w:val="24"/>
        </w:rPr>
        <w:t xml:space="preserve">The reason is that </w:t>
      </w:r>
      <w:r w:rsidR="00274C7E" w:rsidRPr="00D952CF">
        <w:rPr>
          <w:rFonts w:ascii="Baskerville" w:hAnsi="Baskerville" w:cs="Baskerville"/>
          <w:color w:val="000000" w:themeColor="text1"/>
          <w:sz w:val="24"/>
          <w:szCs w:val="24"/>
        </w:rPr>
        <w:t xml:space="preserve">banks </w:t>
      </w:r>
      <w:r w:rsidR="003B42A5" w:rsidRPr="00D952CF">
        <w:rPr>
          <w:rFonts w:ascii="Baskerville" w:hAnsi="Baskerville" w:cs="Baskerville"/>
          <w:color w:val="000000" w:themeColor="text1"/>
          <w:sz w:val="24"/>
          <w:szCs w:val="24"/>
        </w:rPr>
        <w:t xml:space="preserve">only </w:t>
      </w:r>
      <w:r w:rsidR="00274C7E" w:rsidRPr="00D952CF">
        <w:rPr>
          <w:rFonts w:ascii="Baskerville" w:hAnsi="Baskerville" w:cs="Baskerville"/>
          <w:color w:val="000000" w:themeColor="text1"/>
          <w:sz w:val="24"/>
          <w:szCs w:val="24"/>
        </w:rPr>
        <w:t xml:space="preserve">stand to gain </w:t>
      </w:r>
      <w:r w:rsidR="002A52CD">
        <w:rPr>
          <w:rFonts w:ascii="Baskerville" w:hAnsi="Baskerville" w:cs="Baskerville"/>
          <w:color w:val="000000" w:themeColor="text1"/>
          <w:sz w:val="24"/>
          <w:szCs w:val="24"/>
        </w:rPr>
        <w:t xml:space="preserve">fixed </w:t>
      </w:r>
      <w:r w:rsidR="003B42A5" w:rsidRPr="00D952CF">
        <w:rPr>
          <w:rFonts w:ascii="Baskerville" w:hAnsi="Baskerville" w:cs="Baskerville"/>
          <w:color w:val="000000" w:themeColor="text1"/>
          <w:sz w:val="24"/>
          <w:szCs w:val="24"/>
        </w:rPr>
        <w:t>interest payments</w:t>
      </w:r>
      <w:r w:rsidR="002A52CD">
        <w:rPr>
          <w:rFonts w:ascii="Baskerville" w:hAnsi="Baskerville" w:cs="Baskerville"/>
          <w:color w:val="000000" w:themeColor="text1"/>
          <w:sz w:val="24"/>
          <w:szCs w:val="24"/>
        </w:rPr>
        <w:t>, which are</w:t>
      </w:r>
      <w:r w:rsidR="00274C7E" w:rsidRPr="00D952CF">
        <w:rPr>
          <w:rFonts w:ascii="Baskerville" w:hAnsi="Baskerville" w:cs="Baskerville"/>
          <w:color w:val="000000" w:themeColor="text1"/>
          <w:sz w:val="24"/>
          <w:szCs w:val="24"/>
        </w:rPr>
        <w:t xml:space="preserve"> usually small compared to </w:t>
      </w:r>
      <w:r w:rsidR="003B42A5" w:rsidRPr="00D952CF">
        <w:rPr>
          <w:rFonts w:ascii="Baskerville" w:hAnsi="Baskerville" w:cs="Baskerville"/>
          <w:color w:val="000000" w:themeColor="text1"/>
          <w:sz w:val="24"/>
          <w:szCs w:val="24"/>
        </w:rPr>
        <w:t xml:space="preserve">the principal sum of </w:t>
      </w:r>
      <w:r w:rsidR="00274C7E" w:rsidRPr="00D952CF">
        <w:rPr>
          <w:rFonts w:ascii="Baskerville" w:hAnsi="Baskerville" w:cs="Baskerville"/>
          <w:color w:val="000000" w:themeColor="text1"/>
          <w:sz w:val="24"/>
          <w:szCs w:val="24"/>
        </w:rPr>
        <w:t xml:space="preserve">money loaned to applicants. </w:t>
      </w:r>
      <w:r w:rsidR="003B42A5" w:rsidRPr="00D952CF">
        <w:rPr>
          <w:rFonts w:ascii="Baskerville" w:hAnsi="Baskerville" w:cs="Baskerville"/>
          <w:color w:val="000000" w:themeColor="text1"/>
          <w:sz w:val="24"/>
          <w:szCs w:val="24"/>
        </w:rPr>
        <w:t>To illustrate, s</w:t>
      </w:r>
      <w:r w:rsidR="00274C7E" w:rsidRPr="00D952CF">
        <w:rPr>
          <w:rFonts w:ascii="Baskerville" w:hAnsi="Baskerville" w:cs="Baskerville"/>
          <w:color w:val="000000" w:themeColor="text1"/>
          <w:sz w:val="24"/>
          <w:szCs w:val="24"/>
        </w:rPr>
        <w:t xml:space="preserve">uppose </w:t>
      </w:r>
      <w:r w:rsidR="003B42A5" w:rsidRPr="00D952CF">
        <w:rPr>
          <w:rFonts w:ascii="Baskerville" w:hAnsi="Baskerville" w:cs="Baskerville"/>
          <w:color w:val="000000" w:themeColor="text1"/>
          <w:sz w:val="24"/>
          <w:szCs w:val="24"/>
        </w:rPr>
        <w:t>that CleverBank receives</w:t>
      </w:r>
      <w:r w:rsidR="00274C7E" w:rsidRPr="00D952CF">
        <w:rPr>
          <w:rFonts w:ascii="Baskerville" w:hAnsi="Baskerville" w:cs="Baskerville"/>
          <w:color w:val="000000" w:themeColor="text1"/>
          <w:sz w:val="24"/>
          <w:szCs w:val="24"/>
        </w:rPr>
        <w:t xml:space="preserve"> ten credit applications. </w:t>
      </w:r>
      <w:r w:rsidR="003B42A5" w:rsidRPr="00D952CF">
        <w:rPr>
          <w:rFonts w:ascii="Baskerville" w:hAnsi="Baskerville" w:cs="Baskerville"/>
          <w:color w:val="000000" w:themeColor="text1"/>
          <w:sz w:val="24"/>
          <w:szCs w:val="24"/>
        </w:rPr>
        <w:t xml:space="preserve">Let’s assume </w:t>
      </w:r>
      <w:r w:rsidR="00274C7E" w:rsidRPr="00D952CF">
        <w:rPr>
          <w:rFonts w:ascii="Baskerville" w:hAnsi="Baskerville" w:cs="Baskerville"/>
          <w:color w:val="000000" w:themeColor="text1"/>
          <w:sz w:val="24"/>
          <w:szCs w:val="24"/>
        </w:rPr>
        <w:t xml:space="preserve">that nine out of ten applicants are creditworthy, but that one applicant </w:t>
      </w:r>
      <w:r w:rsidR="003B42A5" w:rsidRPr="00D952CF">
        <w:rPr>
          <w:rFonts w:ascii="Baskerville" w:hAnsi="Baskerville" w:cs="Baskerville"/>
          <w:color w:val="000000" w:themeColor="text1"/>
          <w:sz w:val="24"/>
          <w:szCs w:val="24"/>
        </w:rPr>
        <w:t>is not</w:t>
      </w:r>
      <w:r w:rsidR="00274C7E" w:rsidRPr="00D952CF">
        <w:rPr>
          <w:rFonts w:ascii="Baskerville" w:hAnsi="Baskerville" w:cs="Baskerville"/>
          <w:color w:val="000000" w:themeColor="text1"/>
          <w:sz w:val="24"/>
          <w:szCs w:val="24"/>
        </w:rPr>
        <w:t xml:space="preserve">. If the bank cannot identify </w:t>
      </w:r>
      <w:r w:rsidR="0090498F" w:rsidRPr="00D952CF">
        <w:rPr>
          <w:rFonts w:ascii="Baskerville" w:hAnsi="Baskerville" w:cs="Baskerville"/>
          <w:color w:val="000000" w:themeColor="text1"/>
          <w:sz w:val="24"/>
          <w:szCs w:val="24"/>
        </w:rPr>
        <w:t xml:space="preserve">in advance </w:t>
      </w:r>
      <w:r w:rsidR="00274C7E" w:rsidRPr="00D952CF">
        <w:rPr>
          <w:rFonts w:ascii="Baskerville" w:hAnsi="Baskerville" w:cs="Baskerville"/>
          <w:color w:val="000000" w:themeColor="text1"/>
          <w:sz w:val="24"/>
          <w:szCs w:val="24"/>
        </w:rPr>
        <w:t xml:space="preserve">which of the ten applicants </w:t>
      </w:r>
      <w:r w:rsidR="0090498F" w:rsidRPr="00D952CF">
        <w:rPr>
          <w:rFonts w:ascii="Baskerville" w:hAnsi="Baskerville" w:cs="Baskerville"/>
          <w:color w:val="000000" w:themeColor="text1"/>
          <w:sz w:val="24"/>
          <w:szCs w:val="24"/>
        </w:rPr>
        <w:t>is</w:t>
      </w:r>
      <w:r w:rsidR="00274C7E" w:rsidRPr="00D952CF">
        <w:rPr>
          <w:rFonts w:ascii="Baskerville" w:hAnsi="Baskerville" w:cs="Baskerville"/>
          <w:color w:val="000000" w:themeColor="text1"/>
          <w:sz w:val="24"/>
          <w:szCs w:val="24"/>
        </w:rPr>
        <w:t xml:space="preserve"> </w:t>
      </w:r>
      <w:r w:rsidR="0090498F" w:rsidRPr="00D952CF">
        <w:rPr>
          <w:rFonts w:ascii="Baskerville" w:hAnsi="Baskerville" w:cs="Baskerville"/>
          <w:color w:val="000000" w:themeColor="text1"/>
          <w:sz w:val="24"/>
          <w:szCs w:val="24"/>
        </w:rPr>
        <w:t>uncreditworthy</w:t>
      </w:r>
      <w:r w:rsidR="00274C7E" w:rsidRPr="00D952CF">
        <w:rPr>
          <w:rFonts w:ascii="Baskerville" w:hAnsi="Baskerville" w:cs="Baskerville"/>
          <w:color w:val="000000" w:themeColor="text1"/>
          <w:sz w:val="24"/>
          <w:szCs w:val="24"/>
        </w:rPr>
        <w:t>, it may well deny credit to all ten applicants</w:t>
      </w:r>
      <w:r w:rsidR="002A52CD">
        <w:rPr>
          <w:rFonts w:ascii="Baskerville" w:hAnsi="Baskerville" w:cs="Baskerville"/>
          <w:color w:val="000000" w:themeColor="text1"/>
          <w:sz w:val="24"/>
          <w:szCs w:val="24"/>
        </w:rPr>
        <w:t>, because</w:t>
      </w:r>
      <w:r w:rsidR="00274C7E" w:rsidRPr="00D952CF">
        <w:rPr>
          <w:rFonts w:ascii="Baskerville" w:hAnsi="Baskerville" w:cs="Baskerville"/>
          <w:color w:val="000000" w:themeColor="text1"/>
          <w:sz w:val="24"/>
          <w:szCs w:val="24"/>
        </w:rPr>
        <w:t xml:space="preserve"> </w:t>
      </w:r>
      <w:r w:rsidR="002A52CD">
        <w:rPr>
          <w:rFonts w:ascii="Baskerville" w:hAnsi="Baskerville" w:cs="Baskerville"/>
          <w:color w:val="000000" w:themeColor="text1"/>
          <w:sz w:val="24"/>
          <w:szCs w:val="24"/>
        </w:rPr>
        <w:t>t</w:t>
      </w:r>
      <w:r w:rsidR="00274C7E" w:rsidRPr="00D952CF">
        <w:rPr>
          <w:rFonts w:ascii="Baskerville" w:hAnsi="Baskerville" w:cs="Baskerville"/>
          <w:color w:val="000000" w:themeColor="text1"/>
          <w:sz w:val="24"/>
          <w:szCs w:val="24"/>
        </w:rPr>
        <w:t>he interest</w:t>
      </w:r>
      <w:r>
        <w:rPr>
          <w:rFonts w:ascii="Baskerville" w:hAnsi="Baskerville" w:cs="Baskerville"/>
          <w:color w:val="000000" w:themeColor="text1"/>
          <w:sz w:val="24"/>
          <w:szCs w:val="24"/>
        </w:rPr>
        <w:t xml:space="preserve"> that</w:t>
      </w:r>
      <w:r w:rsidR="00274C7E" w:rsidRPr="00D952CF">
        <w:rPr>
          <w:rFonts w:ascii="Baskerville" w:hAnsi="Baskerville" w:cs="Baskerville"/>
          <w:color w:val="000000" w:themeColor="text1"/>
          <w:sz w:val="24"/>
          <w:szCs w:val="24"/>
        </w:rPr>
        <w:t xml:space="preserve"> the nine creditworthy applicants can afford may not make up for lo</w:t>
      </w:r>
      <w:r>
        <w:rPr>
          <w:rFonts w:ascii="Baskerville" w:hAnsi="Baskerville" w:cs="Baskerville"/>
          <w:color w:val="000000" w:themeColor="text1"/>
          <w:sz w:val="24"/>
          <w:szCs w:val="24"/>
        </w:rPr>
        <w:t>sing the principal in the tenth</w:t>
      </w:r>
      <w:r w:rsidR="00274C7E" w:rsidRPr="00D952CF">
        <w:rPr>
          <w:rFonts w:ascii="Baskerville" w:hAnsi="Baskerville" w:cs="Baskerville"/>
          <w:color w:val="000000" w:themeColor="text1"/>
          <w:sz w:val="24"/>
          <w:szCs w:val="24"/>
        </w:rPr>
        <w:t xml:space="preserve"> case.</w:t>
      </w:r>
      <w:r w:rsidR="00D82E7C" w:rsidRPr="00D952CF">
        <w:rPr>
          <w:rFonts w:ascii="Baskerville" w:hAnsi="Baskerville" w:cs="Baskerville"/>
          <w:color w:val="000000" w:themeColor="text1"/>
          <w:sz w:val="24"/>
          <w:szCs w:val="24"/>
        </w:rPr>
        <w:t xml:space="preserve"> </w:t>
      </w:r>
    </w:p>
    <w:p w14:paraId="5DF322D7" w14:textId="77777777" w:rsidR="00855CC2" w:rsidRPr="00D952CF" w:rsidRDefault="00855CC2" w:rsidP="00855CC2">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In sum, taking a portfolio perspective explains why banks have an incentive not to select the most creditworthy applicants, but </w:t>
      </w:r>
      <w:r>
        <w:rPr>
          <w:rFonts w:ascii="Baskerville" w:hAnsi="Baskerville" w:cs="Baskerville"/>
          <w:color w:val="000000" w:themeColor="text1"/>
          <w:sz w:val="24"/>
          <w:szCs w:val="24"/>
        </w:rPr>
        <w:t xml:space="preserve">instead tend to select </w:t>
      </w:r>
      <w:r w:rsidRPr="00D952CF">
        <w:rPr>
          <w:rFonts w:ascii="Baskerville" w:hAnsi="Baskerville" w:cs="Baskerville"/>
          <w:color w:val="000000" w:themeColor="text1"/>
          <w:sz w:val="24"/>
          <w:szCs w:val="24"/>
        </w:rPr>
        <w:t xml:space="preserve">applicants </w:t>
      </w:r>
      <w:r>
        <w:rPr>
          <w:rFonts w:ascii="Baskerville" w:hAnsi="Baskerville" w:cs="Baskerville"/>
          <w:color w:val="000000" w:themeColor="text1"/>
          <w:sz w:val="24"/>
          <w:szCs w:val="24"/>
        </w:rPr>
        <w:t>that fit best</w:t>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with </w:t>
      </w:r>
      <w:r w:rsidRPr="00D952CF">
        <w:rPr>
          <w:rFonts w:ascii="Baskerville" w:hAnsi="Baskerville" w:cs="Baskerville"/>
          <w:color w:val="000000" w:themeColor="text1"/>
          <w:sz w:val="24"/>
          <w:szCs w:val="24"/>
        </w:rPr>
        <w:t xml:space="preserve">the bank’s </w:t>
      </w:r>
      <w:r>
        <w:rPr>
          <w:rFonts w:ascii="Baskerville" w:hAnsi="Baskerville" w:cs="Baskerville"/>
          <w:color w:val="000000" w:themeColor="text1"/>
          <w:sz w:val="24"/>
          <w:szCs w:val="24"/>
        </w:rPr>
        <w:t>existing</w:t>
      </w:r>
      <w:r w:rsidRPr="00D952CF">
        <w:rPr>
          <w:rFonts w:ascii="Baskerville" w:hAnsi="Baskerville" w:cs="Baskerville"/>
          <w:color w:val="000000" w:themeColor="text1"/>
          <w:sz w:val="24"/>
          <w:szCs w:val="24"/>
        </w:rPr>
        <w:t xml:space="preserve"> loan portfolio. </w:t>
      </w:r>
      <w:r>
        <w:rPr>
          <w:rFonts w:ascii="Baskerville" w:hAnsi="Baskerville" w:cs="Baskerville"/>
          <w:color w:val="000000" w:themeColor="text1"/>
          <w:sz w:val="24"/>
          <w:szCs w:val="24"/>
        </w:rPr>
        <w:t>Furthermore, b</w:t>
      </w:r>
      <w:r w:rsidRPr="00D952CF">
        <w:rPr>
          <w:rFonts w:ascii="Baskerville" w:hAnsi="Baskerville" w:cs="Baskerville"/>
          <w:color w:val="000000" w:themeColor="text1"/>
          <w:sz w:val="24"/>
          <w:szCs w:val="24"/>
        </w:rPr>
        <w:t xml:space="preserve">anks are naturally cautious and hence tend to tolerate mistakes of wrongful exclusion, because </w:t>
      </w:r>
      <w:r>
        <w:rPr>
          <w:rFonts w:ascii="Baskerville" w:hAnsi="Baskerville" w:cs="Baskerville"/>
          <w:color w:val="000000" w:themeColor="text1"/>
          <w:sz w:val="24"/>
          <w:szCs w:val="24"/>
        </w:rPr>
        <w:t>interest payments are small compared to the principal at stake.</w:t>
      </w:r>
    </w:p>
    <w:p w14:paraId="15AEE72E" w14:textId="77777777" w:rsidR="00855CC2" w:rsidRDefault="00780586" w:rsidP="00F978BA">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Let’</w:t>
      </w:r>
      <w:r w:rsidR="00274C7E" w:rsidRPr="00D952CF">
        <w:rPr>
          <w:rFonts w:ascii="Baskerville" w:hAnsi="Baskerville" w:cs="Baskerville"/>
          <w:color w:val="000000" w:themeColor="text1"/>
          <w:sz w:val="24"/>
          <w:szCs w:val="24"/>
        </w:rPr>
        <w:t>s consider mistakes of wrongful inclusion.</w:t>
      </w:r>
      <w:r w:rsidR="00D82E7C" w:rsidRPr="00D952CF">
        <w:rPr>
          <w:rFonts w:ascii="Baskerville" w:hAnsi="Baskerville" w:cs="Baskerville"/>
          <w:color w:val="000000" w:themeColor="text1"/>
          <w:sz w:val="24"/>
          <w:szCs w:val="24"/>
        </w:rPr>
        <w:t xml:space="preserve"> </w:t>
      </w:r>
      <w:r w:rsidR="00855CC2">
        <w:rPr>
          <w:rFonts w:ascii="Baskerville" w:hAnsi="Baskerville" w:cs="Baskerville"/>
          <w:color w:val="000000" w:themeColor="text1"/>
          <w:sz w:val="24"/>
          <w:szCs w:val="24"/>
        </w:rPr>
        <w:t xml:space="preserve">Above, </w:t>
      </w:r>
      <w:r w:rsidR="00D82E7C" w:rsidRPr="00D952CF">
        <w:rPr>
          <w:rFonts w:ascii="Baskerville" w:hAnsi="Baskerville" w:cs="Baskerville"/>
          <w:color w:val="000000" w:themeColor="text1"/>
          <w:sz w:val="24"/>
          <w:szCs w:val="24"/>
        </w:rPr>
        <w:t xml:space="preserve">I argued that the structure of credit contracts gives banks a strong incentive to err on the side of caution, thereby allowing for mistakes of wrongful </w:t>
      </w:r>
      <w:r w:rsidR="00D82E7C" w:rsidRPr="00D952CF">
        <w:rPr>
          <w:rFonts w:ascii="Baskerville" w:hAnsi="Baskerville" w:cs="Baskerville"/>
          <w:i/>
          <w:color w:val="000000" w:themeColor="text1"/>
          <w:sz w:val="24"/>
          <w:szCs w:val="24"/>
        </w:rPr>
        <w:t>ex</w:t>
      </w:r>
      <w:r w:rsidR="00D82E7C" w:rsidRPr="00D952CF">
        <w:rPr>
          <w:rFonts w:ascii="Baskerville" w:hAnsi="Baskerville" w:cs="Baskerville"/>
          <w:color w:val="000000" w:themeColor="text1"/>
          <w:sz w:val="24"/>
          <w:szCs w:val="24"/>
        </w:rPr>
        <w:t xml:space="preserve">clusion. </w:t>
      </w:r>
      <w:r w:rsidR="001932D8" w:rsidRPr="00D952CF">
        <w:rPr>
          <w:rFonts w:ascii="Baskerville" w:hAnsi="Baskerville" w:cs="Baskerville"/>
          <w:color w:val="000000" w:themeColor="text1"/>
          <w:sz w:val="24"/>
          <w:szCs w:val="24"/>
        </w:rPr>
        <w:t>How</w:t>
      </w:r>
      <w:r w:rsidR="00855CC2">
        <w:rPr>
          <w:rFonts w:ascii="Baskerville" w:hAnsi="Baskerville" w:cs="Baskerville"/>
          <w:color w:val="000000" w:themeColor="text1"/>
          <w:sz w:val="24"/>
          <w:szCs w:val="24"/>
        </w:rPr>
        <w:t>, then,</w:t>
      </w:r>
      <w:r w:rsidR="001932D8" w:rsidRPr="00D952CF">
        <w:rPr>
          <w:rFonts w:ascii="Baskerville" w:hAnsi="Baskerville" w:cs="Baskerville"/>
          <w:color w:val="000000" w:themeColor="text1"/>
          <w:sz w:val="24"/>
          <w:szCs w:val="24"/>
        </w:rPr>
        <w:t xml:space="preserve"> can banks</w:t>
      </w:r>
      <w:r w:rsidR="00884EDF" w:rsidRPr="00D952CF">
        <w:rPr>
          <w:rFonts w:ascii="Baskerville" w:hAnsi="Baskerville" w:cs="Baskerville"/>
          <w:color w:val="000000" w:themeColor="text1"/>
          <w:sz w:val="24"/>
          <w:szCs w:val="24"/>
        </w:rPr>
        <w:t xml:space="preserve"> at the same time face incentives to </w:t>
      </w:r>
      <w:r w:rsidR="00D82E7C" w:rsidRPr="00D952CF">
        <w:rPr>
          <w:rFonts w:ascii="Baskerville" w:hAnsi="Baskerville" w:cs="Baskerville"/>
          <w:color w:val="000000" w:themeColor="text1"/>
          <w:sz w:val="24"/>
          <w:szCs w:val="24"/>
        </w:rPr>
        <w:t xml:space="preserve">allow for mistakes of wrongful </w:t>
      </w:r>
      <w:r w:rsidR="00D82E7C" w:rsidRPr="00D952CF">
        <w:rPr>
          <w:rFonts w:ascii="Baskerville" w:hAnsi="Baskerville" w:cs="Baskerville"/>
          <w:i/>
          <w:color w:val="000000" w:themeColor="text1"/>
          <w:sz w:val="24"/>
          <w:szCs w:val="24"/>
        </w:rPr>
        <w:t>in</w:t>
      </w:r>
      <w:r w:rsidR="00D82E7C" w:rsidRPr="00D952CF">
        <w:rPr>
          <w:rFonts w:ascii="Baskerville" w:hAnsi="Baskerville" w:cs="Baskerville"/>
          <w:color w:val="000000" w:themeColor="text1"/>
          <w:sz w:val="24"/>
          <w:szCs w:val="24"/>
        </w:rPr>
        <w:t>clusion</w:t>
      </w:r>
      <w:r w:rsidR="00884EDF" w:rsidRPr="00D952CF">
        <w:rPr>
          <w:rFonts w:ascii="Baskerville" w:hAnsi="Baskerville" w:cs="Baskerville"/>
          <w:color w:val="000000" w:themeColor="text1"/>
          <w:sz w:val="24"/>
          <w:szCs w:val="24"/>
        </w:rPr>
        <w:t>?</w:t>
      </w:r>
      <w:r w:rsidR="00D82E7C" w:rsidRPr="00D952CF">
        <w:rPr>
          <w:rFonts w:ascii="Baskerville" w:hAnsi="Baskerville" w:cs="Baskerville"/>
          <w:color w:val="000000" w:themeColor="text1"/>
          <w:sz w:val="24"/>
          <w:szCs w:val="24"/>
        </w:rPr>
        <w:t xml:space="preserve"> </w:t>
      </w:r>
    </w:p>
    <w:p w14:paraId="1D14541B" w14:textId="1EB4202A" w:rsidR="00855CC2" w:rsidRPr="00D952CF" w:rsidRDefault="00B90055" w:rsidP="00855CC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lastRenderedPageBreak/>
        <w:t>Part of the answer</w:t>
      </w:r>
      <w:r w:rsidR="00855CC2" w:rsidRPr="00D952CF">
        <w:rPr>
          <w:rFonts w:ascii="Baskerville" w:hAnsi="Baskerville" w:cs="Baskerville"/>
          <w:color w:val="000000" w:themeColor="text1"/>
          <w:sz w:val="24"/>
          <w:szCs w:val="24"/>
        </w:rPr>
        <w:t xml:space="preserve"> is that while banks take a hit if borrowers ultimately fail to repay, they stand to benefit if borrowers are </w:t>
      </w:r>
      <w:r w:rsidR="00855CC2">
        <w:rPr>
          <w:rFonts w:ascii="Baskerville" w:hAnsi="Baskerville" w:cs="Baskerville"/>
          <w:color w:val="000000" w:themeColor="text1"/>
          <w:sz w:val="24"/>
          <w:szCs w:val="24"/>
        </w:rPr>
        <w:t xml:space="preserve">merely </w:t>
      </w:r>
      <w:r w:rsidR="00855CC2" w:rsidRPr="00D952CF">
        <w:rPr>
          <w:rFonts w:ascii="Baskerville" w:hAnsi="Baskerville" w:cs="Baskerville"/>
          <w:color w:val="000000" w:themeColor="text1"/>
          <w:sz w:val="24"/>
          <w:szCs w:val="24"/>
        </w:rPr>
        <w:t>late on their payments. If borrowers get into arrears, they incur fees, which are an important source of income for banks. In fact, it is an open secret that banks target borrowers</w:t>
      </w:r>
      <w:r w:rsidR="00855CC2">
        <w:rPr>
          <w:rFonts w:ascii="Baskerville" w:hAnsi="Baskerville" w:cs="Baskerville"/>
          <w:color w:val="000000" w:themeColor="text1"/>
          <w:sz w:val="24"/>
          <w:szCs w:val="24"/>
        </w:rPr>
        <w:t xml:space="preserve"> who are likely to miss their payment deadlines in order</w:t>
      </w:r>
      <w:r w:rsidR="00855CC2" w:rsidRPr="00D952CF">
        <w:rPr>
          <w:rFonts w:ascii="Baskerville" w:hAnsi="Baskerville" w:cs="Baskerville"/>
          <w:color w:val="000000" w:themeColor="text1"/>
          <w:sz w:val="24"/>
          <w:szCs w:val="24"/>
        </w:rPr>
        <w:t xml:space="preserve"> to benefit from charges.</w:t>
      </w:r>
      <w:r w:rsidR="00855CC2" w:rsidRPr="00DF774D">
        <w:rPr>
          <w:rStyle w:val="FootnoteReference"/>
        </w:rPr>
        <w:footnoteReference w:id="23"/>
      </w:r>
    </w:p>
    <w:p w14:paraId="3BD41B9B" w14:textId="7F42BF2D" w:rsidR="00855CC2" w:rsidRPr="00D952CF" w:rsidRDefault="00855CC2" w:rsidP="00855CC2">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There are also two systemic reasons why banks allow for mistakes of wrongful inclusion.</w:t>
      </w:r>
      <w:r>
        <w:rPr>
          <w:rFonts w:ascii="Baskerville" w:hAnsi="Baskerville" w:cs="Baskerville"/>
          <w:color w:val="000000" w:themeColor="text1"/>
          <w:sz w:val="24"/>
          <w:szCs w:val="24"/>
        </w:rPr>
        <w:t xml:space="preserve"> Both of these system</w:t>
      </w:r>
      <w:r w:rsidR="00AF4DDB">
        <w:rPr>
          <w:rFonts w:ascii="Baskerville" w:hAnsi="Baskerville" w:cs="Baskerville"/>
          <w:color w:val="000000" w:themeColor="text1"/>
          <w:sz w:val="24"/>
          <w:szCs w:val="24"/>
        </w:rPr>
        <w:t>ic</w:t>
      </w:r>
      <w:r>
        <w:rPr>
          <w:rFonts w:ascii="Baskerville" w:hAnsi="Baskerville" w:cs="Baskerville"/>
          <w:color w:val="000000" w:themeColor="text1"/>
          <w:sz w:val="24"/>
          <w:szCs w:val="24"/>
        </w:rPr>
        <w:t xml:space="preserve"> reasons rely on the ability of banks to push some of the default risk onto other parties.</w:t>
      </w:r>
      <w:r w:rsidRPr="00D952CF">
        <w:rPr>
          <w:rFonts w:ascii="Baskerville" w:hAnsi="Baskerville" w:cs="Baskerville"/>
          <w:color w:val="000000" w:themeColor="text1"/>
          <w:sz w:val="24"/>
          <w:szCs w:val="24"/>
        </w:rPr>
        <w:t xml:space="preserve"> The first systemic reason is that </w:t>
      </w:r>
      <w:r>
        <w:rPr>
          <w:rFonts w:ascii="Baskerville" w:hAnsi="Baskerville" w:cs="Baskerville"/>
          <w:color w:val="000000" w:themeColor="text1"/>
          <w:sz w:val="24"/>
          <w:szCs w:val="24"/>
        </w:rPr>
        <w:t xml:space="preserve">the </w:t>
      </w:r>
      <w:r w:rsidRPr="00D952CF">
        <w:rPr>
          <w:rFonts w:ascii="Baskerville" w:hAnsi="Baskerville" w:cs="Baskerville"/>
          <w:color w:val="000000" w:themeColor="text1"/>
          <w:sz w:val="24"/>
          <w:szCs w:val="24"/>
        </w:rPr>
        <w:t xml:space="preserve">division of labour in the financial system reduces </w:t>
      </w:r>
      <w:r>
        <w:rPr>
          <w:rFonts w:ascii="Baskerville" w:hAnsi="Baskerville" w:cs="Baskerville"/>
          <w:color w:val="000000" w:themeColor="text1"/>
          <w:sz w:val="24"/>
          <w:szCs w:val="24"/>
        </w:rPr>
        <w:t xml:space="preserve">banks’ </w:t>
      </w:r>
      <w:r w:rsidRPr="00D952CF">
        <w:rPr>
          <w:rFonts w:ascii="Baskerville" w:hAnsi="Baskerville" w:cs="Baskerville"/>
          <w:color w:val="000000" w:themeColor="text1"/>
          <w:sz w:val="24"/>
          <w:szCs w:val="24"/>
        </w:rPr>
        <w:t>incentive</w:t>
      </w:r>
      <w:r>
        <w:rPr>
          <w:rFonts w:ascii="Baskerville" w:hAnsi="Baskerville" w:cs="Baskerville"/>
          <w:color w:val="000000" w:themeColor="text1"/>
          <w:sz w:val="24"/>
          <w:szCs w:val="24"/>
        </w:rPr>
        <w:t>s</w:t>
      </w:r>
      <w:r w:rsidRPr="00D952CF">
        <w:rPr>
          <w:rFonts w:ascii="Baskerville" w:hAnsi="Baskerville" w:cs="Baskerville"/>
          <w:color w:val="000000" w:themeColor="text1"/>
          <w:sz w:val="24"/>
          <w:szCs w:val="24"/>
        </w:rPr>
        <w:t xml:space="preserve"> to </w:t>
      </w:r>
      <w:r w:rsidR="00A86792">
        <w:rPr>
          <w:rFonts w:ascii="Baskerville" w:hAnsi="Baskerville" w:cs="Baskerville"/>
          <w:color w:val="000000" w:themeColor="text1"/>
          <w:sz w:val="24"/>
          <w:szCs w:val="24"/>
        </w:rPr>
        <w:t>avoid</w:t>
      </w:r>
      <w:r w:rsidRPr="00D952CF">
        <w:rPr>
          <w:rFonts w:ascii="Baskerville" w:hAnsi="Baskerville" w:cs="Baskerville"/>
          <w:color w:val="000000" w:themeColor="text1"/>
          <w:sz w:val="24"/>
          <w:szCs w:val="24"/>
        </w:rPr>
        <w:t xml:space="preserve"> mistakes of wrongful inclusion.</w:t>
      </w:r>
      <w:r w:rsidRPr="00DF774D">
        <w:rPr>
          <w:rStyle w:val="FootnoteReference"/>
        </w:rPr>
        <w:footnoteReference w:id="24"/>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Banks that initially grant loans to applicants, s</w:t>
      </w:r>
      <w:r w:rsidRPr="00D952CF">
        <w:rPr>
          <w:rFonts w:ascii="Baskerville" w:hAnsi="Baskerville" w:cs="Baskerville"/>
          <w:color w:val="000000" w:themeColor="text1"/>
          <w:sz w:val="24"/>
          <w:szCs w:val="24"/>
        </w:rPr>
        <w:t>o-called primary lenders</w:t>
      </w:r>
      <w:r>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can </w:t>
      </w:r>
      <w:r w:rsidRPr="00D952CF">
        <w:rPr>
          <w:rFonts w:ascii="Baskerville" w:hAnsi="Baskerville" w:cs="Baskerville"/>
          <w:color w:val="000000" w:themeColor="text1"/>
          <w:sz w:val="24"/>
          <w:szCs w:val="24"/>
        </w:rPr>
        <w:t>sell th</w:t>
      </w:r>
      <w:r>
        <w:rPr>
          <w:rFonts w:ascii="Baskerville" w:hAnsi="Baskerville" w:cs="Baskerville"/>
          <w:color w:val="000000" w:themeColor="text1"/>
          <w:sz w:val="24"/>
          <w:szCs w:val="24"/>
        </w:rPr>
        <w:t>ose</w:t>
      </w:r>
      <w:r w:rsidRPr="00D952CF">
        <w:rPr>
          <w:rFonts w:ascii="Baskerville" w:hAnsi="Baskerville" w:cs="Baskerville"/>
          <w:color w:val="000000" w:themeColor="text1"/>
          <w:sz w:val="24"/>
          <w:szCs w:val="24"/>
        </w:rPr>
        <w:t xml:space="preserve"> loans to other financial institutions, passing on the risk of default. </w:t>
      </w:r>
      <w:r>
        <w:rPr>
          <w:rFonts w:ascii="Baskerville" w:hAnsi="Baskerville" w:cs="Baskerville"/>
          <w:color w:val="000000" w:themeColor="text1"/>
          <w:sz w:val="24"/>
          <w:szCs w:val="24"/>
        </w:rPr>
        <w:t>T</w:t>
      </w:r>
      <w:r w:rsidRPr="00D952CF">
        <w:rPr>
          <w:rFonts w:ascii="Baskerville" w:hAnsi="Baskerville" w:cs="Baskerville"/>
          <w:color w:val="000000" w:themeColor="text1"/>
          <w:sz w:val="24"/>
          <w:szCs w:val="24"/>
        </w:rPr>
        <w:t xml:space="preserve">he income of primary lenders is largely determined by the volume of credit they grant. Since the risk of default matters </w:t>
      </w:r>
      <w:r>
        <w:rPr>
          <w:rFonts w:ascii="Baskerville" w:hAnsi="Baskerville" w:cs="Baskerville"/>
          <w:color w:val="000000" w:themeColor="text1"/>
          <w:sz w:val="24"/>
          <w:szCs w:val="24"/>
        </w:rPr>
        <w:t>little</w:t>
      </w:r>
      <w:r w:rsidRPr="00D952CF">
        <w:rPr>
          <w:rFonts w:ascii="Baskerville" w:hAnsi="Baskerville" w:cs="Baskerville"/>
          <w:color w:val="000000" w:themeColor="text1"/>
          <w:sz w:val="24"/>
          <w:szCs w:val="24"/>
        </w:rPr>
        <w:t xml:space="preserve"> for primary lenders, the incentive to avoid mistakes of wrongful inclusion </w:t>
      </w:r>
      <w:r>
        <w:rPr>
          <w:rFonts w:ascii="Baskerville" w:hAnsi="Baskerville" w:cs="Baskerville"/>
          <w:color w:val="000000" w:themeColor="text1"/>
          <w:sz w:val="24"/>
          <w:szCs w:val="24"/>
        </w:rPr>
        <w:t>decreases</w:t>
      </w:r>
      <w:r w:rsidRPr="00D952CF">
        <w:rPr>
          <w:rFonts w:ascii="Baskerville" w:hAnsi="Baskerville" w:cs="Baskerville"/>
          <w:color w:val="000000" w:themeColor="text1"/>
          <w:sz w:val="24"/>
          <w:szCs w:val="24"/>
        </w:rPr>
        <w:t xml:space="preserve">. </w:t>
      </w:r>
    </w:p>
    <w:p w14:paraId="48218165" w14:textId="0BE62D04" w:rsidR="00855CC2" w:rsidRPr="00D952CF" w:rsidRDefault="00855CC2" w:rsidP="00002309">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This mechanism became apparent during the global financial crisis of 2007</w:t>
      </w:r>
      <w:r w:rsidR="00002309">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8. The crisis was triggered by falling house prices</w:t>
      </w:r>
      <w:r>
        <w:rPr>
          <w:rFonts w:ascii="Baskerville" w:hAnsi="Baskerville" w:cs="Baskerville"/>
          <w:color w:val="000000" w:themeColor="text1"/>
          <w:sz w:val="24"/>
          <w:szCs w:val="24"/>
        </w:rPr>
        <w:t>, b</w:t>
      </w:r>
      <w:r w:rsidRPr="00D952CF">
        <w:rPr>
          <w:rFonts w:ascii="Baskerville" w:hAnsi="Baskerville" w:cs="Baskerville"/>
          <w:color w:val="000000" w:themeColor="text1"/>
          <w:sz w:val="24"/>
          <w:szCs w:val="24"/>
        </w:rPr>
        <w:t xml:space="preserve">ut falling house prices do not </w:t>
      </w:r>
      <w:r>
        <w:rPr>
          <w:rFonts w:ascii="Baskerville" w:hAnsi="Baskerville" w:cs="Baskerville"/>
          <w:color w:val="000000" w:themeColor="text1"/>
          <w:sz w:val="24"/>
          <w:szCs w:val="24"/>
        </w:rPr>
        <w:t>automatically</w:t>
      </w:r>
      <w:r w:rsidRPr="00D952CF">
        <w:rPr>
          <w:rFonts w:ascii="Baskerville" w:hAnsi="Baskerville" w:cs="Baskerville"/>
          <w:color w:val="000000" w:themeColor="text1"/>
          <w:sz w:val="24"/>
          <w:szCs w:val="24"/>
        </w:rPr>
        <w:t xml:space="preserve"> lead to higher default rates. Borrowers have an </w:t>
      </w:r>
      <w:r>
        <w:rPr>
          <w:rFonts w:ascii="Baskerville" w:hAnsi="Baskerville" w:cs="Baskerville"/>
          <w:color w:val="000000" w:themeColor="text1"/>
          <w:sz w:val="24"/>
          <w:szCs w:val="24"/>
        </w:rPr>
        <w:t>interest</w:t>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in continuing to</w:t>
      </w:r>
      <w:r w:rsidRPr="00D952CF">
        <w:rPr>
          <w:rFonts w:ascii="Baskerville" w:hAnsi="Baskerville" w:cs="Baskerville"/>
          <w:color w:val="000000" w:themeColor="text1"/>
          <w:sz w:val="24"/>
          <w:szCs w:val="24"/>
        </w:rPr>
        <w:t xml:space="preserve"> </w:t>
      </w:r>
      <w:r w:rsidR="002261FE">
        <w:rPr>
          <w:rFonts w:ascii="Baskerville" w:hAnsi="Baskerville" w:cs="Baskerville"/>
          <w:color w:val="000000" w:themeColor="text1"/>
          <w:sz w:val="24"/>
          <w:szCs w:val="24"/>
        </w:rPr>
        <w:t xml:space="preserve">pay off </w:t>
      </w:r>
      <w:r w:rsidRPr="00D952CF">
        <w:rPr>
          <w:rFonts w:ascii="Baskerville" w:hAnsi="Baskerville" w:cs="Baskerville"/>
          <w:color w:val="000000" w:themeColor="text1"/>
          <w:sz w:val="24"/>
          <w:szCs w:val="24"/>
        </w:rPr>
        <w:t>their mortgage as long as the value of their property is higher than the value of their mortgage.</w:t>
      </w:r>
      <w:r w:rsidRPr="00DF774D">
        <w:rPr>
          <w:rStyle w:val="FootnoteReference"/>
        </w:rPr>
        <w:footnoteReference w:id="25"/>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The sensitivity</w:t>
      </w:r>
      <w:r w:rsidRPr="00D952CF">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of </w:t>
      </w:r>
      <w:r w:rsidRPr="00D952CF">
        <w:rPr>
          <w:rFonts w:ascii="Baskerville" w:hAnsi="Baskerville" w:cs="Baskerville"/>
          <w:color w:val="000000" w:themeColor="text1"/>
          <w:sz w:val="24"/>
          <w:szCs w:val="24"/>
        </w:rPr>
        <w:t>default rates to falling house prices thus depends on the</w:t>
      </w:r>
      <w:r>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 xml:space="preserve">mortgage volume </w:t>
      </w:r>
      <w:r>
        <w:rPr>
          <w:rFonts w:ascii="Baskerville" w:hAnsi="Baskerville" w:cs="Baskerville"/>
          <w:color w:val="000000" w:themeColor="text1"/>
          <w:sz w:val="24"/>
          <w:szCs w:val="24"/>
        </w:rPr>
        <w:t>relative to the</w:t>
      </w:r>
      <w:r w:rsidRPr="00D952CF">
        <w:rPr>
          <w:rFonts w:ascii="Baskerville" w:hAnsi="Baskerville" w:cs="Baskerville"/>
          <w:color w:val="000000" w:themeColor="text1"/>
          <w:sz w:val="24"/>
          <w:szCs w:val="24"/>
        </w:rPr>
        <w:t xml:space="preserve"> value of the </w:t>
      </w:r>
      <w:r>
        <w:rPr>
          <w:rFonts w:ascii="Baskerville" w:hAnsi="Baskerville" w:cs="Baskerville"/>
          <w:color w:val="000000" w:themeColor="text1"/>
          <w:sz w:val="24"/>
          <w:szCs w:val="24"/>
        </w:rPr>
        <w:t>house</w:t>
      </w:r>
      <w:r w:rsidRPr="00D952CF">
        <w:rPr>
          <w:rFonts w:ascii="Baskerville" w:hAnsi="Baskerville" w:cs="Baskerville"/>
          <w:color w:val="000000" w:themeColor="text1"/>
          <w:sz w:val="24"/>
          <w:szCs w:val="24"/>
        </w:rPr>
        <w:t>, an indicator we wil</w:t>
      </w:r>
      <w:r>
        <w:rPr>
          <w:rFonts w:ascii="Baskerville" w:hAnsi="Baskerville" w:cs="Baskerville"/>
          <w:color w:val="000000" w:themeColor="text1"/>
          <w:sz w:val="24"/>
          <w:szCs w:val="24"/>
        </w:rPr>
        <w:t>l return to in section 5. If this so-called</w:t>
      </w:r>
      <w:r w:rsidRPr="00D952CF">
        <w:rPr>
          <w:rFonts w:ascii="Baskerville" w:hAnsi="Baskerville" w:cs="Baskerville"/>
          <w:color w:val="000000" w:themeColor="text1"/>
          <w:sz w:val="24"/>
          <w:szCs w:val="24"/>
        </w:rPr>
        <w:t xml:space="preserve"> loan</w:t>
      </w:r>
      <w:r>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to</w:t>
      </w:r>
      <w:r>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 xml:space="preserve">value ratio </w:t>
      </w:r>
      <w:r>
        <w:rPr>
          <w:rFonts w:ascii="Baskerville" w:hAnsi="Baskerville" w:cs="Baskerville"/>
          <w:color w:val="000000" w:themeColor="text1"/>
          <w:sz w:val="24"/>
          <w:szCs w:val="24"/>
        </w:rPr>
        <w:t>stands at</w:t>
      </w:r>
      <w:r w:rsidRPr="00D952CF">
        <w:rPr>
          <w:rFonts w:ascii="Baskerville" w:hAnsi="Baskerville" w:cs="Baskerville"/>
          <w:color w:val="000000" w:themeColor="text1"/>
          <w:sz w:val="24"/>
          <w:szCs w:val="24"/>
        </w:rPr>
        <w:t xml:space="preserve"> 80%, house prices can fall 20% before borrowers have an incentive to default on their mortgage. Hence</w:t>
      </w:r>
      <w:r>
        <w:rPr>
          <w:rFonts w:ascii="Baskerville" w:hAnsi="Baskerville" w:cs="Baskerville"/>
          <w:color w:val="000000" w:themeColor="text1"/>
          <w:sz w:val="24"/>
          <w:szCs w:val="24"/>
        </w:rPr>
        <w:t>,</w:t>
      </w:r>
      <w:r w:rsidRPr="00D952CF">
        <w:rPr>
          <w:rFonts w:ascii="Baskerville" w:hAnsi="Baskerville" w:cs="Baskerville"/>
          <w:color w:val="000000" w:themeColor="text1"/>
          <w:sz w:val="24"/>
          <w:szCs w:val="24"/>
        </w:rPr>
        <w:t xml:space="preserve"> falling house prices lead to defaults only if primary lenders do not require borrowers to contribute sufficient equity. Prior to the financial crisis, it was common in the US to grant mortgages without requiring borrowers to contribute any equity at all. The readiness of loan originators to provide households with zero equity mortgages is partly explained by their ability to pass on default risk to other financial institutions. </w:t>
      </w:r>
    </w:p>
    <w:p w14:paraId="2A72E90B" w14:textId="41A713FD" w:rsidR="00855CC2" w:rsidRDefault="00B1776D" w:rsidP="00F978BA">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The second systemic reason is that </w:t>
      </w:r>
      <w:r w:rsidR="00252A5E" w:rsidRPr="00D952CF">
        <w:rPr>
          <w:rFonts w:ascii="Baskerville" w:hAnsi="Baskerville" w:cs="Baskerville"/>
          <w:color w:val="000000" w:themeColor="text1"/>
          <w:sz w:val="24"/>
          <w:szCs w:val="24"/>
        </w:rPr>
        <w:t>some banks are too big, or too interconnected</w:t>
      </w:r>
      <w:r w:rsidR="00780586">
        <w:rPr>
          <w:rFonts w:ascii="Baskerville" w:hAnsi="Baskerville" w:cs="Baskerville"/>
          <w:color w:val="000000" w:themeColor="text1"/>
          <w:sz w:val="24"/>
          <w:szCs w:val="24"/>
        </w:rPr>
        <w:t>,</w:t>
      </w:r>
      <w:r w:rsidR="00252A5E"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to fail.</w:t>
      </w:r>
      <w:r w:rsidRPr="00E93D72">
        <w:rPr>
          <w:rStyle w:val="FootnoteReference"/>
        </w:rPr>
        <w:footnoteReference w:id="26"/>
      </w:r>
      <w:r w:rsidR="00252A5E" w:rsidRPr="00D952CF">
        <w:rPr>
          <w:rFonts w:ascii="Baskerville" w:hAnsi="Baskerville" w:cs="Baskerville"/>
          <w:color w:val="000000" w:themeColor="text1"/>
          <w:sz w:val="24"/>
          <w:szCs w:val="24"/>
        </w:rPr>
        <w:t xml:space="preserve"> Banks that are systemically important in one of these two ways can </w:t>
      </w:r>
      <w:r w:rsidR="00780586">
        <w:rPr>
          <w:rFonts w:ascii="Baskerville" w:hAnsi="Baskerville" w:cs="Baskerville"/>
          <w:color w:val="000000" w:themeColor="text1"/>
          <w:sz w:val="24"/>
          <w:szCs w:val="24"/>
        </w:rPr>
        <w:t>count on</w:t>
      </w:r>
      <w:r w:rsidR="00252A5E" w:rsidRPr="00D952CF">
        <w:rPr>
          <w:rFonts w:ascii="Baskerville" w:hAnsi="Baskerville" w:cs="Baskerville"/>
          <w:color w:val="000000" w:themeColor="text1"/>
          <w:sz w:val="24"/>
          <w:szCs w:val="24"/>
        </w:rPr>
        <w:t xml:space="preserve"> government support </w:t>
      </w:r>
      <w:r w:rsidR="00BF349C" w:rsidRPr="00D952CF">
        <w:rPr>
          <w:rFonts w:ascii="Baskerville" w:hAnsi="Baskerville" w:cs="Baskerville"/>
          <w:color w:val="000000" w:themeColor="text1"/>
          <w:sz w:val="24"/>
          <w:szCs w:val="24"/>
        </w:rPr>
        <w:t>if</w:t>
      </w:r>
      <w:r w:rsidR="00252A5E" w:rsidRPr="00D952CF">
        <w:rPr>
          <w:rFonts w:ascii="Baskerville" w:hAnsi="Baskerville" w:cs="Baskerville"/>
          <w:color w:val="000000" w:themeColor="text1"/>
          <w:sz w:val="24"/>
          <w:szCs w:val="24"/>
        </w:rPr>
        <w:t xml:space="preserve"> they </w:t>
      </w:r>
      <w:r w:rsidR="00BF349C" w:rsidRPr="00D952CF">
        <w:rPr>
          <w:rFonts w:ascii="Baskerville" w:hAnsi="Baskerville" w:cs="Baskerville"/>
          <w:color w:val="000000" w:themeColor="text1"/>
          <w:sz w:val="24"/>
          <w:szCs w:val="24"/>
        </w:rPr>
        <w:t>run into financial distress. This</w:t>
      </w:r>
      <w:r w:rsidR="00252A5E" w:rsidRPr="00D952CF">
        <w:rPr>
          <w:rFonts w:ascii="Baskerville" w:hAnsi="Baskerville" w:cs="Baskerville"/>
          <w:color w:val="000000" w:themeColor="text1"/>
          <w:sz w:val="24"/>
          <w:szCs w:val="24"/>
        </w:rPr>
        <w:t xml:space="preserve"> prospect weakens</w:t>
      </w:r>
      <w:r w:rsidR="007B1356">
        <w:rPr>
          <w:rFonts w:ascii="Baskerville" w:hAnsi="Baskerville" w:cs="Baskerville"/>
          <w:color w:val="000000" w:themeColor="text1"/>
          <w:sz w:val="24"/>
          <w:szCs w:val="24"/>
        </w:rPr>
        <w:t xml:space="preserve"> </w:t>
      </w:r>
      <w:r w:rsidR="00BF349C" w:rsidRPr="00D952CF">
        <w:rPr>
          <w:rFonts w:ascii="Baskerville" w:hAnsi="Baskerville" w:cs="Baskerville"/>
          <w:color w:val="000000" w:themeColor="text1"/>
          <w:sz w:val="24"/>
          <w:szCs w:val="24"/>
        </w:rPr>
        <w:t>banks</w:t>
      </w:r>
      <w:r w:rsidR="007B1356" w:rsidRPr="00D952CF">
        <w:rPr>
          <w:rFonts w:ascii="Baskerville" w:hAnsi="Baskerville" w:cs="Baskerville"/>
          <w:color w:val="000000" w:themeColor="text1"/>
          <w:sz w:val="24"/>
          <w:szCs w:val="24"/>
        </w:rPr>
        <w:t>’</w:t>
      </w:r>
      <w:r w:rsidR="00252A5E" w:rsidRPr="00D952CF">
        <w:rPr>
          <w:rFonts w:ascii="Baskerville" w:hAnsi="Baskerville" w:cs="Baskerville"/>
          <w:color w:val="000000" w:themeColor="text1"/>
          <w:sz w:val="24"/>
          <w:szCs w:val="24"/>
        </w:rPr>
        <w:t xml:space="preserve"> incentive to avoid mistakes of wrongful inclusion, because they can push some of the default risk on</w:t>
      </w:r>
      <w:r w:rsidR="00BF349C" w:rsidRPr="00D952CF">
        <w:rPr>
          <w:rFonts w:ascii="Baskerville" w:hAnsi="Baskerville" w:cs="Baskerville"/>
          <w:color w:val="000000" w:themeColor="text1"/>
          <w:sz w:val="24"/>
          <w:szCs w:val="24"/>
        </w:rPr>
        <w:t>to</w:t>
      </w:r>
      <w:r w:rsidR="00252A5E" w:rsidRPr="00D952CF">
        <w:rPr>
          <w:rFonts w:ascii="Baskerville" w:hAnsi="Baskerville" w:cs="Baskerville"/>
          <w:color w:val="000000" w:themeColor="text1"/>
          <w:sz w:val="24"/>
          <w:szCs w:val="24"/>
        </w:rPr>
        <w:t xml:space="preserve"> taxpayers. </w:t>
      </w:r>
    </w:p>
    <w:p w14:paraId="153E91CD" w14:textId="0FB11538" w:rsidR="00855CC2" w:rsidRPr="00D952CF" w:rsidRDefault="00855CC2" w:rsidP="00855CC2">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lastRenderedPageBreak/>
        <w:t xml:space="preserve">In sum, </w:t>
      </w:r>
      <w:r>
        <w:rPr>
          <w:rFonts w:ascii="Baskerville" w:hAnsi="Baskerville" w:cs="Baskerville"/>
          <w:color w:val="000000" w:themeColor="text1"/>
          <w:sz w:val="24"/>
          <w:szCs w:val="24"/>
        </w:rPr>
        <w:t xml:space="preserve">there are two main sources of incentives for </w:t>
      </w:r>
      <w:r w:rsidRPr="00D952CF">
        <w:rPr>
          <w:rFonts w:ascii="Baskerville" w:hAnsi="Baskerville" w:cs="Baskerville"/>
          <w:color w:val="000000" w:themeColor="text1"/>
          <w:sz w:val="24"/>
          <w:szCs w:val="24"/>
        </w:rPr>
        <w:t>banks to allow for mistakes of wrongful inclusion</w:t>
      </w:r>
      <w:r>
        <w:rPr>
          <w:rFonts w:ascii="Baskerville" w:hAnsi="Baskerville" w:cs="Baskerville"/>
          <w:color w:val="000000" w:themeColor="text1"/>
          <w:sz w:val="24"/>
          <w:szCs w:val="24"/>
        </w:rPr>
        <w:t>. First,</w:t>
      </w:r>
      <w:r w:rsidRPr="00D952CF">
        <w:rPr>
          <w:rFonts w:ascii="Baskerville" w:hAnsi="Baskerville" w:cs="Baskerville"/>
          <w:color w:val="000000" w:themeColor="text1"/>
          <w:sz w:val="24"/>
          <w:szCs w:val="24"/>
        </w:rPr>
        <w:t xml:space="preserve"> </w:t>
      </w:r>
      <w:r w:rsidR="00B90055">
        <w:rPr>
          <w:rFonts w:ascii="Baskerville" w:hAnsi="Baskerville" w:cs="Baskerville"/>
          <w:color w:val="000000" w:themeColor="text1"/>
          <w:sz w:val="24"/>
          <w:szCs w:val="24"/>
        </w:rPr>
        <w:t xml:space="preserve">risky </w:t>
      </w:r>
      <w:r w:rsidRPr="00D952CF">
        <w:rPr>
          <w:rFonts w:ascii="Baskerville" w:hAnsi="Baskerville" w:cs="Baskerville"/>
          <w:color w:val="000000" w:themeColor="text1"/>
          <w:sz w:val="24"/>
          <w:szCs w:val="24"/>
        </w:rPr>
        <w:t xml:space="preserve">borrowers, some of </w:t>
      </w:r>
      <w:r w:rsidR="00B90055">
        <w:rPr>
          <w:rFonts w:ascii="Baskerville" w:hAnsi="Baskerville" w:cs="Baskerville"/>
          <w:color w:val="000000" w:themeColor="text1"/>
          <w:sz w:val="24"/>
          <w:szCs w:val="24"/>
        </w:rPr>
        <w:t>whom</w:t>
      </w:r>
      <w:r w:rsidR="00B90055"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will turn out not to be creditworthy, increase profits by paying fees for late payments</w:t>
      </w:r>
      <w:r>
        <w:rPr>
          <w:rFonts w:ascii="Baskerville" w:hAnsi="Baskerville" w:cs="Baskerville"/>
          <w:color w:val="000000" w:themeColor="text1"/>
          <w:sz w:val="24"/>
          <w:szCs w:val="24"/>
        </w:rPr>
        <w:t>. Second, banks</w:t>
      </w:r>
      <w:r w:rsidRPr="00D952CF">
        <w:rPr>
          <w:rFonts w:ascii="Baskerville" w:hAnsi="Baskerville" w:cs="Baskerville"/>
          <w:color w:val="000000" w:themeColor="text1"/>
          <w:sz w:val="24"/>
          <w:szCs w:val="24"/>
        </w:rPr>
        <w:t xml:space="preserve"> can push some default risk on</w:t>
      </w:r>
      <w:r w:rsidR="007B1356">
        <w:rPr>
          <w:rFonts w:ascii="Baskerville" w:hAnsi="Baskerville" w:cs="Baskerville"/>
          <w:color w:val="000000" w:themeColor="text1"/>
          <w:sz w:val="24"/>
          <w:szCs w:val="24"/>
        </w:rPr>
        <w:t>to</w:t>
      </w:r>
      <w:r w:rsidRPr="00D952CF">
        <w:rPr>
          <w:rFonts w:ascii="Baskerville" w:hAnsi="Baskerville" w:cs="Baskerville"/>
          <w:color w:val="000000" w:themeColor="text1"/>
          <w:sz w:val="24"/>
          <w:szCs w:val="24"/>
        </w:rPr>
        <w:t xml:space="preserve"> other financial institutions and on</w:t>
      </w:r>
      <w:r w:rsidR="007B1356">
        <w:rPr>
          <w:rFonts w:ascii="Baskerville" w:hAnsi="Baskerville" w:cs="Baskerville"/>
          <w:color w:val="000000" w:themeColor="text1"/>
          <w:sz w:val="24"/>
          <w:szCs w:val="24"/>
        </w:rPr>
        <w:t>to</w:t>
      </w:r>
      <w:r w:rsidRPr="00D952CF">
        <w:rPr>
          <w:rFonts w:ascii="Baskerville" w:hAnsi="Baskerville" w:cs="Baskerville"/>
          <w:color w:val="000000" w:themeColor="text1"/>
          <w:sz w:val="24"/>
          <w:szCs w:val="24"/>
        </w:rPr>
        <w:t xml:space="preserve"> taxpayers.  </w:t>
      </w:r>
    </w:p>
    <w:p w14:paraId="7D1658C1" w14:textId="15ECCE81" w:rsidR="00F978BA" w:rsidRPr="00D952CF" w:rsidRDefault="00D75865" w:rsidP="00F978BA">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One</w:t>
      </w:r>
      <w:r w:rsidRPr="00D952CF">
        <w:rPr>
          <w:rFonts w:ascii="Baskerville" w:hAnsi="Baskerville" w:cs="Baskerville"/>
          <w:color w:val="000000" w:themeColor="text1"/>
          <w:sz w:val="24"/>
          <w:szCs w:val="24"/>
        </w:rPr>
        <w:t xml:space="preserve"> complication concerning mistakes of wrongful inclusion </w:t>
      </w:r>
      <w:r w:rsidR="00BF349C" w:rsidRPr="00D952CF">
        <w:rPr>
          <w:rFonts w:ascii="Baskerville" w:hAnsi="Baskerville" w:cs="Baskerville"/>
          <w:color w:val="000000" w:themeColor="text1"/>
          <w:sz w:val="24"/>
          <w:szCs w:val="24"/>
        </w:rPr>
        <w:t>is worth noting</w:t>
      </w:r>
      <w:r>
        <w:rPr>
          <w:rFonts w:ascii="Baskerville" w:hAnsi="Baskerville" w:cs="Baskerville"/>
          <w:color w:val="000000" w:themeColor="text1"/>
          <w:sz w:val="24"/>
          <w:szCs w:val="24"/>
        </w:rPr>
        <w:t>:</w:t>
      </w:r>
      <w:r w:rsidR="00BF349C" w:rsidRPr="00D952CF">
        <w:rPr>
          <w:rFonts w:ascii="Baskerville" w:hAnsi="Baskerville" w:cs="Baskerville"/>
          <w:color w:val="000000" w:themeColor="text1"/>
          <w:sz w:val="24"/>
          <w:szCs w:val="24"/>
        </w:rPr>
        <w:t xml:space="preserve"> While b</w:t>
      </w:r>
      <w:r w:rsidR="00252A5E" w:rsidRPr="00D952CF">
        <w:rPr>
          <w:rFonts w:ascii="Baskerville" w:hAnsi="Baskerville" w:cs="Baskerville"/>
          <w:color w:val="000000" w:themeColor="text1"/>
          <w:sz w:val="24"/>
          <w:szCs w:val="24"/>
        </w:rPr>
        <w:t>anks</w:t>
      </w:r>
      <w:r w:rsidR="00F978BA" w:rsidRPr="00D952CF">
        <w:rPr>
          <w:rFonts w:ascii="Baskerville" w:hAnsi="Baskerville" w:cs="Baskerville"/>
          <w:color w:val="000000" w:themeColor="text1"/>
          <w:sz w:val="24"/>
          <w:szCs w:val="24"/>
        </w:rPr>
        <w:t xml:space="preserve"> can make mistakes of wrongful exclusion all by themselv</w:t>
      </w:r>
      <w:r w:rsidR="00BF349C" w:rsidRPr="00D952CF">
        <w:rPr>
          <w:rFonts w:ascii="Baskerville" w:hAnsi="Baskerville" w:cs="Baskerville"/>
          <w:color w:val="000000" w:themeColor="text1"/>
          <w:sz w:val="24"/>
          <w:szCs w:val="24"/>
        </w:rPr>
        <w:t>es</w:t>
      </w:r>
      <w:r w:rsidR="00F978BA" w:rsidRPr="00D952CF">
        <w:rPr>
          <w:rFonts w:ascii="Baskerville" w:hAnsi="Baskerville" w:cs="Baskerville"/>
          <w:color w:val="000000" w:themeColor="text1"/>
          <w:sz w:val="24"/>
          <w:szCs w:val="24"/>
        </w:rPr>
        <w:t>, mistakes of wrongful inclusion</w:t>
      </w:r>
      <w:r w:rsidR="00BF349C" w:rsidRPr="00D952CF">
        <w:rPr>
          <w:rFonts w:ascii="Baskerville" w:hAnsi="Baskerville" w:cs="Baskerville"/>
          <w:color w:val="000000" w:themeColor="text1"/>
          <w:sz w:val="24"/>
          <w:szCs w:val="24"/>
        </w:rPr>
        <w:t xml:space="preserve"> require the </w:t>
      </w:r>
      <w:r>
        <w:rPr>
          <w:rFonts w:ascii="Baskerville" w:hAnsi="Baskerville" w:cs="Baskerville"/>
          <w:color w:val="000000" w:themeColor="text1"/>
          <w:sz w:val="24"/>
          <w:szCs w:val="24"/>
        </w:rPr>
        <w:t xml:space="preserve">contribution of </w:t>
      </w:r>
      <w:r w:rsidR="00BF349C" w:rsidRPr="00D952CF">
        <w:rPr>
          <w:rFonts w:ascii="Baskerville" w:hAnsi="Baskerville" w:cs="Baskerville"/>
          <w:color w:val="000000" w:themeColor="text1"/>
          <w:sz w:val="24"/>
          <w:szCs w:val="24"/>
        </w:rPr>
        <w:t xml:space="preserve">applicants </w:t>
      </w:r>
      <w:r>
        <w:rPr>
          <w:rFonts w:ascii="Baskerville" w:hAnsi="Baskerville" w:cs="Baskerville"/>
          <w:color w:val="000000" w:themeColor="text1"/>
          <w:sz w:val="24"/>
          <w:szCs w:val="24"/>
        </w:rPr>
        <w:t xml:space="preserve">willing </w:t>
      </w:r>
      <w:r w:rsidR="00BF349C" w:rsidRPr="00D952CF">
        <w:rPr>
          <w:rFonts w:ascii="Baskerville" w:hAnsi="Baskerville" w:cs="Baskerville"/>
          <w:color w:val="000000" w:themeColor="text1"/>
          <w:sz w:val="24"/>
          <w:szCs w:val="24"/>
        </w:rPr>
        <w:t xml:space="preserve">to take out </w:t>
      </w:r>
      <w:r>
        <w:rPr>
          <w:rFonts w:ascii="Baskerville" w:hAnsi="Baskerville" w:cs="Baskerville"/>
          <w:color w:val="000000" w:themeColor="text1"/>
          <w:sz w:val="24"/>
          <w:szCs w:val="24"/>
        </w:rPr>
        <w:t xml:space="preserve">more </w:t>
      </w:r>
      <w:r w:rsidR="00BF349C" w:rsidRPr="00D952CF">
        <w:rPr>
          <w:rFonts w:ascii="Baskerville" w:hAnsi="Baskerville" w:cs="Baskerville"/>
          <w:color w:val="000000" w:themeColor="text1"/>
          <w:sz w:val="24"/>
          <w:szCs w:val="24"/>
        </w:rPr>
        <w:t xml:space="preserve">credit </w:t>
      </w:r>
      <w:r>
        <w:rPr>
          <w:rFonts w:ascii="Baskerville" w:hAnsi="Baskerville" w:cs="Baskerville"/>
          <w:color w:val="000000" w:themeColor="text1"/>
          <w:sz w:val="24"/>
          <w:szCs w:val="24"/>
        </w:rPr>
        <w:t>th</w:t>
      </w:r>
      <w:r w:rsidR="00966BDB">
        <w:rPr>
          <w:rFonts w:ascii="Baskerville" w:hAnsi="Baskerville" w:cs="Baskerville"/>
          <w:color w:val="000000" w:themeColor="text1"/>
          <w:sz w:val="24"/>
          <w:szCs w:val="24"/>
        </w:rPr>
        <w:t>a</w:t>
      </w:r>
      <w:r>
        <w:rPr>
          <w:rFonts w:ascii="Baskerville" w:hAnsi="Baskerville" w:cs="Baskerville"/>
          <w:color w:val="000000" w:themeColor="text1"/>
          <w:sz w:val="24"/>
          <w:szCs w:val="24"/>
        </w:rPr>
        <w:t xml:space="preserve">n they can service. </w:t>
      </w:r>
      <w:r w:rsidR="00F978BA" w:rsidRPr="00D952CF">
        <w:rPr>
          <w:rFonts w:ascii="Baskerville" w:hAnsi="Baskerville" w:cs="Baskerville"/>
          <w:color w:val="000000" w:themeColor="text1"/>
          <w:sz w:val="24"/>
          <w:szCs w:val="24"/>
        </w:rPr>
        <w:t xml:space="preserve">An explanation of why mistakes of wrongful inclusion occur thus needs </w:t>
      </w:r>
      <w:r>
        <w:rPr>
          <w:rFonts w:ascii="Baskerville" w:hAnsi="Baskerville" w:cs="Baskerville"/>
          <w:color w:val="000000" w:themeColor="text1"/>
          <w:sz w:val="24"/>
          <w:szCs w:val="24"/>
        </w:rPr>
        <w:t xml:space="preserve">to </w:t>
      </w:r>
      <w:r w:rsidR="00F978BA" w:rsidRPr="00D952CF">
        <w:rPr>
          <w:rFonts w:ascii="Baskerville" w:hAnsi="Baskerville" w:cs="Baskerville"/>
          <w:color w:val="000000" w:themeColor="text1"/>
          <w:sz w:val="24"/>
          <w:szCs w:val="24"/>
        </w:rPr>
        <w:t xml:space="preserve">account </w:t>
      </w:r>
      <w:r>
        <w:rPr>
          <w:rFonts w:ascii="Baskerville" w:hAnsi="Baskerville" w:cs="Baskerville"/>
          <w:color w:val="000000" w:themeColor="text1"/>
          <w:sz w:val="24"/>
          <w:szCs w:val="24"/>
        </w:rPr>
        <w:t xml:space="preserve">for </w:t>
      </w:r>
      <w:r w:rsidR="00F978BA" w:rsidRPr="00D952CF">
        <w:rPr>
          <w:rFonts w:ascii="Baskerville" w:hAnsi="Baskerville" w:cs="Baskerville"/>
          <w:color w:val="000000" w:themeColor="text1"/>
          <w:sz w:val="24"/>
          <w:szCs w:val="24"/>
        </w:rPr>
        <w:t xml:space="preserve">why borrowers enter credit contracts that they won’t be able to service. Boudewijn de Bruin has argued that </w:t>
      </w:r>
      <w:r w:rsidR="00780586" w:rsidRPr="00D952CF">
        <w:rPr>
          <w:rFonts w:ascii="Baskerville" w:hAnsi="Baskerville" w:cs="Baskerville"/>
          <w:color w:val="000000" w:themeColor="text1"/>
          <w:sz w:val="24"/>
          <w:szCs w:val="24"/>
        </w:rPr>
        <w:t>prior to the global financial crisis of 2007</w:t>
      </w:r>
      <w:r w:rsidR="00002309">
        <w:rPr>
          <w:rFonts w:ascii="Baskerville" w:hAnsi="Baskerville" w:cs="Baskerville"/>
          <w:color w:val="000000" w:themeColor="text1"/>
          <w:sz w:val="24"/>
          <w:szCs w:val="24"/>
        </w:rPr>
        <w:t>-</w:t>
      </w:r>
      <w:r w:rsidR="00780586" w:rsidRPr="00D952CF">
        <w:rPr>
          <w:rFonts w:ascii="Baskerville" w:hAnsi="Baskerville" w:cs="Baskerville"/>
          <w:color w:val="000000" w:themeColor="text1"/>
          <w:sz w:val="24"/>
          <w:szCs w:val="24"/>
        </w:rPr>
        <w:t>8</w:t>
      </w:r>
      <w:r w:rsidR="00780586">
        <w:rPr>
          <w:rFonts w:ascii="Baskerville" w:hAnsi="Baskerville" w:cs="Baskerville"/>
          <w:color w:val="000000" w:themeColor="text1"/>
          <w:sz w:val="24"/>
          <w:szCs w:val="24"/>
        </w:rPr>
        <w:t>,</w:t>
      </w:r>
      <w:r w:rsidR="00780586" w:rsidRPr="00D952CF">
        <w:rPr>
          <w:rFonts w:ascii="Baskerville" w:hAnsi="Baskerville" w:cs="Baskerville"/>
          <w:color w:val="000000" w:themeColor="text1"/>
          <w:sz w:val="24"/>
          <w:szCs w:val="24"/>
        </w:rPr>
        <w:t xml:space="preserve"> </w:t>
      </w:r>
      <w:r w:rsidR="00F978BA" w:rsidRPr="00D952CF">
        <w:rPr>
          <w:rFonts w:ascii="Baskerville" w:hAnsi="Baskerville" w:cs="Baskerville"/>
          <w:color w:val="000000" w:themeColor="text1"/>
          <w:sz w:val="24"/>
          <w:szCs w:val="24"/>
        </w:rPr>
        <w:t>many sub-prime borrowers in the US should have known that they did not qualify for a mortgage.</w:t>
      </w:r>
      <w:r w:rsidR="00F978BA" w:rsidRPr="00E93D72">
        <w:rPr>
          <w:rStyle w:val="FootnoteReference"/>
        </w:rPr>
        <w:footnoteReference w:id="27"/>
      </w:r>
      <w:r w:rsidR="00F978BA" w:rsidRPr="00D952CF">
        <w:rPr>
          <w:rFonts w:ascii="Baskerville" w:hAnsi="Baskerville" w:cs="Baskerville"/>
          <w:color w:val="000000" w:themeColor="text1"/>
          <w:sz w:val="24"/>
          <w:szCs w:val="24"/>
        </w:rPr>
        <w:t xml:space="preserve"> This gives rise to a puzzle: Why do borrowers take out credit, even though they have access to good evidence that they won’t be able to repay? I want to suggest two reasons.</w:t>
      </w:r>
    </w:p>
    <w:p w14:paraId="35D7F1B7" w14:textId="1787BCF1" w:rsidR="00F978BA" w:rsidRPr="00D952CF" w:rsidRDefault="00F978BA" w:rsidP="00F978BA">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The first is that consumer credit is often used by less well-off households as a last resort to meet urgent expenditures. In the UK, a third of households have no savings at all, and 13% have savings under £1,500.</w:t>
      </w:r>
      <w:r w:rsidRPr="00E93D72">
        <w:rPr>
          <w:rStyle w:val="FootnoteReference"/>
        </w:rPr>
        <w:footnoteReference w:id="28"/>
      </w:r>
      <w:r w:rsidRPr="00D952CF">
        <w:rPr>
          <w:rFonts w:ascii="Baskerville" w:hAnsi="Baskerville" w:cs="Baskerville"/>
          <w:color w:val="000000" w:themeColor="text1"/>
          <w:sz w:val="24"/>
          <w:szCs w:val="24"/>
        </w:rPr>
        <w:t xml:space="preserve"> This means that the breakdown of a household appliance or an unexpected traffic fine can prompt the need to borrow. In such situation</w:t>
      </w:r>
      <w:r w:rsidR="007B1356">
        <w:rPr>
          <w:rFonts w:ascii="Baskerville" w:hAnsi="Baskerville" w:cs="Baskerville"/>
          <w:color w:val="000000" w:themeColor="text1"/>
          <w:sz w:val="24"/>
          <w:szCs w:val="24"/>
        </w:rPr>
        <w:t>s</w:t>
      </w:r>
      <w:r w:rsidRPr="00D952CF">
        <w:rPr>
          <w:rFonts w:ascii="Baskerville" w:hAnsi="Baskerville" w:cs="Baskerville"/>
          <w:color w:val="000000" w:themeColor="text1"/>
          <w:sz w:val="24"/>
          <w:szCs w:val="24"/>
        </w:rPr>
        <w:t xml:space="preserve">, </w:t>
      </w:r>
      <w:r w:rsidR="00780586">
        <w:rPr>
          <w:rFonts w:ascii="Baskerville" w:hAnsi="Baskerville" w:cs="Baskerville"/>
          <w:color w:val="000000" w:themeColor="text1"/>
          <w:sz w:val="24"/>
          <w:szCs w:val="24"/>
        </w:rPr>
        <w:t>considerations of creditworthiness may seem less urgent</w:t>
      </w:r>
      <w:r w:rsidRPr="00D952CF">
        <w:rPr>
          <w:rFonts w:ascii="Baskerville" w:hAnsi="Baskerville" w:cs="Baskerville"/>
          <w:color w:val="000000" w:themeColor="text1"/>
          <w:sz w:val="24"/>
          <w:szCs w:val="24"/>
        </w:rPr>
        <w:t xml:space="preserve">. </w:t>
      </w:r>
      <w:r w:rsidR="00780586">
        <w:rPr>
          <w:rFonts w:ascii="Baskerville" w:hAnsi="Baskerville" w:cs="Baskerville"/>
          <w:color w:val="000000" w:themeColor="text1"/>
          <w:sz w:val="24"/>
          <w:szCs w:val="24"/>
        </w:rPr>
        <w:t>Rather than declaring bankruptcy, h</w:t>
      </w:r>
      <w:r w:rsidRPr="00D952CF">
        <w:rPr>
          <w:rFonts w:ascii="Baskerville" w:hAnsi="Baskerville" w:cs="Baskerville"/>
          <w:color w:val="000000" w:themeColor="text1"/>
          <w:sz w:val="24"/>
          <w:szCs w:val="24"/>
        </w:rPr>
        <w:t>ouseholds</w:t>
      </w:r>
      <w:r w:rsidR="00780586">
        <w:rPr>
          <w:rFonts w:ascii="Baskerville" w:hAnsi="Baskerville" w:cs="Baskerville"/>
          <w:color w:val="000000" w:themeColor="text1"/>
          <w:sz w:val="24"/>
          <w:szCs w:val="24"/>
        </w:rPr>
        <w:t xml:space="preserve"> gamble for redemption, in the</w:t>
      </w:r>
      <w:r w:rsidRPr="00D952CF">
        <w:rPr>
          <w:rFonts w:ascii="Baskerville" w:hAnsi="Baskerville" w:cs="Baskerville"/>
          <w:color w:val="000000" w:themeColor="text1"/>
          <w:sz w:val="24"/>
          <w:szCs w:val="24"/>
        </w:rPr>
        <w:t xml:space="preserve"> hope </w:t>
      </w:r>
      <w:r w:rsidR="00780586">
        <w:rPr>
          <w:rFonts w:ascii="Baskerville" w:hAnsi="Baskerville" w:cs="Baskerville"/>
          <w:color w:val="000000" w:themeColor="text1"/>
          <w:sz w:val="24"/>
          <w:szCs w:val="24"/>
        </w:rPr>
        <w:t>that</w:t>
      </w:r>
      <w:r w:rsidRPr="00D952CF">
        <w:rPr>
          <w:rFonts w:ascii="Baskerville" w:hAnsi="Baskerville" w:cs="Baskerville"/>
          <w:color w:val="000000" w:themeColor="text1"/>
          <w:sz w:val="24"/>
          <w:szCs w:val="24"/>
        </w:rPr>
        <w:t xml:space="preserve"> future income </w:t>
      </w:r>
      <w:r w:rsidR="00625BDF">
        <w:rPr>
          <w:rFonts w:ascii="Baskerville" w:hAnsi="Baskerville" w:cs="Baskerville"/>
          <w:color w:val="000000" w:themeColor="text1"/>
          <w:sz w:val="24"/>
          <w:szCs w:val="24"/>
        </w:rPr>
        <w:t xml:space="preserve">will enable them </w:t>
      </w:r>
      <w:r w:rsidRPr="00D952CF">
        <w:rPr>
          <w:rFonts w:ascii="Baskerville" w:hAnsi="Baskerville" w:cs="Baskerville"/>
          <w:color w:val="000000" w:themeColor="text1"/>
          <w:sz w:val="24"/>
          <w:szCs w:val="24"/>
        </w:rPr>
        <w:t>to pay off the</w:t>
      </w:r>
      <w:r w:rsidR="00625BDF">
        <w:rPr>
          <w:rFonts w:ascii="Baskerville" w:hAnsi="Baskerville" w:cs="Baskerville"/>
          <w:color w:val="000000" w:themeColor="text1"/>
          <w:sz w:val="24"/>
          <w:szCs w:val="24"/>
        </w:rPr>
        <w:t>ir</w:t>
      </w:r>
      <w:r w:rsidRPr="00D952CF">
        <w:rPr>
          <w:rFonts w:ascii="Baskerville" w:hAnsi="Baskerville" w:cs="Baskerville"/>
          <w:color w:val="000000" w:themeColor="text1"/>
          <w:sz w:val="24"/>
          <w:szCs w:val="24"/>
        </w:rPr>
        <w:t xml:space="preserve"> </w:t>
      </w:r>
      <w:r w:rsidR="00625BDF">
        <w:rPr>
          <w:rFonts w:ascii="Baskerville" w:hAnsi="Baskerville" w:cs="Baskerville"/>
          <w:color w:val="000000" w:themeColor="text1"/>
          <w:sz w:val="24"/>
          <w:szCs w:val="24"/>
        </w:rPr>
        <w:t>debt</w:t>
      </w:r>
      <w:r w:rsidRPr="00D952CF">
        <w:rPr>
          <w:rFonts w:ascii="Baskerville" w:hAnsi="Baskerville" w:cs="Baskerville"/>
          <w:color w:val="000000" w:themeColor="text1"/>
          <w:sz w:val="24"/>
          <w:szCs w:val="24"/>
        </w:rPr>
        <w:t>.</w:t>
      </w:r>
      <w:r w:rsidR="008B756F" w:rsidRPr="00D952CF">
        <w:rPr>
          <w:rFonts w:ascii="Baskerville" w:hAnsi="Baskerville" w:cs="Baskerville"/>
          <w:color w:val="000000" w:themeColor="text1"/>
          <w:sz w:val="24"/>
          <w:szCs w:val="24"/>
        </w:rPr>
        <w:t xml:space="preserve"> </w:t>
      </w:r>
      <w:r w:rsidRPr="00D952CF">
        <w:rPr>
          <w:rFonts w:ascii="Baskerville" w:hAnsi="Baskerville" w:cs="Baskerville"/>
          <w:color w:val="000000" w:themeColor="text1"/>
          <w:sz w:val="24"/>
          <w:szCs w:val="24"/>
        </w:rPr>
        <w:t xml:space="preserve">The second reason why </w:t>
      </w:r>
      <w:r w:rsidR="008B756F" w:rsidRPr="00D952CF">
        <w:rPr>
          <w:rFonts w:ascii="Baskerville" w:hAnsi="Baskerville" w:cs="Baskerville"/>
          <w:color w:val="000000" w:themeColor="text1"/>
          <w:sz w:val="24"/>
          <w:szCs w:val="24"/>
        </w:rPr>
        <w:t>people</w:t>
      </w:r>
      <w:r w:rsidRPr="00D952CF">
        <w:rPr>
          <w:rFonts w:ascii="Baskerville" w:hAnsi="Baskerville" w:cs="Baskerville"/>
          <w:color w:val="000000" w:themeColor="text1"/>
          <w:sz w:val="24"/>
          <w:szCs w:val="24"/>
        </w:rPr>
        <w:t xml:space="preserve"> take out credit they cannot repay is low financial literacy. Studies of financial literacy consistently find that people fail to understand basic financial concepts such as interest rates.</w:t>
      </w:r>
      <w:r w:rsidRPr="00E93D72">
        <w:rPr>
          <w:rStyle w:val="FootnoteReference"/>
        </w:rPr>
        <w:footnoteReference w:id="29"/>
      </w:r>
      <w:r w:rsidRPr="00D952CF">
        <w:rPr>
          <w:rFonts w:ascii="Baskerville" w:hAnsi="Baskerville" w:cs="Baskerville"/>
          <w:color w:val="000000" w:themeColor="text1"/>
          <w:sz w:val="24"/>
          <w:szCs w:val="24"/>
        </w:rPr>
        <w:t xml:space="preserve"> Lack of financial literacy can be exploited by financial institutions to sell products to customers that do not benefit them.</w:t>
      </w:r>
    </w:p>
    <w:p w14:paraId="73F5F9A7" w14:textId="4D683AD9" w:rsidR="00855CC2" w:rsidRDefault="00855CC2" w:rsidP="00855CC2">
      <w:pPr>
        <w:pStyle w:val="BodyText"/>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 have argued that economic self-interest does not </w:t>
      </w:r>
      <w:r>
        <w:rPr>
          <w:rFonts w:ascii="Baskerville" w:hAnsi="Baskerville" w:cs="Baskerville"/>
          <w:color w:val="000000" w:themeColor="text1"/>
          <w:sz w:val="24"/>
          <w:szCs w:val="24"/>
        </w:rPr>
        <w:t>propel</w:t>
      </w:r>
      <w:r w:rsidRPr="00D952CF">
        <w:rPr>
          <w:rFonts w:ascii="Baskerville" w:hAnsi="Baskerville" w:cs="Baskerville"/>
          <w:color w:val="000000" w:themeColor="text1"/>
          <w:sz w:val="24"/>
          <w:szCs w:val="24"/>
        </w:rPr>
        <w:t xml:space="preserve"> banks to minimise mistakes of wrongful exclusion</w:t>
      </w:r>
      <w:r>
        <w:rPr>
          <w:rFonts w:ascii="Baskerville" w:hAnsi="Baskerville" w:cs="Baskerville"/>
          <w:color w:val="000000" w:themeColor="text1"/>
          <w:sz w:val="24"/>
          <w:szCs w:val="24"/>
        </w:rPr>
        <w:t xml:space="preserve"> or</w:t>
      </w:r>
      <w:r w:rsidRPr="00D952CF">
        <w:rPr>
          <w:rFonts w:ascii="Baskerville" w:hAnsi="Baskerville" w:cs="Baskerville"/>
          <w:color w:val="000000" w:themeColor="text1"/>
          <w:sz w:val="24"/>
          <w:szCs w:val="24"/>
        </w:rPr>
        <w:t xml:space="preserve"> wrongful inclusion</w:t>
      </w:r>
      <w:r w:rsidRPr="005C032D">
        <w:rPr>
          <w:rFonts w:ascii="Baskerville" w:hAnsi="Baskerville" w:cs="Baskerville"/>
          <w:color w:val="000000" w:themeColor="text1"/>
          <w:sz w:val="24"/>
          <w:szCs w:val="24"/>
        </w:rPr>
        <w:t>.</w:t>
      </w:r>
      <w:r w:rsidRPr="008376D7">
        <w:rPr>
          <w:rFonts w:ascii="Baskerville" w:hAnsi="Baskerville" w:cs="Baskerville"/>
          <w:color w:val="000000" w:themeColor="text1"/>
          <w:sz w:val="24"/>
          <w:szCs w:val="24"/>
        </w:rPr>
        <w:t xml:space="preserve"> Thus</w:t>
      </w:r>
      <w:r w:rsidRPr="005C032D">
        <w:rPr>
          <w:rFonts w:ascii="Baskerville" w:hAnsi="Baskerville" w:cs="Baskerville"/>
          <w:color w:val="000000" w:themeColor="text1"/>
          <w:sz w:val="24"/>
          <w:szCs w:val="24"/>
        </w:rPr>
        <w:t>,</w:t>
      </w:r>
      <w:r w:rsidRPr="008376D7">
        <w:rPr>
          <w:rFonts w:ascii="Baskerville" w:hAnsi="Baskerville" w:cs="Baskerville"/>
          <w:color w:val="000000" w:themeColor="text1"/>
          <w:sz w:val="24"/>
          <w:szCs w:val="24"/>
        </w:rPr>
        <w:t xml:space="preserve"> if they only a</w:t>
      </w:r>
      <w:r>
        <w:rPr>
          <w:rFonts w:ascii="Baskerville" w:hAnsi="Baskerville" w:cs="Baskerville"/>
          <w:color w:val="000000" w:themeColor="text1"/>
          <w:sz w:val="24"/>
          <w:szCs w:val="24"/>
        </w:rPr>
        <w:t>c</w:t>
      </w:r>
      <w:r w:rsidRPr="008376D7">
        <w:rPr>
          <w:rFonts w:ascii="Baskerville" w:hAnsi="Baskerville" w:cs="Baskerville"/>
          <w:color w:val="000000" w:themeColor="text1"/>
          <w:sz w:val="24"/>
          <w:szCs w:val="24"/>
        </w:rPr>
        <w:t>t out of self-interest,</w:t>
      </w:r>
      <w:r w:rsidRPr="005C032D">
        <w:rPr>
          <w:rFonts w:ascii="Baskerville" w:hAnsi="Baskerville" w:cs="Baskerville"/>
          <w:color w:val="000000" w:themeColor="text1"/>
          <w:sz w:val="24"/>
          <w:szCs w:val="24"/>
        </w:rPr>
        <w:t xml:space="preserve"> banks will fail to properly discharge their obligation to provide creditworthy citizens with credit at reasonable interest rates, and to prevent over-borrowing.</w:t>
      </w:r>
      <w:r w:rsidR="00B26E6D">
        <w:rPr>
          <w:rFonts w:ascii="Baskerville" w:hAnsi="Baskerville" w:cs="Baskerville"/>
          <w:color w:val="000000" w:themeColor="text1"/>
          <w:sz w:val="24"/>
          <w:szCs w:val="24"/>
        </w:rPr>
        <w:t xml:space="preserve"> Financial regulators</w:t>
      </w:r>
      <w:r>
        <w:rPr>
          <w:rFonts w:ascii="Baskerville" w:hAnsi="Baskerville" w:cs="Baskerville"/>
          <w:color w:val="000000" w:themeColor="text1"/>
          <w:sz w:val="24"/>
          <w:szCs w:val="24"/>
        </w:rPr>
        <w:t xml:space="preserve">, however, </w:t>
      </w:r>
      <w:r w:rsidR="00B26E6D">
        <w:rPr>
          <w:rFonts w:ascii="Baskerville" w:hAnsi="Baskerville" w:cs="Baskerville"/>
          <w:color w:val="000000" w:themeColor="text1"/>
          <w:sz w:val="24"/>
          <w:szCs w:val="24"/>
        </w:rPr>
        <w:t>can steer</w:t>
      </w:r>
      <w:r>
        <w:rPr>
          <w:rFonts w:ascii="Baskerville" w:hAnsi="Baskerville" w:cs="Baskerville"/>
          <w:color w:val="000000" w:themeColor="text1"/>
          <w:sz w:val="24"/>
          <w:szCs w:val="24"/>
        </w:rPr>
        <w:t xml:space="preserve"> banks to fulfil their obligations. Thus, financial regulation and supervision are needed to compel banks to fulfil their social purpose. </w:t>
      </w:r>
      <w:r w:rsidRPr="00D952CF">
        <w:rPr>
          <w:rFonts w:ascii="Baskerville" w:hAnsi="Baskerville" w:cs="Baskerville"/>
          <w:color w:val="000000" w:themeColor="text1"/>
          <w:sz w:val="24"/>
          <w:szCs w:val="24"/>
        </w:rPr>
        <w:t xml:space="preserve"> </w:t>
      </w:r>
    </w:p>
    <w:p w14:paraId="78B97DEA" w14:textId="77777777" w:rsidR="008710A2" w:rsidRDefault="007F6AD1" w:rsidP="008710A2">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lastRenderedPageBreak/>
        <w:t>4 Two kinds of normative trade-offs in minimizing mistakes of wrongful inclusion and exclusion</w:t>
      </w:r>
    </w:p>
    <w:p w14:paraId="3626F61D" w14:textId="32A673BF" w:rsidR="00A86792" w:rsidRDefault="00B26E6D" w:rsidP="007B1356">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Let’s take stock. I have argued that the social purpose of banks is to grant credit to creditworthy citizens, and to avoid over-borrowing. We have also seen that banks’ economic self-interest is not aligned with their obligations. Hence, financial regulation and supervision are needed to steer banks toward their social purpose. In this section, I discuss the normative decisions regulators and supervisors face when they craft guidelines and legislation. My key point is that the task of regulators and supervisors is not merely technical, but </w:t>
      </w:r>
      <w:r w:rsidR="00B90055">
        <w:rPr>
          <w:rFonts w:ascii="Baskerville" w:hAnsi="Baskerville" w:cs="Baskerville"/>
          <w:color w:val="000000" w:themeColor="text1"/>
          <w:sz w:val="24"/>
          <w:szCs w:val="24"/>
        </w:rPr>
        <w:t>highly enmeshed in normative considerations</w:t>
      </w:r>
      <w:r>
        <w:rPr>
          <w:rFonts w:ascii="Baskerville" w:hAnsi="Baskerville" w:cs="Baskerville"/>
          <w:color w:val="000000" w:themeColor="text1"/>
          <w:sz w:val="24"/>
          <w:szCs w:val="24"/>
        </w:rPr>
        <w:t>. In particular, regulators and supervisors need to resolve two kinds of normative trade-offs. The first trade-off concerns striking a balance between mistakes of wrongful exclusion and mistakes of wrongful inclusion. This trade</w:t>
      </w:r>
      <w:r w:rsidR="007B1356">
        <w:rPr>
          <w:rFonts w:ascii="Baskerville" w:hAnsi="Baskerville" w:cs="Baskerville"/>
          <w:color w:val="000000" w:themeColor="text1"/>
          <w:sz w:val="24"/>
          <w:szCs w:val="24"/>
        </w:rPr>
        <w:t>-</w:t>
      </w:r>
      <w:r>
        <w:rPr>
          <w:rFonts w:ascii="Baskerville" w:hAnsi="Baskerville" w:cs="Baskerville"/>
          <w:color w:val="000000" w:themeColor="text1"/>
          <w:sz w:val="24"/>
          <w:szCs w:val="24"/>
        </w:rPr>
        <w:t>off comes about because of the uncertainty surrounding individual loan decisions. Once this balance is struck, a second trade-off emerges, concerning which kinds of applicants will</w:t>
      </w:r>
      <w:r w:rsidR="007B1356">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foreseeably </w:t>
      </w:r>
      <w:r w:rsidR="008A3A49">
        <w:rPr>
          <w:rFonts w:ascii="Baskerville" w:hAnsi="Baskerville" w:cs="Baskerville"/>
          <w:color w:val="000000" w:themeColor="text1"/>
          <w:sz w:val="24"/>
          <w:szCs w:val="24"/>
        </w:rPr>
        <w:t xml:space="preserve">be </w:t>
      </w:r>
      <w:r>
        <w:rPr>
          <w:rFonts w:ascii="Baskerville" w:hAnsi="Baskerville" w:cs="Baskerville"/>
          <w:color w:val="000000" w:themeColor="text1"/>
          <w:sz w:val="24"/>
          <w:szCs w:val="24"/>
        </w:rPr>
        <w:t>wrongfully excluded. Let me discuss these two kinds of trade-off in turn.</w:t>
      </w:r>
    </w:p>
    <w:p w14:paraId="714C175F" w14:textId="77777777" w:rsidR="00A86792" w:rsidRDefault="00B26E6D" w:rsidP="00A8679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 </w:t>
      </w:r>
      <w:r w:rsidRPr="00D952CF">
        <w:rPr>
          <w:rFonts w:ascii="Baskerville" w:hAnsi="Baskerville" w:cs="Baskerville"/>
          <w:color w:val="000000" w:themeColor="text1"/>
          <w:sz w:val="24"/>
          <w:szCs w:val="24"/>
        </w:rPr>
        <w:t xml:space="preserve">trade-off between </w:t>
      </w:r>
      <w:r>
        <w:rPr>
          <w:rFonts w:ascii="Baskerville" w:hAnsi="Baskerville" w:cs="Baskerville"/>
          <w:color w:val="000000" w:themeColor="text1"/>
          <w:sz w:val="24"/>
          <w:szCs w:val="24"/>
        </w:rPr>
        <w:t xml:space="preserve">avoiding </w:t>
      </w:r>
      <w:r w:rsidRPr="00D952CF">
        <w:rPr>
          <w:rFonts w:ascii="Baskerville" w:hAnsi="Baskerville" w:cs="Baskerville"/>
          <w:color w:val="000000" w:themeColor="text1"/>
          <w:sz w:val="24"/>
          <w:szCs w:val="24"/>
        </w:rPr>
        <w:t xml:space="preserve">mistakes of wrongful inclusion and </w:t>
      </w:r>
      <w:r>
        <w:rPr>
          <w:rFonts w:ascii="Baskerville" w:hAnsi="Baskerville" w:cs="Baskerville"/>
          <w:color w:val="000000" w:themeColor="text1"/>
          <w:sz w:val="24"/>
          <w:szCs w:val="24"/>
        </w:rPr>
        <w:t>avoiding</w:t>
      </w:r>
      <w:r w:rsidRPr="00D952CF">
        <w:rPr>
          <w:rFonts w:ascii="Baskerville" w:hAnsi="Baskerville" w:cs="Baskerville"/>
          <w:color w:val="000000" w:themeColor="text1"/>
          <w:sz w:val="24"/>
          <w:szCs w:val="24"/>
        </w:rPr>
        <w:t xml:space="preserve"> mistakes of wrongful exclusion</w:t>
      </w:r>
      <w:r>
        <w:rPr>
          <w:rFonts w:ascii="Baskerville" w:hAnsi="Baskerville" w:cs="Baskerville"/>
          <w:color w:val="000000" w:themeColor="text1"/>
          <w:sz w:val="24"/>
          <w:szCs w:val="24"/>
        </w:rPr>
        <w:t xml:space="preserve"> comes about because of the </w:t>
      </w:r>
      <w:r w:rsidRPr="00D952CF">
        <w:rPr>
          <w:rFonts w:ascii="Baskerville" w:hAnsi="Baskerville" w:cs="Baskerville"/>
          <w:color w:val="000000" w:themeColor="text1"/>
          <w:sz w:val="24"/>
          <w:szCs w:val="24"/>
        </w:rPr>
        <w:t xml:space="preserve">uncertainty surrounding individual loan decisions. </w:t>
      </w:r>
      <w:r>
        <w:rPr>
          <w:rFonts w:ascii="Baskerville" w:hAnsi="Baskerville" w:cs="Baskerville"/>
          <w:color w:val="000000" w:themeColor="text1"/>
          <w:sz w:val="24"/>
          <w:szCs w:val="24"/>
        </w:rPr>
        <w:t>A</w:t>
      </w:r>
      <w:r w:rsidRPr="00D952CF">
        <w:rPr>
          <w:rFonts w:ascii="Baskerville" w:hAnsi="Baskerville" w:cs="Baskerville"/>
          <w:color w:val="000000" w:themeColor="text1"/>
          <w:sz w:val="24"/>
          <w:szCs w:val="24"/>
        </w:rPr>
        <w:t>voiding either mistake</w:t>
      </w:r>
      <w:r>
        <w:rPr>
          <w:rFonts w:ascii="Baskerville" w:hAnsi="Baskerville" w:cs="Baskerville"/>
          <w:color w:val="000000" w:themeColor="text1"/>
          <w:sz w:val="24"/>
          <w:szCs w:val="24"/>
        </w:rPr>
        <w:t>s of wrongful inclusion or wrongful exclusion</w:t>
      </w:r>
      <w:r w:rsidRPr="00D952CF">
        <w:rPr>
          <w:rFonts w:ascii="Baskerville" w:hAnsi="Baskerville" w:cs="Baskerville"/>
          <w:color w:val="000000" w:themeColor="text1"/>
          <w:sz w:val="24"/>
          <w:szCs w:val="24"/>
        </w:rPr>
        <w:t xml:space="preserve"> altogether would lead to a sharp increas</w:t>
      </w:r>
      <w:r>
        <w:rPr>
          <w:rFonts w:ascii="Baskerville" w:hAnsi="Baskerville" w:cs="Baskerville"/>
          <w:color w:val="000000" w:themeColor="text1"/>
          <w:sz w:val="24"/>
          <w:szCs w:val="24"/>
        </w:rPr>
        <w:t>e in mistakes of the respective other kind.</w:t>
      </w:r>
      <w:r w:rsidRPr="00D952CF">
        <w:rPr>
          <w:rFonts w:ascii="Baskerville" w:hAnsi="Baskerville" w:cs="Baskerville"/>
          <w:color w:val="000000" w:themeColor="text1"/>
          <w:sz w:val="24"/>
          <w:szCs w:val="24"/>
        </w:rPr>
        <w:t xml:space="preserve"> Minimising the risk of wrongful inclusion would make the number of mistakes of wrongful exclusion shoot up</w:t>
      </w:r>
      <w:r>
        <w:rPr>
          <w:rFonts w:ascii="Baskerville" w:hAnsi="Baskerville" w:cs="Baskerville"/>
          <w:color w:val="000000" w:themeColor="text1"/>
          <w:sz w:val="24"/>
          <w:szCs w:val="24"/>
        </w:rPr>
        <w:t>, disregarding applicants’ claims to credit</w:t>
      </w:r>
      <w:r w:rsidRPr="00D952CF">
        <w:rPr>
          <w:rFonts w:ascii="Baskerville" w:hAnsi="Baskerville" w:cs="Baskerville"/>
          <w:color w:val="000000" w:themeColor="text1"/>
          <w:sz w:val="24"/>
          <w:szCs w:val="24"/>
        </w:rPr>
        <w:t>. Minimising the risk of wrongful exclusion would make the number of mistakes of wrongful in</w:t>
      </w:r>
      <w:r>
        <w:rPr>
          <w:rFonts w:ascii="Baskerville" w:hAnsi="Baskerville" w:cs="Baskerville"/>
          <w:color w:val="000000" w:themeColor="text1"/>
          <w:sz w:val="24"/>
          <w:szCs w:val="24"/>
        </w:rPr>
        <w:t>clusion shoot up, threatening the financial viability of banks</w:t>
      </w:r>
      <w:r w:rsidRPr="00D952CF">
        <w:rPr>
          <w:rFonts w:ascii="Baskerville" w:hAnsi="Baskerville" w:cs="Baskerville"/>
          <w:color w:val="000000" w:themeColor="text1"/>
          <w:sz w:val="24"/>
          <w:szCs w:val="24"/>
        </w:rPr>
        <w:t>.</w:t>
      </w:r>
    </w:p>
    <w:p w14:paraId="2D663522" w14:textId="5070A746" w:rsidR="00A86792" w:rsidRDefault="00B26E6D" w:rsidP="00A8679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The structure of this trade-off is familiar from criminal sentencing. The two types of mistakes judges can make are to let a guilty person </w:t>
      </w:r>
      <w:r w:rsidR="00BB2020">
        <w:rPr>
          <w:rFonts w:ascii="Baskerville" w:hAnsi="Baskerville" w:cs="Baskerville"/>
          <w:color w:val="000000" w:themeColor="text1"/>
          <w:sz w:val="24"/>
          <w:szCs w:val="24"/>
        </w:rPr>
        <w:t xml:space="preserve">pose as </w:t>
      </w:r>
      <w:r>
        <w:rPr>
          <w:rFonts w:ascii="Baskerville" w:hAnsi="Baskerville" w:cs="Baskerville"/>
          <w:color w:val="000000" w:themeColor="text1"/>
          <w:sz w:val="24"/>
          <w:szCs w:val="24"/>
        </w:rPr>
        <w:t xml:space="preserve">innocent, it is often hard to know with certainty whether an accused is guilty. Making sure that no culprit ever goes </w:t>
      </w:r>
      <w:r w:rsidR="00BB2020">
        <w:rPr>
          <w:rFonts w:ascii="Baskerville" w:hAnsi="Baskerville" w:cs="Baskerville"/>
          <w:color w:val="000000" w:themeColor="text1"/>
          <w:sz w:val="24"/>
          <w:szCs w:val="24"/>
        </w:rPr>
        <w:t>unpunished</w:t>
      </w:r>
      <w:r>
        <w:rPr>
          <w:rFonts w:ascii="Baskerville" w:hAnsi="Baskerville" w:cs="Baskerville"/>
          <w:color w:val="000000" w:themeColor="text1"/>
          <w:sz w:val="24"/>
          <w:szCs w:val="24"/>
        </w:rPr>
        <w:t xml:space="preserve"> would therefore require lowering the bar for sufficient evidence such that many innocent people would be sentenced unjustly. Unfortunately, ensuring that no innocent person is ever wrongly convicted would lead to a very high number of criminals escaping sentencing.</w:t>
      </w:r>
    </w:p>
    <w:p w14:paraId="4E6A1B48" w14:textId="56797110" w:rsidR="00D11330" w:rsidRPr="00A86792" w:rsidRDefault="00D11330" w:rsidP="001D18B0">
      <w:pPr>
        <w:pStyle w:val="BodyText"/>
        <w:spacing w:line="360" w:lineRule="auto"/>
        <w:rPr>
          <w:rFonts w:ascii="Baskerville" w:hAnsi="Baskerville"/>
          <w:color w:val="000000" w:themeColor="text1"/>
        </w:rPr>
      </w:pPr>
      <w:r>
        <w:rPr>
          <w:rFonts w:ascii="Baskerville" w:hAnsi="Baskerville" w:cs="Baskerville"/>
          <w:color w:val="000000" w:themeColor="text1"/>
          <w:sz w:val="24"/>
          <w:szCs w:val="24"/>
        </w:rPr>
        <w:t xml:space="preserve">To strike an appropriate balance between mistakes of wrongful exclusion and inclusion, it is crucial to determine the relative strength of the claims of applicants not to be wrongfully excluded and not to be wrongfully included. In criminal sentencing, we have erected high </w:t>
      </w:r>
      <w:r>
        <w:rPr>
          <w:rFonts w:ascii="Baskerville" w:hAnsi="Baskerville" w:cs="Baskerville"/>
          <w:color w:val="000000" w:themeColor="text1"/>
          <w:sz w:val="24"/>
          <w:szCs w:val="24"/>
        </w:rPr>
        <w:lastRenderedPageBreak/>
        <w:t>bars for proving guilt, recognizing the right of the accused to due process. We thereby affirm the priority of avoiding wrongful convictions over avoiding undeserved acquittals. On the view presented in section 2, a similar asymmetry applies in the case of credit assessments. Mistakes of wrongful exclusion are rights violations, and therefore of</w:t>
      </w:r>
      <w:r w:rsidR="00E33F48">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first</w:t>
      </w:r>
      <w:r w:rsidR="001D18B0">
        <w:rPr>
          <w:rFonts w:ascii="Baskerville" w:hAnsi="Baskerville" w:cs="Baskerville"/>
          <w:color w:val="000000" w:themeColor="text1"/>
          <w:sz w:val="24"/>
          <w:szCs w:val="24"/>
        </w:rPr>
        <w:t>-</w:t>
      </w:r>
      <w:r>
        <w:rPr>
          <w:rFonts w:ascii="Baskerville" w:hAnsi="Baskerville" w:cs="Baskerville"/>
          <w:color w:val="000000" w:themeColor="text1"/>
          <w:sz w:val="24"/>
          <w:szCs w:val="24"/>
        </w:rPr>
        <w:t>order</w:t>
      </w:r>
      <w:r w:rsidR="00E33F48">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normative importance. This implies that banks should be required to meet high standards of accountability for making credit decisions. In practice, this should include granting comprehensive access to data on credit decisions to regulators and NGOs so that they can screen for discrimination. Banks should be expected to use state</w:t>
      </w:r>
      <w:r w:rsidR="001D18B0">
        <w:rPr>
          <w:rFonts w:ascii="Baskerville" w:hAnsi="Baskerville" w:cs="Baskerville"/>
          <w:color w:val="000000" w:themeColor="text1"/>
          <w:sz w:val="24"/>
          <w:szCs w:val="24"/>
        </w:rPr>
        <w:t>-</w:t>
      </w:r>
      <w:r>
        <w:rPr>
          <w:rFonts w:ascii="Baskerville" w:hAnsi="Baskerville" w:cs="Baskerville"/>
          <w:color w:val="000000" w:themeColor="text1"/>
          <w:sz w:val="24"/>
          <w:szCs w:val="24"/>
        </w:rPr>
        <w:t>of</w:t>
      </w:r>
      <w:r w:rsidR="001D18B0">
        <w:rPr>
          <w:rFonts w:ascii="Baskerville" w:hAnsi="Baskerville" w:cs="Baskerville"/>
          <w:color w:val="000000" w:themeColor="text1"/>
          <w:sz w:val="24"/>
          <w:szCs w:val="24"/>
        </w:rPr>
        <w:t>-</w:t>
      </w:r>
      <w:r>
        <w:rPr>
          <w:rFonts w:ascii="Baskerville" w:hAnsi="Baskerville" w:cs="Baskerville"/>
          <w:color w:val="000000" w:themeColor="text1"/>
          <w:sz w:val="24"/>
          <w:szCs w:val="24"/>
        </w:rPr>
        <w:t>the</w:t>
      </w:r>
      <w:r w:rsidR="001D18B0">
        <w:rPr>
          <w:rFonts w:ascii="Baskerville" w:hAnsi="Baskerville" w:cs="Baskerville"/>
          <w:color w:val="000000" w:themeColor="text1"/>
          <w:sz w:val="24"/>
          <w:szCs w:val="24"/>
        </w:rPr>
        <w:t>-</w:t>
      </w:r>
      <w:r>
        <w:rPr>
          <w:rFonts w:ascii="Baskerville" w:hAnsi="Baskerville" w:cs="Baskerville"/>
          <w:color w:val="000000" w:themeColor="text1"/>
          <w:sz w:val="24"/>
          <w:szCs w:val="24"/>
        </w:rPr>
        <w:t>art techniques in credit assessment, and to develop mechanisms to ensure that their assessments are apt and fair. While banks should be free to specialize in serving select customer groups, they should jointly monitor whether there are customer groups that are currently unserved, and devise strategies to close these service gaps.</w:t>
      </w:r>
    </w:p>
    <w:p w14:paraId="68A98280" w14:textId="19DA8680" w:rsidR="001D644F" w:rsidRDefault="00C60162" w:rsidP="001D644F">
      <w:pPr>
        <w:pStyle w:val="Heading1"/>
        <w:spacing w:before="120" w:after="120"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By contrast,</w:t>
      </w:r>
      <w:r w:rsidR="00067C8D">
        <w:rPr>
          <w:rFonts w:ascii="Baskerville" w:hAnsi="Baskerville" w:cs="Baskerville"/>
          <w:color w:val="000000" w:themeColor="text1"/>
          <w:sz w:val="24"/>
          <w:szCs w:val="24"/>
        </w:rPr>
        <w:t xml:space="preserve"> mistakes of wrongful inclusion are only impermissible</w:t>
      </w:r>
      <w:r w:rsidR="001F3EB3">
        <w:rPr>
          <w:rFonts w:ascii="Baskerville" w:hAnsi="Baskerville" w:cs="Baskerville"/>
          <w:color w:val="000000" w:themeColor="text1"/>
          <w:sz w:val="24"/>
          <w:szCs w:val="24"/>
        </w:rPr>
        <w:t xml:space="preserve"> once they reach a certain threshold,</w:t>
      </w:r>
      <w:r w:rsidR="00067C8D">
        <w:rPr>
          <w:rFonts w:ascii="Baskerville" w:hAnsi="Baskerville" w:cs="Baskerville"/>
          <w:color w:val="000000" w:themeColor="text1"/>
          <w:sz w:val="24"/>
          <w:szCs w:val="24"/>
        </w:rPr>
        <w:t xml:space="preserve"> </w:t>
      </w:r>
      <w:r w:rsidR="001F3EB3">
        <w:rPr>
          <w:rFonts w:ascii="Baskerville" w:hAnsi="Baskerville" w:cs="Baskerville"/>
          <w:color w:val="000000" w:themeColor="text1"/>
          <w:sz w:val="24"/>
          <w:szCs w:val="24"/>
        </w:rPr>
        <w:t>beyond which they undermine the claims of shareholders, bondholders, depositors, and threaten to undermine financial stability</w:t>
      </w:r>
      <w:r w:rsidR="00067C8D">
        <w:rPr>
          <w:rFonts w:ascii="Baskerville" w:hAnsi="Baskerville" w:cs="Baskerville"/>
          <w:color w:val="000000" w:themeColor="text1"/>
          <w:sz w:val="24"/>
          <w:szCs w:val="24"/>
        </w:rPr>
        <w:t xml:space="preserve">. </w:t>
      </w:r>
      <w:r w:rsidR="001D644F">
        <w:rPr>
          <w:rFonts w:ascii="Baskerville" w:hAnsi="Baskerville" w:cs="Baskerville"/>
          <w:color w:val="000000" w:themeColor="text1"/>
          <w:sz w:val="24"/>
          <w:szCs w:val="24"/>
        </w:rPr>
        <w:t xml:space="preserve">Therefore, banks should not be held accountable for individual mistakes of wrongful inclusion. </w:t>
      </w:r>
      <w:r w:rsidR="00220870">
        <w:rPr>
          <w:rFonts w:ascii="Baskerville" w:hAnsi="Baskerville" w:cs="Baskerville"/>
          <w:color w:val="000000" w:themeColor="text1"/>
          <w:sz w:val="24"/>
          <w:szCs w:val="24"/>
        </w:rPr>
        <w:t>B</w:t>
      </w:r>
      <w:r w:rsidR="001D644F">
        <w:rPr>
          <w:rFonts w:ascii="Baskerville" w:hAnsi="Baskerville" w:cs="Baskerville"/>
          <w:color w:val="000000" w:themeColor="text1"/>
          <w:sz w:val="24"/>
          <w:szCs w:val="24"/>
        </w:rPr>
        <w:t xml:space="preserve">anks should </w:t>
      </w:r>
      <w:r w:rsidR="00220870">
        <w:rPr>
          <w:rFonts w:ascii="Baskerville" w:hAnsi="Baskerville" w:cs="Baskerville"/>
          <w:color w:val="000000" w:themeColor="text1"/>
          <w:sz w:val="24"/>
          <w:szCs w:val="24"/>
        </w:rPr>
        <w:t xml:space="preserve">instead </w:t>
      </w:r>
      <w:r w:rsidR="001D644F">
        <w:rPr>
          <w:rFonts w:ascii="Baskerville" w:hAnsi="Baskerville" w:cs="Baskerville"/>
          <w:color w:val="000000" w:themeColor="text1"/>
          <w:sz w:val="24"/>
          <w:szCs w:val="24"/>
        </w:rPr>
        <w:t xml:space="preserve">be required to </w:t>
      </w:r>
      <w:r w:rsidR="00220870">
        <w:rPr>
          <w:rFonts w:ascii="Baskerville" w:hAnsi="Baskerville" w:cs="Baskerville"/>
          <w:color w:val="000000" w:themeColor="text1"/>
          <w:sz w:val="24"/>
          <w:szCs w:val="24"/>
        </w:rPr>
        <w:t>obtain</w:t>
      </w:r>
      <w:r w:rsidR="001D644F">
        <w:rPr>
          <w:rFonts w:ascii="Baskerville" w:hAnsi="Baskerville" w:cs="Baskerville"/>
          <w:color w:val="000000" w:themeColor="text1"/>
          <w:sz w:val="24"/>
          <w:szCs w:val="24"/>
        </w:rPr>
        <w:t xml:space="preserve"> meaningful consent from customers. Meaningful consent requires, of course, actual consent. But </w:t>
      </w:r>
      <w:r w:rsidR="00220870">
        <w:rPr>
          <w:rFonts w:ascii="Baskerville" w:hAnsi="Baskerville" w:cs="Baskerville"/>
          <w:color w:val="000000" w:themeColor="text1"/>
          <w:sz w:val="24"/>
          <w:szCs w:val="24"/>
        </w:rPr>
        <w:t xml:space="preserve">meaningful consent </w:t>
      </w:r>
      <w:r w:rsidR="001D644F">
        <w:rPr>
          <w:rFonts w:ascii="Baskerville" w:hAnsi="Baskerville" w:cs="Baskerville"/>
          <w:color w:val="000000" w:themeColor="text1"/>
          <w:sz w:val="24"/>
          <w:szCs w:val="24"/>
        </w:rPr>
        <w:t xml:space="preserve">also requires more than that. </w:t>
      </w:r>
      <w:r w:rsidR="00220870">
        <w:rPr>
          <w:rFonts w:ascii="Baskerville" w:hAnsi="Baskerville" w:cs="Baskerville"/>
          <w:color w:val="000000" w:themeColor="text1"/>
          <w:sz w:val="24"/>
          <w:szCs w:val="24"/>
        </w:rPr>
        <w:t xml:space="preserve">Banks need to </w:t>
      </w:r>
      <w:r w:rsidR="00A86792">
        <w:rPr>
          <w:rFonts w:ascii="Baskerville" w:hAnsi="Baskerville" w:cs="Baskerville"/>
          <w:color w:val="000000" w:themeColor="text1"/>
          <w:sz w:val="24"/>
          <w:szCs w:val="24"/>
        </w:rPr>
        <w:t>satisfy</w:t>
      </w:r>
      <w:r w:rsidR="00220870">
        <w:rPr>
          <w:rFonts w:ascii="Baskerville" w:hAnsi="Baskerville" w:cs="Baskerville"/>
          <w:color w:val="000000" w:themeColor="text1"/>
          <w:sz w:val="24"/>
          <w:szCs w:val="24"/>
        </w:rPr>
        <w:t xml:space="preserve"> a number of conditions </w:t>
      </w:r>
      <w:r w:rsidR="00A86792">
        <w:rPr>
          <w:rFonts w:ascii="Baskerville" w:hAnsi="Baskerville" w:cs="Baskerville"/>
          <w:color w:val="000000" w:themeColor="text1"/>
          <w:sz w:val="24"/>
          <w:szCs w:val="24"/>
        </w:rPr>
        <w:t>that make</w:t>
      </w:r>
      <w:r w:rsidR="001D644F">
        <w:rPr>
          <w:rFonts w:ascii="Baskerville" w:hAnsi="Baskerville" w:cs="Baskerville"/>
          <w:color w:val="000000" w:themeColor="text1"/>
          <w:sz w:val="24"/>
          <w:szCs w:val="24"/>
        </w:rPr>
        <w:t xml:space="preserve"> the credit contract </w:t>
      </w:r>
      <w:r w:rsidR="00220870">
        <w:rPr>
          <w:rFonts w:ascii="Baskerville" w:hAnsi="Baskerville" w:cs="Baskerville"/>
          <w:color w:val="000000" w:themeColor="text1"/>
          <w:sz w:val="24"/>
          <w:szCs w:val="24"/>
        </w:rPr>
        <w:t xml:space="preserve">they </w:t>
      </w:r>
      <w:r w:rsidR="001D644F">
        <w:rPr>
          <w:rFonts w:ascii="Baskerville" w:hAnsi="Baskerville" w:cs="Baskerville"/>
          <w:color w:val="000000" w:themeColor="text1"/>
          <w:sz w:val="24"/>
          <w:szCs w:val="24"/>
        </w:rPr>
        <w:t>enter normatively binding.</w:t>
      </w:r>
      <w:r w:rsidR="001D644F" w:rsidRPr="00E93D72">
        <w:rPr>
          <w:rStyle w:val="FootnoteReference"/>
        </w:rPr>
        <w:footnoteReference w:id="30"/>
      </w:r>
      <w:r w:rsidR="001D644F">
        <w:rPr>
          <w:rFonts w:ascii="Baskerville" w:hAnsi="Baskerville" w:cs="Baskerville"/>
          <w:color w:val="000000" w:themeColor="text1"/>
          <w:sz w:val="24"/>
          <w:szCs w:val="24"/>
        </w:rPr>
        <w:t xml:space="preserve"> </w:t>
      </w:r>
    </w:p>
    <w:p w14:paraId="2ADC253C" w14:textId="40409B0F" w:rsidR="00067C8D" w:rsidRPr="000A64BD" w:rsidRDefault="001F3EB3" w:rsidP="001D644F">
      <w:pPr>
        <w:pStyle w:val="Heading1"/>
        <w:spacing w:before="120" w:after="120"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These conditions must be reflected in the products banks offer. For instance, c</w:t>
      </w:r>
      <w:r w:rsidR="00220870">
        <w:rPr>
          <w:rFonts w:ascii="Baskerville" w:hAnsi="Baskerville" w:cs="Baskerville"/>
          <w:color w:val="000000" w:themeColor="text1"/>
          <w:sz w:val="24"/>
          <w:szCs w:val="24"/>
        </w:rPr>
        <w:t>onsider so-called zero</w:t>
      </w:r>
      <w:r w:rsidR="00EF0F99">
        <w:rPr>
          <w:rFonts w:ascii="Baskerville" w:hAnsi="Baskerville" w:cs="Baskerville"/>
          <w:color w:val="000000" w:themeColor="text1"/>
          <w:sz w:val="24"/>
          <w:szCs w:val="24"/>
        </w:rPr>
        <w:t xml:space="preserve"> </w:t>
      </w:r>
      <w:r w:rsidR="00220870">
        <w:rPr>
          <w:rFonts w:ascii="Baskerville" w:hAnsi="Baskerville" w:cs="Baskerville"/>
          <w:color w:val="000000" w:themeColor="text1"/>
          <w:sz w:val="24"/>
          <w:szCs w:val="24"/>
        </w:rPr>
        <w:t>percent interest credit cards</w:t>
      </w:r>
      <w:r w:rsidR="00067C8D" w:rsidRPr="000A64BD">
        <w:rPr>
          <w:rFonts w:ascii="Baskerville" w:hAnsi="Baskerville" w:cs="Baskerville"/>
          <w:color w:val="000000" w:themeColor="text1"/>
          <w:sz w:val="24"/>
          <w:szCs w:val="24"/>
        </w:rPr>
        <w:t>. These credit cards allow users to borrow</w:t>
      </w:r>
      <w:r w:rsidR="00C60162">
        <w:rPr>
          <w:rFonts w:ascii="Baskerville" w:hAnsi="Baskerville" w:cs="Baskerville"/>
          <w:color w:val="000000" w:themeColor="text1"/>
          <w:sz w:val="24"/>
          <w:szCs w:val="24"/>
        </w:rPr>
        <w:t xml:space="preserve"> money </w:t>
      </w:r>
      <w:r w:rsidR="00220870" w:rsidRPr="000A64BD">
        <w:rPr>
          <w:rFonts w:ascii="Baskerville" w:hAnsi="Baskerville" w:cs="Baskerville"/>
          <w:color w:val="000000" w:themeColor="text1"/>
          <w:sz w:val="24"/>
          <w:szCs w:val="24"/>
        </w:rPr>
        <w:t>interest</w:t>
      </w:r>
      <w:r w:rsidR="00251381">
        <w:rPr>
          <w:rFonts w:ascii="Baskerville" w:hAnsi="Baskerville" w:cs="Baskerville"/>
          <w:color w:val="000000" w:themeColor="text1"/>
          <w:sz w:val="24"/>
          <w:szCs w:val="24"/>
        </w:rPr>
        <w:t xml:space="preserve"> </w:t>
      </w:r>
      <w:r w:rsidR="00220870" w:rsidRPr="000A64BD">
        <w:rPr>
          <w:rFonts w:ascii="Baskerville" w:hAnsi="Baskerville" w:cs="Baskerville"/>
          <w:color w:val="000000" w:themeColor="text1"/>
          <w:sz w:val="24"/>
          <w:szCs w:val="24"/>
        </w:rPr>
        <w:t>free</w:t>
      </w:r>
      <w:r w:rsidR="00220870">
        <w:rPr>
          <w:rFonts w:ascii="Baskerville" w:hAnsi="Baskerville" w:cs="Baskerville"/>
          <w:color w:val="000000" w:themeColor="text1"/>
          <w:sz w:val="24"/>
          <w:szCs w:val="24"/>
        </w:rPr>
        <w:t xml:space="preserve"> </w:t>
      </w:r>
      <w:r w:rsidR="00220870" w:rsidRPr="000A64BD">
        <w:rPr>
          <w:rFonts w:ascii="Baskerville" w:hAnsi="Baskerville" w:cs="Baskerville"/>
          <w:color w:val="000000" w:themeColor="text1"/>
          <w:sz w:val="24"/>
          <w:szCs w:val="24"/>
        </w:rPr>
        <w:t>for a couple of months</w:t>
      </w:r>
      <w:r w:rsidR="00220870">
        <w:rPr>
          <w:rFonts w:ascii="Baskerville" w:hAnsi="Baskerville" w:cs="Baskerville"/>
          <w:color w:val="000000" w:themeColor="text1"/>
          <w:sz w:val="24"/>
          <w:szCs w:val="24"/>
        </w:rPr>
        <w:t xml:space="preserve"> </w:t>
      </w:r>
      <w:r w:rsidR="00C60162">
        <w:rPr>
          <w:rFonts w:ascii="Baskerville" w:hAnsi="Baskerville" w:cs="Baskerville"/>
          <w:color w:val="000000" w:themeColor="text1"/>
          <w:sz w:val="24"/>
          <w:szCs w:val="24"/>
        </w:rPr>
        <w:t>by making payments</w:t>
      </w:r>
      <w:r w:rsidR="00220870">
        <w:rPr>
          <w:rFonts w:ascii="Baskerville" w:hAnsi="Baskerville" w:cs="Baskerville"/>
          <w:color w:val="000000" w:themeColor="text1"/>
          <w:sz w:val="24"/>
          <w:szCs w:val="24"/>
        </w:rPr>
        <w:t xml:space="preserve"> with their credit card</w:t>
      </w:r>
      <w:r w:rsidR="00067C8D" w:rsidRPr="000A64BD">
        <w:rPr>
          <w:rFonts w:ascii="Baskerville" w:hAnsi="Baskerville" w:cs="Baskerville"/>
          <w:color w:val="000000" w:themeColor="text1"/>
          <w:sz w:val="24"/>
          <w:szCs w:val="24"/>
        </w:rPr>
        <w:t xml:space="preserve">. After </w:t>
      </w:r>
      <w:r w:rsidR="00220870">
        <w:rPr>
          <w:rFonts w:ascii="Baskerville" w:hAnsi="Baskerville" w:cs="Baskerville"/>
          <w:color w:val="000000" w:themeColor="text1"/>
          <w:sz w:val="24"/>
          <w:szCs w:val="24"/>
        </w:rPr>
        <w:t>this</w:t>
      </w:r>
      <w:r w:rsidR="00067C8D" w:rsidRPr="000A64BD">
        <w:rPr>
          <w:rFonts w:ascii="Baskerville" w:hAnsi="Baskerville" w:cs="Baskerville"/>
          <w:color w:val="000000" w:themeColor="text1"/>
          <w:sz w:val="24"/>
          <w:szCs w:val="24"/>
        </w:rPr>
        <w:t xml:space="preserve"> period, interest rates rise sharply. It turns out that a large proportion of users run into spiralling debt once the </w:t>
      </w:r>
      <w:r w:rsidR="00220870">
        <w:rPr>
          <w:rFonts w:ascii="Baskerville" w:hAnsi="Baskerville" w:cs="Baskerville"/>
          <w:color w:val="000000" w:themeColor="text1"/>
          <w:sz w:val="24"/>
          <w:szCs w:val="24"/>
        </w:rPr>
        <w:t>interest</w:t>
      </w:r>
      <w:r w:rsidR="00251381">
        <w:rPr>
          <w:rFonts w:ascii="Baskerville" w:hAnsi="Baskerville" w:cs="Baskerville"/>
          <w:color w:val="000000" w:themeColor="text1"/>
          <w:sz w:val="24"/>
          <w:szCs w:val="24"/>
        </w:rPr>
        <w:t>-</w:t>
      </w:r>
      <w:r w:rsidR="00220870">
        <w:rPr>
          <w:rFonts w:ascii="Baskerville" w:hAnsi="Baskerville" w:cs="Baskerville"/>
          <w:color w:val="000000" w:themeColor="text1"/>
          <w:sz w:val="24"/>
          <w:szCs w:val="24"/>
        </w:rPr>
        <w:t xml:space="preserve">free </w:t>
      </w:r>
      <w:r w:rsidR="00067C8D" w:rsidRPr="000A64BD">
        <w:rPr>
          <w:rFonts w:ascii="Baskerville" w:hAnsi="Baskerville" w:cs="Baskerville"/>
          <w:color w:val="000000" w:themeColor="text1"/>
          <w:sz w:val="24"/>
          <w:szCs w:val="24"/>
        </w:rPr>
        <w:t>period ends. This is because many customers over-borrow in the interest</w:t>
      </w:r>
      <w:r w:rsidR="001E2FA0">
        <w:rPr>
          <w:rFonts w:ascii="Baskerville" w:hAnsi="Baskerville" w:cs="Baskerville"/>
          <w:color w:val="000000" w:themeColor="text1"/>
          <w:sz w:val="24"/>
          <w:szCs w:val="24"/>
        </w:rPr>
        <w:t>-</w:t>
      </w:r>
      <w:r w:rsidR="00067C8D" w:rsidRPr="000A64BD">
        <w:rPr>
          <w:rFonts w:ascii="Baskerville" w:hAnsi="Baskerville" w:cs="Baskerville"/>
          <w:color w:val="000000" w:themeColor="text1"/>
          <w:sz w:val="24"/>
          <w:szCs w:val="24"/>
        </w:rPr>
        <w:t xml:space="preserve">free period, leading to mistakes of wrongful inclusion. </w:t>
      </w:r>
      <w:r w:rsidR="001D644F">
        <w:rPr>
          <w:rFonts w:ascii="Baskerville" w:hAnsi="Baskerville" w:cs="Baskerville"/>
          <w:color w:val="000000" w:themeColor="text1"/>
          <w:sz w:val="24"/>
          <w:szCs w:val="24"/>
        </w:rPr>
        <w:t xml:space="preserve">Such patterns of wrongful inclusion should in the very least raise warning flags for banks and regulators, which make for </w:t>
      </w:r>
      <w:r w:rsidR="00274BF8">
        <w:rPr>
          <w:rFonts w:ascii="Baskerville" w:hAnsi="Baskerville" w:cs="Baskerville"/>
          <w:color w:val="000000" w:themeColor="text1"/>
          <w:sz w:val="24"/>
          <w:szCs w:val="24"/>
        </w:rPr>
        <w:t>the</w:t>
      </w:r>
      <w:r w:rsidR="001D644F">
        <w:rPr>
          <w:rFonts w:ascii="Baskerville" w:hAnsi="Baskerville" w:cs="Baskerville"/>
          <w:color w:val="000000" w:themeColor="text1"/>
          <w:sz w:val="24"/>
          <w:szCs w:val="24"/>
        </w:rPr>
        <w:t xml:space="preserve"> beginning of an argument to discontinue such product</w:t>
      </w:r>
      <w:r w:rsidR="00220870">
        <w:rPr>
          <w:rFonts w:ascii="Baskerville" w:hAnsi="Baskerville" w:cs="Baskerville"/>
          <w:color w:val="000000" w:themeColor="text1"/>
          <w:sz w:val="24"/>
          <w:szCs w:val="24"/>
        </w:rPr>
        <w:t>s.</w:t>
      </w:r>
    </w:p>
    <w:p w14:paraId="6AA56330" w14:textId="4F66DA39" w:rsidR="00EB4C7F" w:rsidRDefault="00C60162" w:rsidP="004D35E3">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As long as the conditions ensuring meaningful consent are met</w:t>
      </w:r>
      <w:r w:rsidR="001D644F">
        <w:rPr>
          <w:rFonts w:ascii="Baskerville" w:hAnsi="Baskerville" w:cs="Baskerville"/>
          <w:color w:val="000000" w:themeColor="text1"/>
          <w:sz w:val="24"/>
          <w:szCs w:val="24"/>
        </w:rPr>
        <w:t xml:space="preserve">, banks </w:t>
      </w:r>
      <w:r w:rsidR="004D35E3">
        <w:rPr>
          <w:rFonts w:ascii="Baskerville" w:hAnsi="Baskerville" w:cs="Baskerville"/>
          <w:color w:val="000000" w:themeColor="text1"/>
          <w:sz w:val="24"/>
          <w:szCs w:val="24"/>
        </w:rPr>
        <w:t xml:space="preserve">should not be </w:t>
      </w:r>
      <w:r w:rsidR="00220870">
        <w:rPr>
          <w:rFonts w:ascii="Baskerville" w:hAnsi="Baskerville" w:cs="Baskerville"/>
          <w:color w:val="000000" w:themeColor="text1"/>
          <w:sz w:val="24"/>
          <w:szCs w:val="24"/>
        </w:rPr>
        <w:t>held accountable</w:t>
      </w:r>
      <w:r w:rsidR="004D35E3">
        <w:rPr>
          <w:rFonts w:ascii="Baskerville" w:hAnsi="Baskerville" w:cs="Baskerville"/>
          <w:color w:val="000000" w:themeColor="text1"/>
          <w:sz w:val="24"/>
          <w:szCs w:val="24"/>
        </w:rPr>
        <w:t xml:space="preserve"> for </w:t>
      </w:r>
      <w:r w:rsidR="004D35E3" w:rsidRPr="004D35E3">
        <w:rPr>
          <w:rFonts w:ascii="Baskerville" w:hAnsi="Baskerville" w:cs="Baskerville"/>
          <w:i/>
          <w:color w:val="000000" w:themeColor="text1"/>
          <w:sz w:val="24"/>
          <w:szCs w:val="24"/>
        </w:rPr>
        <w:t>individual</w:t>
      </w:r>
      <w:r w:rsidR="004D35E3">
        <w:rPr>
          <w:rFonts w:ascii="Baskerville" w:hAnsi="Baskerville" w:cs="Baskerville"/>
          <w:color w:val="000000" w:themeColor="text1"/>
          <w:sz w:val="24"/>
          <w:szCs w:val="24"/>
        </w:rPr>
        <w:t xml:space="preserve"> cases of wrongful inclusion</w:t>
      </w:r>
      <w:r>
        <w:rPr>
          <w:rFonts w:ascii="Baskerville" w:hAnsi="Baskerville" w:cs="Baskerville"/>
          <w:color w:val="000000" w:themeColor="text1"/>
          <w:sz w:val="24"/>
          <w:szCs w:val="24"/>
        </w:rPr>
        <w:t xml:space="preserve">. The reason is that mistakes of wrongful inclusion only lead to rights violations insofar as they undermine financial stability, and </w:t>
      </w:r>
      <w:r w:rsidR="00220870">
        <w:rPr>
          <w:rFonts w:ascii="Baskerville" w:hAnsi="Baskerville" w:cs="Baskerville"/>
          <w:color w:val="000000" w:themeColor="text1"/>
          <w:sz w:val="24"/>
          <w:szCs w:val="24"/>
        </w:rPr>
        <w:t>a small number of</w:t>
      </w:r>
      <w:r>
        <w:rPr>
          <w:rFonts w:ascii="Baskerville" w:hAnsi="Baskerville" w:cs="Baskerville"/>
          <w:color w:val="000000" w:themeColor="text1"/>
          <w:sz w:val="24"/>
          <w:szCs w:val="24"/>
        </w:rPr>
        <w:t xml:space="preserve"> </w:t>
      </w:r>
      <w:r w:rsidR="00220870">
        <w:rPr>
          <w:rFonts w:ascii="Baskerville" w:hAnsi="Baskerville" w:cs="Baskerville"/>
          <w:color w:val="000000" w:themeColor="text1"/>
          <w:sz w:val="24"/>
          <w:szCs w:val="24"/>
        </w:rPr>
        <w:t xml:space="preserve">mistakes </w:t>
      </w:r>
      <w:r>
        <w:rPr>
          <w:rFonts w:ascii="Baskerville" w:hAnsi="Baskerville" w:cs="Baskerville"/>
          <w:color w:val="000000" w:themeColor="text1"/>
          <w:sz w:val="24"/>
          <w:szCs w:val="24"/>
        </w:rPr>
        <w:t>of wrongful inclusion do</w:t>
      </w:r>
      <w:r w:rsidR="00220870">
        <w:rPr>
          <w:rFonts w:ascii="Baskerville" w:hAnsi="Baskerville" w:cs="Baskerville"/>
          <w:color w:val="000000" w:themeColor="text1"/>
          <w:sz w:val="24"/>
          <w:szCs w:val="24"/>
        </w:rPr>
        <w:t>es</w:t>
      </w:r>
      <w:r>
        <w:rPr>
          <w:rFonts w:ascii="Baskerville" w:hAnsi="Baskerville" w:cs="Baskerville"/>
          <w:color w:val="000000" w:themeColor="text1"/>
          <w:sz w:val="24"/>
          <w:szCs w:val="24"/>
        </w:rPr>
        <w:t xml:space="preserve"> not </w:t>
      </w:r>
      <w:r w:rsidR="00EB4C7F">
        <w:rPr>
          <w:rFonts w:ascii="Baskerville" w:hAnsi="Baskerville" w:cs="Baskerville"/>
          <w:color w:val="000000" w:themeColor="text1"/>
          <w:sz w:val="24"/>
          <w:szCs w:val="24"/>
        </w:rPr>
        <w:t>lead to financial instability</w:t>
      </w:r>
      <w:r w:rsidR="004D35E3">
        <w:rPr>
          <w:rFonts w:ascii="Baskerville" w:hAnsi="Baskerville" w:cs="Baskerville"/>
          <w:color w:val="000000" w:themeColor="text1"/>
          <w:sz w:val="24"/>
          <w:szCs w:val="24"/>
        </w:rPr>
        <w:t xml:space="preserve">. </w:t>
      </w:r>
      <w:r w:rsidR="004D35E3">
        <w:rPr>
          <w:rFonts w:ascii="Baskerville" w:hAnsi="Baskerville" w:cs="Baskerville"/>
          <w:color w:val="000000" w:themeColor="text1"/>
          <w:sz w:val="24"/>
          <w:szCs w:val="24"/>
        </w:rPr>
        <w:lastRenderedPageBreak/>
        <w:t xml:space="preserve">However, </w:t>
      </w:r>
      <w:r>
        <w:rPr>
          <w:rFonts w:ascii="Baskerville" w:hAnsi="Baskerville" w:cs="Baskerville"/>
          <w:color w:val="000000" w:themeColor="text1"/>
          <w:sz w:val="24"/>
          <w:szCs w:val="24"/>
        </w:rPr>
        <w:t>banks</w:t>
      </w:r>
      <w:r w:rsidR="004D35E3">
        <w:rPr>
          <w:rFonts w:ascii="Baskerville" w:hAnsi="Baskerville" w:cs="Baskerville"/>
          <w:color w:val="000000" w:themeColor="text1"/>
          <w:sz w:val="24"/>
          <w:szCs w:val="24"/>
        </w:rPr>
        <w:t xml:space="preserve"> have a</w:t>
      </w:r>
      <w:r w:rsidR="00220870">
        <w:rPr>
          <w:rFonts w:ascii="Baskerville" w:hAnsi="Baskerville" w:cs="Baskerville"/>
          <w:color w:val="000000" w:themeColor="text1"/>
          <w:sz w:val="24"/>
          <w:szCs w:val="24"/>
        </w:rPr>
        <w:t>n</w:t>
      </w:r>
      <w:r w:rsidR="004D35E3">
        <w:rPr>
          <w:rFonts w:ascii="Baskerville" w:hAnsi="Baskerville" w:cs="Baskerville"/>
          <w:color w:val="000000" w:themeColor="text1"/>
          <w:sz w:val="24"/>
          <w:szCs w:val="24"/>
        </w:rPr>
        <w:t xml:space="preserve"> obligation to </w:t>
      </w:r>
      <w:r w:rsidR="00EB4C7F">
        <w:rPr>
          <w:rFonts w:ascii="Baskerville" w:hAnsi="Baskerville" w:cs="Baskerville"/>
          <w:color w:val="000000" w:themeColor="text1"/>
          <w:sz w:val="24"/>
          <w:szCs w:val="24"/>
        </w:rPr>
        <w:t xml:space="preserve">keep the level of mistakes of </w:t>
      </w:r>
      <w:r w:rsidR="004D35E3">
        <w:rPr>
          <w:rFonts w:ascii="Baskerville" w:hAnsi="Baskerville" w:cs="Baskerville"/>
          <w:color w:val="000000" w:themeColor="text1"/>
          <w:sz w:val="24"/>
          <w:szCs w:val="24"/>
        </w:rPr>
        <w:t>wrongful inclusion</w:t>
      </w:r>
      <w:r w:rsidR="00EB4C7F">
        <w:rPr>
          <w:rFonts w:ascii="Baskerville" w:hAnsi="Baskerville" w:cs="Baskerville"/>
          <w:color w:val="000000" w:themeColor="text1"/>
          <w:sz w:val="24"/>
          <w:szCs w:val="24"/>
        </w:rPr>
        <w:t xml:space="preserve"> below the threshold</w:t>
      </w:r>
      <w:r w:rsidR="004D35E3">
        <w:rPr>
          <w:rFonts w:ascii="Baskerville" w:hAnsi="Baskerville" w:cs="Baskerville"/>
          <w:color w:val="000000" w:themeColor="text1"/>
          <w:sz w:val="24"/>
          <w:szCs w:val="24"/>
        </w:rPr>
        <w:t xml:space="preserve"> that begins to threaten financial stability. </w:t>
      </w:r>
    </w:p>
    <w:p w14:paraId="338ADA81" w14:textId="46262AAC" w:rsidR="003E54FD" w:rsidRDefault="001F3EB3" w:rsidP="00274BF8">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Similar to the case of avoiding mistakes of wrongful exclusion, r</w:t>
      </w:r>
      <w:r w:rsidR="004D35E3">
        <w:rPr>
          <w:rFonts w:ascii="Baskerville" w:hAnsi="Baskerville" w:cs="Baskerville"/>
          <w:color w:val="000000" w:themeColor="text1"/>
          <w:sz w:val="24"/>
          <w:szCs w:val="24"/>
        </w:rPr>
        <w:t xml:space="preserve">egulators play an important role in </w:t>
      </w:r>
      <w:r>
        <w:rPr>
          <w:rFonts w:ascii="Baskerville" w:hAnsi="Baskerville" w:cs="Baskerville"/>
          <w:color w:val="000000" w:themeColor="text1"/>
          <w:sz w:val="24"/>
          <w:szCs w:val="24"/>
        </w:rPr>
        <w:t>preventing banks from surpassing the permissibility threshold for mistakes of wrongful inclusion</w:t>
      </w:r>
      <w:r w:rsidR="004D35E3">
        <w:rPr>
          <w:rFonts w:ascii="Baskerville" w:hAnsi="Baskerville" w:cs="Baskerville"/>
          <w:color w:val="000000" w:themeColor="text1"/>
          <w:sz w:val="24"/>
          <w:szCs w:val="24"/>
        </w:rPr>
        <w:t xml:space="preserve">. </w:t>
      </w:r>
      <w:r w:rsidR="00067C8D" w:rsidRPr="000A64BD">
        <w:rPr>
          <w:rFonts w:ascii="Baskerville" w:hAnsi="Baskerville" w:cs="Baskerville"/>
          <w:color w:val="000000" w:themeColor="text1"/>
          <w:sz w:val="24"/>
          <w:szCs w:val="24"/>
        </w:rPr>
        <w:t>The most important piece of regulation concerns the equity requirements set out by the</w:t>
      </w:r>
      <w:r w:rsidR="003E54FD">
        <w:rPr>
          <w:rFonts w:ascii="Baskerville" w:hAnsi="Baskerville" w:cs="Baskerville"/>
          <w:color w:val="000000" w:themeColor="text1"/>
          <w:sz w:val="24"/>
          <w:szCs w:val="24"/>
        </w:rPr>
        <w:t xml:space="preserve"> so-called</w:t>
      </w:r>
      <w:r w:rsidR="00067C8D" w:rsidRPr="000A64BD">
        <w:rPr>
          <w:rFonts w:ascii="Baskerville" w:hAnsi="Baskerville" w:cs="Baskerville"/>
          <w:color w:val="000000" w:themeColor="text1"/>
          <w:sz w:val="24"/>
          <w:szCs w:val="24"/>
        </w:rPr>
        <w:t xml:space="preserve"> </w:t>
      </w:r>
      <w:r w:rsidR="00067C8D" w:rsidRPr="004D35E3">
        <w:rPr>
          <w:rFonts w:ascii="Baskerville" w:hAnsi="Baskerville" w:cs="Baskerville"/>
          <w:i/>
          <w:color w:val="000000" w:themeColor="text1"/>
          <w:sz w:val="24"/>
          <w:szCs w:val="24"/>
        </w:rPr>
        <w:t>Basel rules</w:t>
      </w:r>
      <w:r w:rsidR="00067C8D" w:rsidRPr="000A64BD">
        <w:rPr>
          <w:rFonts w:ascii="Baskerville" w:hAnsi="Baskerville" w:cs="Baskerville"/>
          <w:color w:val="000000" w:themeColor="text1"/>
          <w:sz w:val="24"/>
          <w:szCs w:val="24"/>
        </w:rPr>
        <w:t>.</w:t>
      </w:r>
      <w:r w:rsidR="00067C8D" w:rsidRPr="00E93D72">
        <w:rPr>
          <w:rStyle w:val="FootnoteReference"/>
        </w:rPr>
        <w:footnoteReference w:id="31"/>
      </w:r>
      <w:r w:rsidR="00067C8D" w:rsidRPr="000A64BD">
        <w:rPr>
          <w:rFonts w:ascii="Baskerville" w:hAnsi="Baskerville" w:cs="Baskerville"/>
          <w:color w:val="000000" w:themeColor="text1"/>
          <w:sz w:val="24"/>
          <w:szCs w:val="24"/>
        </w:rPr>
        <w:t xml:space="preserve"> The main rationale for </w:t>
      </w:r>
      <w:r w:rsidR="003E54FD">
        <w:rPr>
          <w:rFonts w:ascii="Baskerville" w:hAnsi="Baskerville" w:cs="Baskerville"/>
          <w:color w:val="000000" w:themeColor="text1"/>
          <w:sz w:val="24"/>
          <w:szCs w:val="24"/>
        </w:rPr>
        <w:t>capital requirements</w:t>
      </w:r>
      <w:r w:rsidR="00067C8D" w:rsidRPr="000A64BD">
        <w:rPr>
          <w:rFonts w:ascii="Baskerville" w:hAnsi="Baskerville" w:cs="Baskerville"/>
          <w:color w:val="000000" w:themeColor="text1"/>
          <w:sz w:val="24"/>
          <w:szCs w:val="24"/>
        </w:rPr>
        <w:t xml:space="preserve"> is that banks have an incentive to finance themselves with large amounts of debt relative to equity. This allows banks to run the same operations with a smaller amount of equity, resulting in higher returns for shareholders in good times. Less equity also means that shareholders lose more in bad times. But </w:t>
      </w:r>
      <w:r w:rsidR="004D35E3">
        <w:rPr>
          <w:rFonts w:ascii="Baskerville" w:hAnsi="Baskerville" w:cs="Baskerville"/>
          <w:color w:val="000000" w:themeColor="text1"/>
          <w:sz w:val="24"/>
          <w:szCs w:val="24"/>
        </w:rPr>
        <w:t xml:space="preserve">due to the problem of too-big-to-fail, </w:t>
      </w:r>
      <w:r w:rsidR="00067C8D" w:rsidRPr="000A64BD">
        <w:rPr>
          <w:rFonts w:ascii="Baskerville" w:hAnsi="Baskerville" w:cs="Baskerville"/>
          <w:color w:val="000000" w:themeColor="text1"/>
          <w:sz w:val="24"/>
          <w:szCs w:val="24"/>
        </w:rPr>
        <w:t xml:space="preserve">systemically important banks can expect </w:t>
      </w:r>
      <w:r w:rsidR="003E54FD">
        <w:rPr>
          <w:rFonts w:ascii="Baskerville" w:hAnsi="Baskerville" w:cs="Baskerville"/>
          <w:color w:val="000000" w:themeColor="text1"/>
          <w:sz w:val="24"/>
          <w:szCs w:val="24"/>
        </w:rPr>
        <w:t>assistance from</w:t>
      </w:r>
      <w:r w:rsidR="00067C8D" w:rsidRPr="000A64BD">
        <w:rPr>
          <w:rFonts w:ascii="Baskerville" w:hAnsi="Baskerville" w:cs="Baskerville"/>
          <w:color w:val="000000" w:themeColor="text1"/>
          <w:sz w:val="24"/>
          <w:szCs w:val="24"/>
        </w:rPr>
        <w:t xml:space="preserve"> the government. </w:t>
      </w:r>
      <w:r w:rsidR="004D35E3">
        <w:rPr>
          <w:rFonts w:ascii="Baskerville" w:hAnsi="Baskerville" w:cs="Baskerville"/>
          <w:color w:val="000000" w:themeColor="text1"/>
          <w:sz w:val="24"/>
          <w:szCs w:val="24"/>
        </w:rPr>
        <w:t>Capital requirements</w:t>
      </w:r>
      <w:r w:rsidR="00067C8D" w:rsidRPr="000A64BD">
        <w:rPr>
          <w:rFonts w:ascii="Baskerville" w:hAnsi="Baskerville" w:cs="Baskerville"/>
          <w:color w:val="000000" w:themeColor="text1"/>
          <w:sz w:val="24"/>
          <w:szCs w:val="24"/>
        </w:rPr>
        <w:t xml:space="preserve"> </w:t>
      </w:r>
      <w:r w:rsidR="003E54FD">
        <w:rPr>
          <w:rFonts w:ascii="Baskerville" w:hAnsi="Baskerville" w:cs="Baskerville"/>
          <w:color w:val="000000" w:themeColor="text1"/>
          <w:sz w:val="24"/>
          <w:szCs w:val="24"/>
        </w:rPr>
        <w:t xml:space="preserve">call </w:t>
      </w:r>
      <w:r w:rsidR="00EB4C7F">
        <w:rPr>
          <w:rFonts w:ascii="Baskerville" w:hAnsi="Baskerville" w:cs="Baskerville"/>
          <w:color w:val="000000" w:themeColor="text1"/>
          <w:sz w:val="24"/>
          <w:szCs w:val="24"/>
        </w:rPr>
        <w:t>on banks</w:t>
      </w:r>
      <w:r w:rsidR="00067C8D" w:rsidRPr="000A64BD">
        <w:rPr>
          <w:rFonts w:ascii="Baskerville" w:hAnsi="Baskerville" w:cs="Baskerville"/>
          <w:color w:val="000000" w:themeColor="text1"/>
          <w:sz w:val="24"/>
          <w:szCs w:val="24"/>
        </w:rPr>
        <w:t xml:space="preserve"> to hold a certain amount of equity relative to </w:t>
      </w:r>
      <w:r w:rsidR="003E54FD">
        <w:rPr>
          <w:rFonts w:ascii="Baskerville" w:hAnsi="Baskerville" w:cs="Baskerville"/>
          <w:color w:val="000000" w:themeColor="text1"/>
          <w:sz w:val="24"/>
          <w:szCs w:val="24"/>
        </w:rPr>
        <w:t xml:space="preserve">the loans they make and other </w:t>
      </w:r>
      <w:r w:rsidR="00067C8D" w:rsidRPr="000A64BD">
        <w:rPr>
          <w:rFonts w:ascii="Baskerville" w:hAnsi="Baskerville" w:cs="Baskerville"/>
          <w:color w:val="000000" w:themeColor="text1"/>
          <w:sz w:val="24"/>
          <w:szCs w:val="24"/>
        </w:rPr>
        <w:t>assets.</w:t>
      </w:r>
      <w:r w:rsidR="00067C8D" w:rsidRPr="00E93D72">
        <w:rPr>
          <w:rStyle w:val="FootnoteReference"/>
        </w:rPr>
        <w:footnoteReference w:id="32"/>
      </w:r>
      <w:r w:rsidR="00067C8D" w:rsidRPr="000A64BD">
        <w:rPr>
          <w:rFonts w:ascii="Baskerville" w:hAnsi="Baskerville" w:cs="Baskerville"/>
          <w:color w:val="000000" w:themeColor="text1"/>
          <w:sz w:val="24"/>
          <w:szCs w:val="24"/>
        </w:rPr>
        <w:t xml:space="preserve"> </w:t>
      </w:r>
      <w:r w:rsidR="003E54FD">
        <w:rPr>
          <w:rFonts w:ascii="Baskerville" w:hAnsi="Baskerville" w:cs="Baskerville"/>
          <w:color w:val="000000" w:themeColor="text1"/>
          <w:sz w:val="24"/>
          <w:szCs w:val="24"/>
        </w:rPr>
        <w:t>Stricter</w:t>
      </w:r>
      <w:r w:rsidR="00067C8D" w:rsidRPr="000A64BD">
        <w:rPr>
          <w:rFonts w:ascii="Baskerville" w:hAnsi="Baskerville" w:cs="Baskerville"/>
          <w:color w:val="000000" w:themeColor="text1"/>
          <w:sz w:val="24"/>
          <w:szCs w:val="24"/>
        </w:rPr>
        <w:t xml:space="preserve"> capital requirements reduce the risk that banks fail</w:t>
      </w:r>
      <w:r w:rsidR="00EB4C7F">
        <w:rPr>
          <w:rFonts w:ascii="Baskerville" w:hAnsi="Baskerville" w:cs="Baskerville"/>
          <w:color w:val="000000" w:themeColor="text1"/>
          <w:sz w:val="24"/>
          <w:szCs w:val="24"/>
        </w:rPr>
        <w:t>, but also compel</w:t>
      </w:r>
      <w:r w:rsidR="004D35E3" w:rsidRPr="000A64BD">
        <w:rPr>
          <w:rFonts w:ascii="Baskerville" w:hAnsi="Baskerville" w:cs="Baskerville"/>
          <w:color w:val="000000" w:themeColor="text1"/>
          <w:sz w:val="24"/>
          <w:szCs w:val="24"/>
        </w:rPr>
        <w:t xml:space="preserve"> banks to raise more equity to grant the same amount of loans, which may increase borrowing costs. </w:t>
      </w:r>
      <w:r w:rsidR="00EB4C7F">
        <w:rPr>
          <w:rFonts w:ascii="Baskerville" w:hAnsi="Baskerville" w:cs="Baskerville"/>
          <w:color w:val="000000" w:themeColor="text1"/>
          <w:sz w:val="24"/>
          <w:szCs w:val="24"/>
        </w:rPr>
        <w:t>Hence a normative trade-off</w:t>
      </w:r>
      <w:r w:rsidR="004D35E3">
        <w:rPr>
          <w:rFonts w:ascii="Baskerville" w:hAnsi="Baskerville" w:cs="Baskerville"/>
          <w:color w:val="000000" w:themeColor="text1"/>
          <w:sz w:val="24"/>
          <w:szCs w:val="24"/>
        </w:rPr>
        <w:t xml:space="preserve"> arise</w:t>
      </w:r>
      <w:r w:rsidR="00EB4C7F">
        <w:rPr>
          <w:rFonts w:ascii="Baskerville" w:hAnsi="Baskerville" w:cs="Baskerville"/>
          <w:color w:val="000000" w:themeColor="text1"/>
          <w:sz w:val="24"/>
          <w:szCs w:val="24"/>
        </w:rPr>
        <w:t>s</w:t>
      </w:r>
      <w:r w:rsidR="004D35E3">
        <w:rPr>
          <w:rFonts w:ascii="Baskerville" w:hAnsi="Baskerville" w:cs="Baskerville"/>
          <w:color w:val="000000" w:themeColor="text1"/>
          <w:sz w:val="24"/>
          <w:szCs w:val="24"/>
        </w:rPr>
        <w:t xml:space="preserve"> in balancing higher</w:t>
      </w:r>
      <w:r w:rsidR="00067C8D" w:rsidRPr="000A64BD">
        <w:rPr>
          <w:rFonts w:ascii="Baskerville" w:hAnsi="Baskerville" w:cs="Baskerville"/>
          <w:color w:val="000000" w:themeColor="text1"/>
          <w:sz w:val="24"/>
          <w:szCs w:val="24"/>
        </w:rPr>
        <w:t xml:space="preserve"> lending costs against potential risks of financial crises.</w:t>
      </w:r>
      <w:r w:rsidR="00067C8D" w:rsidRPr="00E93D72">
        <w:rPr>
          <w:rStyle w:val="FootnoteReference"/>
        </w:rPr>
        <w:footnoteReference w:id="33"/>
      </w:r>
      <w:r w:rsidR="004D35E3">
        <w:rPr>
          <w:rFonts w:ascii="Baskerville" w:hAnsi="Baskerville" w:cs="Baskerville"/>
          <w:color w:val="000000" w:themeColor="text1"/>
          <w:sz w:val="24"/>
          <w:szCs w:val="24"/>
        </w:rPr>
        <w:t xml:space="preserve"> In sum, the first kind of normative trade-off concerns balancing mistakes of wrongful exclusion and wrongful inclusion. </w:t>
      </w:r>
    </w:p>
    <w:p w14:paraId="78D178D8" w14:textId="55794B67" w:rsidR="00624987" w:rsidRDefault="001F3EB3" w:rsidP="008710A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Another normative trade-off arises once this balance has been struck. This second kind of normative trade-off concerns </w:t>
      </w:r>
      <w:r w:rsidRPr="00CB10FD">
        <w:rPr>
          <w:rFonts w:ascii="Baskerville" w:hAnsi="Baskerville" w:cs="Baskerville"/>
          <w:i/>
          <w:color w:val="000000" w:themeColor="text1"/>
          <w:sz w:val="24"/>
          <w:szCs w:val="24"/>
        </w:rPr>
        <w:t>which</w:t>
      </w:r>
      <w:r>
        <w:rPr>
          <w:rFonts w:ascii="Baskerville" w:hAnsi="Baskerville" w:cs="Baskerville"/>
          <w:color w:val="000000" w:themeColor="text1"/>
          <w:sz w:val="24"/>
          <w:szCs w:val="24"/>
        </w:rPr>
        <w:t xml:space="preserve"> </w:t>
      </w:r>
      <w:r w:rsidRPr="00CB10FD">
        <w:rPr>
          <w:rFonts w:ascii="Baskerville" w:hAnsi="Baskerville" w:cs="Baskerville"/>
          <w:i/>
          <w:color w:val="000000" w:themeColor="text1"/>
          <w:sz w:val="24"/>
          <w:szCs w:val="24"/>
        </w:rPr>
        <w:t>group of applicants</w:t>
      </w:r>
      <w:r>
        <w:rPr>
          <w:rFonts w:ascii="Baskerville" w:hAnsi="Baskerville" w:cs="Baskerville"/>
          <w:color w:val="000000" w:themeColor="text1"/>
          <w:sz w:val="24"/>
          <w:szCs w:val="24"/>
        </w:rPr>
        <w:t xml:space="preserve"> will be excluded from credit. This trade-off is a direct consequence of the peculiar nature of the obligation of banks to avoid mistakes of wrongful inclusion. Banks are obligated to keep the level of mistakes of wrongful inclusion below the threshold that would threaten </w:t>
      </w:r>
      <w:r w:rsidR="00E93D72">
        <w:rPr>
          <w:rFonts w:ascii="Baskerville" w:hAnsi="Baskerville" w:cs="Baskerville"/>
          <w:color w:val="000000" w:themeColor="text1"/>
          <w:sz w:val="24"/>
          <w:szCs w:val="24"/>
        </w:rPr>
        <w:t>bank failure</w:t>
      </w:r>
      <w:r>
        <w:rPr>
          <w:rFonts w:ascii="Baskerville" w:hAnsi="Baskerville" w:cs="Baskerville"/>
          <w:color w:val="000000" w:themeColor="text1"/>
          <w:sz w:val="24"/>
          <w:szCs w:val="24"/>
        </w:rPr>
        <w:t>. Because assessments of creditworthiness are uncertain, staying below the threshold foreseeably involves denying credit to applicants who are in fact creditworthy. But different rules and guidelines in conducting credit assessments lead to the wrongful exclusion of different groups of applicants</w:t>
      </w:r>
      <w:r w:rsidR="00624987">
        <w:rPr>
          <w:rFonts w:ascii="Baskerville" w:hAnsi="Baskerville" w:cs="Baskerville"/>
          <w:color w:val="000000" w:themeColor="text1"/>
          <w:sz w:val="24"/>
          <w:szCs w:val="24"/>
        </w:rPr>
        <w:t xml:space="preserve">. </w:t>
      </w:r>
      <w:r w:rsidR="003E54FD">
        <w:rPr>
          <w:rFonts w:ascii="Baskerville" w:hAnsi="Baskerville" w:cs="Baskerville"/>
          <w:color w:val="000000" w:themeColor="text1"/>
          <w:sz w:val="24"/>
          <w:szCs w:val="24"/>
        </w:rPr>
        <w:t>The trade-off</w:t>
      </w:r>
      <w:r w:rsidR="00624987">
        <w:rPr>
          <w:rFonts w:ascii="Baskerville" w:hAnsi="Baskerville" w:cs="Baskerville"/>
          <w:color w:val="000000" w:themeColor="text1"/>
          <w:sz w:val="24"/>
          <w:szCs w:val="24"/>
        </w:rPr>
        <w:t>, then,</w:t>
      </w:r>
      <w:r w:rsidR="003E54FD">
        <w:rPr>
          <w:rFonts w:ascii="Baskerville" w:hAnsi="Baskerville" w:cs="Baskerville"/>
          <w:color w:val="000000" w:themeColor="text1"/>
          <w:sz w:val="24"/>
          <w:szCs w:val="24"/>
        </w:rPr>
        <w:t xml:space="preserve"> consists in balancing the interests of different groups of applicants. </w:t>
      </w:r>
    </w:p>
    <w:p w14:paraId="45D69501" w14:textId="4896ABCA" w:rsidR="00624987" w:rsidRDefault="00624987" w:rsidP="008710A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Let me explain how regulators run into this second kind of trade-off in practice. </w:t>
      </w:r>
      <w:r w:rsidR="003E54FD">
        <w:rPr>
          <w:rFonts w:ascii="Baskerville" w:hAnsi="Baskerville" w:cs="Baskerville"/>
          <w:color w:val="000000" w:themeColor="text1"/>
          <w:sz w:val="24"/>
          <w:szCs w:val="24"/>
        </w:rPr>
        <w:t xml:space="preserve">To simplify, assume that </w:t>
      </w:r>
      <w:r>
        <w:rPr>
          <w:rFonts w:ascii="Baskerville" w:hAnsi="Baskerville" w:cs="Baskerville"/>
          <w:color w:val="000000" w:themeColor="text1"/>
          <w:sz w:val="24"/>
          <w:szCs w:val="24"/>
        </w:rPr>
        <w:t xml:space="preserve">keeping banks below the permissibility threshold of mistakes of wrongful inclusion requires slowing the growth of </w:t>
      </w:r>
      <w:r w:rsidR="003E54FD">
        <w:rPr>
          <w:rFonts w:ascii="Baskerville" w:hAnsi="Baskerville" w:cs="Baskerville"/>
          <w:color w:val="000000" w:themeColor="text1"/>
          <w:sz w:val="24"/>
          <w:szCs w:val="24"/>
        </w:rPr>
        <w:t xml:space="preserve">mortgage credit by 10%. Regulators can achieve this goal by imposing rules on banks not to lend to certain kinds of borrowers with heightened </w:t>
      </w:r>
      <w:r w:rsidR="003E54FD">
        <w:rPr>
          <w:rFonts w:ascii="Baskerville" w:hAnsi="Baskerville" w:cs="Baskerville"/>
          <w:color w:val="000000" w:themeColor="text1"/>
          <w:sz w:val="24"/>
          <w:szCs w:val="24"/>
        </w:rPr>
        <w:lastRenderedPageBreak/>
        <w:t xml:space="preserve">default risks. But there is no single best way of identifying borrowers who pose heightened risks. Moreover, whether any borrower will default is to a large part due to the performance of the overall economy. </w:t>
      </w:r>
      <w:r w:rsidR="00B13846">
        <w:rPr>
          <w:rFonts w:ascii="Baskerville" w:hAnsi="Baskerville" w:cs="Baskerville"/>
          <w:color w:val="000000" w:themeColor="text1"/>
          <w:sz w:val="24"/>
          <w:szCs w:val="24"/>
        </w:rPr>
        <w:t xml:space="preserve">Hence any set of rules that sufficiently slows credit growth to </w:t>
      </w:r>
      <w:r>
        <w:rPr>
          <w:rFonts w:ascii="Baskerville" w:hAnsi="Baskerville" w:cs="Baskerville"/>
          <w:color w:val="000000" w:themeColor="text1"/>
          <w:sz w:val="24"/>
          <w:szCs w:val="24"/>
        </w:rPr>
        <w:t>keep banks below the permissibility threshold</w:t>
      </w:r>
      <w:r w:rsidR="00B13846">
        <w:rPr>
          <w:rFonts w:ascii="Baskerville" w:hAnsi="Baskerville" w:cs="Baskerville"/>
          <w:color w:val="000000" w:themeColor="text1"/>
          <w:sz w:val="24"/>
          <w:szCs w:val="24"/>
        </w:rPr>
        <w:t xml:space="preserve"> will drastically reduce the likelihood that the remaining borrowers default. </w:t>
      </w:r>
    </w:p>
    <w:p w14:paraId="68F37334" w14:textId="294E8F60" w:rsidR="008710A2" w:rsidRDefault="00B13846" w:rsidP="008710A2">
      <w:pPr>
        <w:pStyle w:val="BodyText"/>
        <w:spacing w:line="360" w:lineRule="auto"/>
        <w:rPr>
          <w:rFonts w:ascii="Baskerville" w:hAnsi="Baskerville" w:cs="Baskerville"/>
          <w:color w:val="000000" w:themeColor="text1"/>
          <w:sz w:val="24"/>
          <w:szCs w:val="24"/>
        </w:rPr>
      </w:pPr>
      <w:r>
        <w:rPr>
          <w:rFonts w:ascii="Baskerville" w:hAnsi="Baskerville" w:cs="Baskerville"/>
          <w:color w:val="000000" w:themeColor="text1"/>
          <w:sz w:val="24"/>
          <w:szCs w:val="24"/>
        </w:rPr>
        <w:t xml:space="preserve">In sum, whether any borrower is creditworthy depends in large part </w:t>
      </w:r>
      <w:r w:rsidR="00357CC5">
        <w:rPr>
          <w:rFonts w:ascii="Baskerville" w:hAnsi="Baskerville" w:cs="Baskerville"/>
          <w:color w:val="000000" w:themeColor="text1"/>
          <w:sz w:val="24"/>
          <w:szCs w:val="24"/>
        </w:rPr>
        <w:t xml:space="preserve">on </w:t>
      </w:r>
      <w:r>
        <w:rPr>
          <w:rFonts w:ascii="Baskerville" w:hAnsi="Baskerville" w:cs="Baskerville"/>
          <w:color w:val="000000" w:themeColor="text1"/>
          <w:sz w:val="24"/>
          <w:szCs w:val="24"/>
        </w:rPr>
        <w:t xml:space="preserve">the ability of regulators to safeguard financial stability, which in turn requires enforcing rules that wrongfully exclude certain borrowers. My creditworthiness may therefore depend on excluding you from credit, or yours on </w:t>
      </w:r>
      <w:r w:rsidR="00E8414B">
        <w:rPr>
          <w:rFonts w:ascii="Baskerville" w:hAnsi="Baskerville" w:cs="Baskerville"/>
          <w:color w:val="000000" w:themeColor="text1"/>
          <w:sz w:val="24"/>
          <w:szCs w:val="24"/>
        </w:rPr>
        <w:t>my</w:t>
      </w:r>
      <w:r>
        <w:rPr>
          <w:rFonts w:ascii="Baskerville" w:hAnsi="Baskerville" w:cs="Baskerville"/>
          <w:color w:val="000000" w:themeColor="text1"/>
          <w:sz w:val="24"/>
          <w:szCs w:val="24"/>
        </w:rPr>
        <w:t xml:space="preserve"> being denied credit. </w:t>
      </w:r>
      <w:r w:rsidR="009A7F81">
        <w:rPr>
          <w:rFonts w:ascii="Baskerville" w:hAnsi="Baskerville" w:cs="Baskerville"/>
          <w:color w:val="000000" w:themeColor="text1"/>
          <w:sz w:val="24"/>
          <w:szCs w:val="24"/>
        </w:rPr>
        <w:t xml:space="preserve">In the </w:t>
      </w:r>
      <w:r>
        <w:rPr>
          <w:rFonts w:ascii="Baskerville" w:hAnsi="Baskerville" w:cs="Baskerville"/>
          <w:color w:val="000000" w:themeColor="text1"/>
          <w:sz w:val="24"/>
          <w:szCs w:val="24"/>
        </w:rPr>
        <w:t>following</w:t>
      </w:r>
      <w:r w:rsidR="009A7F81">
        <w:rPr>
          <w:rFonts w:ascii="Baskerville" w:hAnsi="Baskerville" w:cs="Baskerville"/>
          <w:color w:val="000000" w:themeColor="text1"/>
          <w:sz w:val="24"/>
          <w:szCs w:val="24"/>
        </w:rPr>
        <w:t xml:space="preserve"> section, I will discuss an example of such a trade-off. </w:t>
      </w:r>
    </w:p>
    <w:p w14:paraId="6369806D" w14:textId="5E977B03" w:rsidR="007F6AD1" w:rsidRPr="008710A2" w:rsidRDefault="007F6AD1" w:rsidP="008710A2">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5 A stylized example of a normative trade-off in macro-prudential regulation</w:t>
      </w:r>
    </w:p>
    <w:p w14:paraId="2FFDE5C1" w14:textId="01CB0E0C" w:rsidR="00067C8D" w:rsidRPr="000A64BD" w:rsidRDefault="00D952CF" w:rsidP="009A7F81">
      <w:pPr>
        <w:pStyle w:val="FirstParagraph"/>
        <w:spacing w:line="360" w:lineRule="auto"/>
        <w:rPr>
          <w:rFonts w:ascii="Baskerville" w:hAnsi="Baskerville" w:cs="Baskerville"/>
          <w:color w:val="000000" w:themeColor="text1"/>
          <w:sz w:val="24"/>
          <w:szCs w:val="24"/>
        </w:rPr>
      </w:pPr>
      <w:r w:rsidRPr="00D952CF">
        <w:rPr>
          <w:rFonts w:ascii="Baskerville" w:hAnsi="Baskerville" w:cs="Baskerville"/>
          <w:color w:val="000000" w:themeColor="text1"/>
          <w:sz w:val="24"/>
          <w:szCs w:val="24"/>
        </w:rPr>
        <w:t xml:space="preserve">In this section, I will </w:t>
      </w:r>
      <w:r w:rsidR="00B13846">
        <w:rPr>
          <w:rFonts w:ascii="Baskerville" w:hAnsi="Baskerville" w:cs="Baskerville"/>
          <w:color w:val="000000" w:themeColor="text1"/>
          <w:sz w:val="24"/>
          <w:szCs w:val="24"/>
        </w:rPr>
        <w:t xml:space="preserve">illustrate the second kind of normative trade-off introduced </w:t>
      </w:r>
      <w:r w:rsidR="008710A2">
        <w:rPr>
          <w:rFonts w:ascii="Baskerville" w:hAnsi="Baskerville" w:cs="Baskerville"/>
          <w:color w:val="000000" w:themeColor="text1"/>
          <w:sz w:val="24"/>
          <w:szCs w:val="24"/>
        </w:rPr>
        <w:t>above</w:t>
      </w:r>
      <w:r w:rsidR="00B13846">
        <w:rPr>
          <w:rFonts w:ascii="Baskerville" w:hAnsi="Baskerville" w:cs="Baskerville"/>
          <w:color w:val="000000" w:themeColor="text1"/>
          <w:sz w:val="24"/>
          <w:szCs w:val="24"/>
        </w:rPr>
        <w:t xml:space="preserve"> by </w:t>
      </w:r>
      <w:r w:rsidRPr="00D952CF">
        <w:rPr>
          <w:rFonts w:ascii="Baskerville" w:hAnsi="Baskerville" w:cs="Baskerville"/>
          <w:color w:val="000000" w:themeColor="text1"/>
          <w:sz w:val="24"/>
          <w:szCs w:val="24"/>
        </w:rPr>
        <w:t>consider</w:t>
      </w:r>
      <w:r w:rsidR="00B13846">
        <w:rPr>
          <w:rFonts w:ascii="Baskerville" w:hAnsi="Baskerville" w:cs="Baskerville"/>
          <w:color w:val="000000" w:themeColor="text1"/>
          <w:sz w:val="24"/>
          <w:szCs w:val="24"/>
        </w:rPr>
        <w:t>ing</w:t>
      </w:r>
      <w:r w:rsidRPr="00D952CF">
        <w:rPr>
          <w:rFonts w:ascii="Baskerville" w:hAnsi="Baskerville" w:cs="Baskerville"/>
          <w:color w:val="000000" w:themeColor="text1"/>
          <w:sz w:val="24"/>
          <w:szCs w:val="24"/>
        </w:rPr>
        <w:t xml:space="preserve"> the impact of two different </w:t>
      </w:r>
      <w:r w:rsidR="008710A2">
        <w:rPr>
          <w:rFonts w:ascii="Baskerville" w:hAnsi="Baskerville" w:cs="Baskerville"/>
          <w:color w:val="000000" w:themeColor="text1"/>
          <w:sz w:val="24"/>
          <w:szCs w:val="24"/>
        </w:rPr>
        <w:t>tools</w:t>
      </w:r>
      <w:r w:rsidRPr="00D952CF">
        <w:rPr>
          <w:rFonts w:ascii="Baskerville" w:hAnsi="Baskerville" w:cs="Baskerville"/>
          <w:color w:val="000000" w:themeColor="text1"/>
          <w:sz w:val="24"/>
          <w:szCs w:val="24"/>
        </w:rPr>
        <w:t xml:space="preserve"> to curb mortgage lending on mistakes of wrongful in</w:t>
      </w:r>
      <w:r w:rsidR="009A7F81">
        <w:rPr>
          <w:rFonts w:ascii="Baskerville" w:hAnsi="Baskerville" w:cs="Baskerville"/>
          <w:color w:val="000000" w:themeColor="text1"/>
          <w:sz w:val="24"/>
          <w:szCs w:val="24"/>
        </w:rPr>
        <w:t>clusion and wrongful exclusion.</w:t>
      </w:r>
      <w:r w:rsidR="00067C8D" w:rsidRPr="00E93D72">
        <w:rPr>
          <w:rStyle w:val="FootnoteReference"/>
        </w:rPr>
        <w:footnoteReference w:id="34"/>
      </w:r>
    </w:p>
    <w:p w14:paraId="717BA754" w14:textId="574952E7" w:rsidR="00E87939" w:rsidRPr="00D952CF" w:rsidRDefault="009A7F81" w:rsidP="00E87939">
      <w:pPr>
        <w:pStyle w:val="BodyText"/>
        <w:spacing w:line="360" w:lineRule="auto"/>
        <w:rPr>
          <w:rStyle w:val="VerbatimChar"/>
          <w:rFonts w:ascii="Baskerville" w:hAnsi="Baskerville" w:cs="Baskerville"/>
          <w:color w:val="000000" w:themeColor="text1"/>
          <w:sz w:val="24"/>
          <w:szCs w:val="24"/>
        </w:rPr>
      </w:pPr>
      <w:r>
        <w:rPr>
          <w:rFonts w:ascii="Baskerville" w:hAnsi="Baskerville" w:cs="Baskerville"/>
          <w:color w:val="000000" w:themeColor="text1"/>
          <w:sz w:val="24"/>
          <w:szCs w:val="24"/>
        </w:rPr>
        <w:t>To safeguard financial stability, r</w:t>
      </w:r>
      <w:r w:rsidR="00067C8D" w:rsidRPr="000A64BD">
        <w:rPr>
          <w:rFonts w:ascii="Baskerville" w:hAnsi="Baskerville" w:cs="Baskerville"/>
          <w:color w:val="000000" w:themeColor="text1"/>
          <w:sz w:val="24"/>
          <w:szCs w:val="24"/>
        </w:rPr>
        <w:t xml:space="preserve">egulators </w:t>
      </w:r>
      <w:r>
        <w:rPr>
          <w:rFonts w:ascii="Baskerville" w:hAnsi="Baskerville" w:cs="Baskerville"/>
          <w:color w:val="000000" w:themeColor="text1"/>
          <w:sz w:val="24"/>
          <w:szCs w:val="24"/>
        </w:rPr>
        <w:t>seek to keep</w:t>
      </w:r>
      <w:r w:rsidR="00067C8D" w:rsidRPr="000A64BD">
        <w:rPr>
          <w:rFonts w:ascii="Baskerville" w:hAnsi="Baskerville" w:cs="Baskerville"/>
          <w:color w:val="000000" w:themeColor="text1"/>
          <w:sz w:val="24"/>
          <w:szCs w:val="24"/>
        </w:rPr>
        <w:t xml:space="preserve"> </w:t>
      </w:r>
      <w:r>
        <w:rPr>
          <w:rFonts w:ascii="Baskerville" w:hAnsi="Baskerville" w:cs="Baskerville"/>
          <w:color w:val="000000" w:themeColor="text1"/>
          <w:sz w:val="24"/>
          <w:szCs w:val="24"/>
        </w:rPr>
        <w:t xml:space="preserve">the </w:t>
      </w:r>
      <w:r w:rsidR="00067C8D" w:rsidRPr="000A64BD">
        <w:rPr>
          <w:rFonts w:ascii="Baskerville" w:hAnsi="Baskerville" w:cs="Baskerville"/>
          <w:color w:val="000000" w:themeColor="text1"/>
          <w:sz w:val="24"/>
          <w:szCs w:val="24"/>
        </w:rPr>
        <w:t xml:space="preserve">overall level of </w:t>
      </w:r>
      <w:r>
        <w:rPr>
          <w:rFonts w:ascii="Baskerville" w:hAnsi="Baskerville" w:cs="Baskerville"/>
          <w:color w:val="000000" w:themeColor="text1"/>
          <w:sz w:val="24"/>
          <w:szCs w:val="24"/>
        </w:rPr>
        <w:t xml:space="preserve">private </w:t>
      </w:r>
      <w:r w:rsidR="00067C8D" w:rsidRPr="000A64BD">
        <w:rPr>
          <w:rFonts w:ascii="Baskerville" w:hAnsi="Baskerville" w:cs="Baskerville"/>
          <w:color w:val="000000" w:themeColor="text1"/>
          <w:sz w:val="24"/>
          <w:szCs w:val="24"/>
        </w:rPr>
        <w:t xml:space="preserve">credit </w:t>
      </w:r>
      <w:r>
        <w:rPr>
          <w:rFonts w:ascii="Baskerville" w:hAnsi="Baskerville" w:cs="Baskerville"/>
          <w:color w:val="000000" w:themeColor="text1"/>
          <w:sz w:val="24"/>
          <w:szCs w:val="24"/>
        </w:rPr>
        <w:t>within a safe range</w:t>
      </w:r>
      <w:r w:rsidR="00067C8D" w:rsidRPr="000A64BD">
        <w:rPr>
          <w:rFonts w:ascii="Baskerville" w:hAnsi="Baskerville" w:cs="Baskerville"/>
          <w:color w:val="000000" w:themeColor="text1"/>
          <w:sz w:val="24"/>
          <w:szCs w:val="24"/>
        </w:rPr>
        <w:t xml:space="preserve">. </w:t>
      </w:r>
      <w:r w:rsidR="00E87939">
        <w:rPr>
          <w:rFonts w:ascii="Baskerville" w:hAnsi="Baskerville" w:cs="Baskerville"/>
          <w:color w:val="000000" w:themeColor="text1"/>
          <w:sz w:val="24"/>
          <w:szCs w:val="24"/>
        </w:rPr>
        <w:t>One</w:t>
      </w:r>
      <w:r w:rsidR="00067C8D" w:rsidRPr="000A64BD">
        <w:rPr>
          <w:rFonts w:ascii="Baskerville" w:hAnsi="Baskerville" w:cs="Baskerville"/>
          <w:color w:val="000000" w:themeColor="text1"/>
          <w:sz w:val="24"/>
          <w:szCs w:val="24"/>
        </w:rPr>
        <w:t xml:space="preserve"> way of reacting to overheating credit markets </w:t>
      </w:r>
      <w:r w:rsidR="00E87939">
        <w:rPr>
          <w:rFonts w:ascii="Baskerville" w:hAnsi="Baskerville" w:cs="Baskerville"/>
          <w:color w:val="000000" w:themeColor="text1"/>
          <w:sz w:val="24"/>
          <w:szCs w:val="24"/>
        </w:rPr>
        <w:t xml:space="preserve">is </w:t>
      </w:r>
      <w:r w:rsidR="00B13846">
        <w:rPr>
          <w:rFonts w:ascii="Baskerville" w:hAnsi="Baskerville" w:cs="Baskerville"/>
          <w:color w:val="000000" w:themeColor="text1"/>
          <w:sz w:val="24"/>
          <w:szCs w:val="24"/>
        </w:rPr>
        <w:t>to increase interest rates, because</w:t>
      </w:r>
      <w:r w:rsidR="00067C8D" w:rsidRPr="000A64BD">
        <w:rPr>
          <w:rFonts w:ascii="Baskerville" w:hAnsi="Baskerville" w:cs="Baskerville"/>
          <w:color w:val="000000" w:themeColor="text1"/>
          <w:sz w:val="24"/>
          <w:szCs w:val="24"/>
        </w:rPr>
        <w:t xml:space="preserve"> </w:t>
      </w:r>
      <w:r w:rsidR="00B13846">
        <w:rPr>
          <w:rFonts w:ascii="Baskerville" w:hAnsi="Baskerville" w:cs="Baskerville"/>
          <w:color w:val="000000" w:themeColor="text1"/>
          <w:sz w:val="24"/>
          <w:szCs w:val="24"/>
        </w:rPr>
        <w:t>h</w:t>
      </w:r>
      <w:r w:rsidR="00067C8D" w:rsidRPr="000A64BD">
        <w:rPr>
          <w:rFonts w:ascii="Baskerville" w:hAnsi="Baskerville" w:cs="Baskerville"/>
          <w:color w:val="000000" w:themeColor="text1"/>
          <w:sz w:val="24"/>
          <w:szCs w:val="24"/>
        </w:rPr>
        <w:t xml:space="preserve">igher interest rates increase borrowing costs and </w:t>
      </w:r>
      <w:r w:rsidR="00B13846">
        <w:rPr>
          <w:rFonts w:ascii="Baskerville" w:hAnsi="Baskerville" w:cs="Baskerville"/>
          <w:color w:val="000000" w:themeColor="text1"/>
          <w:sz w:val="24"/>
          <w:szCs w:val="24"/>
        </w:rPr>
        <w:t>thereby</w:t>
      </w:r>
      <w:r w:rsidR="00067C8D" w:rsidRPr="000A64BD">
        <w:rPr>
          <w:rFonts w:ascii="Baskerville" w:hAnsi="Baskerville" w:cs="Baskerville"/>
          <w:color w:val="000000" w:themeColor="text1"/>
          <w:sz w:val="24"/>
          <w:szCs w:val="24"/>
        </w:rPr>
        <w:t xml:space="preserve"> decrease credit growth. The distributive effects of interest rate adjustments have been discussed by political philosophers.</w:t>
      </w:r>
      <w:r w:rsidR="00067C8D" w:rsidRPr="00E93D72">
        <w:rPr>
          <w:rStyle w:val="FootnoteReference"/>
        </w:rPr>
        <w:footnoteReference w:id="35"/>
      </w:r>
      <w:r w:rsidR="00067C8D" w:rsidRPr="000A64BD">
        <w:rPr>
          <w:rFonts w:ascii="Baskerville" w:hAnsi="Baskerville" w:cs="Baskerville"/>
          <w:color w:val="000000" w:themeColor="text1"/>
          <w:sz w:val="24"/>
          <w:szCs w:val="24"/>
        </w:rPr>
        <w:t xml:space="preserve"> But </w:t>
      </w:r>
      <w:r w:rsidR="00E87939">
        <w:rPr>
          <w:rFonts w:ascii="Baskerville" w:hAnsi="Baskerville" w:cs="Baskerville"/>
          <w:color w:val="000000" w:themeColor="text1"/>
          <w:sz w:val="24"/>
          <w:szCs w:val="24"/>
        </w:rPr>
        <w:t xml:space="preserve">adjusting interest rates </w:t>
      </w:r>
      <w:r w:rsidR="00067C8D" w:rsidRPr="000A64BD">
        <w:rPr>
          <w:rFonts w:ascii="Baskerville" w:hAnsi="Baskerville" w:cs="Baskerville"/>
          <w:color w:val="000000" w:themeColor="text1"/>
          <w:sz w:val="24"/>
          <w:szCs w:val="24"/>
        </w:rPr>
        <w:t>is a blunt tool</w:t>
      </w:r>
      <w:r w:rsidR="00E87939">
        <w:rPr>
          <w:rFonts w:ascii="Baskerville" w:hAnsi="Baskerville" w:cs="Baskerville"/>
          <w:color w:val="000000" w:themeColor="text1"/>
          <w:sz w:val="24"/>
          <w:szCs w:val="24"/>
        </w:rPr>
        <w:t xml:space="preserve"> to slow credit growth</w:t>
      </w:r>
      <w:r w:rsidR="00067C8D" w:rsidRPr="000A64BD">
        <w:rPr>
          <w:rFonts w:ascii="Baskerville" w:hAnsi="Baskerville" w:cs="Baskerville"/>
          <w:color w:val="000000" w:themeColor="text1"/>
          <w:sz w:val="24"/>
          <w:szCs w:val="24"/>
        </w:rPr>
        <w:t xml:space="preserve">, and it is not always available. In times of recession, central banks </w:t>
      </w:r>
      <w:r w:rsidR="00B13846">
        <w:rPr>
          <w:rFonts w:ascii="Baskerville" w:hAnsi="Baskerville" w:cs="Baskerville"/>
          <w:color w:val="000000" w:themeColor="text1"/>
          <w:sz w:val="24"/>
          <w:szCs w:val="24"/>
        </w:rPr>
        <w:t xml:space="preserve">may want </w:t>
      </w:r>
      <w:r w:rsidR="00067C8D" w:rsidRPr="000A64BD">
        <w:rPr>
          <w:rFonts w:ascii="Baskerville" w:hAnsi="Baskerville" w:cs="Baskerville"/>
          <w:color w:val="000000" w:themeColor="text1"/>
          <w:sz w:val="24"/>
          <w:szCs w:val="24"/>
        </w:rPr>
        <w:t xml:space="preserve">to keep interest rates low to promote economic recovery. So-called </w:t>
      </w:r>
      <w:r w:rsidR="00067C8D" w:rsidRPr="000A64BD">
        <w:rPr>
          <w:rFonts w:ascii="Baskerville" w:hAnsi="Baskerville" w:cs="Baskerville"/>
          <w:i/>
          <w:color w:val="000000" w:themeColor="text1"/>
          <w:sz w:val="24"/>
          <w:szCs w:val="24"/>
        </w:rPr>
        <w:t>macro-prudential tools</w:t>
      </w:r>
      <w:r w:rsidR="00067C8D" w:rsidRPr="000A64BD">
        <w:rPr>
          <w:rFonts w:ascii="Baskerville" w:hAnsi="Baskerville" w:cs="Baskerville"/>
          <w:color w:val="000000" w:themeColor="text1"/>
          <w:sz w:val="24"/>
          <w:szCs w:val="24"/>
        </w:rPr>
        <w:t xml:space="preserve"> </w:t>
      </w:r>
      <w:r w:rsidR="00B13846">
        <w:rPr>
          <w:rFonts w:ascii="Baskerville" w:hAnsi="Baskerville" w:cs="Baskerville"/>
          <w:color w:val="000000" w:themeColor="text1"/>
          <w:sz w:val="24"/>
          <w:szCs w:val="24"/>
        </w:rPr>
        <w:t xml:space="preserve">promise to curb </w:t>
      </w:r>
      <w:r w:rsidR="00067C8D" w:rsidRPr="000A64BD">
        <w:rPr>
          <w:rFonts w:ascii="Baskerville" w:hAnsi="Baskerville" w:cs="Baskerville"/>
          <w:color w:val="000000" w:themeColor="text1"/>
          <w:sz w:val="24"/>
          <w:szCs w:val="24"/>
        </w:rPr>
        <w:t xml:space="preserve">the growth of credit </w:t>
      </w:r>
      <w:r w:rsidR="00B13846">
        <w:rPr>
          <w:rFonts w:ascii="Baskerville" w:hAnsi="Baskerville" w:cs="Baskerville"/>
          <w:color w:val="000000" w:themeColor="text1"/>
          <w:sz w:val="24"/>
          <w:szCs w:val="24"/>
        </w:rPr>
        <w:t>without undermining economic growth</w:t>
      </w:r>
      <w:r w:rsidR="00067C8D" w:rsidRPr="000A64BD">
        <w:rPr>
          <w:rFonts w:ascii="Baskerville" w:hAnsi="Baskerville" w:cs="Baskerville"/>
          <w:color w:val="000000" w:themeColor="text1"/>
          <w:sz w:val="24"/>
          <w:szCs w:val="24"/>
        </w:rPr>
        <w:t>.</w:t>
      </w:r>
      <w:r w:rsidR="00E87939" w:rsidRPr="00E93D72">
        <w:rPr>
          <w:rStyle w:val="FootnoteReference"/>
        </w:rPr>
        <w:footnoteReference w:id="36"/>
      </w:r>
      <w:r w:rsidR="00067C8D" w:rsidRPr="000A64BD">
        <w:rPr>
          <w:rFonts w:ascii="Baskerville" w:hAnsi="Baskerville" w:cs="Baskerville"/>
          <w:color w:val="000000" w:themeColor="text1"/>
          <w:sz w:val="24"/>
          <w:szCs w:val="24"/>
        </w:rPr>
        <w:t xml:space="preserve"> </w:t>
      </w:r>
      <w:r w:rsidR="006C4AEA" w:rsidRPr="00D952CF">
        <w:rPr>
          <w:rFonts w:ascii="Baskerville" w:hAnsi="Baskerville" w:cs="Baskerville"/>
          <w:color w:val="000000" w:themeColor="text1"/>
          <w:sz w:val="24"/>
          <w:szCs w:val="24"/>
        </w:rPr>
        <w:t xml:space="preserve">Macro-prudential tools aim to reign in credit growth before it reaches dangerously high levels by constraining the ability of banks to extend loans. </w:t>
      </w:r>
      <w:r w:rsidR="006C4AEA">
        <w:rPr>
          <w:rFonts w:ascii="Baskerville" w:hAnsi="Baskerville" w:cs="Baskerville"/>
          <w:color w:val="000000" w:themeColor="text1"/>
          <w:sz w:val="24"/>
          <w:szCs w:val="24"/>
        </w:rPr>
        <w:t>Indeed, e</w:t>
      </w:r>
      <w:r w:rsidR="006C4AEA" w:rsidRPr="00D952CF">
        <w:rPr>
          <w:rFonts w:ascii="Baskerville" w:hAnsi="Baskerville" w:cs="Baskerville"/>
          <w:color w:val="000000" w:themeColor="text1"/>
          <w:sz w:val="24"/>
          <w:szCs w:val="24"/>
        </w:rPr>
        <w:t>xpansive periods in the credit cycle regularly precede financial crises.</w:t>
      </w:r>
      <w:r w:rsidR="006C4AEA" w:rsidRPr="00E93D72">
        <w:rPr>
          <w:rStyle w:val="FootnoteReference"/>
        </w:rPr>
        <w:footnoteReference w:id="37"/>
      </w:r>
      <w:r w:rsidR="006C4AEA">
        <w:rPr>
          <w:rFonts w:ascii="Baskerville" w:hAnsi="Baskerville" w:cs="Baskerville"/>
          <w:color w:val="000000" w:themeColor="text1"/>
          <w:sz w:val="24"/>
          <w:szCs w:val="24"/>
        </w:rPr>
        <w:t xml:space="preserve"> </w:t>
      </w:r>
      <w:r w:rsidR="006C4AEA" w:rsidRPr="00D952CF">
        <w:rPr>
          <w:rFonts w:ascii="Baskerville" w:hAnsi="Baskerville" w:cs="Baskerville"/>
          <w:color w:val="000000" w:themeColor="text1"/>
          <w:sz w:val="24"/>
          <w:szCs w:val="24"/>
        </w:rPr>
        <w:t xml:space="preserve">Mortgage credit is </w:t>
      </w:r>
      <w:r w:rsidR="006C4AEA">
        <w:rPr>
          <w:rFonts w:ascii="Baskerville" w:hAnsi="Baskerville" w:cs="Baskerville"/>
          <w:color w:val="000000" w:themeColor="text1"/>
          <w:sz w:val="24"/>
          <w:szCs w:val="24"/>
        </w:rPr>
        <w:t>the most</w:t>
      </w:r>
      <w:r w:rsidR="006C4AEA" w:rsidRPr="00D952CF">
        <w:rPr>
          <w:rFonts w:ascii="Baskerville" w:hAnsi="Baskerville" w:cs="Baskerville"/>
          <w:color w:val="000000" w:themeColor="text1"/>
          <w:sz w:val="24"/>
          <w:szCs w:val="24"/>
        </w:rPr>
        <w:t xml:space="preserve"> important </w:t>
      </w:r>
      <w:r w:rsidR="006C4AEA">
        <w:rPr>
          <w:rFonts w:ascii="Baskerville" w:hAnsi="Baskerville" w:cs="Baskerville"/>
          <w:color w:val="000000" w:themeColor="text1"/>
          <w:sz w:val="24"/>
          <w:szCs w:val="24"/>
        </w:rPr>
        <w:t>component of private credit</w:t>
      </w:r>
      <w:r w:rsidR="006C4AEA" w:rsidRPr="00D952CF">
        <w:rPr>
          <w:rFonts w:ascii="Baskerville" w:hAnsi="Baskerville" w:cs="Baskerville"/>
          <w:color w:val="000000" w:themeColor="text1"/>
          <w:sz w:val="24"/>
          <w:szCs w:val="24"/>
        </w:rPr>
        <w:t xml:space="preserve">, </w:t>
      </w:r>
      <w:r w:rsidR="006C4AEA">
        <w:rPr>
          <w:rFonts w:ascii="Baskerville" w:hAnsi="Baskerville" w:cs="Baskerville"/>
          <w:color w:val="000000" w:themeColor="text1"/>
          <w:sz w:val="24"/>
          <w:szCs w:val="24"/>
        </w:rPr>
        <w:t xml:space="preserve">and </w:t>
      </w:r>
      <w:r w:rsidR="006C4AEA" w:rsidRPr="00D952CF">
        <w:rPr>
          <w:rFonts w:ascii="Baskerville" w:hAnsi="Baskerville" w:cs="Baskerville"/>
          <w:color w:val="000000" w:themeColor="text1"/>
          <w:sz w:val="24"/>
          <w:szCs w:val="24"/>
        </w:rPr>
        <w:t xml:space="preserve">falling house prices </w:t>
      </w:r>
      <w:r w:rsidR="006C4AEA" w:rsidRPr="00D952CF">
        <w:rPr>
          <w:rFonts w:ascii="Baskerville" w:hAnsi="Baskerville" w:cs="Baskerville"/>
          <w:color w:val="000000" w:themeColor="text1"/>
          <w:sz w:val="24"/>
          <w:szCs w:val="24"/>
        </w:rPr>
        <w:lastRenderedPageBreak/>
        <w:t>are a common trigger of financial crises.</w:t>
      </w:r>
      <w:r w:rsidR="006C4AEA">
        <w:rPr>
          <w:rFonts w:ascii="Baskerville" w:hAnsi="Baskerville" w:cs="Baskerville"/>
          <w:color w:val="000000" w:themeColor="text1"/>
          <w:sz w:val="24"/>
          <w:szCs w:val="24"/>
        </w:rPr>
        <w:t xml:space="preserve"> </w:t>
      </w:r>
      <w:r w:rsidR="00E87939" w:rsidRPr="00D952CF">
        <w:rPr>
          <w:rFonts w:ascii="Baskerville" w:hAnsi="Baskerville" w:cs="Baskerville"/>
          <w:color w:val="000000" w:themeColor="text1"/>
          <w:sz w:val="24"/>
          <w:szCs w:val="24"/>
        </w:rPr>
        <w:t>Advocates</w:t>
      </w:r>
      <w:r w:rsidR="006C4AEA">
        <w:rPr>
          <w:rFonts w:ascii="Baskerville" w:hAnsi="Baskerville" w:cs="Baskerville"/>
          <w:color w:val="000000" w:themeColor="text1"/>
          <w:sz w:val="24"/>
          <w:szCs w:val="24"/>
        </w:rPr>
        <w:t xml:space="preserve"> of macro-prudential tools</w:t>
      </w:r>
      <w:r w:rsidR="00E87939" w:rsidRPr="00D952CF">
        <w:rPr>
          <w:rFonts w:ascii="Baskerville" w:hAnsi="Baskerville" w:cs="Baskerville"/>
          <w:color w:val="000000" w:themeColor="text1"/>
          <w:sz w:val="24"/>
          <w:szCs w:val="24"/>
        </w:rPr>
        <w:t xml:space="preserve"> </w:t>
      </w:r>
      <w:r w:rsidR="006C4AEA">
        <w:rPr>
          <w:rFonts w:ascii="Baskerville" w:hAnsi="Baskerville" w:cs="Baskerville"/>
          <w:color w:val="000000" w:themeColor="text1"/>
          <w:sz w:val="24"/>
          <w:szCs w:val="24"/>
        </w:rPr>
        <w:t>maintain</w:t>
      </w:r>
      <w:r w:rsidR="00E87939" w:rsidRPr="00D952CF">
        <w:rPr>
          <w:rFonts w:ascii="Baskerville" w:hAnsi="Baskerville" w:cs="Baskerville"/>
          <w:color w:val="000000" w:themeColor="text1"/>
          <w:sz w:val="24"/>
          <w:szCs w:val="24"/>
        </w:rPr>
        <w:t xml:space="preserve"> that </w:t>
      </w:r>
      <w:r w:rsidR="006C4AEA">
        <w:rPr>
          <w:rFonts w:ascii="Baskerville" w:hAnsi="Baskerville" w:cs="Baskerville"/>
          <w:color w:val="000000" w:themeColor="text1"/>
          <w:sz w:val="24"/>
          <w:szCs w:val="24"/>
        </w:rPr>
        <w:t>they</w:t>
      </w:r>
      <w:r w:rsidR="00E87939" w:rsidRPr="00D952CF">
        <w:rPr>
          <w:rFonts w:ascii="Baskerville" w:hAnsi="Baskerville" w:cs="Baskerville"/>
          <w:color w:val="000000" w:themeColor="text1"/>
          <w:sz w:val="24"/>
          <w:szCs w:val="24"/>
        </w:rPr>
        <w:t xml:space="preserve"> can improve financial stability by curbing credit cycles.</w:t>
      </w:r>
      <w:r w:rsidR="00E87939" w:rsidRPr="00E93D72">
        <w:rPr>
          <w:rStyle w:val="FootnoteReference"/>
        </w:rPr>
        <w:footnoteReference w:id="38"/>
      </w:r>
      <w:r w:rsidR="00E87939" w:rsidRPr="00D952CF">
        <w:rPr>
          <w:rFonts w:ascii="Baskerville" w:hAnsi="Baskerville" w:cs="Baskerville"/>
          <w:color w:val="000000" w:themeColor="text1"/>
          <w:sz w:val="24"/>
          <w:szCs w:val="24"/>
        </w:rPr>
        <w:t xml:space="preserve"> </w:t>
      </w:r>
    </w:p>
    <w:p w14:paraId="3D4C3C21" w14:textId="7BEEF6E0" w:rsidR="008710A2" w:rsidRPr="008710A2" w:rsidRDefault="008710A2" w:rsidP="008710A2">
      <w:pPr>
        <w:spacing w:before="120" w:after="120" w:line="360" w:lineRule="auto"/>
        <w:rPr>
          <w:rFonts w:ascii="Baskerville" w:hAnsi="Baskerville"/>
          <w:color w:val="000000" w:themeColor="text1"/>
        </w:rPr>
      </w:pPr>
      <w:r>
        <w:rPr>
          <w:rFonts w:ascii="Baskerville" w:hAnsi="Baskerville" w:cs="Baskerville"/>
          <w:color w:val="000000" w:themeColor="text1"/>
        </w:rPr>
        <w:t xml:space="preserve">In section 3, </w:t>
      </w:r>
      <w:r w:rsidR="00455163">
        <w:rPr>
          <w:rFonts w:ascii="Baskerville" w:hAnsi="Baskerville" w:cs="Baskerville"/>
          <w:color w:val="000000" w:themeColor="text1"/>
        </w:rPr>
        <w:t xml:space="preserve">I have </w:t>
      </w:r>
      <w:r>
        <w:rPr>
          <w:rFonts w:ascii="Baskerville" w:hAnsi="Baskerville" w:cs="Baskerville"/>
          <w:color w:val="000000" w:themeColor="text1"/>
        </w:rPr>
        <w:t>already mentioned one m</w:t>
      </w:r>
      <w:r w:rsidR="00E87939">
        <w:rPr>
          <w:rFonts w:ascii="Baskerville" w:hAnsi="Baskerville" w:cs="Baskerville"/>
          <w:color w:val="000000" w:themeColor="text1"/>
        </w:rPr>
        <w:t xml:space="preserve">acro-prudential </w:t>
      </w:r>
      <w:r>
        <w:rPr>
          <w:rFonts w:ascii="Baskerville" w:hAnsi="Baskerville" w:cs="Baskerville"/>
          <w:color w:val="000000" w:themeColor="text1"/>
        </w:rPr>
        <w:t>tool, namely</w:t>
      </w:r>
      <w:r w:rsidR="00067C8D" w:rsidRPr="000A64BD">
        <w:rPr>
          <w:rFonts w:ascii="Baskerville" w:hAnsi="Baskerville" w:cs="Baskerville"/>
          <w:color w:val="000000" w:themeColor="text1"/>
        </w:rPr>
        <w:t xml:space="preserve"> caps on </w:t>
      </w:r>
      <w:r w:rsidR="00067C8D" w:rsidRPr="000A64BD">
        <w:rPr>
          <w:rFonts w:ascii="Baskerville" w:hAnsi="Baskerville" w:cs="Baskerville"/>
          <w:i/>
          <w:color w:val="000000" w:themeColor="text1"/>
        </w:rPr>
        <w:t>loan-to-value</w:t>
      </w:r>
      <w:r w:rsidR="00067C8D" w:rsidRPr="000A64BD">
        <w:rPr>
          <w:rFonts w:ascii="Baskerville" w:hAnsi="Baskerville" w:cs="Baskerville"/>
          <w:color w:val="000000" w:themeColor="text1"/>
        </w:rPr>
        <w:t xml:space="preserve"> ratios (LTV). Applied to mortgage credit, LTV requirements compel banks to restrict credit for borrowers who cannot contribute sufficient equity. </w:t>
      </w:r>
      <w:r w:rsidR="00624987">
        <w:rPr>
          <w:rFonts w:ascii="Baskerville" w:hAnsi="Baskerville"/>
          <w:color w:val="000000" w:themeColor="text1"/>
        </w:rPr>
        <w:t>Consider</w:t>
      </w:r>
      <w:r>
        <w:rPr>
          <w:rFonts w:ascii="Baskerville" w:hAnsi="Baskerville"/>
          <w:color w:val="000000" w:themeColor="text1"/>
        </w:rPr>
        <w:t xml:space="preserve"> Ike and </w:t>
      </w:r>
      <w:r w:rsidRPr="00D952CF">
        <w:rPr>
          <w:rFonts w:ascii="Baskerville" w:hAnsi="Baskerville"/>
          <w:color w:val="000000" w:themeColor="text1"/>
        </w:rPr>
        <w:t>Sam</w:t>
      </w:r>
      <w:r w:rsidR="00624987">
        <w:rPr>
          <w:rFonts w:ascii="Baskerville" w:hAnsi="Baskerville"/>
          <w:color w:val="000000" w:themeColor="text1"/>
        </w:rPr>
        <w:t xml:space="preserve">, </w:t>
      </w:r>
      <w:r w:rsidRPr="00D952CF">
        <w:rPr>
          <w:rFonts w:ascii="Baskerville" w:hAnsi="Baskerville"/>
          <w:color w:val="000000" w:themeColor="text1"/>
        </w:rPr>
        <w:t xml:space="preserve">who </w:t>
      </w:r>
      <w:r w:rsidR="00624987">
        <w:rPr>
          <w:rFonts w:ascii="Baskerville" w:hAnsi="Baskerville"/>
          <w:color w:val="000000" w:themeColor="text1"/>
        </w:rPr>
        <w:t>would both like</w:t>
      </w:r>
      <w:r>
        <w:rPr>
          <w:rFonts w:ascii="Baskerville" w:hAnsi="Baskerville"/>
          <w:color w:val="000000" w:themeColor="text1"/>
        </w:rPr>
        <w:t xml:space="preserve"> to </w:t>
      </w:r>
      <w:r w:rsidRPr="00D952CF">
        <w:rPr>
          <w:rFonts w:ascii="Baskerville" w:hAnsi="Baskerville"/>
          <w:color w:val="000000" w:themeColor="text1"/>
        </w:rPr>
        <w:t>buy a home in the Washington area.</w:t>
      </w:r>
      <w:r w:rsidRPr="008710A2">
        <w:rPr>
          <w:rFonts w:ascii="Baskerville" w:hAnsi="Baskerville"/>
          <w:color w:val="000000" w:themeColor="text1"/>
        </w:rPr>
        <w:t xml:space="preserve"> </w:t>
      </w:r>
      <w:r w:rsidRPr="00D952CF">
        <w:rPr>
          <w:rFonts w:ascii="Baskerville" w:hAnsi="Baskerville"/>
          <w:color w:val="000000" w:themeColor="text1"/>
        </w:rPr>
        <w:t xml:space="preserve">Ike has a higher income than Sam, but lower savings. </w:t>
      </w:r>
      <w:r>
        <w:rPr>
          <w:rFonts w:ascii="Baskerville" w:hAnsi="Baskerville"/>
          <w:color w:val="000000" w:themeColor="text1"/>
        </w:rPr>
        <w:t>Hence</w:t>
      </w:r>
      <w:r w:rsidR="00624987">
        <w:rPr>
          <w:rFonts w:ascii="Baskerville" w:hAnsi="Baskerville"/>
          <w:color w:val="000000" w:themeColor="text1"/>
        </w:rPr>
        <w:t>,</w:t>
      </w:r>
      <w:r>
        <w:rPr>
          <w:rFonts w:ascii="Baskerville" w:hAnsi="Baskerville"/>
          <w:color w:val="000000" w:themeColor="text1"/>
        </w:rPr>
        <w:t xml:space="preserve"> Ike is more likely to lose access to credit due to an LTV cap than Sam.</w:t>
      </w:r>
      <w:r w:rsidR="003030C1">
        <w:rPr>
          <w:rFonts w:ascii="Baskerville" w:hAnsi="Baskerville"/>
          <w:color w:val="000000" w:themeColor="text1"/>
        </w:rPr>
        <w:t xml:space="preserve"> </w:t>
      </w:r>
      <w:r w:rsidR="003030C1" w:rsidRPr="00D952CF">
        <w:rPr>
          <w:rStyle w:val="VerbatimChar"/>
          <w:rFonts w:ascii="Baskerville" w:hAnsi="Baskerville" w:cs="Baskerville"/>
          <w:color w:val="000000" w:themeColor="text1"/>
        </w:rPr>
        <w:t>For example, a</w:t>
      </w:r>
      <w:r w:rsidR="00DD28C6">
        <w:rPr>
          <w:rStyle w:val="VerbatimChar"/>
          <w:rFonts w:ascii="Baskerville" w:hAnsi="Baskerville" w:cs="Baskerville"/>
          <w:color w:val="000000" w:themeColor="text1"/>
        </w:rPr>
        <w:t>n</w:t>
      </w:r>
      <w:r w:rsidR="003030C1" w:rsidRPr="00D952CF">
        <w:rPr>
          <w:rStyle w:val="VerbatimChar"/>
          <w:rFonts w:ascii="Baskerville" w:hAnsi="Baskerville" w:cs="Baskerville"/>
          <w:color w:val="000000" w:themeColor="text1"/>
        </w:rPr>
        <w:t xml:space="preserve"> LT</w:t>
      </w:r>
      <w:r w:rsidR="00DD28C6">
        <w:rPr>
          <w:rStyle w:val="VerbatimChar"/>
          <w:rFonts w:ascii="Baskerville" w:hAnsi="Baskerville" w:cs="Baskerville"/>
          <w:color w:val="000000" w:themeColor="text1"/>
        </w:rPr>
        <w:t>V</w:t>
      </w:r>
      <w:r w:rsidR="003030C1" w:rsidRPr="00D952CF">
        <w:rPr>
          <w:rStyle w:val="VerbatimChar"/>
          <w:rFonts w:ascii="Baskerville" w:hAnsi="Baskerville" w:cs="Baskerville"/>
          <w:color w:val="000000" w:themeColor="text1"/>
        </w:rPr>
        <w:t xml:space="preserve"> cap of 60% would limit credit to $180,000 for a house worth $300,000. </w:t>
      </w:r>
      <w:r w:rsidR="003030C1">
        <w:rPr>
          <w:rStyle w:val="VerbatimChar"/>
          <w:rFonts w:ascii="Baskerville" w:hAnsi="Baskerville" w:cs="Baskerville"/>
          <w:color w:val="000000" w:themeColor="text1"/>
        </w:rPr>
        <w:t xml:space="preserve">If Ike’s savings are below </w:t>
      </w:r>
      <w:r w:rsidR="003030C1" w:rsidRPr="00D952CF">
        <w:rPr>
          <w:rStyle w:val="VerbatimChar"/>
          <w:rFonts w:ascii="Baskerville" w:hAnsi="Baskerville" w:cs="Baskerville"/>
          <w:color w:val="000000" w:themeColor="text1"/>
        </w:rPr>
        <w:t>$120,000</w:t>
      </w:r>
      <w:r w:rsidR="003030C1">
        <w:rPr>
          <w:rStyle w:val="VerbatimChar"/>
          <w:rFonts w:ascii="Baskerville" w:hAnsi="Baskerville" w:cs="Baskerville"/>
          <w:color w:val="000000" w:themeColor="text1"/>
        </w:rPr>
        <w:t xml:space="preserve">, and Sam’s are </w:t>
      </w:r>
      <w:r w:rsidR="00624987">
        <w:rPr>
          <w:rStyle w:val="VerbatimChar"/>
          <w:rFonts w:ascii="Baskerville" w:hAnsi="Baskerville" w:cs="Baskerville"/>
          <w:color w:val="000000" w:themeColor="text1"/>
        </w:rPr>
        <w:t xml:space="preserve">above $120,000, Sam </w:t>
      </w:r>
      <w:r w:rsidR="003030C1">
        <w:rPr>
          <w:rStyle w:val="VerbatimChar"/>
          <w:rFonts w:ascii="Baskerville" w:hAnsi="Baskerville" w:cs="Baskerville"/>
          <w:color w:val="000000" w:themeColor="text1"/>
        </w:rPr>
        <w:t>will be able to obtain credit</w:t>
      </w:r>
      <w:r w:rsidR="00624987">
        <w:rPr>
          <w:rStyle w:val="VerbatimChar"/>
          <w:rFonts w:ascii="Baskerville" w:hAnsi="Baskerville" w:cs="Baskerville"/>
          <w:color w:val="000000" w:themeColor="text1"/>
        </w:rPr>
        <w:t>, while Ike will not</w:t>
      </w:r>
      <w:r w:rsidR="003030C1">
        <w:rPr>
          <w:rStyle w:val="VerbatimChar"/>
          <w:rFonts w:ascii="Baskerville" w:hAnsi="Baskerville" w:cs="Baskerville"/>
          <w:color w:val="000000" w:themeColor="text1"/>
        </w:rPr>
        <w:t xml:space="preserve">. </w:t>
      </w:r>
    </w:p>
    <w:p w14:paraId="4CE2B31B" w14:textId="45DF315D" w:rsidR="00067C8D" w:rsidRDefault="00E8414B" w:rsidP="003030C1">
      <w:pPr>
        <w:pStyle w:val="SourceCode"/>
        <w:spacing w:line="360" w:lineRule="auto"/>
        <w:rPr>
          <w:rFonts w:ascii="Baskerville" w:hAnsi="Baskerville" w:cs="Baskerville"/>
          <w:color w:val="000000" w:themeColor="text1"/>
          <w:sz w:val="24"/>
          <w:szCs w:val="24"/>
        </w:rPr>
      </w:pPr>
      <w:r>
        <w:rPr>
          <w:rFonts w:ascii="Baskerville" w:hAnsi="Baskerville" w:cs="Baskerville"/>
          <w:i/>
          <w:color w:val="000000" w:themeColor="text1"/>
          <w:sz w:val="24"/>
          <w:szCs w:val="24"/>
        </w:rPr>
        <w:t xml:space="preserve"> </w:t>
      </w:r>
      <w:r>
        <w:rPr>
          <w:rFonts w:ascii="Baskerville" w:hAnsi="Baskerville" w:cs="Baskerville"/>
          <w:color w:val="000000" w:themeColor="text1"/>
          <w:sz w:val="24"/>
          <w:szCs w:val="24"/>
        </w:rPr>
        <w:t xml:space="preserve">Requiring certain </w:t>
      </w:r>
      <w:r w:rsidR="00067C8D" w:rsidRPr="000A64BD">
        <w:rPr>
          <w:rFonts w:ascii="Baskerville" w:hAnsi="Baskerville" w:cs="Baskerville"/>
          <w:i/>
          <w:color w:val="000000" w:themeColor="text1"/>
          <w:sz w:val="24"/>
          <w:szCs w:val="24"/>
        </w:rPr>
        <w:t>Debt-to-income</w:t>
      </w:r>
      <w:r w:rsidR="00067C8D" w:rsidRPr="000A64BD">
        <w:rPr>
          <w:rFonts w:ascii="Baskerville" w:hAnsi="Baskerville" w:cs="Baskerville"/>
          <w:color w:val="000000" w:themeColor="text1"/>
          <w:sz w:val="24"/>
          <w:szCs w:val="24"/>
        </w:rPr>
        <w:t xml:space="preserve"> ratios (DTI) </w:t>
      </w:r>
      <w:r>
        <w:rPr>
          <w:rFonts w:ascii="Baskerville" w:hAnsi="Baskerville" w:cs="Baskerville"/>
          <w:color w:val="000000" w:themeColor="text1"/>
          <w:sz w:val="24"/>
          <w:szCs w:val="24"/>
        </w:rPr>
        <w:t xml:space="preserve">is </w:t>
      </w:r>
      <w:r w:rsidR="00067C8D" w:rsidRPr="000A64BD">
        <w:rPr>
          <w:rFonts w:ascii="Baskerville" w:hAnsi="Baskerville" w:cs="Baskerville"/>
          <w:color w:val="000000" w:themeColor="text1"/>
          <w:sz w:val="24"/>
          <w:szCs w:val="24"/>
        </w:rPr>
        <w:t xml:space="preserve">another </w:t>
      </w:r>
      <w:r w:rsidR="00E87939">
        <w:rPr>
          <w:rFonts w:ascii="Baskerville" w:hAnsi="Baskerville" w:cs="Baskerville"/>
          <w:color w:val="000000" w:themeColor="text1"/>
          <w:sz w:val="24"/>
          <w:szCs w:val="24"/>
        </w:rPr>
        <w:t>macro-prudential</w:t>
      </w:r>
      <w:r w:rsidR="00067C8D" w:rsidRPr="000A64BD">
        <w:rPr>
          <w:rFonts w:ascii="Baskerville" w:hAnsi="Baskerville" w:cs="Baskerville"/>
          <w:color w:val="000000" w:themeColor="text1"/>
          <w:sz w:val="24"/>
          <w:szCs w:val="24"/>
        </w:rPr>
        <w:t xml:space="preserve"> tool. DTI requirements compel banks to restrict credit for borrowers who do not earn sufficient income. </w:t>
      </w:r>
      <w:r w:rsidR="008710A2">
        <w:rPr>
          <w:rFonts w:ascii="Baskerville" w:hAnsi="Baskerville" w:cs="Baskerville"/>
          <w:color w:val="000000" w:themeColor="text1"/>
          <w:sz w:val="24"/>
          <w:szCs w:val="24"/>
        </w:rPr>
        <w:t xml:space="preserve">They restrict access to credit to borrowers whose disposable income is larger than a certain multiple of their mortgage payments. </w:t>
      </w:r>
      <w:r w:rsidR="003030C1" w:rsidRPr="00D952CF">
        <w:rPr>
          <w:rStyle w:val="VerbatimChar"/>
          <w:rFonts w:ascii="Baskerville" w:hAnsi="Baskerville" w:cs="Baskerville"/>
          <w:color w:val="000000" w:themeColor="text1"/>
          <w:sz w:val="24"/>
          <w:szCs w:val="24"/>
        </w:rPr>
        <w:t xml:space="preserve">For example, a DTI cap of 30% would exclude borrowers from credit who need to pay more than 30% of their yearly income to service their loan. For a yearly gross income of $50,000, this means that the costs of the mortgage must not exceed $1,250 per month. </w:t>
      </w:r>
      <w:r w:rsidR="008710A2">
        <w:rPr>
          <w:rFonts w:ascii="Baskerville" w:hAnsi="Baskerville" w:cs="Baskerville"/>
          <w:color w:val="000000" w:themeColor="text1"/>
          <w:sz w:val="24"/>
          <w:szCs w:val="24"/>
        </w:rPr>
        <w:t xml:space="preserve">Since Sam has a lower income than Ike, he is more likely to lose access to a mortgage due </w:t>
      </w:r>
      <w:r w:rsidR="003030C1">
        <w:rPr>
          <w:rFonts w:ascii="Baskerville" w:hAnsi="Baskerville" w:cs="Baskerville"/>
          <w:color w:val="000000" w:themeColor="text1"/>
          <w:sz w:val="24"/>
          <w:szCs w:val="24"/>
        </w:rPr>
        <w:t>to DTI ratios than Ike.</w:t>
      </w:r>
      <w:r w:rsidR="008710A2">
        <w:rPr>
          <w:rFonts w:ascii="Baskerville" w:hAnsi="Baskerville" w:cs="Baskerville"/>
          <w:color w:val="000000" w:themeColor="text1"/>
          <w:sz w:val="24"/>
          <w:szCs w:val="24"/>
        </w:rPr>
        <w:t xml:space="preserve"> </w:t>
      </w:r>
      <w:r w:rsidR="003030C1">
        <w:rPr>
          <w:rFonts w:ascii="Baskerville" w:hAnsi="Baskerville" w:cs="Baskerville"/>
          <w:color w:val="000000" w:themeColor="text1"/>
          <w:sz w:val="24"/>
          <w:szCs w:val="24"/>
        </w:rPr>
        <w:t>Hence</w:t>
      </w:r>
      <w:r w:rsidR="00067C8D" w:rsidRPr="000A64BD">
        <w:rPr>
          <w:rFonts w:ascii="Baskerville" w:hAnsi="Baskerville" w:cs="Baskerville"/>
          <w:color w:val="000000" w:themeColor="text1"/>
          <w:sz w:val="24"/>
          <w:szCs w:val="24"/>
        </w:rPr>
        <w:t xml:space="preserve"> LTV and DTI </w:t>
      </w:r>
      <w:r w:rsidR="003030C1">
        <w:rPr>
          <w:rFonts w:ascii="Baskerville" w:hAnsi="Baskerville" w:cs="Baskerville"/>
          <w:color w:val="000000" w:themeColor="text1"/>
          <w:sz w:val="24"/>
          <w:szCs w:val="24"/>
        </w:rPr>
        <w:t>caps</w:t>
      </w:r>
      <w:r w:rsidR="00067C8D" w:rsidRPr="000A64BD">
        <w:rPr>
          <w:rFonts w:ascii="Baskerville" w:hAnsi="Baskerville" w:cs="Baskerville"/>
          <w:color w:val="000000" w:themeColor="text1"/>
          <w:sz w:val="24"/>
          <w:szCs w:val="24"/>
        </w:rPr>
        <w:t xml:space="preserve"> exclude different groups </w:t>
      </w:r>
      <w:r w:rsidR="008710A2">
        <w:rPr>
          <w:rFonts w:ascii="Baskerville" w:hAnsi="Baskerville" w:cs="Baskerville"/>
          <w:color w:val="000000" w:themeColor="text1"/>
          <w:sz w:val="24"/>
          <w:szCs w:val="24"/>
        </w:rPr>
        <w:t xml:space="preserve">of applicants </w:t>
      </w:r>
      <w:r w:rsidR="00067C8D" w:rsidRPr="000A64BD">
        <w:rPr>
          <w:rFonts w:ascii="Baskerville" w:hAnsi="Baskerville" w:cs="Baskerville"/>
          <w:color w:val="000000" w:themeColor="text1"/>
          <w:sz w:val="24"/>
          <w:szCs w:val="24"/>
        </w:rPr>
        <w:t xml:space="preserve">from credit. </w:t>
      </w:r>
    </w:p>
    <w:p w14:paraId="75727854" w14:textId="76C8D788" w:rsidR="0030223C" w:rsidRDefault="00D952CF" w:rsidP="00D952CF">
      <w:pPr>
        <w:pStyle w:val="SourceCode"/>
        <w:spacing w:line="360" w:lineRule="auto"/>
        <w:rPr>
          <w:rFonts w:ascii="Baskerville" w:hAnsi="Baskerville" w:cs="Baskerville"/>
          <w:color w:val="000000" w:themeColor="text1"/>
          <w:sz w:val="24"/>
          <w:szCs w:val="24"/>
        </w:rPr>
      </w:pPr>
      <w:r w:rsidRPr="00D952CF">
        <w:rPr>
          <w:rStyle w:val="VerbatimChar"/>
          <w:rFonts w:ascii="Baskerville" w:hAnsi="Baskerville" w:cs="Baskerville"/>
          <w:color w:val="000000" w:themeColor="text1"/>
          <w:sz w:val="24"/>
          <w:szCs w:val="24"/>
        </w:rPr>
        <w:t>Assume that a certain LTV cap is equally beneficial to financial stability as a certain DTI cap. What would be the distributive consequences of imposing caps on LTV or DTI ratios? First, note that if macro-prudential tools are successful in safeguarding financial stability, their success results from reducing the number of mistakes of wrongful inclus</w:t>
      </w:r>
      <w:r w:rsidR="003030C1">
        <w:rPr>
          <w:rStyle w:val="VerbatimChar"/>
          <w:rFonts w:ascii="Baskerville" w:hAnsi="Baskerville" w:cs="Baskerville"/>
          <w:color w:val="000000" w:themeColor="text1"/>
          <w:sz w:val="24"/>
          <w:szCs w:val="24"/>
        </w:rPr>
        <w:t xml:space="preserve">ion. Second, </w:t>
      </w:r>
      <w:r w:rsidRPr="00D952CF">
        <w:rPr>
          <w:rStyle w:val="VerbatimChar"/>
          <w:rFonts w:ascii="Baskerville" w:hAnsi="Baskerville" w:cs="Baskerville"/>
          <w:color w:val="000000" w:themeColor="text1"/>
          <w:sz w:val="24"/>
          <w:szCs w:val="24"/>
        </w:rPr>
        <w:t>bo</w:t>
      </w:r>
      <w:r w:rsidR="003030C1">
        <w:rPr>
          <w:rStyle w:val="VerbatimChar"/>
          <w:rFonts w:ascii="Baskerville" w:hAnsi="Baskerville" w:cs="Baskerville"/>
          <w:color w:val="000000" w:themeColor="text1"/>
          <w:sz w:val="24"/>
          <w:szCs w:val="24"/>
        </w:rPr>
        <w:t>th instruments are rather blunt, in that t</w:t>
      </w:r>
      <w:r w:rsidRPr="00D952CF">
        <w:rPr>
          <w:rStyle w:val="VerbatimChar"/>
          <w:rFonts w:ascii="Baskerville" w:hAnsi="Baskerville" w:cs="Baskerville"/>
          <w:color w:val="000000" w:themeColor="text1"/>
          <w:sz w:val="24"/>
          <w:szCs w:val="24"/>
        </w:rPr>
        <w:t xml:space="preserve">hey exclude </w:t>
      </w:r>
      <w:r w:rsidR="003030C1">
        <w:rPr>
          <w:rStyle w:val="VerbatimChar"/>
          <w:rFonts w:ascii="Baskerville" w:hAnsi="Baskerville" w:cs="Baskerville"/>
          <w:color w:val="000000" w:themeColor="text1"/>
          <w:sz w:val="24"/>
          <w:szCs w:val="24"/>
        </w:rPr>
        <w:t>applicants</w:t>
      </w:r>
      <w:r w:rsidRPr="00D952CF">
        <w:rPr>
          <w:rStyle w:val="VerbatimChar"/>
          <w:rFonts w:ascii="Baskerville" w:hAnsi="Baskerville" w:cs="Baskerville"/>
          <w:color w:val="000000" w:themeColor="text1"/>
          <w:sz w:val="24"/>
          <w:szCs w:val="24"/>
        </w:rPr>
        <w:t xml:space="preserve"> from access to mortgage credit </w:t>
      </w:r>
      <w:r w:rsidR="003030C1">
        <w:rPr>
          <w:rStyle w:val="VerbatimChar"/>
          <w:rFonts w:ascii="Baskerville" w:hAnsi="Baskerville" w:cs="Baskerville"/>
          <w:color w:val="000000" w:themeColor="text1"/>
          <w:sz w:val="24"/>
          <w:szCs w:val="24"/>
        </w:rPr>
        <w:t>regardless of</w:t>
      </w:r>
      <w:r w:rsidRPr="00D952CF">
        <w:rPr>
          <w:rStyle w:val="VerbatimChar"/>
          <w:rFonts w:ascii="Baskerville" w:hAnsi="Baskerville" w:cs="Baskerville"/>
          <w:color w:val="000000" w:themeColor="text1"/>
          <w:sz w:val="24"/>
          <w:szCs w:val="24"/>
        </w:rPr>
        <w:t xml:space="preserve"> the</w:t>
      </w:r>
      <w:r w:rsidR="003030C1">
        <w:rPr>
          <w:rStyle w:val="VerbatimChar"/>
          <w:rFonts w:ascii="Baskerville" w:hAnsi="Baskerville" w:cs="Baskerville"/>
          <w:color w:val="000000" w:themeColor="text1"/>
          <w:sz w:val="24"/>
          <w:szCs w:val="24"/>
        </w:rPr>
        <w:t>ir</w:t>
      </w:r>
      <w:r w:rsidRPr="00D952CF">
        <w:rPr>
          <w:rStyle w:val="VerbatimChar"/>
          <w:rFonts w:ascii="Baskerville" w:hAnsi="Baskerville" w:cs="Baskerville"/>
          <w:color w:val="000000" w:themeColor="text1"/>
          <w:sz w:val="24"/>
          <w:szCs w:val="24"/>
        </w:rPr>
        <w:t xml:space="preserve"> specific </w:t>
      </w:r>
      <w:r w:rsidR="003030C1">
        <w:rPr>
          <w:rStyle w:val="VerbatimChar"/>
          <w:rFonts w:ascii="Baskerville" w:hAnsi="Baskerville" w:cs="Baskerville"/>
          <w:color w:val="000000" w:themeColor="text1"/>
          <w:sz w:val="24"/>
          <w:szCs w:val="24"/>
        </w:rPr>
        <w:t>financial situation</w:t>
      </w:r>
      <w:r w:rsidRPr="00D952CF">
        <w:rPr>
          <w:rStyle w:val="VerbatimChar"/>
          <w:rFonts w:ascii="Baskerville" w:hAnsi="Baskerville" w:cs="Baskerville"/>
          <w:color w:val="000000" w:themeColor="text1"/>
          <w:sz w:val="24"/>
          <w:szCs w:val="24"/>
        </w:rPr>
        <w:t>.</w:t>
      </w:r>
      <w:r w:rsidR="003030C1">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 xml:space="preserve">Hence we should expect caps on LTV and DTI </w:t>
      </w:r>
      <w:r w:rsidR="003030C1">
        <w:rPr>
          <w:rStyle w:val="VerbatimChar"/>
          <w:rFonts w:ascii="Baskerville" w:hAnsi="Baskerville" w:cs="Baskerville"/>
          <w:color w:val="000000" w:themeColor="text1"/>
          <w:sz w:val="24"/>
          <w:szCs w:val="24"/>
        </w:rPr>
        <w:t>caps</w:t>
      </w:r>
      <w:r w:rsidRPr="00D952CF">
        <w:rPr>
          <w:rStyle w:val="VerbatimChar"/>
          <w:rFonts w:ascii="Baskerville" w:hAnsi="Baskerville" w:cs="Baskerville"/>
          <w:color w:val="000000" w:themeColor="text1"/>
          <w:sz w:val="24"/>
          <w:szCs w:val="24"/>
        </w:rPr>
        <w:t xml:space="preserve"> both to lead to significant numbers of mistakes of wrongful exclusion.</w:t>
      </w:r>
      <w:r w:rsidRPr="00D952CF">
        <w:rPr>
          <w:rFonts w:ascii="Baskerville" w:hAnsi="Baskerville" w:cs="Baskerville"/>
          <w:color w:val="000000" w:themeColor="text1"/>
          <w:sz w:val="24"/>
          <w:szCs w:val="24"/>
        </w:rPr>
        <w:br/>
      </w:r>
      <w:r w:rsidRPr="00D952CF">
        <w:rPr>
          <w:rFonts w:ascii="Baskerville" w:hAnsi="Baskerville" w:cs="Baskerville"/>
          <w:color w:val="000000" w:themeColor="text1"/>
          <w:sz w:val="24"/>
          <w:szCs w:val="24"/>
        </w:rPr>
        <w:br/>
      </w:r>
      <w:r w:rsidRPr="00D952CF">
        <w:rPr>
          <w:rStyle w:val="VerbatimChar"/>
          <w:rFonts w:ascii="Baskerville" w:hAnsi="Baskerville" w:cs="Baskerville"/>
          <w:color w:val="000000" w:themeColor="text1"/>
          <w:sz w:val="24"/>
          <w:szCs w:val="24"/>
        </w:rPr>
        <w:t>But LTV and DTI caps wrongfully exclude different groups of borrowers</w:t>
      </w:r>
      <w:r w:rsidR="003030C1">
        <w:rPr>
          <w:rStyle w:val="VerbatimChar"/>
          <w:rFonts w:ascii="Baskerville" w:hAnsi="Baskerville" w:cs="Baskerville"/>
          <w:color w:val="000000" w:themeColor="text1"/>
          <w:sz w:val="24"/>
          <w:szCs w:val="24"/>
        </w:rPr>
        <w:t xml:space="preserve"> from access to mortgage credit, as Sam and Ike illustrate</w:t>
      </w:r>
      <w:r w:rsidR="0030223C">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 xml:space="preserve">Caps on LTV ratios privilege </w:t>
      </w:r>
      <w:r w:rsidR="003030C1">
        <w:rPr>
          <w:rStyle w:val="VerbatimChar"/>
          <w:rFonts w:ascii="Baskerville" w:hAnsi="Baskerville" w:cs="Baskerville"/>
          <w:color w:val="000000" w:themeColor="text1"/>
          <w:sz w:val="24"/>
          <w:szCs w:val="24"/>
        </w:rPr>
        <w:t xml:space="preserve">savings-rich </w:t>
      </w:r>
      <w:r w:rsidR="0030223C">
        <w:rPr>
          <w:rStyle w:val="VerbatimChar"/>
          <w:rFonts w:ascii="Baskerville" w:hAnsi="Baskerville" w:cs="Baskerville"/>
          <w:color w:val="000000" w:themeColor="text1"/>
          <w:sz w:val="24"/>
          <w:szCs w:val="24"/>
        </w:rPr>
        <w:t>applicants like Sam</w:t>
      </w:r>
      <w:r w:rsidRPr="00D952CF">
        <w:rPr>
          <w:rStyle w:val="VerbatimChar"/>
          <w:rFonts w:ascii="Baskerville" w:hAnsi="Baskerville" w:cs="Baskerville"/>
          <w:color w:val="000000" w:themeColor="text1"/>
          <w:sz w:val="24"/>
          <w:szCs w:val="24"/>
        </w:rPr>
        <w:t xml:space="preserve">, whereas caps on DTI ratios privilege </w:t>
      </w:r>
      <w:r w:rsidR="003030C1">
        <w:rPr>
          <w:rStyle w:val="VerbatimChar"/>
          <w:rFonts w:ascii="Baskerville" w:hAnsi="Baskerville" w:cs="Baskerville"/>
          <w:color w:val="000000" w:themeColor="text1"/>
          <w:sz w:val="24"/>
          <w:szCs w:val="24"/>
        </w:rPr>
        <w:t xml:space="preserve">income-rich </w:t>
      </w:r>
      <w:r w:rsidR="0030223C">
        <w:rPr>
          <w:rStyle w:val="VerbatimChar"/>
          <w:rFonts w:ascii="Baskerville" w:hAnsi="Baskerville" w:cs="Baskerville"/>
          <w:color w:val="000000" w:themeColor="text1"/>
          <w:sz w:val="24"/>
          <w:szCs w:val="24"/>
        </w:rPr>
        <w:t>borrowers like Ike</w:t>
      </w:r>
      <w:r w:rsidRPr="00D952CF">
        <w:rPr>
          <w:rStyle w:val="VerbatimChar"/>
          <w:rFonts w:ascii="Baskerville" w:hAnsi="Baskerville" w:cs="Baskerville"/>
          <w:color w:val="000000" w:themeColor="text1"/>
          <w:sz w:val="24"/>
          <w:szCs w:val="24"/>
        </w:rPr>
        <w:t xml:space="preserve">. There are also </w:t>
      </w:r>
      <w:r w:rsidR="003030C1">
        <w:rPr>
          <w:rStyle w:val="VerbatimChar"/>
          <w:rFonts w:ascii="Baskerville" w:hAnsi="Baskerville" w:cs="Baskerville"/>
          <w:color w:val="000000" w:themeColor="text1"/>
          <w:sz w:val="24"/>
          <w:szCs w:val="24"/>
        </w:rPr>
        <w:t>subtler</w:t>
      </w:r>
      <w:r w:rsidRPr="00D952CF">
        <w:rPr>
          <w:rStyle w:val="VerbatimChar"/>
          <w:rFonts w:ascii="Baskerville" w:hAnsi="Baskerville" w:cs="Baskerville"/>
          <w:color w:val="000000" w:themeColor="text1"/>
          <w:sz w:val="24"/>
          <w:szCs w:val="24"/>
        </w:rPr>
        <w:t xml:space="preserve"> differences in the distributive effects of these two macro-prudential </w:t>
      </w:r>
      <w:r w:rsidRPr="00D952CF">
        <w:rPr>
          <w:rStyle w:val="VerbatimChar"/>
          <w:rFonts w:ascii="Baskerville" w:hAnsi="Baskerville" w:cs="Baskerville"/>
          <w:color w:val="000000" w:themeColor="text1"/>
          <w:sz w:val="24"/>
          <w:szCs w:val="24"/>
        </w:rPr>
        <w:lastRenderedPageBreak/>
        <w:t xml:space="preserve">tools. For example, a cap on </w:t>
      </w:r>
      <w:r w:rsidR="003030C1">
        <w:rPr>
          <w:rStyle w:val="VerbatimChar"/>
          <w:rFonts w:ascii="Baskerville" w:hAnsi="Baskerville" w:cs="Baskerville"/>
          <w:color w:val="000000" w:themeColor="text1"/>
          <w:sz w:val="24"/>
          <w:szCs w:val="24"/>
        </w:rPr>
        <w:t>the LTV ratio</w:t>
      </w:r>
      <w:r w:rsidRPr="00D952CF">
        <w:rPr>
          <w:rStyle w:val="VerbatimChar"/>
          <w:rFonts w:ascii="Baskerville" w:hAnsi="Baskerville" w:cs="Baskerville"/>
          <w:color w:val="000000" w:themeColor="text1"/>
          <w:sz w:val="24"/>
          <w:szCs w:val="24"/>
        </w:rPr>
        <w:t xml:space="preserve"> makes it more difficult for people from </w:t>
      </w:r>
      <w:r w:rsidR="003030C1">
        <w:rPr>
          <w:rStyle w:val="VerbatimChar"/>
          <w:rFonts w:ascii="Baskerville" w:hAnsi="Baskerville" w:cs="Baskerville"/>
          <w:color w:val="000000" w:themeColor="text1"/>
          <w:sz w:val="24"/>
          <w:szCs w:val="24"/>
        </w:rPr>
        <w:t xml:space="preserve">economically depressed </w:t>
      </w:r>
      <w:r w:rsidRPr="00D952CF">
        <w:rPr>
          <w:rStyle w:val="VerbatimChar"/>
          <w:rFonts w:ascii="Baskerville" w:hAnsi="Baskerville" w:cs="Baskerville"/>
          <w:color w:val="000000" w:themeColor="text1"/>
          <w:sz w:val="24"/>
          <w:szCs w:val="24"/>
        </w:rPr>
        <w:t xml:space="preserve">areas to take job offers in </w:t>
      </w:r>
      <w:r w:rsidR="003030C1">
        <w:rPr>
          <w:rStyle w:val="VerbatimChar"/>
          <w:rFonts w:ascii="Baskerville" w:hAnsi="Baskerville" w:cs="Baskerville"/>
          <w:color w:val="000000" w:themeColor="text1"/>
          <w:sz w:val="24"/>
          <w:szCs w:val="24"/>
        </w:rPr>
        <w:t>richer</w:t>
      </w:r>
      <w:r w:rsidRPr="00D952CF">
        <w:rPr>
          <w:rStyle w:val="VerbatimChar"/>
          <w:rFonts w:ascii="Baskerville" w:hAnsi="Baskerville" w:cs="Baskerville"/>
          <w:color w:val="000000" w:themeColor="text1"/>
          <w:sz w:val="24"/>
          <w:szCs w:val="24"/>
        </w:rPr>
        <w:t xml:space="preserve"> areas than a cap on </w:t>
      </w:r>
      <w:r w:rsidR="003030C1">
        <w:rPr>
          <w:rStyle w:val="VerbatimChar"/>
          <w:rFonts w:ascii="Baskerville" w:hAnsi="Baskerville" w:cs="Baskerville"/>
          <w:color w:val="000000" w:themeColor="text1"/>
          <w:sz w:val="24"/>
          <w:szCs w:val="24"/>
        </w:rPr>
        <w:t>the DTI ratio</w:t>
      </w:r>
      <w:r w:rsidRPr="00D952CF">
        <w:rPr>
          <w:rStyle w:val="VerbatimChar"/>
          <w:rFonts w:ascii="Baskerville" w:hAnsi="Baskerville" w:cs="Baskerville"/>
          <w:color w:val="000000" w:themeColor="text1"/>
          <w:sz w:val="24"/>
          <w:szCs w:val="24"/>
        </w:rPr>
        <w:t xml:space="preserve">. </w:t>
      </w:r>
      <w:r w:rsidR="003030C1">
        <w:rPr>
          <w:rStyle w:val="VerbatimChar"/>
          <w:rFonts w:ascii="Baskerville" w:hAnsi="Baskerville" w:cs="Baskerville"/>
          <w:color w:val="000000" w:themeColor="text1"/>
          <w:sz w:val="24"/>
          <w:szCs w:val="24"/>
        </w:rPr>
        <w:t>The reason</w:t>
      </w:r>
      <w:r w:rsidRPr="00D952CF">
        <w:rPr>
          <w:rStyle w:val="VerbatimChar"/>
          <w:rFonts w:ascii="Baskerville" w:hAnsi="Baskerville" w:cs="Baskerville"/>
          <w:color w:val="000000" w:themeColor="text1"/>
          <w:sz w:val="24"/>
          <w:szCs w:val="24"/>
        </w:rPr>
        <w:t xml:space="preserve"> is </w:t>
      </w:r>
      <w:r w:rsidR="003030C1">
        <w:rPr>
          <w:rStyle w:val="VerbatimChar"/>
          <w:rFonts w:ascii="Baskerville" w:hAnsi="Baskerville" w:cs="Baskerville"/>
          <w:color w:val="000000" w:themeColor="text1"/>
          <w:sz w:val="24"/>
          <w:szCs w:val="24"/>
        </w:rPr>
        <w:t>that</w:t>
      </w:r>
      <w:r w:rsidRPr="00D952CF">
        <w:rPr>
          <w:rStyle w:val="VerbatimChar"/>
          <w:rFonts w:ascii="Baskerville" w:hAnsi="Baskerville" w:cs="Baskerville"/>
          <w:color w:val="000000" w:themeColor="text1"/>
          <w:sz w:val="24"/>
          <w:szCs w:val="24"/>
        </w:rPr>
        <w:t xml:space="preserve"> </w:t>
      </w:r>
      <w:r w:rsidR="0073001D">
        <w:rPr>
          <w:rStyle w:val="VerbatimChar"/>
          <w:rFonts w:ascii="Baskerville" w:hAnsi="Baskerville" w:cs="Baskerville"/>
          <w:color w:val="000000" w:themeColor="text1"/>
          <w:sz w:val="24"/>
          <w:szCs w:val="24"/>
        </w:rPr>
        <w:t>if someone takes a job in a rich area, their income immediately increases, allowing them to meet DTI caps.</w:t>
      </w:r>
      <w:r w:rsidRPr="00D952CF">
        <w:rPr>
          <w:rStyle w:val="VerbatimChar"/>
          <w:rFonts w:ascii="Baskerville" w:hAnsi="Baskerville" w:cs="Baskerville"/>
          <w:color w:val="000000" w:themeColor="text1"/>
          <w:sz w:val="24"/>
          <w:szCs w:val="24"/>
        </w:rPr>
        <w:t xml:space="preserve"> </w:t>
      </w:r>
      <w:r w:rsidR="0073001D">
        <w:rPr>
          <w:rStyle w:val="VerbatimChar"/>
          <w:rFonts w:ascii="Baskerville" w:hAnsi="Baskerville" w:cs="Baskerville"/>
          <w:color w:val="000000" w:themeColor="text1"/>
          <w:sz w:val="24"/>
          <w:szCs w:val="24"/>
        </w:rPr>
        <w:t>By contrast, s</w:t>
      </w:r>
      <w:r w:rsidRPr="00D952CF">
        <w:rPr>
          <w:rStyle w:val="VerbatimChar"/>
          <w:rFonts w:ascii="Baskerville" w:hAnsi="Baskerville" w:cs="Baskerville"/>
          <w:color w:val="000000" w:themeColor="text1"/>
          <w:sz w:val="24"/>
          <w:szCs w:val="24"/>
        </w:rPr>
        <w:t xml:space="preserve">avings need to be built up over time. Therefore, LTV ratios might hamper social mobility more than DTI ratios. </w:t>
      </w:r>
    </w:p>
    <w:p w14:paraId="14CB0CD4" w14:textId="147A42A7" w:rsidR="0030223C" w:rsidRDefault="00D952CF" w:rsidP="009571B0">
      <w:pPr>
        <w:pStyle w:val="SourceCode"/>
        <w:spacing w:line="360" w:lineRule="auto"/>
        <w:rPr>
          <w:rFonts w:ascii="Baskerville" w:hAnsi="Baskerville" w:cs="Baskerville"/>
          <w:color w:val="000000" w:themeColor="text1"/>
          <w:sz w:val="24"/>
          <w:szCs w:val="24"/>
        </w:rPr>
      </w:pPr>
      <w:r w:rsidRPr="00D952CF">
        <w:rPr>
          <w:rStyle w:val="VerbatimChar"/>
          <w:rFonts w:ascii="Baskerville" w:hAnsi="Baskerville" w:cs="Baskerville"/>
          <w:color w:val="000000" w:themeColor="text1"/>
          <w:sz w:val="24"/>
          <w:szCs w:val="24"/>
        </w:rPr>
        <w:t>The precise way in which caps on LTV and DTI ratios are imposed also makes a difference for distribu</w:t>
      </w:r>
      <w:r w:rsidR="0030223C">
        <w:rPr>
          <w:rStyle w:val="VerbatimChar"/>
          <w:rFonts w:ascii="Baskerville" w:hAnsi="Baskerville" w:cs="Baskerville"/>
          <w:color w:val="000000" w:themeColor="text1"/>
          <w:sz w:val="24"/>
          <w:szCs w:val="24"/>
        </w:rPr>
        <w:t>tive justice. First, consider a</w:t>
      </w:r>
      <w:r w:rsidRPr="00D952CF">
        <w:rPr>
          <w:rStyle w:val="VerbatimChar"/>
          <w:rFonts w:ascii="Baskerville" w:hAnsi="Baskerville" w:cs="Baskerville"/>
          <w:color w:val="000000" w:themeColor="text1"/>
          <w:sz w:val="24"/>
          <w:szCs w:val="24"/>
        </w:rPr>
        <w:t xml:space="preserve"> medium LTV cap that is imposed equally on all applicants. Second, consider a somewhat stricter LTV cap to be imposed in 90% of cases, and a more lenient LTV cap to be imposed in the remaining 10%. Both policies should have similar </w:t>
      </w:r>
      <w:r w:rsidR="0073001D">
        <w:rPr>
          <w:rStyle w:val="VerbatimChar"/>
          <w:rFonts w:ascii="Baskerville" w:hAnsi="Baskerville" w:cs="Baskerville"/>
          <w:color w:val="000000" w:themeColor="text1"/>
          <w:sz w:val="24"/>
          <w:szCs w:val="24"/>
        </w:rPr>
        <w:t>effects on financial stability. In the second case, t</w:t>
      </w:r>
      <w:r w:rsidRPr="00D952CF">
        <w:rPr>
          <w:rStyle w:val="VerbatimChar"/>
          <w:rFonts w:ascii="Baskerville" w:hAnsi="Baskerville" w:cs="Baskerville"/>
          <w:color w:val="000000" w:themeColor="text1"/>
          <w:sz w:val="24"/>
          <w:szCs w:val="24"/>
        </w:rPr>
        <w:t xml:space="preserve">he stricter cap on most mortgages would </w:t>
      </w:r>
      <w:r w:rsidR="0073001D">
        <w:rPr>
          <w:rStyle w:val="VerbatimChar"/>
          <w:rFonts w:ascii="Baskerville" w:hAnsi="Baskerville" w:cs="Baskerville"/>
          <w:color w:val="000000" w:themeColor="text1"/>
          <w:sz w:val="24"/>
          <w:szCs w:val="24"/>
        </w:rPr>
        <w:t>increase resilience</w:t>
      </w:r>
      <w:r w:rsidRPr="00D952CF">
        <w:rPr>
          <w:rStyle w:val="VerbatimChar"/>
          <w:rFonts w:ascii="Baskerville" w:hAnsi="Baskerville" w:cs="Baskerville"/>
          <w:color w:val="000000" w:themeColor="text1"/>
          <w:sz w:val="24"/>
          <w:szCs w:val="24"/>
        </w:rPr>
        <w:t xml:space="preserve"> to dow</w:t>
      </w:r>
      <w:r w:rsidR="0073001D">
        <w:rPr>
          <w:rStyle w:val="VerbatimChar"/>
          <w:rFonts w:ascii="Baskerville" w:hAnsi="Baskerville" w:cs="Baskerville"/>
          <w:color w:val="000000" w:themeColor="text1"/>
          <w:sz w:val="24"/>
          <w:szCs w:val="24"/>
        </w:rPr>
        <w:t>nward pressure on house prices, cancelling</w:t>
      </w:r>
      <w:r w:rsidRPr="00D952CF">
        <w:rPr>
          <w:rStyle w:val="VerbatimChar"/>
          <w:rFonts w:ascii="Baskerville" w:hAnsi="Baskerville" w:cs="Baskerville"/>
          <w:color w:val="000000" w:themeColor="text1"/>
          <w:sz w:val="24"/>
          <w:szCs w:val="24"/>
        </w:rPr>
        <w:t xml:space="preserve"> out the </w:t>
      </w:r>
      <w:r w:rsidR="0073001D">
        <w:rPr>
          <w:rStyle w:val="VerbatimChar"/>
          <w:rFonts w:ascii="Baskerville" w:hAnsi="Baskerville" w:cs="Baskerville"/>
          <w:color w:val="000000" w:themeColor="text1"/>
          <w:sz w:val="24"/>
          <w:szCs w:val="24"/>
        </w:rPr>
        <w:t>adverse effect on financial stability</w:t>
      </w:r>
      <w:r w:rsidRPr="00D952CF">
        <w:rPr>
          <w:rStyle w:val="VerbatimChar"/>
          <w:rFonts w:ascii="Baskerville" w:hAnsi="Baskerville" w:cs="Baskerville"/>
          <w:color w:val="000000" w:themeColor="text1"/>
          <w:sz w:val="24"/>
          <w:szCs w:val="24"/>
        </w:rPr>
        <w:t xml:space="preserve"> </w:t>
      </w:r>
      <w:r w:rsidR="0073001D">
        <w:rPr>
          <w:rStyle w:val="VerbatimChar"/>
          <w:rFonts w:ascii="Baskerville" w:hAnsi="Baskerville" w:cs="Baskerville"/>
          <w:color w:val="000000" w:themeColor="text1"/>
          <w:sz w:val="24"/>
          <w:szCs w:val="24"/>
        </w:rPr>
        <w:t>of the small number of more precarious</w:t>
      </w:r>
      <w:r w:rsidRPr="00D952CF">
        <w:rPr>
          <w:rStyle w:val="VerbatimChar"/>
          <w:rFonts w:ascii="Baskerville" w:hAnsi="Baskerville" w:cs="Baskerville"/>
          <w:color w:val="000000" w:themeColor="text1"/>
          <w:sz w:val="24"/>
          <w:szCs w:val="24"/>
        </w:rPr>
        <w:t xml:space="preserve"> </w:t>
      </w:r>
      <w:r w:rsidR="0073001D">
        <w:rPr>
          <w:rStyle w:val="VerbatimChar"/>
          <w:rFonts w:ascii="Baskerville" w:hAnsi="Baskerville" w:cs="Baskerville"/>
          <w:color w:val="000000" w:themeColor="text1"/>
          <w:sz w:val="24"/>
          <w:szCs w:val="24"/>
        </w:rPr>
        <w:t>borrowers</w:t>
      </w:r>
      <w:r w:rsidRPr="00D952CF">
        <w:rPr>
          <w:rStyle w:val="VerbatimChar"/>
          <w:rFonts w:ascii="Baskerville" w:hAnsi="Baskerville" w:cs="Baskerville"/>
          <w:color w:val="000000" w:themeColor="text1"/>
          <w:sz w:val="24"/>
          <w:szCs w:val="24"/>
        </w:rPr>
        <w:t xml:space="preserve">. But </w:t>
      </w:r>
      <w:r w:rsidR="0073001D">
        <w:rPr>
          <w:rStyle w:val="VerbatimChar"/>
          <w:rFonts w:ascii="Baskerville" w:hAnsi="Baskerville" w:cs="Baskerville"/>
          <w:color w:val="000000" w:themeColor="text1"/>
          <w:sz w:val="24"/>
          <w:szCs w:val="24"/>
        </w:rPr>
        <w:t xml:space="preserve">the first </w:t>
      </w:r>
      <w:r w:rsidR="009571B0">
        <w:rPr>
          <w:rStyle w:val="VerbatimChar"/>
          <w:rFonts w:ascii="Baskerville" w:hAnsi="Baskerville" w:cs="Baskerville"/>
          <w:color w:val="000000" w:themeColor="text1"/>
          <w:sz w:val="24"/>
          <w:szCs w:val="24"/>
        </w:rPr>
        <w:t>and second version differ</w:t>
      </w:r>
      <w:r w:rsidR="0073001D">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 xml:space="preserve">in how they distribute </w:t>
      </w:r>
      <w:r w:rsidR="0073001D">
        <w:rPr>
          <w:rStyle w:val="VerbatimChar"/>
          <w:rFonts w:ascii="Baskerville" w:hAnsi="Baskerville" w:cs="Baskerville"/>
          <w:color w:val="000000" w:themeColor="text1"/>
          <w:sz w:val="24"/>
          <w:szCs w:val="24"/>
        </w:rPr>
        <w:t xml:space="preserve">the burdens of limiting the number of </w:t>
      </w:r>
      <w:r w:rsidRPr="00D952CF">
        <w:rPr>
          <w:rStyle w:val="VerbatimChar"/>
          <w:rFonts w:ascii="Baskerville" w:hAnsi="Baskerville" w:cs="Baskerville"/>
          <w:color w:val="000000" w:themeColor="text1"/>
          <w:sz w:val="24"/>
          <w:szCs w:val="24"/>
        </w:rPr>
        <w:t xml:space="preserve">mistakes of wrongful </w:t>
      </w:r>
      <w:r w:rsidR="0073001D">
        <w:rPr>
          <w:rStyle w:val="VerbatimChar"/>
          <w:rFonts w:ascii="Baskerville" w:hAnsi="Baskerville" w:cs="Baskerville"/>
          <w:color w:val="000000" w:themeColor="text1"/>
          <w:sz w:val="24"/>
          <w:szCs w:val="24"/>
        </w:rPr>
        <w:t>in</w:t>
      </w:r>
      <w:r w:rsidRPr="00D952CF">
        <w:rPr>
          <w:rStyle w:val="VerbatimChar"/>
          <w:rFonts w:ascii="Baskerville" w:hAnsi="Baskerville" w:cs="Baskerville"/>
          <w:color w:val="000000" w:themeColor="text1"/>
          <w:sz w:val="24"/>
          <w:szCs w:val="24"/>
        </w:rPr>
        <w:t xml:space="preserve">clusion. In the first version, all mistakes of wrongful exclusion fall on the least wealthy applicants. In the second version, some of these less wealthy households can get a mortgage, as mortgage lenders can use their prerogative to grant 10% of applicants mortgages </w:t>
      </w:r>
      <w:r w:rsidR="0073001D">
        <w:rPr>
          <w:rStyle w:val="VerbatimChar"/>
          <w:rFonts w:ascii="Baskerville" w:hAnsi="Baskerville" w:cs="Baskerville"/>
          <w:color w:val="000000" w:themeColor="text1"/>
          <w:sz w:val="24"/>
          <w:szCs w:val="24"/>
        </w:rPr>
        <w:t>even if they do not meet strict LTV caps</w:t>
      </w:r>
      <w:r w:rsidRPr="00D952CF">
        <w:rPr>
          <w:rStyle w:val="VerbatimChar"/>
          <w:rFonts w:ascii="Baskerville" w:hAnsi="Baskerville" w:cs="Baskerville"/>
          <w:color w:val="000000" w:themeColor="text1"/>
          <w:sz w:val="24"/>
          <w:szCs w:val="24"/>
        </w:rPr>
        <w:t xml:space="preserve">. This suggests that </w:t>
      </w:r>
      <w:r w:rsidR="0073001D">
        <w:rPr>
          <w:rStyle w:val="VerbatimChar"/>
          <w:rFonts w:ascii="Baskerville" w:hAnsi="Baskerville" w:cs="Baskerville"/>
          <w:color w:val="000000" w:themeColor="text1"/>
          <w:sz w:val="24"/>
          <w:szCs w:val="24"/>
        </w:rPr>
        <w:t>policies to safeguard</w:t>
      </w:r>
      <w:r w:rsidRPr="00D952CF">
        <w:rPr>
          <w:rStyle w:val="VerbatimChar"/>
          <w:rFonts w:ascii="Baskerville" w:hAnsi="Baskerville" w:cs="Baskerville"/>
          <w:color w:val="000000" w:themeColor="text1"/>
          <w:sz w:val="24"/>
          <w:szCs w:val="24"/>
        </w:rPr>
        <w:t xml:space="preserve"> financial stability can </w:t>
      </w:r>
      <w:r w:rsidR="0073001D">
        <w:rPr>
          <w:rStyle w:val="VerbatimChar"/>
          <w:rFonts w:ascii="Baskerville" w:hAnsi="Baskerville" w:cs="Baskerville"/>
          <w:color w:val="000000" w:themeColor="text1"/>
          <w:sz w:val="24"/>
          <w:szCs w:val="24"/>
        </w:rPr>
        <w:t>impose burdens progressively</w:t>
      </w:r>
      <w:r w:rsidRPr="00D952CF">
        <w:rPr>
          <w:rStyle w:val="VerbatimChar"/>
          <w:rFonts w:ascii="Baskerville" w:hAnsi="Baskerville" w:cs="Baskerville"/>
          <w:color w:val="000000" w:themeColor="text1"/>
          <w:sz w:val="24"/>
          <w:szCs w:val="24"/>
        </w:rPr>
        <w:t>, with better</w:t>
      </w:r>
      <w:r w:rsidR="0073001D">
        <w:rPr>
          <w:rStyle w:val="VerbatimChar"/>
          <w:rFonts w:ascii="Baskerville" w:hAnsi="Baskerville" w:cs="Baskerville"/>
          <w:color w:val="000000" w:themeColor="text1"/>
          <w:sz w:val="24"/>
          <w:szCs w:val="24"/>
        </w:rPr>
        <w:t>-</w:t>
      </w:r>
      <w:r w:rsidRPr="00D952CF">
        <w:rPr>
          <w:rStyle w:val="VerbatimChar"/>
          <w:rFonts w:ascii="Baskerville" w:hAnsi="Baskerville" w:cs="Baskerville"/>
          <w:color w:val="000000" w:themeColor="text1"/>
          <w:sz w:val="24"/>
          <w:szCs w:val="24"/>
        </w:rPr>
        <w:t>off borrowers shouldering more of the burden for financial stability than</w:t>
      </w:r>
      <w:r w:rsidR="009A154E">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worse</w:t>
      </w:r>
      <w:r w:rsidR="009A154E">
        <w:rPr>
          <w:rStyle w:val="VerbatimChar"/>
          <w:rFonts w:ascii="Baskerville" w:hAnsi="Baskerville" w:cs="Baskerville"/>
          <w:color w:val="000000" w:themeColor="text1"/>
          <w:sz w:val="24"/>
          <w:szCs w:val="24"/>
        </w:rPr>
        <w:t>-</w:t>
      </w:r>
      <w:r w:rsidRPr="00D952CF">
        <w:rPr>
          <w:rStyle w:val="VerbatimChar"/>
          <w:rFonts w:ascii="Baskerville" w:hAnsi="Baskerville" w:cs="Baskerville"/>
          <w:color w:val="000000" w:themeColor="text1"/>
          <w:sz w:val="24"/>
          <w:szCs w:val="24"/>
        </w:rPr>
        <w:t xml:space="preserve">off borrowers. </w:t>
      </w:r>
    </w:p>
    <w:p w14:paraId="3C601DD7" w14:textId="04E39266" w:rsidR="007F6AD1" w:rsidRPr="0030223C" w:rsidRDefault="00D952CF" w:rsidP="009A154E">
      <w:pPr>
        <w:pStyle w:val="SourceCode"/>
        <w:spacing w:line="360" w:lineRule="auto"/>
        <w:rPr>
          <w:rFonts w:ascii="Baskerville" w:hAnsi="Baskerville" w:cs="Baskerville"/>
          <w:color w:val="000000" w:themeColor="text1"/>
          <w:sz w:val="24"/>
          <w:szCs w:val="24"/>
        </w:rPr>
      </w:pPr>
      <w:r w:rsidRPr="00D952CF">
        <w:rPr>
          <w:rStyle w:val="VerbatimChar"/>
          <w:rFonts w:ascii="Baskerville" w:hAnsi="Baskerville" w:cs="Baskerville"/>
          <w:color w:val="000000" w:themeColor="text1"/>
          <w:sz w:val="24"/>
          <w:szCs w:val="24"/>
        </w:rPr>
        <w:t>In sum, the choice of macro-prudential tool</w:t>
      </w:r>
      <w:r w:rsidR="00357CC5">
        <w:rPr>
          <w:rStyle w:val="VerbatimChar"/>
          <w:rFonts w:ascii="Baskerville" w:hAnsi="Baskerville" w:cs="Baskerville"/>
          <w:color w:val="000000" w:themeColor="text1"/>
          <w:sz w:val="24"/>
          <w:szCs w:val="24"/>
        </w:rPr>
        <w:t>s</w:t>
      </w:r>
      <w:r w:rsidRPr="00D952CF">
        <w:rPr>
          <w:rStyle w:val="VerbatimChar"/>
          <w:rFonts w:ascii="Baskerville" w:hAnsi="Baskerville" w:cs="Baskerville"/>
          <w:color w:val="000000" w:themeColor="text1"/>
          <w:sz w:val="24"/>
          <w:szCs w:val="24"/>
        </w:rPr>
        <w:t xml:space="preserve"> influences </w:t>
      </w:r>
      <w:r w:rsidR="0030223C">
        <w:rPr>
          <w:rStyle w:val="VerbatimChar"/>
          <w:rFonts w:ascii="Baskerville" w:hAnsi="Baskerville" w:cs="Baskerville"/>
          <w:color w:val="000000" w:themeColor="text1"/>
          <w:sz w:val="24"/>
          <w:szCs w:val="24"/>
        </w:rPr>
        <w:t>which borrowers face financial</w:t>
      </w:r>
      <w:r w:rsidRPr="00D952CF">
        <w:rPr>
          <w:rStyle w:val="VerbatimChar"/>
          <w:rFonts w:ascii="Baskerville" w:hAnsi="Baskerville" w:cs="Baskerville"/>
          <w:color w:val="000000" w:themeColor="text1"/>
          <w:sz w:val="24"/>
          <w:szCs w:val="24"/>
        </w:rPr>
        <w:t xml:space="preserve"> exclusion. Depending on whether LTV or DTI caps are </w:t>
      </w:r>
      <w:r w:rsidR="00357CC5">
        <w:rPr>
          <w:rStyle w:val="VerbatimChar"/>
          <w:rFonts w:ascii="Baskerville" w:hAnsi="Baskerville" w:cs="Baskerville"/>
          <w:color w:val="000000" w:themeColor="text1"/>
          <w:sz w:val="24"/>
          <w:szCs w:val="24"/>
        </w:rPr>
        <w:t>applied</w:t>
      </w:r>
      <w:r w:rsidRPr="00D952CF">
        <w:rPr>
          <w:rStyle w:val="VerbatimChar"/>
          <w:rFonts w:ascii="Baskerville" w:hAnsi="Baskerville" w:cs="Baskerville"/>
          <w:color w:val="000000" w:themeColor="text1"/>
          <w:sz w:val="24"/>
          <w:szCs w:val="24"/>
        </w:rPr>
        <w:t xml:space="preserve">, safeguarding financial stability falls either more </w:t>
      </w:r>
      <w:r w:rsidR="009A154E">
        <w:rPr>
          <w:rStyle w:val="VerbatimChar"/>
          <w:rFonts w:ascii="Baskerville" w:hAnsi="Baskerville" w:cs="Baskerville"/>
          <w:color w:val="000000" w:themeColor="text1"/>
          <w:sz w:val="24"/>
          <w:szCs w:val="24"/>
        </w:rPr>
        <w:t>heavily</w:t>
      </w:r>
      <w:r w:rsidR="009A154E" w:rsidRPr="00D952CF">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 xml:space="preserve">on savings-rich </w:t>
      </w:r>
      <w:r w:rsidR="0030223C">
        <w:rPr>
          <w:rStyle w:val="VerbatimChar"/>
          <w:rFonts w:ascii="Baskerville" w:hAnsi="Baskerville" w:cs="Baskerville"/>
          <w:color w:val="000000" w:themeColor="text1"/>
          <w:sz w:val="24"/>
          <w:szCs w:val="24"/>
        </w:rPr>
        <w:t xml:space="preserve">applicants like Sam </w:t>
      </w:r>
      <w:r w:rsidRPr="00D952CF">
        <w:rPr>
          <w:rStyle w:val="VerbatimChar"/>
          <w:rFonts w:ascii="Baskerville" w:hAnsi="Baskerville" w:cs="Baskerville"/>
          <w:color w:val="000000" w:themeColor="text1"/>
          <w:sz w:val="24"/>
          <w:szCs w:val="24"/>
        </w:rPr>
        <w:t xml:space="preserve">or on income-rich </w:t>
      </w:r>
      <w:r w:rsidR="0030223C">
        <w:rPr>
          <w:rStyle w:val="VerbatimChar"/>
          <w:rFonts w:ascii="Baskerville" w:hAnsi="Baskerville" w:cs="Baskerville"/>
          <w:color w:val="000000" w:themeColor="text1"/>
          <w:sz w:val="24"/>
          <w:szCs w:val="24"/>
        </w:rPr>
        <w:t>applicants like Ike</w:t>
      </w:r>
      <w:r w:rsidRPr="00D952CF">
        <w:rPr>
          <w:rStyle w:val="VerbatimChar"/>
          <w:rFonts w:ascii="Baskerville" w:hAnsi="Baskerville" w:cs="Baskerville"/>
          <w:color w:val="000000" w:themeColor="text1"/>
          <w:sz w:val="24"/>
          <w:szCs w:val="24"/>
        </w:rPr>
        <w:t xml:space="preserve">. Moreover, the precise ways </w:t>
      </w:r>
      <w:r w:rsidR="0030223C">
        <w:rPr>
          <w:rStyle w:val="VerbatimChar"/>
          <w:rFonts w:ascii="Baskerville" w:hAnsi="Baskerville" w:cs="Baskerville"/>
          <w:color w:val="000000" w:themeColor="text1"/>
          <w:sz w:val="24"/>
          <w:szCs w:val="24"/>
        </w:rPr>
        <w:t>in which</w:t>
      </w:r>
      <w:r w:rsidRPr="00D952CF">
        <w:rPr>
          <w:rStyle w:val="VerbatimChar"/>
          <w:rFonts w:ascii="Baskerville" w:hAnsi="Baskerville" w:cs="Baskerville"/>
          <w:color w:val="000000" w:themeColor="text1"/>
          <w:sz w:val="24"/>
          <w:szCs w:val="24"/>
        </w:rPr>
        <w:t xml:space="preserve"> macro-prudential tools </w:t>
      </w:r>
      <w:r w:rsidR="0030223C">
        <w:rPr>
          <w:rStyle w:val="VerbatimChar"/>
          <w:rFonts w:ascii="Baskerville" w:hAnsi="Baskerville" w:cs="Baskerville"/>
          <w:color w:val="000000" w:themeColor="text1"/>
          <w:sz w:val="24"/>
          <w:szCs w:val="24"/>
        </w:rPr>
        <w:t>are implemented matter, too</w:t>
      </w:r>
      <w:r w:rsidRPr="00D952CF">
        <w:rPr>
          <w:rStyle w:val="VerbatimChar"/>
          <w:rFonts w:ascii="Baskerville" w:hAnsi="Baskerville" w:cs="Baskerville"/>
          <w:color w:val="000000" w:themeColor="text1"/>
          <w:sz w:val="24"/>
          <w:szCs w:val="24"/>
        </w:rPr>
        <w:t xml:space="preserve">. Rather than a single standard for all borrowers, </w:t>
      </w:r>
      <w:r w:rsidR="0073001D">
        <w:rPr>
          <w:rStyle w:val="VerbatimChar"/>
          <w:rFonts w:ascii="Baskerville" w:hAnsi="Baskerville" w:cs="Baskerville"/>
          <w:color w:val="000000" w:themeColor="text1"/>
          <w:sz w:val="24"/>
          <w:szCs w:val="24"/>
        </w:rPr>
        <w:t>it is possible to impose differentiated</w:t>
      </w:r>
      <w:r w:rsidRPr="00D952CF">
        <w:rPr>
          <w:rStyle w:val="VerbatimChar"/>
          <w:rFonts w:ascii="Baskerville" w:hAnsi="Baskerville" w:cs="Baskerville"/>
          <w:color w:val="000000" w:themeColor="text1"/>
          <w:sz w:val="24"/>
          <w:szCs w:val="24"/>
        </w:rPr>
        <w:t xml:space="preserve"> standards </w:t>
      </w:r>
      <w:r w:rsidR="0073001D">
        <w:rPr>
          <w:rStyle w:val="VerbatimChar"/>
          <w:rFonts w:ascii="Baskerville" w:hAnsi="Baskerville" w:cs="Baskerville"/>
          <w:color w:val="000000" w:themeColor="text1"/>
          <w:sz w:val="24"/>
          <w:szCs w:val="24"/>
        </w:rPr>
        <w:t xml:space="preserve">which impose progressively stricter rules the </w:t>
      </w:r>
      <w:r w:rsidRPr="00D952CF">
        <w:rPr>
          <w:rStyle w:val="VerbatimChar"/>
          <w:rFonts w:ascii="Baskerville" w:hAnsi="Baskerville" w:cs="Baskerville"/>
          <w:color w:val="000000" w:themeColor="text1"/>
          <w:sz w:val="24"/>
          <w:szCs w:val="24"/>
        </w:rPr>
        <w:t>better</w:t>
      </w:r>
      <w:r w:rsidR="00B858F9">
        <w:rPr>
          <w:rStyle w:val="VerbatimChar"/>
          <w:rFonts w:ascii="Baskerville" w:hAnsi="Baskerville" w:cs="Baskerville"/>
          <w:color w:val="000000" w:themeColor="text1"/>
          <w:sz w:val="24"/>
          <w:szCs w:val="24"/>
        </w:rPr>
        <w:t xml:space="preserve"> </w:t>
      </w:r>
      <w:r w:rsidRPr="00D952CF">
        <w:rPr>
          <w:rStyle w:val="VerbatimChar"/>
          <w:rFonts w:ascii="Baskerville" w:hAnsi="Baskerville" w:cs="Baskerville"/>
          <w:color w:val="000000" w:themeColor="text1"/>
          <w:sz w:val="24"/>
          <w:szCs w:val="24"/>
        </w:rPr>
        <w:t xml:space="preserve">off </w:t>
      </w:r>
      <w:r w:rsidR="0073001D">
        <w:rPr>
          <w:rStyle w:val="VerbatimChar"/>
          <w:rFonts w:ascii="Baskerville" w:hAnsi="Baskerville" w:cs="Baskerville"/>
          <w:color w:val="000000" w:themeColor="text1"/>
          <w:sz w:val="24"/>
          <w:szCs w:val="24"/>
        </w:rPr>
        <w:t>applicants are</w:t>
      </w:r>
      <w:r w:rsidRPr="00D952CF">
        <w:rPr>
          <w:rStyle w:val="VerbatimChar"/>
          <w:rFonts w:ascii="Baskerville" w:hAnsi="Baskerville" w:cs="Baskerville"/>
          <w:color w:val="000000" w:themeColor="text1"/>
          <w:sz w:val="24"/>
          <w:szCs w:val="24"/>
        </w:rPr>
        <w:t xml:space="preserve">. </w:t>
      </w:r>
    </w:p>
    <w:p w14:paraId="2289F19D" w14:textId="4E659EB1" w:rsidR="00B95C3B" w:rsidRPr="00D952CF" w:rsidRDefault="007F6AD1" w:rsidP="002244BE">
      <w:pPr>
        <w:pStyle w:val="Heading1"/>
        <w:spacing w:before="120" w:after="120" w:line="360" w:lineRule="auto"/>
        <w:rPr>
          <w:rFonts w:ascii="Baskerville" w:hAnsi="Baskerville"/>
          <w:color w:val="000000" w:themeColor="text1"/>
        </w:rPr>
      </w:pPr>
      <w:r w:rsidRPr="00D952CF">
        <w:rPr>
          <w:rFonts w:ascii="Baskerville" w:hAnsi="Baskerville"/>
          <w:color w:val="000000" w:themeColor="text1"/>
        </w:rPr>
        <w:t>Conclusion</w:t>
      </w:r>
      <w:r w:rsidR="00B95C3B" w:rsidRPr="00D952CF">
        <w:rPr>
          <w:rFonts w:ascii="Baskerville" w:hAnsi="Baskerville"/>
          <w:color w:val="000000" w:themeColor="text1"/>
        </w:rPr>
        <w:t xml:space="preserve"> </w:t>
      </w:r>
    </w:p>
    <w:p w14:paraId="043DBEE1" w14:textId="6916C89C" w:rsidR="00D952CF" w:rsidRDefault="0030223C" w:rsidP="0030223C">
      <w:pPr>
        <w:pStyle w:val="SourceCode"/>
        <w:spacing w:line="360" w:lineRule="auto"/>
        <w:rPr>
          <w:rStyle w:val="VerbatimChar"/>
          <w:rFonts w:ascii="Baskerville" w:hAnsi="Baskerville" w:cs="Baskerville"/>
          <w:color w:val="000000" w:themeColor="text1"/>
          <w:sz w:val="24"/>
          <w:szCs w:val="24"/>
        </w:rPr>
      </w:pPr>
      <w:r w:rsidRPr="0030223C">
        <w:rPr>
          <w:rStyle w:val="VerbatimChar"/>
          <w:rFonts w:ascii="Baskerville" w:hAnsi="Baskerville" w:cs="Baskerville"/>
          <w:color w:val="000000" w:themeColor="text1"/>
          <w:sz w:val="24"/>
          <w:szCs w:val="24"/>
        </w:rPr>
        <w:t xml:space="preserve">I have argued for three main claims: First, banks have obligations to avoid mistakes of wrongful exclusion and inclusion. </w:t>
      </w:r>
      <w:r>
        <w:rPr>
          <w:rStyle w:val="VerbatimChar"/>
          <w:rFonts w:ascii="Baskerville" w:hAnsi="Baskerville" w:cs="Baskerville"/>
          <w:color w:val="000000" w:themeColor="text1"/>
          <w:sz w:val="24"/>
          <w:szCs w:val="24"/>
        </w:rPr>
        <w:t>Banks have an obligation to avoid mistakes of wrongful exclusion grounde</w:t>
      </w:r>
      <w:r w:rsidR="0073001D">
        <w:rPr>
          <w:rStyle w:val="VerbatimChar"/>
          <w:rFonts w:ascii="Baskerville" w:hAnsi="Baskerville" w:cs="Baskerville"/>
          <w:color w:val="000000" w:themeColor="text1"/>
          <w:sz w:val="24"/>
          <w:szCs w:val="24"/>
        </w:rPr>
        <w:t xml:space="preserve">d in the right to credit, and an obligation </w:t>
      </w:r>
      <w:r>
        <w:rPr>
          <w:rStyle w:val="VerbatimChar"/>
          <w:rFonts w:ascii="Baskerville" w:hAnsi="Baskerville" w:cs="Baskerville"/>
          <w:color w:val="000000" w:themeColor="text1"/>
          <w:sz w:val="24"/>
          <w:szCs w:val="24"/>
        </w:rPr>
        <w:t xml:space="preserve">to avoid mistakes of wrongful inclusion based on the duty to safeguard financial stability. </w:t>
      </w:r>
      <w:r w:rsidR="0073001D">
        <w:rPr>
          <w:rStyle w:val="VerbatimChar"/>
          <w:rFonts w:ascii="Baskerville" w:hAnsi="Baskerville" w:cs="Baskerville"/>
          <w:color w:val="000000" w:themeColor="text1"/>
          <w:sz w:val="24"/>
          <w:szCs w:val="24"/>
        </w:rPr>
        <w:t xml:space="preserve">This dual obligation is, if you will, the social purpose of banks with regard to consumer credit. </w:t>
      </w:r>
      <w:r>
        <w:rPr>
          <w:rStyle w:val="VerbatimChar"/>
          <w:rFonts w:ascii="Baskerville" w:hAnsi="Baskerville" w:cs="Baskerville"/>
          <w:color w:val="000000" w:themeColor="text1"/>
          <w:sz w:val="24"/>
          <w:szCs w:val="24"/>
        </w:rPr>
        <w:t xml:space="preserve">Second, regulation and </w:t>
      </w:r>
      <w:r>
        <w:rPr>
          <w:rStyle w:val="VerbatimChar"/>
          <w:rFonts w:ascii="Baskerville" w:hAnsi="Baskerville" w:cs="Baskerville"/>
          <w:color w:val="000000" w:themeColor="text1"/>
          <w:sz w:val="24"/>
          <w:szCs w:val="24"/>
        </w:rPr>
        <w:lastRenderedPageBreak/>
        <w:t xml:space="preserve">supervision </w:t>
      </w:r>
      <w:r w:rsidR="0073001D">
        <w:rPr>
          <w:rStyle w:val="VerbatimChar"/>
          <w:rFonts w:ascii="Baskerville" w:hAnsi="Baskerville" w:cs="Baskerville"/>
          <w:color w:val="000000" w:themeColor="text1"/>
          <w:sz w:val="24"/>
          <w:szCs w:val="24"/>
        </w:rPr>
        <w:t xml:space="preserve">are needed to </w:t>
      </w:r>
      <w:r>
        <w:rPr>
          <w:rStyle w:val="VerbatimChar"/>
          <w:rFonts w:ascii="Baskerville" w:hAnsi="Baskerville" w:cs="Baskerville"/>
          <w:color w:val="000000" w:themeColor="text1"/>
          <w:sz w:val="24"/>
          <w:szCs w:val="24"/>
        </w:rPr>
        <w:t xml:space="preserve">steer </w:t>
      </w:r>
      <w:r w:rsidR="0073001D">
        <w:rPr>
          <w:rStyle w:val="VerbatimChar"/>
          <w:rFonts w:ascii="Baskerville" w:hAnsi="Baskerville" w:cs="Baskerville"/>
          <w:color w:val="000000" w:themeColor="text1"/>
          <w:sz w:val="24"/>
          <w:szCs w:val="24"/>
        </w:rPr>
        <w:t>banks</w:t>
      </w:r>
      <w:r>
        <w:rPr>
          <w:rStyle w:val="VerbatimChar"/>
          <w:rFonts w:ascii="Baskerville" w:hAnsi="Baskerville" w:cs="Baskerville"/>
          <w:color w:val="000000" w:themeColor="text1"/>
          <w:sz w:val="24"/>
          <w:szCs w:val="24"/>
        </w:rPr>
        <w:t xml:space="preserve"> toward their social purpose. Third, regulators </w:t>
      </w:r>
      <w:r w:rsidR="0073001D">
        <w:rPr>
          <w:rStyle w:val="VerbatimChar"/>
          <w:rFonts w:ascii="Baskerville" w:hAnsi="Baskerville" w:cs="Baskerville"/>
          <w:color w:val="000000" w:themeColor="text1"/>
          <w:sz w:val="24"/>
          <w:szCs w:val="24"/>
        </w:rPr>
        <w:t xml:space="preserve">and supervisors </w:t>
      </w:r>
      <w:r>
        <w:rPr>
          <w:rStyle w:val="VerbatimChar"/>
          <w:rFonts w:ascii="Baskerville" w:hAnsi="Baskerville" w:cs="Baskerville"/>
          <w:color w:val="000000" w:themeColor="text1"/>
          <w:sz w:val="24"/>
          <w:szCs w:val="24"/>
        </w:rPr>
        <w:t xml:space="preserve">face two kinds of </w:t>
      </w:r>
      <w:r w:rsidR="00293545">
        <w:rPr>
          <w:rStyle w:val="VerbatimChar"/>
          <w:rFonts w:ascii="Baskerville" w:hAnsi="Baskerville" w:cs="Baskerville"/>
          <w:color w:val="000000" w:themeColor="text1"/>
          <w:sz w:val="24"/>
          <w:szCs w:val="24"/>
        </w:rPr>
        <w:t xml:space="preserve">normative trade-offs: </w:t>
      </w:r>
      <w:r w:rsidR="00317513">
        <w:rPr>
          <w:rStyle w:val="VerbatimChar"/>
          <w:rFonts w:ascii="Baskerville" w:hAnsi="Baskerville" w:cs="Baskerville"/>
          <w:color w:val="000000" w:themeColor="text1"/>
          <w:sz w:val="24"/>
          <w:szCs w:val="24"/>
        </w:rPr>
        <w:t xml:space="preserve">to strike a balance between mistakes of wrongful exclusion and inclusion, and to determine which borrowers will bear the lion’s share of wrongful exclusion. </w:t>
      </w:r>
    </w:p>
    <w:p w14:paraId="158D207D" w14:textId="1D83FED2" w:rsidR="007D31AD" w:rsidRPr="007D31AD" w:rsidRDefault="007D31AD" w:rsidP="007D31AD">
      <w:pPr>
        <w:pStyle w:val="Heading1"/>
        <w:spacing w:before="120" w:after="120" w:line="360" w:lineRule="auto"/>
        <w:rPr>
          <w:rFonts w:ascii="Baskerville" w:hAnsi="Baskerville"/>
          <w:color w:val="000000" w:themeColor="text1"/>
        </w:rPr>
      </w:pPr>
      <w:r w:rsidRPr="007D31AD">
        <w:rPr>
          <w:rFonts w:ascii="Baskerville" w:hAnsi="Baskerville"/>
          <w:color w:val="000000" w:themeColor="text1"/>
        </w:rPr>
        <w:t>Bibliography</w:t>
      </w:r>
    </w:p>
    <w:p w14:paraId="2E7E719C" w14:textId="77777777" w:rsidR="008A4DC8" w:rsidRPr="008A4DC8" w:rsidRDefault="00B560B1" w:rsidP="008A4DC8">
      <w:pPr>
        <w:pStyle w:val="Bibliography"/>
        <w:rPr>
          <w:rFonts w:ascii="Baskerville" w:hAnsi="Baskerville"/>
          <w:color w:val="000000"/>
        </w:rPr>
      </w:pPr>
      <w:r>
        <w:rPr>
          <w:rStyle w:val="VerbatimChar"/>
          <w:rFonts w:ascii="Baskerville" w:hAnsi="Baskerville" w:cs="Baskerville"/>
          <w:color w:val="000000" w:themeColor="text1"/>
        </w:rPr>
        <w:fldChar w:fldCharType="begin"/>
      </w:r>
      <w:r w:rsidR="008A4DC8">
        <w:rPr>
          <w:rStyle w:val="VerbatimChar"/>
          <w:rFonts w:ascii="Baskerville" w:hAnsi="Baskerville" w:cs="Baskerville"/>
          <w:color w:val="000000" w:themeColor="text1"/>
        </w:rPr>
        <w:instrText xml:space="preserve"> ADDIN ZOTERO_BIBL {"custom":[]} CSL_BIBLIOGRAPHY </w:instrText>
      </w:r>
      <w:r>
        <w:rPr>
          <w:rStyle w:val="VerbatimChar"/>
          <w:rFonts w:ascii="Baskerville" w:hAnsi="Baskerville" w:cs="Baskerville"/>
          <w:color w:val="000000" w:themeColor="text1"/>
        </w:rPr>
        <w:fldChar w:fldCharType="separate"/>
      </w:r>
      <w:proofErr w:type="spellStart"/>
      <w:r w:rsidR="008A4DC8" w:rsidRPr="008A4DC8">
        <w:rPr>
          <w:rFonts w:ascii="Baskerville" w:hAnsi="Baskerville"/>
          <w:color w:val="000000"/>
        </w:rPr>
        <w:t>Admati</w:t>
      </w:r>
      <w:proofErr w:type="spellEnd"/>
      <w:r w:rsidR="008A4DC8" w:rsidRPr="008A4DC8">
        <w:rPr>
          <w:rFonts w:ascii="Baskerville" w:hAnsi="Baskerville"/>
          <w:color w:val="000000"/>
        </w:rPr>
        <w:t xml:space="preserve">, </w:t>
      </w:r>
      <w:proofErr w:type="spellStart"/>
      <w:r w:rsidR="008A4DC8" w:rsidRPr="008A4DC8">
        <w:rPr>
          <w:rFonts w:ascii="Baskerville" w:hAnsi="Baskerville"/>
          <w:color w:val="000000"/>
        </w:rPr>
        <w:t>Anat</w:t>
      </w:r>
      <w:proofErr w:type="spellEnd"/>
      <w:r w:rsidR="008A4DC8" w:rsidRPr="008A4DC8">
        <w:rPr>
          <w:rFonts w:ascii="Baskerville" w:hAnsi="Baskerville"/>
          <w:color w:val="000000"/>
        </w:rPr>
        <w:t xml:space="preserve"> R., and Martin F. </w:t>
      </w:r>
      <w:proofErr w:type="spellStart"/>
      <w:r w:rsidR="008A4DC8" w:rsidRPr="008A4DC8">
        <w:rPr>
          <w:rFonts w:ascii="Baskerville" w:hAnsi="Baskerville"/>
          <w:color w:val="000000"/>
        </w:rPr>
        <w:t>Hellwig</w:t>
      </w:r>
      <w:proofErr w:type="spellEnd"/>
      <w:r w:rsidR="008A4DC8" w:rsidRPr="008A4DC8">
        <w:rPr>
          <w:rFonts w:ascii="Baskerville" w:hAnsi="Baskerville"/>
          <w:color w:val="000000"/>
        </w:rPr>
        <w:t xml:space="preserve">. 2013. </w:t>
      </w:r>
      <w:r w:rsidR="008A4DC8" w:rsidRPr="008A4DC8">
        <w:rPr>
          <w:rFonts w:ascii="Baskerville" w:hAnsi="Baskerville"/>
          <w:i/>
          <w:iCs/>
          <w:color w:val="000000"/>
        </w:rPr>
        <w:t>The Bankers’ New Clothes: What’s Wrong with Banking and What to Do about It</w:t>
      </w:r>
      <w:r w:rsidR="008A4DC8" w:rsidRPr="008A4DC8">
        <w:rPr>
          <w:rFonts w:ascii="Baskerville" w:hAnsi="Baskerville"/>
          <w:color w:val="000000"/>
        </w:rPr>
        <w:t>. Princeton University Press.</w:t>
      </w:r>
    </w:p>
    <w:p w14:paraId="43D947F6"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Afonso</w:t>
      </w:r>
      <w:proofErr w:type="spellEnd"/>
      <w:r w:rsidRPr="008A4DC8">
        <w:rPr>
          <w:rFonts w:ascii="Baskerville" w:hAnsi="Baskerville"/>
          <w:color w:val="000000"/>
        </w:rPr>
        <w:t xml:space="preserve">, </w:t>
      </w:r>
      <w:proofErr w:type="spellStart"/>
      <w:r w:rsidRPr="008A4DC8">
        <w:rPr>
          <w:rFonts w:ascii="Baskerville" w:hAnsi="Baskerville"/>
          <w:color w:val="000000"/>
        </w:rPr>
        <w:t>Gara</w:t>
      </w:r>
      <w:proofErr w:type="spellEnd"/>
      <w:r w:rsidRPr="008A4DC8">
        <w:rPr>
          <w:rFonts w:ascii="Baskerville" w:hAnsi="Baskerville"/>
          <w:color w:val="000000"/>
        </w:rPr>
        <w:t xml:space="preserve">, </w:t>
      </w:r>
      <w:proofErr w:type="spellStart"/>
      <w:r w:rsidRPr="008A4DC8">
        <w:rPr>
          <w:rFonts w:ascii="Baskerville" w:hAnsi="Baskerville"/>
          <w:color w:val="000000"/>
        </w:rPr>
        <w:t>João</w:t>
      </w:r>
      <w:proofErr w:type="spellEnd"/>
      <w:r w:rsidRPr="008A4DC8">
        <w:rPr>
          <w:rFonts w:ascii="Baskerville" w:hAnsi="Baskerville"/>
          <w:color w:val="000000"/>
        </w:rPr>
        <w:t xml:space="preserve"> A. C. Santos, and James </w:t>
      </w:r>
      <w:proofErr w:type="spellStart"/>
      <w:r w:rsidRPr="008A4DC8">
        <w:rPr>
          <w:rFonts w:ascii="Baskerville" w:hAnsi="Baskerville"/>
          <w:color w:val="000000"/>
        </w:rPr>
        <w:t>Traina</w:t>
      </w:r>
      <w:proofErr w:type="spellEnd"/>
      <w:r w:rsidRPr="008A4DC8">
        <w:rPr>
          <w:rFonts w:ascii="Baskerville" w:hAnsi="Baskerville"/>
          <w:color w:val="000000"/>
        </w:rPr>
        <w:t>. 2014. ‘Do “Too-Big-To-Fail” Banks Take on More Risk?’ SSRN Scholarly Paper ID 2420465. Rochester, NY: Social Science Research Network.</w:t>
      </w:r>
    </w:p>
    <w:p w14:paraId="01AA7D7D"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Aikman, David, Andrew G. Haldane, and Benjamin D. Nelson. 2015. ‘Curbing the Credit Cycle’. </w:t>
      </w:r>
      <w:r w:rsidRPr="008A4DC8">
        <w:rPr>
          <w:rFonts w:ascii="Baskerville" w:hAnsi="Baskerville"/>
          <w:i/>
          <w:iCs/>
          <w:color w:val="000000"/>
        </w:rPr>
        <w:t>The Economic Journal</w:t>
      </w:r>
      <w:r w:rsidRPr="008A4DC8">
        <w:rPr>
          <w:rFonts w:ascii="Baskerville" w:hAnsi="Baskerville"/>
          <w:color w:val="000000"/>
        </w:rPr>
        <w:t xml:space="preserve"> 125 (585):1072–1109.</w:t>
      </w:r>
    </w:p>
    <w:p w14:paraId="049CE514"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Allen, William A., and Geoffrey Wood. 2006. ‘Defining and Achieving Financial Stability’. </w:t>
      </w:r>
      <w:r w:rsidRPr="008A4DC8">
        <w:rPr>
          <w:rFonts w:ascii="Baskerville" w:hAnsi="Baskerville"/>
          <w:i/>
          <w:iCs/>
          <w:color w:val="000000"/>
        </w:rPr>
        <w:t>Journal of Financial Stability</w:t>
      </w:r>
      <w:r w:rsidRPr="008A4DC8">
        <w:rPr>
          <w:rFonts w:ascii="Baskerville" w:hAnsi="Baskerville"/>
          <w:color w:val="000000"/>
        </w:rPr>
        <w:t xml:space="preserve"> 2 (2):152–72.</w:t>
      </w:r>
    </w:p>
    <w:p w14:paraId="120CDA61"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Armstrong, Mark, and John Vickers. 2012. ‘Consumer Protection and Contingent Charges’. </w:t>
      </w:r>
      <w:r w:rsidRPr="008A4DC8">
        <w:rPr>
          <w:rFonts w:ascii="Baskerville" w:hAnsi="Baskerville"/>
          <w:i/>
          <w:iCs/>
          <w:color w:val="000000"/>
        </w:rPr>
        <w:t>Journal of Economic Literature</w:t>
      </w:r>
      <w:r w:rsidRPr="008A4DC8">
        <w:rPr>
          <w:rFonts w:ascii="Baskerville" w:hAnsi="Baskerville"/>
          <w:color w:val="000000"/>
        </w:rPr>
        <w:t xml:space="preserve"> 50 (2):477–93.</w:t>
      </w:r>
    </w:p>
    <w:p w14:paraId="122288DC"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Barry, Christian. 2011. ‘Sovereign Debt, Human Rights, and Policy Conditionality’. </w:t>
      </w:r>
      <w:r w:rsidRPr="008A4DC8">
        <w:rPr>
          <w:rFonts w:ascii="Baskerville" w:hAnsi="Baskerville"/>
          <w:i/>
          <w:iCs/>
          <w:color w:val="000000"/>
        </w:rPr>
        <w:t>Journal of Political Philosophy</w:t>
      </w:r>
      <w:r w:rsidRPr="008A4DC8">
        <w:rPr>
          <w:rFonts w:ascii="Baskerville" w:hAnsi="Baskerville"/>
          <w:color w:val="000000"/>
        </w:rPr>
        <w:t xml:space="preserve"> 19 (3):282–305.</w:t>
      </w:r>
    </w:p>
    <w:p w14:paraId="51E90B0B"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Barth, James R., Gerard </w:t>
      </w:r>
      <w:proofErr w:type="spellStart"/>
      <w:r w:rsidRPr="008A4DC8">
        <w:rPr>
          <w:rFonts w:ascii="Baskerville" w:hAnsi="Baskerville"/>
          <w:color w:val="000000"/>
        </w:rPr>
        <w:t>Caprio</w:t>
      </w:r>
      <w:proofErr w:type="spellEnd"/>
      <w:r w:rsidRPr="008A4DC8">
        <w:rPr>
          <w:rFonts w:ascii="Baskerville" w:hAnsi="Baskerville"/>
          <w:color w:val="000000"/>
        </w:rPr>
        <w:t xml:space="preserve">, and Ross Levine. 2006. </w:t>
      </w:r>
      <w:r w:rsidRPr="008A4DC8">
        <w:rPr>
          <w:rFonts w:ascii="Baskerville" w:hAnsi="Baskerville"/>
          <w:i/>
          <w:iCs/>
          <w:color w:val="000000"/>
        </w:rPr>
        <w:t>Rethinking Bank Regulation: Till Angels Govern</w:t>
      </w:r>
      <w:r w:rsidRPr="008A4DC8">
        <w:rPr>
          <w:rFonts w:ascii="Baskerville" w:hAnsi="Baskerville"/>
          <w:color w:val="000000"/>
        </w:rPr>
        <w:t>. Cambridge University Press.</w:t>
      </w:r>
    </w:p>
    <w:p w14:paraId="74598025"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Beck, Thorsten, and Augusto De La Torre. 2007. ‘The Basic Analytics of Access to Financial Services’. </w:t>
      </w:r>
      <w:r w:rsidRPr="008A4DC8">
        <w:rPr>
          <w:rFonts w:ascii="Baskerville" w:hAnsi="Baskerville"/>
          <w:i/>
          <w:iCs/>
          <w:color w:val="000000"/>
        </w:rPr>
        <w:t>Financial Markets, Institutions &amp; Instruments</w:t>
      </w:r>
      <w:r w:rsidRPr="008A4DC8">
        <w:rPr>
          <w:rFonts w:ascii="Baskerville" w:hAnsi="Baskerville"/>
          <w:color w:val="000000"/>
        </w:rPr>
        <w:t xml:space="preserve"> 16 (2):79–117.</w:t>
      </w:r>
    </w:p>
    <w:p w14:paraId="2895F731"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Borio</w:t>
      </w:r>
      <w:proofErr w:type="spellEnd"/>
      <w:r w:rsidRPr="008A4DC8">
        <w:rPr>
          <w:rFonts w:ascii="Baskerville" w:hAnsi="Baskerville"/>
          <w:color w:val="000000"/>
        </w:rPr>
        <w:t xml:space="preserve">, Claudio. 2011. ‘Rediscovering the Macroeconomic Roots of Financial Stability Policy: Journey, Challenges, and a Way Forward’. </w:t>
      </w:r>
      <w:r w:rsidRPr="008A4DC8">
        <w:rPr>
          <w:rFonts w:ascii="Baskerville" w:hAnsi="Baskerville"/>
          <w:i/>
          <w:iCs/>
          <w:color w:val="000000"/>
        </w:rPr>
        <w:t>Annual Review of Financial Economics</w:t>
      </w:r>
      <w:r w:rsidRPr="008A4DC8">
        <w:rPr>
          <w:rFonts w:ascii="Baskerville" w:hAnsi="Baskerville"/>
          <w:color w:val="000000"/>
        </w:rPr>
        <w:t xml:space="preserve"> 3 (1):87–117.</w:t>
      </w:r>
    </w:p>
    <w:p w14:paraId="1C38CE12"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Bricker, Jesse. 2014. ‘Changes in U.S. Family Finances from 2010 to 2013: Evidence from the Survey of Consumer Finances’. Volume 100, No 4. Federal Reserve Bulletin. Board of </w:t>
      </w:r>
      <w:proofErr w:type="spellStart"/>
      <w:r w:rsidRPr="008A4DC8">
        <w:rPr>
          <w:rFonts w:ascii="Baskerville" w:hAnsi="Baskerville"/>
          <w:color w:val="000000"/>
        </w:rPr>
        <w:t>Govenors</w:t>
      </w:r>
      <w:proofErr w:type="spellEnd"/>
      <w:r w:rsidRPr="008A4DC8">
        <w:rPr>
          <w:rFonts w:ascii="Baskerville" w:hAnsi="Baskerville"/>
          <w:color w:val="000000"/>
        </w:rPr>
        <w:t xml:space="preserve"> of the Federal Reserve System.</w:t>
      </w:r>
    </w:p>
    <w:p w14:paraId="4A465604"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Brownlee, Kimberley, and Zofia Stemplowska. 2015. ‘Financial Inclusion, Education, and Human Rights’. In </w:t>
      </w:r>
      <w:r w:rsidRPr="008A4DC8">
        <w:rPr>
          <w:rFonts w:ascii="Baskerville" w:hAnsi="Baskerville"/>
          <w:i/>
          <w:iCs/>
          <w:color w:val="000000"/>
        </w:rPr>
        <w:t>Microfinance, Rights and Global Justice</w:t>
      </w:r>
      <w:r w:rsidRPr="008A4DC8">
        <w:rPr>
          <w:rFonts w:ascii="Baskerville" w:hAnsi="Baskerville"/>
          <w:color w:val="000000"/>
        </w:rPr>
        <w:t xml:space="preserve">, edited by Tom </w:t>
      </w:r>
      <w:proofErr w:type="spellStart"/>
      <w:r w:rsidRPr="008A4DC8">
        <w:rPr>
          <w:rFonts w:ascii="Baskerville" w:hAnsi="Baskerville"/>
          <w:color w:val="000000"/>
        </w:rPr>
        <w:t>Sorell</w:t>
      </w:r>
      <w:proofErr w:type="spellEnd"/>
      <w:r w:rsidRPr="008A4DC8">
        <w:rPr>
          <w:rFonts w:ascii="Baskerville" w:hAnsi="Baskerville"/>
          <w:color w:val="000000"/>
        </w:rPr>
        <w:t xml:space="preserve"> and Luis Cabrera, 47–62. Cambridge: Cambridge University Press.</w:t>
      </w:r>
    </w:p>
    <w:p w14:paraId="075EAA41"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Caprio</w:t>
      </w:r>
      <w:proofErr w:type="spellEnd"/>
      <w:r w:rsidRPr="008A4DC8">
        <w:rPr>
          <w:rFonts w:ascii="Baskerville" w:hAnsi="Baskerville"/>
          <w:color w:val="000000"/>
        </w:rPr>
        <w:t xml:space="preserve">, Gerard. 2012. </w:t>
      </w:r>
      <w:r w:rsidRPr="008A4DC8">
        <w:rPr>
          <w:rFonts w:ascii="Baskerville" w:hAnsi="Baskerville"/>
          <w:i/>
          <w:iCs/>
          <w:color w:val="000000"/>
        </w:rPr>
        <w:t>Handbook of Safeguarding Global Financial Stability: Political, Social, Cultural, and Economic Theories and Models</w:t>
      </w:r>
      <w:r w:rsidRPr="008A4DC8">
        <w:rPr>
          <w:rFonts w:ascii="Baskerville" w:hAnsi="Baskerville"/>
          <w:color w:val="000000"/>
        </w:rPr>
        <w:t>. Academic Press.</w:t>
      </w:r>
    </w:p>
    <w:p w14:paraId="55B62813"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De Bruin, Boudewijn. 2014. </w:t>
      </w:r>
      <w:r w:rsidRPr="008A4DC8">
        <w:rPr>
          <w:rFonts w:ascii="Baskerville" w:hAnsi="Baskerville"/>
          <w:i/>
          <w:iCs/>
          <w:color w:val="000000"/>
        </w:rPr>
        <w:t>Ethics and the Global Financial Crisis: Why Incompetence Is Worse than Greed</w:t>
      </w:r>
      <w:r w:rsidRPr="008A4DC8">
        <w:rPr>
          <w:rFonts w:ascii="Baskerville" w:hAnsi="Baskerville"/>
          <w:color w:val="000000"/>
        </w:rPr>
        <w:t>. Cambridge University Press.</w:t>
      </w:r>
    </w:p>
    <w:p w14:paraId="482C3E0A"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Evans, David S., and </w:t>
      </w:r>
      <w:proofErr w:type="spellStart"/>
      <w:r w:rsidRPr="008A4DC8">
        <w:rPr>
          <w:rFonts w:ascii="Baskerville" w:hAnsi="Baskerville"/>
          <w:color w:val="000000"/>
        </w:rPr>
        <w:t>Boyan</w:t>
      </w:r>
      <w:proofErr w:type="spellEnd"/>
      <w:r w:rsidRPr="008A4DC8">
        <w:rPr>
          <w:rFonts w:ascii="Baskerville" w:hAnsi="Baskerville"/>
          <w:color w:val="000000"/>
        </w:rPr>
        <w:t xml:space="preserve"> </w:t>
      </w:r>
      <w:proofErr w:type="spellStart"/>
      <w:r w:rsidRPr="008A4DC8">
        <w:rPr>
          <w:rFonts w:ascii="Baskerville" w:hAnsi="Baskerville"/>
          <w:color w:val="000000"/>
        </w:rPr>
        <w:t>Jovanovic</w:t>
      </w:r>
      <w:proofErr w:type="spellEnd"/>
      <w:r w:rsidRPr="008A4DC8">
        <w:rPr>
          <w:rFonts w:ascii="Baskerville" w:hAnsi="Baskerville"/>
          <w:color w:val="000000"/>
        </w:rPr>
        <w:t xml:space="preserve">. 1989. ‘An Estimated Model of Entrepreneurial Choice under Liquidity Constraints’. </w:t>
      </w:r>
      <w:r w:rsidRPr="008A4DC8">
        <w:rPr>
          <w:rFonts w:ascii="Baskerville" w:hAnsi="Baskerville"/>
          <w:i/>
          <w:iCs/>
          <w:color w:val="000000"/>
        </w:rPr>
        <w:t>Journal of Political Economy</w:t>
      </w:r>
      <w:r w:rsidRPr="008A4DC8">
        <w:rPr>
          <w:rFonts w:ascii="Baskerville" w:hAnsi="Baskerville"/>
          <w:color w:val="000000"/>
        </w:rPr>
        <w:t xml:space="preserve"> 97 (4):808–27.</w:t>
      </w:r>
    </w:p>
    <w:p w14:paraId="6454D701"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Evans, David S., and Linda S. Leighton. 1989. ‘Some Empirical Aspects of Entrepreneurship’. </w:t>
      </w:r>
      <w:r w:rsidRPr="008A4DC8">
        <w:rPr>
          <w:rFonts w:ascii="Baskerville" w:hAnsi="Baskerville"/>
          <w:i/>
          <w:iCs/>
          <w:color w:val="000000"/>
        </w:rPr>
        <w:t>The American Economic Review</w:t>
      </w:r>
      <w:r w:rsidRPr="008A4DC8">
        <w:rPr>
          <w:rFonts w:ascii="Baskerville" w:hAnsi="Baskerville"/>
          <w:color w:val="000000"/>
        </w:rPr>
        <w:t xml:space="preserve"> 79 (3):519–35.</w:t>
      </w:r>
    </w:p>
    <w:p w14:paraId="25C9253F"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Federal Financial Institutions Examination Council. 2017. ‘Charge-Off and Delinquency Rates on Loans and Leases at Commercial Banks’. Consolidated Reports of Condition and Income. Board of </w:t>
      </w:r>
      <w:proofErr w:type="spellStart"/>
      <w:r w:rsidRPr="008A4DC8">
        <w:rPr>
          <w:rFonts w:ascii="Baskerville" w:hAnsi="Baskerville"/>
          <w:color w:val="000000"/>
        </w:rPr>
        <w:t>Govenors</w:t>
      </w:r>
      <w:proofErr w:type="spellEnd"/>
      <w:r w:rsidRPr="008A4DC8">
        <w:rPr>
          <w:rFonts w:ascii="Baskerville" w:hAnsi="Baskerville"/>
          <w:color w:val="000000"/>
        </w:rPr>
        <w:t xml:space="preserve"> of the Federal Reserve System.</w:t>
      </w:r>
    </w:p>
    <w:p w14:paraId="30A69A3C"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Federal Reserve Bank of New York. 2017. ‘SCE Credit Access Survey’.</w:t>
      </w:r>
    </w:p>
    <w:p w14:paraId="0277BA0E"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Fontan, Clément, François </w:t>
      </w:r>
      <w:proofErr w:type="spellStart"/>
      <w:r w:rsidRPr="008A4DC8">
        <w:rPr>
          <w:rFonts w:ascii="Baskerville" w:hAnsi="Baskerville"/>
          <w:color w:val="000000"/>
        </w:rPr>
        <w:t>Claveau</w:t>
      </w:r>
      <w:proofErr w:type="spellEnd"/>
      <w:r w:rsidRPr="008A4DC8">
        <w:rPr>
          <w:rFonts w:ascii="Baskerville" w:hAnsi="Baskerville"/>
          <w:color w:val="000000"/>
        </w:rPr>
        <w:t xml:space="preserve">, and Peter Dietsch. 2016. ‘Central Banking and Inequalities Taking off the Blinders’. </w:t>
      </w:r>
      <w:r w:rsidRPr="008A4DC8">
        <w:rPr>
          <w:rFonts w:ascii="Baskerville" w:hAnsi="Baskerville"/>
          <w:i/>
          <w:iCs/>
          <w:color w:val="000000"/>
        </w:rPr>
        <w:t>Politics, Philosophy &amp; Economics</w:t>
      </w:r>
      <w:r w:rsidRPr="008A4DC8">
        <w:rPr>
          <w:rFonts w:ascii="Baskerville" w:hAnsi="Baskerville"/>
          <w:color w:val="000000"/>
        </w:rPr>
        <w:t>, June, 1470594X16651056.</w:t>
      </w:r>
    </w:p>
    <w:p w14:paraId="46295EC9"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lastRenderedPageBreak/>
        <w:t>Gofman</w:t>
      </w:r>
      <w:proofErr w:type="spellEnd"/>
      <w:r w:rsidRPr="008A4DC8">
        <w:rPr>
          <w:rFonts w:ascii="Baskerville" w:hAnsi="Baskerville"/>
          <w:color w:val="000000"/>
        </w:rPr>
        <w:t xml:space="preserve">, Michael. </w:t>
      </w:r>
      <w:proofErr w:type="spellStart"/>
      <w:r w:rsidRPr="008A4DC8">
        <w:rPr>
          <w:rFonts w:ascii="Baskerville" w:hAnsi="Baskerville"/>
          <w:color w:val="000000"/>
        </w:rPr>
        <w:t>n.d.</w:t>
      </w:r>
      <w:proofErr w:type="spellEnd"/>
      <w:r w:rsidRPr="008A4DC8">
        <w:rPr>
          <w:rFonts w:ascii="Baskerville" w:hAnsi="Baskerville"/>
          <w:color w:val="000000"/>
        </w:rPr>
        <w:t xml:space="preserve"> ‘Efficiency and Stability of a Financial Architecture with Too-Interconnected-to-Fail Institutions’. </w:t>
      </w:r>
      <w:r w:rsidRPr="008A4DC8">
        <w:rPr>
          <w:rFonts w:ascii="Baskerville" w:hAnsi="Baskerville"/>
          <w:i/>
          <w:iCs/>
          <w:color w:val="000000"/>
        </w:rPr>
        <w:t>Journal of Financial Economics</w:t>
      </w:r>
      <w:r w:rsidRPr="008A4DC8">
        <w:rPr>
          <w:rFonts w:ascii="Baskerville" w:hAnsi="Baskerville"/>
          <w:color w:val="000000"/>
        </w:rPr>
        <w:t>. Accessed 15 March 2017.</w:t>
      </w:r>
    </w:p>
    <w:p w14:paraId="3C262B99"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Hausman</w:t>
      </w:r>
      <w:proofErr w:type="spellEnd"/>
      <w:r w:rsidRPr="008A4DC8">
        <w:rPr>
          <w:rFonts w:ascii="Baskerville" w:hAnsi="Baskerville"/>
          <w:color w:val="000000"/>
        </w:rPr>
        <w:t xml:space="preserve">, Jerry A. 1979. ‘Individual Discount Rates and the Purchase and Utilization of Energy-Using Durables’. </w:t>
      </w:r>
      <w:r w:rsidRPr="008A4DC8">
        <w:rPr>
          <w:rFonts w:ascii="Baskerville" w:hAnsi="Baskerville"/>
          <w:i/>
          <w:iCs/>
          <w:color w:val="000000"/>
        </w:rPr>
        <w:t>The Bell Journal of Economics</w:t>
      </w:r>
      <w:r w:rsidRPr="008A4DC8">
        <w:rPr>
          <w:rFonts w:ascii="Baskerville" w:hAnsi="Baskerville"/>
          <w:color w:val="000000"/>
        </w:rPr>
        <w:t xml:space="preserve"> 10 (1):33–54.</w:t>
      </w:r>
    </w:p>
    <w:p w14:paraId="1F63709D"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Holtz-</w:t>
      </w:r>
      <w:proofErr w:type="spellStart"/>
      <w:r w:rsidRPr="008A4DC8">
        <w:rPr>
          <w:rFonts w:ascii="Baskerville" w:hAnsi="Baskerville"/>
          <w:color w:val="000000"/>
        </w:rPr>
        <w:t>Eakin</w:t>
      </w:r>
      <w:proofErr w:type="spellEnd"/>
      <w:r w:rsidRPr="008A4DC8">
        <w:rPr>
          <w:rFonts w:ascii="Baskerville" w:hAnsi="Baskerville"/>
          <w:color w:val="000000"/>
        </w:rPr>
        <w:t xml:space="preserve">, Douglas, David </w:t>
      </w:r>
      <w:proofErr w:type="spellStart"/>
      <w:r w:rsidRPr="008A4DC8">
        <w:rPr>
          <w:rFonts w:ascii="Baskerville" w:hAnsi="Baskerville"/>
          <w:color w:val="000000"/>
        </w:rPr>
        <w:t>Joulfaian</w:t>
      </w:r>
      <w:proofErr w:type="spellEnd"/>
      <w:r w:rsidRPr="008A4DC8">
        <w:rPr>
          <w:rFonts w:ascii="Baskerville" w:hAnsi="Baskerville"/>
          <w:color w:val="000000"/>
        </w:rPr>
        <w:t>, and Harvey S. Rosen. 1993. ‘Sticking It Out: Entrepreneurial Survival and Liquidity Constraints’. Working Paper 4494. National Bureau of Economic Research.</w:t>
      </w:r>
    </w:p>
    <w:p w14:paraId="44E3FD51"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Hudon</w:t>
      </w:r>
      <w:proofErr w:type="spellEnd"/>
      <w:r w:rsidRPr="008A4DC8">
        <w:rPr>
          <w:rFonts w:ascii="Baskerville" w:hAnsi="Baskerville"/>
          <w:color w:val="000000"/>
        </w:rPr>
        <w:t xml:space="preserve">, Marek. 2008. ‘Should Access to Credit Be a Right?’ </w:t>
      </w:r>
      <w:r w:rsidRPr="008A4DC8">
        <w:rPr>
          <w:rFonts w:ascii="Baskerville" w:hAnsi="Baskerville"/>
          <w:i/>
          <w:iCs/>
          <w:color w:val="000000"/>
        </w:rPr>
        <w:t>Journal of Business Ethics</w:t>
      </w:r>
      <w:r w:rsidRPr="008A4DC8">
        <w:rPr>
          <w:rFonts w:ascii="Baskerville" w:hAnsi="Baskerville"/>
          <w:color w:val="000000"/>
        </w:rPr>
        <w:t xml:space="preserve"> 84 (1):17–28.</w:t>
      </w:r>
    </w:p>
    <w:p w14:paraId="7979F4CC"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James, Aaron. 2012. </w:t>
      </w:r>
      <w:r w:rsidRPr="008A4DC8">
        <w:rPr>
          <w:rFonts w:ascii="Baskerville" w:hAnsi="Baskerville"/>
          <w:i/>
          <w:iCs/>
          <w:color w:val="000000"/>
        </w:rPr>
        <w:t>Fairness in Practice: A Social Contract for a Global Economy</w:t>
      </w:r>
      <w:r w:rsidRPr="008A4DC8">
        <w:rPr>
          <w:rFonts w:ascii="Baskerville" w:hAnsi="Baskerville"/>
          <w:color w:val="000000"/>
        </w:rPr>
        <w:t>. New York [etc.]: Oxford University Press.</w:t>
      </w:r>
    </w:p>
    <w:p w14:paraId="56B13749"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Kindleberger</w:t>
      </w:r>
      <w:proofErr w:type="spellEnd"/>
      <w:r w:rsidRPr="008A4DC8">
        <w:rPr>
          <w:rFonts w:ascii="Baskerville" w:hAnsi="Baskerville"/>
          <w:color w:val="000000"/>
        </w:rPr>
        <w:t xml:space="preserve">, Charles P. 2011. </w:t>
      </w:r>
      <w:r w:rsidRPr="008A4DC8">
        <w:rPr>
          <w:rFonts w:ascii="Baskerville" w:hAnsi="Baskerville"/>
          <w:i/>
          <w:iCs/>
          <w:color w:val="000000"/>
        </w:rPr>
        <w:t>Manias, Panics and Crashes: A History of Financial Crises</w:t>
      </w:r>
      <w:r w:rsidRPr="008A4DC8">
        <w:rPr>
          <w:rFonts w:ascii="Baskerville" w:hAnsi="Baskerville"/>
          <w:color w:val="000000"/>
        </w:rPr>
        <w:t xml:space="preserve">. 4th Edition </w:t>
      </w:r>
      <w:proofErr w:type="spellStart"/>
      <w:r w:rsidRPr="008A4DC8">
        <w:rPr>
          <w:rFonts w:ascii="Baskerville" w:hAnsi="Baskerville"/>
          <w:color w:val="000000"/>
        </w:rPr>
        <w:t>edition</w:t>
      </w:r>
      <w:proofErr w:type="spellEnd"/>
      <w:r w:rsidRPr="008A4DC8">
        <w:rPr>
          <w:rFonts w:ascii="Baskerville" w:hAnsi="Baskerville"/>
          <w:color w:val="000000"/>
        </w:rPr>
        <w:t>. New York: John Wiley &amp; Sons.</w:t>
      </w:r>
    </w:p>
    <w:p w14:paraId="67A2CB0D"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Linarelli</w:t>
      </w:r>
      <w:proofErr w:type="spellEnd"/>
      <w:r w:rsidRPr="008A4DC8">
        <w:rPr>
          <w:rFonts w:ascii="Baskerville" w:hAnsi="Baskerville"/>
          <w:color w:val="000000"/>
        </w:rPr>
        <w:t xml:space="preserve">, John. 2015. ‘Luck, Justice and Systemic Financial Risk’. </w:t>
      </w:r>
      <w:r w:rsidRPr="008A4DC8">
        <w:rPr>
          <w:rFonts w:ascii="Baskerville" w:hAnsi="Baskerville"/>
          <w:i/>
          <w:iCs/>
          <w:color w:val="000000"/>
        </w:rPr>
        <w:t>Journal of Applied Philosophy</w:t>
      </w:r>
      <w:r w:rsidRPr="008A4DC8">
        <w:rPr>
          <w:rFonts w:ascii="Baskerville" w:hAnsi="Baskerville"/>
          <w:color w:val="000000"/>
        </w:rPr>
        <w:t>, September, n/a-n/a.</w:t>
      </w:r>
    </w:p>
    <w:p w14:paraId="6B54A243"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Lusardi, </w:t>
      </w:r>
      <w:proofErr w:type="spellStart"/>
      <w:r w:rsidRPr="008A4DC8">
        <w:rPr>
          <w:rFonts w:ascii="Baskerville" w:hAnsi="Baskerville"/>
          <w:color w:val="000000"/>
        </w:rPr>
        <w:t>Annamaria</w:t>
      </w:r>
      <w:proofErr w:type="spellEnd"/>
      <w:r w:rsidRPr="008A4DC8">
        <w:rPr>
          <w:rFonts w:ascii="Baskerville" w:hAnsi="Baskerville"/>
          <w:color w:val="000000"/>
        </w:rPr>
        <w:t xml:space="preserve">, and Olivia S. Mitchell. 2014. ‘The Economic Importance of Financial Literacy: Theory and Evidence’. </w:t>
      </w:r>
      <w:r w:rsidRPr="008A4DC8">
        <w:rPr>
          <w:rFonts w:ascii="Baskerville" w:hAnsi="Baskerville"/>
          <w:i/>
          <w:iCs/>
          <w:color w:val="000000"/>
        </w:rPr>
        <w:t>Journal of Economic Literature</w:t>
      </w:r>
      <w:r w:rsidRPr="008A4DC8">
        <w:rPr>
          <w:rFonts w:ascii="Baskerville" w:hAnsi="Baskerville"/>
          <w:color w:val="000000"/>
        </w:rPr>
        <w:t xml:space="preserve"> 52 (1):5–44.</w:t>
      </w:r>
    </w:p>
    <w:p w14:paraId="28E1DDCD"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Mason, David L. 2004. </w:t>
      </w:r>
      <w:r w:rsidRPr="008A4DC8">
        <w:rPr>
          <w:rFonts w:ascii="Baskerville" w:hAnsi="Baskerville"/>
          <w:i/>
          <w:iCs/>
          <w:color w:val="000000"/>
        </w:rPr>
        <w:t>From Buildings and Loans to Bail-Outs: A History of the American Savings and Loan Industry, 1831-1995</w:t>
      </w:r>
      <w:r w:rsidRPr="008A4DC8">
        <w:rPr>
          <w:rFonts w:ascii="Baskerville" w:hAnsi="Baskerville"/>
          <w:color w:val="000000"/>
        </w:rPr>
        <w:t>. Cambridge University Press.</w:t>
      </w:r>
    </w:p>
    <w:p w14:paraId="7C06C5E1"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McMahon, Christopher. 2012. </w:t>
      </w:r>
      <w:r w:rsidRPr="008A4DC8">
        <w:rPr>
          <w:rFonts w:ascii="Baskerville" w:hAnsi="Baskerville"/>
          <w:i/>
          <w:iCs/>
          <w:color w:val="000000"/>
        </w:rPr>
        <w:t>Public Capitalism: The Political Authority of Corporate Executives</w:t>
      </w:r>
      <w:r w:rsidRPr="008A4DC8">
        <w:rPr>
          <w:rFonts w:ascii="Baskerville" w:hAnsi="Baskerville"/>
          <w:color w:val="000000"/>
        </w:rPr>
        <w:t>. Philadelphia: University of Pennsylvania Press.</w:t>
      </w:r>
    </w:p>
    <w:p w14:paraId="2AE242B9"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Mendicino</w:t>
      </w:r>
      <w:proofErr w:type="spellEnd"/>
      <w:r w:rsidRPr="008A4DC8">
        <w:rPr>
          <w:rFonts w:ascii="Baskerville" w:hAnsi="Baskerville"/>
          <w:color w:val="000000"/>
        </w:rPr>
        <w:t xml:space="preserve">, Caterina, and Maria Teresa </w:t>
      </w:r>
      <w:proofErr w:type="spellStart"/>
      <w:r w:rsidRPr="008A4DC8">
        <w:rPr>
          <w:rFonts w:ascii="Baskerville" w:hAnsi="Baskerville"/>
          <w:color w:val="000000"/>
        </w:rPr>
        <w:t>Punzi</w:t>
      </w:r>
      <w:proofErr w:type="spellEnd"/>
      <w:r w:rsidRPr="008A4DC8">
        <w:rPr>
          <w:rFonts w:ascii="Baskerville" w:hAnsi="Baskerville"/>
          <w:color w:val="000000"/>
        </w:rPr>
        <w:t xml:space="preserve">. 2014. ‘House Prices, Capital Inflows and </w:t>
      </w:r>
      <w:proofErr w:type="spellStart"/>
      <w:r w:rsidRPr="008A4DC8">
        <w:rPr>
          <w:rFonts w:ascii="Baskerville" w:hAnsi="Baskerville"/>
          <w:color w:val="000000"/>
        </w:rPr>
        <w:t>Macroprudential</w:t>
      </w:r>
      <w:proofErr w:type="spellEnd"/>
      <w:r w:rsidRPr="008A4DC8">
        <w:rPr>
          <w:rFonts w:ascii="Baskerville" w:hAnsi="Baskerville"/>
          <w:color w:val="000000"/>
        </w:rPr>
        <w:t xml:space="preserve"> Policy’. </w:t>
      </w:r>
      <w:r w:rsidRPr="008A4DC8">
        <w:rPr>
          <w:rFonts w:ascii="Baskerville" w:hAnsi="Baskerville"/>
          <w:i/>
          <w:iCs/>
          <w:color w:val="000000"/>
        </w:rPr>
        <w:t>Journal of Banking &amp; Finance</w:t>
      </w:r>
      <w:r w:rsidRPr="008A4DC8">
        <w:rPr>
          <w:rFonts w:ascii="Baskerville" w:hAnsi="Baskerville"/>
          <w:color w:val="000000"/>
        </w:rPr>
        <w:t xml:space="preserve"> 49 (December):337–55.</w:t>
      </w:r>
    </w:p>
    <w:p w14:paraId="452681F5"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Meyer, Marco. forthcoming. ‘The Right to Credit’. </w:t>
      </w:r>
      <w:r w:rsidRPr="008A4DC8">
        <w:rPr>
          <w:rFonts w:ascii="Baskerville" w:hAnsi="Baskerville"/>
          <w:i/>
          <w:iCs/>
          <w:color w:val="000000"/>
        </w:rPr>
        <w:t>Journal of Political Philosophy</w:t>
      </w:r>
      <w:r w:rsidRPr="008A4DC8">
        <w:rPr>
          <w:rFonts w:ascii="Baskerville" w:hAnsi="Baskerville"/>
          <w:color w:val="000000"/>
        </w:rPr>
        <w:t>.</w:t>
      </w:r>
    </w:p>
    <w:p w14:paraId="71546A2B"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Minsky, Hyman P. 1982. ‘Can" It" Happen Again? A Reprise’. </w:t>
      </w:r>
      <w:r w:rsidRPr="008A4DC8">
        <w:rPr>
          <w:rFonts w:ascii="Baskerville" w:hAnsi="Baskerville"/>
          <w:i/>
          <w:iCs/>
          <w:color w:val="000000"/>
        </w:rPr>
        <w:t>Challenge</w:t>
      </w:r>
      <w:r w:rsidRPr="008A4DC8">
        <w:rPr>
          <w:rFonts w:ascii="Baskerville" w:hAnsi="Baskerville"/>
          <w:color w:val="000000"/>
        </w:rPr>
        <w:t xml:space="preserve"> 25 (3):5–13.</w:t>
      </w:r>
    </w:p>
    <w:p w14:paraId="4E79EF7A"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1991. ‘Financial Crises: Systemic or Idiosyncratic’. SSRN Scholarly Paper ID 171533. Rochester, NY: Social Science Research Network.</w:t>
      </w:r>
    </w:p>
    <w:p w14:paraId="36E4FEE7"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Reddy, Sanjay G. 2007. ‘International Debt: The Constructive Implications of Some Moral Mathematics’. </w:t>
      </w:r>
      <w:r w:rsidRPr="008A4DC8">
        <w:rPr>
          <w:rFonts w:ascii="Baskerville" w:hAnsi="Baskerville"/>
          <w:i/>
          <w:iCs/>
          <w:color w:val="000000"/>
        </w:rPr>
        <w:t>Ethics &amp; International Affairs</w:t>
      </w:r>
      <w:r w:rsidRPr="008A4DC8">
        <w:rPr>
          <w:rFonts w:ascii="Baskerville" w:hAnsi="Baskerville"/>
          <w:color w:val="000000"/>
        </w:rPr>
        <w:t xml:space="preserve"> 21 (1):33–48.</w:t>
      </w:r>
    </w:p>
    <w:p w14:paraId="0A13A6C2"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Rochet, Jean-Charles. 2009. </w:t>
      </w:r>
      <w:r w:rsidRPr="008A4DC8">
        <w:rPr>
          <w:rFonts w:ascii="Baskerville" w:hAnsi="Baskerville"/>
          <w:i/>
          <w:iCs/>
          <w:color w:val="000000"/>
        </w:rPr>
        <w:t xml:space="preserve">Why Are There So Many Banking </w:t>
      </w:r>
      <w:proofErr w:type="gramStart"/>
      <w:r w:rsidRPr="008A4DC8">
        <w:rPr>
          <w:rFonts w:ascii="Baskerville" w:hAnsi="Baskerville"/>
          <w:i/>
          <w:iCs/>
          <w:color w:val="000000"/>
        </w:rPr>
        <w:t>Crises?:</w:t>
      </w:r>
      <w:proofErr w:type="gramEnd"/>
      <w:r w:rsidRPr="008A4DC8">
        <w:rPr>
          <w:rFonts w:ascii="Baskerville" w:hAnsi="Baskerville"/>
          <w:i/>
          <w:iCs/>
          <w:color w:val="000000"/>
        </w:rPr>
        <w:t xml:space="preserve"> The Politics and Policy of Bank Regulation</w:t>
      </w:r>
      <w:r w:rsidRPr="008A4DC8">
        <w:rPr>
          <w:rFonts w:ascii="Baskerville" w:hAnsi="Baskerville"/>
          <w:color w:val="000000"/>
        </w:rPr>
        <w:t>. Princeton University Press.</w:t>
      </w:r>
    </w:p>
    <w:p w14:paraId="2EF114DA"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Rubio, Margarita, and José A. Carrasco-</w:t>
      </w:r>
      <w:proofErr w:type="spellStart"/>
      <w:r w:rsidRPr="008A4DC8">
        <w:rPr>
          <w:rFonts w:ascii="Baskerville" w:hAnsi="Baskerville"/>
          <w:color w:val="000000"/>
        </w:rPr>
        <w:t>Gallego</w:t>
      </w:r>
      <w:proofErr w:type="spellEnd"/>
      <w:r w:rsidRPr="008A4DC8">
        <w:rPr>
          <w:rFonts w:ascii="Baskerville" w:hAnsi="Baskerville"/>
          <w:color w:val="000000"/>
        </w:rPr>
        <w:t>. 2014. ‘</w:t>
      </w:r>
      <w:proofErr w:type="spellStart"/>
      <w:r w:rsidRPr="008A4DC8">
        <w:rPr>
          <w:rFonts w:ascii="Baskerville" w:hAnsi="Baskerville"/>
          <w:color w:val="000000"/>
        </w:rPr>
        <w:t>Macroprudential</w:t>
      </w:r>
      <w:proofErr w:type="spellEnd"/>
      <w:r w:rsidRPr="008A4DC8">
        <w:rPr>
          <w:rFonts w:ascii="Baskerville" w:hAnsi="Baskerville"/>
          <w:color w:val="000000"/>
        </w:rPr>
        <w:t xml:space="preserve"> and Monetary Policies: Implications for Financial Stability and Welfare’. </w:t>
      </w:r>
      <w:r w:rsidRPr="008A4DC8">
        <w:rPr>
          <w:rFonts w:ascii="Baskerville" w:hAnsi="Baskerville"/>
          <w:i/>
          <w:iCs/>
          <w:color w:val="000000"/>
        </w:rPr>
        <w:t>Journal of Banking &amp; Finance</w:t>
      </w:r>
      <w:r w:rsidRPr="008A4DC8">
        <w:rPr>
          <w:rFonts w:ascii="Baskerville" w:hAnsi="Baskerville"/>
          <w:color w:val="000000"/>
        </w:rPr>
        <w:t xml:space="preserve"> 49 (December):326–36.</w:t>
      </w:r>
    </w:p>
    <w:p w14:paraId="71B9C7C2"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Savage, Howard A. 2009. ‘Who Could Afford to Buy a Home in 2004? Current Housing Reports’. H121/09-1. Washington, DC: US Census Bureau.</w:t>
      </w:r>
    </w:p>
    <w:p w14:paraId="7F315223"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Sorell</w:t>
      </w:r>
      <w:proofErr w:type="spellEnd"/>
      <w:r w:rsidRPr="008A4DC8">
        <w:rPr>
          <w:rFonts w:ascii="Baskerville" w:hAnsi="Baskerville"/>
          <w:color w:val="000000"/>
        </w:rPr>
        <w:t xml:space="preserve">, Tom. 2015. ‘Is There a Human Right to Microfinance?’ In </w:t>
      </w:r>
      <w:r w:rsidRPr="008A4DC8">
        <w:rPr>
          <w:rFonts w:ascii="Baskerville" w:hAnsi="Baskerville"/>
          <w:i/>
          <w:iCs/>
          <w:color w:val="000000"/>
        </w:rPr>
        <w:t>Microfinance, Rights and Global Justice</w:t>
      </w:r>
      <w:r w:rsidRPr="008A4DC8">
        <w:rPr>
          <w:rFonts w:ascii="Baskerville" w:hAnsi="Baskerville"/>
          <w:color w:val="000000"/>
        </w:rPr>
        <w:t xml:space="preserve">, edited by Tom </w:t>
      </w:r>
      <w:proofErr w:type="spellStart"/>
      <w:r w:rsidRPr="008A4DC8">
        <w:rPr>
          <w:rFonts w:ascii="Baskerville" w:hAnsi="Baskerville"/>
          <w:color w:val="000000"/>
        </w:rPr>
        <w:t>Sorell</w:t>
      </w:r>
      <w:proofErr w:type="spellEnd"/>
      <w:r w:rsidRPr="008A4DC8">
        <w:rPr>
          <w:rFonts w:ascii="Baskerville" w:hAnsi="Baskerville"/>
          <w:color w:val="000000"/>
        </w:rPr>
        <w:t xml:space="preserve"> and Luis Cabrera, 27–46. Cambridge: Cambridge University Press.</w:t>
      </w:r>
    </w:p>
    <w:p w14:paraId="222901E0"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The Money Charity. 2016. ‘The Money Statistics May 2016’.</w:t>
      </w:r>
    </w:p>
    <w:p w14:paraId="1A39BD47"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Thomas, L. C., David B. Edelman, and Jonathan N. Crook. 2002. </w:t>
      </w:r>
      <w:r w:rsidRPr="008A4DC8">
        <w:rPr>
          <w:rFonts w:ascii="Baskerville" w:hAnsi="Baskerville"/>
          <w:i/>
          <w:iCs/>
          <w:color w:val="000000"/>
        </w:rPr>
        <w:t>Credit Scoring and Its Applications</w:t>
      </w:r>
      <w:r w:rsidRPr="008A4DC8">
        <w:rPr>
          <w:rFonts w:ascii="Baskerville" w:hAnsi="Baskerville"/>
          <w:color w:val="000000"/>
        </w:rPr>
        <w:t>. SIAM.</w:t>
      </w:r>
    </w:p>
    <w:p w14:paraId="341F0A89"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Tighe</w:t>
      </w:r>
      <w:proofErr w:type="spellEnd"/>
      <w:r w:rsidRPr="008A4DC8">
        <w:rPr>
          <w:rFonts w:ascii="Baskerville" w:hAnsi="Baskerville"/>
          <w:color w:val="000000"/>
        </w:rPr>
        <w:t xml:space="preserve">, Rosie, and Elizabeth Mueller. 2013. </w:t>
      </w:r>
      <w:r w:rsidRPr="008A4DC8">
        <w:rPr>
          <w:rFonts w:ascii="Baskerville" w:hAnsi="Baskerville"/>
          <w:i/>
          <w:iCs/>
          <w:color w:val="000000"/>
        </w:rPr>
        <w:t>The Affordable Housing Reader</w:t>
      </w:r>
      <w:r w:rsidRPr="008A4DC8">
        <w:rPr>
          <w:rFonts w:ascii="Baskerville" w:hAnsi="Baskerville"/>
          <w:color w:val="000000"/>
        </w:rPr>
        <w:t>. Routledge.</w:t>
      </w:r>
    </w:p>
    <w:p w14:paraId="25E3F706" w14:textId="77777777" w:rsidR="008A4DC8" w:rsidRPr="008A4DC8" w:rsidRDefault="008A4DC8" w:rsidP="008A4DC8">
      <w:pPr>
        <w:pStyle w:val="Bibliography"/>
        <w:rPr>
          <w:rFonts w:ascii="Baskerville" w:hAnsi="Baskerville"/>
          <w:color w:val="000000"/>
        </w:rPr>
      </w:pPr>
      <w:r w:rsidRPr="008A4DC8">
        <w:rPr>
          <w:rFonts w:ascii="Baskerville" w:hAnsi="Baskerville"/>
          <w:color w:val="000000"/>
        </w:rPr>
        <w:t xml:space="preserve">Ueda, Kenichi, and B. </w:t>
      </w:r>
      <w:proofErr w:type="spellStart"/>
      <w:r w:rsidRPr="008A4DC8">
        <w:rPr>
          <w:rFonts w:ascii="Baskerville" w:hAnsi="Baskerville"/>
          <w:color w:val="000000"/>
        </w:rPr>
        <w:t>Weder</w:t>
      </w:r>
      <w:proofErr w:type="spellEnd"/>
      <w:r w:rsidRPr="008A4DC8">
        <w:rPr>
          <w:rFonts w:ascii="Baskerville" w:hAnsi="Baskerville"/>
          <w:color w:val="000000"/>
        </w:rPr>
        <w:t xml:space="preserve"> di Mauro. 2013. ‘Quantifying Structural Subsidy Values for Systemically Important Financial Institutions’. </w:t>
      </w:r>
      <w:r w:rsidRPr="008A4DC8">
        <w:rPr>
          <w:rFonts w:ascii="Baskerville" w:hAnsi="Baskerville"/>
          <w:i/>
          <w:iCs/>
          <w:color w:val="000000"/>
        </w:rPr>
        <w:t>Journal of Banking &amp; Finance</w:t>
      </w:r>
      <w:r w:rsidRPr="008A4DC8">
        <w:rPr>
          <w:rFonts w:ascii="Baskerville" w:hAnsi="Baskerville"/>
          <w:color w:val="000000"/>
        </w:rPr>
        <w:t xml:space="preserve"> 37 (10):3830–42.</w:t>
      </w:r>
    </w:p>
    <w:p w14:paraId="35885F12" w14:textId="77777777" w:rsidR="008A4DC8" w:rsidRPr="008A4DC8" w:rsidRDefault="008A4DC8" w:rsidP="008A4DC8">
      <w:pPr>
        <w:pStyle w:val="Bibliography"/>
        <w:rPr>
          <w:rFonts w:ascii="Baskerville" w:hAnsi="Baskerville"/>
          <w:color w:val="000000"/>
        </w:rPr>
      </w:pPr>
      <w:proofErr w:type="spellStart"/>
      <w:r w:rsidRPr="008A4DC8">
        <w:rPr>
          <w:rFonts w:ascii="Baskerville" w:hAnsi="Baskerville"/>
          <w:color w:val="000000"/>
        </w:rPr>
        <w:t>Wollner</w:t>
      </w:r>
      <w:proofErr w:type="spellEnd"/>
      <w:r w:rsidRPr="008A4DC8">
        <w:rPr>
          <w:rFonts w:ascii="Baskerville" w:hAnsi="Baskerville"/>
          <w:color w:val="000000"/>
        </w:rPr>
        <w:t>, Gabriel. draft. ‘Morally Bankrupt: International Financial Governance and the Ethics of Sovereign Default’.</w:t>
      </w:r>
    </w:p>
    <w:p w14:paraId="6224169A" w14:textId="7D04D14D" w:rsidR="007D31AD" w:rsidRPr="0030223C" w:rsidRDefault="00B560B1" w:rsidP="0030223C">
      <w:pPr>
        <w:pStyle w:val="SourceCode"/>
        <w:spacing w:line="360" w:lineRule="auto"/>
        <w:rPr>
          <w:rStyle w:val="VerbatimChar"/>
          <w:rFonts w:ascii="Baskerville" w:hAnsi="Baskerville" w:cs="Baskerville"/>
          <w:color w:val="000000" w:themeColor="text1"/>
          <w:sz w:val="24"/>
          <w:szCs w:val="24"/>
        </w:rPr>
      </w:pPr>
      <w:r>
        <w:rPr>
          <w:rStyle w:val="VerbatimChar"/>
          <w:rFonts w:ascii="Baskerville" w:hAnsi="Baskerville" w:cs="Baskerville"/>
          <w:color w:val="000000" w:themeColor="text1"/>
          <w:sz w:val="24"/>
          <w:szCs w:val="24"/>
        </w:rPr>
        <w:fldChar w:fldCharType="end"/>
      </w:r>
    </w:p>
    <w:sectPr w:rsidR="007D31AD" w:rsidRPr="0030223C" w:rsidSect="00F90826">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45ADB" w14:textId="77777777" w:rsidR="0031073E" w:rsidRDefault="0031073E" w:rsidP="00E67756">
      <w:r>
        <w:separator/>
      </w:r>
    </w:p>
  </w:endnote>
  <w:endnote w:type="continuationSeparator" w:id="0">
    <w:p w14:paraId="69EB1045" w14:textId="77777777" w:rsidR="0031073E" w:rsidRDefault="0031073E" w:rsidP="00E6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w:panose1 w:val="02020502070401020303"/>
    <w:charset w:val="00"/>
    <w:family w:val="roman"/>
    <w:pitch w:val="variable"/>
    <w:sig w:usb0="8000006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Helvetica">
    <w:panose1 w:val="00000000000000000000"/>
    <w:charset w:val="00"/>
    <w:family w:val="swiss"/>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9269" w14:textId="77777777" w:rsidR="00FA6BF2" w:rsidRDefault="00FA6BF2" w:rsidP="00F978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7935F" w14:textId="77777777" w:rsidR="00FA6BF2" w:rsidRDefault="00FA6BF2" w:rsidP="005604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10755" w14:textId="154D1C1E" w:rsidR="00FA6BF2" w:rsidRPr="00FD2DE7" w:rsidRDefault="00FA6BF2" w:rsidP="00F978BA">
    <w:pPr>
      <w:pStyle w:val="Footer"/>
      <w:framePr w:wrap="none" w:vAnchor="text" w:hAnchor="margin" w:xAlign="right" w:y="1"/>
      <w:rPr>
        <w:rStyle w:val="PageNumber"/>
        <w:rFonts w:ascii="Baskerville" w:hAnsi="Baskerville"/>
        <w:sz w:val="20"/>
        <w:szCs w:val="20"/>
      </w:rPr>
    </w:pPr>
    <w:r w:rsidRPr="00FD2DE7">
      <w:rPr>
        <w:rStyle w:val="PageNumber"/>
        <w:rFonts w:ascii="Baskerville" w:hAnsi="Baskerville"/>
        <w:sz w:val="20"/>
        <w:szCs w:val="20"/>
      </w:rPr>
      <w:fldChar w:fldCharType="begin"/>
    </w:r>
    <w:r w:rsidRPr="00FD2DE7">
      <w:rPr>
        <w:rStyle w:val="PageNumber"/>
        <w:rFonts w:ascii="Baskerville" w:hAnsi="Baskerville"/>
        <w:sz w:val="20"/>
        <w:szCs w:val="20"/>
      </w:rPr>
      <w:instrText xml:space="preserve">PAGE  </w:instrText>
    </w:r>
    <w:r w:rsidRPr="00FD2DE7">
      <w:rPr>
        <w:rStyle w:val="PageNumber"/>
        <w:rFonts w:ascii="Baskerville" w:hAnsi="Baskerville"/>
        <w:sz w:val="20"/>
        <w:szCs w:val="20"/>
      </w:rPr>
      <w:fldChar w:fldCharType="separate"/>
    </w:r>
    <w:r w:rsidR="00E93D72">
      <w:rPr>
        <w:rStyle w:val="PageNumber"/>
        <w:rFonts w:ascii="Baskerville" w:hAnsi="Baskerville"/>
        <w:noProof/>
        <w:sz w:val="20"/>
        <w:szCs w:val="20"/>
      </w:rPr>
      <w:t>1</w:t>
    </w:r>
    <w:r w:rsidRPr="00FD2DE7">
      <w:rPr>
        <w:rStyle w:val="PageNumber"/>
        <w:rFonts w:ascii="Baskerville" w:hAnsi="Baskerville"/>
        <w:sz w:val="20"/>
        <w:szCs w:val="20"/>
      </w:rPr>
      <w:fldChar w:fldCharType="end"/>
    </w:r>
  </w:p>
  <w:p w14:paraId="1CE7A5D1" w14:textId="77777777" w:rsidR="00FA6BF2" w:rsidRPr="00FD2DE7" w:rsidRDefault="00FA6BF2" w:rsidP="00560495">
    <w:pPr>
      <w:pStyle w:val="Footer"/>
      <w:ind w:right="360"/>
      <w:rPr>
        <w:rFonts w:ascii="Baskerville" w:hAnsi="Baskerville"/>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16CBB" w14:textId="77777777" w:rsidR="0031073E" w:rsidRDefault="0031073E" w:rsidP="00E67756">
      <w:r>
        <w:separator/>
      </w:r>
    </w:p>
  </w:footnote>
  <w:footnote w:type="continuationSeparator" w:id="0">
    <w:p w14:paraId="7A6DDB7D" w14:textId="77777777" w:rsidR="0031073E" w:rsidRDefault="0031073E" w:rsidP="00E67756">
      <w:r>
        <w:continuationSeparator/>
      </w:r>
    </w:p>
  </w:footnote>
  <w:footnote w:id="1">
    <w:p w14:paraId="634AEF56" w14:textId="361DCCD8" w:rsidR="00FA6BF2" w:rsidRPr="00184440" w:rsidRDefault="00FA6BF2" w:rsidP="00883A09">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184440">
        <w:rPr>
          <w:rFonts w:ascii="Baskerville" w:hAnsi="Baskerville" w:cs="Arial"/>
          <w:sz w:val="18"/>
          <w:szCs w:val="18"/>
        </w:rPr>
        <w:t xml:space="preserve">Thanks to Boudewijn de Bruin, Joachim </w:t>
      </w:r>
      <w:proofErr w:type="spellStart"/>
      <w:r w:rsidRPr="00184440">
        <w:rPr>
          <w:rFonts w:ascii="Baskerville" w:hAnsi="Baskerville" w:cs="Arial"/>
          <w:sz w:val="18"/>
          <w:szCs w:val="18"/>
        </w:rPr>
        <w:t>Helfer</w:t>
      </w:r>
      <w:proofErr w:type="spellEnd"/>
      <w:r w:rsidRPr="00184440">
        <w:rPr>
          <w:rFonts w:ascii="Baskerville" w:hAnsi="Baskerville" w:cs="Arial"/>
          <w:sz w:val="18"/>
          <w:szCs w:val="18"/>
        </w:rPr>
        <w:t xml:space="preserve">, Jens </w:t>
      </w:r>
      <w:proofErr w:type="spellStart"/>
      <w:r w:rsidRPr="00184440">
        <w:rPr>
          <w:rFonts w:ascii="Baskerville" w:hAnsi="Baskerville" w:cs="Arial"/>
          <w:sz w:val="18"/>
          <w:szCs w:val="18"/>
        </w:rPr>
        <w:t>van’t</w:t>
      </w:r>
      <w:proofErr w:type="spellEnd"/>
      <w:r w:rsidRPr="00184440">
        <w:rPr>
          <w:rFonts w:ascii="Baskerville" w:hAnsi="Baskerville" w:cs="Arial"/>
          <w:sz w:val="18"/>
          <w:szCs w:val="18"/>
        </w:rPr>
        <w:t xml:space="preserve"> </w:t>
      </w:r>
      <w:proofErr w:type="spellStart"/>
      <w:r w:rsidRPr="00184440">
        <w:rPr>
          <w:rFonts w:ascii="Baskerville" w:hAnsi="Baskerville" w:cs="Arial"/>
          <w:sz w:val="18"/>
          <w:szCs w:val="18"/>
        </w:rPr>
        <w:t>Klooster</w:t>
      </w:r>
      <w:proofErr w:type="spellEnd"/>
      <w:r w:rsidRPr="00184440">
        <w:rPr>
          <w:rFonts w:ascii="Baskerville" w:hAnsi="Baskerville" w:cs="Arial"/>
          <w:sz w:val="18"/>
          <w:szCs w:val="18"/>
        </w:rPr>
        <w:t xml:space="preserve">, Kate </w:t>
      </w:r>
      <w:proofErr w:type="spellStart"/>
      <w:r w:rsidRPr="00184440">
        <w:rPr>
          <w:rFonts w:ascii="Baskerville" w:hAnsi="Baskerville" w:cs="Arial"/>
          <w:sz w:val="18"/>
          <w:szCs w:val="18"/>
        </w:rPr>
        <w:t>Vredenburgh</w:t>
      </w:r>
      <w:proofErr w:type="spellEnd"/>
      <w:r w:rsidRPr="00184440">
        <w:rPr>
          <w:rFonts w:ascii="Baskerville" w:hAnsi="Baskerville" w:cs="Arial"/>
          <w:sz w:val="18"/>
          <w:szCs w:val="18"/>
        </w:rPr>
        <w:t xml:space="preserve">, Melissa Fernandez, and participants at the “Forum </w:t>
      </w:r>
      <w:proofErr w:type="spellStart"/>
      <w:r w:rsidRPr="00184440">
        <w:rPr>
          <w:rFonts w:ascii="Baskerville" w:hAnsi="Baskerville" w:cs="Arial"/>
          <w:sz w:val="18"/>
          <w:szCs w:val="18"/>
        </w:rPr>
        <w:t>Wirtschaftsphilosophie</w:t>
      </w:r>
      <w:proofErr w:type="spellEnd"/>
      <w:r w:rsidRPr="00184440">
        <w:rPr>
          <w:rFonts w:ascii="Baskerville" w:hAnsi="Baskerville" w:cs="Arial"/>
          <w:sz w:val="18"/>
          <w:szCs w:val="18"/>
        </w:rPr>
        <w:t>” in March 2017 at the Humboldt University Berlin for written comments and discussions. Thanks as well to Martin O’Neill and Richard Holton for comments on an earlier version of this material.</w:t>
      </w:r>
    </w:p>
  </w:footnote>
  <w:footnote w:id="2">
    <w:p w14:paraId="739B30B2" w14:textId="1FA8D58C"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I am interested in all </w:t>
      </w:r>
      <w:r w:rsidRPr="00184440">
        <w:rPr>
          <w:rFonts w:ascii="Baskerville" w:hAnsi="Baskerville"/>
          <w:color w:val="000000" w:themeColor="text1"/>
          <w:sz w:val="18"/>
          <w:szCs w:val="18"/>
        </w:rPr>
        <w:t>financial institutions offering credit to consumers. This includes many creditors who do not have bank licences, including lenders specialised in car-loans, student loans, and payday lenders. For brevity, I use the term ‘banks’.</w:t>
      </w:r>
    </w:p>
  </w:footnote>
  <w:footnote w:id="3">
    <w:p w14:paraId="0DAA2119" w14:textId="1A2E6FE6"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cs="Arial"/>
          <w:sz w:val="18"/>
          <w:szCs w:val="18"/>
        </w:rPr>
        <w:fldChar w:fldCharType="begin"/>
      </w:r>
      <w:r w:rsidRPr="00184440">
        <w:rPr>
          <w:rFonts w:ascii="Baskerville" w:hAnsi="Baskerville" w:cs="Arial"/>
          <w:sz w:val="18"/>
          <w:szCs w:val="18"/>
        </w:rPr>
        <w:instrText xml:space="preserve"> ADDIN ZOTERO_ITEM CSL_CITATION {"citationID":"PDXl4jSq","properties":{"formattedCitation":"(Federal Financial Institutions Examination Council 2017)","plainCitation":"(Federal Financial Institutions Examination Council 2017)"},"citationItems":[{"id":6046,"uris":["http://zotero.org/users/1397761/items/6EKAU372"],"uri":["http://zotero.org/users/1397761/items/6EKAU372"],"itemData":{"id":6046,"type":"report","title":"Charge-Off and Delinquency Rates on Loans and Leases at Commercial Banks","collection-title":"Consolidated Reports of Condition and Income","publisher":"Board of Govenors of the Federal Reserve System","URL":"https://www.federalreserve.gov/releases/chargeoff/default.htm","author":[{"literal":"Federal Financial Institutions Examination Council"}],"issued":{"date-parts":[["2017",2,21]]},"accessed":{"date-parts":[["2017",3,19]]}}}],"schema":"https://github.com/citation-style-language/schema/raw/master/csl-citation.json"} </w:instrText>
      </w:r>
      <w:r w:rsidRPr="00585E03">
        <w:rPr>
          <w:rFonts w:ascii="Baskerville" w:hAnsi="Baskerville" w:cs="Arial"/>
          <w:sz w:val="18"/>
          <w:szCs w:val="18"/>
        </w:rPr>
        <w:fldChar w:fldCharType="separate"/>
      </w:r>
      <w:r w:rsidR="008A4DC8">
        <w:rPr>
          <w:rFonts w:ascii="Baskerville" w:hAnsi="Baskerville" w:cs="Arial"/>
          <w:noProof/>
          <w:sz w:val="18"/>
          <w:szCs w:val="18"/>
        </w:rPr>
        <w:t>(Federal Financial Institutions Examination Council 2017)</w:t>
      </w:r>
      <w:r w:rsidRPr="00585E03">
        <w:rPr>
          <w:rFonts w:ascii="Baskerville" w:hAnsi="Baskerville" w:cs="Arial"/>
          <w:sz w:val="18"/>
          <w:szCs w:val="18"/>
        </w:rPr>
        <w:fldChar w:fldCharType="end"/>
      </w:r>
      <w:r w:rsidRPr="00184440">
        <w:rPr>
          <w:rFonts w:ascii="Baskerville" w:hAnsi="Baskerville" w:cs="Arial"/>
          <w:sz w:val="18"/>
          <w:szCs w:val="18"/>
        </w:rPr>
        <w:t>.</w:t>
      </w:r>
    </w:p>
  </w:footnote>
  <w:footnote w:id="4">
    <w:p w14:paraId="13390198" w14:textId="235C862F" w:rsidR="00FA6BF2" w:rsidRPr="00184440" w:rsidRDefault="00FA6BF2" w:rsidP="00727337">
      <w:pPr>
        <w:pStyle w:val="FootnoteText"/>
        <w:tabs>
          <w:tab w:val="left" w:pos="1563"/>
        </w:tabs>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cs="Arial"/>
          <w:sz w:val="18"/>
          <w:szCs w:val="18"/>
        </w:rPr>
        <w:fldChar w:fldCharType="begin"/>
      </w:r>
      <w:r w:rsidRPr="00184440">
        <w:rPr>
          <w:rFonts w:ascii="Baskerville" w:hAnsi="Baskerville" w:cs="Arial"/>
          <w:sz w:val="18"/>
          <w:szCs w:val="18"/>
        </w:rPr>
        <w:instrText xml:space="preserve"> ADDIN ZOTERO_ITEM CSL_CITATION {"citationID":"sbbFbxkq","properties":{"formattedCitation":"(Federal Financial Institutions Examination Council 2017)","plainCitation":"(Federal Financial Institutions Examination Council 2017)"},"citationItems":[{"id":6046,"uris":["http://zotero.org/users/1397761/items/6EKAU372"],"uri":["http://zotero.org/users/1397761/items/6EKAU372"],"itemData":{"id":6046,"type":"report","title":"Charge-Off and Delinquency Rates on Loans and Leases at Commercial Banks","collection-title":"Consolidated Reports of Condition and Income","publisher":"Board of Govenors of the Federal Reserve System","URL":"https://www.federalreserve.gov/releases/chargeoff/default.htm","author":[{"literal":"Federal Financial Institutions Examination Council"}],"issued":{"date-parts":[["2017",2,21]]},"accessed":{"date-parts":[["2017",3,19]]}}}],"schema":"https://github.com/citation-style-language/schema/raw/master/csl-citation.json"} </w:instrText>
      </w:r>
      <w:r w:rsidRPr="00585E03">
        <w:rPr>
          <w:rFonts w:ascii="Baskerville" w:hAnsi="Baskerville" w:cs="Arial"/>
          <w:sz w:val="18"/>
          <w:szCs w:val="18"/>
        </w:rPr>
        <w:fldChar w:fldCharType="separate"/>
      </w:r>
      <w:r w:rsidR="008A4DC8">
        <w:rPr>
          <w:rFonts w:ascii="Baskerville" w:hAnsi="Baskerville" w:cs="Arial"/>
          <w:noProof/>
          <w:sz w:val="18"/>
          <w:szCs w:val="18"/>
        </w:rPr>
        <w:t>(Federal Financial Institutions Examination Council 2017)</w:t>
      </w:r>
      <w:r w:rsidRPr="00585E03">
        <w:rPr>
          <w:rFonts w:ascii="Baskerville" w:hAnsi="Baskerville" w:cs="Arial"/>
          <w:sz w:val="18"/>
          <w:szCs w:val="18"/>
        </w:rPr>
        <w:fldChar w:fldCharType="end"/>
      </w:r>
      <w:r w:rsidRPr="00184440">
        <w:rPr>
          <w:rFonts w:ascii="Baskerville" w:hAnsi="Baskerville"/>
          <w:sz w:val="18"/>
          <w:szCs w:val="18"/>
        </w:rPr>
        <w:tab/>
        <w:t>.</w:t>
      </w:r>
    </w:p>
  </w:footnote>
  <w:footnote w:id="5">
    <w:p w14:paraId="0D90F09B" w14:textId="2F6FF388"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More precisely, </w:t>
      </w:r>
      <w:r w:rsidRPr="00184440">
        <w:rPr>
          <w:rFonts w:ascii="Baskerville" w:hAnsi="Baskerville" w:cs="Arial"/>
          <w:sz w:val="18"/>
          <w:szCs w:val="18"/>
        </w:rPr>
        <w:t xml:space="preserve">charge-off rates capture the value of loans removed from the books of a bank and charged against loss reserves, measured net of recoveries as a percentage of average loans and annualized. </w:t>
      </w:r>
    </w:p>
  </w:footnote>
  <w:footnote w:id="6">
    <w:p w14:paraId="066F0319" w14:textId="6E03AFA7"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Data Source: </w:t>
      </w:r>
      <w:r w:rsidRPr="00585E03">
        <w:rPr>
          <w:rFonts w:ascii="Baskerville" w:hAnsi="Baskerville" w:cs="Arial"/>
          <w:sz w:val="18"/>
          <w:szCs w:val="18"/>
        </w:rPr>
        <w:fldChar w:fldCharType="begin"/>
      </w:r>
      <w:r w:rsidRPr="00184440">
        <w:rPr>
          <w:rFonts w:ascii="Baskerville" w:hAnsi="Baskerville" w:cs="Arial"/>
          <w:sz w:val="18"/>
          <w:szCs w:val="18"/>
        </w:rPr>
        <w:instrText xml:space="preserve"> ADDIN ZOTERO_ITEM CSL_CITATION {"citationID":"kqrj8Dkh","properties":{"formattedCitation":"(Federal Financial Institutions Examination Council 2017)","plainCitation":"(Federal Financial Institutions Examination Council 2017)"},"citationItems":[{"id":6046,"uris":["http://zotero.org/users/1397761/items/6EKAU372"],"uri":["http://zotero.org/users/1397761/items/6EKAU372"],"itemData":{"id":6046,"type":"report","title":"Charge-Off and Delinquency Rates on Loans and Leases at Commercial Banks","collection-title":"Consolidated Reports of Condition and Income","publisher":"Board of Govenors of the Federal Reserve System","URL":"https://www.federalreserve.gov/releases/chargeoff/default.htm","author":[{"literal":"Federal Financial Institutions Examination Council"}],"issued":{"date-parts":[["2017",2,21]]},"accessed":{"date-parts":[["2017",3,19]]}}}],"schema":"https://github.com/citation-style-language/schema/raw/master/csl-citation.json"} </w:instrText>
      </w:r>
      <w:r w:rsidRPr="00585E03">
        <w:rPr>
          <w:rFonts w:ascii="Baskerville" w:hAnsi="Baskerville" w:cs="Arial"/>
          <w:sz w:val="18"/>
          <w:szCs w:val="18"/>
        </w:rPr>
        <w:fldChar w:fldCharType="separate"/>
      </w:r>
      <w:r w:rsidR="008A4DC8">
        <w:rPr>
          <w:rFonts w:ascii="Baskerville" w:hAnsi="Baskerville" w:cs="Arial"/>
          <w:noProof/>
          <w:sz w:val="18"/>
          <w:szCs w:val="18"/>
        </w:rPr>
        <w:t>(Federal Financial Institutions Examination Council 2017)</w:t>
      </w:r>
      <w:r w:rsidRPr="00585E03">
        <w:rPr>
          <w:rFonts w:ascii="Baskerville" w:hAnsi="Baskerville" w:cs="Arial"/>
          <w:sz w:val="18"/>
          <w:szCs w:val="18"/>
        </w:rPr>
        <w:fldChar w:fldCharType="end"/>
      </w:r>
    </w:p>
  </w:footnote>
  <w:footnote w:id="7">
    <w:p w14:paraId="0232716C" w14:textId="7B85C811" w:rsidR="00FA6BF2" w:rsidRPr="00184440" w:rsidRDefault="00FA6BF2" w:rsidP="00727337">
      <w:pPr>
        <w:widowControl w:val="0"/>
        <w:autoSpaceDE w:val="0"/>
        <w:autoSpaceDN w:val="0"/>
        <w:adjustRightInd w:val="0"/>
        <w:rPr>
          <w:rFonts w:ascii="Baskerville" w:hAnsi="Baskerville" w:cs="Arial"/>
          <w:sz w:val="18"/>
          <w:szCs w:val="18"/>
        </w:rPr>
      </w:pPr>
      <w:r w:rsidRPr="00E93D72">
        <w:rPr>
          <w:rStyle w:val="FootnoteReference"/>
        </w:rPr>
        <w:footnoteRef/>
      </w:r>
      <w:r w:rsidRPr="00184440">
        <w:rPr>
          <w:rFonts w:ascii="Baskerville" w:hAnsi="Baskerville"/>
          <w:sz w:val="18"/>
          <w:szCs w:val="18"/>
        </w:rPr>
        <w:t xml:space="preserve"> </w:t>
      </w:r>
      <w:r w:rsidRPr="00184440">
        <w:rPr>
          <w:rFonts w:ascii="Baskerville" w:hAnsi="Baskerville" w:cs="Arial"/>
          <w:sz w:val="18"/>
          <w:szCs w:val="18"/>
        </w:rPr>
        <w:t>Delinquent loans are those past due thirty days or more and still accruing interest as well as those in nonaccrual status. They are measured as a percentage of end-of-period loans.</w:t>
      </w:r>
    </w:p>
  </w:footnote>
  <w:footnote w:id="8">
    <w:p w14:paraId="5DCA7854" w14:textId="42CF61AA"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{"citationID":"NdlplMg7","properties":{"formattedCitation":"(Bricker 2014, 29)","plainCitation":"(Bricker 2014, 29)"},"citationItems":[{"id":6045,"uris":["http://zotero.org/users/1397761/items/GK7GFCCZ"],"uri":["http://zotero.org/users/1397761/items/GK7GFCCZ"],"itemData":{"id":6045,"type":"report","title":"Changes in U.S. Family Finances from 2010 to 2013: Evidence from the Survey of Consumer Finances","collection-title":"Federal Reserve Bulletin","publisher":"Board of Govenors of the Federal Reserve System","URL":"https://www.federalreserve.gov/pubs/bulletin/2014/pdf/scf14.pdf","number":"Volume 100, No 4","author":[{"family":"Bricker","given":"Jesse"}],"issued":{"date-parts":[["2014",9]]}},"locator":"29"}],"schema":"https://github.com/citation-style-language/schema/raw/master/csl-citation.json"}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(Bricker 2014, 29)</w:t>
      </w:r>
      <w:r w:rsidRPr="00585E03">
        <w:rPr>
          <w:rFonts w:ascii="Baskerville" w:hAnsi="Baskerville"/>
          <w:sz w:val="18"/>
          <w:szCs w:val="18"/>
        </w:rPr>
        <w:fldChar w:fldCharType="end"/>
      </w:r>
    </w:p>
  </w:footnote>
  <w:footnote w:id="9">
    <w:p w14:paraId="5BEBA1E0" w14:textId="15E939BB" w:rsidR="00F858A1" w:rsidRPr="00184440" w:rsidRDefault="00F858A1" w:rsidP="00F858A1">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{"citationID":"ENe99gOs","properties":{"formattedCitation":"(Federal Reserve Bank of New York 2017)","plainCitation":"(Federal Reserve Bank of New York 2017)"},"citationItems":[{"id":6069,"uris":["http://zotero.org/users/1397761/items/P8Q3P9F6"],"uri":["http://zotero.org/users/1397761/items/P8Q3P9F6"],"itemData":{"id":6069,"type":"report","title":"SCE Credit Access Survey","URL":"https://www.newyorkfed.org/microeconomics/sce","author":[{"literal":"Federal Reserve Bank of New York"}],"issued":{"date-parts":[["2017"]]},"accessed":{"date-parts":[["2017",3,12]]}}}],"schema":"https://github.com/citation-style-language/schema/raw/master/csl-citation.json"}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(Federal Reserve Bank of New York 2017)</w:t>
      </w:r>
      <w:r w:rsidRPr="00585E03">
        <w:rPr>
          <w:rFonts w:ascii="Baskerville" w:hAnsi="Baskerville"/>
          <w:sz w:val="18"/>
          <w:szCs w:val="18"/>
        </w:rPr>
        <w:fldChar w:fldCharType="end"/>
      </w:r>
    </w:p>
  </w:footnote>
  <w:footnote w:id="10">
    <w:p w14:paraId="77119159" w14:textId="72873629"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008A4DC8">
        <w:rPr>
          <w:rFonts w:ascii="Baskerville" w:hAnsi="Baskerville"/>
          <w:sz w:val="18"/>
          <w:szCs w:val="18"/>
        </w:rPr>
        <w:instrText xml:space="preserve"> ADDIN ZOTERO_ITEM CSL_CITATION {"citationID":"3qv8NWvl","properties":{"formattedCitation":"(Federal Reserve Bank of New York 2017)","plainCitation":"(Federal Reserve Bank of New York 2017)"},"citationItems":[{"id":6069,"uris":["http://zotero.org/users/1397761/items/P8Q3P9F6"],"uri":["http://zotero.org/users/1397761/items/P8Q3P9F6"],"itemData":{"id":6069,"type":"report","title":"SCE Credit Access Survey","URL":"https://www.newyorkfed.org/microeconomics/sce","author":[{"literal":"Federal Reserve Bank of New York"}],"issued":{"date-parts":[["2017"]]},"accessed":{"date-parts":[["2017",3,12]]}}}],"schema":"https://github.com/citation-style-language/schema/raw/master/csl-citation.json"}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(Federal Reserve Bank of New York 2017)</w:t>
      </w:r>
      <w:r w:rsidRPr="00585E03">
        <w:rPr>
          <w:rFonts w:ascii="Baskerville" w:hAnsi="Baskerville"/>
          <w:sz w:val="18"/>
          <w:szCs w:val="18"/>
        </w:rPr>
        <w:fldChar w:fldCharType="end"/>
      </w:r>
    </w:p>
  </w:footnote>
  <w:footnote w:id="11">
    <w:p w14:paraId="3C7C0FC7" w14:textId="51EF0360"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{"citationID":"NUoDjtOv","properties":{"formattedCitation":"(Evans and Leighton 1989)","plainCitation":"(Evans and Leighton 1989)"},"citationItems":[{"id":3770,"uris":["http://zotero.org/users/1397761/items/47WS4TQF"],"uri":["http://zotero.org/users/1397761/items/47WS4TQF"],"itemData":{"id":3770,"type":"article-journal","title":"Some Empirical Aspects of Entrepreneurship","container-title":"The American Economic Review","page":"519-535","volume":"79","issue":"3","source":"JSTOR","ISSN":"0002-8282","journalAbbreviation":"The American Economic Review","author":[{"family":"Evans","given":"David S."},{"family":"Leighton","given":"Linda S."}],"issued":{"date-parts":[["1989"]]}}}],"schema":"https://github.com/citation-style-language/schema/raw/master/csl-citation.json"}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(Evans and Leighton 1989)</w:t>
      </w:r>
      <w:r w:rsidRPr="00585E03">
        <w:rPr>
          <w:rFonts w:ascii="Baskerville" w:hAnsi="Baskerville"/>
          <w:sz w:val="18"/>
          <w:szCs w:val="18"/>
        </w:rPr>
        <w:fldChar w:fldCharType="end"/>
      </w:r>
      <w:r w:rsidRPr="00184440">
        <w:rPr>
          <w:rFonts w:ascii="Baskerville" w:hAnsi="Baskerville"/>
          <w:sz w:val="18"/>
          <w:szCs w:val="18"/>
        </w:rPr>
        <w:t>.</w:t>
      </w:r>
    </w:p>
  </w:footnote>
  <w:footnote w:id="12">
    <w:p w14:paraId="4171E4B4" w14:textId="016BF8A1" w:rsidR="00FA6BF2" w:rsidRPr="00E93D72" w:rsidRDefault="00FA6BF2">
      <w:pPr>
        <w:pStyle w:val="FootnoteText"/>
        <w:rPr>
          <w:rFonts w:ascii="Baskerville" w:hAnsi="Baskerville"/>
          <w:sz w:val="18"/>
          <w:szCs w:val="18"/>
        </w:rPr>
      </w:pPr>
      <w:r w:rsidRPr="00E93D72">
        <w:rPr>
          <w:rStyle w:val="FootnoteReference"/>
        </w:rPr>
        <w:footnoteRef/>
      </w:r>
      <w:r w:rsidRPr="00D1529F">
        <w:rPr>
          <w:rFonts w:ascii="Baskerville" w:hAnsi="Baskerville"/>
          <w:sz w:val="18"/>
          <w:szCs w:val="18"/>
        </w:rPr>
        <w:t xml:space="preserve"> Studies in other countries support this result. </w:t>
      </w:r>
      <w:r w:rsidRPr="00D1529F">
        <w:rPr>
          <w:rFonts w:ascii="Baskerville" w:hAnsi="Baskerville" w:cs="Baskerville"/>
          <w:color w:val="000000"/>
          <w:sz w:val="18"/>
          <w:szCs w:val="18"/>
        </w:rPr>
        <w:t>One UK study finds that an inheritance of £10,000 doubles a typical British youth’s likelihood of setting up a business.</w:t>
      </w:r>
      <w:r w:rsidRPr="00D1529F">
        <w:rPr>
          <w:rStyle w:val="FootnoteReference"/>
          <w:rFonts w:ascii="Baskerville" w:hAnsi="Baskerville" w:cs="Baskerville"/>
          <w:color w:val="000000"/>
          <w:sz w:val="18"/>
          <w:szCs w:val="18"/>
        </w:rPr>
        <w:footnoteRef/>
      </w:r>
      <w:r w:rsidRPr="00D1529F">
        <w:rPr>
          <w:rFonts w:ascii="Baskerville" w:hAnsi="Baskerville" w:cs="Baskerville"/>
          <w:color w:val="000000"/>
          <w:sz w:val="18"/>
          <w:szCs w:val="18"/>
        </w:rPr>
        <w:t xml:space="preserve"> The authors of the study conducted interviews with potential entrepreneurs, finding that raising capital is their principal problem. Another study showed that a 10% rise in the value of housing assets increased the number of start-ups by five percent in the UK.</w:t>
      </w:r>
      <w:r w:rsidRPr="00D1529F">
        <w:rPr>
          <w:rStyle w:val="FootnoteReference"/>
          <w:rFonts w:ascii="Baskerville" w:hAnsi="Baskerville" w:cs="Baskerville"/>
          <w:color w:val="000000"/>
          <w:sz w:val="18"/>
          <w:szCs w:val="18"/>
        </w:rPr>
        <w:footnoteRef/>
      </w:r>
    </w:p>
  </w:footnote>
  <w:footnote w:id="13">
    <w:p w14:paraId="0AE0F10E" w14:textId="093C5DF8"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8A3A49">
        <w:rPr>
          <w:rStyle w:val="Funotenzeichen"/>
          <w:rFonts w:cs="Baskerville"/>
          <w:sz w:val="18"/>
          <w:szCs w:val="18"/>
        </w:rPr>
        <w:t xml:space="preserve"> </w:t>
      </w:r>
      <w:r w:rsidRPr="00585E03">
        <w:rPr>
          <w:rStyle w:val="Funotenzeichen"/>
          <w:rFonts w:cs="Baskerville"/>
          <w:sz w:val="18"/>
          <w:szCs w:val="18"/>
          <w:vertAlign w:val="baseline"/>
        </w:rPr>
        <w:fldChar w:fldCharType="begin"/>
      </w:r>
      <w:r w:rsidRPr="00184440">
        <w:rPr>
          <w:rStyle w:val="Funotenzeichen"/>
          <w:rFonts w:cs="Baskerville"/>
          <w:sz w:val="18"/>
          <w:szCs w:val="18"/>
          <w:vertAlign w:val="baseline"/>
        </w:rPr>
        <w:instrText xml:space="preserve"> ADDIN ZOTERO_ITEM CSL_CITATION {"citationID":"8s3pgwRk","properties":{"formattedCitation":"(Holtz-Eakin, Joulfaian, and Rosen 1993)","plainCitation":"(Holtz-Eakin, Joulfaian, and Rosen 1993)"},"citationItems":[{"id":3772,"uris":["http://zotero.org/users/1397761/items/4IHINISR"],"uri":["http://zotero.org/users/1397761/items/4IHINISR"],"itemData":{"id":3772,"type":"report","title":"Sticking it Out: Entrepreneurial Survival and Liquidity Constraints","publisher":"National Bureau of Economic Research","genre":"Working Paper","source":"National Bureau of Economic Research","abstract":"This paper analyzes the role of liquidity constraints in the formation of new entrepreneurial enterprises. The basic empirical strategy is to determine whether an individual's wealth affects the probability of becoming an entrepreneur, and the conditional amounts of depreciable assets, ceteris paribus. If so, liquidity constraints are likely to be present. To be successful, such a research strategy requires a measure of asset variation that is both precisely measured and exogenous to the entrepreneurial decision. Our data are uniquely well-suited for this purpose. The sample consists of the 1981 and 1985 federal income tax returns of a group of people who received inheritances in 1982 and 1983, along with information on the size of those inheritances from a matched set of estate tax returns. Hence, we can examine how the exogenous receipt of capital affects the decision to become an entrepreneur and important financial characteristics of new enterprises. Our results suggest that the size of the inheritance has a substantial effect on the probability of becoming an entrepreneur, and that conditional on becoming an entrepreneur, the size of the inheritance has a statistically significant and quantitatively important effect on the amount of capital employed. These findings are consistent with the presence of liquidity constraints.","URL":"http://www.nber.org/papers/w4494","number":"4494","shortTitle":"Sticking it Out","author":[{"family":"Holtz-Eakin","given":"Douglas"},{"family":"Joulfaian","given":"David"},{"family":"Rosen","given":"Harvey S."}],"issued":{"date-parts":[["1993",10]]},"accessed":{"date-parts":[["2016",6,18]]}}}],"schema":"https://github.com/citation-style-language/schema/raw/master/csl-citation.json"} </w:instrText>
      </w:r>
      <w:r w:rsidRPr="00585E03">
        <w:rPr>
          <w:rStyle w:val="Funotenzeichen"/>
          <w:rFonts w:cs="Baskerville"/>
          <w:sz w:val="18"/>
          <w:szCs w:val="18"/>
          <w:vertAlign w:val="baseline"/>
        </w:rPr>
        <w:fldChar w:fldCharType="separate"/>
      </w:r>
      <w:r w:rsidR="008A4DC8">
        <w:rPr>
          <w:rStyle w:val="Funotenzeichen"/>
          <w:rFonts w:cs="Baskerville"/>
          <w:noProof/>
          <w:sz w:val="18"/>
          <w:szCs w:val="18"/>
          <w:vertAlign w:val="baseline"/>
        </w:rPr>
        <w:t>(Holtz-Eakin, Joulfaian, and Rosen 1993)</w:t>
      </w:r>
      <w:r w:rsidRPr="00585E03">
        <w:rPr>
          <w:rStyle w:val="Funotenzeichen"/>
          <w:rFonts w:cs="Baskerville"/>
          <w:sz w:val="18"/>
          <w:szCs w:val="18"/>
          <w:vertAlign w:val="baseline"/>
        </w:rPr>
        <w:fldChar w:fldCharType="end"/>
      </w:r>
    </w:p>
  </w:footnote>
  <w:footnote w:id="14">
    <w:p w14:paraId="07C9DF4D" w14:textId="19A2C39E"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{"citationID":"7wMu7r88","properties":{"formattedCitation":"(Evans and Jovanovic 1989)","plainCitation":"(Evans and Jovanovic 1989)"},"citationItems":[{"id":3768,"uris":["http://zotero.org/users/1397761/items/QVH84X6D"],"uri":["http://zotero.org/users/1397761/items/QVH84X6D"],"itemData":{"id":3768,"type":"article-journal","title":"An Estimated Model of Entrepreneurial Choice under Liquidity Constraints","container-title":"Journal of Political Economy","page":"808-827","volume":"97","issue":"4","source":"JSTOR","abstract":"Is the capital function distinct from the entrepreneurial function in modern economies? Or does a person have to be wealthy before he or she can start a business? Knight and Schumpeter held different views on the answer to this question. Our empirical findings side with Knight: Liquidity constraints bind, and a would-be entrepreneur must bear most of the risk inherent in his venture. The reasoning is roughly this: The data show that wealthier people are more inclined to become entrepreneurs. In principle, this could be so because the wealthy tend to make better entrepreneurs, but the data reject this explanation. Instead, the data point to liquidity constraints: capital is essential for starting a business, and liquidity constraints tend to exclude those with insufficient funds at their disposal.","ISSN":"0022-3808","journalAbbreviation":"Journal of Political Economy","author":[{"family":"Evans","given":"David S."},{"family":"Jovanovic","given":"Boyan"}],"issued":{"date-parts":[["1989"]]}}}],"schema":"https://github.com/citation-style-language/schema/raw/master/csl-citation.json"}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(Evans and Jovanovic 1989)</w:t>
      </w:r>
      <w:r w:rsidRPr="00585E03">
        <w:rPr>
          <w:rFonts w:ascii="Baskerville" w:hAnsi="Baskerville"/>
          <w:sz w:val="18"/>
          <w:szCs w:val="18"/>
        </w:rPr>
        <w:fldChar w:fldCharType="end"/>
      </w:r>
    </w:p>
  </w:footnote>
  <w:footnote w:id="15">
    <w:p w14:paraId="70C1551B" w14:textId="245EE9F2"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{"citationID":"fvuw6qLq","properties":{"formattedCitation":"(Hausman 1979)","plainCitation":"(Hausman 1979)"},"citationItems":[{"id":3675,"uris":["http://zotero.org/users/1397761/items/8SESKJRE"],"uri":["http://zotero.org/users/1397761/items/8SESKJRE"],"itemData":{"id":3675,"type":"article-journal","title":"Individual Discount Rates and the Purchase and Utilization of Energy-Using Durables","container-title":"The Bell Journal of Economics","page":"33-54","volume":"10","issue":"1","source":"JSTOR","abstract":"This article presents a model of individual behavior in the purchase and utilization of energy-using durables. The tradeoff between capital costs for more energy efficient appliances and operating costs for the appliances is emphasized. Using data on both the purchase and utilization of room air conditioners, the model is applied to a sample of households. The utilization equation indicates a relatively low price elasticity. The purchase equation, based on a discrete choice model, demonstrates that individuals do trade off capital costs and expected operating costs. The results also show that individuals use a discount rate of about 20 percent in making the tradeoff decision and that the discount rate varies inversely with income.","DOI":"10.2307/3003318","ISSN":"0361-915X","journalAbbreviation":"The Bell Journal of Economics","author":[{"family":"Hausman","given":"Jerry A."}],"issued":{"date-parts":[["1979"]]}}}],"schema":"https://github.com/citation-style-language/schema/raw/master/csl-citation.json"}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(Hausman 1979)</w:t>
      </w:r>
      <w:r w:rsidRPr="00585E03">
        <w:rPr>
          <w:rFonts w:ascii="Baskerville" w:hAnsi="Baskerville"/>
          <w:sz w:val="18"/>
          <w:szCs w:val="18"/>
        </w:rPr>
        <w:fldChar w:fldCharType="end"/>
      </w:r>
    </w:p>
  </w:footnote>
  <w:footnote w:id="16">
    <w:p w14:paraId="799D9263" w14:textId="3D1B8052"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Style w:val="Funotenzeichen"/>
          <w:rFonts w:cs="Baskerville"/>
          <w:sz w:val="18"/>
          <w:szCs w:val="18"/>
          <w:vertAlign w:val="baseline"/>
        </w:rPr>
        <w:fldChar w:fldCharType="begin"/>
      </w:r>
      <w:r w:rsidRPr="00184440">
        <w:rPr>
          <w:rStyle w:val="Funotenzeichen"/>
          <w:rFonts w:cs="Baskerville"/>
          <w:sz w:val="18"/>
          <w:szCs w:val="18"/>
          <w:vertAlign w:val="baseline"/>
        </w:rPr>
        <w:instrText xml:space="preserve"> ADDIN ZOTERO_ITEM CSL_CITATION {"citationID":"GxdsGork","properties":{"formattedCitation":"(Savage 2009; Tighe and Mueller 2013, ch. 15)","plainCitation":"(Savage 2009; Tighe and Mueller 2013, ch. 15)"},"citationItems":[{"id":4038,"uris":["http://zotero.org/users/1397761/items/WE4INKHQ"],"uri":["http://zotero.org/users/1397761/items/WE4INKHQ"],"itemData":{"id":4038,"type":"report","title":"Who Could Afford to Buy a Home in 2004? Current Housing Reports","publisher":"H121/09-1. Washington, DC: US Census Bureau","source":"Google Scholar","shortTitle":"Who Could Afford to Buy a Home in 2004?","author":[{"family":"Savage","given":"Howard A."}],"issued":{"date-parts":[["2009"]]}}},{"id":4039,"uris":["http://zotero.org/users/1397761/items/BFWBB6E3"],"uri":["http://zotero.org/users/1397761/items/BFWBB6E3"],"itemData":{"id":4039,"type":"book","title":"The Affordable Housing Reader","publisher":"Routledge","number-of-pages":"594","source":"Google Books","abstract":"The Affordable Housing Reader brings together classic works and contemporary writing on the themes and debates that have animated the field of affordable housing policy as well as the challenges in achieving the goals of policy on the ground. The Reader – aimed at professors, students, and researchers – provides an overview of the literature on housing policy and planning that is both comprehensive and interdisciplinary. It is particularly suited for graduate and undergraduate courses on housing policy offered to students of public policy and city planning.  The Reader is structured around the key debates in affordable housing, ranging from the conflicting motivations for housing policy, through analysis of the causes of and solutions to housing problems, to concerns about gentrification and housing and race. Each debate is contextualized in an introductory essay by the editors, and illustrated with a range of texts and articles. Elizabeth Mueller and Rosie Tighe have brought together for the first time into a single volume the best and most influential writings on housing and its importance for planners and policy-makers.","ISBN":"978-1-135-74639-1","language":"en","author":[{"family":"Tighe","given":"Rosie"},{"family":"Mueller","given":"Elizabeth"}],"issued":{"date-parts":[["2013",3,5]]}},"suffix":", ch. 15"}],"schema":"https://github.com/citation-style-language/schema/raw/master/csl-citation.json"} </w:instrText>
      </w:r>
      <w:r w:rsidRPr="00585E03">
        <w:rPr>
          <w:rStyle w:val="Funotenzeichen"/>
          <w:rFonts w:cs="Baskerville"/>
          <w:sz w:val="18"/>
          <w:szCs w:val="18"/>
          <w:vertAlign w:val="baseline"/>
        </w:rPr>
        <w:fldChar w:fldCharType="separate"/>
      </w:r>
      <w:r w:rsidR="008A4DC8">
        <w:rPr>
          <w:rStyle w:val="Funotenzeichen"/>
          <w:rFonts w:cs="Baskerville"/>
          <w:noProof/>
          <w:sz w:val="18"/>
          <w:szCs w:val="18"/>
          <w:vertAlign w:val="baseline"/>
        </w:rPr>
        <w:t>(Savage 2009; Tighe and Mueller 2013, ch. 15)</w:t>
      </w:r>
      <w:r w:rsidRPr="00585E03">
        <w:rPr>
          <w:rStyle w:val="Funotenzeichen"/>
          <w:rFonts w:cs="Baskerville"/>
          <w:sz w:val="18"/>
          <w:szCs w:val="18"/>
          <w:vertAlign w:val="baseline"/>
        </w:rPr>
        <w:fldChar w:fldCharType="end"/>
      </w:r>
      <w:r w:rsidRPr="00184440">
        <w:rPr>
          <w:rStyle w:val="Funotenzeichen"/>
          <w:rFonts w:cs="Baskerville"/>
          <w:sz w:val="18"/>
          <w:szCs w:val="18"/>
          <w:vertAlign w:val="baseline"/>
        </w:rPr>
        <w:t xml:space="preserve"> </w:t>
      </w:r>
    </w:p>
  </w:footnote>
  <w:footnote w:id="17">
    <w:p w14:paraId="323894DB" w14:textId="102A8B35" w:rsidR="00FA6BF2" w:rsidRPr="00B404B0" w:rsidRDefault="00FA6BF2" w:rsidP="00727337">
      <w:pPr>
        <w:pStyle w:val="BodyText"/>
        <w:spacing w:before="0" w:after="0"/>
        <w:rPr>
          <w:rFonts w:ascii="Baskerville" w:hAnsi="Baskerville" w:cs="Baskerville"/>
          <w:sz w:val="18"/>
          <w:szCs w:val="18"/>
        </w:rPr>
      </w:pPr>
      <w:r w:rsidRPr="00E93D72">
        <w:rPr>
          <w:rStyle w:val="FootnoteReference"/>
        </w:rPr>
        <w:footnoteRef/>
      </w:r>
      <w:r w:rsidRPr="00184440">
        <w:rPr>
          <w:rFonts w:ascii="Baskerville" w:hAnsi="Baskerville"/>
          <w:sz w:val="18"/>
          <w:szCs w:val="18"/>
        </w:rPr>
        <w:t xml:space="preserve"> </w:t>
      </w:r>
      <w:r w:rsidRPr="00B404B0">
        <w:rPr>
          <w:rFonts w:ascii="Baskerville" w:hAnsi="Baskerville" w:cs="Baskerville"/>
          <w:sz w:val="18"/>
          <w:szCs w:val="18"/>
        </w:rPr>
        <w:t>See for instance Muhammad Yunus’ call for a human right to credit—philosophi</w:t>
      </w:r>
      <w:r w:rsidRPr="008A3A49">
        <w:rPr>
          <w:rFonts w:ascii="Baskerville" w:hAnsi="Baskerville" w:cs="Baskerville"/>
          <w:sz w:val="18"/>
          <w:szCs w:val="18"/>
        </w:rPr>
        <w:t xml:space="preserve">cally discussed by Marek </w:t>
      </w:r>
      <w:proofErr w:type="spellStart"/>
      <w:r w:rsidRPr="008A3A49">
        <w:rPr>
          <w:rFonts w:ascii="Baskerville" w:hAnsi="Baskerville" w:cs="Baskerville"/>
          <w:sz w:val="18"/>
          <w:szCs w:val="18"/>
        </w:rPr>
        <w:t>Hudon</w:t>
      </w:r>
      <w:proofErr w:type="spellEnd"/>
      <w:r w:rsidRPr="008A3A49">
        <w:rPr>
          <w:rFonts w:ascii="Baskerville" w:hAnsi="Baskerville" w:cs="Baskerville"/>
          <w:sz w:val="18"/>
          <w:szCs w:val="18"/>
        </w:rPr>
        <w:t xml:space="preserve"> </w:t>
      </w:r>
      <w:r w:rsidRPr="00B404B0">
        <w:rPr>
          <w:rFonts w:ascii="Baskerville" w:hAnsi="Baskerville" w:cs="Baskerville"/>
          <w:sz w:val="18"/>
          <w:szCs w:val="18"/>
        </w:rPr>
        <w:fldChar w:fldCharType="begin"/>
      </w:r>
      <w:r w:rsidRPr="00184440">
        <w:rPr>
          <w:rFonts w:ascii="Baskerville" w:hAnsi="Baskerville" w:cs="Baskerville"/>
          <w:sz w:val="18"/>
          <w:szCs w:val="18"/>
        </w:rPr>
        <w:instrText xml:space="preserve"> ADDIN ZOTERO_ITEM CSL_CITATION {"citationID":"gKClRkAd","properties":{"formattedCitation":"(2008)","plainCitation":"(2008)"},"citationItems":[{"id":2490,"uris":["http://zotero.org/users/1397761/items/NGPCV5H3"],"uri":["http://zotero.org/users/1397761/items/NGPCV5H3"],"itemData":{"id":2490,"type":"article-journal","title":"Should Access to Credit be a Right?","container-title":"Journal of Business Ethics","page":"17-28","volume":"84","issue":"1","source":"link.springer.com","abstract":"Discussion on financial ethics increasingly includes the problem of exclusion of the poorer segments of society from the financial system and access to credit. This paper explores the ethical dimensions surrounding the concept of a human right to credit. If access to credit is directly instrumental to economic development, poverty reduction and the improved welfare of all citizens, then one can proclaim, as Nobel Prize Laureate M. Yunus has done, that it is a moral necessity to establish credit as a right. Arguments both supporting and opposing the concept of a right to credit are presented. While there may be general agreement that access to financial services may provide a pathway out of poverty, granting a universal right could induce perverse effects such as overindebtedness. Bearing in mind the ultimate goal of proponents of this right as well as the potential harmful consequences, this paper offers a new perspective on the question of access to credit based on a goal-right system.","DOI":"10.1007/s10551-008-9670-y","ISSN":"0167-4544, 1573-0697","journalAbbreviation":"J Bus Ethics","language":"en","author":[{"family":"Hudon","given":"Marek"}],"issued":{"date-parts":[["2008",2,9]]}},"suppress-author":true}],"schema":"https://github.com/citation-style-language/schema/raw/master/csl-citation.json"} </w:instrText>
      </w:r>
      <w:r w:rsidRPr="00B404B0">
        <w:rPr>
          <w:rFonts w:ascii="Baskerville" w:hAnsi="Baskerville" w:cs="Baskerville"/>
          <w:sz w:val="18"/>
          <w:szCs w:val="18"/>
        </w:rPr>
        <w:fldChar w:fldCharType="separate"/>
      </w:r>
      <w:r w:rsidR="008A4DC8">
        <w:rPr>
          <w:rFonts w:ascii="Baskerville" w:hAnsi="Baskerville" w:cs="Baskerville"/>
          <w:noProof/>
          <w:sz w:val="18"/>
          <w:szCs w:val="18"/>
        </w:rPr>
        <w:t>(2008)</w:t>
      </w:r>
      <w:r w:rsidRPr="00B404B0">
        <w:rPr>
          <w:rFonts w:ascii="Baskerville" w:hAnsi="Baskerville" w:cs="Baskerville"/>
          <w:sz w:val="18"/>
          <w:szCs w:val="18"/>
        </w:rPr>
        <w:fldChar w:fldCharType="end"/>
      </w:r>
      <w:r w:rsidRPr="00184440">
        <w:rPr>
          <w:rFonts w:ascii="Baskerville" w:hAnsi="Baskerville" w:cs="Baskerville"/>
          <w:sz w:val="18"/>
          <w:szCs w:val="18"/>
        </w:rPr>
        <w:t>. Yunus promotes an unconditional right to small amounts of credit. Moreover, Yunus’ justification is based on the alleged ability of credit to alleviate extreme poverty. His argument falls short because access to credit is no</w:t>
      </w:r>
      <w:r w:rsidRPr="00752E85">
        <w:rPr>
          <w:rFonts w:ascii="Baskerville" w:hAnsi="Baskerville" w:cs="Baskerville"/>
          <w:sz w:val="18"/>
          <w:szCs w:val="18"/>
        </w:rPr>
        <w:t>t an effective means of escaping extreme poverty, as other</w:t>
      </w:r>
      <w:r w:rsidRPr="007108AD">
        <w:rPr>
          <w:rFonts w:ascii="Baskerville" w:hAnsi="Baskerville" w:cs="Baskerville"/>
          <w:sz w:val="18"/>
          <w:szCs w:val="18"/>
        </w:rPr>
        <w:t xml:space="preserve">s have shown </w:t>
      </w:r>
      <w:r w:rsidRPr="00B404B0">
        <w:rPr>
          <w:rFonts w:ascii="Baskerville" w:hAnsi="Baskerville" w:cs="Baskerville"/>
          <w:sz w:val="18"/>
          <w:szCs w:val="18"/>
        </w:rPr>
        <w:fldChar w:fldCharType="begin"/>
      </w:r>
      <w:r w:rsidRPr="00184440">
        <w:rPr>
          <w:rFonts w:ascii="Baskerville" w:hAnsi="Baskerville" w:cs="Baskerville"/>
          <w:sz w:val="18"/>
          <w:szCs w:val="18"/>
        </w:rPr>
        <w:instrText xml:space="preserve"> ADDIN ZOTERO_ITEM CSL_CITATION {"citationID":"Yqjq1BSQ","properties":{"formattedCitation":"(Sorell 2015)","plainCitation":"(Sorell 2015)"},"citationItems":[{"id":4115,"uris":["http://zotero.org/users/1397761/items/I2HS2GMU"],"uri":["http://zotero.org/users/1397761/items/I2HS2GMU"],"itemData":{"id":4115,"type":"chapter","title":"Is there a human right to microfinance?","container-title":"Microfinance, Rights and Global Justice","publisher":"Cambridge University Press","publisher-place":"Cambridge","page":"27-46","source":"CrossRef","event-place":"Cambridge","URL":"http://ebooks.cambridge.org/ref/id/CBO9781316275634","ISBN":"978-1-316-27563-4","editor":[{"family":"Sorell","given":"Tom"},{"family":"Cabrera","given":"Luis"}],"author":[{"family":"Sorell","given":"Tom"}],"issued":{"date-parts":[["2015"]]},"accessed":{"date-parts":[["2016",3,20]]}}}],"schema":"https://github.com/citation-style-language/schema/raw/master/csl-citation.json"} </w:instrText>
      </w:r>
      <w:r w:rsidRPr="00B404B0">
        <w:rPr>
          <w:rFonts w:ascii="Baskerville" w:hAnsi="Baskerville" w:cs="Baskerville"/>
          <w:sz w:val="18"/>
          <w:szCs w:val="18"/>
        </w:rPr>
        <w:fldChar w:fldCharType="separate"/>
      </w:r>
      <w:r w:rsidR="008A4DC8">
        <w:rPr>
          <w:rFonts w:ascii="Baskerville" w:hAnsi="Baskerville" w:cs="Baskerville"/>
          <w:noProof/>
          <w:sz w:val="18"/>
          <w:szCs w:val="18"/>
        </w:rPr>
        <w:t>(Sorell 2015)</w:t>
      </w:r>
      <w:r w:rsidRPr="00B404B0">
        <w:rPr>
          <w:rFonts w:ascii="Baskerville" w:hAnsi="Baskerville" w:cs="Baskerville"/>
          <w:sz w:val="18"/>
          <w:szCs w:val="18"/>
        </w:rPr>
        <w:fldChar w:fldCharType="end"/>
      </w:r>
      <w:r w:rsidRPr="00184440">
        <w:rPr>
          <w:rFonts w:ascii="Baskerville" w:hAnsi="Baskerville" w:cs="Baskerville"/>
          <w:sz w:val="18"/>
          <w:szCs w:val="18"/>
        </w:rPr>
        <w:t xml:space="preserve">. </w:t>
      </w:r>
      <w:r w:rsidRPr="00B404B0">
        <w:rPr>
          <w:rFonts w:ascii="Baskerville" w:hAnsi="Baskerville" w:cs="Baskerville"/>
          <w:sz w:val="18"/>
          <w:szCs w:val="18"/>
        </w:rPr>
        <w:t>See also Kimberley Brownlee and Zofia Stemplowska’s propose</w:t>
      </w:r>
      <w:r w:rsidRPr="008A3A49">
        <w:rPr>
          <w:rFonts w:ascii="Baskerville" w:hAnsi="Baskerville" w:cs="Baskerville"/>
          <w:sz w:val="18"/>
          <w:szCs w:val="18"/>
        </w:rPr>
        <w:t xml:space="preserve">d right to financial inclusion </w:t>
      </w:r>
      <w:r w:rsidRPr="00B404B0">
        <w:rPr>
          <w:rFonts w:ascii="Baskerville" w:hAnsi="Baskerville" w:cs="Baskerville"/>
          <w:sz w:val="18"/>
          <w:szCs w:val="18"/>
        </w:rPr>
        <w:fldChar w:fldCharType="begin"/>
      </w:r>
      <w:r w:rsidRPr="00184440">
        <w:rPr>
          <w:rFonts w:ascii="Baskerville" w:hAnsi="Baskerville" w:cs="Baskerville"/>
          <w:sz w:val="18"/>
          <w:szCs w:val="18"/>
        </w:rPr>
        <w:instrText xml:space="preserve"> ADDIN ZOTERO_ITEM CSL_CITATION {"citationID":"30rjKxJH","properties":{"formattedCitation":"(2015)","plainCitation":"(2015)"},"citationItems":[{"id":4116,"uris":["http://zotero.org/users/1397761/items/PRIFD9FC"],"uri":["http://zotero.org/users/1397761/items/PRIFD9FC"],"itemData":{"id":4116,"type":"chapter","title":"Financial inclusion, education, and human rights","container-title":"Microfinance, Rights and Global Justice","publisher":"Cambridge University Press","publisher-place":"Cambridge","page":"47-62","source":"CrossRef","event-place":"Cambridge","URL":"http://ebooks.cambridge.org/ref/id/CBO9781316275634","ISBN":"978-1-316-27563-4","editor":[{"family":"Sorell","given":"Tom"},{"family":"Cabrera","given":"Luis"}],"author":[{"family":"Brownlee","given":"Kimberley"},{"family":"Stemplowska","given":"Zofia"}],"issued":{"date-parts":[["2015"]]},"accessed":{"date-parts":[["2016",3,20]]}},"suppress-author":true}],"schema":"https://github.com/citation-style-language/schema/raw/master/csl-citation.json"} </w:instrText>
      </w:r>
      <w:r w:rsidRPr="00B404B0">
        <w:rPr>
          <w:rFonts w:ascii="Baskerville" w:hAnsi="Baskerville" w:cs="Baskerville"/>
          <w:sz w:val="18"/>
          <w:szCs w:val="18"/>
        </w:rPr>
        <w:fldChar w:fldCharType="separate"/>
      </w:r>
      <w:r w:rsidR="008A4DC8">
        <w:rPr>
          <w:rFonts w:ascii="Baskerville" w:hAnsi="Baskerville" w:cs="Baskerville"/>
          <w:noProof/>
          <w:sz w:val="18"/>
          <w:szCs w:val="18"/>
        </w:rPr>
        <w:t>(2015)</w:t>
      </w:r>
      <w:r w:rsidRPr="00B404B0">
        <w:rPr>
          <w:rFonts w:ascii="Baskerville" w:hAnsi="Baskerville" w:cs="Baskerville"/>
          <w:sz w:val="18"/>
          <w:szCs w:val="18"/>
        </w:rPr>
        <w:fldChar w:fldCharType="end"/>
      </w:r>
      <w:r w:rsidRPr="00184440">
        <w:rPr>
          <w:rFonts w:ascii="Baskerville" w:hAnsi="Baskerville" w:cs="Baskerville"/>
          <w:sz w:val="18"/>
          <w:szCs w:val="18"/>
        </w:rPr>
        <w:t>, which includes a right to being granted credit unconditionally.</w:t>
      </w:r>
    </w:p>
  </w:footnote>
  <w:footnote w:id="18">
    <w:p w14:paraId="3E86746D" w14:textId="51DE24E8"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7108AD">
        <w:rPr>
          <w:rFonts w:ascii="Baskerville" w:hAnsi="Baskerville"/>
          <w:sz w:val="18"/>
          <w:szCs w:val="18"/>
        </w:rPr>
        <w:t xml:space="preserve"> </w:t>
      </w:r>
      <w:r w:rsidRPr="00585E03">
        <w:rPr>
          <w:rFonts w:ascii="Baskerville" w:hAnsi="Baskerville"/>
          <w:sz w:val="18"/>
          <w:szCs w:val="18"/>
        </w:rPr>
        <w:fldChar w:fldCharType="begin"/>
      </w:r>
      <w:r w:rsidR="008A4DC8">
        <w:rPr>
          <w:rFonts w:ascii="Baskerville" w:hAnsi="Baskerville"/>
          <w:sz w:val="18"/>
          <w:szCs w:val="18"/>
        </w:rPr>
        <w:instrText xml:space="preserve"> ADDIN ZOTERO_ITEM CSL_CITATION {"citationID":"lxtkoQ18","properties":{"formattedCitation":"(Meyer forthcoming)","plainCitation":"(Meyer forthcoming)"},"citationItems":[{"id":6047,"uris":["http://zotero.org/users/1397761/items/Z68SBS5I"],"uri":["http://zotero.org/users/1397761/items/Z68SBS5I"],"itemData":{"id":6047,"type":"article-journal","title":"The Right to Credit","container-title":"Journal of Political Philosophy","author":[{"family":"Meyer","given":"Marco"}],"issued":{"literal":"forthcoming"}}}],"schema":"https://github.com/citation-style-language/schema/raw/master/csl-citation.json"}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(Meyer forthcoming)</w:t>
      </w:r>
      <w:r w:rsidRPr="00585E03">
        <w:rPr>
          <w:rFonts w:ascii="Baskerville" w:hAnsi="Baskerville"/>
          <w:sz w:val="18"/>
          <w:szCs w:val="18"/>
        </w:rPr>
        <w:fldChar w:fldCharType="end"/>
      </w:r>
    </w:p>
  </w:footnote>
  <w:footnote w:id="19">
    <w:p w14:paraId="075BA40C" w14:textId="306B8576" w:rsidR="00FA6BF2" w:rsidRPr="00184440" w:rsidRDefault="00FA6BF2" w:rsidP="0044099F">
      <w:pPr>
        <w:pStyle w:val="FootnoteText1"/>
        <w:tabs>
          <w:tab w:val="left" w:pos="6904"/>
        </w:tabs>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008A4DC8">
        <w:rPr>
          <w:rFonts w:ascii="Baskerville" w:hAnsi="Baskerville"/>
          <w:sz w:val="18"/>
          <w:szCs w:val="18"/>
        </w:rPr>
        <w:instrText xml:space="preserve"> ADDIN ZOTERO_ITEM CSL_CITATION {"citationID":"Sm6BMYbs","properties":{"formattedCitation":"(Meyer forthcoming)","plainCitation":"(Meyer forthcoming)"},"citationItems":[{"id":6047,"uris":["http://zotero.org/users/1397761/items/Z68SBS5I"],"uri":["http://zotero.org/users/1397761/items/Z68SBS5I"],"itemData":{"id":6047,"type":"article-journal","title":"The Right to Credit","container-title":"Journal of Political Philosophy","author":[{"family":"Meyer","given":"Marco"}],"issued":{"literal":"forthcoming"}}}],"schema":"https://github.com/citation-style-language/schema/raw/master/csl-citation.json"}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(Meyer forthcoming)</w:t>
      </w:r>
      <w:r w:rsidRPr="00585E03">
        <w:rPr>
          <w:rFonts w:ascii="Baskerville" w:hAnsi="Baskerville"/>
          <w:sz w:val="18"/>
          <w:szCs w:val="18"/>
        </w:rPr>
        <w:fldChar w:fldCharType="end"/>
      </w:r>
      <w:r w:rsidRPr="00184440">
        <w:rPr>
          <w:rFonts w:ascii="Baskerville" w:hAnsi="Baskerville"/>
          <w:sz w:val="18"/>
          <w:szCs w:val="18"/>
        </w:rPr>
        <w:tab/>
      </w:r>
    </w:p>
  </w:footnote>
  <w:footnote w:id="20">
    <w:p w14:paraId="2195C546" w14:textId="1C98F71C"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{"citationID":"23RSsCTf","properties":{"formattedCitation":"(McMahon 2012)","plainCitation":"(McMahon 2012)"},"citationItems":[{"id":3034,"uris":["http://zotero.org/users/1397761/items/VFRFKNI2"],"uri":["http://zotero.org/users/1397761/items/VFRFKNI2"],"itemData":{"id":3034,"type":"book","title":"Public Capitalism: The Political Authority of Corporate Executives","publisher":"University of Pennsylvania Press","publisher-place":"Philadelphia","number-of-pages":"216","source":"Amazon","event-place":"Philadelphia","abstract":"In modern capitalist societies, the executives of large, profit-seeking corporations have the power to shape the collective life of the communities, local and global, in which they operate. Corporate executives issue directives to employees, who are normally prepared to comply with them, and impose penalties such as termination on those who fail to comply. The decisions made by corporate executives also affect people outside the corporation: investors, customers, suppliers, the general public. What can justify authority with such a broad reach? Political philosopher Christopher McMahon argues that the social authority of corporate executives is best understood as a form of political authority. Although corporations are privately owned, they must be managed in a way that promotes the public good.Public Capitalism begins with this claim and explores its implications for issues including corporate property rights, the moral status of corporations, the permissibility of layoffs and plant closings, and the legislative role played by corporate executives. Corporate executives acquire the status of public officials of a certain kind, who can be asked to work toward social goods in addition to prosperity. Public Capitalism sketches a new framework for discussion of the moral and political issues faced by corporate executives.","ISBN":"978-0-8122-4444-1","shortTitle":"Public Capitalism","language":"English","author":[{"family":"McMahon","given":"Christopher"}],"issued":{"date-parts":[["2012",8,27]]}}}],"schema":"https://github.com/citation-style-language/schema/raw/master/csl-citation.json"}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(McMahon 2012)</w:t>
      </w:r>
      <w:r w:rsidRPr="00585E03">
        <w:rPr>
          <w:rFonts w:ascii="Baskerville" w:hAnsi="Baskerville"/>
          <w:sz w:val="18"/>
          <w:szCs w:val="18"/>
        </w:rPr>
        <w:fldChar w:fldCharType="end"/>
      </w:r>
      <w:r w:rsidRPr="00184440">
        <w:rPr>
          <w:rFonts w:ascii="Baskerville" w:hAnsi="Baskerville"/>
          <w:sz w:val="18"/>
          <w:szCs w:val="18"/>
        </w:rPr>
        <w:t xml:space="preserve">. </w:t>
      </w:r>
    </w:p>
  </w:footnote>
  <w:footnote w:id="21">
    <w:p w14:paraId="73E542E5" w14:textId="229879FB"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{"citationID":"WN79Opmg","properties":{"formattedCitation":"(Thomas, Edelman, and Crook 2002)","plainCitation":"(Thomas, Edelman, and Crook 2002)"},"citationItems":[{"id":2663,"uris":["http://zotero.org/users/1397761/items/3UFDSV63"],"uri":["http://zotero.org/users/1397761/items/3UFDSV63"],"itemData":{"id":2663,"type":"book","title":"Credit Scoring and Its Applications","publisher":"SIAM","number-of-pages":"257","source":"Google Books","abstract":"This book details the mathematical models that help creditors make intelligent credit risk decisions. Also included in this book is a discussion of economic theories of consumers&amp;#39; use of credit.","ISBN":"978-0-89871-831-7","language":"en","author":[{"family":"Thomas","given":"L. C."},{"family":"Edelman","given":"David B."},{"family":"Crook","given":"Jonathan N."}],"issued":{"date-parts":[["2002"]]}}}],"schema":"https://github.com/citation-style-language/schema/raw/master/csl-citation.json"}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(Thomas, Edelman, and Crook 2002)</w:t>
      </w:r>
      <w:r w:rsidRPr="00585E03">
        <w:rPr>
          <w:rFonts w:ascii="Baskerville" w:hAnsi="Baskerville"/>
          <w:sz w:val="18"/>
          <w:szCs w:val="18"/>
        </w:rPr>
        <w:fldChar w:fldCharType="end"/>
      </w:r>
    </w:p>
  </w:footnote>
  <w:footnote w:id="22">
    <w:p w14:paraId="2607FF60" w14:textId="7913B6A3"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{"citationID":"T8WY4eq5","properties":{"formattedCitation":"(Beck and De La Torre 2007)","plainCitation":"(Beck and De La Torre 2007)"},"citationItems":[{"id":2486,"uris":["http://zotero.org/users/1397761/items/MNJ8XK26"],"uri":["http://zotero.org/users/1397761/items/MNJ8XK26"],"itemData":{"id":2486,"type":"article-journal","title":"The Basic Analytics of Access to Financial Services","container-title":"Financial Markets, Institutions &amp; Instruments","page":"79-117","volume":"16","issue":"2","source":"Wiley Online Library","abstract":"Access to financial services, or rather the lack thereof, is often indiscriminately decried as problem in many developing countries. This paper argues that the “problem of access” should rather be analyzed by identifying different demand and supply constraints. We use the concept of an access possibilities frontier, drawn for a given set of state variables, to distinguish between cases where a financial system settles below the constrained optimum, cases where this constrained optimum is too low, and—in credit services—cases where the observed outcome is excessively high. We distinguish between payment and savings services and fixed intermediation costs, on the one hand, and lending services and different sources of credit risk, on the other hand. We include both supply and demand side frictions that can lead to lower access. The analysis helps identify bankable and banked population, the binding constraint to close the gap between the two, and policies to prudently expand the bankable population. This new conceptual framework can inform the debate on adequate policies to expand access to financial services and can serve as basis for an informed measurement of access.","DOI":"10.1111/j.1468-0416.2007.00120.x","ISSN":"1468-0416","language":"en","author":[{"family":"Beck","given":"Thorsten"},{"family":"De La Torre","given":"Augusto"}],"issued":{"date-parts":[["2007"]]}}}],"schema":"https://github.com/citation-style-language/schema/raw/master/csl-citation.json"}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(Beck and De La Torre 2007)</w:t>
      </w:r>
      <w:r w:rsidRPr="00585E03">
        <w:rPr>
          <w:rFonts w:ascii="Baskerville" w:hAnsi="Baskerville"/>
          <w:sz w:val="18"/>
          <w:szCs w:val="18"/>
        </w:rPr>
        <w:fldChar w:fldCharType="end"/>
      </w:r>
    </w:p>
  </w:footnote>
  <w:footnote w:id="23">
    <w:p w14:paraId="2FEB5066" w14:textId="6D11C12C" w:rsidR="00FA6BF2" w:rsidRPr="00184440" w:rsidRDefault="00FA6BF2" w:rsidP="00855CC2">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{"citationID":"aqb3Oz2u","properties":{"formattedCitation":"(Armstrong and Vickers 2012)","plainCitation":"(Armstrong and Vickers 2012)"},"citationItems":[{"id":2873,"uris":["http://zotero.org/users/1397761/items/5CDTRXJS"],"uri":["http://zotero.org/users/1397761/items/5CDTRXJS"],"itemData":{"id":2873,"type":"article-journal","title":"Consumer Protection and Contingent Charges","container-title":"Journal of Economic Literature","page":"477-93","volume":"50","issue":"2","source":"AEA Web","abstract":"Contingent charges for financial services, such as fees for unauthorized overdrafts, are often controversial. We study the economics of contingent charges in a stylized setting with naive and sophisticated consumers. We contrast situations where the naive benefit from the presence of sophisticated consumers with situations where competition works to subsidize the sophisticated at the expense of the naive, arguably unfairly. The case for regulatory intervention in these situations depends in good part, but not only, on the weight placed on distributional concerns. The economic and legal issues at stake are well illustrated by a case on bank charges recently decided by the U.K. Supreme Court. (JEL D14, D18, G21, G28, L51)","DOI":"10.1257/jel.50.2.477","journalAbbreviation":"Journal of Economic Literature","author":[{"family":"Armstrong","given":"Mark"},{"family":"Vickers","given":"John"}],"issued":{"date-parts":[["2012"]]}}}],"schema":"https://github.com/citation-style-language/schema/raw/master/csl-citation.json"}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(Armstrong and Vickers 2012)</w:t>
      </w:r>
      <w:r w:rsidRPr="00585E03">
        <w:rPr>
          <w:rFonts w:ascii="Baskerville" w:hAnsi="Baskerville"/>
          <w:sz w:val="18"/>
          <w:szCs w:val="18"/>
        </w:rPr>
        <w:fldChar w:fldCharType="end"/>
      </w:r>
    </w:p>
  </w:footnote>
  <w:footnote w:id="24">
    <w:p w14:paraId="5333EED6" w14:textId="135010E1" w:rsidR="00FA6BF2" w:rsidRPr="00184440" w:rsidRDefault="00FA6BF2" w:rsidP="00855CC2">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{"citationID":"WvXwSfjy","properties":{"formattedCitation":"(De Bruin 2014, ch. 7)","plainCitation":"(De Bruin 2014, ch. 7)"},"citationItems":[{"id":2441,"uris":["http://zotero.org/users/1397761/items/743XF9HS"],"uri":["http://zotero.org/users/1397761/items/743XF9HS"],"itemData":{"id":2441,"type":"book","title":"Ethics and the Global Financial Crisis: Why Incompetence is Worse than Greed","publisher":"Cambridge University Press","number-of-pages":"321","source":"Google Books","abstract":"In this topical book, Boudewijn de Bruin examines the ethical 'blind spots' that lay at the heart of the global financial crisis. He argues that the most important moral problem in finance is not the 'greed is good' culture, but rather the epistemic shortcomings of bankers, clients, rating agencies and regulators. Drawing on insights from economics, psychology and philosophy, de Bruin develops a novel theory of epistemic virtue and applies it to racist and sexist lending practices, subprime mortgages, CEO hubris, the Madoff scandal, professionalism in accountancy and regulatory outsourcing of epistemic responsibility. With its multidisciplinary reach, Ethics and the Global Financial Crisis will appeal to scholars working in philosophy, business ethics, economics, psychology and the sociology of finance. The many concrete examples and case studies mean that this book will also prove useful to policy-makers and regulators.","ISBN":"978-1-316-19446-1","shortTitle":"Ethics and the Global Financial Crisis","language":"en","author":[{"family":"De Bruin","given":"Boudewijn"}],"issued":{"date-parts":[["2014",12,31]]}},"suffix":", ch. 7"}],"schema":"https://github.com/citation-style-language/schema/raw/master/csl-citation.json"}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(De Bruin 2014, ch. 7)</w:t>
      </w:r>
      <w:r w:rsidRPr="00585E03">
        <w:rPr>
          <w:rFonts w:ascii="Baskerville" w:hAnsi="Baskerville"/>
          <w:sz w:val="18"/>
          <w:szCs w:val="18"/>
        </w:rPr>
        <w:fldChar w:fldCharType="end"/>
      </w:r>
    </w:p>
  </w:footnote>
  <w:footnote w:id="25">
    <w:p w14:paraId="37EBD757" w14:textId="16DF035E" w:rsidR="00FA6BF2" w:rsidRPr="00184440" w:rsidRDefault="00FA6BF2" w:rsidP="00855CC2">
      <w:pPr>
        <w:pStyle w:val="FootnoteText"/>
        <w:rPr>
          <w:rFonts w:ascii="Baskerville" w:hAnsi="Baskerville"/>
          <w:sz w:val="18"/>
          <w:szCs w:val="18"/>
          <w:lang w:val="en-US"/>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lang w:val="de-DE"/>
        </w:rPr>
        <w:fldChar w:fldCharType="begin"/>
      </w:r>
      <w:r w:rsidRPr="00184440">
        <w:rPr>
          <w:rFonts w:ascii="Baskerville" w:hAnsi="Baskerville"/>
          <w:sz w:val="18"/>
          <w:szCs w:val="18"/>
          <w:lang w:val="en-US"/>
        </w:rPr>
        <w:instrText xml:space="preserve"> ADDIN ZOTERO_ITEM CSL_CITATION {"citationID":"yh9tJs8N","properties":{"formattedCitation":"(Admati and Hellwig 2013)","plainCitation":"(Admati and Hellwig 2013)"},"citationItems":[{"id":1643,"uris":["http://zotero.org/users/1397761/items/X6RZ93AQ"],"uri":["http://zotero.org/users/1397761/items/X6RZ93AQ"],"itemData":{"id":1643,"type":"book","title":"The Bankers' New Clothes: What's Wrong with Banking and what to Do about it","publisher":"Princeton University Press","number-of-pages":"418","source":"Google Books","abstract":"What is wrong with today's banking system? The past few years have shown that risks in banking can impose significant costs on the economy. Many claim, however, that a safer banking system would require sacrificing lending and economic growth. The Bankers' New Clothes examines this claim and the narratives used by bankers, politicians, and regulators to rationalize the lack of reform, exposing them as invalid.  Admati and Hellwig argue we can have a safer and healthier banking system without sacrificing any of the benefits of the system, and at essentially no cost to society. They show that banks are as fragile as they are not because they must be, but because they want to be--and they get away with it. Whereas this situation benefits bankers, it distorts the economy and exposes the public to unnecessary risks. Weak regulation and ineffective enforcement allowed the buildup of risks that ushered in the financial crisis of 2007-2009. Much can be done to create a better system and prevent crises. Yet the lessons from the crisis have not been learned.  Admati and Hellwig seek to engage the broader public in the debate by cutting through the jargon of banking, clearing the fog of confusion, and presenting the issues in simple and accessible terms. The Bankers' New Clothes calls for ambitious reform and outlines specific and highly beneficial steps that can be taken immediately.","ISBN":"0-691-15684-0","shortTitle":"The Bankers' New Clothes","language":"en","author":[{"family":"Admati","given":"Anat R."},{"family":"Hellwig","given":"Martin F."}],"issued":{"date-parts":[["2013"]]}}}],"schema":"https://github.com/citation-style-language/schema/raw/master/csl-citation.json"} </w:instrText>
      </w:r>
      <w:r w:rsidRPr="00585E03">
        <w:rPr>
          <w:rFonts w:ascii="Baskerville" w:hAnsi="Baskerville"/>
          <w:sz w:val="18"/>
          <w:szCs w:val="18"/>
          <w:lang w:val="de-DE"/>
        </w:rPr>
        <w:fldChar w:fldCharType="separate"/>
      </w:r>
      <w:r w:rsidR="008A4DC8">
        <w:rPr>
          <w:rFonts w:ascii="Baskerville" w:hAnsi="Baskerville"/>
          <w:noProof/>
          <w:sz w:val="18"/>
          <w:szCs w:val="18"/>
          <w:lang w:val="en-US"/>
        </w:rPr>
        <w:t>(Admati and Hellwig 2013)</w:t>
      </w:r>
      <w:r w:rsidRPr="00585E03">
        <w:rPr>
          <w:rFonts w:ascii="Baskerville" w:hAnsi="Baskerville"/>
          <w:sz w:val="18"/>
          <w:szCs w:val="18"/>
          <w:lang w:val="de-DE"/>
        </w:rPr>
        <w:fldChar w:fldCharType="end"/>
      </w:r>
    </w:p>
  </w:footnote>
  <w:footnote w:id="26">
    <w:p w14:paraId="5C65FA9D" w14:textId="46E081F6"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008A4DC8">
        <w:rPr>
          <w:rFonts w:ascii="Baskerville" w:hAnsi="Baskerville"/>
          <w:sz w:val="18"/>
          <w:szCs w:val="18"/>
        </w:rPr>
        <w:instrText xml:space="preserve"> ADDIN ZOTERO_ITEM CSL_CITATION {"citationID":"cxBZUO14","properties":{"formattedCitation":"(Ueda and Weder di Mauro 2013; Afonso, Santos, and Traina 2014; Gofman n.d.)","plainCitation":"(Ueda and Weder di Mauro 2013; Afonso, Santos, and Traina 2014; Gofman n.d.)"},"citationItems":[{"id":5949,"uris":["http://zotero.org/users/1397761/items/W95BPMMW"],"uri":["http://zotero.org/users/1397761/items/W95BPMMW"],"itemData":{"id":5949,"type":"article-journal","title":"Quantifying structural subsidy values for systemically important financial institutions","container-title":"Journal of Banking &amp; Finance","page":"3830-3842","volume":"37","issue":"10","source":"ScienceDirect","abstract":"Claimants to Systemically Important Financial Institutions (SIFIs) would receive transfers when governments are forced into bailouts. Ex ante, this bailout expectation lowers SIFIs’ daily funding costs. The funding cost advantage reflects both the structural level of the government support and the time-varying market valuation for such a support. Based on a large worldwide sample of banks, we estimate the value of the structural subsidy, by exploiting expectations of state support embedded in credit ratings and by applying the long-run average value of the rating bonus. The value of the structural subsidy was already sizable, 60 basis points (bp), as of the end-2007, before the crisis. It increased to 80 bp by the end-2009.","DOI":"10.1016/j.jbankfin.2013.05.019","ISSN":"0378-4266","journalAbbreviation":"Journal of Banking &amp; Finance","author":[{"family":"Ueda","given":"Kenichi"},{"family":"Weder di Mauro","given":"B."}],"issued":{"date-parts":[["2013",10]]}}},{"id":5946,"uris":["http://zotero.org/users/1397761/items/QKWQDN4F"],"uri":["http://zotero.org/users/1397761/items/QKWQDN4F"],"itemData":{"id":5946,"type":"report","title":"Do 'Too-Big-To-Fail' Banks Take on More Risk?","publisher":"Social Science Research Network","publisher-place":"Rochester, NY","genre":"SSRN Scholarly Paper","source":"papers.ssrn.com","event-place":"Rochester, NY","abstract":"The notion that some banks are “too big to fail” builds on the premise that governments will offer support to avoid the adverse consequences of their disorderly","URL":"https://papers.ssrn.com/abstract=2420465","number":"ID 2420465","author":[{"family":"Afonso","given":"Gara"},{"family":"Santos","given":"João A. C."},{"family":"Traina","given":"James"}],"issued":{"date-parts":[["2014",3,31]]},"accessed":{"date-parts":[["2017",3,15]]}}},{"id":5951,"uris":["http://zotero.org/users/1397761/items/HKSNPH7Q"],"uri":["http://zotero.org/users/1397761/items/HKSNPH7Q"],"itemData":{"id":5951,"type":"article-journal","title":"Efficiency and stability of a financial architecture with too-interconnected-to-fail institutions","container-title":"Journal of Financial Economics","source":"ScienceDirect","abstract":"The regulation of large interconnected financial institutions has become a key policy issue. To improve financial stability, regulators have proposed limiting banks’ size and interconnectedness. I estimate a network-based model of the over-the-counter interbank lending market in the US and quantify the efficiency-stability implications of this policy. Trading efficiency decreases with limits on interconnectedness because the intermediation chains become longer. While restricting the interconnectedness of banks improves stability, the effect is non-monotonic. Stability also improves with higher liquidity requirements, when banks have access to liquidity during the crisis, and when failed banks’ depositors maintain confidence in the banking system.","URL":"http://www.sciencedirect.com/science/article/pii/S0304405X16302471","DOI":"10.1016/j.jfineco.2016.12.009","ISSN":"0304-405X","journalAbbreviation":"Journal of Financial Economics","author":[{"family":"Gofman","given":"Michael"}],"accessed":{"date-parts":[["2017",3,15]]}}}],"schema":"https://github.com/citation-style-language/schema/raw/master/csl-citation.json"}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(Ueda and Weder di Mauro 2013; Afonso, Santos, and Traina 2014; Gofman n.d.)</w:t>
      </w:r>
      <w:r w:rsidRPr="00585E03">
        <w:rPr>
          <w:rFonts w:ascii="Baskerville" w:hAnsi="Baskerville"/>
          <w:sz w:val="18"/>
          <w:szCs w:val="18"/>
        </w:rPr>
        <w:fldChar w:fldCharType="end"/>
      </w:r>
    </w:p>
  </w:footnote>
  <w:footnote w:id="27">
    <w:p w14:paraId="03BF8228" w14:textId="7FC6CE5B"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{"citationID":"XTNAg0Rg","properties":{"formattedCitation":"(De Bruin 2014, chs. 3-4)","plainCitation":"(De Bruin 2014, chs. 3-4)"},"citationItems":[{"id":2441,"uris":["http://zotero.org/users/1397761/items/743XF9HS"],"uri":["http://zotero.org/users/1397761/items/743XF9HS"],"itemData":{"id":2441,"type":"book","title":"Ethics and the Global Financial Crisis: Why Incompetence is Worse than Greed","publisher":"Cambridge University Press","number-of-pages":"321","source":"Google Books","abstract":"In this topical book, Boudewijn de Bruin examines the ethical 'blind spots' that lay at the heart of the global financial crisis. He argues that the most important moral problem in finance is not the 'greed is good' culture, but rather the epistemic shortcomings of bankers, clients, rating agencies and regulators. Drawing on insights from economics, psychology and philosophy, de Bruin develops a novel theory of epistemic virtue and applies it to racist and sexist lending practices, subprime mortgages, CEO hubris, the Madoff scandal, professionalism in accountancy and regulatory outsourcing of epistemic responsibility. With its multidisciplinary reach, Ethics and the Global Financial Crisis will appeal to scholars working in philosophy, business ethics, economics, psychology and the sociology of finance. The many concrete examples and case studies mean that this book will also prove useful to policy-makers and regulators.","ISBN":"978-1-316-19446-1","shortTitle":"Ethics and the Global Financial Crisis","language":"en","author":[{"family":"De Bruin","given":"Boudewijn"}],"issued":{"date-parts":[["2014",12,31]]}},"suffix":", chs. 3-4"}],"schema":"https://github.com/citation-style-language/schema/raw/master/csl-citation.json"}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(De Bruin 2014, chs. 3-4)</w:t>
      </w:r>
      <w:r w:rsidRPr="00585E03">
        <w:rPr>
          <w:rFonts w:ascii="Baskerville" w:hAnsi="Baskerville"/>
          <w:sz w:val="18"/>
          <w:szCs w:val="18"/>
        </w:rPr>
        <w:fldChar w:fldCharType="end"/>
      </w:r>
    </w:p>
  </w:footnote>
  <w:footnote w:id="28">
    <w:p w14:paraId="64F0E244" w14:textId="356876F7"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{"citationID":"18nMd0hu","properties":{"formattedCitation":"(The Money Charity 2016, 4)","plainCitation":"(The Money Charity 2016, 4)"},"citationItems":[{"id":4037,"uris":["http://zotero.org/users/1397761/items/E5WUZ2PT"],"uri":["http://zotero.org/users/1397761/items/E5WUZ2PT"],"itemData":{"id":4037,"type":"article","title":"The Money Statistics May 2016","URL":"http://themoneycharity.org.uk/media/May-2016-Money-Statistics.pdf","author":[{"literal":"The Money Charity"}],"issued":{"date-parts":[["2016",6]]},"accessed":{"date-parts":[["2016",6,20]]}},"locator":"4"}],"schema":"https://github.com/citation-style-language/schema/raw/master/csl-citation.json"}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(The Money Charity 2016, 4)</w:t>
      </w:r>
      <w:r w:rsidRPr="00585E03">
        <w:rPr>
          <w:rFonts w:ascii="Baskerville" w:hAnsi="Baskerville"/>
          <w:sz w:val="18"/>
          <w:szCs w:val="18"/>
        </w:rPr>
        <w:fldChar w:fldCharType="end"/>
      </w:r>
    </w:p>
  </w:footnote>
  <w:footnote w:id="29">
    <w:p w14:paraId="14F78EA9" w14:textId="7825A4C1"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{"citationID":"0KxOEY5H","properties":{"formattedCitation":"(Lusardi and Mitchell 2014)","plainCitation":"(Lusardi and Mitchell 2014)"},"citationItems":[{"id":2831,"uris":["http://zotero.org/users/1397761/items/IQJX8UF9"],"uri":["http://zotero.org/users/1397761/items/IQJX8UF9"],"itemData":{"id":2831,"type":"article-journal","title":"The Economic Importance of Financial Literacy: Theory and Evidence","container-title":"Journal of Economic Literature","page":"5-44","volume":"52","issue":"1","source":"AEA Web","abstract":"This paper undertakes an assessment of a rapidly growing body of economic research on financial literacy. We start with an overview of theoretical research, which casts financial knowledge as a form of investment in human capital. Endogenizing financial knowledge has important implications for welfare, as well as policies intended to\nenhance levels of financial knowledge in the larger population. Next, we draw on recent surveys to establish how much (or how little) people know and identify the least financially savvy population subgroups. This is followed by an examination of the impact of financial literacy on economic decision making in the United States and elsewhere. While the literature is still young, conclusions may be drawn about the\neffects and consequences of financial illiteracy and what works to remedy these gaps. A final section offers thoughts on what remains to be learned if researchers are to better inform theoretical and empirical models as well as public policy.","DOI":"10.1257/jel.52.1.5","shortTitle":"The Economic Importance of Financial Literacy","journalAbbreviation":"Journal of Economic Literature","author":[{"family":"Lusardi","given":"Annamaria"},{"family":"Mitchell","given":"Olivia S."}],"issued":{"date-parts":[["2014"]]}}}],"schema":"https://github.com/citation-style-language/schema/raw/master/csl-citation.json"}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(Lusardi and Mitchell 2014)</w:t>
      </w:r>
      <w:r w:rsidRPr="00585E03">
        <w:rPr>
          <w:rFonts w:ascii="Baskerville" w:hAnsi="Baskerville"/>
          <w:sz w:val="18"/>
          <w:szCs w:val="18"/>
        </w:rPr>
        <w:fldChar w:fldCharType="end"/>
      </w:r>
    </w:p>
  </w:footnote>
  <w:footnote w:id="30">
    <w:p w14:paraId="3649209A" w14:textId="2E900EA7"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lang w:val="de-DE"/>
        </w:rPr>
        <w:fldChar w:fldCharType="begin"/>
      </w:r>
      <w:r w:rsidRPr="00184440">
        <w:rPr>
          <w:rFonts w:ascii="Baskerville" w:hAnsi="Baskerville"/>
          <w:sz w:val="18"/>
          <w:szCs w:val="18"/>
        </w:rPr>
        <w:instrText xml:space="preserve"> ADDIN ZOTERO_ITEM CSL_CITATION {"citationID":"bGMcj9sy","properties":{"formattedCitation":"(Barry 2011; Wollner draft)","plainCitation":"(Barry 2011; Wollner draft)"},"citationItems":[{"id":2548,"uris":["http://zotero.org/users/1397761/items/NQH2HJRF"],"uri":["http://zotero.org/users/1397761/items/NQH2HJRF"],"itemData":{"id":2548,"type":"article-journal","title":"Sovereign Debt, Human Rights, and Policy Conditionality","container-title":"Journal of Political Philosophy","page":"282–305","volume":"19","issue":"3","source":"PhilPapers","author":[{"family":"Barry","given":"Christian"}],"issued":{"date-parts":[["2011"]]}}},{"id":2938,"uris":["http://zotero.org/users/1397761/items/9Z8KEZTM"],"uri":["http://zotero.org/users/1397761/items/9Z8KEZTM"],"itemData":{"id":2938,"type":"article-journal","title":"Morally Bankrupt: International Financial Governance and the Ethics of Sovereign Default","author":[{"family":"Wollner","given":"Gabriel"}],"issued":{"literal":"draft"}}}],"schema":"https://github.com/citation-style-language/schema/raw/master/csl-citation.json"} </w:instrText>
      </w:r>
      <w:r w:rsidRPr="00585E03">
        <w:rPr>
          <w:rFonts w:ascii="Baskerville" w:hAnsi="Baskerville"/>
          <w:sz w:val="18"/>
          <w:szCs w:val="18"/>
          <w:lang w:val="de-DE"/>
        </w:rPr>
        <w:fldChar w:fldCharType="separate"/>
      </w:r>
      <w:r w:rsidR="008A4DC8">
        <w:rPr>
          <w:rFonts w:ascii="Baskerville" w:hAnsi="Baskerville"/>
          <w:noProof/>
          <w:sz w:val="18"/>
          <w:szCs w:val="18"/>
        </w:rPr>
        <w:t>(Barry 2011; Wollner draft)</w:t>
      </w:r>
      <w:r w:rsidRPr="00585E03">
        <w:rPr>
          <w:rFonts w:ascii="Baskerville" w:hAnsi="Baskerville"/>
          <w:sz w:val="18"/>
          <w:szCs w:val="18"/>
          <w:lang w:val="de-DE"/>
        </w:rPr>
        <w:fldChar w:fldCharType="end"/>
      </w:r>
    </w:p>
  </w:footnote>
  <w:footnote w:id="31">
    <w:p w14:paraId="1DF73093" w14:textId="71D8D34D"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{"citationID":"9Kcvhtjj","properties":{"formattedCitation":"(Allen and Wood 2006; Barth, Caprio, and Levine 2006; Rochet 2009; Mason 2004; Admati and Hellwig 2013)","plainCitation":"(Allen and Wood 2006; Barth, Caprio, and Levine 2006; Rochet 2009; Mason 2004; Admati and Hellwig 2013)"},"citationItems":[{"id":795,"uris":["http://zotero.org/users/1397761/items/VVX2GJ4U"],"uri":["http://zotero.org/users/1397761/items/VVX2GJ4U"],"itemData":{"id":795,"type":"article-journal","title":"Defining and achieving financial stability","container-title":"Journal of Financial Stability","page":"152-172","volume":"2","issue":"2","source":"ScienceDirect","abstract":"We discuss the thorny issue of how to define financial stability, and conclude that the best approach is to define the characteristics of an episode of financial instability, and to define financial stability as a state of affairs in which episodes of instability are unlikely to occur. We then discuss public policies to achieve financial stability, distinguishing between preventive and remedial measures, and explore the costs and benefits of such policies. We conclude with some comments on current issues in financial regulation, including Basel 2.","DOI":"10.1016/j.jfs.2005.10.001","ISSN":"1572-3089","journalAbbreviation":"Journal of Financial Stability","author":[{"family":"Allen","given":"William A."},{"family":"Wood","given":"Geoffrey"}],"issued":{"date-parts":[["2006",6]]}}},{"id":848,"uris":["http://zotero.org/users/1397761/items/XXKCPAKQ"],"uri":["http://zotero.org/users/1397761/items/XXKCPAKQ"],"itemData":{"id":848,"type":"book","title":"Rethinking Bank Regulation: Till Angels Govern","publisher":"Cambridge University Press","number-of-pages":"446","source":"Google Books","abstract":"This volume assembles and presents a database on bank regulation in over 150 countries (included also on CD). It offered the first comprehensive cross-country assessment of the impact of bank regulation on the operation of banks, and assesses the validity of the Basel Committee's influential approach to bank regulation. The treatment also provides an empirical evaluation of the historic debate about the proper role of government in the economy by studying bank regulation and analyzes the role of politics in determining regulatory approaches to banking. The data also indicate that restrictions on the entry of banks, government ownership of banks, and restrictions on bank activities hurt banking system performance. The authors find that domestic political factors shape both regulations and their effectiveness.","ISBN":"978-1-139-44869-7","shortTitle":"Rethinking Bank Regulation","language":"en","author":[{"family":"Barth","given":"James R."},{"family":"Caprio","given":"Gerard"},{"family":"Levine","given":"Ross"}],"issued":{"date-parts":[["2006"]]}}},{"id":1772,"uris":["http://zotero.org/users/1397761/items/UI562S8G"],"uri":["http://zotero.org/users/1397761/items/UI562S8G"],"itemData":{"id":1772,"type":"book","title":"Why Are There So Many Banking Crises?: The Politics and Policy of Bank Regulation","publisher":"Princeton University Press","number-of-pages":"321","source":"Google Books","abstract":"Almost every country in the world has sophisticated systems to prevent banking crises. Yet such crises--and the massive financial and social damage they can cause--remain common throughout the world. Does deposit insurance encourage depositors and bankers to take excessive risks? Are banking regulations poorly designed? Or are banking regulators incompetent? Jean-Charles Rochet, one of the world's leading authorities on banking regulation, argues that the answer in each case is \"no.\" In Why Are There So Many Banking Crises?, he makes the case that, although many banking crises are precipitated by financial deregulation and globalization, political interference often causes--and almost always exacerbates--banking crises. If, for example, political authorities are allowed to pressure banking regulators into bailing out banks that should be allowed to fail, then regulation will lack credibility and market discipline won't work. Only by insuring the independence of banking regulators, Rochet says, can market forces work and banking crises be prevented and minimized. In this important collection of essays, Rochet examines the causes of banking crises around the world in recent decades, focusing on the lender of last resort; prudential regulation and the management of risk; and solvency regulations. His proposals for reforms that could limit the frequency and severity of banking crises should interest a wide range of academic economists and those working for central and private banks and financial services authorities.","ISBN":"1-4008-2831-7","shortTitle":"Why Are There So Many Banking Crises?","language":"en","author":[{"family":"Rochet","given":"Jean-Charles"}],"issued":{"date-parts":[["2009",2,9]]}}},{"id":500,"uris":["http://zotero.org/users/1397761/items/JQNTPBQW"],"uri":["http://zotero.org/users/1397761/items/JQNTPBQW"],"itemData":{"id":500,"type":"book","title":"From Buildings and Loans to Bail-Outs: A History of the American Savings and Loan Industry, 1831-1995","publisher":"Cambridge University Press","number-of-pages":"363","source":"Google Books","abstract":"This is the first complete history of the American thrift industry from its origins in the mid-nineteenth century through the resolution of the savings and loan crisis in the 1990s. Because S&amp;Ls offer affordable forms of consumer finance, these institutions have helped millions of people achieve the \"American Dream\" of home ownership. The thrift crisis of the 19080s and early 1990s dealt a severe blow to the financial health and reputation of the industry, and this book examines the events that precipitated the thrift crisis, the ways government resolved it, and how the industry reinvented itself in its aftermath.","ISBN":"978-1-139-45380-6","shortTitle":"From Buildings and Loans to Bail-Outs","language":"en","author":[{"family":"Mason","given":"David L."}],"issued":{"date-parts":[["2004",7,5]]}}},{"id":1643,"uris":["http://zotero.org/users/1397761/items/X6RZ93AQ"],"uri":["http://zotero.org/users/1397761/items/X6RZ93AQ"],"itemData":{"id":1643,"type":"book","title":"The Bankers' New Clothes: What's Wrong with Banking and what to Do about it","publisher":"Princeton University Press","number-of-pages":"418","source":"Google Books","abstract":"What is wrong with today's banking system? The past few years have shown that risks in banking can impose significant costs on the economy. Many claim, however, that a safer banking system would require sacrificing lending and economic growth. The Bankers' New Clothes examines this claim and the narratives used by bankers, politicians, and regulators to rationalize the lack of reform, exposing them as invalid.  Admati and Hellwig argue we can have a safer and healthier banking system without sacrificing any of the benefits of the system, and at essentially no cost to society. They show that banks are as fragile as they are not because they must be, but because they want to be--and they get away with it. Whereas this situation benefits bankers, it distorts the economy and exposes the public to unnecessary risks. Weak regulation and ineffective enforcement allowed the buildup of risks that ushered in the financial crisis of 2007-2009. Much can be done to create a better system and prevent crises. Yet the lessons from the crisis have not been learned.  Admati and Hellwig seek to engage the broader public in the debate by cutting through the jargon of banking, clearing the fog of confusion, and presenting the issues in simple and accessible terms. The Bankers' New Clothes calls for ambitious reform and outlines specific and highly beneficial steps that can be taken immediately.","ISBN":"0-691-15684-0","shortTitle":"The Bankers' New Clothes","language":"en","author":[{"family":"Admati","given":"Anat R."},{"family":"Hellwig","given":"Martin F."}],"issued":{"date-parts":[["2013"]]}}}],"schema":"https://github.com/citation-style-language/schema/raw/master/csl-citation.json"}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(Allen and Wood 2006; Barth, Caprio, and Levine 2006; Rochet 2009; Mason 2004; Admati and Hellwig 2013)</w:t>
      </w:r>
      <w:r w:rsidRPr="00585E03">
        <w:rPr>
          <w:rFonts w:ascii="Baskerville" w:hAnsi="Baskerville"/>
          <w:sz w:val="18"/>
          <w:szCs w:val="18"/>
        </w:rPr>
        <w:fldChar w:fldCharType="end"/>
      </w:r>
    </w:p>
  </w:footnote>
  <w:footnote w:id="32">
    <w:p w14:paraId="78DAB2A2" w14:textId="77777777"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184440">
        <w:rPr>
          <w:rFonts w:ascii="Baskerville" w:hAnsi="Baskerville"/>
          <w:sz w:val="18"/>
          <w:szCs w:val="18"/>
        </w:rPr>
        <w:t>In addition, the new Basel III rules also introduce a leverage ratio, which is the ratio of equity to non-risk-weighted assets.</w:t>
      </w:r>
    </w:p>
  </w:footnote>
  <w:footnote w:id="33">
    <w:p w14:paraId="26496303" w14:textId="7B533EF5"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{"citationID":"A2nEEUY5","properties":{"formattedCitation":"(James 2012; Linarelli 2015)","plainCitation":"(James 2012; Linarelli 2015)"},"citationItems":[{"id":582,"uris":["http://zotero.org/users/1397761/items/NPDJTVFG"],"uri":["http://zotero.org/users/1397761/items/NPDJTVFG"],"itemData":{"id":582,"type":"book","title":"Fairness in practice: a social contract for a global economy","publisher":"Oxford University Press","publisher-place":"New York [etc.]","source":"Open WorldCat","event-place":"New York [etc.]","ISBN":"978-0-19-984615-3","shortTitle":"Fairness in practice","language":"English","author":[{"family":"James","given":"Aaron"}],"issued":{"date-parts":[["2012"]]}}},{"id":3273,"uris":["http://zotero.org/users/1397761/items/6BM2CSUM"],"uri":["http://zotero.org/users/1397761/items/6BM2CSUM"],"itemData":{"id":3273,"type":"article-journal","title":"Luck, Justice and Systemic Financial Risk","container-title":"Journal of Applied Philosophy","page":"n/a-n/a","source":"Wiley Online Library","abstract":"Systemic financial risk is one of the most significant collective action problems facing societies. The Great Recession brought attention to a tragedy of the commons in capital markets, in which market participants, from the first-time homebuyer to Wall Street financiers, acted in ways beneficial to themselves individually, but which together caused substantial collective harm. Two kinds of risk are at play in complex chains of transactions in financial markets: ordinary market risk and systemic risk. Two moral questions are relevant in such cases. First, from the standpoint of interactional morality, does a person have a moral duty to avoid risk of harm to others if their financial transactions contribute in some way, however small, to the loss or harm? This article identifies the conditions in which persons are morally responsible in such cases. Second, from the standpoint of institutional morality, how should society distribute the risk of harm associated with massively complex financial markets? This question is considered in the context of the home mortgage credit market. Luck egalitarianism, in particular a Dworkinian insurance scheme to allocate risks and resources relating to mortgage credit and private home ownership, offers substantial promise.","DOI":"10.1111/japp.12148","ISSN":"1468-5930","journalAbbreviation":"J Appl Philos","language":"en","author":[{"family":"Linarelli","given":"John"}],"issued":{"date-parts":[["2015",9,1]]}}}],"schema":"https://github.com/citation-style-language/schema/raw/master/csl-citation.json"}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(James 2012; Linarelli 2015)</w:t>
      </w:r>
      <w:r w:rsidRPr="00585E03">
        <w:rPr>
          <w:rFonts w:ascii="Baskerville" w:hAnsi="Baskerville"/>
          <w:sz w:val="18"/>
          <w:szCs w:val="18"/>
        </w:rPr>
        <w:fldChar w:fldCharType="end"/>
      </w:r>
    </w:p>
  </w:footnote>
  <w:footnote w:id="34">
    <w:p w14:paraId="2875DB45" w14:textId="6622A696" w:rsidR="00FA6BF2" w:rsidRPr="00184440" w:rsidRDefault="00FA6BF2" w:rsidP="00727337">
      <w:pPr>
        <w:pStyle w:val="FootnoteText1"/>
        <w:tabs>
          <w:tab w:val="left" w:pos="8319"/>
        </w:tabs>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Fonts w:ascii="Baskerville" w:hAnsi="Baskerville"/>
          <w:sz w:val="18"/>
          <w:szCs w:val="18"/>
        </w:rPr>
        <w:fldChar w:fldCharType="begin"/>
      </w:r>
      <w:r w:rsidR="008A4DC8">
        <w:rPr>
          <w:rFonts w:ascii="Baskerville" w:hAnsi="Baskerville"/>
          <w:sz w:val="18"/>
          <w:szCs w:val="18"/>
        </w:rPr>
        <w:instrText xml:space="preserve"> ADDIN ZOTERO_ITEM CSL_CITATION {"citationID":"4SCn09th","properties":{"formattedCitation":"(Minsky 1982, 1991; Kindleberger 2011; Borio 2011; Caprio 2012)","plainCitation":"(Minsky 1982, 1991; Kindleberger 2011; Borio 2011; Caprio 2012)"},"citationItems":[{"id":1774,"uris":["http://zotero.org/users/1397761/items/QFMQUE4Q"],"uri":["http://zotero.org/users/1397761/items/QFMQUE4Q"],"itemData":{"id":1774,"type":"article-journal","title":"Can\" it\" happen again? A reprise","container-title":"Challenge","page":"5–13","volume":"25","issue":"3","source":"Google Scholar","shortTitle":"Can\" it\" happen again?","author":[{"family":"Minsky","given":"Hyman P."}],"issued":{"date-parts":[["1982"]]}}},{"id":1793,"uris":["http://zotero.org/users/1397761/items/XTHK27B6"],"uri":["http://zotero.org/users/1397761/items/XTHK27B6"],"itemData":{"id":1793,"type":"report","title":"Financial Crises: Systemic or Idiosyncratic","publisher":"Social Science Research Network","publisher-place":"Rochester, NY","genre":"SSRN Scholarly Paper","source":"papers.ssrn.com","event-place":"Rochester, NY","abstract":"The presentations at this conference are by economists from Academies and economists who professionally confront real world problems, either in private finance or in public policy. As economists we accept that the remarks made by Keynes in the closing passage of The General Theory are true: \"... the ideas of economists and political philosophers, both when they are right and when they are wrong, are more powerful than is commonly understood. Indeed the world is ruled by little else. Practical men, who believe themselves to be quite exempt from any intellectual influences, are usually the slaves of some defunct economist. .... I am sure the power of vested interests is vastly exaggerated compared with the gradual encroachment of ideas. ... Soon or late it is ideas, not vested interests, which are dangerous for good or evil.\" We like this assertion not only because it makes us important but also because it makes good sense. The ideas that Keynes refers to are theories. A theory prior for rational action. A of system behavior is a proposed action, whether by individual agents in households or firms, a bank, a government agency or a legislative body is appropriate action only as a theory connects the action to the desired result. Because some institutions, such as deposit insurance, the savings and loan industry, and a number of the great private banks, that served the economy well during the first two generations after the great depression, seem to have broken down, the need to reform and to reconstitute the financial structure is now on the legislative agenda. As we try to fix the financial system three questions should be asked of the pushers of a policy proposal: 1. \"What is it that is taken to be broke?\", 2. \"What theory about proposal?\" 3. What are the dire consequences of not fixing that which you assert is broke? In what follows I will take up three points 1. Two views of the results of the economic process 2. Systemic and idiosyncratic sources of financial crises 3. Some ideas about the scope for policy in the present \"crisis\".","URL":"http://papers.ssrn.com/abstract=171533","number":"ID 171533","shortTitle":"Financial Crises","author":[{"family":"Minsky","given":"Hyman P."}],"issued":{"date-parts":[["1991",4,1]]},"accessed":{"date-parts":[["2014",5,16]]}}},{"id":1791,"uris":["http://zotero.org/users/1397761/items/N77IVFTJ"],"uri":["http://zotero.org/users/1397761/items/N77IVFTJ"],"itemData":{"id":1791,"type":"book","title":"Manias, Panics and Crashes: A History of Financial Crises","publisher":"John Wiley &amp; Sons","publisher-place":"New York","number-of-pages":"304","edition":"4th Edition edition","source":"Amazon.com","event-place":"New York","abstract":"The best known and most highly regarded book on financial crises  Financial crises and speculative excess can be traced back to the very beginning of trade and commerce. Since its introduction in 1978, this book has charted and followed this volatile world of financial markets. Charles Kindleberger′s brilliant, panoramic history revealed how financial crises follow a nature–like rhythm: they peak and purge, swell and storm. Now this newly revised and expanded Fourth Edition probes the most recent \"natural disasters\" of the markets––from the difficulties in East Asia and the repercussions of the Mexican crisis to the 1992 Sterling crisis. His sharply drawn history confronts a host of key questions.  Charles P. Kindleberger (Boston, MA) was the Ford Professor of Economics at MIT for thirty–three years. He is a financial historian and prolific writer who has published over twenty–four books.","ISBN":"978-0-471-38945-3","shortTitle":"Manias, Panics and Crashes","language":"English","author":[{"family":"Kindleberger","given":"Charles P."}],"issued":{"date-parts":[["2011"]]}}},{"id":301,"uris":["http://zotero.org/users/1397761/items/BENPCF5B"],"uri":["http://zotero.org/users/1397761/items/BENPCF5B"],"itemData":{"id":301,"type":"article-journal","title":"Rediscovering the Macroeconomic Roots of Financial Stability Policy: Journey, Challenges, and a Way Forward","container-title":"Annual Review of Financial Economics","page":"87-117","volume":"3","issue":"1","source":"Annual Reviews","abstract":"The recent financial crisis has triggered a major rethink of analytical approaches and policy toward financial stability. The crisis has encouraged a sharper focus on systemic risk, the inclusion of a financial sector in macroeconomic models, a shift from a microprudential to a macroprudential orientation in regulation and supervision, and questions about whether price stability is a sufficient criterion to guide monetary policy. In the process, it has led to a rediscovery of the macroeconomic roots of financial instability. This review argues that this development is welcome but has not gone far enough. To substantiate this conclusion, the review documents this analytical and policy journey before suggesting a way forward.","DOI":"10.1146/annurev-financial-102710-144819","shortTitle":"Rediscovering the Macroeconomic Roots of Financial Stability Policy","author":[{"family":"Borio","given":"Claudio"}],"issued":{"date-parts":[["2011"]]}}},{"id":1723,"uris":["http://zotero.org/users/1397761/items/JJK9KIKT"],"uri":["http://zotero.org/users/1397761/items/JJK9KIKT"],"itemData":{"id":1723,"type":"book","title":"Handbook of Safeguarding Global Financial Stability: Political, Social, Cultural, and Economic Theories and Models","publisher":"Academic Press","number-of-pages":"547","source":"Google Books","abstract":"Political and social forces exert pressure on our globalized economy in many forms, from formal and informal policies to financial theories and technical models. Our efforts to shape and direct these forces to preserve financial stability reveal much about the ways we perceive the financial economy.  The Handbook of Safeguarding Global Financial Stability examines our political economy, particularly the ways in which these forces inhabit our institutions, strategies, and tactics. As economies expand and contract, these forces also determine the ways we supervise and regulate. This high-level examination of the global political economy includes articles about specific countries, crises, and international systems as well as broad articles about major concepts and trends.. Substantial articles by top scholars sets this volume apart from other information sources Diverse international perspectives result in new opportunities for analysis and researchRapidly developing subjects will interest readers well into the future","ISBN":"978-0-12-397875-2","shortTitle":"Handbook of Safeguarding Global Financial Stability","language":"en","author":[{"family":"Caprio","given":"Gerard"}],"issued":{"date-parts":[["2012",9,1]]}}}],"schema":"https://github.com/citation-style-language/schema/raw/master/csl-citation.json"}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(Minsky 1982, 1991; Kindleberger 2011; Borio 2011; Caprio 2012)</w:t>
      </w:r>
      <w:r w:rsidRPr="00585E03">
        <w:rPr>
          <w:rFonts w:ascii="Baskerville" w:hAnsi="Baskerville"/>
          <w:sz w:val="18"/>
          <w:szCs w:val="18"/>
        </w:rPr>
        <w:fldChar w:fldCharType="end"/>
      </w:r>
      <w:r w:rsidRPr="00184440">
        <w:rPr>
          <w:rFonts w:ascii="Baskerville" w:hAnsi="Baskerville"/>
          <w:sz w:val="18"/>
          <w:szCs w:val="18"/>
        </w:rPr>
        <w:tab/>
      </w:r>
    </w:p>
  </w:footnote>
  <w:footnote w:id="35">
    <w:p w14:paraId="4C69B830" w14:textId="574E6FD9"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Style w:val="Funotenzeichen"/>
          <w:rFonts w:cs="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{"citationID":"aKpoUlsi","properties":{"formattedCitation":"(Reddy 2007; Fontan, Claveau, and Dietsch 2016)","plainCitation":"(Reddy 2007; Fontan, Claveau, and Dietsch 2016)"},"citationItems":[{"id":694,"uris":["http://zotero.org/users/1397761/items/SZSVAG5V"],"uri":["http://zotero.org/users/1397761/items/SZSVAG5V"],"itemData":{"id":694,"type":"article-journal","title":"International Debt: The Constructive Implications of Some Moral Mathematics","container-title":"Ethics &amp; International Affairs","page":"33–48","volume":"21","issue":"1","source":"Wiley Online Library","abstract":"Present arrangements governing the accumulation and discharge of debt by states are difficult to justify fully on the basis of underlying normative considerations. States are different from individuals in important respects, and the deontological justifications that explain why individuals have a strong burden to abide by promises to repay do not straightforwardly apply to countries. Consequentialist considerations must play a central role in determining what norms should govern the accumulation and discharge of sovereign debt. Modified background norms for the accumulation and discharge of international debt which permit countries’ repayments to be made formally contingent on specific circumstances and the reasons that these circumstances have arisen are more likely to be morally justifiable than the existing rules, which in general require countries to repay their debts according to an inflexible schedule. Modified rules for the accumulation and discharge of international sovereign debt can codify the moral and legal basis for existing ad hoc deviations and present a justifiable framework within which international lending and borrowing can take place.","DOI":"10.1111/j.1747-7093.2007.00059.x","ISSN":"1747-7093","shortTitle":"International Debt","language":"en","author":[{"family":"Reddy","given":"Sanjay G."}],"issued":{"date-parts":[["2007"]]}}},{"id":3700,"uris":["http://zotero.org/users/1397761/items/NJW7J5PZ"],"uri":["http://zotero.org/users/1397761/items/NJW7J5PZ"],"itemData":{"id":3700,"type":"article-journal","title":"Central banking and inequalities Taking off the blinders","container-title":"Politics, Philosophy &amp; Economics","page":"1470594X16651056","source":"ppe.sagepub.com","abstract":"What is the relation between monetary policy and inequalities in income and wealth? This question has received insufficient attention, especially in light of the unconventional policies introduced since the 2008 financial crisis. The article analyzes three ways in which the concern central banks show for inequalities in their official statements remains incomplete and underdeveloped. First, central banks tend to care about inequality for instrumental reasons only. When they do assign intrinsic value to containing inequalities, they shy away from trade-offs with the standard objectives of monetary policy that such a position entails. Second, central banks play down the causal impact monetary policy has on inequalities. When they do acknowledge it, they defend their actions by claiming that it is an unintended side effect, that it is temporary, and/or that any alternative policy would fare even worse. The article appeals to the doctrine of double effect to criticize these arguments. Third, even if one accepts that inequalities should be contained and that today’s monetary policies exacerbate them, is it both desirable and feasible to make containing inequalities part of the mandate of central banks? The article analyzes and rejects three attempts on the part of central banks to answer this question negatively.","DOI":"10.1177/1470594X16651056","ISSN":"1470-594X, 1741-3060","journalAbbreviation":"Politics Philosophy Economics","language":"en","author":[{"family":"Fontan","given":"Clément"},{"family":"Claveau","given":"François"},{"family":"Dietsch","given":"Peter"}],"issued":{"date-parts":[["2016",6,7]]}}}],"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(Reddy 2007; Fontan, Claveau, and Dietsch 2016)</w:t>
      </w:r>
      <w:r w:rsidRPr="00585E03">
        <w:rPr>
          <w:rFonts w:ascii="Baskerville" w:hAnsi="Baskerville"/>
          <w:sz w:val="18"/>
          <w:szCs w:val="18"/>
        </w:rPr>
        <w:fldChar w:fldCharType="end"/>
      </w:r>
    </w:p>
  </w:footnote>
  <w:footnote w:id="36">
    <w:p w14:paraId="06A011B0" w14:textId="7ED2A5FC" w:rsidR="00FA6BF2" w:rsidRPr="00184440" w:rsidRDefault="00FA6BF2" w:rsidP="00727337">
      <w:pPr>
        <w:pStyle w:val="FootnoteText"/>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proofErr w:type="spellStart"/>
      <w:r w:rsidRPr="00184440">
        <w:rPr>
          <w:rFonts w:ascii="Baskerville" w:hAnsi="Baskerville"/>
          <w:sz w:val="18"/>
          <w:szCs w:val="18"/>
        </w:rPr>
        <w:t>Borio</w:t>
      </w:r>
      <w:proofErr w:type="spellEnd"/>
      <w:r w:rsidRPr="00184440">
        <w:rPr>
          <w:rFonts w:ascii="Baskerville" w:hAnsi="Baskerville"/>
          <w:sz w:val="18"/>
          <w:szCs w:val="18"/>
        </w:rPr>
        <w:t xml:space="preserve"> 2011, </w:t>
      </w:r>
      <w:proofErr w:type="spellStart"/>
      <w:r w:rsidRPr="00184440">
        <w:rPr>
          <w:rFonts w:ascii="Baskerville" w:hAnsi="Baskerville"/>
          <w:sz w:val="18"/>
          <w:szCs w:val="18"/>
        </w:rPr>
        <w:t>Mendicino</w:t>
      </w:r>
      <w:proofErr w:type="spellEnd"/>
      <w:r w:rsidRPr="00184440">
        <w:rPr>
          <w:rFonts w:ascii="Baskerville" w:hAnsi="Baskerville"/>
          <w:sz w:val="18"/>
          <w:szCs w:val="18"/>
        </w:rPr>
        <w:t xml:space="preserve"> and </w:t>
      </w:r>
      <w:proofErr w:type="spellStart"/>
      <w:r w:rsidRPr="00184440">
        <w:rPr>
          <w:rFonts w:ascii="Baskerville" w:hAnsi="Baskerville"/>
          <w:sz w:val="18"/>
          <w:szCs w:val="18"/>
        </w:rPr>
        <w:t>Punzi</w:t>
      </w:r>
      <w:proofErr w:type="spellEnd"/>
      <w:r w:rsidRPr="00184440">
        <w:rPr>
          <w:rFonts w:ascii="Baskerville" w:hAnsi="Baskerville"/>
          <w:sz w:val="18"/>
          <w:szCs w:val="18"/>
        </w:rPr>
        <w:t xml:space="preserve"> 2014, Rubio and Carrasco-</w:t>
      </w:r>
      <w:proofErr w:type="spellStart"/>
      <w:r w:rsidRPr="00184440">
        <w:rPr>
          <w:rFonts w:ascii="Baskerville" w:hAnsi="Baskerville"/>
          <w:sz w:val="18"/>
          <w:szCs w:val="18"/>
        </w:rPr>
        <w:t>Gallego</w:t>
      </w:r>
      <w:proofErr w:type="spellEnd"/>
      <w:r w:rsidRPr="00184440">
        <w:rPr>
          <w:rFonts w:ascii="Baskerville" w:hAnsi="Baskerville"/>
          <w:sz w:val="18"/>
          <w:szCs w:val="18"/>
        </w:rPr>
        <w:t xml:space="preserve"> 2014.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{"citationID":"hFohUvMA","properties":{"formattedCitation":"(Borio 2011; Mendicino and Punzi 2014; Rubio and Carrasco-Gallego 2014)","plainCitation":"(Borio 2011; Mendicino and Punzi 2014; Rubio and Carrasco-Gallego 2014)"},"citationItems":[{"id":301,"uris":["http://zotero.org/users/1397761/items/BENPCF5B"],"uri":["http://zotero.org/users/1397761/items/BENPCF5B"],"itemData":{"id":301,"type":"article-journal","title":"Rediscovering the Macroeconomic Roots of Financial Stability Policy: Journey, Challenges, and a Way Forward","container-title":"Annual Review of Financial Economics","page":"87-117","volume":"3","issue":"1","source":"Annual Reviews","abstract":"The recent financial crisis has triggered a major rethink of analytical approaches and policy toward financial stability. The crisis has encouraged a sharper focus on systemic risk, the inclusion of a financial sector in macroeconomic models, a shift from a microprudential to a macroprudential orientation in regulation and supervision, and questions about whether price stability is a sufficient criterion to guide monetary policy. In the process, it has led to a rediscovery of the macroeconomic roots of financial instability. This review argues that this development is welcome but has not gone far enough. To substantiate this conclusion, the review documents this analytical and policy journey before suggesting a way forward.","DOI":"10.1146/annurev-financial-102710-144819","shortTitle":"Rediscovering the Macroeconomic Roots of Financial Stability Policy","author":[{"family":"Borio","given":"Claudio"}],"issued":{"date-parts":[["2011"]]}}},{"id":3601,"uris":["http://zotero.org/users/1397761/items/M3EBSE4K"],"uri":["http://zotero.org/users/1397761/items/M3EBSE4K"],"itemData":{"id":3601,"type":"article-journal","title":"House prices, capital inflows and macroprudential policy","container-title":"Journal of Banking &amp; Finance","page":"337-355","volume":"49","source":"ScienceDirect","abstract":"This paper evaluates the monetary and macroprudential policies that mitigate the procyclicality arising from the interlinkages between current account deficits and financial vulnerabilities. We develop a two-country dynamic stochastic general equilibrium (DSGE) model with heterogeneous households and collateralised debt. The model predicts that external shocks are important in driving current account deficits that are coupled with run-ups in house prices and household debt. In this context, optimal policy features an interest-rate response to credit and a LTV ratio that countercyclically responds to house price dynamics. By allowing an interest-rate response to changes in financial variables, the monetary policy authority improves social welfare, because of the large welfare gains accrued to the Savers. The additional use of a countercyclical LTV ratio that responds to house prices, increases the ability of borrowers to smooth consumption over the cycle and is Pareto improving. Domestic and foreign shocks account for a similar fraction of the welfare gains delivered by such a policy.","DOI":"10.1016/j.jbankfin.2014.06.007","ISSN":"0378-4266","journalAbbreviation":"Journal of Banking &amp; Finance","author":[{"family":"Mendicino","given":"Caterina"},{"family":"Punzi","given":"Maria Teresa"}],"issued":{"date-parts":[["2014",12]]}}},{"id":3597,"uris":["http://zotero.org/users/1397761/items/TVAE3739"],"uri":["http://zotero.org/users/1397761/items/TVAE3739"],"itemData":{"id":3597,"type":"article-journal","title":"Macroprudential and monetary policies: Implications for financial stability and welfare","container-title":"Journal of Banking &amp; Finance","page":"326-336","volume":"49","source":"ScienceDirect","abstract":"In this paper, we analyze the implications of macroprudential and monetary policies for business cycles, welfare, and financial stability. We consider a dynamic stochastic general equilibrium (DSGE) model with housing and collateral constraints. A macroprudential rule for the loan-to-value ratio (LTV), which responds to credit growth, interacts with a traditional Taylor rule for monetary policy. We compute the optimal parameters of these rules both when monetary and macroprudential policies act in a coordinated and in a non-coordinated way. We find that both policies acting together unambiguously improves the stability of the system. In both cases, this interaction is welfare improving for the society, especially in the case of the non-coordinated game. There is though a trade-off between borrowers and savers. However, borrowers can compensate the saver’s welfare loss a ̀ la Kaldor–Hicks to achieve a Pareto-superior outcome.","DOI":"10.1016/j.jbankfin.2014.02.012","ISSN":"0378-4266","shortTitle":"Macroprudential and monetary policies","journalAbbreviation":"Journal of Banking &amp; Finance","author":[{"family":"Rubio","given":"Margarita"},{"family":"Carrasco-Gallego","given":"José A."}],"issued":{"date-parts":[["2014",12]]}}}],"schema":"https://github.com/citation-style-language/schema/raw/master/csl-citation.json"}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(Borio 2011; Mendicino and Punzi 2014; Rubio and Carrasco-Gallego 2014)</w:t>
      </w:r>
      <w:r w:rsidRPr="00585E03">
        <w:rPr>
          <w:rFonts w:ascii="Baskerville" w:hAnsi="Baskerville"/>
          <w:sz w:val="18"/>
          <w:szCs w:val="18"/>
        </w:rPr>
        <w:fldChar w:fldCharType="end"/>
      </w:r>
    </w:p>
  </w:footnote>
  <w:footnote w:id="37">
    <w:p w14:paraId="030454D9" w14:textId="385674C6" w:rsidR="00FA6BF2" w:rsidRPr="00184440" w:rsidRDefault="00FA6BF2" w:rsidP="006C4AEA">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{"citationID":"4IHc70Ja","properties":{"formattedCitation":"(Rubio and Carrasco-Gallego 2014, 12ff)","plainCitation":"(Rubio and Carrasco-Gallego 2014, 12ff)"},"citationItems":[{"id":3597,"uris":["http://zotero.org/users/1397761/items/TVAE3739"],"uri":["http://zotero.org/users/1397761/items/TVAE3739"],"itemData":{"id":3597,"type":"article-journal","title":"Macroprudential and monetary policies: Implications for financial stability and welfare","container-title":"Journal of Banking &amp; Finance","page":"326-336","volume":"49","source":"ScienceDirect","abstract":"In this paper, we analyze the implications of macroprudential and monetary policies for business cycles, welfare, and financial stability. We consider a dynamic stochastic general equilibrium (DSGE) model with housing and collateral constraints. A macroprudential rule for the loan-to-value ratio (LTV), which responds to credit growth, interacts with a traditional Taylor rule for monetary policy. We compute the optimal parameters of these rules both when monetary and macroprudential policies act in a coordinated and in a non-coordinated way. We find that both policies acting together unambiguously improves the stability of the system. In both cases, this interaction is welfare improving for the society, especially in the case of the non-coordinated game. There is though a trade-off between borrowers and savers. However, borrowers can compensate the saver’s welfare loss a ̀ la Kaldor–Hicks to achieve a Pareto-superior outcome.","DOI":"10.1016/j.jbankfin.2014.02.012","ISSN":"0378-4266","shortTitle":"Macroprudential and monetary policies","journalAbbreviation":"Journal of Banking &amp; Finance","author":[{"family":"Rubio","given":"Margarita"},{"family":"Carrasco-Gallego","given":"José A."}],"issued":{"date-parts":[["2014",12]]}},"locator":"12ff"}],"schema":"https://github.com/citation-style-language/schema/raw/master/csl-citation.json"}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(Rubio and Carrasco-Gallego 2014, 12ff)</w:t>
      </w:r>
      <w:r w:rsidRPr="00585E03">
        <w:rPr>
          <w:rFonts w:ascii="Baskerville" w:hAnsi="Baskerville"/>
          <w:sz w:val="18"/>
          <w:szCs w:val="18"/>
        </w:rPr>
        <w:fldChar w:fldCharType="end"/>
      </w:r>
    </w:p>
  </w:footnote>
  <w:footnote w:id="38">
    <w:p w14:paraId="2FCF3DAC" w14:textId="627E57A7" w:rsidR="00FA6BF2" w:rsidRPr="00184440" w:rsidRDefault="00FA6BF2" w:rsidP="00727337">
      <w:pPr>
        <w:pStyle w:val="FootnoteText1"/>
        <w:spacing w:after="0"/>
        <w:rPr>
          <w:rFonts w:ascii="Baskerville" w:hAnsi="Baskerville"/>
          <w:sz w:val="18"/>
          <w:szCs w:val="18"/>
        </w:rPr>
      </w:pPr>
      <w:r w:rsidRPr="00E93D72">
        <w:rPr>
          <w:rStyle w:val="FootnoteReference"/>
        </w:rPr>
        <w:footnoteRef/>
      </w:r>
      <w:r w:rsidRPr="00184440">
        <w:rPr>
          <w:rFonts w:ascii="Baskerville" w:hAnsi="Baskerville"/>
          <w:sz w:val="18"/>
          <w:szCs w:val="18"/>
        </w:rPr>
        <w:t xml:space="preserve"> </w:t>
      </w:r>
      <w:r w:rsidRPr="00585E03">
        <w:rPr>
          <w:rFonts w:ascii="Baskerville" w:hAnsi="Baskerville"/>
          <w:sz w:val="18"/>
          <w:szCs w:val="18"/>
        </w:rPr>
        <w:fldChar w:fldCharType="begin"/>
      </w:r>
      <w:r w:rsidRPr="00184440">
        <w:rPr>
          <w:rFonts w:ascii="Baskerville" w:hAnsi="Baskerville"/>
          <w:sz w:val="18"/>
          <w:szCs w:val="18"/>
        </w:rPr>
        <w:instrText xml:space="preserve"> ADDIN ZOTERO_ITEM CSL_CITATION {"citationID":"U94pd4oC","properties":{"formattedCitation":"(Aikman, Haldane, and Nelson 2015)","plainCitation":"(Aikman, Haldane, and Nelson 2015)"},"citationItems":[{"id":5035,"uris":["http://zotero.org/users/1397761/items/JJ7IGWQM"],"uri":["http://zotero.org/users/1397761/items/JJ7IGWQM"],"itemData":{"id":5035,"type":"article-journal","title":"Curbing the Credit Cycle","container-title":"The Economic Journal","page":"1072-1109","volume":"125","issue":"585","source":"Wiley Online Library","abstract":"Credit cycles have been a characteristic of advanced economies for over 100 years. On average, a sustained pick-up in the ratio of credit to GDP has been highly correlated with banking crises. The boom phases of the cycle are characterised by large deviations in credit from trend. A range of mechanisms can generate these effects, each of which has strategic complementarity between banks at its core. Macro-prudential policy could curb these credit cycles, both through raising the cost of maintaining risky portfolios and through an expectations channel that operates via banks' perceptions of other banks' actions.","DOI":"10.1111/ecoj.12113","ISSN":"1468-0297","journalAbbreviation":"Econ J","language":"en","author":[{"family":"Aikman","given":"David"},{"family":"Haldane","given":"Andrew G."},{"family":"Nelson","given":"Benjamin D."}],"issued":{"date-parts":[["2015",6,1]]}}}],"schema":"https://github.com/citation-style-language/schema/raw/master/csl-citation.json"} </w:instrText>
      </w:r>
      <w:r w:rsidRPr="00585E03">
        <w:rPr>
          <w:rFonts w:ascii="Baskerville" w:hAnsi="Baskerville"/>
          <w:sz w:val="18"/>
          <w:szCs w:val="18"/>
        </w:rPr>
        <w:fldChar w:fldCharType="separate"/>
      </w:r>
      <w:r w:rsidR="008A4DC8">
        <w:rPr>
          <w:rFonts w:ascii="Baskerville" w:hAnsi="Baskerville"/>
          <w:noProof/>
          <w:sz w:val="18"/>
          <w:szCs w:val="18"/>
        </w:rPr>
        <w:t>(Aikman, Haldane, and Nelson 2015)</w:t>
      </w:r>
      <w:r w:rsidRPr="00585E03">
        <w:rPr>
          <w:rFonts w:ascii="Baskerville" w:hAnsi="Baskerville"/>
          <w:sz w:val="18"/>
          <w:szCs w:val="18"/>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75BF3"/>
    <w:multiLevelType w:val="hybridMultilevel"/>
    <w:tmpl w:val="3C9EF2E8"/>
    <w:lvl w:ilvl="0" w:tplc="43EE63BC">
      <w:start w:val="1"/>
      <w:numFmt w:val="decimal"/>
      <w:lvlText w:val="(%1)"/>
      <w:lvlJc w:val="left"/>
      <w:pPr>
        <w:ind w:left="1080" w:hanging="360"/>
      </w:pPr>
      <w:rPr>
        <w:rFonts w:ascii="Baskerville" w:eastAsiaTheme="minorHAnsi" w:hAnsi="Baskerville"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E1C7728"/>
    <w:multiLevelType w:val="hybridMultilevel"/>
    <w:tmpl w:val="051427F2"/>
    <w:lvl w:ilvl="0" w:tplc="F37A3A06">
      <w:start w:val="1"/>
      <w:numFmt w:val="decimal"/>
      <w:lvlText w:val="%1."/>
      <w:lvlJc w:val="left"/>
      <w:pPr>
        <w:tabs>
          <w:tab w:val="num" w:pos="720"/>
        </w:tabs>
        <w:ind w:left="720" w:hanging="360"/>
      </w:pPr>
    </w:lvl>
    <w:lvl w:ilvl="1" w:tplc="573AAF2C" w:tentative="1">
      <w:start w:val="1"/>
      <w:numFmt w:val="decimal"/>
      <w:lvlText w:val="%2."/>
      <w:lvlJc w:val="left"/>
      <w:pPr>
        <w:tabs>
          <w:tab w:val="num" w:pos="1440"/>
        </w:tabs>
        <w:ind w:left="1440" w:hanging="360"/>
      </w:pPr>
    </w:lvl>
    <w:lvl w:ilvl="2" w:tplc="BA00152C" w:tentative="1">
      <w:start w:val="1"/>
      <w:numFmt w:val="decimal"/>
      <w:lvlText w:val="%3."/>
      <w:lvlJc w:val="left"/>
      <w:pPr>
        <w:tabs>
          <w:tab w:val="num" w:pos="2160"/>
        </w:tabs>
        <w:ind w:left="2160" w:hanging="360"/>
      </w:pPr>
    </w:lvl>
    <w:lvl w:ilvl="3" w:tplc="9B4C5F94" w:tentative="1">
      <w:start w:val="1"/>
      <w:numFmt w:val="decimal"/>
      <w:lvlText w:val="%4."/>
      <w:lvlJc w:val="left"/>
      <w:pPr>
        <w:tabs>
          <w:tab w:val="num" w:pos="2880"/>
        </w:tabs>
        <w:ind w:left="2880" w:hanging="360"/>
      </w:pPr>
    </w:lvl>
    <w:lvl w:ilvl="4" w:tplc="0FA20720" w:tentative="1">
      <w:start w:val="1"/>
      <w:numFmt w:val="decimal"/>
      <w:lvlText w:val="%5."/>
      <w:lvlJc w:val="left"/>
      <w:pPr>
        <w:tabs>
          <w:tab w:val="num" w:pos="3600"/>
        </w:tabs>
        <w:ind w:left="3600" w:hanging="360"/>
      </w:pPr>
    </w:lvl>
    <w:lvl w:ilvl="5" w:tplc="BA980E32" w:tentative="1">
      <w:start w:val="1"/>
      <w:numFmt w:val="decimal"/>
      <w:lvlText w:val="%6."/>
      <w:lvlJc w:val="left"/>
      <w:pPr>
        <w:tabs>
          <w:tab w:val="num" w:pos="4320"/>
        </w:tabs>
        <w:ind w:left="4320" w:hanging="360"/>
      </w:pPr>
    </w:lvl>
    <w:lvl w:ilvl="6" w:tplc="1264056A" w:tentative="1">
      <w:start w:val="1"/>
      <w:numFmt w:val="decimal"/>
      <w:lvlText w:val="%7."/>
      <w:lvlJc w:val="left"/>
      <w:pPr>
        <w:tabs>
          <w:tab w:val="num" w:pos="5040"/>
        </w:tabs>
        <w:ind w:left="5040" w:hanging="360"/>
      </w:pPr>
    </w:lvl>
    <w:lvl w:ilvl="7" w:tplc="2974BADE" w:tentative="1">
      <w:start w:val="1"/>
      <w:numFmt w:val="decimal"/>
      <w:lvlText w:val="%8."/>
      <w:lvlJc w:val="left"/>
      <w:pPr>
        <w:tabs>
          <w:tab w:val="num" w:pos="5760"/>
        </w:tabs>
        <w:ind w:left="5760" w:hanging="360"/>
      </w:pPr>
    </w:lvl>
    <w:lvl w:ilvl="8" w:tplc="779899F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AAB"/>
    <w:rsid w:val="00002309"/>
    <w:rsid w:val="00033DAB"/>
    <w:rsid w:val="00046429"/>
    <w:rsid w:val="00067C8D"/>
    <w:rsid w:val="0008090F"/>
    <w:rsid w:val="0008116E"/>
    <w:rsid w:val="000830F0"/>
    <w:rsid w:val="00096A73"/>
    <w:rsid w:val="00097AE8"/>
    <w:rsid w:val="000B6315"/>
    <w:rsid w:val="000C006A"/>
    <w:rsid w:val="000C311B"/>
    <w:rsid w:val="000C473D"/>
    <w:rsid w:val="000C72F0"/>
    <w:rsid w:val="000D0557"/>
    <w:rsid w:val="000D7504"/>
    <w:rsid w:val="000E3A6D"/>
    <w:rsid w:val="000F0432"/>
    <w:rsid w:val="0013220A"/>
    <w:rsid w:val="00147AAB"/>
    <w:rsid w:val="0017009E"/>
    <w:rsid w:val="0017359B"/>
    <w:rsid w:val="00173EA5"/>
    <w:rsid w:val="001751D5"/>
    <w:rsid w:val="00184440"/>
    <w:rsid w:val="001865A7"/>
    <w:rsid w:val="001932D8"/>
    <w:rsid w:val="001B450A"/>
    <w:rsid w:val="001C6157"/>
    <w:rsid w:val="001D18B0"/>
    <w:rsid w:val="001D438A"/>
    <w:rsid w:val="001D4885"/>
    <w:rsid w:val="001D644F"/>
    <w:rsid w:val="001E2FA0"/>
    <w:rsid w:val="001F1D77"/>
    <w:rsid w:val="001F3EB3"/>
    <w:rsid w:val="001F6E02"/>
    <w:rsid w:val="0020355A"/>
    <w:rsid w:val="002035F9"/>
    <w:rsid w:val="00214315"/>
    <w:rsid w:val="0022022E"/>
    <w:rsid w:val="00220870"/>
    <w:rsid w:val="002244BE"/>
    <w:rsid w:val="002261FE"/>
    <w:rsid w:val="00227141"/>
    <w:rsid w:val="00244800"/>
    <w:rsid w:val="00251381"/>
    <w:rsid w:val="00252A5E"/>
    <w:rsid w:val="00260B09"/>
    <w:rsid w:val="002635A8"/>
    <w:rsid w:val="0027268A"/>
    <w:rsid w:val="00273A20"/>
    <w:rsid w:val="00274BF8"/>
    <w:rsid w:val="00274C7E"/>
    <w:rsid w:val="00280363"/>
    <w:rsid w:val="00293545"/>
    <w:rsid w:val="002A52CD"/>
    <w:rsid w:val="002B5DCE"/>
    <w:rsid w:val="002D27D7"/>
    <w:rsid w:val="002D4DED"/>
    <w:rsid w:val="002F1A92"/>
    <w:rsid w:val="0030223C"/>
    <w:rsid w:val="003030C1"/>
    <w:rsid w:val="0031073E"/>
    <w:rsid w:val="00310B04"/>
    <w:rsid w:val="00317513"/>
    <w:rsid w:val="003475A3"/>
    <w:rsid w:val="00353073"/>
    <w:rsid w:val="00353DBA"/>
    <w:rsid w:val="00357CC5"/>
    <w:rsid w:val="00374EAD"/>
    <w:rsid w:val="00380881"/>
    <w:rsid w:val="003A5988"/>
    <w:rsid w:val="003B42A5"/>
    <w:rsid w:val="003C36C2"/>
    <w:rsid w:val="003E54FD"/>
    <w:rsid w:val="00402DFA"/>
    <w:rsid w:val="00402FAA"/>
    <w:rsid w:val="00404067"/>
    <w:rsid w:val="00413EA2"/>
    <w:rsid w:val="00436995"/>
    <w:rsid w:val="00437CE1"/>
    <w:rsid w:val="0044099F"/>
    <w:rsid w:val="00455163"/>
    <w:rsid w:val="004862D2"/>
    <w:rsid w:val="004A0C85"/>
    <w:rsid w:val="004A2A98"/>
    <w:rsid w:val="004B1615"/>
    <w:rsid w:val="004C00AE"/>
    <w:rsid w:val="004D1AC8"/>
    <w:rsid w:val="004D35E3"/>
    <w:rsid w:val="004E6C36"/>
    <w:rsid w:val="004F1845"/>
    <w:rsid w:val="004F1963"/>
    <w:rsid w:val="004F4BC1"/>
    <w:rsid w:val="004F5601"/>
    <w:rsid w:val="00500791"/>
    <w:rsid w:val="00500B8F"/>
    <w:rsid w:val="00505614"/>
    <w:rsid w:val="00511F4B"/>
    <w:rsid w:val="0052299C"/>
    <w:rsid w:val="005525A0"/>
    <w:rsid w:val="00560495"/>
    <w:rsid w:val="0057193D"/>
    <w:rsid w:val="0057406A"/>
    <w:rsid w:val="00583C25"/>
    <w:rsid w:val="00585E03"/>
    <w:rsid w:val="005B2FF2"/>
    <w:rsid w:val="005C0B95"/>
    <w:rsid w:val="005C0F0B"/>
    <w:rsid w:val="005D2229"/>
    <w:rsid w:val="005D625E"/>
    <w:rsid w:val="00620EEC"/>
    <w:rsid w:val="00624987"/>
    <w:rsid w:val="00625BDF"/>
    <w:rsid w:val="006262D0"/>
    <w:rsid w:val="006300F5"/>
    <w:rsid w:val="00641285"/>
    <w:rsid w:val="006415E7"/>
    <w:rsid w:val="00663C27"/>
    <w:rsid w:val="006757DE"/>
    <w:rsid w:val="00676999"/>
    <w:rsid w:val="00682803"/>
    <w:rsid w:val="006A3E0B"/>
    <w:rsid w:val="006A6E2C"/>
    <w:rsid w:val="006B683F"/>
    <w:rsid w:val="006C4AEA"/>
    <w:rsid w:val="006D6886"/>
    <w:rsid w:val="006F266F"/>
    <w:rsid w:val="00700C19"/>
    <w:rsid w:val="007108AD"/>
    <w:rsid w:val="0071585B"/>
    <w:rsid w:val="00717E7A"/>
    <w:rsid w:val="00727337"/>
    <w:rsid w:val="0073001D"/>
    <w:rsid w:val="007307F2"/>
    <w:rsid w:val="00752E85"/>
    <w:rsid w:val="00757740"/>
    <w:rsid w:val="00760591"/>
    <w:rsid w:val="00780586"/>
    <w:rsid w:val="00784474"/>
    <w:rsid w:val="00786E2E"/>
    <w:rsid w:val="00791270"/>
    <w:rsid w:val="007A13DA"/>
    <w:rsid w:val="007A1A00"/>
    <w:rsid w:val="007A5839"/>
    <w:rsid w:val="007B1356"/>
    <w:rsid w:val="007B7C7A"/>
    <w:rsid w:val="007C449D"/>
    <w:rsid w:val="007C79AE"/>
    <w:rsid w:val="007C7C13"/>
    <w:rsid w:val="007D31AD"/>
    <w:rsid w:val="007F38CF"/>
    <w:rsid w:val="007F6AD1"/>
    <w:rsid w:val="007F7F66"/>
    <w:rsid w:val="00811308"/>
    <w:rsid w:val="0081650D"/>
    <w:rsid w:val="00836047"/>
    <w:rsid w:val="00855CC2"/>
    <w:rsid w:val="008579E9"/>
    <w:rsid w:val="00861532"/>
    <w:rsid w:val="0086308A"/>
    <w:rsid w:val="0086499A"/>
    <w:rsid w:val="00867746"/>
    <w:rsid w:val="008710A2"/>
    <w:rsid w:val="00881D8A"/>
    <w:rsid w:val="00883A09"/>
    <w:rsid w:val="00884EDF"/>
    <w:rsid w:val="008A3A49"/>
    <w:rsid w:val="008A4DC8"/>
    <w:rsid w:val="008B756F"/>
    <w:rsid w:val="008D54D1"/>
    <w:rsid w:val="009003E9"/>
    <w:rsid w:val="0090332C"/>
    <w:rsid w:val="0090498F"/>
    <w:rsid w:val="00913359"/>
    <w:rsid w:val="00916FE3"/>
    <w:rsid w:val="00935548"/>
    <w:rsid w:val="009439CD"/>
    <w:rsid w:val="009571B0"/>
    <w:rsid w:val="0096096A"/>
    <w:rsid w:val="009665F7"/>
    <w:rsid w:val="00966BDB"/>
    <w:rsid w:val="00970CEC"/>
    <w:rsid w:val="00996BF3"/>
    <w:rsid w:val="009A154E"/>
    <w:rsid w:val="009A568A"/>
    <w:rsid w:val="009A7F81"/>
    <w:rsid w:val="009B45B5"/>
    <w:rsid w:val="009B79A9"/>
    <w:rsid w:val="009E06A1"/>
    <w:rsid w:val="009E1CB3"/>
    <w:rsid w:val="00A00FFD"/>
    <w:rsid w:val="00A237FE"/>
    <w:rsid w:val="00A41181"/>
    <w:rsid w:val="00A41F37"/>
    <w:rsid w:val="00A44CF0"/>
    <w:rsid w:val="00A45E16"/>
    <w:rsid w:val="00A6363C"/>
    <w:rsid w:val="00A65329"/>
    <w:rsid w:val="00A70EAA"/>
    <w:rsid w:val="00A71CD6"/>
    <w:rsid w:val="00A754DE"/>
    <w:rsid w:val="00A80DF5"/>
    <w:rsid w:val="00A86792"/>
    <w:rsid w:val="00A9415F"/>
    <w:rsid w:val="00AC60B9"/>
    <w:rsid w:val="00AC76DD"/>
    <w:rsid w:val="00AD6B63"/>
    <w:rsid w:val="00AE357E"/>
    <w:rsid w:val="00AE59FD"/>
    <w:rsid w:val="00AF4DDB"/>
    <w:rsid w:val="00B13846"/>
    <w:rsid w:val="00B15005"/>
    <w:rsid w:val="00B17206"/>
    <w:rsid w:val="00B1776D"/>
    <w:rsid w:val="00B203A5"/>
    <w:rsid w:val="00B26E6D"/>
    <w:rsid w:val="00B30036"/>
    <w:rsid w:val="00B404B0"/>
    <w:rsid w:val="00B52011"/>
    <w:rsid w:val="00B560B1"/>
    <w:rsid w:val="00B6528B"/>
    <w:rsid w:val="00B70F66"/>
    <w:rsid w:val="00B858F9"/>
    <w:rsid w:val="00B90055"/>
    <w:rsid w:val="00B95C3B"/>
    <w:rsid w:val="00BB2020"/>
    <w:rsid w:val="00BC18BB"/>
    <w:rsid w:val="00BF349C"/>
    <w:rsid w:val="00C0588E"/>
    <w:rsid w:val="00C60162"/>
    <w:rsid w:val="00C605D4"/>
    <w:rsid w:val="00C76C98"/>
    <w:rsid w:val="00C83AAF"/>
    <w:rsid w:val="00C84B52"/>
    <w:rsid w:val="00C96E90"/>
    <w:rsid w:val="00CB10FD"/>
    <w:rsid w:val="00CB2A74"/>
    <w:rsid w:val="00CD5A6C"/>
    <w:rsid w:val="00CE7F39"/>
    <w:rsid w:val="00D05856"/>
    <w:rsid w:val="00D11330"/>
    <w:rsid w:val="00D12860"/>
    <w:rsid w:val="00D12F11"/>
    <w:rsid w:val="00D135B1"/>
    <w:rsid w:val="00D1529F"/>
    <w:rsid w:val="00D178CC"/>
    <w:rsid w:val="00D20316"/>
    <w:rsid w:val="00D310C0"/>
    <w:rsid w:val="00D3212F"/>
    <w:rsid w:val="00D75865"/>
    <w:rsid w:val="00D8055B"/>
    <w:rsid w:val="00D82E7C"/>
    <w:rsid w:val="00D873F7"/>
    <w:rsid w:val="00D9186B"/>
    <w:rsid w:val="00D937B1"/>
    <w:rsid w:val="00D9514A"/>
    <w:rsid w:val="00D952CF"/>
    <w:rsid w:val="00D9582A"/>
    <w:rsid w:val="00DA051F"/>
    <w:rsid w:val="00DA546B"/>
    <w:rsid w:val="00DB411B"/>
    <w:rsid w:val="00DB66EB"/>
    <w:rsid w:val="00DC4E83"/>
    <w:rsid w:val="00DC5529"/>
    <w:rsid w:val="00DD28C6"/>
    <w:rsid w:val="00DD45C3"/>
    <w:rsid w:val="00DF073E"/>
    <w:rsid w:val="00DF288A"/>
    <w:rsid w:val="00DF774D"/>
    <w:rsid w:val="00E01480"/>
    <w:rsid w:val="00E20566"/>
    <w:rsid w:val="00E33F48"/>
    <w:rsid w:val="00E45B66"/>
    <w:rsid w:val="00E533E0"/>
    <w:rsid w:val="00E571E7"/>
    <w:rsid w:val="00E57737"/>
    <w:rsid w:val="00E57B50"/>
    <w:rsid w:val="00E67756"/>
    <w:rsid w:val="00E756DE"/>
    <w:rsid w:val="00E8414B"/>
    <w:rsid w:val="00E87939"/>
    <w:rsid w:val="00E93D72"/>
    <w:rsid w:val="00EA4279"/>
    <w:rsid w:val="00EB4C7F"/>
    <w:rsid w:val="00ED46F4"/>
    <w:rsid w:val="00EE09A7"/>
    <w:rsid w:val="00EF0F99"/>
    <w:rsid w:val="00F000C0"/>
    <w:rsid w:val="00F16DF4"/>
    <w:rsid w:val="00F444E4"/>
    <w:rsid w:val="00F45CF9"/>
    <w:rsid w:val="00F45E5F"/>
    <w:rsid w:val="00F74EBE"/>
    <w:rsid w:val="00F771CF"/>
    <w:rsid w:val="00F842BE"/>
    <w:rsid w:val="00F858A1"/>
    <w:rsid w:val="00F876B8"/>
    <w:rsid w:val="00F90826"/>
    <w:rsid w:val="00F978BA"/>
    <w:rsid w:val="00FA1615"/>
    <w:rsid w:val="00FA6BF2"/>
    <w:rsid w:val="00FB368C"/>
    <w:rsid w:val="00FB6F21"/>
    <w:rsid w:val="00FB7916"/>
    <w:rsid w:val="00FC6B2A"/>
    <w:rsid w:val="00FD08F2"/>
    <w:rsid w:val="00FD202D"/>
    <w:rsid w:val="00FD2DE7"/>
    <w:rsid w:val="00FE03C0"/>
    <w:rsid w:val="00FF49AE"/>
    <w:rsid w:val="00FF5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6C6F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7AAB"/>
  </w:style>
  <w:style w:type="paragraph" w:styleId="Heading1">
    <w:name w:val="heading 1"/>
    <w:basedOn w:val="Normal"/>
    <w:next w:val="Normal"/>
    <w:link w:val="Heading1Char"/>
    <w:uiPriority w:val="9"/>
    <w:qFormat/>
    <w:rsid w:val="00147A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5C3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A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7A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A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7AAB"/>
    <w:pPr>
      <w:ind w:left="720"/>
      <w:contextualSpacing/>
    </w:pPr>
  </w:style>
  <w:style w:type="character" w:customStyle="1" w:styleId="Heading2Char">
    <w:name w:val="Heading 2 Char"/>
    <w:basedOn w:val="DefaultParagraphFont"/>
    <w:link w:val="Heading2"/>
    <w:uiPriority w:val="9"/>
    <w:rsid w:val="00B95C3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6B683F"/>
    <w:rPr>
      <w:rFonts w:ascii="Times New Roman" w:hAnsi="Times New Roman" w:cs="Times New Roman"/>
    </w:rPr>
  </w:style>
  <w:style w:type="paragraph" w:styleId="FootnoteText">
    <w:name w:val="footnote text"/>
    <w:basedOn w:val="Normal"/>
    <w:link w:val="FootnoteTextChar"/>
    <w:uiPriority w:val="99"/>
    <w:unhideWhenUsed/>
    <w:rsid w:val="00E67756"/>
  </w:style>
  <w:style w:type="character" w:customStyle="1" w:styleId="FootnoteTextChar">
    <w:name w:val="Footnote Text Char"/>
    <w:basedOn w:val="DefaultParagraphFont"/>
    <w:link w:val="FootnoteText"/>
    <w:uiPriority w:val="99"/>
    <w:rsid w:val="00E67756"/>
  </w:style>
  <w:style w:type="character" w:styleId="FootnoteReference">
    <w:name w:val="footnote reference"/>
    <w:basedOn w:val="DefaultParagraphFont"/>
    <w:unhideWhenUsed/>
    <w:rsid w:val="00E67756"/>
    <w:rPr>
      <w:vertAlign w:val="superscript"/>
    </w:rPr>
  </w:style>
  <w:style w:type="paragraph" w:styleId="BodyText">
    <w:name w:val="Body Text"/>
    <w:basedOn w:val="Normal"/>
    <w:link w:val="BodyTextChar"/>
    <w:rsid w:val="00F45CF9"/>
    <w:pPr>
      <w:suppressAutoHyphens/>
      <w:spacing w:before="180" w:after="180"/>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F45CF9"/>
    <w:rPr>
      <w:rFonts w:ascii="Times New Roman" w:eastAsia="Times New Roman" w:hAnsi="Times New Roman" w:cs="Times New Roman"/>
      <w:sz w:val="20"/>
      <w:szCs w:val="20"/>
      <w:lang w:eastAsia="en-GB"/>
    </w:rPr>
  </w:style>
  <w:style w:type="character" w:customStyle="1" w:styleId="Funotenzeichen">
    <w:name w:val="Fußnotenzeichen"/>
    <w:rsid w:val="00F45CF9"/>
    <w:rPr>
      <w:rFonts w:ascii="Baskerville" w:hAnsi="Baskerville"/>
      <w:vertAlign w:val="superscript"/>
    </w:rPr>
  </w:style>
  <w:style w:type="paragraph" w:customStyle="1" w:styleId="FootnoteText1">
    <w:name w:val="Footnote Text1"/>
    <w:basedOn w:val="Normal"/>
    <w:rsid w:val="00F45CF9"/>
    <w:pPr>
      <w:suppressAutoHyphens/>
      <w:spacing w:after="200"/>
    </w:pPr>
    <w:rPr>
      <w:rFonts w:ascii="Times New Roman" w:eastAsia="Times New Roman" w:hAnsi="Times New Roman" w:cs="Times New Roman"/>
      <w:sz w:val="20"/>
      <w:szCs w:val="20"/>
      <w:lang w:eastAsia="en-GB"/>
    </w:rPr>
  </w:style>
  <w:style w:type="paragraph" w:styleId="Caption">
    <w:name w:val="caption"/>
    <w:basedOn w:val="Normal"/>
    <w:next w:val="Normal"/>
    <w:uiPriority w:val="35"/>
    <w:unhideWhenUsed/>
    <w:qFormat/>
    <w:rsid w:val="00F45CF9"/>
    <w:pPr>
      <w:spacing w:after="200"/>
    </w:pPr>
    <w:rPr>
      <w:i/>
      <w:iCs/>
      <w:color w:val="44546A" w:themeColor="text2"/>
      <w:sz w:val="18"/>
      <w:szCs w:val="18"/>
    </w:rPr>
  </w:style>
  <w:style w:type="character" w:styleId="Hyperlink">
    <w:name w:val="Hyperlink"/>
    <w:basedOn w:val="DefaultParagraphFont"/>
    <w:uiPriority w:val="99"/>
    <w:unhideWhenUsed/>
    <w:rsid w:val="008579E9"/>
    <w:rPr>
      <w:color w:val="0563C1" w:themeColor="hyperlink"/>
      <w:u w:val="single"/>
    </w:rPr>
  </w:style>
  <w:style w:type="paragraph" w:styleId="Footer">
    <w:name w:val="footer"/>
    <w:basedOn w:val="Normal"/>
    <w:link w:val="FooterChar"/>
    <w:uiPriority w:val="99"/>
    <w:unhideWhenUsed/>
    <w:rsid w:val="00560495"/>
    <w:pPr>
      <w:tabs>
        <w:tab w:val="center" w:pos="4513"/>
        <w:tab w:val="right" w:pos="9026"/>
      </w:tabs>
    </w:pPr>
  </w:style>
  <w:style w:type="character" w:customStyle="1" w:styleId="FooterChar">
    <w:name w:val="Footer Char"/>
    <w:basedOn w:val="DefaultParagraphFont"/>
    <w:link w:val="Footer"/>
    <w:uiPriority w:val="99"/>
    <w:rsid w:val="00560495"/>
  </w:style>
  <w:style w:type="character" w:styleId="PageNumber">
    <w:name w:val="page number"/>
    <w:basedOn w:val="DefaultParagraphFont"/>
    <w:uiPriority w:val="99"/>
    <w:semiHidden/>
    <w:unhideWhenUsed/>
    <w:rsid w:val="00560495"/>
  </w:style>
  <w:style w:type="paragraph" w:customStyle="1" w:styleId="FirstParagraph">
    <w:name w:val="First Paragraph"/>
    <w:basedOn w:val="BodyText"/>
    <w:rsid w:val="00A41181"/>
  </w:style>
  <w:style w:type="character" w:customStyle="1" w:styleId="VerbatimChar">
    <w:name w:val="Verbatim Char"/>
    <w:basedOn w:val="DefaultParagraphFont"/>
    <w:rsid w:val="00D952CF"/>
  </w:style>
  <w:style w:type="paragraph" w:customStyle="1" w:styleId="SourceCode">
    <w:name w:val="Source Code"/>
    <w:basedOn w:val="Normal"/>
    <w:rsid w:val="00D952CF"/>
    <w:pPr>
      <w:suppressAutoHyphens/>
      <w:spacing w:after="200"/>
    </w:pPr>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FD2DE7"/>
    <w:pPr>
      <w:tabs>
        <w:tab w:val="center" w:pos="4513"/>
        <w:tab w:val="right" w:pos="9026"/>
      </w:tabs>
    </w:pPr>
  </w:style>
  <w:style w:type="character" w:customStyle="1" w:styleId="HeaderChar">
    <w:name w:val="Header Char"/>
    <w:basedOn w:val="DefaultParagraphFont"/>
    <w:link w:val="Header"/>
    <w:uiPriority w:val="99"/>
    <w:rsid w:val="00FD2DE7"/>
  </w:style>
  <w:style w:type="paragraph" w:styleId="BalloonText">
    <w:name w:val="Balloon Text"/>
    <w:basedOn w:val="Normal"/>
    <w:link w:val="BalloonTextChar"/>
    <w:uiPriority w:val="99"/>
    <w:semiHidden/>
    <w:unhideWhenUsed/>
    <w:rsid w:val="006757D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57DE"/>
    <w:rPr>
      <w:rFonts w:ascii="Times New Roman" w:hAnsi="Times New Roman" w:cs="Times New Roman"/>
      <w:sz w:val="18"/>
      <w:szCs w:val="18"/>
    </w:rPr>
  </w:style>
  <w:style w:type="table" w:customStyle="1" w:styleId="PlainTable11">
    <w:name w:val="Plain Table 11"/>
    <w:basedOn w:val="TableNormal"/>
    <w:uiPriority w:val="41"/>
    <w:rsid w:val="0072733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727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C6B2A"/>
    <w:rPr>
      <w:color w:val="954F72" w:themeColor="followedHyperlink"/>
      <w:u w:val="single"/>
    </w:rPr>
  </w:style>
  <w:style w:type="paragraph" w:styleId="Bibliography">
    <w:name w:val="Bibliography"/>
    <w:basedOn w:val="Normal"/>
    <w:next w:val="Normal"/>
    <w:uiPriority w:val="37"/>
    <w:unhideWhenUsed/>
    <w:rsid w:val="00B560B1"/>
    <w:pPr>
      <w:ind w:left="720" w:hanging="720"/>
    </w:pPr>
  </w:style>
  <w:style w:type="character" w:styleId="CommentReference">
    <w:name w:val="annotation reference"/>
    <w:basedOn w:val="DefaultParagraphFont"/>
    <w:uiPriority w:val="99"/>
    <w:semiHidden/>
    <w:unhideWhenUsed/>
    <w:rsid w:val="0008116E"/>
    <w:rPr>
      <w:sz w:val="16"/>
      <w:szCs w:val="16"/>
    </w:rPr>
  </w:style>
  <w:style w:type="paragraph" w:styleId="CommentText">
    <w:name w:val="annotation text"/>
    <w:basedOn w:val="Normal"/>
    <w:link w:val="CommentTextChar"/>
    <w:uiPriority w:val="99"/>
    <w:semiHidden/>
    <w:unhideWhenUsed/>
    <w:rsid w:val="0008116E"/>
    <w:rPr>
      <w:sz w:val="20"/>
      <w:szCs w:val="20"/>
    </w:rPr>
  </w:style>
  <w:style w:type="character" w:customStyle="1" w:styleId="CommentTextChar">
    <w:name w:val="Comment Text Char"/>
    <w:basedOn w:val="DefaultParagraphFont"/>
    <w:link w:val="CommentText"/>
    <w:uiPriority w:val="99"/>
    <w:semiHidden/>
    <w:rsid w:val="0008116E"/>
    <w:rPr>
      <w:sz w:val="20"/>
      <w:szCs w:val="20"/>
    </w:rPr>
  </w:style>
  <w:style w:type="paragraph" w:styleId="CommentSubject">
    <w:name w:val="annotation subject"/>
    <w:basedOn w:val="CommentText"/>
    <w:next w:val="CommentText"/>
    <w:link w:val="CommentSubjectChar"/>
    <w:uiPriority w:val="99"/>
    <w:semiHidden/>
    <w:unhideWhenUsed/>
    <w:rsid w:val="0008116E"/>
    <w:rPr>
      <w:b/>
      <w:bCs/>
    </w:rPr>
  </w:style>
  <w:style w:type="character" w:customStyle="1" w:styleId="CommentSubjectChar">
    <w:name w:val="Comment Subject Char"/>
    <w:basedOn w:val="CommentTextChar"/>
    <w:link w:val="CommentSubject"/>
    <w:uiPriority w:val="99"/>
    <w:semiHidden/>
    <w:rsid w:val="0008116E"/>
    <w:rPr>
      <w:b/>
      <w:bCs/>
      <w:sz w:val="20"/>
      <w:szCs w:val="20"/>
    </w:rPr>
  </w:style>
  <w:style w:type="character" w:styleId="EndnoteReference">
    <w:name w:val="endnote reference"/>
    <w:basedOn w:val="DefaultParagraphFont"/>
    <w:uiPriority w:val="99"/>
    <w:semiHidden/>
    <w:unhideWhenUsed/>
    <w:rsid w:val="00DF7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677228">
      <w:bodyDiv w:val="1"/>
      <w:marLeft w:val="0"/>
      <w:marRight w:val="0"/>
      <w:marTop w:val="0"/>
      <w:marBottom w:val="0"/>
      <w:divBdr>
        <w:top w:val="none" w:sz="0" w:space="0" w:color="auto"/>
        <w:left w:val="none" w:sz="0" w:space="0" w:color="auto"/>
        <w:bottom w:val="none" w:sz="0" w:space="0" w:color="auto"/>
        <w:right w:val="none" w:sz="0" w:space="0" w:color="auto"/>
      </w:divBdr>
    </w:div>
    <w:div w:id="897858684">
      <w:bodyDiv w:val="1"/>
      <w:marLeft w:val="0"/>
      <w:marRight w:val="0"/>
      <w:marTop w:val="0"/>
      <w:marBottom w:val="0"/>
      <w:divBdr>
        <w:top w:val="none" w:sz="0" w:space="0" w:color="auto"/>
        <w:left w:val="none" w:sz="0" w:space="0" w:color="auto"/>
        <w:bottom w:val="none" w:sz="0" w:space="0" w:color="auto"/>
        <w:right w:val="none" w:sz="0" w:space="0" w:color="auto"/>
      </w:divBdr>
    </w:div>
    <w:div w:id="921917197">
      <w:bodyDiv w:val="1"/>
      <w:marLeft w:val="0"/>
      <w:marRight w:val="0"/>
      <w:marTop w:val="0"/>
      <w:marBottom w:val="0"/>
      <w:divBdr>
        <w:top w:val="none" w:sz="0" w:space="0" w:color="auto"/>
        <w:left w:val="none" w:sz="0" w:space="0" w:color="auto"/>
        <w:bottom w:val="none" w:sz="0" w:space="0" w:color="auto"/>
        <w:right w:val="none" w:sz="0" w:space="0" w:color="auto"/>
      </w:divBdr>
      <w:divsChild>
        <w:div w:id="748578032">
          <w:marLeft w:val="360"/>
          <w:marRight w:val="0"/>
          <w:marTop w:val="200"/>
          <w:marBottom w:val="0"/>
          <w:divBdr>
            <w:top w:val="none" w:sz="0" w:space="0" w:color="auto"/>
            <w:left w:val="none" w:sz="0" w:space="0" w:color="auto"/>
            <w:bottom w:val="none" w:sz="0" w:space="0" w:color="auto"/>
            <w:right w:val="none" w:sz="0" w:space="0" w:color="auto"/>
          </w:divBdr>
        </w:div>
        <w:div w:id="556477831">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46DAAA-D669-174B-9C51-50BC0B2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8361</Words>
  <Characters>47662</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Meyer</dc:creator>
  <cp:keywords/>
  <dc:description/>
  <cp:lastModifiedBy>Marco Meyer</cp:lastModifiedBy>
  <cp:revision>4</cp:revision>
  <dcterms:created xsi:type="dcterms:W3CDTF">2017-12-13T12:00:00Z</dcterms:created>
  <dcterms:modified xsi:type="dcterms:W3CDTF">2017-12-13T12:34:00Z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zotero-version="5.0.30"&gt;&lt;session id="2JtbIkc7"/&gt;&lt;style id="http://www.zotero.org/styles/chicago-author-date-no-doi" locale="en-GB" hasBibliography="1" bibliographyStyleHasBeenSet="1"/&gt;&lt;prefs&gt;&lt;pref name="fieldType" value="Field"/&gt;&lt;pr</vt:lpwstr>
  </property>
  <property fmtid="{D5CDD505-2E9C-101B-9397-08002B2CF9AE}" pid="3" name="ZOTERO_PREF_2">
    <vt:lpwstr>ef name="automaticJournalAbbreviations" value="true"/&gt;&lt;pref name="noteType" value="0"/&gt;&lt;/prefs&gt;&lt;/data&gt;</vt:lpwstr>
  </property>
</Properties>
</file>