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BE" w:rsidRPr="00AC7184" w:rsidRDefault="00E111BE">
      <w:pPr>
        <w:rPr>
          <w:rFonts w:asciiTheme="minorHAnsi" w:hAnsiTheme="minorHAnsi" w:cs="Times New Roman"/>
        </w:rPr>
      </w:pPr>
      <w:r w:rsidRPr="00AC7184">
        <w:rPr>
          <w:rFonts w:asciiTheme="minorHAnsi" w:hAnsiTheme="minorHAnsi" w:cs="Times New Roman"/>
        </w:rPr>
        <w:t>Review article</w:t>
      </w:r>
    </w:p>
    <w:p w:rsidR="00E111BE" w:rsidRDefault="00E111BE">
      <w:pPr>
        <w:rPr>
          <w:rFonts w:asciiTheme="minorHAnsi" w:hAnsiTheme="minorHAnsi" w:cs="Times New Roman"/>
          <w:b/>
        </w:rPr>
      </w:pPr>
      <w:r w:rsidRPr="000A22F7">
        <w:rPr>
          <w:rFonts w:asciiTheme="minorHAnsi" w:hAnsiTheme="minorHAnsi" w:cs="Times New Roman"/>
          <w:b/>
        </w:rPr>
        <w:t>Strimvelis for treating severe combined immunodeficiency caused by adenosine deaminase deficiency: an evidence review group perspective of a NICE Highly Specialised Technology evaluation</w:t>
      </w:r>
    </w:p>
    <w:p w:rsidR="00E111BE" w:rsidRPr="00754CD2" w:rsidRDefault="00E111BE">
      <w:pPr>
        <w:rPr>
          <w:rFonts w:asciiTheme="minorHAnsi" w:hAnsiTheme="minorHAnsi" w:cs="Times New Roman"/>
          <w:vertAlign w:val="superscript"/>
        </w:rPr>
      </w:pPr>
      <w:r w:rsidRPr="006860A3">
        <w:rPr>
          <w:rFonts w:asciiTheme="minorHAnsi" w:hAnsiTheme="minorHAnsi" w:cs="Times New Roman"/>
        </w:rPr>
        <w:t>Emily South</w:t>
      </w:r>
      <w:r>
        <w:rPr>
          <w:rFonts w:asciiTheme="minorHAnsi" w:hAnsiTheme="minorHAnsi" w:cs="Times New Roman"/>
          <w:vertAlign w:val="superscript"/>
        </w:rPr>
        <w:t>1</w:t>
      </w:r>
      <w:r w:rsidRPr="006860A3">
        <w:rPr>
          <w:rFonts w:asciiTheme="minorHAnsi" w:hAnsiTheme="minorHAnsi" w:cs="Times New Roman"/>
        </w:rPr>
        <w:t xml:space="preserve">, </w:t>
      </w:r>
      <w:r>
        <w:rPr>
          <w:rFonts w:asciiTheme="minorHAnsi" w:hAnsiTheme="minorHAnsi" w:cs="Times New Roman"/>
        </w:rPr>
        <w:t>Edward Cox</w:t>
      </w:r>
      <w:r>
        <w:rPr>
          <w:rFonts w:asciiTheme="minorHAnsi" w:hAnsiTheme="minorHAnsi" w:cs="Times New Roman"/>
          <w:vertAlign w:val="superscript"/>
        </w:rPr>
        <w:t>2</w:t>
      </w:r>
      <w:r>
        <w:rPr>
          <w:rFonts w:asciiTheme="minorHAnsi" w:hAnsiTheme="minorHAnsi" w:cs="Times New Roman"/>
        </w:rPr>
        <w:t>, Nick Meader</w:t>
      </w:r>
      <w:r>
        <w:rPr>
          <w:rFonts w:asciiTheme="minorHAnsi" w:hAnsiTheme="minorHAnsi" w:cs="Times New Roman"/>
          <w:vertAlign w:val="superscript"/>
        </w:rPr>
        <w:t>1</w:t>
      </w:r>
      <w:r>
        <w:rPr>
          <w:rFonts w:asciiTheme="minorHAnsi" w:hAnsiTheme="minorHAnsi" w:cs="Times New Roman"/>
        </w:rPr>
        <w:t>, Nerys Woolacott</w:t>
      </w:r>
      <w:r>
        <w:rPr>
          <w:rFonts w:asciiTheme="minorHAnsi" w:hAnsiTheme="minorHAnsi" w:cs="Times New Roman"/>
          <w:vertAlign w:val="superscript"/>
        </w:rPr>
        <w:t>1</w:t>
      </w:r>
      <w:r>
        <w:rPr>
          <w:rFonts w:asciiTheme="minorHAnsi" w:hAnsiTheme="minorHAnsi" w:cs="Times New Roman"/>
        </w:rPr>
        <w:t>, Susan Griffin</w:t>
      </w:r>
      <w:r>
        <w:rPr>
          <w:rFonts w:asciiTheme="minorHAnsi" w:hAnsiTheme="minorHAnsi" w:cs="Times New Roman"/>
          <w:vertAlign w:val="superscript"/>
        </w:rPr>
        <w:t>2</w:t>
      </w:r>
    </w:p>
    <w:p w:rsidR="00E111BE" w:rsidRPr="00754CD2" w:rsidRDefault="00E111BE">
      <w:pPr>
        <w:rPr>
          <w:rFonts w:asciiTheme="minorHAnsi" w:hAnsiTheme="minorHAnsi" w:cs="Times New Roman"/>
        </w:rPr>
      </w:pPr>
      <w:r w:rsidRPr="00754CD2">
        <w:rPr>
          <w:rFonts w:asciiTheme="minorHAnsi" w:hAnsiTheme="minorHAnsi" w:cs="Times New Roman"/>
          <w:vertAlign w:val="superscript"/>
        </w:rPr>
        <w:t>1</w:t>
      </w:r>
      <w:r w:rsidRPr="00754CD2">
        <w:rPr>
          <w:rFonts w:asciiTheme="minorHAnsi" w:hAnsiTheme="minorHAnsi" w:cs="Times New Roman"/>
        </w:rPr>
        <w:t xml:space="preserve"> C</w:t>
      </w:r>
      <w:r>
        <w:rPr>
          <w:rFonts w:asciiTheme="minorHAnsi" w:hAnsiTheme="minorHAnsi" w:cs="Times New Roman"/>
        </w:rPr>
        <w:t>entre for Reviews and Dissemination, University of York, York, UK</w:t>
      </w:r>
    </w:p>
    <w:p w:rsidR="00E111BE" w:rsidRDefault="00E111BE">
      <w:pPr>
        <w:rPr>
          <w:rFonts w:asciiTheme="minorHAnsi" w:hAnsiTheme="minorHAnsi" w:cs="Times New Roman"/>
        </w:rPr>
      </w:pPr>
      <w:r w:rsidRPr="00754CD2">
        <w:rPr>
          <w:rFonts w:asciiTheme="minorHAnsi" w:hAnsiTheme="minorHAnsi" w:cs="Times New Roman"/>
          <w:vertAlign w:val="superscript"/>
        </w:rPr>
        <w:t>2</w:t>
      </w:r>
      <w:r>
        <w:rPr>
          <w:rFonts w:asciiTheme="minorHAnsi" w:hAnsiTheme="minorHAnsi" w:cs="Times New Roman"/>
        </w:rPr>
        <w:t xml:space="preserve"> Centre for Health Economics, University of York, York, UK</w:t>
      </w:r>
    </w:p>
    <w:p w:rsidR="00E111BE" w:rsidRDefault="00E111BE">
      <w:pPr>
        <w:rPr>
          <w:rFonts w:asciiTheme="minorHAnsi" w:hAnsiTheme="minorHAnsi" w:cs="Times New Roman"/>
          <w:b/>
        </w:rPr>
      </w:pPr>
      <w:r>
        <w:rPr>
          <w:rFonts w:asciiTheme="minorHAnsi" w:hAnsiTheme="minorHAnsi" w:cs="Times New Roman"/>
          <w:b/>
        </w:rPr>
        <w:t>Corresponding author:</w:t>
      </w:r>
    </w:p>
    <w:p w:rsidR="00E111BE" w:rsidRDefault="00E111BE" w:rsidP="00754CD2">
      <w:pPr>
        <w:spacing w:after="0"/>
        <w:rPr>
          <w:rFonts w:asciiTheme="minorHAnsi" w:hAnsiTheme="minorHAnsi" w:cs="Times New Roman"/>
        </w:rPr>
      </w:pPr>
      <w:r>
        <w:rPr>
          <w:rFonts w:asciiTheme="minorHAnsi" w:hAnsiTheme="minorHAnsi" w:cs="Times New Roman"/>
        </w:rPr>
        <w:t>Emily South, Centre for Reviews and Dissemination, University of York, York, YO10 5DD, UK</w:t>
      </w:r>
    </w:p>
    <w:p w:rsidR="00E111BE" w:rsidRPr="00754CD2" w:rsidRDefault="00E111BE" w:rsidP="00754CD2">
      <w:pPr>
        <w:spacing w:after="0"/>
        <w:rPr>
          <w:rFonts w:asciiTheme="minorHAnsi" w:hAnsiTheme="minorHAnsi" w:cs="Times New Roman"/>
        </w:rPr>
      </w:pPr>
      <w:r>
        <w:rPr>
          <w:rFonts w:asciiTheme="minorHAnsi" w:hAnsiTheme="minorHAnsi" w:cs="Times New Roman"/>
        </w:rPr>
        <w:t xml:space="preserve">Email: </w:t>
      </w:r>
      <w:hyperlink r:id="rId8" w:history="1">
        <w:r w:rsidRPr="003F16E8">
          <w:rPr>
            <w:rStyle w:val="Hyperlink"/>
            <w:rFonts w:asciiTheme="minorHAnsi" w:hAnsiTheme="minorHAnsi" w:cs="Times New Roman"/>
          </w:rPr>
          <w:t>emily.south@york.ac.uk</w:t>
        </w:r>
      </w:hyperlink>
      <w:r>
        <w:rPr>
          <w:rFonts w:asciiTheme="minorHAnsi" w:hAnsiTheme="minorHAnsi" w:cs="Times New Roman"/>
        </w:rPr>
        <w:t xml:space="preserve"> Tel: + 44 </w:t>
      </w:r>
      <w:r w:rsidRPr="00AC7184">
        <w:rPr>
          <w:rFonts w:asciiTheme="minorHAnsi" w:hAnsiTheme="minorHAnsi" w:cs="Times New Roman"/>
        </w:rPr>
        <w:t>(0)1904 321070</w:t>
      </w:r>
    </w:p>
    <w:p w:rsidR="00E111BE" w:rsidRDefault="00E111BE">
      <w:pPr>
        <w:rPr>
          <w:rFonts w:asciiTheme="minorHAnsi" w:hAnsiTheme="minorHAnsi" w:cs="Times New Roman"/>
          <w:b/>
        </w:rPr>
      </w:pPr>
    </w:p>
    <w:p w:rsidR="00E111BE" w:rsidRDefault="00E111BE">
      <w:pPr>
        <w:rPr>
          <w:rFonts w:asciiTheme="minorHAnsi" w:hAnsiTheme="minorHAnsi" w:cs="Times New Roman"/>
          <w:b/>
        </w:rPr>
      </w:pPr>
      <w:r>
        <w:rPr>
          <w:rFonts w:asciiTheme="minorHAnsi" w:hAnsiTheme="minorHAnsi" w:cs="Times New Roman"/>
          <w:b/>
        </w:rPr>
        <w:t xml:space="preserve">Running heading: </w:t>
      </w:r>
    </w:p>
    <w:p w:rsidR="00E111BE" w:rsidRPr="000E348B" w:rsidRDefault="00E111BE">
      <w:pPr>
        <w:rPr>
          <w:rFonts w:asciiTheme="minorHAnsi" w:hAnsiTheme="minorHAnsi" w:cs="Times New Roman"/>
        </w:rPr>
      </w:pPr>
      <w:r w:rsidRPr="000E348B">
        <w:rPr>
          <w:rFonts w:asciiTheme="minorHAnsi" w:hAnsiTheme="minorHAnsi" w:cs="Times New Roman"/>
        </w:rPr>
        <w:t xml:space="preserve">Strimvelis for treating ADA-SCID: an evidence review group perspective of a NICE HST evaluation </w:t>
      </w:r>
    </w:p>
    <w:p w:rsidR="00E111BE" w:rsidRDefault="00E111BE">
      <w:pPr>
        <w:rPr>
          <w:rFonts w:asciiTheme="minorHAnsi" w:hAnsiTheme="minorHAnsi" w:cs="Times New Roman"/>
          <w:b/>
        </w:rPr>
      </w:pPr>
    </w:p>
    <w:p w:rsidR="00E111BE" w:rsidRDefault="00E111BE">
      <w:pPr>
        <w:rPr>
          <w:rFonts w:asciiTheme="minorHAnsi" w:hAnsiTheme="minorHAnsi" w:cs="Times New Roman"/>
          <w:b/>
        </w:rPr>
      </w:pPr>
    </w:p>
    <w:p w:rsidR="00E111BE" w:rsidRDefault="00E111BE">
      <w:pPr>
        <w:rPr>
          <w:rFonts w:asciiTheme="minorHAnsi" w:hAnsiTheme="minorHAnsi" w:cs="Times New Roman"/>
          <w:b/>
        </w:rPr>
      </w:pPr>
    </w:p>
    <w:p w:rsidR="00E111BE" w:rsidRDefault="00E111BE">
      <w:pPr>
        <w:rPr>
          <w:rFonts w:asciiTheme="minorHAnsi" w:hAnsiTheme="minorHAnsi" w:cs="Times New Roman"/>
          <w:b/>
        </w:rPr>
      </w:pPr>
    </w:p>
    <w:p w:rsidR="00E111BE" w:rsidRDefault="00E111BE">
      <w:pPr>
        <w:rPr>
          <w:rFonts w:asciiTheme="minorHAnsi" w:hAnsiTheme="minorHAnsi" w:cs="Times New Roman"/>
          <w:b/>
        </w:rPr>
      </w:pPr>
      <w:r>
        <w:rPr>
          <w:rFonts w:asciiTheme="minorHAnsi" w:hAnsiTheme="minorHAnsi" w:cs="Times New Roman"/>
          <w:b/>
        </w:rPr>
        <w:br w:type="page"/>
      </w:r>
      <w:r>
        <w:rPr>
          <w:rFonts w:asciiTheme="minorHAnsi" w:hAnsiTheme="minorHAnsi" w:cs="Times New Roman"/>
          <w:b/>
        </w:rPr>
        <w:lastRenderedPageBreak/>
        <w:t>Abstract</w:t>
      </w:r>
    </w:p>
    <w:p w:rsidR="00E111BE" w:rsidRDefault="00E111BE" w:rsidP="007E60E8">
      <w:pPr>
        <w:rPr>
          <w:rFonts w:asciiTheme="minorHAnsi" w:hAnsiTheme="minorHAnsi" w:cs="Times New Roman"/>
        </w:rPr>
      </w:pPr>
      <w:r w:rsidRPr="002B4DFE">
        <w:rPr>
          <w:rFonts w:asciiTheme="minorHAnsi" w:hAnsiTheme="minorHAnsi" w:cs="Times New Roman"/>
        </w:rPr>
        <w:t>The Centre for Reviews and Dissemination and Centre for Health Economics Technology Assessment Group at the University of York was commissioned by the National Institute for Health and Care Excellence (NICE) Highly Specialised Technology (HST) programme to act as the independent Evidence Review Group (ERG) for an appraisal of Strimvelis, a gene therapy treatment for adenosine deaminase deficiency</w:t>
      </w:r>
      <w:r>
        <w:rPr>
          <w:rFonts w:asciiTheme="minorHAnsi" w:hAnsiTheme="minorHAnsi" w:cs="Times New Roman"/>
        </w:rPr>
        <w:t>-</w:t>
      </w:r>
      <w:r w:rsidRPr="002B4DFE">
        <w:rPr>
          <w:rFonts w:asciiTheme="minorHAnsi" w:hAnsiTheme="minorHAnsi" w:cs="Times New Roman"/>
        </w:rPr>
        <w:t>severe combined immun</w:t>
      </w:r>
      <w:r>
        <w:rPr>
          <w:rFonts w:asciiTheme="minorHAnsi" w:hAnsiTheme="minorHAnsi" w:cs="Times New Roman"/>
        </w:rPr>
        <w:t>o</w:t>
      </w:r>
      <w:r w:rsidRPr="002B4DFE">
        <w:rPr>
          <w:rFonts w:asciiTheme="minorHAnsi" w:hAnsiTheme="minorHAnsi" w:cs="Times New Roman"/>
        </w:rPr>
        <w:t xml:space="preserve">deficiency (ADA-SCID).  This paper describes the manufacturing company’s submission of clinical and economic evidence, the ERG’s review and the resulting NICE guidance. For Strimvelis compared with haematopoietic stem cell transplant (HSCT) from a matched unrelated donor (MUD) and HSCT from a haploidentical donor, the company base case deterministic incremental cost-effectiveness ratios (ICERs) were £36,360 and £14,645 </w:t>
      </w:r>
      <w:r w:rsidR="00CB3CED">
        <w:rPr>
          <w:rFonts w:asciiTheme="minorHAnsi" w:hAnsiTheme="minorHAnsi" w:cs="Times New Roman"/>
        </w:rPr>
        <w:t xml:space="preserve">per quality-adjusted life-year (QALY) gained </w:t>
      </w:r>
      <w:r w:rsidRPr="002B4DFE">
        <w:rPr>
          <w:rFonts w:asciiTheme="minorHAnsi" w:hAnsiTheme="minorHAnsi" w:cs="Times New Roman"/>
        </w:rPr>
        <w:t>respectively</w:t>
      </w:r>
      <w:r>
        <w:rPr>
          <w:rFonts w:asciiTheme="minorHAnsi" w:hAnsiTheme="minorHAnsi" w:cs="Times New Roman"/>
        </w:rPr>
        <w:t xml:space="preserve"> (using a discount rate of 1.5%)</w:t>
      </w:r>
      <w:r w:rsidRPr="002B4DFE">
        <w:rPr>
          <w:rFonts w:asciiTheme="minorHAnsi" w:hAnsiTheme="minorHAnsi" w:cs="Times New Roman"/>
        </w:rPr>
        <w:t xml:space="preserve">. Although overall survival in patients receiving Strimvelis was substantially higher than historical comparator data on HSCT from a MUD or haploidentical donor, the ERG was concerned that the estimated treatment benefit remained highly uncertain. The ERG critiqued some assumptions in the cost-effectiveness model, including that all patients return to general population mortality and morbidity after a successful procedure; that all patients receive a matched sibling donor following an unsuccessful engraftment; and that </w:t>
      </w:r>
      <w:r>
        <w:rPr>
          <w:rFonts w:asciiTheme="minorHAnsi" w:hAnsiTheme="minorHAnsi" w:cs="Times New Roman"/>
        </w:rPr>
        <w:t>differences in wait times exist</w:t>
      </w:r>
      <w:r w:rsidRPr="002B4DFE">
        <w:rPr>
          <w:rFonts w:asciiTheme="minorHAnsi" w:hAnsiTheme="minorHAnsi" w:cs="Times New Roman"/>
        </w:rPr>
        <w:t xml:space="preserve"> between the treatments. Incorporating a number of changes to the model, the ERG’s base case</w:t>
      </w:r>
      <w:r>
        <w:rPr>
          <w:rFonts w:asciiTheme="minorHAnsi" w:hAnsiTheme="minorHAnsi" w:cs="Times New Roman"/>
        </w:rPr>
        <w:t xml:space="preserve"> ICERs were £86,815 </w:t>
      </w:r>
      <w:r w:rsidR="00CB3CED">
        <w:rPr>
          <w:rFonts w:asciiTheme="minorHAnsi" w:hAnsiTheme="minorHAnsi" w:cs="Times New Roman"/>
        </w:rPr>
        <w:t xml:space="preserve">per QALY gained </w:t>
      </w:r>
      <w:r>
        <w:rPr>
          <w:rFonts w:asciiTheme="minorHAnsi" w:hAnsiTheme="minorHAnsi" w:cs="Times New Roman"/>
        </w:rPr>
        <w:t xml:space="preserve">for Strimvelis compared with HSCT from a </w:t>
      </w:r>
      <w:r w:rsidRPr="007E60E8">
        <w:rPr>
          <w:rFonts w:asciiTheme="minorHAnsi" w:hAnsiTheme="minorHAnsi" w:cs="Times New Roman"/>
        </w:rPr>
        <w:t xml:space="preserve">MUD and £16,704 </w:t>
      </w:r>
      <w:r w:rsidR="00CB3CED">
        <w:rPr>
          <w:rFonts w:asciiTheme="minorHAnsi" w:hAnsiTheme="minorHAnsi" w:cs="Times New Roman"/>
        </w:rPr>
        <w:t xml:space="preserve">per QALY gained </w:t>
      </w:r>
      <w:r w:rsidRPr="007E60E8">
        <w:rPr>
          <w:rFonts w:asciiTheme="minorHAnsi" w:hAnsiTheme="minorHAnsi" w:cs="Times New Roman"/>
        </w:rPr>
        <w:t>compared with HSCT from a haploidentical donor</w:t>
      </w:r>
      <w:r>
        <w:rPr>
          <w:rFonts w:asciiTheme="minorHAnsi" w:hAnsiTheme="minorHAnsi" w:cs="Times New Roman"/>
        </w:rPr>
        <w:t xml:space="preserve"> (using a discount rate of 1.5%). </w:t>
      </w:r>
      <w:r w:rsidRPr="007C6B47">
        <w:rPr>
          <w:rFonts w:asciiTheme="minorHAnsi" w:hAnsiTheme="minorHAnsi" w:cs="Times New Roman"/>
        </w:rPr>
        <w:t xml:space="preserve">The ICER for Strimvelis compared with HSCT from a MUD was highly sensitive to the difference in procedural mortality and </w:t>
      </w:r>
      <w:r>
        <w:rPr>
          <w:rFonts w:asciiTheme="minorHAnsi" w:hAnsiTheme="minorHAnsi" w:cs="Times New Roman"/>
        </w:rPr>
        <w:t>could</w:t>
      </w:r>
      <w:r w:rsidRPr="007C6B47">
        <w:rPr>
          <w:rFonts w:asciiTheme="minorHAnsi" w:hAnsiTheme="minorHAnsi" w:cs="Times New Roman"/>
        </w:rPr>
        <w:t xml:space="preserve"> exceed NICE’s £100,000 per </w:t>
      </w:r>
      <w:r w:rsidR="00CB3CED">
        <w:rPr>
          <w:rFonts w:asciiTheme="minorHAnsi" w:hAnsiTheme="minorHAnsi" w:cs="Times New Roman"/>
        </w:rPr>
        <w:t>QALY</w:t>
      </w:r>
      <w:r w:rsidRPr="007C6B47">
        <w:rPr>
          <w:rFonts w:asciiTheme="minorHAnsi" w:hAnsiTheme="minorHAnsi" w:cs="Times New Roman"/>
        </w:rPr>
        <w:t xml:space="preserve"> gained threshold for HSTs, if HSCT survival rates have improved since the most recent data</w:t>
      </w:r>
      <w:r w:rsidRPr="002B4DFE">
        <w:rPr>
          <w:rFonts w:asciiTheme="minorHAnsi" w:hAnsiTheme="minorHAnsi" w:cs="Times New Roman"/>
        </w:rPr>
        <w:t xml:space="preserve">. The evaluation committee concluded that the most plausible ICERs were lower than £100,000 </w:t>
      </w:r>
      <w:r w:rsidR="00CB3CED">
        <w:rPr>
          <w:rFonts w:asciiTheme="minorHAnsi" w:hAnsiTheme="minorHAnsi" w:cs="Times New Roman"/>
        </w:rPr>
        <w:t xml:space="preserve">per QALY gained </w:t>
      </w:r>
      <w:r w:rsidRPr="002B4DFE">
        <w:rPr>
          <w:rFonts w:asciiTheme="minorHAnsi" w:hAnsiTheme="minorHAnsi" w:cs="Times New Roman"/>
        </w:rPr>
        <w:t xml:space="preserve">and that </w:t>
      </w:r>
      <w:r>
        <w:rPr>
          <w:rFonts w:asciiTheme="minorHAnsi" w:hAnsiTheme="minorHAnsi" w:cs="Times New Roman"/>
        </w:rPr>
        <w:t>Strimvelis</w:t>
      </w:r>
      <w:r w:rsidRPr="002B4DFE">
        <w:rPr>
          <w:rFonts w:asciiTheme="minorHAnsi" w:hAnsiTheme="minorHAnsi" w:cs="Times New Roman"/>
        </w:rPr>
        <w:t xml:space="preserve"> should be recommended for treatment of ADA-SCID where a matched related donor is unavailable.</w:t>
      </w:r>
    </w:p>
    <w:p w:rsidR="00E111BE" w:rsidRDefault="00E111BE" w:rsidP="00CB06B2">
      <w:pPr>
        <w:rPr>
          <w:rFonts w:asciiTheme="minorHAnsi" w:hAnsiTheme="minorHAnsi" w:cs="Times New Roman"/>
          <w:b/>
        </w:rPr>
      </w:pPr>
      <w:r w:rsidRPr="005B5E2F">
        <w:rPr>
          <w:rFonts w:asciiTheme="minorHAnsi" w:hAnsiTheme="minorHAnsi" w:cs="Times New Roman"/>
          <w:b/>
        </w:rPr>
        <w:t>Key points for decision makers</w:t>
      </w:r>
    </w:p>
    <w:p w:rsidR="00AE1EEA" w:rsidRPr="00AE1EEA" w:rsidRDefault="00AE1EEA" w:rsidP="00AE1EEA">
      <w:pPr>
        <w:numPr>
          <w:ilvl w:val="0"/>
          <w:numId w:val="14"/>
        </w:numPr>
        <w:contextualSpacing/>
        <w:rPr>
          <w:rFonts w:asciiTheme="minorHAnsi" w:hAnsiTheme="minorHAnsi"/>
        </w:rPr>
      </w:pPr>
      <w:r w:rsidRPr="00AE1EEA">
        <w:rPr>
          <w:rFonts w:asciiTheme="minorHAnsi" w:hAnsiTheme="minorHAnsi"/>
        </w:rPr>
        <w:t>The funding arrangements for Strimvelis were unknown at the time of appraisal and its cost was expected to fluctuate with the exchange rate.</w:t>
      </w:r>
    </w:p>
    <w:p w:rsidR="00AE1EEA" w:rsidRPr="00AE1EEA" w:rsidRDefault="00AE1EEA" w:rsidP="00AE1EEA">
      <w:pPr>
        <w:numPr>
          <w:ilvl w:val="0"/>
          <w:numId w:val="14"/>
        </w:numPr>
        <w:contextualSpacing/>
        <w:rPr>
          <w:rFonts w:asciiTheme="minorHAnsi" w:hAnsiTheme="minorHAnsi"/>
        </w:rPr>
      </w:pPr>
      <w:r w:rsidRPr="00AE1EEA">
        <w:rPr>
          <w:rFonts w:asciiTheme="minorHAnsi" w:hAnsiTheme="minorHAnsi"/>
        </w:rPr>
        <w:t>The treatment benefit with Strimvelis was uncertain and the incremental cost-effectiveness ratio (ICER) for Strimvelis compared to haematopoietic stem cell transplant from a matched unrelated donor was very sensitive to the assumed difference in procedural mortality between the treatments.</w:t>
      </w:r>
    </w:p>
    <w:p w:rsidR="00AE1EEA" w:rsidRPr="00AE1EEA" w:rsidRDefault="00AE1EEA" w:rsidP="00AE1EEA">
      <w:pPr>
        <w:numPr>
          <w:ilvl w:val="0"/>
          <w:numId w:val="14"/>
        </w:numPr>
        <w:contextualSpacing/>
        <w:rPr>
          <w:rFonts w:asciiTheme="minorHAnsi" w:hAnsiTheme="minorHAnsi"/>
        </w:rPr>
      </w:pPr>
      <w:r w:rsidRPr="00AE1EEA">
        <w:rPr>
          <w:rFonts w:asciiTheme="minorHAnsi" w:hAnsiTheme="minorHAnsi"/>
        </w:rPr>
        <w:t>The highly specialised technologies evaluation committee concluded that the most plausible ICERs were under £100,000 per quality adjusted life-year gained and recommended Strimvelis for the treatment of ADA-SCID where a matched related donor is unavailable.</w:t>
      </w:r>
    </w:p>
    <w:p w:rsidR="00E111BE" w:rsidRPr="00BE173F" w:rsidRDefault="00E111BE" w:rsidP="00BE173F">
      <w:pPr>
        <w:rPr>
          <w:rFonts w:asciiTheme="minorHAnsi" w:hAnsiTheme="minorHAnsi" w:cs="Times New Roman"/>
          <w:b/>
        </w:rPr>
      </w:pPr>
    </w:p>
    <w:p w:rsidR="00E111BE" w:rsidRPr="00A72C56" w:rsidRDefault="00E111BE" w:rsidP="00B93298">
      <w:pPr>
        <w:rPr>
          <w:rFonts w:asciiTheme="minorHAnsi" w:hAnsiTheme="minorHAnsi"/>
          <w:b/>
        </w:rPr>
      </w:pPr>
      <w:r w:rsidRPr="00A72C56">
        <w:rPr>
          <w:rFonts w:asciiTheme="minorHAnsi" w:hAnsiTheme="minorHAnsi"/>
          <w:b/>
        </w:rPr>
        <w:t>1 Introduction</w:t>
      </w:r>
    </w:p>
    <w:p w:rsidR="00E111BE" w:rsidRPr="005B5E2F" w:rsidRDefault="00E111BE" w:rsidP="00702956">
      <w:pPr>
        <w:rPr>
          <w:rFonts w:asciiTheme="minorHAnsi" w:hAnsiTheme="minorHAnsi"/>
        </w:rPr>
      </w:pPr>
      <w:r w:rsidRPr="005B5E2F">
        <w:rPr>
          <w:rFonts w:asciiTheme="minorHAnsi" w:hAnsiTheme="minorHAnsi"/>
        </w:rPr>
        <w:t>The National Institute for Health and Care Excellence (NICE) is an independent body that produces guidance and advice on health and social care in England.</w:t>
      </w:r>
      <w:r>
        <w:rPr>
          <w:rFonts w:asciiTheme="minorHAnsi" w:hAnsiTheme="minorHAnsi"/>
        </w:rPr>
        <w:t xml:space="preserve"> </w:t>
      </w:r>
      <w:r w:rsidRPr="005B5E2F">
        <w:rPr>
          <w:rFonts w:asciiTheme="minorHAnsi" w:hAnsiTheme="minorHAnsi"/>
        </w:rPr>
        <w:t>The highly specialised technologies (HST) programme evaluat</w:t>
      </w:r>
      <w:r>
        <w:rPr>
          <w:rFonts w:asciiTheme="minorHAnsi" w:hAnsiTheme="minorHAnsi"/>
        </w:rPr>
        <w:t>es</w:t>
      </w:r>
      <w:r w:rsidRPr="005B5E2F">
        <w:rPr>
          <w:rFonts w:asciiTheme="minorHAnsi" w:hAnsiTheme="minorHAnsi"/>
        </w:rPr>
        <w:t xml:space="preserve"> highly specialised treatments for very rare conditions. As part of the process, an evidence review group (ERG) independently reviews clinical and economic evidence that is submitted by the company manufacturing the technology</w:t>
      </w:r>
      <w:r>
        <w:rPr>
          <w:rFonts w:asciiTheme="minorHAnsi" w:hAnsiTheme="minorHAnsi"/>
        </w:rPr>
        <w:t>. It</w:t>
      </w:r>
      <w:r w:rsidRPr="005B5E2F">
        <w:rPr>
          <w:rFonts w:asciiTheme="minorHAnsi" w:hAnsiTheme="minorHAnsi"/>
        </w:rPr>
        <w:t xml:space="preserve"> presents its critique for an </w:t>
      </w:r>
      <w:r>
        <w:rPr>
          <w:rFonts w:asciiTheme="minorHAnsi" w:hAnsiTheme="minorHAnsi"/>
        </w:rPr>
        <w:t xml:space="preserve">independent </w:t>
      </w:r>
      <w:r w:rsidRPr="005B5E2F">
        <w:rPr>
          <w:rFonts w:asciiTheme="minorHAnsi" w:hAnsiTheme="minorHAnsi"/>
        </w:rPr>
        <w:t xml:space="preserve">Evaluation Committee </w:t>
      </w:r>
      <w:r>
        <w:rPr>
          <w:rFonts w:asciiTheme="minorHAnsi" w:hAnsiTheme="minorHAnsi"/>
        </w:rPr>
        <w:t>which</w:t>
      </w:r>
      <w:r w:rsidRPr="005B5E2F">
        <w:rPr>
          <w:rFonts w:asciiTheme="minorHAnsi" w:hAnsiTheme="minorHAnsi"/>
        </w:rPr>
        <w:t xml:space="preserve"> consider</w:t>
      </w:r>
      <w:r>
        <w:rPr>
          <w:rFonts w:asciiTheme="minorHAnsi" w:hAnsiTheme="minorHAnsi"/>
        </w:rPr>
        <w:t>s it</w:t>
      </w:r>
      <w:r w:rsidRPr="005B5E2F">
        <w:rPr>
          <w:rFonts w:asciiTheme="minorHAnsi" w:hAnsiTheme="minorHAnsi"/>
        </w:rPr>
        <w:t xml:space="preserve"> alongside other evidence</w:t>
      </w:r>
      <w:r>
        <w:rPr>
          <w:rFonts w:asciiTheme="minorHAnsi" w:hAnsiTheme="minorHAnsi"/>
        </w:rPr>
        <w:t xml:space="preserve"> and makes recommendations to NICE</w:t>
      </w:r>
      <w:r w:rsidRPr="005B5E2F">
        <w:rPr>
          <w:rFonts w:asciiTheme="minorHAnsi" w:hAnsiTheme="minorHAnsi"/>
        </w:rPr>
        <w:t xml:space="preserve">. </w:t>
      </w:r>
      <w:r w:rsidRPr="00B12DF4">
        <w:rPr>
          <w:rFonts w:asciiTheme="minorHAnsi" w:hAnsiTheme="minorHAnsi"/>
        </w:rPr>
        <w:t>Given the very small numbers of patients with the very rare conditions involved, the HST committee does not employ a simple utilitarian approach</w:t>
      </w:r>
      <w:r>
        <w:rPr>
          <w:rFonts w:asciiTheme="minorHAnsi" w:hAnsiTheme="minorHAnsi"/>
        </w:rPr>
        <w:t xml:space="preserve"> but </w:t>
      </w:r>
      <w:r w:rsidRPr="00B12DF4">
        <w:rPr>
          <w:rFonts w:asciiTheme="minorHAnsi" w:hAnsiTheme="minorHAnsi"/>
        </w:rPr>
        <w:t xml:space="preserve">must still give consideration to the </w:t>
      </w:r>
      <w:r w:rsidRPr="00B12DF4">
        <w:rPr>
          <w:rFonts w:asciiTheme="minorHAnsi" w:hAnsiTheme="minorHAnsi"/>
        </w:rPr>
        <w:lastRenderedPageBreak/>
        <w:t>ba</w:t>
      </w:r>
      <w:r>
        <w:rPr>
          <w:rFonts w:asciiTheme="minorHAnsi" w:hAnsiTheme="minorHAnsi"/>
        </w:rPr>
        <w:t xml:space="preserve">lance between costs and </w:t>
      </w:r>
      <w:r w:rsidRPr="00B12DF4">
        <w:rPr>
          <w:rFonts w:asciiTheme="minorHAnsi" w:hAnsiTheme="minorHAnsi"/>
        </w:rPr>
        <w:t xml:space="preserve">benefits. Below a most plausible </w:t>
      </w:r>
      <w:r w:rsidR="00AA0D9C" w:rsidRPr="00AA0D9C">
        <w:rPr>
          <w:rFonts w:asciiTheme="minorHAnsi" w:hAnsiTheme="minorHAnsi"/>
        </w:rPr>
        <w:t xml:space="preserve">incremental cost-effectiveness ratios </w:t>
      </w:r>
      <w:r w:rsidR="00AA0D9C">
        <w:rPr>
          <w:rFonts w:asciiTheme="minorHAnsi" w:hAnsiTheme="minorHAnsi"/>
        </w:rPr>
        <w:t>(</w:t>
      </w:r>
      <w:r w:rsidRPr="00B12DF4">
        <w:rPr>
          <w:rFonts w:asciiTheme="minorHAnsi" w:hAnsiTheme="minorHAnsi"/>
        </w:rPr>
        <w:t>ICER</w:t>
      </w:r>
      <w:r w:rsidR="00AA0D9C">
        <w:rPr>
          <w:rFonts w:asciiTheme="minorHAnsi" w:hAnsiTheme="minorHAnsi"/>
        </w:rPr>
        <w:t>)</w:t>
      </w:r>
      <w:r w:rsidRPr="00B12DF4">
        <w:rPr>
          <w:rFonts w:asciiTheme="minorHAnsi" w:hAnsiTheme="minorHAnsi"/>
        </w:rPr>
        <w:t xml:space="preserve"> of £100,000 per </w:t>
      </w:r>
      <w:r>
        <w:rPr>
          <w:rFonts w:asciiTheme="minorHAnsi" w:hAnsiTheme="minorHAnsi"/>
        </w:rPr>
        <w:t>quality-adjusted life year (</w:t>
      </w:r>
      <w:r w:rsidRPr="00B12DF4">
        <w:rPr>
          <w:rFonts w:asciiTheme="minorHAnsi" w:hAnsiTheme="minorHAnsi"/>
        </w:rPr>
        <w:t>QALY</w:t>
      </w:r>
      <w:r>
        <w:rPr>
          <w:rFonts w:asciiTheme="minorHAnsi" w:hAnsiTheme="minorHAnsi"/>
        </w:rPr>
        <w:t xml:space="preserve">) </w:t>
      </w:r>
      <w:r w:rsidRPr="00B12DF4">
        <w:rPr>
          <w:rFonts w:asciiTheme="minorHAnsi" w:hAnsiTheme="minorHAnsi"/>
        </w:rPr>
        <w:t>gained, the decision to recommend the use of a</w:t>
      </w:r>
      <w:r>
        <w:rPr>
          <w:rFonts w:asciiTheme="minorHAnsi" w:hAnsiTheme="minorHAnsi"/>
        </w:rPr>
        <w:t>n</w:t>
      </w:r>
      <w:r w:rsidRPr="00B12DF4">
        <w:rPr>
          <w:rFonts w:asciiTheme="minorHAnsi" w:hAnsiTheme="minorHAnsi"/>
        </w:rPr>
        <w:t xml:space="preserve"> HST is normally based on the cost-effectiveness estimate. Above a most plausible ICER of £100,000 per QALY gained, judgements about the acceptability of </w:t>
      </w:r>
      <w:r>
        <w:rPr>
          <w:rFonts w:asciiTheme="minorHAnsi" w:hAnsiTheme="minorHAnsi"/>
        </w:rPr>
        <w:t>the</w:t>
      </w:r>
      <w:r w:rsidRPr="00B12DF4">
        <w:rPr>
          <w:rFonts w:asciiTheme="minorHAnsi" w:hAnsiTheme="minorHAnsi"/>
        </w:rPr>
        <w:t xml:space="preserve"> </w:t>
      </w:r>
      <w:r>
        <w:rPr>
          <w:rFonts w:asciiTheme="minorHAnsi" w:hAnsiTheme="minorHAnsi"/>
        </w:rPr>
        <w:t>HST</w:t>
      </w:r>
      <w:r w:rsidRPr="00B12DF4">
        <w:rPr>
          <w:rFonts w:asciiTheme="minorHAnsi" w:hAnsiTheme="minorHAnsi"/>
        </w:rPr>
        <w:t xml:space="preserve"> as an effective use of NHS resources must take account of the magnitude of the incremental therapeutic improvement, as revealed through the number of additional QALYs gained.</w:t>
      </w:r>
      <w:r w:rsidRPr="00B12DF4">
        <w:rPr>
          <w:rFonts w:asciiTheme="minorHAnsi" w:hAnsiTheme="minorHAnsi"/>
          <w:noProof/>
        </w:rPr>
        <w:t>[1]</w:t>
      </w:r>
    </w:p>
    <w:p w:rsidR="00E111BE" w:rsidRPr="005B5E2F" w:rsidRDefault="00E111BE" w:rsidP="00093778">
      <w:pPr>
        <w:rPr>
          <w:rFonts w:asciiTheme="minorHAnsi" w:hAnsiTheme="minorHAnsi"/>
        </w:rPr>
      </w:pPr>
      <w:r w:rsidRPr="005B5E2F">
        <w:rPr>
          <w:rFonts w:asciiTheme="minorHAnsi" w:hAnsiTheme="minorHAnsi"/>
        </w:rPr>
        <w:t xml:space="preserve">This article summarises the ERG’s critique of the </w:t>
      </w:r>
      <w:r>
        <w:rPr>
          <w:rFonts w:asciiTheme="minorHAnsi" w:hAnsiTheme="minorHAnsi"/>
        </w:rPr>
        <w:t xml:space="preserve">manufacturing </w:t>
      </w:r>
      <w:r w:rsidRPr="005B5E2F">
        <w:rPr>
          <w:rFonts w:asciiTheme="minorHAnsi" w:hAnsiTheme="minorHAnsi"/>
        </w:rPr>
        <w:t xml:space="preserve">company’s submission on Strimvelis </w:t>
      </w:r>
      <w:r w:rsidRPr="00461517">
        <w:rPr>
          <w:rFonts w:asciiTheme="minorHAnsi" w:hAnsiTheme="minorHAnsi"/>
        </w:rPr>
        <w:t>(retroviral-transduced autologous CD34+ cells)</w:t>
      </w:r>
      <w:r>
        <w:rPr>
          <w:rFonts w:asciiTheme="minorHAnsi" w:hAnsiTheme="minorHAnsi"/>
        </w:rPr>
        <w:t xml:space="preserve"> </w:t>
      </w:r>
      <w:r w:rsidRPr="005B5E2F">
        <w:rPr>
          <w:rFonts w:asciiTheme="minorHAnsi" w:hAnsiTheme="minorHAnsi"/>
        </w:rPr>
        <w:t>for treating adenosine deaminase deficiency severe combined immun</w:t>
      </w:r>
      <w:r>
        <w:rPr>
          <w:rFonts w:asciiTheme="minorHAnsi" w:hAnsiTheme="minorHAnsi"/>
        </w:rPr>
        <w:t>o</w:t>
      </w:r>
      <w:r w:rsidRPr="005B5E2F">
        <w:rPr>
          <w:rFonts w:asciiTheme="minorHAnsi" w:hAnsiTheme="minorHAnsi"/>
        </w:rPr>
        <w:t>deficiency (ADA-SCID). It also summarises issues that arose during the review and the committee’s decision-making. Full details of the appraisal and documents can be found on the NICE website</w:t>
      </w:r>
      <w:r>
        <w:rPr>
          <w:rFonts w:asciiTheme="minorHAnsi" w:hAnsiTheme="minorHAnsi"/>
        </w:rPr>
        <w:t>.</w:t>
      </w:r>
      <w:r>
        <w:rPr>
          <w:rFonts w:asciiTheme="minorHAnsi" w:hAnsiTheme="minorHAnsi"/>
          <w:noProof/>
        </w:rPr>
        <w:t>[2]</w:t>
      </w:r>
    </w:p>
    <w:p w:rsidR="00E111BE" w:rsidRPr="005B5E2F" w:rsidRDefault="00E111BE" w:rsidP="00B93298">
      <w:pPr>
        <w:rPr>
          <w:rFonts w:asciiTheme="minorHAnsi" w:hAnsiTheme="minorHAnsi"/>
        </w:rPr>
      </w:pPr>
      <w:r w:rsidRPr="00A72C56">
        <w:rPr>
          <w:rFonts w:asciiTheme="minorHAnsi" w:hAnsiTheme="minorHAnsi"/>
          <w:b/>
        </w:rPr>
        <w:t>2 The Decision Problem</w:t>
      </w:r>
    </w:p>
    <w:p w:rsidR="00E111BE" w:rsidRPr="005B5E2F" w:rsidRDefault="00E111BE" w:rsidP="00E91685">
      <w:pPr>
        <w:rPr>
          <w:rFonts w:asciiTheme="minorHAnsi" w:hAnsiTheme="minorHAnsi"/>
        </w:rPr>
      </w:pPr>
      <w:r w:rsidRPr="005B5E2F">
        <w:rPr>
          <w:rFonts w:asciiTheme="minorHAnsi" w:hAnsiTheme="minorHAnsi"/>
        </w:rPr>
        <w:t xml:space="preserve">ADA-SCID is a rare, inherited immune disorder, </w:t>
      </w:r>
      <w:r w:rsidRPr="00FE249A">
        <w:rPr>
          <w:rFonts w:asciiTheme="minorHAnsi" w:hAnsiTheme="minorHAnsi"/>
        </w:rPr>
        <w:t>characterised by profound lymphopenia and impaired development and function of T cells, B cells and natural killer cells,</w:t>
      </w:r>
      <w:r w:rsidRPr="005B5E2F">
        <w:rPr>
          <w:rFonts w:asciiTheme="minorHAnsi" w:hAnsiTheme="minorHAnsi"/>
        </w:rPr>
        <w:t xml:space="preserve"> as well as non-immunological defects.</w:t>
      </w:r>
      <w:r>
        <w:rPr>
          <w:rFonts w:asciiTheme="minorHAnsi" w:hAnsiTheme="minorHAnsi"/>
          <w:noProof/>
        </w:rPr>
        <w:t>[3]</w:t>
      </w:r>
      <w:r w:rsidRPr="005B5E2F">
        <w:rPr>
          <w:rFonts w:asciiTheme="minorHAnsi" w:hAnsiTheme="minorHAnsi"/>
        </w:rPr>
        <w:t xml:space="preserve"> Patients present with severe infections and failure to thrive</w:t>
      </w:r>
      <w:r>
        <w:rPr>
          <w:rFonts w:asciiTheme="minorHAnsi" w:hAnsiTheme="minorHAnsi"/>
          <w:noProof/>
        </w:rPr>
        <w:t>[3]</w:t>
      </w:r>
      <w:r w:rsidRPr="005B5E2F">
        <w:rPr>
          <w:rFonts w:asciiTheme="minorHAnsi" w:hAnsiTheme="minorHAnsi"/>
        </w:rPr>
        <w:t xml:space="preserve"> and are usually diagnosed within the first year of life</w:t>
      </w:r>
      <w:r>
        <w:rPr>
          <w:rFonts w:asciiTheme="minorHAnsi" w:hAnsiTheme="minorHAnsi"/>
        </w:rPr>
        <w:t>.</w:t>
      </w:r>
      <w:r>
        <w:rPr>
          <w:rFonts w:asciiTheme="minorHAnsi" w:hAnsiTheme="minorHAnsi"/>
          <w:noProof/>
        </w:rPr>
        <w:t>[4]</w:t>
      </w:r>
      <w:r w:rsidRPr="005B5E2F">
        <w:rPr>
          <w:rFonts w:asciiTheme="minorHAnsi" w:hAnsiTheme="minorHAnsi"/>
        </w:rPr>
        <w:t xml:space="preserve"> If infants with ADA-SCID receive no treatment to restore immune function, they w</w:t>
      </w:r>
      <w:r>
        <w:rPr>
          <w:rFonts w:asciiTheme="minorHAnsi" w:hAnsiTheme="minorHAnsi"/>
        </w:rPr>
        <w:t>ill</w:t>
      </w:r>
      <w:r w:rsidRPr="005B5E2F">
        <w:rPr>
          <w:rFonts w:asciiTheme="minorHAnsi" w:hAnsiTheme="minorHAnsi"/>
        </w:rPr>
        <w:t xml:space="preserve"> likely die before </w:t>
      </w:r>
      <w:r>
        <w:rPr>
          <w:rFonts w:asciiTheme="minorHAnsi" w:hAnsiTheme="minorHAnsi"/>
        </w:rPr>
        <w:t>the</w:t>
      </w:r>
      <w:r w:rsidRPr="005B5E2F">
        <w:rPr>
          <w:rFonts w:asciiTheme="minorHAnsi" w:hAnsiTheme="minorHAnsi"/>
        </w:rPr>
        <w:t xml:space="preserve"> age</w:t>
      </w:r>
      <w:r>
        <w:rPr>
          <w:rFonts w:asciiTheme="minorHAnsi" w:hAnsiTheme="minorHAnsi"/>
        </w:rPr>
        <w:t xml:space="preserve"> of two</w:t>
      </w:r>
      <w:r w:rsidRPr="005B5E2F">
        <w:rPr>
          <w:rFonts w:asciiTheme="minorHAnsi" w:hAnsiTheme="minorHAnsi"/>
        </w:rPr>
        <w:t>.</w:t>
      </w:r>
      <w:r>
        <w:rPr>
          <w:rFonts w:asciiTheme="minorHAnsi" w:hAnsiTheme="minorHAnsi"/>
          <w:noProof/>
        </w:rPr>
        <w:t>[4]</w:t>
      </w:r>
    </w:p>
    <w:p w:rsidR="00E111BE" w:rsidRPr="005B5E2F" w:rsidRDefault="00E111BE" w:rsidP="003008A7">
      <w:pPr>
        <w:rPr>
          <w:rFonts w:asciiTheme="minorHAnsi" w:hAnsiTheme="minorHAnsi"/>
        </w:rPr>
      </w:pPr>
      <w:r w:rsidRPr="005B5E2F">
        <w:rPr>
          <w:rFonts w:asciiTheme="minorHAnsi" w:hAnsiTheme="minorHAnsi"/>
        </w:rPr>
        <w:t xml:space="preserve">There </w:t>
      </w:r>
      <w:r>
        <w:rPr>
          <w:rFonts w:asciiTheme="minorHAnsi" w:hAnsiTheme="minorHAnsi"/>
        </w:rPr>
        <w:t>are</w:t>
      </w:r>
      <w:r w:rsidRPr="005B5E2F">
        <w:rPr>
          <w:rFonts w:asciiTheme="minorHAnsi" w:hAnsiTheme="minorHAnsi"/>
        </w:rPr>
        <w:t xml:space="preserve"> </w:t>
      </w:r>
      <w:r>
        <w:rPr>
          <w:rFonts w:asciiTheme="minorHAnsi" w:hAnsiTheme="minorHAnsi"/>
        </w:rPr>
        <w:t>very limited data available to</w:t>
      </w:r>
      <w:r w:rsidRPr="005B5E2F">
        <w:rPr>
          <w:rFonts w:asciiTheme="minorHAnsi" w:hAnsiTheme="minorHAnsi"/>
        </w:rPr>
        <w:t xml:space="preserve"> estimat</w:t>
      </w:r>
      <w:r>
        <w:rPr>
          <w:rFonts w:asciiTheme="minorHAnsi" w:hAnsiTheme="minorHAnsi"/>
        </w:rPr>
        <w:t>e</w:t>
      </w:r>
      <w:r w:rsidRPr="005B5E2F">
        <w:rPr>
          <w:rFonts w:asciiTheme="minorHAnsi" w:hAnsiTheme="minorHAnsi"/>
        </w:rPr>
        <w:t xml:space="preserve"> </w:t>
      </w:r>
      <w:r>
        <w:rPr>
          <w:rFonts w:asciiTheme="minorHAnsi" w:hAnsiTheme="minorHAnsi"/>
        </w:rPr>
        <w:t xml:space="preserve">the </w:t>
      </w:r>
      <w:r w:rsidRPr="005B5E2F">
        <w:rPr>
          <w:rFonts w:asciiTheme="minorHAnsi" w:hAnsiTheme="minorHAnsi"/>
        </w:rPr>
        <w:t>incidence of ADA-SCID in England</w:t>
      </w:r>
      <w:r>
        <w:rPr>
          <w:rFonts w:asciiTheme="minorHAnsi" w:hAnsiTheme="minorHAnsi"/>
        </w:rPr>
        <w:t xml:space="preserve">, which </w:t>
      </w:r>
      <w:r w:rsidRPr="005B5E2F">
        <w:rPr>
          <w:rFonts w:asciiTheme="minorHAnsi" w:hAnsiTheme="minorHAnsi"/>
        </w:rPr>
        <w:t>is likely to be very low and concentrated within certain ethnicities in the UK</w:t>
      </w:r>
      <w:r>
        <w:rPr>
          <w:rFonts w:asciiTheme="minorHAnsi" w:hAnsiTheme="minorHAnsi"/>
        </w:rPr>
        <w:t>.</w:t>
      </w:r>
      <w:r>
        <w:rPr>
          <w:rFonts w:asciiTheme="minorHAnsi" w:hAnsiTheme="minorHAnsi"/>
          <w:noProof/>
        </w:rPr>
        <w:t>[5]</w:t>
      </w:r>
      <w:r w:rsidRPr="005B5E2F">
        <w:rPr>
          <w:rFonts w:asciiTheme="minorHAnsi" w:hAnsiTheme="minorHAnsi"/>
        </w:rPr>
        <w:t xml:space="preserve"> Based on an estimate of 20 children per ye</w:t>
      </w:r>
      <w:r>
        <w:rPr>
          <w:rFonts w:asciiTheme="minorHAnsi" w:hAnsiTheme="minorHAnsi"/>
        </w:rPr>
        <w:t>ar presenting in the UK with any form</w:t>
      </w:r>
      <w:r w:rsidRPr="005B5E2F">
        <w:rPr>
          <w:rFonts w:asciiTheme="minorHAnsi" w:hAnsiTheme="minorHAnsi"/>
        </w:rPr>
        <w:t xml:space="preserve"> of SCID,</w:t>
      </w:r>
      <w:r>
        <w:rPr>
          <w:rFonts w:asciiTheme="minorHAnsi" w:hAnsiTheme="minorHAnsi"/>
          <w:noProof/>
        </w:rPr>
        <w:t>[6]</w:t>
      </w:r>
      <w:r w:rsidRPr="005B5E2F">
        <w:rPr>
          <w:rFonts w:asciiTheme="minorHAnsi" w:hAnsiTheme="minorHAnsi"/>
        </w:rPr>
        <w:t xml:space="preserve"> the company estimate</w:t>
      </w:r>
      <w:r>
        <w:rPr>
          <w:rFonts w:asciiTheme="minorHAnsi" w:hAnsiTheme="minorHAnsi"/>
        </w:rPr>
        <w:t>d</w:t>
      </w:r>
      <w:r w:rsidRPr="005B5E2F">
        <w:rPr>
          <w:rFonts w:asciiTheme="minorHAnsi" w:hAnsiTheme="minorHAnsi"/>
        </w:rPr>
        <w:t xml:space="preserve"> that there would be </w:t>
      </w:r>
      <w:r>
        <w:rPr>
          <w:rFonts w:asciiTheme="minorHAnsi" w:hAnsiTheme="minorHAnsi"/>
        </w:rPr>
        <w:t>three</w:t>
      </w:r>
      <w:r w:rsidRPr="005B5E2F">
        <w:rPr>
          <w:rFonts w:asciiTheme="minorHAnsi" w:hAnsiTheme="minorHAnsi"/>
        </w:rPr>
        <w:t xml:space="preserve"> or fewer patients a year diagnosed with ADA-SCID in England.</w:t>
      </w:r>
    </w:p>
    <w:p w:rsidR="00E111BE" w:rsidRDefault="00E111BE" w:rsidP="006D016A">
      <w:pPr>
        <w:rPr>
          <w:rFonts w:asciiTheme="minorHAnsi" w:hAnsiTheme="minorHAnsi"/>
        </w:rPr>
      </w:pPr>
      <w:r w:rsidRPr="005B5E2F">
        <w:rPr>
          <w:rFonts w:asciiTheme="minorHAnsi" w:hAnsiTheme="minorHAnsi"/>
        </w:rPr>
        <w:t xml:space="preserve">There is no NICE clinical guidance on the management of ADA-SCID, although there are </w:t>
      </w:r>
      <w:r>
        <w:rPr>
          <w:rFonts w:asciiTheme="minorHAnsi" w:hAnsiTheme="minorHAnsi"/>
        </w:rPr>
        <w:t xml:space="preserve">treatment </w:t>
      </w:r>
      <w:r w:rsidRPr="005B5E2F">
        <w:rPr>
          <w:rFonts w:asciiTheme="minorHAnsi" w:hAnsiTheme="minorHAnsi"/>
        </w:rPr>
        <w:t>guidelines from the European Society for Blood and Marrow Transplantation (E</w:t>
      </w:r>
      <w:r>
        <w:rPr>
          <w:rFonts w:asciiTheme="minorHAnsi" w:hAnsiTheme="minorHAnsi"/>
        </w:rPr>
        <w:t>BM</w:t>
      </w:r>
      <w:r w:rsidRPr="005B5E2F">
        <w:rPr>
          <w:rFonts w:asciiTheme="minorHAnsi" w:hAnsiTheme="minorHAnsi"/>
        </w:rPr>
        <w:t>T) and European Society for Immunodeficiencies (ESID).</w:t>
      </w:r>
      <w:r>
        <w:rPr>
          <w:rFonts w:asciiTheme="minorHAnsi" w:hAnsiTheme="minorHAnsi"/>
          <w:noProof/>
        </w:rPr>
        <w:t>[7]</w:t>
      </w:r>
      <w:r w:rsidRPr="005B5E2F">
        <w:rPr>
          <w:rFonts w:asciiTheme="minorHAnsi" w:hAnsiTheme="minorHAnsi"/>
        </w:rPr>
        <w:t xml:space="preserve"> The current preferred treatment is haematopoietic stem cell transplant (HSCT) from a human leukocyte antigen (</w:t>
      </w:r>
      <w:r>
        <w:rPr>
          <w:rFonts w:asciiTheme="minorHAnsi" w:hAnsiTheme="minorHAnsi"/>
        </w:rPr>
        <w:t>HLA) matched related donor (MRD).</w:t>
      </w:r>
      <w:r>
        <w:rPr>
          <w:rFonts w:asciiTheme="minorHAnsi" w:hAnsiTheme="minorHAnsi"/>
          <w:noProof/>
        </w:rPr>
        <w:t>[8, 7]</w:t>
      </w:r>
      <w:r w:rsidRPr="005B5E2F">
        <w:rPr>
          <w:rFonts w:asciiTheme="minorHAnsi" w:hAnsiTheme="minorHAnsi"/>
        </w:rPr>
        <w:t xml:space="preserve"> Survival rates for</w:t>
      </w:r>
      <w:r>
        <w:rPr>
          <w:rFonts w:asciiTheme="minorHAnsi" w:hAnsiTheme="minorHAnsi"/>
        </w:rPr>
        <w:t xml:space="preserve"> ADA-SCID </w:t>
      </w:r>
      <w:r w:rsidRPr="005B5E2F">
        <w:rPr>
          <w:rFonts w:asciiTheme="minorHAnsi" w:hAnsiTheme="minorHAnsi"/>
        </w:rPr>
        <w:t>patie</w:t>
      </w:r>
      <w:r>
        <w:rPr>
          <w:rFonts w:asciiTheme="minorHAnsi" w:hAnsiTheme="minorHAnsi"/>
        </w:rPr>
        <w:t>nts undergoing HSCT from an MRD</w:t>
      </w:r>
      <w:r w:rsidRPr="005B5E2F">
        <w:rPr>
          <w:rFonts w:asciiTheme="minorHAnsi" w:hAnsiTheme="minorHAnsi"/>
        </w:rPr>
        <w:t xml:space="preserve"> </w:t>
      </w:r>
      <w:r>
        <w:rPr>
          <w:rFonts w:asciiTheme="minorHAnsi" w:hAnsiTheme="minorHAnsi"/>
        </w:rPr>
        <w:t>were</w:t>
      </w:r>
      <w:r w:rsidRPr="005B5E2F">
        <w:rPr>
          <w:rFonts w:asciiTheme="minorHAnsi" w:hAnsiTheme="minorHAnsi"/>
        </w:rPr>
        <w:t xml:space="preserve"> 86% for matched sibling donors (MSD) and 83% for matched family donors (MFD) in the most recent published data</w:t>
      </w:r>
      <w:r>
        <w:rPr>
          <w:rFonts w:asciiTheme="minorHAnsi" w:hAnsiTheme="minorHAnsi"/>
        </w:rPr>
        <w:t xml:space="preserve"> at the time of the appraisal.</w:t>
      </w:r>
      <w:r>
        <w:rPr>
          <w:rFonts w:asciiTheme="minorHAnsi" w:hAnsiTheme="minorHAnsi"/>
          <w:noProof/>
        </w:rPr>
        <w:t>[3]</w:t>
      </w:r>
      <w:r w:rsidRPr="005B5E2F">
        <w:rPr>
          <w:rFonts w:asciiTheme="minorHAnsi" w:hAnsiTheme="minorHAnsi"/>
        </w:rPr>
        <w:t xml:space="preserve"> </w:t>
      </w:r>
      <w:r>
        <w:rPr>
          <w:rFonts w:asciiTheme="minorHAnsi" w:hAnsiTheme="minorHAnsi"/>
        </w:rPr>
        <w:t xml:space="preserve"> </w:t>
      </w:r>
    </w:p>
    <w:p w:rsidR="00E111BE" w:rsidRDefault="00E111BE" w:rsidP="006C0CE5">
      <w:r>
        <w:rPr>
          <w:rFonts w:asciiTheme="minorHAnsi" w:hAnsiTheme="minorHAnsi"/>
        </w:rPr>
        <w:t>If no MRD is available, t</w:t>
      </w:r>
      <w:r w:rsidRPr="005B5E2F">
        <w:rPr>
          <w:rFonts w:asciiTheme="minorHAnsi" w:hAnsiTheme="minorHAnsi"/>
        </w:rPr>
        <w:t xml:space="preserve">reatment options </w:t>
      </w:r>
      <w:r>
        <w:rPr>
          <w:rFonts w:asciiTheme="minorHAnsi" w:hAnsiTheme="minorHAnsi"/>
        </w:rPr>
        <w:t>include</w:t>
      </w:r>
      <w:r w:rsidRPr="005B5E2F">
        <w:rPr>
          <w:rFonts w:asciiTheme="minorHAnsi" w:hAnsiTheme="minorHAnsi"/>
        </w:rPr>
        <w:t xml:space="preserve"> gene therapy</w:t>
      </w:r>
      <w:r>
        <w:rPr>
          <w:rFonts w:asciiTheme="minorHAnsi" w:hAnsiTheme="minorHAnsi"/>
        </w:rPr>
        <w:t xml:space="preserve">, </w:t>
      </w:r>
      <w:r w:rsidRPr="005B5E2F">
        <w:rPr>
          <w:rFonts w:asciiTheme="minorHAnsi" w:hAnsiTheme="minorHAnsi"/>
        </w:rPr>
        <w:t>HSCT from a matched unrelated donor (MUD), HSCT from a haploidentical donor</w:t>
      </w:r>
      <w:r>
        <w:rPr>
          <w:rFonts w:asciiTheme="minorHAnsi" w:hAnsiTheme="minorHAnsi"/>
        </w:rPr>
        <w:t xml:space="preserve"> and </w:t>
      </w:r>
      <w:r w:rsidRPr="005B5E2F">
        <w:rPr>
          <w:rFonts w:asciiTheme="minorHAnsi" w:hAnsiTheme="minorHAnsi"/>
        </w:rPr>
        <w:t xml:space="preserve">enzyme replacement therapy (ERT) with </w:t>
      </w:r>
      <w:r w:rsidRPr="008850C4">
        <w:rPr>
          <w:rFonts w:asciiTheme="minorHAnsi" w:hAnsiTheme="minorHAnsi"/>
        </w:rPr>
        <w:t xml:space="preserve">polyethylene glycol-modified bovine adenosine deaminase </w:t>
      </w:r>
      <w:r>
        <w:rPr>
          <w:rFonts w:asciiTheme="minorHAnsi" w:hAnsiTheme="minorHAnsi"/>
        </w:rPr>
        <w:t>(</w:t>
      </w:r>
      <w:r w:rsidRPr="005B5E2F">
        <w:rPr>
          <w:rFonts w:asciiTheme="minorHAnsi" w:hAnsiTheme="minorHAnsi"/>
        </w:rPr>
        <w:t>PEG-ADA</w:t>
      </w:r>
      <w:r>
        <w:rPr>
          <w:rFonts w:asciiTheme="minorHAnsi" w:hAnsiTheme="minorHAnsi"/>
        </w:rPr>
        <w:t>)</w:t>
      </w:r>
      <w:r w:rsidRPr="005B5E2F">
        <w:rPr>
          <w:rFonts w:asciiTheme="minorHAnsi" w:hAnsiTheme="minorHAnsi"/>
        </w:rPr>
        <w:t>.</w:t>
      </w:r>
      <w:r>
        <w:rPr>
          <w:rFonts w:asciiTheme="minorHAnsi" w:hAnsiTheme="minorHAnsi"/>
          <w:noProof/>
        </w:rPr>
        <w:t>[8, 7]</w:t>
      </w:r>
      <w:r w:rsidRPr="00EC1430">
        <w:rPr>
          <w:rFonts w:asciiTheme="minorHAnsi" w:hAnsiTheme="minorHAnsi"/>
        </w:rPr>
        <w:t xml:space="preserve"> </w:t>
      </w:r>
      <w:r w:rsidRPr="005B5E2F">
        <w:rPr>
          <w:rFonts w:asciiTheme="minorHAnsi" w:hAnsiTheme="minorHAnsi"/>
        </w:rPr>
        <w:t>The E</w:t>
      </w:r>
      <w:r>
        <w:rPr>
          <w:rFonts w:asciiTheme="minorHAnsi" w:hAnsiTheme="minorHAnsi"/>
        </w:rPr>
        <w:t>BM</w:t>
      </w:r>
      <w:r w:rsidRPr="005B5E2F">
        <w:rPr>
          <w:rFonts w:asciiTheme="minorHAnsi" w:hAnsiTheme="minorHAnsi"/>
        </w:rPr>
        <w:t xml:space="preserve">T/ESID guidelines recommend gene therapy in </w:t>
      </w:r>
      <w:r>
        <w:rPr>
          <w:rFonts w:asciiTheme="minorHAnsi" w:hAnsiTheme="minorHAnsi"/>
        </w:rPr>
        <w:t>these cases</w:t>
      </w:r>
      <w:r>
        <w:rPr>
          <w:rFonts w:asciiTheme="minorHAnsi" w:hAnsiTheme="minorHAnsi"/>
          <w:noProof/>
        </w:rPr>
        <w:t>[7]</w:t>
      </w:r>
      <w:r w:rsidRPr="005B5E2F">
        <w:rPr>
          <w:rFonts w:asciiTheme="minorHAnsi" w:hAnsiTheme="minorHAnsi"/>
        </w:rPr>
        <w:t xml:space="preserve"> </w:t>
      </w:r>
      <w:r w:rsidRPr="00B52527">
        <w:rPr>
          <w:rFonts w:asciiTheme="minorHAnsi" w:hAnsiTheme="minorHAnsi"/>
        </w:rPr>
        <w:t>and there are ongoing trials of gene therapy treatments.</w:t>
      </w:r>
      <w:r>
        <w:rPr>
          <w:rFonts w:asciiTheme="minorHAnsi" w:hAnsiTheme="minorHAnsi"/>
          <w:noProof/>
        </w:rPr>
        <w:t>[8]</w:t>
      </w:r>
      <w:r>
        <w:rPr>
          <w:rFonts w:asciiTheme="minorHAnsi" w:hAnsiTheme="minorHAnsi"/>
        </w:rPr>
        <w:t xml:space="preserve"> Strimvelis</w:t>
      </w:r>
      <w:r w:rsidRPr="005B5E2F">
        <w:rPr>
          <w:rFonts w:asciiTheme="minorHAnsi" w:hAnsiTheme="minorHAnsi"/>
        </w:rPr>
        <w:t xml:space="preserve"> is a gene therapy treatment</w:t>
      </w:r>
      <w:r>
        <w:rPr>
          <w:rFonts w:asciiTheme="minorHAnsi" w:hAnsiTheme="minorHAnsi"/>
        </w:rPr>
        <w:t xml:space="preserve"> licensed for use in patients</w:t>
      </w:r>
      <w:r w:rsidRPr="005B5E2F">
        <w:rPr>
          <w:rFonts w:asciiTheme="minorHAnsi" w:hAnsiTheme="minorHAnsi"/>
        </w:rPr>
        <w:t xml:space="preserve"> </w:t>
      </w:r>
      <w:r>
        <w:rPr>
          <w:rFonts w:asciiTheme="minorHAnsi" w:hAnsiTheme="minorHAnsi"/>
        </w:rPr>
        <w:t xml:space="preserve">with </w:t>
      </w:r>
      <w:r w:rsidRPr="005B5E2F">
        <w:rPr>
          <w:rFonts w:asciiTheme="minorHAnsi" w:hAnsiTheme="minorHAnsi"/>
        </w:rPr>
        <w:t>ADA-SCID</w:t>
      </w:r>
      <w:r>
        <w:rPr>
          <w:rFonts w:asciiTheme="minorHAnsi" w:hAnsiTheme="minorHAnsi"/>
        </w:rPr>
        <w:t xml:space="preserve"> for whom no MRD is available, and this was the patient population considered</w:t>
      </w:r>
      <w:r w:rsidRPr="005B5E2F">
        <w:rPr>
          <w:rFonts w:asciiTheme="minorHAnsi" w:hAnsiTheme="minorHAnsi"/>
        </w:rPr>
        <w:t xml:space="preserve"> </w:t>
      </w:r>
      <w:r>
        <w:rPr>
          <w:rFonts w:asciiTheme="minorHAnsi" w:hAnsiTheme="minorHAnsi"/>
        </w:rPr>
        <w:t xml:space="preserve">in the submission. </w:t>
      </w:r>
      <w:r w:rsidRPr="005B5E2F">
        <w:rPr>
          <w:rFonts w:asciiTheme="minorHAnsi" w:hAnsiTheme="minorHAnsi"/>
        </w:rPr>
        <w:t>It was given EU marketing authorisation in May 2016</w:t>
      </w:r>
      <w:r>
        <w:rPr>
          <w:rFonts w:asciiTheme="minorHAnsi" w:hAnsiTheme="minorHAnsi"/>
        </w:rPr>
        <w:t xml:space="preserve"> and was the first EU-approved </w:t>
      </w:r>
      <w:r w:rsidRPr="00FA63F9">
        <w:rPr>
          <w:rFonts w:asciiTheme="minorHAnsi" w:hAnsiTheme="minorHAnsi"/>
          <w:i/>
        </w:rPr>
        <w:t>ex vivo</w:t>
      </w:r>
      <w:r>
        <w:rPr>
          <w:rFonts w:asciiTheme="minorHAnsi" w:hAnsiTheme="minorHAnsi"/>
        </w:rPr>
        <w:t xml:space="preserve"> gene therapy for paediatric patients</w:t>
      </w:r>
      <w:r w:rsidRPr="005B5E2F">
        <w:rPr>
          <w:rFonts w:asciiTheme="minorHAnsi" w:hAnsiTheme="minorHAnsi"/>
        </w:rPr>
        <w:t xml:space="preserve">. </w:t>
      </w:r>
      <w:r>
        <w:rPr>
          <w:rFonts w:asciiTheme="minorHAnsi" w:hAnsiTheme="minorHAnsi"/>
        </w:rPr>
        <w:t>Cells from the patient’s own bone marrow</w:t>
      </w:r>
      <w:r w:rsidRPr="008B2C27">
        <w:rPr>
          <w:rFonts w:asciiTheme="minorHAnsi" w:hAnsiTheme="minorHAnsi"/>
        </w:rPr>
        <w:t xml:space="preserve"> are transduced to express ADA</w:t>
      </w:r>
      <w:r>
        <w:rPr>
          <w:rFonts w:asciiTheme="minorHAnsi" w:hAnsiTheme="minorHAnsi"/>
        </w:rPr>
        <w:t xml:space="preserve"> and, provided engraftment is successful, i</w:t>
      </w:r>
      <w:r w:rsidRPr="005B5E2F">
        <w:rPr>
          <w:rFonts w:asciiTheme="minorHAnsi" w:hAnsiTheme="minorHAnsi"/>
        </w:rPr>
        <w:t xml:space="preserve">t is designed to be a single </w:t>
      </w:r>
      <w:r>
        <w:rPr>
          <w:rFonts w:asciiTheme="minorHAnsi" w:hAnsiTheme="minorHAnsi"/>
        </w:rPr>
        <w:t>treatment with lifelong effects</w:t>
      </w:r>
      <w:r w:rsidRPr="005B5E2F">
        <w:rPr>
          <w:rFonts w:asciiTheme="minorHAnsi" w:hAnsiTheme="minorHAnsi"/>
        </w:rPr>
        <w:t>. Strimvelis is currently only available at the Hospital San Raffaele Telethon Institute for Gene Ther</w:t>
      </w:r>
      <w:r>
        <w:rPr>
          <w:rFonts w:asciiTheme="minorHAnsi" w:hAnsiTheme="minorHAnsi"/>
        </w:rPr>
        <w:t xml:space="preserve">apy </w:t>
      </w:r>
      <w:r w:rsidRPr="005B5E2F">
        <w:rPr>
          <w:rFonts w:asciiTheme="minorHAnsi" w:hAnsiTheme="minorHAnsi"/>
        </w:rPr>
        <w:t>in Milan</w:t>
      </w:r>
      <w:r>
        <w:rPr>
          <w:rFonts w:asciiTheme="minorHAnsi" w:hAnsiTheme="minorHAnsi"/>
        </w:rPr>
        <w:t>, Italy</w:t>
      </w:r>
      <w:r w:rsidRPr="005B5E2F">
        <w:rPr>
          <w:rFonts w:asciiTheme="minorHAnsi" w:hAnsiTheme="minorHAnsi"/>
        </w:rPr>
        <w:t xml:space="preserve">. </w:t>
      </w:r>
      <w:r>
        <w:rPr>
          <w:rFonts w:asciiTheme="minorHAnsi" w:hAnsiTheme="minorHAnsi"/>
        </w:rPr>
        <w:t>Treatment</w:t>
      </w:r>
      <w:r w:rsidRPr="005605CF">
        <w:rPr>
          <w:rFonts w:asciiTheme="minorHAnsi" w:hAnsiTheme="minorHAnsi"/>
        </w:rPr>
        <w:t xml:space="preserve"> is only </w:t>
      </w:r>
      <w:r>
        <w:rPr>
          <w:rFonts w:asciiTheme="minorHAnsi" w:hAnsiTheme="minorHAnsi"/>
        </w:rPr>
        <w:t>possible if</w:t>
      </w:r>
      <w:r w:rsidRPr="005605CF">
        <w:rPr>
          <w:rFonts w:asciiTheme="minorHAnsi" w:hAnsiTheme="minorHAnsi"/>
        </w:rPr>
        <w:t xml:space="preserve"> patients </w:t>
      </w:r>
      <w:r>
        <w:rPr>
          <w:rFonts w:asciiTheme="minorHAnsi" w:hAnsiTheme="minorHAnsi"/>
        </w:rPr>
        <w:t>can</w:t>
      </w:r>
      <w:r w:rsidRPr="005605CF">
        <w:rPr>
          <w:rFonts w:asciiTheme="minorHAnsi" w:hAnsiTheme="minorHAnsi"/>
        </w:rPr>
        <w:t xml:space="preserve"> donate sufficient CD34+ cells to deliver a minimum of 4 million purified CD34+ cells/kg for the manufacture of Strimvelis</w:t>
      </w:r>
      <w:r>
        <w:rPr>
          <w:rFonts w:asciiTheme="minorHAnsi" w:hAnsiTheme="minorHAnsi"/>
        </w:rPr>
        <w:t xml:space="preserve"> and a </w:t>
      </w:r>
      <w:r w:rsidRPr="005605CF">
        <w:rPr>
          <w:rFonts w:asciiTheme="minorHAnsi" w:hAnsiTheme="minorHAnsi"/>
        </w:rPr>
        <w:t xml:space="preserve">CD34+ stem cell back-up for use as a rescue treatment. </w:t>
      </w:r>
      <w:r w:rsidRPr="00842509">
        <w:rPr>
          <w:rFonts w:asciiTheme="minorHAnsi" w:hAnsiTheme="minorHAnsi" w:cstheme="minorHAnsi"/>
          <w:spacing w:val="-3"/>
        </w:rPr>
        <w:t xml:space="preserve">In the clinical pathway presented, patients are </w:t>
      </w:r>
      <w:r>
        <w:rPr>
          <w:rFonts w:asciiTheme="minorHAnsi" w:hAnsiTheme="minorHAnsi" w:cstheme="minorHAnsi"/>
          <w:spacing w:val="-3"/>
        </w:rPr>
        <w:t xml:space="preserve">initially </w:t>
      </w:r>
      <w:r w:rsidRPr="00842509">
        <w:rPr>
          <w:rFonts w:asciiTheme="minorHAnsi" w:hAnsiTheme="minorHAnsi" w:cstheme="minorHAnsi"/>
          <w:spacing w:val="-3"/>
        </w:rPr>
        <w:t>maintained on i</w:t>
      </w:r>
      <w:r w:rsidRPr="00842509">
        <w:rPr>
          <w:rFonts w:asciiTheme="minorHAnsi" w:hAnsiTheme="minorHAnsi" w:cstheme="minorHAnsi"/>
        </w:rPr>
        <w:t>nt</w:t>
      </w:r>
      <w:r w:rsidRPr="00842509">
        <w:rPr>
          <w:rFonts w:asciiTheme="minorHAnsi" w:hAnsiTheme="minorHAnsi" w:cstheme="minorHAnsi"/>
          <w:spacing w:val="2"/>
        </w:rPr>
        <w:t>r</w:t>
      </w:r>
      <w:r w:rsidRPr="00842509">
        <w:rPr>
          <w:rFonts w:asciiTheme="minorHAnsi" w:hAnsiTheme="minorHAnsi" w:cstheme="minorHAnsi"/>
          <w:spacing w:val="-1"/>
        </w:rPr>
        <w:t>a</w:t>
      </w:r>
      <w:r w:rsidRPr="00842509">
        <w:rPr>
          <w:rFonts w:asciiTheme="minorHAnsi" w:hAnsiTheme="minorHAnsi" w:cstheme="minorHAnsi"/>
        </w:rPr>
        <w:t>v</w:t>
      </w:r>
      <w:r w:rsidRPr="00842509">
        <w:rPr>
          <w:rFonts w:asciiTheme="minorHAnsi" w:hAnsiTheme="minorHAnsi" w:cstheme="minorHAnsi"/>
          <w:spacing w:val="-1"/>
        </w:rPr>
        <w:t>e</w:t>
      </w:r>
      <w:r w:rsidRPr="00842509">
        <w:rPr>
          <w:rFonts w:asciiTheme="minorHAnsi" w:hAnsiTheme="minorHAnsi" w:cstheme="minorHAnsi"/>
        </w:rPr>
        <w:t>nous immuno</w:t>
      </w:r>
      <w:r w:rsidRPr="00842509">
        <w:rPr>
          <w:rFonts w:asciiTheme="minorHAnsi" w:hAnsiTheme="minorHAnsi" w:cstheme="minorHAnsi"/>
          <w:spacing w:val="-2"/>
        </w:rPr>
        <w:t>g</w:t>
      </w:r>
      <w:r w:rsidRPr="00842509">
        <w:rPr>
          <w:rFonts w:asciiTheme="minorHAnsi" w:hAnsiTheme="minorHAnsi" w:cstheme="minorHAnsi"/>
        </w:rPr>
        <w:t>lo</w:t>
      </w:r>
      <w:r w:rsidRPr="00842509">
        <w:rPr>
          <w:rFonts w:asciiTheme="minorHAnsi" w:hAnsiTheme="minorHAnsi" w:cstheme="minorHAnsi"/>
          <w:spacing w:val="2"/>
        </w:rPr>
        <w:t>b</w:t>
      </w:r>
      <w:r w:rsidRPr="00842509">
        <w:rPr>
          <w:rFonts w:asciiTheme="minorHAnsi" w:hAnsiTheme="minorHAnsi" w:cstheme="minorHAnsi"/>
        </w:rPr>
        <w:t xml:space="preserve">ulin (IVIG) after treatment with Strimvelis or HSCT, </w:t>
      </w:r>
      <w:r>
        <w:rPr>
          <w:rFonts w:asciiTheme="minorHAnsi" w:hAnsiTheme="minorHAnsi" w:cstheme="minorHAnsi"/>
        </w:rPr>
        <w:t>and</w:t>
      </w:r>
      <w:r w:rsidRPr="00842509">
        <w:rPr>
          <w:rFonts w:asciiTheme="minorHAnsi" w:hAnsiTheme="minorHAnsi" w:cstheme="minorHAnsi"/>
        </w:rPr>
        <w:t xml:space="preserve"> eventually discontinue IVIG if treatment is successful.</w:t>
      </w:r>
    </w:p>
    <w:p w:rsidR="00E111BE" w:rsidRPr="005B5E2F" w:rsidRDefault="00E111BE" w:rsidP="00816B09">
      <w:pPr>
        <w:rPr>
          <w:rFonts w:asciiTheme="minorHAnsi" w:hAnsiTheme="minorHAnsi"/>
        </w:rPr>
      </w:pPr>
      <w:r w:rsidRPr="005B5E2F">
        <w:rPr>
          <w:rFonts w:asciiTheme="minorHAnsi" w:hAnsiTheme="minorHAnsi"/>
        </w:rPr>
        <w:lastRenderedPageBreak/>
        <w:t xml:space="preserve">According to the submission, Strimvelis requires less </w:t>
      </w:r>
      <w:r w:rsidRPr="00D16433">
        <w:rPr>
          <w:rFonts w:asciiTheme="minorHAnsi" w:hAnsiTheme="minorHAnsi"/>
        </w:rPr>
        <w:t>pre-conditioning</w:t>
      </w:r>
      <w:r w:rsidRPr="005B5E2F">
        <w:rPr>
          <w:rFonts w:asciiTheme="minorHAnsi" w:hAnsiTheme="minorHAnsi"/>
        </w:rPr>
        <w:t xml:space="preserve"> than HSCT from a MUD or haploidentical donor, does not carry the same risk of</w:t>
      </w:r>
      <w:r>
        <w:rPr>
          <w:rFonts w:asciiTheme="minorHAnsi" w:hAnsiTheme="minorHAnsi"/>
        </w:rPr>
        <w:t xml:space="preserve"> graft versus host disease</w:t>
      </w:r>
      <w:r w:rsidRPr="005B5E2F">
        <w:rPr>
          <w:rFonts w:asciiTheme="minorHAnsi" w:hAnsiTheme="minorHAnsi"/>
        </w:rPr>
        <w:t xml:space="preserve"> </w:t>
      </w:r>
      <w:r>
        <w:rPr>
          <w:rFonts w:asciiTheme="minorHAnsi" w:hAnsiTheme="minorHAnsi"/>
        </w:rPr>
        <w:t>(</w:t>
      </w:r>
      <w:r w:rsidRPr="005B5E2F">
        <w:rPr>
          <w:rFonts w:asciiTheme="minorHAnsi" w:hAnsiTheme="minorHAnsi"/>
        </w:rPr>
        <w:t>GvHD</w:t>
      </w:r>
      <w:r>
        <w:rPr>
          <w:rFonts w:asciiTheme="minorHAnsi" w:hAnsiTheme="minorHAnsi"/>
        </w:rPr>
        <w:t>)</w:t>
      </w:r>
      <w:r w:rsidRPr="005B5E2F">
        <w:rPr>
          <w:rFonts w:asciiTheme="minorHAnsi" w:hAnsiTheme="minorHAnsi"/>
        </w:rPr>
        <w:t xml:space="preserve"> and does not require the search for a donor that can delay HSCT from a MUD.</w:t>
      </w:r>
      <w:r>
        <w:rPr>
          <w:rFonts w:asciiTheme="minorHAnsi" w:hAnsiTheme="minorHAnsi"/>
        </w:rPr>
        <w:t xml:space="preserve"> </w:t>
      </w:r>
      <w:r w:rsidRPr="00CF1941">
        <w:rPr>
          <w:rFonts w:asciiTheme="minorHAnsi" w:hAnsiTheme="minorHAnsi"/>
        </w:rPr>
        <w:t>GvHD is a complication associated with all types of allogenic HSCT. It is an immunological disorder that can be acute or chronic, can affect many organs and cause death.</w:t>
      </w:r>
      <w:r>
        <w:rPr>
          <w:rFonts w:asciiTheme="minorHAnsi" w:hAnsiTheme="minorHAnsi"/>
          <w:noProof/>
        </w:rPr>
        <w:t>[9]</w:t>
      </w:r>
      <w:r w:rsidRPr="00CF1941">
        <w:rPr>
          <w:rFonts w:asciiTheme="minorHAnsi" w:hAnsiTheme="minorHAnsi"/>
        </w:rPr>
        <w:t xml:space="preserve">  As gene therapy involves the patient’s own stem cells (autologous), the risk of GvHD is eliminated.</w:t>
      </w:r>
      <w:r>
        <w:rPr>
          <w:rFonts w:asciiTheme="minorHAnsi" w:hAnsiTheme="minorHAnsi"/>
          <w:noProof/>
        </w:rPr>
        <w:t>[10]</w:t>
      </w:r>
    </w:p>
    <w:p w:rsidR="00E111BE" w:rsidRDefault="00E111BE" w:rsidP="00D16433">
      <w:pPr>
        <w:rPr>
          <w:rFonts w:asciiTheme="minorHAnsi" w:hAnsiTheme="minorHAnsi"/>
        </w:rPr>
      </w:pPr>
      <w:r w:rsidRPr="004C4FCD">
        <w:rPr>
          <w:rFonts w:asciiTheme="minorHAnsi" w:hAnsiTheme="minorHAnsi"/>
        </w:rPr>
        <w:t xml:space="preserve">The comparator identified by NICE </w:t>
      </w:r>
      <w:r>
        <w:rPr>
          <w:rFonts w:asciiTheme="minorHAnsi" w:hAnsiTheme="minorHAnsi"/>
        </w:rPr>
        <w:t xml:space="preserve">was HSCT </w:t>
      </w:r>
      <w:r w:rsidRPr="004C4FCD">
        <w:rPr>
          <w:rFonts w:asciiTheme="minorHAnsi" w:hAnsiTheme="minorHAnsi"/>
        </w:rPr>
        <w:t xml:space="preserve">from a MUD or haploidentical donor. </w:t>
      </w:r>
      <w:r>
        <w:rPr>
          <w:rFonts w:asciiTheme="minorHAnsi" w:hAnsiTheme="minorHAnsi"/>
        </w:rPr>
        <w:t xml:space="preserve"> </w:t>
      </w:r>
      <w:r w:rsidDel="007D0DC8">
        <w:rPr>
          <w:rFonts w:asciiTheme="minorHAnsi" w:hAnsiTheme="minorHAnsi"/>
        </w:rPr>
        <w:t>In the most recent published data on</w:t>
      </w:r>
      <w:r w:rsidRPr="005B5E2F" w:rsidDel="007D0DC8">
        <w:rPr>
          <w:rFonts w:asciiTheme="minorHAnsi" w:hAnsiTheme="minorHAnsi"/>
        </w:rPr>
        <w:t xml:space="preserve"> ADA-SCID patients</w:t>
      </w:r>
      <w:r w:rsidDel="007D0DC8">
        <w:rPr>
          <w:rFonts w:asciiTheme="minorHAnsi" w:hAnsiTheme="minorHAnsi"/>
        </w:rPr>
        <w:t>, survival rates</w:t>
      </w:r>
      <w:r w:rsidRPr="005B5E2F" w:rsidDel="007D0DC8">
        <w:rPr>
          <w:rFonts w:asciiTheme="minorHAnsi" w:hAnsiTheme="minorHAnsi"/>
        </w:rPr>
        <w:t xml:space="preserve"> were 67% for HSCT from a MUD (1995-2009) and 71% for HSCT from a haploidentical donor (2000-2009).</w:t>
      </w:r>
      <w:r w:rsidDel="007D0DC8">
        <w:rPr>
          <w:rFonts w:asciiTheme="minorHAnsi" w:hAnsiTheme="minorHAnsi"/>
          <w:noProof/>
        </w:rPr>
        <w:t>[3]</w:t>
      </w:r>
      <w:r w:rsidRPr="005B5E2F" w:rsidDel="007D0DC8">
        <w:rPr>
          <w:rFonts w:asciiTheme="minorHAnsi" w:hAnsiTheme="minorHAnsi"/>
        </w:rPr>
        <w:t xml:space="preserve"> </w:t>
      </w:r>
      <w:r>
        <w:rPr>
          <w:rFonts w:asciiTheme="minorHAnsi" w:hAnsiTheme="minorHAnsi"/>
        </w:rPr>
        <w:t>These treatments have a high morbidity and mortality risk associated with</w:t>
      </w:r>
      <w:r w:rsidRPr="005B5E2F">
        <w:rPr>
          <w:rFonts w:asciiTheme="minorHAnsi" w:hAnsiTheme="minorHAnsi"/>
        </w:rPr>
        <w:t xml:space="preserve"> GvHD</w:t>
      </w:r>
      <w:r>
        <w:rPr>
          <w:rFonts w:asciiTheme="minorHAnsi" w:hAnsiTheme="minorHAnsi"/>
        </w:rPr>
        <w:t>.</w:t>
      </w:r>
      <w:r>
        <w:rPr>
          <w:rFonts w:asciiTheme="minorHAnsi" w:hAnsiTheme="minorHAnsi"/>
          <w:noProof/>
        </w:rPr>
        <w:t>[3, 11]</w:t>
      </w:r>
      <w:r w:rsidRPr="005B5E2F">
        <w:rPr>
          <w:rFonts w:asciiTheme="minorHAnsi" w:hAnsiTheme="minorHAnsi"/>
        </w:rPr>
        <w:t xml:space="preserve"> </w:t>
      </w:r>
      <w:r w:rsidRPr="00EF41A2">
        <w:rPr>
          <w:rFonts w:asciiTheme="minorHAnsi" w:hAnsiTheme="minorHAnsi"/>
        </w:rPr>
        <w:t xml:space="preserve">HSCT from a MUD or haploidentical donor </w:t>
      </w:r>
      <w:r>
        <w:rPr>
          <w:rFonts w:asciiTheme="minorHAnsi" w:hAnsiTheme="minorHAnsi"/>
        </w:rPr>
        <w:t xml:space="preserve">(but not normally MRD) </w:t>
      </w:r>
      <w:r w:rsidRPr="00EF41A2">
        <w:rPr>
          <w:rFonts w:asciiTheme="minorHAnsi" w:hAnsiTheme="minorHAnsi"/>
        </w:rPr>
        <w:t xml:space="preserve">usually </w:t>
      </w:r>
      <w:r>
        <w:rPr>
          <w:rFonts w:asciiTheme="minorHAnsi" w:hAnsiTheme="minorHAnsi"/>
        </w:rPr>
        <w:t xml:space="preserve">requires </w:t>
      </w:r>
      <w:r w:rsidRPr="003F7557">
        <w:rPr>
          <w:rFonts w:asciiTheme="minorHAnsi" w:hAnsiTheme="minorHAnsi"/>
        </w:rPr>
        <w:t>chemotherapeutic pre-conditioning</w:t>
      </w:r>
      <w:r w:rsidRPr="00EF41A2">
        <w:rPr>
          <w:rFonts w:asciiTheme="minorHAnsi" w:hAnsiTheme="minorHAnsi"/>
        </w:rPr>
        <w:t>, although there is no con</w:t>
      </w:r>
      <w:r>
        <w:rPr>
          <w:rFonts w:asciiTheme="minorHAnsi" w:hAnsiTheme="minorHAnsi"/>
        </w:rPr>
        <w:t>sensus on conditioning regimens</w:t>
      </w:r>
      <w:r w:rsidRPr="00EF41A2">
        <w:rPr>
          <w:rFonts w:asciiTheme="minorHAnsi" w:hAnsiTheme="minorHAnsi"/>
        </w:rPr>
        <w:t>.</w:t>
      </w:r>
      <w:r>
        <w:rPr>
          <w:rFonts w:asciiTheme="minorHAnsi" w:hAnsiTheme="minorHAnsi"/>
          <w:noProof/>
        </w:rPr>
        <w:t>[12, 10]</w:t>
      </w:r>
      <w:r w:rsidRPr="00EF41A2">
        <w:rPr>
          <w:rFonts w:asciiTheme="minorHAnsi" w:hAnsiTheme="minorHAnsi"/>
        </w:rPr>
        <w:t xml:space="preserve"> According to the submission, the low-dose busulfan conditioning used before treatment with Strimvelis would be associated with fewer adverse events than the full-dose chemotherapy regimens often used for HSCT from a MUD or haploidentical donor.</w:t>
      </w:r>
    </w:p>
    <w:p w:rsidR="00E111BE" w:rsidRPr="005B5E2F" w:rsidRDefault="00E111BE" w:rsidP="00353BB6">
      <w:pPr>
        <w:rPr>
          <w:rFonts w:asciiTheme="minorHAnsi" w:hAnsiTheme="minorHAnsi"/>
        </w:rPr>
      </w:pPr>
      <w:r>
        <w:rPr>
          <w:rFonts w:asciiTheme="minorHAnsi" w:hAnsiTheme="minorHAnsi"/>
        </w:rPr>
        <w:t>ERT with PEG-ADA is a non-curative and expensive treatment</w:t>
      </w:r>
      <w:r>
        <w:rPr>
          <w:rFonts w:asciiTheme="minorHAnsi" w:hAnsiTheme="minorHAnsi"/>
          <w:noProof/>
        </w:rPr>
        <w:t>[8]</w:t>
      </w:r>
      <w:r>
        <w:rPr>
          <w:rFonts w:asciiTheme="minorHAnsi" w:hAnsiTheme="minorHAnsi"/>
        </w:rPr>
        <w:t xml:space="preserve"> which requires frequent injections and regular monitoring.</w:t>
      </w:r>
      <w:r>
        <w:rPr>
          <w:rFonts w:asciiTheme="minorHAnsi" w:hAnsiTheme="minorHAnsi"/>
          <w:noProof/>
        </w:rPr>
        <w:t>[10]</w:t>
      </w:r>
      <w:r>
        <w:rPr>
          <w:rFonts w:asciiTheme="minorHAnsi" w:hAnsiTheme="minorHAnsi"/>
        </w:rPr>
        <w:t xml:space="preserve"> There is some uncertainty over long-term efficacy, as a study of nine patients receiving PEG-ADA for five to 12 years found that patients had subnormal immune function.</w:t>
      </w:r>
      <w:r>
        <w:rPr>
          <w:rFonts w:asciiTheme="minorHAnsi" w:hAnsiTheme="minorHAnsi"/>
          <w:noProof/>
        </w:rPr>
        <w:t>[13]</w:t>
      </w:r>
      <w:r>
        <w:rPr>
          <w:rFonts w:asciiTheme="minorHAnsi" w:hAnsiTheme="minorHAnsi"/>
        </w:rPr>
        <w:t xml:space="preserve"> It is not approved in the EU and according to expert clinical advice is used only as a bridge to curative treatment in UK clinical practice, with patients initiated on PEG-ADA immediately following diagnosis of ADA-SCID, while awaiting HSCT or gene therapy.</w:t>
      </w:r>
    </w:p>
    <w:p w:rsidR="00E111BE" w:rsidRPr="00A72C56" w:rsidRDefault="00E111BE" w:rsidP="00B93298">
      <w:pPr>
        <w:rPr>
          <w:rFonts w:asciiTheme="minorHAnsi" w:hAnsiTheme="minorHAnsi"/>
          <w:b/>
        </w:rPr>
      </w:pPr>
      <w:r w:rsidRPr="00A72C56">
        <w:rPr>
          <w:rFonts w:asciiTheme="minorHAnsi" w:hAnsiTheme="minorHAnsi"/>
          <w:b/>
        </w:rPr>
        <w:t>3 The Independent Evidence Review Group (ERG) Review</w:t>
      </w:r>
    </w:p>
    <w:p w:rsidR="00E111BE" w:rsidRPr="005B5E2F" w:rsidRDefault="00E111BE" w:rsidP="00353BB6">
      <w:pPr>
        <w:rPr>
          <w:rFonts w:asciiTheme="minorHAnsi" w:hAnsiTheme="minorHAnsi"/>
        </w:rPr>
      </w:pPr>
      <w:r w:rsidRPr="005B5E2F">
        <w:rPr>
          <w:rFonts w:asciiTheme="minorHAnsi" w:hAnsiTheme="minorHAnsi"/>
        </w:rPr>
        <w:t xml:space="preserve">The company submitted evidence to NICE on the use of Strimvelis in patients with ADA-SCID. </w:t>
      </w:r>
      <w:r>
        <w:rPr>
          <w:rFonts w:asciiTheme="minorHAnsi" w:hAnsiTheme="minorHAnsi"/>
        </w:rPr>
        <w:t xml:space="preserve">In accordance with HST procedures, the ERG had the opportunity to seek clarification on specific issues in the submission and request additional information from the company. </w:t>
      </w:r>
      <w:r w:rsidRPr="005B5E2F">
        <w:rPr>
          <w:rFonts w:asciiTheme="minorHAnsi" w:hAnsiTheme="minorHAnsi"/>
        </w:rPr>
        <w:t xml:space="preserve">The ERG reviewed </w:t>
      </w:r>
      <w:r>
        <w:rPr>
          <w:rFonts w:asciiTheme="minorHAnsi" w:hAnsiTheme="minorHAnsi"/>
        </w:rPr>
        <w:t>and</w:t>
      </w:r>
      <w:r w:rsidRPr="005B5E2F">
        <w:rPr>
          <w:rFonts w:asciiTheme="minorHAnsi" w:hAnsiTheme="minorHAnsi"/>
        </w:rPr>
        <w:t xml:space="preserve"> critiqued </w:t>
      </w:r>
      <w:r>
        <w:rPr>
          <w:rFonts w:asciiTheme="minorHAnsi" w:hAnsiTheme="minorHAnsi"/>
        </w:rPr>
        <w:t>this submission</w:t>
      </w:r>
      <w:r w:rsidRPr="005B5E2F">
        <w:rPr>
          <w:rFonts w:asciiTheme="minorHAnsi" w:hAnsiTheme="minorHAnsi"/>
        </w:rPr>
        <w:t xml:space="preserve"> and checked for the existence of other evidence or alternative interpretations of the evidence.</w:t>
      </w:r>
    </w:p>
    <w:p w:rsidR="00E111BE" w:rsidRPr="00A72C56" w:rsidRDefault="00E111BE" w:rsidP="00B93298">
      <w:pPr>
        <w:rPr>
          <w:rFonts w:asciiTheme="minorHAnsi" w:hAnsiTheme="minorHAnsi"/>
          <w:b/>
        </w:rPr>
      </w:pPr>
      <w:r w:rsidRPr="00A72C56">
        <w:rPr>
          <w:rFonts w:asciiTheme="minorHAnsi" w:hAnsiTheme="minorHAnsi"/>
          <w:b/>
        </w:rPr>
        <w:t xml:space="preserve">3.1 </w:t>
      </w:r>
      <w:r>
        <w:rPr>
          <w:rFonts w:asciiTheme="minorHAnsi" w:hAnsiTheme="minorHAnsi"/>
          <w:b/>
        </w:rPr>
        <w:t>Clinical E</w:t>
      </w:r>
      <w:r w:rsidRPr="00A72C56">
        <w:rPr>
          <w:rFonts w:asciiTheme="minorHAnsi" w:hAnsiTheme="minorHAnsi"/>
          <w:b/>
        </w:rPr>
        <w:t>vidence</w:t>
      </w:r>
    </w:p>
    <w:p w:rsidR="00E111BE" w:rsidRPr="005B5E2F" w:rsidRDefault="00E111BE" w:rsidP="00353BB6">
      <w:pPr>
        <w:rPr>
          <w:rFonts w:asciiTheme="minorHAnsi" w:hAnsiTheme="minorHAnsi"/>
        </w:rPr>
      </w:pPr>
      <w:r w:rsidRPr="005B5E2F">
        <w:rPr>
          <w:rFonts w:asciiTheme="minorHAnsi" w:hAnsiTheme="minorHAnsi"/>
        </w:rPr>
        <w:t>The company’s submission of evidence included a systematic review of studies on the use of Strimvelis and of the comparator treatment</w:t>
      </w:r>
      <w:r>
        <w:rPr>
          <w:rFonts w:asciiTheme="minorHAnsi" w:hAnsiTheme="minorHAnsi"/>
        </w:rPr>
        <w:t xml:space="preserve">s. </w:t>
      </w:r>
      <w:r w:rsidRPr="005B5E2F">
        <w:rPr>
          <w:rFonts w:asciiTheme="minorHAnsi" w:hAnsiTheme="minorHAnsi"/>
        </w:rPr>
        <w:t xml:space="preserve">Four </w:t>
      </w:r>
      <w:r>
        <w:rPr>
          <w:rFonts w:asciiTheme="minorHAnsi" w:hAnsiTheme="minorHAnsi"/>
        </w:rPr>
        <w:t>open label, single arm trials</w:t>
      </w:r>
      <w:r w:rsidRPr="005B5E2F">
        <w:rPr>
          <w:rFonts w:asciiTheme="minorHAnsi" w:hAnsiTheme="minorHAnsi"/>
        </w:rPr>
        <w:t xml:space="preserve"> of Strimvelis were identified, as well as a long-term follow up</w:t>
      </w:r>
      <w:r>
        <w:rPr>
          <w:rFonts w:asciiTheme="minorHAnsi" w:hAnsiTheme="minorHAnsi"/>
        </w:rPr>
        <w:t xml:space="preserve"> (LTFU)</w:t>
      </w:r>
      <w:r w:rsidRPr="005B5E2F">
        <w:rPr>
          <w:rFonts w:asciiTheme="minorHAnsi" w:hAnsiTheme="minorHAnsi"/>
        </w:rPr>
        <w:t xml:space="preserve"> study of patients from these trials.</w:t>
      </w:r>
      <w:r>
        <w:rPr>
          <w:rFonts w:asciiTheme="minorHAnsi" w:hAnsiTheme="minorHAnsi"/>
          <w:noProof/>
        </w:rPr>
        <w:t>[14]</w:t>
      </w:r>
      <w:r w:rsidRPr="005B5E2F">
        <w:rPr>
          <w:rFonts w:asciiTheme="minorHAnsi" w:hAnsiTheme="minorHAnsi"/>
        </w:rPr>
        <w:t xml:space="preserve"> </w:t>
      </w:r>
      <w:r>
        <w:rPr>
          <w:rFonts w:asciiTheme="minorHAnsi" w:hAnsiTheme="minorHAnsi"/>
        </w:rPr>
        <w:t>The sample sizes of the trials were very small</w:t>
      </w:r>
      <w:r w:rsidRPr="005B5E2F">
        <w:rPr>
          <w:rFonts w:asciiTheme="minorHAnsi" w:hAnsiTheme="minorHAnsi"/>
        </w:rPr>
        <w:t>, ranging from one to 1</w:t>
      </w:r>
      <w:r>
        <w:rPr>
          <w:rFonts w:asciiTheme="minorHAnsi" w:hAnsiTheme="minorHAnsi"/>
        </w:rPr>
        <w:t>2</w:t>
      </w:r>
      <w:r w:rsidRPr="005B5E2F">
        <w:rPr>
          <w:rFonts w:asciiTheme="minorHAnsi" w:hAnsiTheme="minorHAnsi"/>
        </w:rPr>
        <w:t xml:space="preserve"> patients</w:t>
      </w:r>
      <w:r>
        <w:rPr>
          <w:rFonts w:asciiTheme="minorHAnsi" w:hAnsiTheme="minorHAnsi"/>
        </w:rPr>
        <w:t xml:space="preserve"> (with 17 of the 18 total patients enrolled in the LTFU)</w:t>
      </w:r>
      <w:r w:rsidRPr="005B5E2F">
        <w:rPr>
          <w:rFonts w:asciiTheme="minorHAnsi" w:hAnsiTheme="minorHAnsi"/>
        </w:rPr>
        <w:t xml:space="preserve">. The evidence </w:t>
      </w:r>
      <w:r>
        <w:rPr>
          <w:rFonts w:asciiTheme="minorHAnsi" w:hAnsiTheme="minorHAnsi"/>
        </w:rPr>
        <w:t xml:space="preserve">submitted by </w:t>
      </w:r>
      <w:r w:rsidRPr="005B5E2F">
        <w:rPr>
          <w:rFonts w:asciiTheme="minorHAnsi" w:hAnsiTheme="minorHAnsi"/>
        </w:rPr>
        <w:t xml:space="preserve">the company focused on an integrated population of the 18 patients that had received Strimvelis as part of these studies, with data pooled and treated as if it were from </w:t>
      </w:r>
      <w:r>
        <w:rPr>
          <w:rFonts w:asciiTheme="minorHAnsi" w:hAnsiTheme="minorHAnsi"/>
        </w:rPr>
        <w:t>a single</w:t>
      </w:r>
      <w:r w:rsidRPr="005B5E2F">
        <w:rPr>
          <w:rFonts w:asciiTheme="minorHAnsi" w:hAnsiTheme="minorHAnsi"/>
        </w:rPr>
        <w:t xml:space="preserve"> study. Data on </w:t>
      </w:r>
      <w:r>
        <w:rPr>
          <w:rFonts w:asciiTheme="minorHAnsi" w:hAnsiTheme="minorHAnsi"/>
        </w:rPr>
        <w:t xml:space="preserve">some </w:t>
      </w:r>
      <w:r w:rsidRPr="004128FA">
        <w:rPr>
          <w:rFonts w:asciiTheme="minorHAnsi" w:hAnsiTheme="minorHAnsi"/>
        </w:rPr>
        <w:t>further</w:t>
      </w:r>
      <w:r w:rsidRPr="005B5E2F">
        <w:rPr>
          <w:rFonts w:asciiTheme="minorHAnsi" w:hAnsiTheme="minorHAnsi"/>
        </w:rPr>
        <w:t xml:space="preserve"> patients receiving Strimvelis as part of a </w:t>
      </w:r>
      <w:r w:rsidRPr="00C265F4">
        <w:rPr>
          <w:rFonts w:asciiTheme="minorHAnsi" w:hAnsiTheme="minorHAnsi"/>
        </w:rPr>
        <w:t>Named Patient Programme (NPP)</w:t>
      </w:r>
      <w:r w:rsidRPr="005B5E2F">
        <w:rPr>
          <w:rFonts w:asciiTheme="minorHAnsi" w:hAnsiTheme="minorHAnsi"/>
        </w:rPr>
        <w:t xml:space="preserve"> were also provided but not included in the evidence synthesis</w:t>
      </w:r>
      <w:r>
        <w:rPr>
          <w:rFonts w:asciiTheme="minorHAnsi" w:hAnsiTheme="minorHAnsi"/>
        </w:rPr>
        <w:t xml:space="preserve"> or base case cost-effectiveness analysis</w:t>
      </w:r>
      <w:r w:rsidRPr="005B5E2F">
        <w:rPr>
          <w:rFonts w:asciiTheme="minorHAnsi" w:hAnsiTheme="minorHAnsi"/>
        </w:rPr>
        <w:t xml:space="preserve">. </w:t>
      </w:r>
      <w:r>
        <w:rPr>
          <w:rFonts w:asciiTheme="minorHAnsi" w:hAnsiTheme="minorHAnsi"/>
        </w:rPr>
        <w:t xml:space="preserve"> </w:t>
      </w:r>
      <w:r w:rsidRPr="005B5E2F">
        <w:rPr>
          <w:rFonts w:asciiTheme="minorHAnsi" w:hAnsiTheme="minorHAnsi"/>
        </w:rPr>
        <w:t xml:space="preserve">A historical comparator was used, with data on HSCT from a MUD or haploidentical donor in ADA-SCID patients based primarily on </w:t>
      </w:r>
      <w:r>
        <w:rPr>
          <w:rFonts w:asciiTheme="minorHAnsi" w:hAnsiTheme="minorHAnsi"/>
        </w:rPr>
        <w:t xml:space="preserve">a </w:t>
      </w:r>
      <w:r w:rsidRPr="005B5E2F">
        <w:rPr>
          <w:rFonts w:asciiTheme="minorHAnsi" w:hAnsiTheme="minorHAnsi"/>
        </w:rPr>
        <w:t>multi-centre</w:t>
      </w:r>
      <w:r>
        <w:rPr>
          <w:rFonts w:asciiTheme="minorHAnsi" w:hAnsiTheme="minorHAnsi"/>
        </w:rPr>
        <w:t>, retrospective study, which provided the most recent survival data</w:t>
      </w:r>
      <w:r w:rsidRPr="005B5E2F">
        <w:rPr>
          <w:rFonts w:asciiTheme="minorHAnsi" w:hAnsiTheme="minorHAnsi"/>
        </w:rPr>
        <w:t>.</w:t>
      </w:r>
      <w:r>
        <w:rPr>
          <w:rFonts w:asciiTheme="minorHAnsi" w:hAnsiTheme="minorHAnsi"/>
          <w:noProof/>
        </w:rPr>
        <w:t>[3]</w:t>
      </w:r>
      <w:r w:rsidRPr="005B5E2F">
        <w:rPr>
          <w:rFonts w:asciiTheme="minorHAnsi" w:hAnsiTheme="minorHAnsi"/>
        </w:rPr>
        <w:t xml:space="preserve"> Some smaller case series and reports were also </w:t>
      </w:r>
      <w:r>
        <w:rPr>
          <w:rFonts w:asciiTheme="minorHAnsi" w:hAnsiTheme="minorHAnsi"/>
        </w:rPr>
        <w:t>included in the narrative synthesis.</w:t>
      </w:r>
    </w:p>
    <w:p w:rsidR="00E111BE" w:rsidRPr="005B5E2F" w:rsidRDefault="00E111BE" w:rsidP="00353BB6">
      <w:pPr>
        <w:rPr>
          <w:rFonts w:asciiTheme="minorHAnsi" w:hAnsiTheme="minorHAnsi"/>
        </w:rPr>
      </w:pPr>
      <w:r w:rsidRPr="005B5E2F">
        <w:rPr>
          <w:rFonts w:asciiTheme="minorHAnsi" w:hAnsiTheme="minorHAnsi"/>
        </w:rPr>
        <w:t xml:space="preserve">Overall </w:t>
      </w:r>
      <w:r w:rsidRPr="001A1A2E">
        <w:rPr>
          <w:rFonts w:asciiTheme="minorHAnsi" w:hAnsiTheme="minorHAnsi"/>
        </w:rPr>
        <w:t xml:space="preserve">survival in all 18 patients </w:t>
      </w:r>
      <w:r>
        <w:rPr>
          <w:rFonts w:asciiTheme="minorHAnsi" w:hAnsiTheme="minorHAnsi"/>
        </w:rPr>
        <w:t>in</w:t>
      </w:r>
      <w:r w:rsidRPr="001A1A2E">
        <w:rPr>
          <w:rFonts w:asciiTheme="minorHAnsi" w:hAnsiTheme="minorHAnsi"/>
        </w:rPr>
        <w:t xml:space="preserve"> the Strimvelis integrated population was 100%, with a median follow up of 6.95 years (range 2.3-13.4 years). </w:t>
      </w:r>
      <w:r>
        <w:rPr>
          <w:rFonts w:asciiTheme="minorHAnsi" w:hAnsiTheme="minorHAnsi"/>
        </w:rPr>
        <w:t>I</w:t>
      </w:r>
      <w:r w:rsidRPr="001A1A2E">
        <w:rPr>
          <w:rFonts w:asciiTheme="minorHAnsi" w:hAnsiTheme="minorHAnsi"/>
        </w:rPr>
        <w:t xml:space="preserve">ntervention free survival was </w:t>
      </w:r>
      <w:r>
        <w:rPr>
          <w:rFonts w:asciiTheme="minorHAnsi" w:hAnsiTheme="minorHAnsi"/>
        </w:rPr>
        <w:t>achieved in</w:t>
      </w:r>
      <w:r w:rsidRPr="001A1A2E">
        <w:rPr>
          <w:rFonts w:asciiTheme="minorHAnsi" w:hAnsiTheme="minorHAnsi"/>
        </w:rPr>
        <w:t xml:space="preserve"> 14</w:t>
      </w:r>
      <w:r>
        <w:rPr>
          <w:rFonts w:asciiTheme="minorHAnsi" w:hAnsiTheme="minorHAnsi"/>
        </w:rPr>
        <w:t xml:space="preserve"> of 17</w:t>
      </w:r>
      <w:r w:rsidRPr="001A1A2E">
        <w:rPr>
          <w:rFonts w:asciiTheme="minorHAnsi" w:hAnsiTheme="minorHAnsi"/>
        </w:rPr>
        <w:t xml:space="preserve"> </w:t>
      </w:r>
      <w:r>
        <w:rPr>
          <w:rFonts w:asciiTheme="minorHAnsi" w:hAnsiTheme="minorHAnsi"/>
        </w:rPr>
        <w:t xml:space="preserve">patients </w:t>
      </w:r>
      <w:r w:rsidRPr="001A1A2E">
        <w:rPr>
          <w:rFonts w:asciiTheme="minorHAnsi" w:hAnsiTheme="minorHAnsi"/>
        </w:rPr>
        <w:t>(82.3</w:t>
      </w:r>
      <w:r>
        <w:rPr>
          <w:rFonts w:asciiTheme="minorHAnsi" w:hAnsiTheme="minorHAnsi"/>
        </w:rPr>
        <w:t>%)</w:t>
      </w:r>
      <w:r w:rsidRPr="001A1A2E">
        <w:rPr>
          <w:rFonts w:asciiTheme="minorHAnsi" w:hAnsiTheme="minorHAnsi"/>
        </w:rPr>
        <w:t xml:space="preserve">. Of the three patients </w:t>
      </w:r>
      <w:r>
        <w:rPr>
          <w:rFonts w:asciiTheme="minorHAnsi" w:hAnsiTheme="minorHAnsi"/>
        </w:rPr>
        <w:t>in whom Strimvelis was unsuccessful</w:t>
      </w:r>
      <w:r w:rsidRPr="001A1A2E">
        <w:rPr>
          <w:rFonts w:asciiTheme="minorHAnsi" w:hAnsiTheme="minorHAnsi"/>
        </w:rPr>
        <w:t xml:space="preserve">, two underwent HSCT from an MSD and one received a second dose of Strimvelis </w:t>
      </w:r>
      <w:r>
        <w:rPr>
          <w:rFonts w:asciiTheme="minorHAnsi" w:hAnsiTheme="minorHAnsi"/>
        </w:rPr>
        <w:t>and</w:t>
      </w:r>
      <w:r w:rsidRPr="001A1A2E">
        <w:rPr>
          <w:rFonts w:asciiTheme="minorHAnsi" w:hAnsiTheme="minorHAnsi"/>
        </w:rPr>
        <w:t xml:space="preserve"> long-term PEG-ADA treatment</w:t>
      </w:r>
      <w:r>
        <w:rPr>
          <w:rFonts w:asciiTheme="minorHAnsi" w:hAnsiTheme="minorHAnsi"/>
        </w:rPr>
        <w:t>.</w:t>
      </w:r>
    </w:p>
    <w:p w:rsidR="00E111BE" w:rsidRPr="005B5E2F" w:rsidRDefault="00E111BE" w:rsidP="00353BB6">
      <w:pPr>
        <w:rPr>
          <w:rFonts w:asciiTheme="minorHAnsi" w:hAnsiTheme="minorHAnsi"/>
        </w:rPr>
      </w:pPr>
      <w:r w:rsidRPr="005B5E2F">
        <w:rPr>
          <w:rFonts w:asciiTheme="minorHAnsi" w:hAnsiTheme="minorHAnsi"/>
        </w:rPr>
        <w:lastRenderedPageBreak/>
        <w:t xml:space="preserve">Based on the </w:t>
      </w:r>
      <w:r>
        <w:rPr>
          <w:rFonts w:asciiTheme="minorHAnsi" w:hAnsiTheme="minorHAnsi"/>
        </w:rPr>
        <w:t>main comparator study</w:t>
      </w:r>
      <w:r w:rsidRPr="005B5E2F">
        <w:rPr>
          <w:rFonts w:asciiTheme="minorHAnsi" w:hAnsiTheme="minorHAnsi"/>
        </w:rPr>
        <w:t>,</w:t>
      </w:r>
      <w:r>
        <w:rPr>
          <w:rFonts w:asciiTheme="minorHAnsi" w:hAnsiTheme="minorHAnsi"/>
          <w:noProof/>
        </w:rPr>
        <w:t>[3]</w:t>
      </w:r>
      <w:r w:rsidRPr="005B5E2F">
        <w:rPr>
          <w:rFonts w:asciiTheme="minorHAnsi" w:hAnsiTheme="minorHAnsi"/>
        </w:rPr>
        <w:t xml:space="preserve"> overall survival for those receiving HSCT from a MUD was 67% (10/15) between 1995 and 2009. For HSCT from a haploidentical donor,</w:t>
      </w:r>
      <w:r>
        <w:rPr>
          <w:rFonts w:asciiTheme="minorHAnsi" w:hAnsiTheme="minorHAnsi"/>
        </w:rPr>
        <w:t xml:space="preserve"> overall survival was 71% (5/7)</w:t>
      </w:r>
      <w:r w:rsidRPr="005B5E2F">
        <w:rPr>
          <w:rFonts w:asciiTheme="minorHAnsi" w:hAnsiTheme="minorHAnsi"/>
        </w:rPr>
        <w:t xml:space="preserve"> </w:t>
      </w:r>
      <w:r>
        <w:rPr>
          <w:rFonts w:asciiTheme="minorHAnsi" w:hAnsiTheme="minorHAnsi"/>
        </w:rPr>
        <w:t>between</w:t>
      </w:r>
      <w:r w:rsidRPr="005B5E2F">
        <w:rPr>
          <w:rFonts w:asciiTheme="minorHAnsi" w:hAnsiTheme="minorHAnsi"/>
        </w:rPr>
        <w:t xml:space="preserve"> 2000 to 2009</w:t>
      </w:r>
      <w:r>
        <w:rPr>
          <w:rFonts w:asciiTheme="minorHAnsi" w:hAnsiTheme="minorHAnsi"/>
        </w:rPr>
        <w:t>. Earlier d</w:t>
      </w:r>
      <w:r w:rsidRPr="005B5E2F">
        <w:rPr>
          <w:rFonts w:asciiTheme="minorHAnsi" w:hAnsiTheme="minorHAnsi"/>
        </w:rPr>
        <w:t xml:space="preserve">ata </w:t>
      </w:r>
      <w:r>
        <w:rPr>
          <w:rFonts w:asciiTheme="minorHAnsi" w:hAnsiTheme="minorHAnsi"/>
        </w:rPr>
        <w:t>on HSCT from a haploidentical donor were not used in the comparison</w:t>
      </w:r>
      <w:r w:rsidRPr="005B5E2F">
        <w:rPr>
          <w:rFonts w:asciiTheme="minorHAnsi" w:hAnsiTheme="minorHAnsi"/>
        </w:rPr>
        <w:t xml:space="preserve"> due to improvements in effectiveness </w:t>
      </w:r>
      <w:r>
        <w:rPr>
          <w:rFonts w:asciiTheme="minorHAnsi" w:hAnsiTheme="minorHAnsi"/>
        </w:rPr>
        <w:t xml:space="preserve">of HSCT </w:t>
      </w:r>
      <w:r w:rsidRPr="005B5E2F">
        <w:rPr>
          <w:rFonts w:asciiTheme="minorHAnsi" w:hAnsiTheme="minorHAnsi"/>
        </w:rPr>
        <w:t>over time. Intervention free survival data w</w:t>
      </w:r>
      <w:r>
        <w:rPr>
          <w:rFonts w:asciiTheme="minorHAnsi" w:hAnsiTheme="minorHAnsi"/>
        </w:rPr>
        <w:t>ere</w:t>
      </w:r>
      <w:r w:rsidRPr="005B5E2F">
        <w:rPr>
          <w:rFonts w:asciiTheme="minorHAnsi" w:hAnsiTheme="minorHAnsi"/>
        </w:rPr>
        <w:t xml:space="preserve"> limited for the comparator treatmen</w:t>
      </w:r>
      <w:r>
        <w:rPr>
          <w:rFonts w:asciiTheme="minorHAnsi" w:hAnsiTheme="minorHAnsi"/>
        </w:rPr>
        <w:t xml:space="preserve">ts, and it was not clear if available </w:t>
      </w:r>
      <w:r w:rsidRPr="005B5E2F">
        <w:rPr>
          <w:rFonts w:asciiTheme="minorHAnsi" w:hAnsiTheme="minorHAnsi"/>
        </w:rPr>
        <w:t>data w</w:t>
      </w:r>
      <w:r>
        <w:rPr>
          <w:rFonts w:asciiTheme="minorHAnsi" w:hAnsiTheme="minorHAnsi"/>
        </w:rPr>
        <w:t>ere</w:t>
      </w:r>
      <w:r w:rsidRPr="005B5E2F">
        <w:rPr>
          <w:rFonts w:asciiTheme="minorHAnsi" w:hAnsiTheme="minorHAnsi"/>
        </w:rPr>
        <w:t xml:space="preserve"> comparable with the data on Strimvelis. </w:t>
      </w:r>
    </w:p>
    <w:p w:rsidR="00E111BE" w:rsidRPr="005B5E2F" w:rsidRDefault="00E111BE" w:rsidP="00353BB6">
      <w:pPr>
        <w:rPr>
          <w:rFonts w:asciiTheme="minorHAnsi" w:hAnsiTheme="minorHAnsi"/>
        </w:rPr>
      </w:pPr>
      <w:r w:rsidRPr="005B5E2F">
        <w:rPr>
          <w:rFonts w:asciiTheme="minorHAnsi" w:hAnsiTheme="minorHAnsi"/>
        </w:rPr>
        <w:t xml:space="preserve">Adverse events were similar for Strimvelis and the comparator treatments. </w:t>
      </w:r>
      <w:r>
        <w:rPr>
          <w:rFonts w:asciiTheme="minorHAnsi" w:hAnsiTheme="minorHAnsi"/>
        </w:rPr>
        <w:t>All but one patient in</w:t>
      </w:r>
      <w:r w:rsidRPr="005B5E2F">
        <w:rPr>
          <w:rFonts w:asciiTheme="minorHAnsi" w:hAnsiTheme="minorHAnsi"/>
        </w:rPr>
        <w:t xml:space="preserve"> the Strimvelis integrated population experienced a neurological, </w:t>
      </w:r>
      <w:r>
        <w:rPr>
          <w:rFonts w:asciiTheme="minorHAnsi" w:hAnsiTheme="minorHAnsi"/>
        </w:rPr>
        <w:t>central nervous system</w:t>
      </w:r>
      <w:r w:rsidRPr="005B5E2F">
        <w:rPr>
          <w:rFonts w:asciiTheme="minorHAnsi" w:hAnsiTheme="minorHAnsi"/>
        </w:rPr>
        <w:t xml:space="preserve"> or hearing event during treatment or follow up. A high incidence of non-immunological problems </w:t>
      </w:r>
      <w:r>
        <w:rPr>
          <w:rFonts w:asciiTheme="minorHAnsi" w:hAnsiTheme="minorHAnsi"/>
        </w:rPr>
        <w:t>was also</w:t>
      </w:r>
      <w:r w:rsidRPr="005B5E2F">
        <w:rPr>
          <w:rFonts w:asciiTheme="minorHAnsi" w:hAnsiTheme="minorHAnsi"/>
        </w:rPr>
        <w:t xml:space="preserve"> found in ADA-SCID patients following HSCT</w:t>
      </w:r>
      <w:r>
        <w:rPr>
          <w:rFonts w:asciiTheme="minorHAnsi" w:hAnsiTheme="minorHAnsi"/>
        </w:rPr>
        <w:t>.</w:t>
      </w:r>
      <w:r>
        <w:rPr>
          <w:rFonts w:asciiTheme="minorHAnsi" w:hAnsiTheme="minorHAnsi"/>
          <w:noProof/>
        </w:rPr>
        <w:t>[15-19]</w:t>
      </w:r>
      <w:r>
        <w:rPr>
          <w:rFonts w:asciiTheme="minorHAnsi" w:hAnsiTheme="minorHAnsi"/>
        </w:rPr>
        <w:t xml:space="preserve"> The company </w:t>
      </w:r>
      <w:r w:rsidRPr="005B5E2F">
        <w:rPr>
          <w:rFonts w:asciiTheme="minorHAnsi" w:hAnsiTheme="minorHAnsi"/>
        </w:rPr>
        <w:t>conclude</w:t>
      </w:r>
      <w:r>
        <w:rPr>
          <w:rFonts w:asciiTheme="minorHAnsi" w:hAnsiTheme="minorHAnsi"/>
        </w:rPr>
        <w:t>d</w:t>
      </w:r>
      <w:r w:rsidRPr="005B5E2F">
        <w:rPr>
          <w:rFonts w:asciiTheme="minorHAnsi" w:hAnsiTheme="minorHAnsi"/>
        </w:rPr>
        <w:t xml:space="preserve"> that neither treatment appears to be effective in reducing non-i</w:t>
      </w:r>
      <w:r>
        <w:rPr>
          <w:rFonts w:asciiTheme="minorHAnsi" w:hAnsiTheme="minorHAnsi"/>
        </w:rPr>
        <w:t>mmunological problems. The main</w:t>
      </w:r>
      <w:r w:rsidRPr="005B5E2F">
        <w:rPr>
          <w:rFonts w:asciiTheme="minorHAnsi" w:hAnsiTheme="minorHAnsi"/>
        </w:rPr>
        <w:t xml:space="preserve"> difference </w:t>
      </w:r>
      <w:r>
        <w:rPr>
          <w:rFonts w:asciiTheme="minorHAnsi" w:hAnsiTheme="minorHAnsi"/>
        </w:rPr>
        <w:t>in adverse events wa</w:t>
      </w:r>
      <w:r w:rsidRPr="005B5E2F">
        <w:rPr>
          <w:rFonts w:asciiTheme="minorHAnsi" w:hAnsiTheme="minorHAnsi"/>
        </w:rPr>
        <w:t>s that some patients experienced G</w:t>
      </w:r>
      <w:r>
        <w:rPr>
          <w:rFonts w:asciiTheme="minorHAnsi" w:hAnsiTheme="minorHAnsi"/>
        </w:rPr>
        <w:t>v</w:t>
      </w:r>
      <w:r w:rsidRPr="005B5E2F">
        <w:rPr>
          <w:rFonts w:asciiTheme="minorHAnsi" w:hAnsiTheme="minorHAnsi"/>
        </w:rPr>
        <w:t>HD after HSCT</w:t>
      </w:r>
      <w:r>
        <w:rPr>
          <w:rFonts w:asciiTheme="minorHAnsi" w:hAnsiTheme="minorHAnsi"/>
        </w:rPr>
        <w:t>,</w:t>
      </w:r>
      <w:r>
        <w:rPr>
          <w:rFonts w:asciiTheme="minorHAnsi" w:hAnsiTheme="minorHAnsi"/>
          <w:noProof/>
        </w:rPr>
        <w:t>[20, 19, 21, 15, 17, 22-24]</w:t>
      </w:r>
      <w:r>
        <w:rPr>
          <w:rFonts w:asciiTheme="minorHAnsi" w:hAnsiTheme="minorHAnsi"/>
        </w:rPr>
        <w:t xml:space="preserve"> </w:t>
      </w:r>
      <w:r w:rsidRPr="005B5E2F">
        <w:rPr>
          <w:rFonts w:asciiTheme="minorHAnsi" w:hAnsiTheme="minorHAnsi"/>
        </w:rPr>
        <w:t xml:space="preserve">whereas no patients experienced this following </w:t>
      </w:r>
      <w:r>
        <w:rPr>
          <w:rFonts w:asciiTheme="minorHAnsi" w:hAnsiTheme="minorHAnsi"/>
        </w:rPr>
        <w:t xml:space="preserve">treatment with </w:t>
      </w:r>
      <w:r w:rsidRPr="005B5E2F">
        <w:rPr>
          <w:rFonts w:asciiTheme="minorHAnsi" w:hAnsiTheme="minorHAnsi"/>
        </w:rPr>
        <w:t>Strimvelis.</w:t>
      </w:r>
    </w:p>
    <w:p w:rsidR="00E111BE" w:rsidRPr="005B5E2F" w:rsidRDefault="00E111BE" w:rsidP="00461517">
      <w:pPr>
        <w:rPr>
          <w:rFonts w:asciiTheme="minorHAnsi" w:hAnsiTheme="minorHAnsi"/>
        </w:rPr>
      </w:pPr>
      <w:r w:rsidRPr="005B5E2F">
        <w:rPr>
          <w:rFonts w:asciiTheme="minorHAnsi" w:hAnsiTheme="minorHAnsi"/>
        </w:rPr>
        <w:t>Data w</w:t>
      </w:r>
      <w:r>
        <w:rPr>
          <w:rFonts w:asciiTheme="minorHAnsi" w:hAnsiTheme="minorHAnsi"/>
        </w:rPr>
        <w:t xml:space="preserve">ere </w:t>
      </w:r>
      <w:r w:rsidRPr="005B5E2F">
        <w:rPr>
          <w:rFonts w:asciiTheme="minorHAnsi" w:hAnsiTheme="minorHAnsi"/>
        </w:rPr>
        <w:t xml:space="preserve">also presented on other outcomes, including immune function. </w:t>
      </w:r>
      <w:r>
        <w:rPr>
          <w:rFonts w:asciiTheme="minorHAnsi" w:hAnsiTheme="minorHAnsi"/>
        </w:rPr>
        <w:t>Despite some variability across outcomes and over time, generally data showed improved immune function with Strimvelis. For example, the severe infection rate declined, CD3+ T cell counts increased, and most patients that discontinued IVIG exhibited antibodies to a number of infectious antigens. There was a lack of comparable data</w:t>
      </w:r>
      <w:r w:rsidRPr="005B5E2F">
        <w:rPr>
          <w:rFonts w:asciiTheme="minorHAnsi" w:hAnsiTheme="minorHAnsi"/>
        </w:rPr>
        <w:t xml:space="preserve"> after HSCT from a MUD or haploidentical donor but both comparator treatments also appeared to improve immune function.</w:t>
      </w:r>
      <w:r>
        <w:rPr>
          <w:rFonts w:asciiTheme="minorHAnsi" w:hAnsiTheme="minorHAnsi"/>
          <w:noProof/>
        </w:rPr>
        <w:t>[3]</w:t>
      </w:r>
    </w:p>
    <w:p w:rsidR="00E111BE" w:rsidRPr="005B5E2F" w:rsidRDefault="00E111BE" w:rsidP="00741B5B">
      <w:pPr>
        <w:rPr>
          <w:rFonts w:asciiTheme="minorHAnsi" w:hAnsiTheme="minorHAnsi"/>
          <w:b/>
        </w:rPr>
      </w:pPr>
      <w:r w:rsidRPr="005B5E2F">
        <w:rPr>
          <w:rFonts w:asciiTheme="minorHAnsi" w:hAnsiTheme="minorHAnsi"/>
          <w:b/>
        </w:rPr>
        <w:t xml:space="preserve">3.2 </w:t>
      </w:r>
      <w:r>
        <w:rPr>
          <w:rFonts w:asciiTheme="minorHAnsi" w:hAnsiTheme="minorHAnsi"/>
          <w:b/>
        </w:rPr>
        <w:t>Critique of Clinical E</w:t>
      </w:r>
      <w:r w:rsidRPr="005B5E2F">
        <w:rPr>
          <w:rFonts w:asciiTheme="minorHAnsi" w:hAnsiTheme="minorHAnsi"/>
          <w:b/>
        </w:rPr>
        <w:t>vidence</w:t>
      </w:r>
    </w:p>
    <w:p w:rsidR="00E111BE" w:rsidRPr="005B5E2F" w:rsidRDefault="00E111BE" w:rsidP="00741B5B">
      <w:pPr>
        <w:rPr>
          <w:rFonts w:asciiTheme="minorHAnsi" w:eastAsiaTheme="majorEastAsia" w:hAnsiTheme="minorHAnsi" w:cstheme="majorBidi"/>
          <w:color w:val="1F4D78" w:themeColor="accent1" w:themeShade="7F"/>
          <w:sz w:val="24"/>
          <w:szCs w:val="24"/>
        </w:rPr>
      </w:pPr>
      <w:r w:rsidRPr="005B5E2F">
        <w:rPr>
          <w:rFonts w:asciiTheme="minorHAnsi" w:hAnsiTheme="minorHAnsi"/>
        </w:rPr>
        <w:t>The ERG highlighted a number of issues with the</w:t>
      </w:r>
      <w:r>
        <w:rPr>
          <w:rFonts w:asciiTheme="minorHAnsi" w:hAnsiTheme="minorHAnsi"/>
        </w:rPr>
        <w:t xml:space="preserve"> clinical</w:t>
      </w:r>
      <w:r w:rsidRPr="005B5E2F">
        <w:rPr>
          <w:rFonts w:asciiTheme="minorHAnsi" w:hAnsiTheme="minorHAnsi"/>
        </w:rPr>
        <w:t xml:space="preserve"> evidence</w:t>
      </w:r>
      <w:r>
        <w:rPr>
          <w:rFonts w:asciiTheme="minorHAnsi" w:hAnsiTheme="minorHAnsi"/>
        </w:rPr>
        <w:t xml:space="preserve"> presented.</w:t>
      </w:r>
    </w:p>
    <w:p w:rsidR="00E111BE" w:rsidRPr="00B85D01" w:rsidRDefault="00E111BE" w:rsidP="00BA0215">
      <w:pPr>
        <w:rPr>
          <w:rFonts w:asciiTheme="minorHAnsi" w:eastAsiaTheme="majorEastAsia" w:hAnsiTheme="minorHAnsi" w:cstheme="majorBidi"/>
          <w:i/>
        </w:rPr>
      </w:pPr>
      <w:r w:rsidRPr="00B85D01">
        <w:rPr>
          <w:rFonts w:asciiTheme="minorHAnsi" w:eastAsiaTheme="majorEastAsia" w:hAnsiTheme="minorHAnsi" w:cstheme="majorBidi"/>
          <w:i/>
        </w:rPr>
        <w:t xml:space="preserve">3.2.1 Study </w:t>
      </w:r>
      <w:r>
        <w:rPr>
          <w:rFonts w:asciiTheme="minorHAnsi" w:eastAsiaTheme="majorEastAsia" w:hAnsiTheme="minorHAnsi" w:cstheme="majorBidi"/>
          <w:i/>
        </w:rPr>
        <w:t>D</w:t>
      </w:r>
      <w:r w:rsidRPr="00B85D01">
        <w:rPr>
          <w:rFonts w:asciiTheme="minorHAnsi" w:eastAsiaTheme="majorEastAsia" w:hAnsiTheme="minorHAnsi" w:cstheme="majorBidi"/>
          <w:i/>
        </w:rPr>
        <w:t>esign</w:t>
      </w:r>
    </w:p>
    <w:p w:rsidR="00E111BE" w:rsidRDefault="00E111BE" w:rsidP="00BA0215">
      <w:pPr>
        <w:rPr>
          <w:rFonts w:asciiTheme="minorHAnsi" w:eastAsiaTheme="majorEastAsia" w:hAnsiTheme="minorHAnsi" w:cstheme="majorBidi"/>
        </w:rPr>
      </w:pPr>
      <w:r w:rsidRPr="00B85D01">
        <w:rPr>
          <w:rFonts w:asciiTheme="minorHAnsi" w:eastAsiaTheme="majorEastAsia" w:hAnsiTheme="minorHAnsi" w:cstheme="majorBidi"/>
        </w:rPr>
        <w:t>The clinical evidence presented was based on open label, single arm trials with very small patient numbers</w:t>
      </w:r>
      <w:r>
        <w:rPr>
          <w:rFonts w:asciiTheme="minorHAnsi" w:eastAsiaTheme="majorEastAsia" w:hAnsiTheme="minorHAnsi" w:cstheme="majorBidi"/>
        </w:rPr>
        <w:t xml:space="preserve"> and </w:t>
      </w:r>
      <w:r w:rsidRPr="00B85D01">
        <w:rPr>
          <w:rFonts w:asciiTheme="minorHAnsi" w:eastAsiaTheme="majorEastAsia" w:hAnsiTheme="minorHAnsi" w:cstheme="majorBidi"/>
        </w:rPr>
        <w:t xml:space="preserve">a historical comparator. Studies </w:t>
      </w:r>
      <w:r>
        <w:rPr>
          <w:rFonts w:asciiTheme="minorHAnsi" w:eastAsiaTheme="majorEastAsia" w:hAnsiTheme="minorHAnsi" w:cstheme="majorBidi"/>
        </w:rPr>
        <w:t xml:space="preserve">and comparisons </w:t>
      </w:r>
      <w:r w:rsidRPr="00B85D01">
        <w:rPr>
          <w:rFonts w:asciiTheme="minorHAnsi" w:eastAsiaTheme="majorEastAsia" w:hAnsiTheme="minorHAnsi" w:cstheme="majorBidi"/>
        </w:rPr>
        <w:t xml:space="preserve">of this </w:t>
      </w:r>
      <w:r>
        <w:rPr>
          <w:rFonts w:asciiTheme="minorHAnsi" w:eastAsiaTheme="majorEastAsia" w:hAnsiTheme="minorHAnsi" w:cstheme="majorBidi"/>
        </w:rPr>
        <w:t xml:space="preserve">nature are inherently at </w:t>
      </w:r>
      <w:r w:rsidRPr="00B85D01">
        <w:rPr>
          <w:rFonts w:asciiTheme="minorHAnsi" w:eastAsiaTheme="majorEastAsia" w:hAnsiTheme="minorHAnsi" w:cstheme="majorBidi"/>
        </w:rPr>
        <w:t xml:space="preserve">high risk of bias and lack precision in estimation of effects. </w:t>
      </w:r>
      <w:r>
        <w:rPr>
          <w:rFonts w:asciiTheme="minorHAnsi" w:eastAsiaTheme="majorEastAsia" w:hAnsiTheme="minorHAnsi" w:cstheme="majorBidi"/>
        </w:rPr>
        <w:t>Although the ERG considered this study design appropriate</w:t>
      </w:r>
      <w:r w:rsidRPr="003C2BA0">
        <w:rPr>
          <w:rFonts w:asciiTheme="minorHAnsi" w:eastAsiaTheme="majorEastAsia" w:hAnsiTheme="minorHAnsi" w:cstheme="majorBidi"/>
        </w:rPr>
        <w:t xml:space="preserve"> </w:t>
      </w:r>
      <w:r>
        <w:rPr>
          <w:rFonts w:asciiTheme="minorHAnsi" w:eastAsiaTheme="majorEastAsia" w:hAnsiTheme="minorHAnsi" w:cstheme="majorBidi"/>
        </w:rPr>
        <w:t>to evaluate clinical effectiveness due to the</w:t>
      </w:r>
      <w:r w:rsidRPr="003C2BA0">
        <w:rPr>
          <w:rFonts w:asciiTheme="minorHAnsi" w:eastAsiaTheme="majorEastAsia" w:hAnsiTheme="minorHAnsi" w:cstheme="majorBidi"/>
        </w:rPr>
        <w:t xml:space="preserve"> </w:t>
      </w:r>
      <w:r>
        <w:rPr>
          <w:rFonts w:asciiTheme="minorHAnsi" w:eastAsiaTheme="majorEastAsia" w:hAnsiTheme="minorHAnsi" w:cstheme="majorBidi"/>
        </w:rPr>
        <w:t>low incidence of ADA-SCID,</w:t>
      </w:r>
      <w:r w:rsidRPr="003C2BA0">
        <w:rPr>
          <w:rFonts w:asciiTheme="minorHAnsi" w:eastAsiaTheme="majorEastAsia" w:hAnsiTheme="minorHAnsi" w:cstheme="majorBidi"/>
        </w:rPr>
        <w:t xml:space="preserve"> </w:t>
      </w:r>
      <w:r>
        <w:rPr>
          <w:rFonts w:asciiTheme="minorHAnsi" w:eastAsiaTheme="majorEastAsia" w:hAnsiTheme="minorHAnsi" w:cstheme="majorBidi"/>
        </w:rPr>
        <w:t>there remained important limitations.</w:t>
      </w:r>
    </w:p>
    <w:p w:rsidR="00E111BE" w:rsidRPr="00B85D01" w:rsidRDefault="00E111BE" w:rsidP="00BA0215">
      <w:pPr>
        <w:rPr>
          <w:rFonts w:asciiTheme="minorHAnsi" w:hAnsiTheme="minorHAnsi"/>
          <w:i/>
        </w:rPr>
      </w:pPr>
      <w:r w:rsidRPr="00B85D01">
        <w:rPr>
          <w:rFonts w:asciiTheme="minorHAnsi" w:eastAsiaTheme="majorEastAsia" w:hAnsiTheme="minorHAnsi" w:cstheme="majorBidi"/>
          <w:i/>
        </w:rPr>
        <w:t xml:space="preserve">3.2.2 </w:t>
      </w:r>
      <w:r>
        <w:rPr>
          <w:rFonts w:asciiTheme="minorHAnsi" w:hAnsiTheme="minorHAnsi"/>
          <w:i/>
        </w:rPr>
        <w:t>Evidence Synthesis</w:t>
      </w:r>
    </w:p>
    <w:p w:rsidR="00E111BE" w:rsidRPr="00B85D01" w:rsidRDefault="00E111BE" w:rsidP="00DC154A">
      <w:pPr>
        <w:rPr>
          <w:rFonts w:asciiTheme="minorHAnsi" w:hAnsiTheme="minorHAnsi"/>
        </w:rPr>
      </w:pPr>
      <w:r w:rsidRPr="00B85D01">
        <w:rPr>
          <w:rFonts w:asciiTheme="minorHAnsi" w:hAnsiTheme="minorHAnsi"/>
        </w:rPr>
        <w:t xml:space="preserve">The ERG considered there to be sufficient similarity between the studies that made up the Strimvelis integrated population that pooling the data and treating </w:t>
      </w:r>
      <w:r w:rsidRPr="00EA617C">
        <w:rPr>
          <w:rFonts w:asciiTheme="minorHAnsi" w:hAnsiTheme="minorHAnsi"/>
        </w:rPr>
        <w:t>them</w:t>
      </w:r>
      <w:r w:rsidRPr="00B85D01">
        <w:rPr>
          <w:rFonts w:asciiTheme="minorHAnsi" w:hAnsiTheme="minorHAnsi"/>
        </w:rPr>
        <w:t xml:space="preserve"> as if comprising a single study was unlikely to lead to substantial bias. However, the ERG did not consider it appropriate </w:t>
      </w:r>
      <w:r>
        <w:rPr>
          <w:rFonts w:asciiTheme="minorHAnsi" w:hAnsiTheme="minorHAnsi"/>
        </w:rPr>
        <w:t xml:space="preserve">to exclude </w:t>
      </w:r>
      <w:r w:rsidRPr="00B85D01">
        <w:rPr>
          <w:rFonts w:asciiTheme="minorHAnsi" w:hAnsiTheme="minorHAnsi"/>
        </w:rPr>
        <w:t xml:space="preserve">data from the </w:t>
      </w:r>
      <w:r>
        <w:rPr>
          <w:rFonts w:asciiTheme="minorHAnsi" w:hAnsiTheme="minorHAnsi"/>
        </w:rPr>
        <w:t xml:space="preserve">NPP </w:t>
      </w:r>
      <w:r w:rsidRPr="00B85D01">
        <w:rPr>
          <w:rFonts w:asciiTheme="minorHAnsi" w:hAnsiTheme="minorHAnsi"/>
        </w:rPr>
        <w:t xml:space="preserve">from the </w:t>
      </w:r>
      <w:r>
        <w:rPr>
          <w:rFonts w:asciiTheme="minorHAnsi" w:hAnsiTheme="minorHAnsi"/>
        </w:rPr>
        <w:t xml:space="preserve">narrative </w:t>
      </w:r>
      <w:r w:rsidRPr="00B85D01">
        <w:rPr>
          <w:rFonts w:asciiTheme="minorHAnsi" w:hAnsiTheme="minorHAnsi"/>
        </w:rPr>
        <w:t xml:space="preserve">synthesis of clinical evidence, given the small sample size of the integrated </w:t>
      </w:r>
      <w:r>
        <w:rPr>
          <w:rFonts w:asciiTheme="minorHAnsi" w:hAnsiTheme="minorHAnsi"/>
        </w:rPr>
        <w:t xml:space="preserve">and total </w:t>
      </w:r>
      <w:r w:rsidRPr="00B85D01">
        <w:rPr>
          <w:rFonts w:asciiTheme="minorHAnsi" w:hAnsiTheme="minorHAnsi"/>
        </w:rPr>
        <w:t>population and the need to consider all available data.</w:t>
      </w:r>
    </w:p>
    <w:p w:rsidR="00E111BE" w:rsidRPr="00B85D01" w:rsidRDefault="00E111BE" w:rsidP="00741B5B">
      <w:pPr>
        <w:rPr>
          <w:rFonts w:asciiTheme="minorHAnsi" w:hAnsiTheme="minorHAnsi"/>
          <w:i/>
        </w:rPr>
      </w:pPr>
      <w:r w:rsidRPr="00B85D01">
        <w:rPr>
          <w:rFonts w:asciiTheme="minorHAnsi" w:hAnsiTheme="minorHAnsi"/>
          <w:i/>
        </w:rPr>
        <w:t xml:space="preserve">3.2.3 Differences with the </w:t>
      </w:r>
      <w:r>
        <w:rPr>
          <w:rFonts w:asciiTheme="minorHAnsi" w:hAnsiTheme="minorHAnsi"/>
          <w:i/>
        </w:rPr>
        <w:t>E</w:t>
      </w:r>
      <w:r w:rsidRPr="00B85D01">
        <w:rPr>
          <w:rFonts w:asciiTheme="minorHAnsi" w:hAnsiTheme="minorHAnsi"/>
          <w:i/>
        </w:rPr>
        <w:t xml:space="preserve">ligible </w:t>
      </w:r>
      <w:r>
        <w:rPr>
          <w:rFonts w:asciiTheme="minorHAnsi" w:hAnsiTheme="minorHAnsi"/>
          <w:i/>
        </w:rPr>
        <w:t>P</w:t>
      </w:r>
      <w:r w:rsidRPr="00B85D01">
        <w:rPr>
          <w:rFonts w:asciiTheme="minorHAnsi" w:hAnsiTheme="minorHAnsi"/>
          <w:i/>
        </w:rPr>
        <w:t>opulation</w:t>
      </w:r>
    </w:p>
    <w:p w:rsidR="00E111BE" w:rsidRPr="005B5E2F" w:rsidRDefault="00E111BE" w:rsidP="00DC154A">
      <w:pPr>
        <w:rPr>
          <w:rFonts w:asciiTheme="minorHAnsi" w:hAnsiTheme="minorHAnsi"/>
        </w:rPr>
      </w:pPr>
      <w:r w:rsidRPr="00B85D01">
        <w:rPr>
          <w:rFonts w:asciiTheme="minorHAnsi" w:hAnsiTheme="minorHAnsi"/>
        </w:rPr>
        <w:t xml:space="preserve">There were some concerns regarding how representative the Strimvelis integrated population was of ADA-SCID patients in England. </w:t>
      </w:r>
      <w:r>
        <w:rPr>
          <w:rFonts w:asciiTheme="minorHAnsi" w:hAnsiTheme="minorHAnsi"/>
        </w:rPr>
        <w:t>T</w:t>
      </w:r>
      <w:r w:rsidRPr="00B85D01">
        <w:rPr>
          <w:rFonts w:asciiTheme="minorHAnsi" w:hAnsiTheme="minorHAnsi"/>
        </w:rPr>
        <w:t>here was a lack of clarity regarding numbers screened or excluded for some of the studies</w:t>
      </w:r>
      <w:r>
        <w:rPr>
          <w:rFonts w:asciiTheme="minorHAnsi" w:hAnsiTheme="minorHAnsi"/>
        </w:rPr>
        <w:t>, making it</w:t>
      </w:r>
      <w:r w:rsidRPr="00B85D01">
        <w:rPr>
          <w:rFonts w:asciiTheme="minorHAnsi" w:hAnsiTheme="minorHAnsi"/>
        </w:rPr>
        <w:t xml:space="preserve"> unclear if patients at greater risk </w:t>
      </w:r>
      <w:r>
        <w:rPr>
          <w:rFonts w:asciiTheme="minorHAnsi" w:hAnsiTheme="minorHAnsi"/>
        </w:rPr>
        <w:t>had been</w:t>
      </w:r>
      <w:r w:rsidRPr="00B85D01">
        <w:rPr>
          <w:rFonts w:asciiTheme="minorHAnsi" w:hAnsiTheme="minorHAnsi"/>
        </w:rPr>
        <w:t xml:space="preserve"> excluded or </w:t>
      </w:r>
      <w:r>
        <w:rPr>
          <w:rFonts w:asciiTheme="minorHAnsi" w:hAnsiTheme="minorHAnsi"/>
        </w:rPr>
        <w:t xml:space="preserve">whether </w:t>
      </w:r>
      <w:r w:rsidRPr="00B85D01">
        <w:rPr>
          <w:rFonts w:asciiTheme="minorHAnsi" w:hAnsiTheme="minorHAnsi"/>
        </w:rPr>
        <w:t xml:space="preserve">other selection biases </w:t>
      </w:r>
      <w:r>
        <w:rPr>
          <w:rFonts w:asciiTheme="minorHAnsi" w:hAnsiTheme="minorHAnsi"/>
        </w:rPr>
        <w:t>were present</w:t>
      </w:r>
      <w:r w:rsidRPr="00B85D01">
        <w:rPr>
          <w:rFonts w:asciiTheme="minorHAnsi" w:hAnsiTheme="minorHAnsi"/>
        </w:rPr>
        <w:t xml:space="preserve">. </w:t>
      </w:r>
      <w:r>
        <w:rPr>
          <w:rFonts w:asciiTheme="minorHAnsi" w:hAnsiTheme="minorHAnsi"/>
        </w:rPr>
        <w:t>N</w:t>
      </w:r>
      <w:r w:rsidRPr="00B85D01">
        <w:rPr>
          <w:rFonts w:asciiTheme="minorHAnsi" w:hAnsiTheme="minorHAnsi"/>
        </w:rPr>
        <w:t xml:space="preserve">o patients had </w:t>
      </w:r>
      <w:r>
        <w:rPr>
          <w:rFonts w:asciiTheme="minorHAnsi" w:hAnsiTheme="minorHAnsi"/>
        </w:rPr>
        <w:t xml:space="preserve">been </w:t>
      </w:r>
      <w:r w:rsidRPr="00B85D01">
        <w:rPr>
          <w:rFonts w:asciiTheme="minorHAnsi" w:hAnsiTheme="minorHAnsi"/>
        </w:rPr>
        <w:t xml:space="preserve">confirmed </w:t>
      </w:r>
      <w:r>
        <w:rPr>
          <w:rFonts w:asciiTheme="minorHAnsi" w:hAnsiTheme="minorHAnsi"/>
        </w:rPr>
        <w:t xml:space="preserve">as having </w:t>
      </w:r>
      <w:r w:rsidRPr="00B85D01">
        <w:rPr>
          <w:rFonts w:asciiTheme="minorHAnsi" w:hAnsiTheme="minorHAnsi"/>
        </w:rPr>
        <w:t xml:space="preserve">active viral infection at screening. Given the potential for viral infection in ADA-SCID patients, and </w:t>
      </w:r>
      <w:r>
        <w:rPr>
          <w:rFonts w:asciiTheme="minorHAnsi" w:hAnsiTheme="minorHAnsi"/>
        </w:rPr>
        <w:t xml:space="preserve">expert clinical advice to the ERG </w:t>
      </w:r>
      <w:r w:rsidRPr="00B85D01">
        <w:rPr>
          <w:rFonts w:asciiTheme="minorHAnsi" w:hAnsiTheme="minorHAnsi"/>
        </w:rPr>
        <w:t xml:space="preserve">that viral infection </w:t>
      </w:r>
      <w:r>
        <w:rPr>
          <w:rFonts w:asciiTheme="minorHAnsi" w:hAnsiTheme="minorHAnsi"/>
        </w:rPr>
        <w:t>may be</w:t>
      </w:r>
      <w:r w:rsidRPr="00B85D01">
        <w:rPr>
          <w:rFonts w:asciiTheme="minorHAnsi" w:hAnsiTheme="minorHAnsi"/>
        </w:rPr>
        <w:t xml:space="preserve"> prognostic for </w:t>
      </w:r>
      <w:r>
        <w:rPr>
          <w:rFonts w:asciiTheme="minorHAnsi" w:hAnsiTheme="minorHAnsi"/>
        </w:rPr>
        <w:t>success of treatment,</w:t>
      </w:r>
      <w:r>
        <w:rPr>
          <w:rFonts w:asciiTheme="minorHAnsi" w:hAnsiTheme="minorHAnsi"/>
          <w:noProof/>
        </w:rPr>
        <w:t>[11, 25]</w:t>
      </w:r>
      <w:r>
        <w:rPr>
          <w:rFonts w:asciiTheme="minorHAnsi" w:hAnsiTheme="minorHAnsi"/>
        </w:rPr>
        <w:t xml:space="preserve"> </w:t>
      </w:r>
      <w:r w:rsidRPr="00B85D01">
        <w:rPr>
          <w:rFonts w:asciiTheme="minorHAnsi" w:hAnsiTheme="minorHAnsi"/>
        </w:rPr>
        <w:t>the extent to which the data could be generalised</w:t>
      </w:r>
      <w:r w:rsidRPr="005B5E2F">
        <w:rPr>
          <w:rFonts w:asciiTheme="minorHAnsi" w:hAnsiTheme="minorHAnsi"/>
        </w:rPr>
        <w:t xml:space="preserve"> to patients presenting with viral infections</w:t>
      </w:r>
      <w:r>
        <w:rPr>
          <w:rFonts w:asciiTheme="minorHAnsi" w:hAnsiTheme="minorHAnsi"/>
        </w:rPr>
        <w:t xml:space="preserve"> is unclear</w:t>
      </w:r>
      <w:r w:rsidRPr="005B5E2F">
        <w:rPr>
          <w:rFonts w:asciiTheme="minorHAnsi" w:hAnsiTheme="minorHAnsi"/>
        </w:rPr>
        <w:t xml:space="preserve">. </w:t>
      </w:r>
      <w:r>
        <w:rPr>
          <w:rFonts w:asciiTheme="minorHAnsi" w:hAnsiTheme="minorHAnsi"/>
        </w:rPr>
        <w:t>The</w:t>
      </w:r>
      <w:r w:rsidRPr="005B5E2F">
        <w:rPr>
          <w:rFonts w:asciiTheme="minorHAnsi" w:hAnsiTheme="minorHAnsi"/>
        </w:rPr>
        <w:t xml:space="preserve"> duration of PEG-ADA use </w:t>
      </w:r>
      <w:r>
        <w:rPr>
          <w:rFonts w:asciiTheme="minorHAnsi" w:hAnsiTheme="minorHAnsi"/>
        </w:rPr>
        <w:t xml:space="preserve">by patients that received Strimvelis was longer </w:t>
      </w:r>
      <w:r w:rsidRPr="005B5E2F">
        <w:rPr>
          <w:rFonts w:asciiTheme="minorHAnsi" w:hAnsiTheme="minorHAnsi"/>
        </w:rPr>
        <w:t xml:space="preserve">than would be expected in UK practice, </w:t>
      </w:r>
      <w:r w:rsidRPr="005B5E2F">
        <w:rPr>
          <w:rFonts w:asciiTheme="minorHAnsi" w:hAnsiTheme="minorHAnsi"/>
        </w:rPr>
        <w:lastRenderedPageBreak/>
        <w:t xml:space="preserve">although there is no evidence that </w:t>
      </w:r>
      <w:r>
        <w:rPr>
          <w:rFonts w:asciiTheme="minorHAnsi" w:hAnsiTheme="minorHAnsi"/>
        </w:rPr>
        <w:t>this is</w:t>
      </w:r>
      <w:r w:rsidRPr="005B5E2F">
        <w:rPr>
          <w:rFonts w:asciiTheme="minorHAnsi" w:hAnsiTheme="minorHAnsi"/>
        </w:rPr>
        <w:t xml:space="preserve"> prognostic </w:t>
      </w:r>
      <w:r>
        <w:rPr>
          <w:rFonts w:asciiTheme="minorHAnsi" w:hAnsiTheme="minorHAnsi"/>
        </w:rPr>
        <w:t>for success of subsequent treatment</w:t>
      </w:r>
      <w:r w:rsidRPr="005B5E2F">
        <w:rPr>
          <w:rFonts w:asciiTheme="minorHAnsi" w:hAnsiTheme="minorHAnsi"/>
        </w:rPr>
        <w:t xml:space="preserve">. Whilst noting these concerns, overall the ERG concluded that the data on Strimvelis </w:t>
      </w:r>
      <w:r>
        <w:rPr>
          <w:rFonts w:asciiTheme="minorHAnsi" w:hAnsiTheme="minorHAnsi"/>
        </w:rPr>
        <w:t xml:space="preserve">were </w:t>
      </w:r>
      <w:r w:rsidRPr="005B5E2F">
        <w:rPr>
          <w:rFonts w:asciiTheme="minorHAnsi" w:hAnsiTheme="minorHAnsi"/>
        </w:rPr>
        <w:t xml:space="preserve">likely to be generalizable to </w:t>
      </w:r>
      <w:r>
        <w:rPr>
          <w:rFonts w:asciiTheme="minorHAnsi" w:hAnsiTheme="minorHAnsi"/>
        </w:rPr>
        <w:t>England</w:t>
      </w:r>
      <w:r w:rsidRPr="005B5E2F">
        <w:rPr>
          <w:rFonts w:asciiTheme="minorHAnsi" w:hAnsiTheme="minorHAnsi"/>
        </w:rPr>
        <w:t>.</w:t>
      </w:r>
    </w:p>
    <w:p w:rsidR="00E111BE" w:rsidRPr="005B5E2F" w:rsidRDefault="00E111BE" w:rsidP="00741B5B">
      <w:pPr>
        <w:rPr>
          <w:rFonts w:asciiTheme="minorHAnsi" w:hAnsiTheme="minorHAnsi"/>
          <w:i/>
        </w:rPr>
      </w:pPr>
      <w:r w:rsidRPr="005B5E2F">
        <w:rPr>
          <w:rFonts w:asciiTheme="minorHAnsi" w:hAnsiTheme="minorHAnsi"/>
          <w:i/>
        </w:rPr>
        <w:t>3.</w:t>
      </w:r>
      <w:r>
        <w:rPr>
          <w:rFonts w:asciiTheme="minorHAnsi" w:hAnsiTheme="minorHAnsi"/>
          <w:i/>
        </w:rPr>
        <w:t>2</w:t>
      </w:r>
      <w:r w:rsidRPr="005B5E2F">
        <w:rPr>
          <w:rFonts w:asciiTheme="minorHAnsi" w:hAnsiTheme="minorHAnsi"/>
          <w:i/>
        </w:rPr>
        <w:t>.</w:t>
      </w:r>
      <w:r>
        <w:rPr>
          <w:rFonts w:asciiTheme="minorHAnsi" w:hAnsiTheme="minorHAnsi"/>
          <w:i/>
        </w:rPr>
        <w:t>4</w:t>
      </w:r>
      <w:r w:rsidRPr="005B5E2F">
        <w:rPr>
          <w:rFonts w:asciiTheme="minorHAnsi" w:hAnsiTheme="minorHAnsi"/>
          <w:i/>
        </w:rPr>
        <w:t xml:space="preserve"> </w:t>
      </w:r>
      <w:r>
        <w:rPr>
          <w:rFonts w:asciiTheme="minorHAnsi" w:hAnsiTheme="minorHAnsi"/>
          <w:i/>
        </w:rPr>
        <w:t>Survival Rates</w:t>
      </w:r>
    </w:p>
    <w:p w:rsidR="00E111BE" w:rsidRPr="005B5E2F" w:rsidRDefault="00E111BE" w:rsidP="00741B5B">
      <w:pPr>
        <w:rPr>
          <w:rFonts w:asciiTheme="minorHAnsi" w:hAnsiTheme="minorHAnsi"/>
        </w:rPr>
      </w:pPr>
      <w:r w:rsidRPr="005B5E2F">
        <w:rPr>
          <w:rFonts w:asciiTheme="minorHAnsi" w:hAnsiTheme="minorHAnsi"/>
        </w:rPr>
        <w:t xml:space="preserve">Although overall survival was </w:t>
      </w:r>
      <w:r>
        <w:rPr>
          <w:rFonts w:asciiTheme="minorHAnsi" w:hAnsiTheme="minorHAnsi"/>
        </w:rPr>
        <w:t xml:space="preserve">higher for Strimvelis than for the comparator treatments, </w:t>
      </w:r>
      <w:r w:rsidRPr="005B5E2F">
        <w:rPr>
          <w:rFonts w:asciiTheme="minorHAnsi" w:hAnsiTheme="minorHAnsi"/>
        </w:rPr>
        <w:t xml:space="preserve">the ERG believed there to be </w:t>
      </w:r>
      <w:r>
        <w:rPr>
          <w:rFonts w:asciiTheme="minorHAnsi" w:hAnsiTheme="minorHAnsi"/>
        </w:rPr>
        <w:t xml:space="preserve">significant </w:t>
      </w:r>
      <w:r w:rsidRPr="005B5E2F">
        <w:rPr>
          <w:rFonts w:asciiTheme="minorHAnsi" w:hAnsiTheme="minorHAnsi"/>
        </w:rPr>
        <w:t>limitations to th</w:t>
      </w:r>
      <w:r>
        <w:rPr>
          <w:rFonts w:asciiTheme="minorHAnsi" w:hAnsiTheme="minorHAnsi"/>
        </w:rPr>
        <w:t>e</w:t>
      </w:r>
      <w:r w:rsidRPr="005B5E2F">
        <w:rPr>
          <w:rFonts w:asciiTheme="minorHAnsi" w:hAnsiTheme="minorHAnsi"/>
        </w:rPr>
        <w:t xml:space="preserve"> data. Firstly, this evidence was based on small</w:t>
      </w:r>
      <w:r>
        <w:rPr>
          <w:rFonts w:asciiTheme="minorHAnsi" w:hAnsiTheme="minorHAnsi"/>
        </w:rPr>
        <w:t xml:space="preserve"> patient numbers</w:t>
      </w:r>
      <w:r w:rsidRPr="005B5E2F">
        <w:rPr>
          <w:rFonts w:asciiTheme="minorHAnsi" w:hAnsiTheme="minorHAnsi"/>
        </w:rPr>
        <w:t xml:space="preserve"> </w:t>
      </w:r>
      <w:r>
        <w:rPr>
          <w:rFonts w:asciiTheme="minorHAnsi" w:hAnsiTheme="minorHAnsi"/>
        </w:rPr>
        <w:t>so a small number of deaths could</w:t>
      </w:r>
      <w:r w:rsidRPr="005B5E2F">
        <w:rPr>
          <w:rFonts w:asciiTheme="minorHAnsi" w:hAnsiTheme="minorHAnsi"/>
        </w:rPr>
        <w:t xml:space="preserve"> lead to substantial changes in survival estimates. Secondly, </w:t>
      </w:r>
      <w:r>
        <w:rPr>
          <w:rFonts w:asciiTheme="minorHAnsi" w:hAnsiTheme="minorHAnsi"/>
        </w:rPr>
        <w:t xml:space="preserve">the </w:t>
      </w:r>
      <w:r w:rsidRPr="005B5E2F">
        <w:rPr>
          <w:rFonts w:asciiTheme="minorHAnsi" w:hAnsiTheme="minorHAnsi"/>
        </w:rPr>
        <w:t xml:space="preserve">historical data on overall survival following </w:t>
      </w:r>
      <w:r>
        <w:rPr>
          <w:rFonts w:asciiTheme="minorHAnsi" w:hAnsiTheme="minorHAnsi"/>
        </w:rPr>
        <w:t>HSCT</w:t>
      </w:r>
      <w:r w:rsidRPr="005B5E2F">
        <w:rPr>
          <w:rFonts w:asciiTheme="minorHAnsi" w:hAnsiTheme="minorHAnsi"/>
        </w:rPr>
        <w:t xml:space="preserve"> likely reflect an underestimate of the current effectiveness of these treatments</w:t>
      </w:r>
      <w:r>
        <w:rPr>
          <w:rFonts w:asciiTheme="minorHAnsi" w:hAnsiTheme="minorHAnsi"/>
        </w:rPr>
        <w:t>, due</w:t>
      </w:r>
      <w:r w:rsidRPr="005B5E2F">
        <w:rPr>
          <w:rFonts w:asciiTheme="minorHAnsi" w:hAnsiTheme="minorHAnsi"/>
        </w:rPr>
        <w:t xml:space="preserve"> </w:t>
      </w:r>
      <w:r>
        <w:rPr>
          <w:rFonts w:asciiTheme="minorHAnsi" w:hAnsiTheme="minorHAnsi"/>
        </w:rPr>
        <w:t>to the</w:t>
      </w:r>
      <w:r w:rsidRPr="005B5E2F">
        <w:rPr>
          <w:rFonts w:asciiTheme="minorHAnsi" w:hAnsiTheme="minorHAnsi"/>
        </w:rPr>
        <w:t xml:space="preserve"> small sample sizes</w:t>
      </w:r>
      <w:r>
        <w:rPr>
          <w:rFonts w:asciiTheme="minorHAnsi" w:hAnsiTheme="minorHAnsi"/>
        </w:rPr>
        <w:t xml:space="preserve">, </w:t>
      </w:r>
      <w:r w:rsidRPr="005B5E2F">
        <w:rPr>
          <w:rFonts w:asciiTheme="minorHAnsi" w:hAnsiTheme="minorHAnsi"/>
        </w:rPr>
        <w:t>new techniques in allogeneic HSCT</w:t>
      </w:r>
      <w:r>
        <w:rPr>
          <w:rFonts w:asciiTheme="minorHAnsi" w:hAnsiTheme="minorHAnsi"/>
          <w:noProof/>
        </w:rPr>
        <w:t>[8]</w:t>
      </w:r>
      <w:r>
        <w:rPr>
          <w:rFonts w:asciiTheme="minorHAnsi" w:hAnsiTheme="minorHAnsi"/>
        </w:rPr>
        <w:t xml:space="preserve"> and improved</w:t>
      </w:r>
      <w:r w:rsidRPr="005B5E2F">
        <w:rPr>
          <w:rFonts w:asciiTheme="minorHAnsi" w:hAnsiTheme="minorHAnsi"/>
        </w:rPr>
        <w:t xml:space="preserve"> survival rates </w:t>
      </w:r>
      <w:r>
        <w:rPr>
          <w:rFonts w:asciiTheme="minorHAnsi" w:hAnsiTheme="minorHAnsi"/>
        </w:rPr>
        <w:t xml:space="preserve">in more </w:t>
      </w:r>
      <w:r w:rsidRPr="005B5E2F">
        <w:rPr>
          <w:rFonts w:asciiTheme="minorHAnsi" w:hAnsiTheme="minorHAnsi"/>
        </w:rPr>
        <w:t xml:space="preserve">recent data on </w:t>
      </w:r>
      <w:r>
        <w:rPr>
          <w:rFonts w:asciiTheme="minorHAnsi" w:hAnsiTheme="minorHAnsi"/>
        </w:rPr>
        <w:t>HSCT</w:t>
      </w:r>
      <w:r w:rsidRPr="005B5E2F">
        <w:rPr>
          <w:rFonts w:asciiTheme="minorHAnsi" w:hAnsiTheme="minorHAnsi"/>
        </w:rPr>
        <w:t xml:space="preserve"> </w:t>
      </w:r>
      <w:r>
        <w:rPr>
          <w:rFonts w:asciiTheme="minorHAnsi" w:hAnsiTheme="minorHAnsi"/>
        </w:rPr>
        <w:t xml:space="preserve">in </w:t>
      </w:r>
      <w:r w:rsidRPr="005B5E2F">
        <w:rPr>
          <w:rFonts w:asciiTheme="minorHAnsi" w:hAnsiTheme="minorHAnsi"/>
        </w:rPr>
        <w:t>patients</w:t>
      </w:r>
      <w:r>
        <w:rPr>
          <w:rFonts w:asciiTheme="minorHAnsi" w:hAnsiTheme="minorHAnsi"/>
        </w:rPr>
        <w:t xml:space="preserve"> with other conditions</w:t>
      </w:r>
      <w:r w:rsidRPr="005B5E2F">
        <w:rPr>
          <w:rFonts w:asciiTheme="minorHAnsi" w:hAnsiTheme="minorHAnsi"/>
        </w:rPr>
        <w:t>.</w:t>
      </w:r>
      <w:r>
        <w:rPr>
          <w:rFonts w:asciiTheme="minorHAnsi" w:hAnsiTheme="minorHAnsi"/>
          <w:noProof/>
        </w:rPr>
        <w:t>[26, 27]</w:t>
      </w:r>
      <w:r>
        <w:rPr>
          <w:rFonts w:asciiTheme="minorHAnsi" w:hAnsiTheme="minorHAnsi"/>
        </w:rPr>
        <w:t xml:space="preserve"> T</w:t>
      </w:r>
      <w:r w:rsidRPr="005B5E2F">
        <w:rPr>
          <w:rFonts w:asciiTheme="minorHAnsi" w:hAnsiTheme="minorHAnsi"/>
        </w:rPr>
        <w:t>here have been improvement</w:t>
      </w:r>
      <w:r>
        <w:rPr>
          <w:rFonts w:asciiTheme="minorHAnsi" w:hAnsiTheme="minorHAnsi"/>
        </w:rPr>
        <w:t>s</w:t>
      </w:r>
      <w:r w:rsidRPr="005B5E2F">
        <w:rPr>
          <w:rFonts w:asciiTheme="minorHAnsi" w:hAnsiTheme="minorHAnsi"/>
        </w:rPr>
        <w:t xml:space="preserve"> in matching of donors</w:t>
      </w:r>
      <w:r>
        <w:rPr>
          <w:rFonts w:asciiTheme="minorHAnsi" w:hAnsiTheme="minorHAnsi"/>
        </w:rPr>
        <w:t>, infection control procedures, intensity of conditioning</w:t>
      </w:r>
      <w:r w:rsidRPr="005B5E2F">
        <w:rPr>
          <w:rFonts w:asciiTheme="minorHAnsi" w:hAnsiTheme="minorHAnsi"/>
        </w:rPr>
        <w:t xml:space="preserve"> and provision of supportive care</w:t>
      </w:r>
      <w:r>
        <w:rPr>
          <w:rFonts w:asciiTheme="minorHAnsi" w:hAnsiTheme="minorHAnsi"/>
        </w:rPr>
        <w:t>.</w:t>
      </w:r>
      <w:r>
        <w:rPr>
          <w:rFonts w:asciiTheme="minorHAnsi" w:hAnsiTheme="minorHAnsi"/>
          <w:noProof/>
        </w:rPr>
        <w:t>[27]</w:t>
      </w:r>
      <w:r w:rsidRPr="005B5E2F">
        <w:rPr>
          <w:rFonts w:asciiTheme="minorHAnsi" w:hAnsiTheme="minorHAnsi"/>
        </w:rPr>
        <w:t xml:space="preserve"> Thirdly, </w:t>
      </w:r>
      <w:r>
        <w:rPr>
          <w:rFonts w:asciiTheme="minorHAnsi" w:hAnsiTheme="minorHAnsi"/>
        </w:rPr>
        <w:t xml:space="preserve">the </w:t>
      </w:r>
      <w:r w:rsidRPr="005B5E2F">
        <w:rPr>
          <w:rFonts w:asciiTheme="minorHAnsi" w:hAnsiTheme="minorHAnsi"/>
        </w:rPr>
        <w:t xml:space="preserve">overall survival </w:t>
      </w:r>
      <w:r>
        <w:rPr>
          <w:rFonts w:asciiTheme="minorHAnsi" w:hAnsiTheme="minorHAnsi"/>
        </w:rPr>
        <w:t>rate</w:t>
      </w:r>
      <w:r w:rsidRPr="005B5E2F">
        <w:rPr>
          <w:rFonts w:asciiTheme="minorHAnsi" w:hAnsiTheme="minorHAnsi"/>
        </w:rPr>
        <w:t xml:space="preserve"> overestimate</w:t>
      </w:r>
      <w:r>
        <w:rPr>
          <w:rFonts w:asciiTheme="minorHAnsi" w:hAnsiTheme="minorHAnsi"/>
        </w:rPr>
        <w:t>d</w:t>
      </w:r>
      <w:r w:rsidRPr="005B5E2F">
        <w:rPr>
          <w:rFonts w:asciiTheme="minorHAnsi" w:hAnsiTheme="minorHAnsi"/>
        </w:rPr>
        <w:t xml:space="preserve"> the effectiveness of </w:t>
      </w:r>
      <w:r>
        <w:rPr>
          <w:rFonts w:asciiTheme="minorHAnsi" w:hAnsiTheme="minorHAnsi"/>
        </w:rPr>
        <w:t>Strimvelis,</w:t>
      </w:r>
      <w:r w:rsidRPr="005B5E2F">
        <w:rPr>
          <w:rFonts w:asciiTheme="minorHAnsi" w:hAnsiTheme="minorHAnsi"/>
        </w:rPr>
        <w:t xml:space="preserve"> since </w:t>
      </w:r>
      <w:r>
        <w:rPr>
          <w:rFonts w:asciiTheme="minorHAnsi" w:hAnsiTheme="minorHAnsi"/>
        </w:rPr>
        <w:t xml:space="preserve">when treatment failed but patients did not die due to receiving an alternative treatment, they were still counted as a treatment success. </w:t>
      </w:r>
      <w:r w:rsidRPr="005B5E2F">
        <w:rPr>
          <w:rFonts w:asciiTheme="minorHAnsi" w:hAnsiTheme="minorHAnsi"/>
        </w:rPr>
        <w:t xml:space="preserve">In the view of the ERG, the </w:t>
      </w:r>
      <w:r>
        <w:rPr>
          <w:rFonts w:asciiTheme="minorHAnsi" w:hAnsiTheme="minorHAnsi"/>
        </w:rPr>
        <w:t>intervention free</w:t>
      </w:r>
      <w:r w:rsidRPr="005B5E2F">
        <w:rPr>
          <w:rFonts w:asciiTheme="minorHAnsi" w:hAnsiTheme="minorHAnsi"/>
        </w:rPr>
        <w:t xml:space="preserve"> survival </w:t>
      </w:r>
      <w:r>
        <w:rPr>
          <w:rFonts w:asciiTheme="minorHAnsi" w:hAnsiTheme="minorHAnsi"/>
        </w:rPr>
        <w:t xml:space="preserve">rate </w:t>
      </w:r>
      <w:r w:rsidRPr="005B5E2F">
        <w:rPr>
          <w:rFonts w:asciiTheme="minorHAnsi" w:hAnsiTheme="minorHAnsi"/>
        </w:rPr>
        <w:t>provide</w:t>
      </w:r>
      <w:r>
        <w:rPr>
          <w:rFonts w:asciiTheme="minorHAnsi" w:hAnsiTheme="minorHAnsi"/>
        </w:rPr>
        <w:t>d</w:t>
      </w:r>
      <w:r w:rsidRPr="005B5E2F">
        <w:rPr>
          <w:rFonts w:asciiTheme="minorHAnsi" w:hAnsiTheme="minorHAnsi"/>
        </w:rPr>
        <w:t xml:space="preserve"> a better assessment of clinical effectiveness</w:t>
      </w:r>
      <w:r>
        <w:rPr>
          <w:rFonts w:asciiTheme="minorHAnsi" w:hAnsiTheme="minorHAnsi"/>
        </w:rPr>
        <w:t>, as also noted by the European Medicines Agency</w:t>
      </w:r>
      <w:r w:rsidRPr="005B5E2F">
        <w:rPr>
          <w:rFonts w:asciiTheme="minorHAnsi" w:hAnsiTheme="minorHAnsi"/>
        </w:rPr>
        <w:t>.</w:t>
      </w:r>
      <w:r>
        <w:rPr>
          <w:rFonts w:asciiTheme="minorHAnsi" w:hAnsiTheme="minorHAnsi"/>
          <w:noProof/>
        </w:rPr>
        <w:t>[28]</w:t>
      </w:r>
    </w:p>
    <w:p w:rsidR="00E111BE" w:rsidRPr="005B5E2F" w:rsidRDefault="00E111BE" w:rsidP="00741B5B">
      <w:pPr>
        <w:rPr>
          <w:rFonts w:asciiTheme="minorHAnsi" w:hAnsiTheme="minorHAnsi"/>
          <w:i/>
        </w:rPr>
      </w:pPr>
      <w:r w:rsidRPr="005B5E2F">
        <w:rPr>
          <w:rFonts w:asciiTheme="minorHAnsi" w:hAnsiTheme="minorHAnsi"/>
          <w:i/>
        </w:rPr>
        <w:t>3.</w:t>
      </w:r>
      <w:r>
        <w:rPr>
          <w:rFonts w:asciiTheme="minorHAnsi" w:hAnsiTheme="minorHAnsi"/>
          <w:i/>
        </w:rPr>
        <w:t>2</w:t>
      </w:r>
      <w:r w:rsidRPr="005B5E2F">
        <w:rPr>
          <w:rFonts w:asciiTheme="minorHAnsi" w:hAnsiTheme="minorHAnsi"/>
          <w:i/>
        </w:rPr>
        <w:t>.</w:t>
      </w:r>
      <w:r>
        <w:rPr>
          <w:rFonts w:asciiTheme="minorHAnsi" w:hAnsiTheme="minorHAnsi"/>
          <w:i/>
        </w:rPr>
        <w:t>5</w:t>
      </w:r>
      <w:r w:rsidRPr="005B5E2F">
        <w:rPr>
          <w:rFonts w:asciiTheme="minorHAnsi" w:hAnsiTheme="minorHAnsi"/>
          <w:i/>
        </w:rPr>
        <w:t xml:space="preserve"> Adverse </w:t>
      </w:r>
      <w:r>
        <w:rPr>
          <w:rFonts w:asciiTheme="minorHAnsi" w:hAnsiTheme="minorHAnsi"/>
          <w:i/>
        </w:rPr>
        <w:t>E</w:t>
      </w:r>
      <w:r w:rsidRPr="005B5E2F">
        <w:rPr>
          <w:rFonts w:asciiTheme="minorHAnsi" w:hAnsiTheme="minorHAnsi"/>
          <w:i/>
        </w:rPr>
        <w:t>vents</w:t>
      </w:r>
    </w:p>
    <w:p w:rsidR="00E111BE" w:rsidRPr="005B5E2F" w:rsidRDefault="00E111BE" w:rsidP="00741B5B">
      <w:pPr>
        <w:rPr>
          <w:rFonts w:asciiTheme="minorHAnsi" w:hAnsiTheme="minorHAnsi"/>
        </w:rPr>
      </w:pPr>
      <w:r>
        <w:rPr>
          <w:rFonts w:asciiTheme="minorHAnsi" w:hAnsiTheme="minorHAnsi"/>
        </w:rPr>
        <w:t>T</w:t>
      </w:r>
      <w:r w:rsidRPr="005B5E2F">
        <w:rPr>
          <w:rFonts w:asciiTheme="minorHAnsi" w:hAnsiTheme="minorHAnsi"/>
        </w:rPr>
        <w:t>here were limitations in the reporting of GvHD</w:t>
      </w:r>
      <w:r>
        <w:rPr>
          <w:rFonts w:asciiTheme="minorHAnsi" w:hAnsiTheme="minorHAnsi"/>
        </w:rPr>
        <w:t xml:space="preserve"> following HSCT</w:t>
      </w:r>
      <w:r w:rsidRPr="005B5E2F">
        <w:rPr>
          <w:rFonts w:asciiTheme="minorHAnsi" w:hAnsiTheme="minorHAnsi"/>
        </w:rPr>
        <w:t>. Estimates were based on very small case reports (ranging from one to seven patients</w:t>
      </w:r>
      <w:r>
        <w:rPr>
          <w:rFonts w:asciiTheme="minorHAnsi" w:hAnsiTheme="minorHAnsi"/>
        </w:rPr>
        <w:t>) and</w:t>
      </w:r>
      <w:r w:rsidRPr="005B5E2F">
        <w:rPr>
          <w:rFonts w:asciiTheme="minorHAnsi" w:hAnsiTheme="minorHAnsi"/>
        </w:rPr>
        <w:t xml:space="preserve"> definitions and reporting of </w:t>
      </w:r>
      <w:r>
        <w:rPr>
          <w:rFonts w:asciiTheme="minorHAnsi" w:hAnsiTheme="minorHAnsi"/>
        </w:rPr>
        <w:t>GvHD in these studies varied.</w:t>
      </w:r>
      <w:r w:rsidRPr="005B5E2F">
        <w:rPr>
          <w:rFonts w:asciiTheme="minorHAnsi" w:hAnsiTheme="minorHAnsi"/>
        </w:rPr>
        <w:t xml:space="preserve"> </w:t>
      </w:r>
      <w:r>
        <w:rPr>
          <w:rFonts w:asciiTheme="minorHAnsi" w:hAnsiTheme="minorHAnsi"/>
        </w:rPr>
        <w:t>D</w:t>
      </w:r>
      <w:r w:rsidRPr="005B5E2F">
        <w:rPr>
          <w:rFonts w:asciiTheme="minorHAnsi" w:hAnsiTheme="minorHAnsi"/>
        </w:rPr>
        <w:t xml:space="preserve">ata from </w:t>
      </w:r>
      <w:r>
        <w:rPr>
          <w:rFonts w:asciiTheme="minorHAnsi" w:hAnsiTheme="minorHAnsi"/>
        </w:rPr>
        <w:t>studies</w:t>
      </w:r>
      <w:r w:rsidRPr="005B5E2F">
        <w:rPr>
          <w:rFonts w:asciiTheme="minorHAnsi" w:hAnsiTheme="minorHAnsi"/>
        </w:rPr>
        <w:t xml:space="preserve"> from different centres and time periods were pooled as if from a single study rather than using meta-analytic methods. </w:t>
      </w:r>
      <w:r>
        <w:rPr>
          <w:rFonts w:asciiTheme="minorHAnsi" w:hAnsiTheme="minorHAnsi"/>
        </w:rPr>
        <w:t>Regarding Strimvelis</w:t>
      </w:r>
      <w:r w:rsidRPr="005B5E2F">
        <w:rPr>
          <w:rFonts w:asciiTheme="minorHAnsi" w:hAnsiTheme="minorHAnsi"/>
        </w:rPr>
        <w:t xml:space="preserve">, </w:t>
      </w:r>
      <w:r>
        <w:rPr>
          <w:rFonts w:asciiTheme="minorHAnsi" w:hAnsiTheme="minorHAnsi"/>
        </w:rPr>
        <w:t>leukaemia-like lymphoproliferative disorders have been identified in patients with other forms of SCID after gene therapy due to the vector being integrated near an oncogene.</w:t>
      </w:r>
      <w:r>
        <w:rPr>
          <w:rFonts w:asciiTheme="minorHAnsi" w:hAnsiTheme="minorHAnsi"/>
          <w:noProof/>
        </w:rPr>
        <w:t>[29, 30]</w:t>
      </w:r>
      <w:r>
        <w:rPr>
          <w:rFonts w:asciiTheme="minorHAnsi" w:hAnsiTheme="minorHAnsi"/>
        </w:rPr>
        <w:t xml:space="preserve"> Although no similar events have been observed in ADA-SCID, the small numbers of patients who have received Strimvelis mean this cannot yet be ruled out as an important potential risk.</w:t>
      </w:r>
    </w:p>
    <w:p w:rsidR="00E111BE" w:rsidRPr="005B5E2F" w:rsidRDefault="00E111BE" w:rsidP="00741B5B">
      <w:pPr>
        <w:rPr>
          <w:rFonts w:asciiTheme="minorHAnsi" w:hAnsiTheme="minorHAnsi"/>
        </w:rPr>
      </w:pPr>
    </w:p>
    <w:p w:rsidR="00E111BE" w:rsidRPr="00A72C56" w:rsidRDefault="00E111BE" w:rsidP="00741B5B">
      <w:pPr>
        <w:rPr>
          <w:rFonts w:asciiTheme="minorHAnsi" w:hAnsiTheme="minorHAnsi"/>
          <w:b/>
        </w:rPr>
      </w:pPr>
      <w:r w:rsidRPr="00A72C56">
        <w:rPr>
          <w:rFonts w:asciiTheme="minorHAnsi" w:hAnsiTheme="minorHAnsi"/>
          <w:b/>
        </w:rPr>
        <w:t>3.</w:t>
      </w:r>
      <w:r>
        <w:rPr>
          <w:rFonts w:asciiTheme="minorHAnsi" w:hAnsiTheme="minorHAnsi"/>
          <w:b/>
        </w:rPr>
        <w:t>3</w:t>
      </w:r>
      <w:r w:rsidRPr="00A72C56">
        <w:rPr>
          <w:rFonts w:asciiTheme="minorHAnsi" w:hAnsiTheme="minorHAnsi"/>
          <w:b/>
        </w:rPr>
        <w:t xml:space="preserve"> Cost-</w:t>
      </w:r>
      <w:r>
        <w:rPr>
          <w:rFonts w:asciiTheme="minorHAnsi" w:hAnsiTheme="minorHAnsi"/>
          <w:b/>
        </w:rPr>
        <w:t>Effectiveness E</w:t>
      </w:r>
      <w:r w:rsidRPr="00A72C56">
        <w:rPr>
          <w:rFonts w:asciiTheme="minorHAnsi" w:hAnsiTheme="minorHAnsi"/>
          <w:b/>
        </w:rPr>
        <w:t>vidence</w:t>
      </w:r>
    </w:p>
    <w:p w:rsidR="00E111BE" w:rsidRDefault="00E111BE" w:rsidP="0010262D">
      <w:pPr>
        <w:rPr>
          <w:rFonts w:asciiTheme="minorHAnsi" w:hAnsiTheme="minorHAnsi"/>
        </w:rPr>
      </w:pPr>
      <w:r w:rsidRPr="005B5E2F">
        <w:rPr>
          <w:rFonts w:asciiTheme="minorHAnsi" w:hAnsiTheme="minorHAnsi"/>
        </w:rPr>
        <w:t xml:space="preserve">The </w:t>
      </w:r>
      <w:r>
        <w:rPr>
          <w:rFonts w:asciiTheme="minorHAnsi" w:hAnsiTheme="minorHAnsi"/>
        </w:rPr>
        <w:t>cost-effectiveness evidence provided by the company</w:t>
      </w:r>
      <w:r w:rsidRPr="005B5E2F">
        <w:rPr>
          <w:rFonts w:asciiTheme="minorHAnsi" w:hAnsiTheme="minorHAnsi"/>
        </w:rPr>
        <w:t xml:space="preserve"> included a review of published </w:t>
      </w:r>
      <w:r>
        <w:rPr>
          <w:rFonts w:asciiTheme="minorHAnsi" w:hAnsiTheme="minorHAnsi"/>
        </w:rPr>
        <w:t>data on health-related quality of life (</w:t>
      </w:r>
      <w:r w:rsidRPr="00F40257">
        <w:rPr>
          <w:rFonts w:asciiTheme="minorHAnsi" w:hAnsiTheme="minorHAnsi"/>
        </w:rPr>
        <w:t>HRQoL</w:t>
      </w:r>
      <w:r>
        <w:rPr>
          <w:rFonts w:asciiTheme="minorHAnsi" w:hAnsiTheme="minorHAnsi"/>
        </w:rPr>
        <w:t>)</w:t>
      </w:r>
      <w:r w:rsidRPr="00F40257">
        <w:rPr>
          <w:rFonts w:asciiTheme="minorHAnsi" w:hAnsiTheme="minorHAnsi"/>
        </w:rPr>
        <w:t xml:space="preserve"> </w:t>
      </w:r>
      <w:r w:rsidRPr="005B5E2F">
        <w:rPr>
          <w:rFonts w:asciiTheme="minorHAnsi" w:hAnsiTheme="minorHAnsi"/>
        </w:rPr>
        <w:t>and a de novo economic evaluation</w:t>
      </w:r>
      <w:r>
        <w:rPr>
          <w:rFonts w:asciiTheme="minorHAnsi" w:hAnsiTheme="minorHAnsi"/>
        </w:rPr>
        <w:t>,</w:t>
      </w:r>
      <w:r w:rsidRPr="005B5E2F">
        <w:rPr>
          <w:rFonts w:asciiTheme="minorHAnsi" w:hAnsiTheme="minorHAnsi"/>
        </w:rPr>
        <w:t xml:space="preserve"> compar</w:t>
      </w:r>
      <w:r>
        <w:rPr>
          <w:rFonts w:asciiTheme="minorHAnsi" w:hAnsiTheme="minorHAnsi"/>
        </w:rPr>
        <w:t>ing</w:t>
      </w:r>
      <w:r w:rsidRPr="005B5E2F">
        <w:rPr>
          <w:rFonts w:asciiTheme="minorHAnsi" w:hAnsiTheme="minorHAnsi"/>
        </w:rPr>
        <w:t xml:space="preserve"> Strimvelis to either HSCT from a MUD or haploidentical donor in a hypothetical cohort of patients aged one year old.  </w:t>
      </w:r>
      <w:r w:rsidRPr="006E5221">
        <w:rPr>
          <w:rFonts w:asciiTheme="minorHAnsi" w:hAnsiTheme="minorHAnsi"/>
        </w:rPr>
        <w:t xml:space="preserve">The model consisted of a decision tree to establish the proportion of patients surviving </w:t>
      </w:r>
      <w:r>
        <w:rPr>
          <w:rFonts w:asciiTheme="minorHAnsi" w:hAnsiTheme="minorHAnsi"/>
        </w:rPr>
        <w:t xml:space="preserve">the </w:t>
      </w:r>
      <w:r w:rsidRPr="006E5221">
        <w:rPr>
          <w:rFonts w:asciiTheme="minorHAnsi" w:hAnsiTheme="minorHAnsi"/>
        </w:rPr>
        <w:t>initial transplant procedure and the proportion requiring rescue transplant in the first three years, combined with a Markov modelling approach to extrapolate costs and quality adjusted survival over a lifetime time horizon.</w:t>
      </w:r>
      <w:r>
        <w:rPr>
          <w:rFonts w:asciiTheme="minorHAnsi" w:hAnsiTheme="minorHAnsi"/>
        </w:rPr>
        <w:t xml:space="preserve"> The four main outcomes from the model were: (i) s</w:t>
      </w:r>
      <w:r w:rsidRPr="005133C4">
        <w:rPr>
          <w:rFonts w:asciiTheme="minorHAnsi" w:hAnsiTheme="minorHAnsi"/>
        </w:rPr>
        <w:t>uccess, long term survival; (ii) unsuccessful</w:t>
      </w:r>
      <w:r>
        <w:rPr>
          <w:rFonts w:asciiTheme="minorHAnsi" w:hAnsiTheme="minorHAnsi"/>
        </w:rPr>
        <w:t xml:space="preserve"> engraftment; (iii) death; (iv) </w:t>
      </w:r>
      <w:r w:rsidRPr="005133C4">
        <w:rPr>
          <w:rFonts w:asciiTheme="minorHAnsi" w:hAnsiTheme="minorHAnsi"/>
        </w:rPr>
        <w:t xml:space="preserve">long term survival after rescue HSCT. </w:t>
      </w:r>
      <w:r>
        <w:rPr>
          <w:rFonts w:asciiTheme="minorHAnsi" w:hAnsiTheme="minorHAnsi"/>
        </w:rPr>
        <w:t xml:space="preserve"> </w:t>
      </w:r>
    </w:p>
    <w:p w:rsidR="00E111BE" w:rsidRDefault="00E111BE" w:rsidP="0035394D">
      <w:pPr>
        <w:rPr>
          <w:rFonts w:asciiTheme="minorHAnsi" w:hAnsiTheme="minorHAnsi"/>
        </w:rPr>
      </w:pPr>
      <w:r w:rsidRPr="005B5E2F">
        <w:rPr>
          <w:rFonts w:asciiTheme="minorHAnsi" w:hAnsiTheme="minorHAnsi"/>
        </w:rPr>
        <w:t xml:space="preserve">The model assumed patients would </w:t>
      </w:r>
      <w:r>
        <w:rPr>
          <w:rFonts w:asciiTheme="minorHAnsi" w:hAnsiTheme="minorHAnsi"/>
        </w:rPr>
        <w:t>receive PEG-ADA treatment</w:t>
      </w:r>
      <w:r w:rsidRPr="005B5E2F">
        <w:rPr>
          <w:rFonts w:asciiTheme="minorHAnsi" w:hAnsiTheme="minorHAnsi"/>
        </w:rPr>
        <w:t xml:space="preserve"> while awaiting initial or rescue transplant procedures, and incorporated post-procedure IVIG use and risk of severe infection</w:t>
      </w:r>
      <w:r>
        <w:rPr>
          <w:rFonts w:asciiTheme="minorHAnsi" w:hAnsiTheme="minorHAnsi"/>
        </w:rPr>
        <w:t xml:space="preserve"> for any transplant procedure and GvHD for HSCT</w:t>
      </w:r>
      <w:r w:rsidRPr="005B5E2F">
        <w:rPr>
          <w:rFonts w:asciiTheme="minorHAnsi" w:hAnsiTheme="minorHAnsi"/>
        </w:rPr>
        <w:t>.  Rescue transplant</w:t>
      </w:r>
      <w:r>
        <w:rPr>
          <w:rFonts w:asciiTheme="minorHAnsi" w:hAnsiTheme="minorHAnsi"/>
        </w:rPr>
        <w:t xml:space="preserve">s were assumed to be HSCT from an MSD </w:t>
      </w:r>
      <w:r w:rsidR="005E3BE3">
        <w:rPr>
          <w:rFonts w:asciiTheme="minorHAnsi" w:hAnsiTheme="minorHAnsi"/>
        </w:rPr>
        <w:t xml:space="preserve">(for example a new sibling born since the decision to undergo treatment with Strimvelis) </w:t>
      </w:r>
      <w:r>
        <w:rPr>
          <w:rFonts w:asciiTheme="minorHAnsi" w:hAnsiTheme="minorHAnsi"/>
        </w:rPr>
        <w:t>and to occur</w:t>
      </w:r>
      <w:r w:rsidRPr="005B5E2F">
        <w:rPr>
          <w:rFonts w:asciiTheme="minorHAnsi" w:hAnsiTheme="minorHAnsi"/>
        </w:rPr>
        <w:t xml:space="preserve"> two years after the </w:t>
      </w:r>
      <w:r>
        <w:rPr>
          <w:rFonts w:asciiTheme="minorHAnsi" w:hAnsiTheme="minorHAnsi"/>
        </w:rPr>
        <w:t>initial procedure, with no risks</w:t>
      </w:r>
      <w:r w:rsidRPr="005B5E2F">
        <w:rPr>
          <w:rFonts w:asciiTheme="minorHAnsi" w:hAnsiTheme="minorHAnsi"/>
        </w:rPr>
        <w:t xml:space="preserve"> of death</w:t>
      </w:r>
      <w:r>
        <w:rPr>
          <w:rFonts w:asciiTheme="minorHAnsi" w:hAnsiTheme="minorHAnsi"/>
        </w:rPr>
        <w:t>, GvHD</w:t>
      </w:r>
      <w:r w:rsidRPr="005B5E2F">
        <w:rPr>
          <w:rFonts w:asciiTheme="minorHAnsi" w:hAnsiTheme="minorHAnsi"/>
        </w:rPr>
        <w:t xml:space="preserve"> or failure to engraft.  It was assumed that the decision to </w:t>
      </w:r>
      <w:r>
        <w:rPr>
          <w:rFonts w:asciiTheme="minorHAnsi" w:hAnsiTheme="minorHAnsi"/>
        </w:rPr>
        <w:t>use</w:t>
      </w:r>
      <w:r w:rsidRPr="005B5E2F">
        <w:rPr>
          <w:rFonts w:asciiTheme="minorHAnsi" w:hAnsiTheme="minorHAnsi"/>
        </w:rPr>
        <w:t xml:space="preserve"> Strimvelis would be made before </w:t>
      </w:r>
      <w:r>
        <w:rPr>
          <w:rFonts w:asciiTheme="minorHAnsi" w:hAnsiTheme="minorHAnsi"/>
        </w:rPr>
        <w:t>the</w:t>
      </w:r>
      <w:r w:rsidRPr="005B5E2F">
        <w:rPr>
          <w:rFonts w:asciiTheme="minorHAnsi" w:hAnsiTheme="minorHAnsi"/>
        </w:rPr>
        <w:t xml:space="preserve"> search for a MUD, and that HSCT from a haploidentical donor would only be used </w:t>
      </w:r>
      <w:r>
        <w:rPr>
          <w:rFonts w:asciiTheme="minorHAnsi" w:hAnsiTheme="minorHAnsi"/>
        </w:rPr>
        <w:t>if</w:t>
      </w:r>
      <w:r w:rsidRPr="005B5E2F">
        <w:rPr>
          <w:rFonts w:asciiTheme="minorHAnsi" w:hAnsiTheme="minorHAnsi"/>
        </w:rPr>
        <w:t xml:space="preserve"> a MUD</w:t>
      </w:r>
      <w:r>
        <w:rPr>
          <w:rFonts w:asciiTheme="minorHAnsi" w:hAnsiTheme="minorHAnsi"/>
        </w:rPr>
        <w:t xml:space="preserve"> was unavailable</w:t>
      </w:r>
      <w:r w:rsidRPr="005B5E2F">
        <w:rPr>
          <w:rFonts w:asciiTheme="minorHAnsi" w:hAnsiTheme="minorHAnsi"/>
        </w:rPr>
        <w:t xml:space="preserve">.  Patients who </w:t>
      </w:r>
      <w:r w:rsidRPr="005B5E2F">
        <w:rPr>
          <w:rFonts w:asciiTheme="minorHAnsi" w:hAnsiTheme="minorHAnsi"/>
        </w:rPr>
        <w:lastRenderedPageBreak/>
        <w:t>survived transplant procedures were assumed to return to the mortality and morbidity risk of the general population</w:t>
      </w:r>
      <w:r>
        <w:rPr>
          <w:rFonts w:asciiTheme="minorHAnsi" w:hAnsiTheme="minorHAnsi"/>
        </w:rPr>
        <w:t>. The company’s model structure is presented in Figure 1.</w:t>
      </w:r>
    </w:p>
    <w:p w:rsidR="00E111BE" w:rsidRDefault="00E111BE" w:rsidP="0083686B">
      <w:pPr>
        <w:jc w:val="center"/>
        <w:rPr>
          <w:rFonts w:asciiTheme="minorHAnsi" w:hAnsiTheme="minorHAnsi"/>
        </w:rPr>
      </w:pPr>
      <w:r>
        <w:rPr>
          <w:rFonts w:asciiTheme="minorHAnsi" w:hAnsiTheme="minorHAnsi"/>
        </w:rPr>
        <w:t>[Figure 1]</w:t>
      </w:r>
    </w:p>
    <w:p w:rsidR="00E111BE" w:rsidRPr="005B5E2F" w:rsidRDefault="00E111BE" w:rsidP="00C2306B">
      <w:pPr>
        <w:rPr>
          <w:rFonts w:asciiTheme="minorHAnsi" w:hAnsiTheme="minorHAnsi"/>
        </w:rPr>
      </w:pPr>
      <w:r w:rsidRPr="005B5E2F">
        <w:rPr>
          <w:rFonts w:asciiTheme="minorHAnsi" w:hAnsiTheme="minorHAnsi"/>
        </w:rPr>
        <w:t xml:space="preserve">The model characterised three main benefits </w:t>
      </w:r>
      <w:r>
        <w:rPr>
          <w:rFonts w:asciiTheme="minorHAnsi" w:hAnsiTheme="minorHAnsi"/>
        </w:rPr>
        <w:t>of treatment with</w:t>
      </w:r>
      <w:r w:rsidRPr="005B5E2F">
        <w:rPr>
          <w:rFonts w:asciiTheme="minorHAnsi" w:hAnsiTheme="minorHAnsi"/>
        </w:rPr>
        <w:t xml:space="preserve"> Strimvelis: (i) reduced duration of ERT with PEG-ADA before the initial transplant procedure; (ii) reduced procedural mortality; and (iii) avoidance of GvHD.  The model also assumed </w:t>
      </w:r>
      <w:r>
        <w:rPr>
          <w:rFonts w:asciiTheme="minorHAnsi" w:hAnsiTheme="minorHAnsi"/>
        </w:rPr>
        <w:t>different</w:t>
      </w:r>
      <w:r w:rsidRPr="005B5E2F">
        <w:rPr>
          <w:rFonts w:asciiTheme="minorHAnsi" w:hAnsiTheme="minorHAnsi"/>
        </w:rPr>
        <w:t xml:space="preserve"> rates of rescue transplant between treatment arms.</w:t>
      </w:r>
    </w:p>
    <w:p w:rsidR="00E111BE" w:rsidRPr="00593B7B" w:rsidRDefault="00E111BE" w:rsidP="00C2306B">
      <w:pPr>
        <w:rPr>
          <w:rFonts w:asciiTheme="minorHAnsi" w:hAnsiTheme="minorHAnsi"/>
        </w:rPr>
      </w:pPr>
      <w:r w:rsidRPr="005B5E2F">
        <w:rPr>
          <w:rFonts w:asciiTheme="minorHAnsi" w:hAnsiTheme="minorHAnsi"/>
        </w:rPr>
        <w:t xml:space="preserve">The company model assumed overall survival of </w:t>
      </w:r>
      <w:r>
        <w:rPr>
          <w:rFonts w:asciiTheme="minorHAnsi" w:hAnsiTheme="minorHAnsi"/>
        </w:rPr>
        <w:t>100% with Strimvelis, 66.67% with</w:t>
      </w:r>
      <w:r w:rsidRPr="005B5E2F">
        <w:rPr>
          <w:rFonts w:asciiTheme="minorHAnsi" w:hAnsiTheme="minorHAnsi"/>
        </w:rPr>
        <w:t xml:space="preserve"> HSCT from a MUD and 71.4% </w:t>
      </w:r>
      <w:r>
        <w:rPr>
          <w:rFonts w:asciiTheme="minorHAnsi" w:hAnsiTheme="minorHAnsi"/>
        </w:rPr>
        <w:t>with</w:t>
      </w:r>
      <w:r w:rsidRPr="005B5E2F">
        <w:rPr>
          <w:rFonts w:asciiTheme="minorHAnsi" w:hAnsiTheme="minorHAnsi"/>
        </w:rPr>
        <w:t xml:space="preserve"> HSCT from a haploidentical donor</w:t>
      </w:r>
      <w:r>
        <w:rPr>
          <w:rFonts w:asciiTheme="minorHAnsi" w:hAnsiTheme="minorHAnsi"/>
        </w:rPr>
        <w:t>, based on data from the Strimvelis i</w:t>
      </w:r>
      <w:r w:rsidRPr="005B5E2F">
        <w:rPr>
          <w:rFonts w:asciiTheme="minorHAnsi" w:hAnsiTheme="minorHAnsi"/>
        </w:rPr>
        <w:t xml:space="preserve">ntegrated </w:t>
      </w:r>
      <w:r>
        <w:rPr>
          <w:rFonts w:asciiTheme="minorHAnsi" w:hAnsiTheme="minorHAnsi"/>
        </w:rPr>
        <w:t xml:space="preserve">population </w:t>
      </w:r>
      <w:r w:rsidRPr="005B5E2F">
        <w:rPr>
          <w:rFonts w:asciiTheme="minorHAnsi" w:hAnsiTheme="minorHAnsi"/>
        </w:rPr>
        <w:t>and Hassan et al</w:t>
      </w:r>
      <w:r>
        <w:rPr>
          <w:rFonts w:asciiTheme="minorHAnsi" w:hAnsiTheme="minorHAnsi"/>
          <w:noProof/>
        </w:rPr>
        <w:t>[3]</w:t>
      </w:r>
      <w:r w:rsidRPr="005B5E2F">
        <w:rPr>
          <w:rFonts w:asciiTheme="minorHAnsi" w:hAnsiTheme="minorHAnsi"/>
        </w:rPr>
        <w:t xml:space="preserve"> historical comparator.  </w:t>
      </w:r>
      <w:r>
        <w:rPr>
          <w:rFonts w:asciiTheme="minorHAnsi" w:hAnsiTheme="minorHAnsi"/>
        </w:rPr>
        <w:t>R</w:t>
      </w:r>
      <w:r w:rsidRPr="005B5E2F">
        <w:rPr>
          <w:rFonts w:asciiTheme="minorHAnsi" w:hAnsiTheme="minorHAnsi"/>
        </w:rPr>
        <w:t>ate</w:t>
      </w:r>
      <w:r>
        <w:rPr>
          <w:rFonts w:asciiTheme="minorHAnsi" w:hAnsiTheme="minorHAnsi"/>
        </w:rPr>
        <w:t>s</w:t>
      </w:r>
      <w:r w:rsidRPr="005B5E2F">
        <w:rPr>
          <w:rFonts w:asciiTheme="minorHAnsi" w:hAnsiTheme="minorHAnsi"/>
        </w:rPr>
        <w:t xml:space="preserve"> of rescue transplan</w:t>
      </w:r>
      <w:r>
        <w:rPr>
          <w:rFonts w:asciiTheme="minorHAnsi" w:hAnsiTheme="minorHAnsi"/>
        </w:rPr>
        <w:t xml:space="preserve">t following failure to engraft were </w:t>
      </w:r>
      <w:r w:rsidRPr="005B5E2F">
        <w:rPr>
          <w:rFonts w:asciiTheme="minorHAnsi" w:hAnsiTheme="minorHAnsi"/>
        </w:rPr>
        <w:t xml:space="preserve">assumed to be 17.6%, 6.7% and 28.6% </w:t>
      </w:r>
      <w:r>
        <w:rPr>
          <w:rFonts w:asciiTheme="minorHAnsi" w:hAnsiTheme="minorHAnsi"/>
        </w:rPr>
        <w:t xml:space="preserve">respectively. </w:t>
      </w:r>
      <w:r w:rsidRPr="005B5E2F">
        <w:rPr>
          <w:rFonts w:asciiTheme="minorHAnsi" w:hAnsiTheme="minorHAnsi"/>
        </w:rPr>
        <w:t xml:space="preserve">GvHD was assumed to occur in approximately one third of patients undergoing </w:t>
      </w:r>
      <w:r>
        <w:rPr>
          <w:rFonts w:asciiTheme="minorHAnsi" w:hAnsiTheme="minorHAnsi"/>
        </w:rPr>
        <w:t xml:space="preserve">an initial </w:t>
      </w:r>
      <w:r w:rsidRPr="005B5E2F">
        <w:rPr>
          <w:rFonts w:asciiTheme="minorHAnsi" w:hAnsiTheme="minorHAnsi"/>
        </w:rPr>
        <w:t>HSCT</w:t>
      </w:r>
      <w:r>
        <w:rPr>
          <w:rFonts w:asciiTheme="minorHAnsi" w:hAnsiTheme="minorHAnsi"/>
        </w:rPr>
        <w:t xml:space="preserve"> procedure</w:t>
      </w:r>
      <w:r w:rsidRPr="005B5E2F">
        <w:rPr>
          <w:rFonts w:asciiTheme="minorHAnsi" w:hAnsiTheme="minorHAnsi"/>
        </w:rPr>
        <w:t xml:space="preserve">, while </w:t>
      </w:r>
      <w:r>
        <w:rPr>
          <w:rFonts w:asciiTheme="minorHAnsi" w:hAnsiTheme="minorHAnsi"/>
        </w:rPr>
        <w:t xml:space="preserve">there was assumed to be no risk of GvHD with </w:t>
      </w:r>
      <w:r w:rsidRPr="005B5E2F">
        <w:rPr>
          <w:rFonts w:asciiTheme="minorHAnsi" w:hAnsiTheme="minorHAnsi"/>
        </w:rPr>
        <w:t>Strimvelis</w:t>
      </w:r>
      <w:r>
        <w:rPr>
          <w:rFonts w:asciiTheme="minorHAnsi" w:hAnsiTheme="minorHAnsi"/>
        </w:rPr>
        <w:t xml:space="preserve">. </w:t>
      </w:r>
      <w:r w:rsidRPr="005B5E2F">
        <w:rPr>
          <w:rFonts w:asciiTheme="minorHAnsi" w:hAnsiTheme="minorHAnsi"/>
        </w:rPr>
        <w:t>H</w:t>
      </w:r>
      <w:r>
        <w:rPr>
          <w:rFonts w:asciiTheme="minorHAnsi" w:hAnsiTheme="minorHAnsi"/>
        </w:rPr>
        <w:t xml:space="preserve">RQoL </w:t>
      </w:r>
      <w:r w:rsidRPr="005B5E2F">
        <w:rPr>
          <w:rFonts w:asciiTheme="minorHAnsi" w:hAnsiTheme="minorHAnsi"/>
        </w:rPr>
        <w:t xml:space="preserve">was assumed equal to that of the general population, with decrements applied for six months in patients recovering from transplant procedures and </w:t>
      </w:r>
      <w:r>
        <w:rPr>
          <w:rFonts w:asciiTheme="minorHAnsi" w:hAnsiTheme="minorHAnsi"/>
        </w:rPr>
        <w:t>in</w:t>
      </w:r>
      <w:r w:rsidRPr="005B5E2F">
        <w:rPr>
          <w:rFonts w:asciiTheme="minorHAnsi" w:hAnsiTheme="minorHAnsi"/>
        </w:rPr>
        <w:t xml:space="preserve"> </w:t>
      </w:r>
      <w:r w:rsidRPr="00593B7B">
        <w:rPr>
          <w:rFonts w:asciiTheme="minorHAnsi" w:hAnsiTheme="minorHAnsi"/>
        </w:rPr>
        <w:t xml:space="preserve">patients experiencing GvHD.  </w:t>
      </w:r>
      <w:r w:rsidRPr="00E66328">
        <w:rPr>
          <w:rFonts w:asciiTheme="minorHAnsi" w:hAnsiTheme="minorHAnsi"/>
        </w:rPr>
        <w:t>The perspective of the company’s analysis was the NHS and Personal Social Services (NHS &amp; PSS).</w:t>
      </w:r>
    </w:p>
    <w:p w:rsidR="00E111BE" w:rsidRPr="005B5E2F" w:rsidRDefault="00E111BE" w:rsidP="00741B5B">
      <w:pPr>
        <w:rPr>
          <w:rFonts w:asciiTheme="minorHAnsi" w:hAnsiTheme="minorHAnsi"/>
        </w:rPr>
      </w:pPr>
      <w:r>
        <w:rPr>
          <w:rFonts w:asciiTheme="minorHAnsi" w:hAnsiTheme="minorHAnsi"/>
        </w:rPr>
        <w:t xml:space="preserve">The company argued that </w:t>
      </w:r>
      <w:r w:rsidRPr="005B5E2F">
        <w:rPr>
          <w:rFonts w:asciiTheme="minorHAnsi" w:hAnsiTheme="minorHAnsi"/>
        </w:rPr>
        <w:t xml:space="preserve">a discount rate of 1.5% </w:t>
      </w:r>
      <w:r>
        <w:rPr>
          <w:rFonts w:asciiTheme="minorHAnsi" w:hAnsiTheme="minorHAnsi"/>
        </w:rPr>
        <w:t xml:space="preserve">should be </w:t>
      </w:r>
      <w:r w:rsidRPr="005B5E2F">
        <w:rPr>
          <w:rFonts w:asciiTheme="minorHAnsi" w:hAnsiTheme="minorHAnsi"/>
        </w:rPr>
        <w:t>applied to costs and health outcomes</w:t>
      </w:r>
      <w:r>
        <w:rPr>
          <w:rFonts w:asciiTheme="minorHAnsi" w:hAnsiTheme="minorHAnsi"/>
        </w:rPr>
        <w:t>,</w:t>
      </w:r>
      <w:r w:rsidRPr="005B5E2F">
        <w:rPr>
          <w:rFonts w:asciiTheme="minorHAnsi" w:hAnsiTheme="minorHAnsi"/>
        </w:rPr>
        <w:t xml:space="preserve"> </w:t>
      </w:r>
      <w:r>
        <w:rPr>
          <w:rFonts w:asciiTheme="minorHAnsi" w:hAnsiTheme="minorHAnsi"/>
        </w:rPr>
        <w:t>on the basis that Strimvelis restores people</w:t>
      </w:r>
      <w:r w:rsidRPr="00760157">
        <w:rPr>
          <w:rFonts w:asciiTheme="minorHAnsi" w:hAnsiTheme="minorHAnsi"/>
        </w:rPr>
        <w:t xml:space="preserve"> </w:t>
      </w:r>
      <w:r>
        <w:rPr>
          <w:rFonts w:asciiTheme="minorHAnsi" w:hAnsiTheme="minorHAnsi"/>
        </w:rPr>
        <w:t>to full or near full health over a long time period who would have otherwise died or had a very severely impaired life</w:t>
      </w:r>
      <w:r w:rsidRPr="005B5E2F">
        <w:rPr>
          <w:rFonts w:asciiTheme="minorHAnsi" w:hAnsiTheme="minorHAnsi"/>
        </w:rPr>
        <w:t xml:space="preserve">.  </w:t>
      </w:r>
      <w:r w:rsidRPr="00593B7B">
        <w:rPr>
          <w:rFonts w:asciiTheme="minorHAnsi" w:hAnsiTheme="minorHAnsi"/>
        </w:rPr>
        <w:t>The company base case fou</w:t>
      </w:r>
      <w:r>
        <w:rPr>
          <w:rFonts w:asciiTheme="minorHAnsi" w:hAnsiTheme="minorHAnsi"/>
        </w:rPr>
        <w:t>nd Strimvelis to be more costly</w:t>
      </w:r>
      <w:r w:rsidRPr="00D14536">
        <w:rPr>
          <w:rFonts w:asciiTheme="minorHAnsi" w:hAnsiTheme="minorHAnsi"/>
        </w:rPr>
        <w:t xml:space="preserve"> and </w:t>
      </w:r>
      <w:r w:rsidRPr="00AB6B6F">
        <w:rPr>
          <w:rFonts w:asciiTheme="minorHAnsi" w:hAnsiTheme="minorHAnsi"/>
        </w:rPr>
        <w:t>more effective</w:t>
      </w:r>
      <w:r w:rsidRPr="00593B7B">
        <w:rPr>
          <w:rFonts w:asciiTheme="minorHAnsi" w:hAnsiTheme="minorHAnsi"/>
        </w:rPr>
        <w:t xml:space="preserve"> </w:t>
      </w:r>
      <w:r>
        <w:rPr>
          <w:rFonts w:asciiTheme="minorHAnsi" w:hAnsiTheme="minorHAnsi"/>
        </w:rPr>
        <w:t>than the comparators</w:t>
      </w:r>
      <w:r w:rsidRPr="005B5E2F">
        <w:rPr>
          <w:rFonts w:asciiTheme="minorHAnsi" w:hAnsiTheme="minorHAnsi"/>
        </w:rPr>
        <w:t xml:space="preserve">.  The deterministic ICERs were £36,360 </w:t>
      </w:r>
      <w:r w:rsidR="003D688F">
        <w:rPr>
          <w:rFonts w:asciiTheme="minorHAnsi" w:hAnsiTheme="minorHAnsi"/>
        </w:rPr>
        <w:t xml:space="preserve">per QALY gained </w:t>
      </w:r>
      <w:r w:rsidRPr="005B5E2F">
        <w:rPr>
          <w:rFonts w:asciiTheme="minorHAnsi" w:hAnsiTheme="minorHAnsi"/>
        </w:rPr>
        <w:t xml:space="preserve">for Strimvelis compared </w:t>
      </w:r>
      <w:r>
        <w:rPr>
          <w:rFonts w:asciiTheme="minorHAnsi" w:hAnsiTheme="minorHAnsi"/>
        </w:rPr>
        <w:t>with</w:t>
      </w:r>
      <w:r w:rsidRPr="005B5E2F">
        <w:rPr>
          <w:rFonts w:asciiTheme="minorHAnsi" w:hAnsiTheme="minorHAnsi"/>
        </w:rPr>
        <w:t xml:space="preserve"> HSCT from a MUD and £14,645</w:t>
      </w:r>
      <w:r w:rsidR="003D688F">
        <w:rPr>
          <w:rFonts w:asciiTheme="minorHAnsi" w:hAnsiTheme="minorHAnsi"/>
        </w:rPr>
        <w:t xml:space="preserve"> per QALY gained</w:t>
      </w:r>
      <w:r w:rsidRPr="005B5E2F">
        <w:rPr>
          <w:rFonts w:asciiTheme="minorHAnsi" w:hAnsiTheme="minorHAnsi"/>
        </w:rPr>
        <w:t xml:space="preserve"> for Strimvelis compared </w:t>
      </w:r>
      <w:r>
        <w:rPr>
          <w:rFonts w:asciiTheme="minorHAnsi" w:hAnsiTheme="minorHAnsi"/>
        </w:rPr>
        <w:t>with</w:t>
      </w:r>
      <w:r w:rsidRPr="005B5E2F">
        <w:rPr>
          <w:rFonts w:asciiTheme="minorHAnsi" w:hAnsiTheme="minorHAnsi"/>
        </w:rPr>
        <w:t xml:space="preserve"> </w:t>
      </w:r>
      <w:r>
        <w:rPr>
          <w:rFonts w:asciiTheme="minorHAnsi" w:hAnsiTheme="minorHAnsi"/>
        </w:rPr>
        <w:t>HSCT from a haploidentical donor. The ICERs remained</w:t>
      </w:r>
      <w:r w:rsidRPr="005B5E2F">
        <w:rPr>
          <w:rFonts w:asciiTheme="minorHAnsi" w:hAnsiTheme="minorHAnsi"/>
        </w:rPr>
        <w:t xml:space="preserve"> </w:t>
      </w:r>
      <w:r>
        <w:rPr>
          <w:rFonts w:asciiTheme="minorHAnsi" w:hAnsiTheme="minorHAnsi"/>
        </w:rPr>
        <w:t>below</w:t>
      </w:r>
      <w:r w:rsidRPr="005B5E2F">
        <w:rPr>
          <w:rFonts w:asciiTheme="minorHAnsi" w:hAnsiTheme="minorHAnsi"/>
        </w:rPr>
        <w:t xml:space="preserve"> </w:t>
      </w:r>
      <w:r>
        <w:rPr>
          <w:rFonts w:asciiTheme="minorHAnsi" w:hAnsiTheme="minorHAnsi"/>
        </w:rPr>
        <w:t xml:space="preserve">the £100,000 per QALY lower tier </w:t>
      </w:r>
      <w:r w:rsidRPr="004A4D9F">
        <w:rPr>
          <w:rFonts w:asciiTheme="minorHAnsi" w:hAnsiTheme="minorHAnsi"/>
        </w:rPr>
        <w:t>threshold that NICE</w:t>
      </w:r>
      <w:r>
        <w:rPr>
          <w:rFonts w:asciiTheme="minorHAnsi" w:hAnsiTheme="minorHAnsi"/>
        </w:rPr>
        <w:t xml:space="preserve"> considers appropriate for HSTs,</w:t>
      </w:r>
      <w:r>
        <w:rPr>
          <w:rFonts w:asciiTheme="minorHAnsi" w:hAnsiTheme="minorHAnsi"/>
          <w:noProof/>
        </w:rPr>
        <w:t>[1]</w:t>
      </w:r>
      <w:r>
        <w:rPr>
          <w:rFonts w:asciiTheme="minorHAnsi" w:hAnsiTheme="minorHAnsi"/>
        </w:rPr>
        <w:t xml:space="preserve"> </w:t>
      </w:r>
      <w:r w:rsidRPr="005B5E2F">
        <w:rPr>
          <w:rFonts w:asciiTheme="minorHAnsi" w:hAnsiTheme="minorHAnsi"/>
        </w:rPr>
        <w:t>across a range of one and two-way sensitivity analys</w:t>
      </w:r>
      <w:r>
        <w:rPr>
          <w:rFonts w:asciiTheme="minorHAnsi" w:hAnsiTheme="minorHAnsi"/>
        </w:rPr>
        <w:t>es</w:t>
      </w:r>
      <w:r w:rsidRPr="005B5E2F">
        <w:rPr>
          <w:rFonts w:asciiTheme="minorHAnsi" w:hAnsiTheme="minorHAnsi"/>
        </w:rPr>
        <w:t xml:space="preserve"> and scenario analyses. </w:t>
      </w:r>
    </w:p>
    <w:p w:rsidR="00E111BE" w:rsidRPr="00A72C56" w:rsidRDefault="00E111BE" w:rsidP="00741B5B">
      <w:pPr>
        <w:rPr>
          <w:rFonts w:asciiTheme="minorHAnsi" w:hAnsiTheme="minorHAnsi"/>
          <w:b/>
        </w:rPr>
      </w:pPr>
      <w:r w:rsidRPr="00A72C56">
        <w:rPr>
          <w:rFonts w:asciiTheme="minorHAnsi" w:hAnsiTheme="minorHAnsi"/>
          <w:b/>
        </w:rPr>
        <w:t>3.</w:t>
      </w:r>
      <w:r>
        <w:rPr>
          <w:rFonts w:asciiTheme="minorHAnsi" w:hAnsiTheme="minorHAnsi"/>
          <w:b/>
        </w:rPr>
        <w:t>4</w:t>
      </w:r>
      <w:r w:rsidRPr="00A72C56">
        <w:rPr>
          <w:rFonts w:asciiTheme="minorHAnsi" w:hAnsiTheme="minorHAnsi"/>
          <w:b/>
        </w:rPr>
        <w:t xml:space="preserve"> Critique of </w:t>
      </w:r>
      <w:r>
        <w:rPr>
          <w:rFonts w:asciiTheme="minorHAnsi" w:hAnsiTheme="minorHAnsi"/>
          <w:b/>
        </w:rPr>
        <w:t>C</w:t>
      </w:r>
      <w:r w:rsidRPr="00A72C56">
        <w:rPr>
          <w:rFonts w:asciiTheme="minorHAnsi" w:hAnsiTheme="minorHAnsi"/>
          <w:b/>
        </w:rPr>
        <w:t>ost-</w:t>
      </w:r>
      <w:r>
        <w:rPr>
          <w:rFonts w:asciiTheme="minorHAnsi" w:hAnsiTheme="minorHAnsi"/>
          <w:b/>
        </w:rPr>
        <w:t>E</w:t>
      </w:r>
      <w:r w:rsidRPr="00A72C56">
        <w:rPr>
          <w:rFonts w:asciiTheme="minorHAnsi" w:hAnsiTheme="minorHAnsi"/>
          <w:b/>
        </w:rPr>
        <w:t xml:space="preserve">ffectiveness </w:t>
      </w:r>
      <w:r>
        <w:rPr>
          <w:rFonts w:asciiTheme="minorHAnsi" w:hAnsiTheme="minorHAnsi"/>
          <w:b/>
        </w:rPr>
        <w:t>E</w:t>
      </w:r>
      <w:r w:rsidRPr="00A72C56">
        <w:rPr>
          <w:rFonts w:asciiTheme="minorHAnsi" w:hAnsiTheme="minorHAnsi"/>
          <w:b/>
        </w:rPr>
        <w:t>vidence</w:t>
      </w:r>
    </w:p>
    <w:p w:rsidR="00E111BE" w:rsidRDefault="00E111BE" w:rsidP="00741B5B">
      <w:pPr>
        <w:rPr>
          <w:rFonts w:asciiTheme="minorHAnsi" w:hAnsiTheme="minorHAnsi"/>
        </w:rPr>
      </w:pPr>
      <w:r>
        <w:rPr>
          <w:rFonts w:asciiTheme="minorHAnsi" w:hAnsiTheme="minorHAnsi"/>
        </w:rPr>
        <w:t>The ERG highlighted a number of issues with the cost-effectiveness evidence presented by the company.</w:t>
      </w:r>
    </w:p>
    <w:p w:rsidR="00E111BE" w:rsidRDefault="00E111BE" w:rsidP="00843720">
      <w:pPr>
        <w:rPr>
          <w:rFonts w:asciiTheme="minorHAnsi" w:hAnsiTheme="minorHAnsi"/>
          <w:i/>
        </w:rPr>
      </w:pPr>
      <w:r>
        <w:rPr>
          <w:rFonts w:asciiTheme="minorHAnsi" w:hAnsiTheme="minorHAnsi"/>
          <w:i/>
        </w:rPr>
        <w:t>3.4.1 Position of Strimvelis in the Treatment Pathway</w:t>
      </w:r>
    </w:p>
    <w:p w:rsidR="00E111BE" w:rsidRDefault="00E111BE" w:rsidP="00E127A4">
      <w:pPr>
        <w:rPr>
          <w:rFonts w:asciiTheme="minorHAnsi" w:hAnsiTheme="minorHAnsi"/>
        </w:rPr>
      </w:pPr>
      <w:r w:rsidRPr="00843720">
        <w:rPr>
          <w:rFonts w:asciiTheme="minorHAnsi" w:hAnsiTheme="minorHAnsi"/>
        </w:rPr>
        <w:t xml:space="preserve">The ERG was concerned that the model </w:t>
      </w:r>
      <w:r>
        <w:rPr>
          <w:rFonts w:asciiTheme="minorHAnsi" w:hAnsiTheme="minorHAnsi"/>
        </w:rPr>
        <w:t>did not</w:t>
      </w:r>
      <w:r w:rsidRPr="00843720">
        <w:rPr>
          <w:rFonts w:asciiTheme="minorHAnsi" w:hAnsiTheme="minorHAnsi"/>
        </w:rPr>
        <w:t xml:space="preserve"> </w:t>
      </w:r>
      <w:r>
        <w:rPr>
          <w:rFonts w:asciiTheme="minorHAnsi" w:hAnsiTheme="minorHAnsi"/>
        </w:rPr>
        <w:t>include</w:t>
      </w:r>
      <w:r w:rsidRPr="00843720">
        <w:rPr>
          <w:rFonts w:asciiTheme="minorHAnsi" w:hAnsiTheme="minorHAnsi"/>
        </w:rPr>
        <w:t xml:space="preserve"> alternative points in the treatment pathway at which a decision to use Strimvelis may be taken.  The company model applie</w:t>
      </w:r>
      <w:r>
        <w:rPr>
          <w:rFonts w:asciiTheme="minorHAnsi" w:hAnsiTheme="minorHAnsi"/>
        </w:rPr>
        <w:t>d</w:t>
      </w:r>
      <w:r w:rsidRPr="00843720">
        <w:rPr>
          <w:rFonts w:asciiTheme="minorHAnsi" w:hAnsiTheme="minorHAnsi"/>
        </w:rPr>
        <w:t xml:space="preserve"> only to patients </w:t>
      </w:r>
      <w:r>
        <w:rPr>
          <w:rFonts w:asciiTheme="minorHAnsi" w:hAnsiTheme="minorHAnsi"/>
        </w:rPr>
        <w:t>for</w:t>
      </w:r>
      <w:r w:rsidRPr="00843720">
        <w:rPr>
          <w:rFonts w:asciiTheme="minorHAnsi" w:hAnsiTheme="minorHAnsi"/>
        </w:rPr>
        <w:t xml:space="preserve"> whom the decision is taken immediately following diagnosis</w:t>
      </w:r>
      <w:r>
        <w:rPr>
          <w:rFonts w:asciiTheme="minorHAnsi" w:hAnsiTheme="minorHAnsi"/>
        </w:rPr>
        <w:t xml:space="preserve">, thus avoiding a search for a MUD for all patients (where a search includes a </w:t>
      </w:r>
      <w:r w:rsidRPr="00D71EDE">
        <w:rPr>
          <w:rFonts w:asciiTheme="minorHAnsi" w:hAnsiTheme="minorHAnsi"/>
        </w:rPr>
        <w:t>database search</w:t>
      </w:r>
      <w:r>
        <w:rPr>
          <w:rFonts w:asciiTheme="minorHAnsi" w:hAnsiTheme="minorHAnsi"/>
        </w:rPr>
        <w:t xml:space="preserve">, followed by contacting and testing </w:t>
      </w:r>
      <w:r w:rsidRPr="00D71EDE">
        <w:rPr>
          <w:rFonts w:asciiTheme="minorHAnsi" w:hAnsiTheme="minorHAnsi"/>
        </w:rPr>
        <w:t>potential donors</w:t>
      </w:r>
      <w:r>
        <w:rPr>
          <w:rFonts w:asciiTheme="minorHAnsi" w:hAnsiTheme="minorHAnsi"/>
        </w:rPr>
        <w:t>)</w:t>
      </w:r>
      <w:r w:rsidRPr="00843720">
        <w:rPr>
          <w:rFonts w:asciiTheme="minorHAnsi" w:hAnsiTheme="minorHAnsi"/>
        </w:rPr>
        <w:t>.</w:t>
      </w:r>
      <w:r w:rsidRPr="00F2209B">
        <w:rPr>
          <w:rFonts w:asciiTheme="minorHAnsi" w:hAnsiTheme="minorHAnsi"/>
        </w:rPr>
        <w:t xml:space="preserve"> </w:t>
      </w:r>
      <w:r w:rsidRPr="00843720">
        <w:rPr>
          <w:rFonts w:asciiTheme="minorHAnsi" w:hAnsiTheme="minorHAnsi"/>
        </w:rPr>
        <w:t xml:space="preserve">The ERG </w:t>
      </w:r>
      <w:r>
        <w:rPr>
          <w:rFonts w:asciiTheme="minorHAnsi" w:hAnsiTheme="minorHAnsi"/>
        </w:rPr>
        <w:t>considered</w:t>
      </w:r>
      <w:r w:rsidRPr="00843720">
        <w:rPr>
          <w:rFonts w:asciiTheme="minorHAnsi" w:hAnsiTheme="minorHAnsi"/>
        </w:rPr>
        <w:t xml:space="preserve"> that for some patients the decision to u</w:t>
      </w:r>
      <w:r>
        <w:rPr>
          <w:rFonts w:asciiTheme="minorHAnsi" w:hAnsiTheme="minorHAnsi"/>
        </w:rPr>
        <w:t>se</w:t>
      </w:r>
      <w:r w:rsidRPr="00843720">
        <w:rPr>
          <w:rFonts w:asciiTheme="minorHAnsi" w:hAnsiTheme="minorHAnsi"/>
        </w:rPr>
        <w:t xml:space="preserve"> Strimvelis </w:t>
      </w:r>
      <w:r>
        <w:rPr>
          <w:rFonts w:asciiTheme="minorHAnsi" w:hAnsiTheme="minorHAnsi"/>
        </w:rPr>
        <w:t>may</w:t>
      </w:r>
      <w:r w:rsidRPr="00843720">
        <w:rPr>
          <w:rFonts w:asciiTheme="minorHAnsi" w:hAnsiTheme="minorHAnsi"/>
        </w:rPr>
        <w:t xml:space="preserve"> be taken only after a searc</w:t>
      </w:r>
      <w:r>
        <w:rPr>
          <w:rFonts w:asciiTheme="minorHAnsi" w:hAnsiTheme="minorHAnsi"/>
        </w:rPr>
        <w:t xml:space="preserve">h for a MUD has been completed, including those unwilling to travel to Milan if alternative treatment is available. </w:t>
      </w:r>
    </w:p>
    <w:p w:rsidR="00E111BE" w:rsidRDefault="00E111BE" w:rsidP="00843720">
      <w:pPr>
        <w:rPr>
          <w:rFonts w:asciiTheme="minorHAnsi" w:hAnsiTheme="minorHAnsi"/>
          <w:i/>
        </w:rPr>
      </w:pPr>
      <w:r>
        <w:rPr>
          <w:rFonts w:asciiTheme="minorHAnsi" w:hAnsiTheme="minorHAnsi"/>
          <w:i/>
        </w:rPr>
        <w:t>3.4.2 Health Gains with Strimvelis</w:t>
      </w:r>
    </w:p>
    <w:p w:rsidR="00E111BE" w:rsidRPr="004D4A62" w:rsidRDefault="00E111BE" w:rsidP="00843720">
      <w:pPr>
        <w:rPr>
          <w:rFonts w:asciiTheme="minorHAnsi" w:hAnsiTheme="minorHAnsi"/>
        </w:rPr>
      </w:pPr>
      <w:r>
        <w:rPr>
          <w:rFonts w:asciiTheme="minorHAnsi" w:hAnsiTheme="minorHAnsi"/>
        </w:rPr>
        <w:t xml:space="preserve">The ERG believed that the respective 33 and 29 percentage point reductions in procedural mortality with Strimvelis compared with HSCT from a MUD or haploidentical donor applied in the submission </w:t>
      </w:r>
      <w:r w:rsidRPr="00796EA4">
        <w:rPr>
          <w:rFonts w:asciiTheme="minorHAnsi" w:hAnsiTheme="minorHAnsi"/>
        </w:rPr>
        <w:t>may</w:t>
      </w:r>
      <w:r>
        <w:rPr>
          <w:rFonts w:asciiTheme="minorHAnsi" w:hAnsiTheme="minorHAnsi"/>
        </w:rPr>
        <w:t xml:space="preserve"> represent the upper limit of additional benefit from Strimvelis.</w:t>
      </w:r>
      <w:r w:rsidRPr="00E127A4">
        <w:rPr>
          <w:rFonts w:asciiTheme="minorHAnsi" w:hAnsiTheme="minorHAnsi"/>
        </w:rPr>
        <w:t xml:space="preserve"> </w:t>
      </w:r>
      <w:r>
        <w:rPr>
          <w:rFonts w:asciiTheme="minorHAnsi" w:hAnsiTheme="minorHAnsi"/>
        </w:rPr>
        <w:t>This was due to the likely improvements in survival from HSCT and the use of overall survival rather than intervention free survival to characterise the efficacy of Strimvelis.</w:t>
      </w:r>
    </w:p>
    <w:p w:rsidR="00E111BE" w:rsidRPr="00843720" w:rsidRDefault="00E111BE" w:rsidP="00843720">
      <w:pPr>
        <w:rPr>
          <w:rFonts w:asciiTheme="minorHAnsi" w:hAnsiTheme="minorHAnsi"/>
        </w:rPr>
      </w:pPr>
      <w:r w:rsidRPr="00843720">
        <w:rPr>
          <w:rFonts w:asciiTheme="minorHAnsi" w:hAnsiTheme="minorHAnsi"/>
        </w:rPr>
        <w:lastRenderedPageBreak/>
        <w:t xml:space="preserve">The ERG thought it was unrealistic to assume that patients with ADA-SCID who survive an initial transplant procedure </w:t>
      </w:r>
      <w:r>
        <w:rPr>
          <w:rFonts w:asciiTheme="minorHAnsi" w:hAnsiTheme="minorHAnsi"/>
        </w:rPr>
        <w:t>(</w:t>
      </w:r>
      <w:r w:rsidRPr="00843720">
        <w:rPr>
          <w:rFonts w:asciiTheme="minorHAnsi" w:hAnsiTheme="minorHAnsi"/>
        </w:rPr>
        <w:t>either Strimvelis or HSCT</w:t>
      </w:r>
      <w:r>
        <w:rPr>
          <w:rFonts w:asciiTheme="minorHAnsi" w:hAnsiTheme="minorHAnsi"/>
        </w:rPr>
        <w:t>)</w:t>
      </w:r>
      <w:r w:rsidRPr="00843720">
        <w:rPr>
          <w:rFonts w:asciiTheme="minorHAnsi" w:hAnsiTheme="minorHAnsi"/>
        </w:rPr>
        <w:t xml:space="preserve"> </w:t>
      </w:r>
      <w:r>
        <w:rPr>
          <w:rFonts w:asciiTheme="minorHAnsi" w:hAnsiTheme="minorHAnsi"/>
        </w:rPr>
        <w:t>return</w:t>
      </w:r>
      <w:r w:rsidRPr="00843720">
        <w:rPr>
          <w:rFonts w:asciiTheme="minorHAnsi" w:hAnsiTheme="minorHAnsi"/>
        </w:rPr>
        <w:t xml:space="preserve"> to the same level of health and life expectancy as the general population.  The ERG felt that this would overestimate quality adjusted survival and underestimate health care costs due to the cognitive and neurological deficits of ADA-SCID</w:t>
      </w:r>
      <w:r>
        <w:rPr>
          <w:rFonts w:asciiTheme="minorHAnsi" w:hAnsiTheme="minorHAnsi"/>
        </w:rPr>
        <w:t>, such as bilateral hearing impairment,</w:t>
      </w:r>
      <w:r w:rsidRPr="00843720">
        <w:rPr>
          <w:rFonts w:asciiTheme="minorHAnsi" w:hAnsiTheme="minorHAnsi"/>
        </w:rPr>
        <w:t xml:space="preserve"> and potential long-term adverse events associated with pre-transplant conditioning regimens.  Of similar concern was the assumption of 100% success</w:t>
      </w:r>
      <w:r>
        <w:rPr>
          <w:rFonts w:asciiTheme="minorHAnsi" w:hAnsiTheme="minorHAnsi"/>
        </w:rPr>
        <w:t xml:space="preserve"> and</w:t>
      </w:r>
      <w:r w:rsidRPr="00843720">
        <w:rPr>
          <w:rFonts w:asciiTheme="minorHAnsi" w:hAnsiTheme="minorHAnsi"/>
        </w:rPr>
        <w:t xml:space="preserve"> survival with rescue transplant, which overestimates quality-adjusted survival and underestimates the health care costs in patients that fail to engraft fol</w:t>
      </w:r>
      <w:r>
        <w:rPr>
          <w:rFonts w:asciiTheme="minorHAnsi" w:hAnsiTheme="minorHAnsi"/>
        </w:rPr>
        <w:t xml:space="preserve">lowing the initial procedure. </w:t>
      </w:r>
      <w:r w:rsidRPr="00843720">
        <w:rPr>
          <w:rFonts w:asciiTheme="minorHAnsi" w:hAnsiTheme="minorHAnsi"/>
        </w:rPr>
        <w:t>These factors cause</w:t>
      </w:r>
      <w:r>
        <w:rPr>
          <w:rFonts w:asciiTheme="minorHAnsi" w:hAnsiTheme="minorHAnsi"/>
        </w:rPr>
        <w:t>d</w:t>
      </w:r>
      <w:r w:rsidRPr="00843720">
        <w:rPr>
          <w:rFonts w:asciiTheme="minorHAnsi" w:hAnsiTheme="minorHAnsi"/>
        </w:rPr>
        <w:t xml:space="preserve"> the company model to overestimate the </w:t>
      </w:r>
      <w:r>
        <w:rPr>
          <w:rFonts w:asciiTheme="minorHAnsi" w:hAnsiTheme="minorHAnsi"/>
        </w:rPr>
        <w:t xml:space="preserve">health </w:t>
      </w:r>
      <w:r w:rsidRPr="00843720">
        <w:rPr>
          <w:rFonts w:asciiTheme="minorHAnsi" w:hAnsiTheme="minorHAnsi"/>
        </w:rPr>
        <w:t xml:space="preserve">benefit </w:t>
      </w:r>
      <w:r>
        <w:rPr>
          <w:rFonts w:asciiTheme="minorHAnsi" w:hAnsiTheme="minorHAnsi"/>
        </w:rPr>
        <w:t xml:space="preserve">from </w:t>
      </w:r>
      <w:r w:rsidRPr="00843720">
        <w:rPr>
          <w:rFonts w:asciiTheme="minorHAnsi" w:hAnsiTheme="minorHAnsi"/>
        </w:rPr>
        <w:t>reductions in procedural mortality</w:t>
      </w:r>
      <w:r>
        <w:rPr>
          <w:rFonts w:asciiTheme="minorHAnsi" w:hAnsiTheme="minorHAnsi"/>
        </w:rPr>
        <w:t xml:space="preserve"> and underestimate subsequent costs</w:t>
      </w:r>
      <w:r w:rsidRPr="00843720">
        <w:rPr>
          <w:rFonts w:asciiTheme="minorHAnsi" w:hAnsiTheme="minorHAnsi"/>
        </w:rPr>
        <w:t>.</w:t>
      </w:r>
      <w:r>
        <w:rPr>
          <w:rFonts w:asciiTheme="minorHAnsi" w:hAnsiTheme="minorHAnsi"/>
        </w:rPr>
        <w:t xml:space="preserve">  </w:t>
      </w:r>
    </w:p>
    <w:p w:rsidR="00E111BE" w:rsidRPr="00843720" w:rsidRDefault="00E111BE" w:rsidP="00843720">
      <w:pPr>
        <w:rPr>
          <w:rFonts w:asciiTheme="minorHAnsi" w:hAnsiTheme="minorHAnsi"/>
          <w:i/>
        </w:rPr>
      </w:pPr>
      <w:r w:rsidRPr="00843720">
        <w:rPr>
          <w:rFonts w:asciiTheme="minorHAnsi" w:hAnsiTheme="minorHAnsi"/>
          <w:i/>
        </w:rPr>
        <w:t>3.</w:t>
      </w:r>
      <w:r>
        <w:rPr>
          <w:rFonts w:asciiTheme="minorHAnsi" w:hAnsiTheme="minorHAnsi"/>
          <w:i/>
        </w:rPr>
        <w:t>4</w:t>
      </w:r>
      <w:r w:rsidRPr="00843720">
        <w:rPr>
          <w:rFonts w:asciiTheme="minorHAnsi" w:hAnsiTheme="minorHAnsi"/>
          <w:i/>
        </w:rPr>
        <w:t>.</w:t>
      </w:r>
      <w:r>
        <w:rPr>
          <w:rFonts w:asciiTheme="minorHAnsi" w:hAnsiTheme="minorHAnsi"/>
          <w:i/>
        </w:rPr>
        <w:t>3</w:t>
      </w:r>
      <w:r w:rsidRPr="00843720">
        <w:rPr>
          <w:rFonts w:asciiTheme="minorHAnsi" w:hAnsiTheme="minorHAnsi"/>
          <w:i/>
        </w:rPr>
        <w:t xml:space="preserve"> </w:t>
      </w:r>
      <w:r>
        <w:rPr>
          <w:rFonts w:asciiTheme="minorHAnsi" w:hAnsiTheme="minorHAnsi"/>
          <w:i/>
        </w:rPr>
        <w:t>Treatment Costs Associated with Strimvelis and HSCT</w:t>
      </w:r>
    </w:p>
    <w:p w:rsidR="00E111BE" w:rsidRDefault="00E111BE" w:rsidP="00843720">
      <w:pPr>
        <w:rPr>
          <w:rFonts w:asciiTheme="minorHAnsi" w:hAnsiTheme="minorHAnsi"/>
        </w:rPr>
      </w:pPr>
      <w:r>
        <w:rPr>
          <w:rFonts w:asciiTheme="minorHAnsi" w:hAnsiTheme="minorHAnsi"/>
        </w:rPr>
        <w:t>The</w:t>
      </w:r>
      <w:r w:rsidRPr="00843720">
        <w:rPr>
          <w:rFonts w:asciiTheme="minorHAnsi" w:hAnsiTheme="minorHAnsi"/>
        </w:rPr>
        <w:t xml:space="preserve"> ERG identified a number of costs associated with Strimvelis that were omitted from the company base case</w:t>
      </w:r>
      <w:r>
        <w:rPr>
          <w:rFonts w:asciiTheme="minorHAnsi" w:hAnsiTheme="minorHAnsi"/>
        </w:rPr>
        <w:t xml:space="preserve">. These included </w:t>
      </w:r>
      <w:r w:rsidRPr="00843720">
        <w:rPr>
          <w:rFonts w:asciiTheme="minorHAnsi" w:hAnsiTheme="minorHAnsi"/>
        </w:rPr>
        <w:t>NHS</w:t>
      </w:r>
      <w:r>
        <w:rPr>
          <w:rFonts w:asciiTheme="minorHAnsi" w:hAnsiTheme="minorHAnsi"/>
        </w:rPr>
        <w:t>-</w:t>
      </w:r>
      <w:r w:rsidRPr="00843720">
        <w:rPr>
          <w:rFonts w:asciiTheme="minorHAnsi" w:hAnsiTheme="minorHAnsi"/>
        </w:rPr>
        <w:t xml:space="preserve">supported travel costs to and from Milan, the cost of screening </w:t>
      </w:r>
      <w:r>
        <w:rPr>
          <w:rFonts w:asciiTheme="minorHAnsi" w:hAnsiTheme="minorHAnsi"/>
        </w:rPr>
        <w:t xml:space="preserve">patients </w:t>
      </w:r>
      <w:r w:rsidRPr="00843720">
        <w:rPr>
          <w:rFonts w:asciiTheme="minorHAnsi" w:hAnsiTheme="minorHAnsi"/>
        </w:rPr>
        <w:t xml:space="preserve">deemed unable to produce sufficient CD34+ cells, additional hospitalisation costs for patients whose length of stay exceeds 55 days and </w:t>
      </w:r>
      <w:r>
        <w:rPr>
          <w:rFonts w:asciiTheme="minorHAnsi" w:hAnsiTheme="minorHAnsi"/>
        </w:rPr>
        <w:t>transplantation</w:t>
      </w:r>
      <w:r w:rsidRPr="00843720">
        <w:rPr>
          <w:rFonts w:asciiTheme="minorHAnsi" w:hAnsiTheme="minorHAnsi"/>
        </w:rPr>
        <w:t xml:space="preserve"> of back up bone marrow</w:t>
      </w:r>
      <w:r>
        <w:rPr>
          <w:rFonts w:asciiTheme="minorHAnsi" w:hAnsiTheme="minorHAnsi"/>
        </w:rPr>
        <w:t xml:space="preserve"> after treatment failure or to facilitate recovery</w:t>
      </w:r>
      <w:r w:rsidRPr="00843720">
        <w:rPr>
          <w:rFonts w:asciiTheme="minorHAnsi" w:hAnsiTheme="minorHAnsi"/>
        </w:rPr>
        <w:t xml:space="preserve">.  </w:t>
      </w:r>
    </w:p>
    <w:p w:rsidR="00E111BE" w:rsidRDefault="00E111BE" w:rsidP="00843720">
      <w:pPr>
        <w:rPr>
          <w:rFonts w:asciiTheme="minorHAnsi" w:hAnsiTheme="minorHAnsi"/>
        </w:rPr>
      </w:pPr>
      <w:r>
        <w:rPr>
          <w:rFonts w:asciiTheme="minorHAnsi" w:hAnsiTheme="minorHAnsi"/>
        </w:rPr>
        <w:t>T</w:t>
      </w:r>
      <w:r w:rsidRPr="00843720">
        <w:rPr>
          <w:rFonts w:asciiTheme="minorHAnsi" w:hAnsiTheme="minorHAnsi"/>
        </w:rPr>
        <w:t>he cost per HSCT from a MUD and GvHD event in the company base case appe</w:t>
      </w:r>
      <w:r>
        <w:rPr>
          <w:rFonts w:asciiTheme="minorHAnsi" w:hAnsiTheme="minorHAnsi"/>
        </w:rPr>
        <w:t>ared to have been overestimated. For HSCT, the company applied a unit cost taken from the NHS main schedule of reference costs specific to cord blood transplants (£95,517).  The majority of stem cell transplants are sourced from bone marrow, which was the comparator noted in the scope, and which has a lower average cost in the NHS schedule (£79,199) than cord blood transplants.</w:t>
      </w:r>
      <w:r>
        <w:rPr>
          <w:rFonts w:asciiTheme="minorHAnsi" w:hAnsiTheme="minorHAnsi"/>
          <w:noProof/>
        </w:rPr>
        <w:t>[3, 31]</w:t>
      </w:r>
      <w:r w:rsidRPr="004F0845">
        <w:rPr>
          <w:rFonts w:asciiTheme="minorHAnsi" w:hAnsiTheme="minorHAnsi"/>
        </w:rPr>
        <w:t xml:space="preserve"> </w:t>
      </w:r>
      <w:r>
        <w:rPr>
          <w:rFonts w:asciiTheme="minorHAnsi" w:hAnsiTheme="minorHAnsi"/>
        </w:rPr>
        <w:t xml:space="preserve">The unit cost applied to GvHD events of any severity in the model was the mean difference in hospital readmission costs between patients without GvHD </w:t>
      </w:r>
      <w:r w:rsidRPr="00D61016">
        <w:rPr>
          <w:rFonts w:asciiTheme="minorHAnsi" w:hAnsiTheme="minorHAnsi"/>
        </w:rPr>
        <w:t>and th</w:t>
      </w:r>
      <w:r>
        <w:rPr>
          <w:rFonts w:asciiTheme="minorHAnsi" w:hAnsiTheme="minorHAnsi"/>
        </w:rPr>
        <w:t>ose</w:t>
      </w:r>
      <w:r w:rsidRPr="00D61016">
        <w:rPr>
          <w:rFonts w:asciiTheme="minorHAnsi" w:hAnsiTheme="minorHAnsi"/>
        </w:rPr>
        <w:t xml:space="preserve"> with severe (Grade III/IV) GvHD</w:t>
      </w:r>
      <w:r>
        <w:rPr>
          <w:rFonts w:asciiTheme="minorHAnsi" w:hAnsiTheme="minorHAnsi"/>
        </w:rPr>
        <w:t>.</w:t>
      </w:r>
      <w:r>
        <w:rPr>
          <w:rFonts w:asciiTheme="minorHAnsi" w:hAnsiTheme="minorHAnsi"/>
          <w:noProof/>
        </w:rPr>
        <w:t>[32]</w:t>
      </w:r>
      <w:r>
        <w:rPr>
          <w:rFonts w:asciiTheme="minorHAnsi" w:hAnsiTheme="minorHAnsi"/>
        </w:rPr>
        <w:t xml:space="preserve"> The same study provided a cost estimate for any GvHD event, which the ERG deemed more appropriate. </w:t>
      </w:r>
    </w:p>
    <w:p w:rsidR="00E111BE" w:rsidRDefault="00E111BE" w:rsidP="00843720">
      <w:pPr>
        <w:rPr>
          <w:rFonts w:asciiTheme="minorHAnsi" w:hAnsiTheme="minorHAnsi"/>
        </w:rPr>
      </w:pPr>
      <w:r w:rsidRPr="003E6130">
        <w:rPr>
          <w:rFonts w:asciiTheme="minorHAnsi" w:hAnsiTheme="minorHAnsi"/>
        </w:rPr>
        <w:t>T</w:t>
      </w:r>
      <w:r w:rsidRPr="00843720">
        <w:rPr>
          <w:rFonts w:asciiTheme="minorHAnsi" w:hAnsiTheme="minorHAnsi"/>
        </w:rPr>
        <w:t xml:space="preserve">he ERG </w:t>
      </w:r>
      <w:r>
        <w:rPr>
          <w:rFonts w:asciiTheme="minorHAnsi" w:hAnsiTheme="minorHAnsi"/>
        </w:rPr>
        <w:t>had concerns about</w:t>
      </w:r>
      <w:r w:rsidRPr="00843720">
        <w:rPr>
          <w:rFonts w:asciiTheme="minorHAnsi" w:hAnsiTheme="minorHAnsi"/>
        </w:rPr>
        <w:t xml:space="preserve"> </w:t>
      </w:r>
      <w:r>
        <w:rPr>
          <w:rFonts w:asciiTheme="minorHAnsi" w:hAnsiTheme="minorHAnsi"/>
        </w:rPr>
        <w:t xml:space="preserve">the company’s assumed 10 week differential in wait times between Strimvelis (9 weeks) and HSCT (19 weeks). The wait time for Strimvelis was based on the clinic schedule. During clarification the ERG requested information on the observed wait time among patients in the integrated population.  The company response indicated that the average wait time was 5.7 months between the decision to use Strimvelis and receipt of Strimvelis.  </w:t>
      </w:r>
    </w:p>
    <w:p w:rsidR="00E111BE" w:rsidRDefault="00E111BE" w:rsidP="00843720">
      <w:pPr>
        <w:rPr>
          <w:rFonts w:asciiTheme="minorHAnsi" w:hAnsiTheme="minorHAnsi"/>
        </w:rPr>
      </w:pPr>
      <w:r>
        <w:rPr>
          <w:rFonts w:asciiTheme="minorHAnsi" w:hAnsiTheme="minorHAnsi"/>
        </w:rPr>
        <w:t xml:space="preserve">The ERG identified two potentially relevant uncertainties in Strimvelis’ product cost. First, it was unclear whether VAT should be added to the fixed price in euros agreed between the company and NHS England. VAT may be payable dependent on </w:t>
      </w:r>
      <w:r w:rsidRPr="000E09C6">
        <w:rPr>
          <w:rFonts w:asciiTheme="minorHAnsi" w:hAnsiTheme="minorHAnsi"/>
        </w:rPr>
        <w:t>whether a patient arrives in Milan via the S2 or EU directive route</w:t>
      </w:r>
      <w:r>
        <w:rPr>
          <w:rFonts w:asciiTheme="minorHAnsi" w:hAnsiTheme="minorHAnsi"/>
        </w:rPr>
        <w:t>, and this was not decided at the time of appraisal. Second, the ERG deemed that the uncertainty in the exchange rate warranted consideration</w:t>
      </w:r>
      <w:r w:rsidRPr="000E09C6">
        <w:rPr>
          <w:rFonts w:asciiTheme="minorHAnsi" w:hAnsiTheme="minorHAnsi"/>
        </w:rPr>
        <w:t>.</w:t>
      </w:r>
    </w:p>
    <w:p w:rsidR="00E111BE" w:rsidRDefault="00E111BE" w:rsidP="00741B5B">
      <w:pPr>
        <w:rPr>
          <w:rFonts w:asciiTheme="minorHAnsi" w:hAnsiTheme="minorHAnsi"/>
          <w:i/>
        </w:rPr>
      </w:pPr>
      <w:r>
        <w:rPr>
          <w:rFonts w:asciiTheme="minorHAnsi" w:hAnsiTheme="minorHAnsi"/>
          <w:i/>
        </w:rPr>
        <w:t xml:space="preserve">3.4.4 </w:t>
      </w:r>
      <w:r w:rsidRPr="00FA63F9">
        <w:rPr>
          <w:rFonts w:asciiTheme="minorHAnsi" w:hAnsiTheme="minorHAnsi"/>
          <w:i/>
        </w:rPr>
        <w:t>Preferred Base Case</w:t>
      </w:r>
    </w:p>
    <w:p w:rsidR="00E111BE" w:rsidRDefault="00E111BE" w:rsidP="00741B5B">
      <w:pPr>
        <w:rPr>
          <w:rFonts w:asciiTheme="minorHAnsi" w:hAnsiTheme="minorHAnsi"/>
        </w:rPr>
      </w:pPr>
      <w:r>
        <w:rPr>
          <w:rFonts w:asciiTheme="minorHAnsi" w:hAnsiTheme="minorHAnsi"/>
        </w:rPr>
        <w:t>The ERG made a number of changes to the company model, combining scenario analyses provided by the company with those formed by the ERG, as shown in Table 1.</w:t>
      </w:r>
    </w:p>
    <w:p w:rsidR="00E111BE" w:rsidRDefault="00E111BE" w:rsidP="00F40257">
      <w:pPr>
        <w:jc w:val="center"/>
        <w:rPr>
          <w:rFonts w:asciiTheme="minorHAnsi" w:hAnsiTheme="minorHAnsi"/>
        </w:rPr>
      </w:pPr>
      <w:r>
        <w:rPr>
          <w:rFonts w:asciiTheme="minorHAnsi" w:hAnsiTheme="minorHAnsi"/>
        </w:rPr>
        <w:t>[Table 1]</w:t>
      </w:r>
    </w:p>
    <w:p w:rsidR="00E111BE" w:rsidRPr="00F40257" w:rsidRDefault="00E111BE" w:rsidP="00F40257">
      <w:pPr>
        <w:rPr>
          <w:rFonts w:asciiTheme="minorHAnsi" w:hAnsiTheme="minorHAnsi"/>
        </w:rPr>
      </w:pPr>
      <w:r w:rsidRPr="00F40257">
        <w:rPr>
          <w:rFonts w:asciiTheme="minorHAnsi" w:hAnsiTheme="minorHAnsi"/>
        </w:rPr>
        <w:t>The ERG’s base case predict</w:t>
      </w:r>
      <w:r>
        <w:rPr>
          <w:rFonts w:asciiTheme="minorHAnsi" w:hAnsiTheme="minorHAnsi"/>
        </w:rPr>
        <w:t>ed</w:t>
      </w:r>
      <w:r w:rsidRPr="00F40257">
        <w:rPr>
          <w:rFonts w:asciiTheme="minorHAnsi" w:hAnsiTheme="minorHAnsi"/>
        </w:rPr>
        <w:t xml:space="preserve"> lower QALYs for all three treatments compared to the company base case. This </w:t>
      </w:r>
      <w:r>
        <w:rPr>
          <w:rFonts w:asciiTheme="minorHAnsi" w:hAnsiTheme="minorHAnsi"/>
        </w:rPr>
        <w:t>was</w:t>
      </w:r>
      <w:r w:rsidRPr="00F40257">
        <w:rPr>
          <w:rFonts w:asciiTheme="minorHAnsi" w:hAnsiTheme="minorHAnsi"/>
        </w:rPr>
        <w:t xml:space="preserve"> due to increased mortality and morbidity associated with rescue transplants and the application of HRQoL</w:t>
      </w:r>
      <w:r>
        <w:rPr>
          <w:rFonts w:asciiTheme="minorHAnsi" w:hAnsiTheme="minorHAnsi"/>
        </w:rPr>
        <w:t xml:space="preserve"> </w:t>
      </w:r>
      <w:r w:rsidRPr="00F40257">
        <w:rPr>
          <w:rFonts w:asciiTheme="minorHAnsi" w:hAnsiTheme="minorHAnsi"/>
        </w:rPr>
        <w:t>decrements for IVIG use and bilateral hearing impairment</w:t>
      </w:r>
      <w:r>
        <w:rPr>
          <w:rFonts w:asciiTheme="minorHAnsi" w:hAnsiTheme="minorHAnsi"/>
        </w:rPr>
        <w:t xml:space="preserve"> in patients successfully treated with HSCT or Strimvelis</w:t>
      </w:r>
      <w:r w:rsidRPr="00F40257">
        <w:rPr>
          <w:rFonts w:asciiTheme="minorHAnsi" w:hAnsiTheme="minorHAnsi"/>
        </w:rPr>
        <w:t>. It predict</w:t>
      </w:r>
      <w:r>
        <w:rPr>
          <w:rFonts w:asciiTheme="minorHAnsi" w:hAnsiTheme="minorHAnsi"/>
        </w:rPr>
        <w:t>ed</w:t>
      </w:r>
      <w:r w:rsidRPr="00F40257">
        <w:rPr>
          <w:rFonts w:asciiTheme="minorHAnsi" w:hAnsiTheme="minorHAnsi"/>
        </w:rPr>
        <w:t xml:space="preserve"> higher costs for Strimvelis and HSCT from a </w:t>
      </w:r>
      <w:r w:rsidRPr="00F40257">
        <w:rPr>
          <w:rFonts w:asciiTheme="minorHAnsi" w:hAnsiTheme="minorHAnsi"/>
        </w:rPr>
        <w:lastRenderedPageBreak/>
        <w:t>haploidentical donor and lower costs for HSCT from a MUD.</w:t>
      </w:r>
      <w:r w:rsidRPr="00F40257">
        <w:rPr>
          <w:rFonts w:ascii="Times New Roman" w:eastAsiaTheme="minorEastAsia" w:hAnsi="Times New Roman"/>
        </w:rPr>
        <w:t xml:space="preserve"> </w:t>
      </w:r>
      <w:r w:rsidRPr="00F40257">
        <w:rPr>
          <w:rFonts w:asciiTheme="minorHAnsi" w:hAnsiTheme="minorHAnsi"/>
        </w:rPr>
        <w:t xml:space="preserve">This </w:t>
      </w:r>
      <w:r>
        <w:rPr>
          <w:rFonts w:asciiTheme="minorHAnsi" w:hAnsiTheme="minorHAnsi"/>
        </w:rPr>
        <w:t>was</w:t>
      </w:r>
      <w:r w:rsidRPr="00F40257">
        <w:rPr>
          <w:rFonts w:asciiTheme="minorHAnsi" w:hAnsiTheme="minorHAnsi"/>
        </w:rPr>
        <w:t xml:space="preserve"> attributable to </w:t>
      </w:r>
      <w:r>
        <w:rPr>
          <w:rFonts w:asciiTheme="minorHAnsi" w:hAnsiTheme="minorHAnsi"/>
        </w:rPr>
        <w:t xml:space="preserve">a correction in the calculation of </w:t>
      </w:r>
      <w:r w:rsidRPr="00F40257">
        <w:rPr>
          <w:rFonts w:asciiTheme="minorHAnsi" w:hAnsiTheme="minorHAnsi"/>
        </w:rPr>
        <w:t xml:space="preserve">rates of rescue transplant, combined with increased health care costs per rescue transplant to reflect risks of severe infection and GvHD, and the lower unit cost for HSCT from a MUD. </w:t>
      </w:r>
    </w:p>
    <w:p w:rsidR="00E111BE" w:rsidRPr="004D4A62" w:rsidRDefault="00E111BE" w:rsidP="00741B5B">
      <w:pPr>
        <w:rPr>
          <w:rFonts w:asciiTheme="minorHAnsi" w:hAnsiTheme="minorHAnsi"/>
        </w:rPr>
      </w:pPr>
      <w:r>
        <w:rPr>
          <w:rFonts w:asciiTheme="minorHAnsi" w:hAnsiTheme="minorHAnsi"/>
        </w:rPr>
        <w:t>The ERG’s base case ICERs were higher than those estimated by the company, at £86,815</w:t>
      </w:r>
      <w:r w:rsidR="003D688F">
        <w:rPr>
          <w:rFonts w:asciiTheme="minorHAnsi" w:hAnsiTheme="minorHAnsi"/>
        </w:rPr>
        <w:t xml:space="preserve"> per QALY gained</w:t>
      </w:r>
      <w:r>
        <w:rPr>
          <w:rFonts w:asciiTheme="minorHAnsi" w:hAnsiTheme="minorHAnsi"/>
        </w:rPr>
        <w:t xml:space="preserve"> for Strimvelis compared with HSCT from a MUD and £16,704 </w:t>
      </w:r>
      <w:r w:rsidR="003D688F">
        <w:rPr>
          <w:rFonts w:asciiTheme="minorHAnsi" w:hAnsiTheme="minorHAnsi"/>
        </w:rPr>
        <w:t xml:space="preserve">per QALY gained </w:t>
      </w:r>
      <w:r>
        <w:rPr>
          <w:rFonts w:asciiTheme="minorHAnsi" w:hAnsiTheme="minorHAnsi"/>
        </w:rPr>
        <w:t>compared with a haploidentical donor using a discount rate of 1.5%. Using the NICE reference case 3</w:t>
      </w:r>
      <w:r w:rsidRPr="003A362F">
        <w:rPr>
          <w:rFonts w:asciiTheme="minorHAnsi" w:hAnsiTheme="minorHAnsi"/>
        </w:rPr>
        <w:t>.5% discount rate, the ICER for Strimvelis compared with HSCT from a MUD was £</w:t>
      </w:r>
      <w:r>
        <w:rPr>
          <w:rFonts w:asciiTheme="minorHAnsi" w:hAnsiTheme="minorHAnsi"/>
        </w:rPr>
        <w:t>147</w:t>
      </w:r>
      <w:r w:rsidRPr="003A362F">
        <w:rPr>
          <w:rFonts w:asciiTheme="minorHAnsi" w:hAnsiTheme="minorHAnsi"/>
        </w:rPr>
        <w:t>,</w:t>
      </w:r>
      <w:r>
        <w:rPr>
          <w:rFonts w:asciiTheme="minorHAnsi" w:hAnsiTheme="minorHAnsi"/>
        </w:rPr>
        <w:t>834</w:t>
      </w:r>
      <w:r w:rsidRPr="003A362F">
        <w:rPr>
          <w:rFonts w:asciiTheme="minorHAnsi" w:hAnsiTheme="minorHAnsi"/>
        </w:rPr>
        <w:t xml:space="preserve"> </w:t>
      </w:r>
      <w:r w:rsidR="00F91115">
        <w:rPr>
          <w:rFonts w:asciiTheme="minorHAnsi" w:hAnsiTheme="minorHAnsi"/>
        </w:rPr>
        <w:t xml:space="preserve">per QALY gained </w:t>
      </w:r>
      <w:r w:rsidRPr="003A362F">
        <w:rPr>
          <w:rFonts w:asciiTheme="minorHAnsi" w:hAnsiTheme="minorHAnsi"/>
        </w:rPr>
        <w:t xml:space="preserve">and </w:t>
      </w:r>
      <w:r>
        <w:rPr>
          <w:rFonts w:asciiTheme="minorHAnsi" w:hAnsiTheme="minorHAnsi"/>
        </w:rPr>
        <w:t>£28,503</w:t>
      </w:r>
      <w:r w:rsidR="00F91115">
        <w:rPr>
          <w:rFonts w:asciiTheme="minorHAnsi" w:hAnsiTheme="minorHAnsi"/>
        </w:rPr>
        <w:t xml:space="preserve"> per QALY gained</w:t>
      </w:r>
      <w:r w:rsidRPr="003A362F">
        <w:rPr>
          <w:rFonts w:asciiTheme="minorHAnsi" w:hAnsiTheme="minorHAnsi"/>
        </w:rPr>
        <w:t xml:space="preserve"> when compared with HSCT from a haploidentical donor. </w:t>
      </w:r>
      <w:r>
        <w:rPr>
          <w:rFonts w:asciiTheme="minorHAnsi" w:hAnsiTheme="minorHAnsi"/>
        </w:rPr>
        <w:t xml:space="preserve"> The ICER for Strimvelis compared with HSCT from a MUD was very sensitive to the assumed difference in procedural mortality between the two treatments. Strimvelis </w:t>
      </w:r>
      <w:r w:rsidRPr="00796EA4">
        <w:rPr>
          <w:rFonts w:asciiTheme="minorHAnsi" w:hAnsiTheme="minorHAnsi"/>
        </w:rPr>
        <w:t>must</w:t>
      </w:r>
      <w:r>
        <w:rPr>
          <w:rFonts w:asciiTheme="minorHAnsi" w:hAnsiTheme="minorHAnsi"/>
        </w:rPr>
        <w:t xml:space="preserve"> reduce procedural mortality by at least 30 percentage points compared with HSCT from a MUD in order for the ICER to remain below £100,000 per QALY gained when using a 1.5% discount rate. The ICER was also sensitive to the rates of rescue transplants and </w:t>
      </w:r>
      <w:r w:rsidRPr="00196A48">
        <w:rPr>
          <w:rFonts w:asciiTheme="minorHAnsi" w:hAnsiTheme="minorHAnsi"/>
        </w:rPr>
        <w:t>the additional cost of Strimvelis</w:t>
      </w:r>
      <w:r>
        <w:rPr>
          <w:rFonts w:asciiTheme="minorHAnsi" w:hAnsiTheme="minorHAnsi"/>
        </w:rPr>
        <w:t>. The ICER</w:t>
      </w:r>
      <w:r w:rsidR="008A66B1">
        <w:rPr>
          <w:rFonts w:asciiTheme="minorHAnsi" w:hAnsiTheme="minorHAnsi"/>
        </w:rPr>
        <w:t>s</w:t>
      </w:r>
      <w:r>
        <w:rPr>
          <w:rFonts w:asciiTheme="minorHAnsi" w:hAnsiTheme="minorHAnsi"/>
        </w:rPr>
        <w:t xml:space="preserve"> for Strimvelis compared to HSCT </w:t>
      </w:r>
      <w:r w:rsidR="008A66B1">
        <w:rPr>
          <w:rFonts w:asciiTheme="minorHAnsi" w:hAnsiTheme="minorHAnsi"/>
        </w:rPr>
        <w:t xml:space="preserve">from a MUD or haploidentical donor </w:t>
      </w:r>
      <w:r>
        <w:rPr>
          <w:rFonts w:asciiTheme="minorHAnsi" w:hAnsiTheme="minorHAnsi"/>
        </w:rPr>
        <w:t>increased if search costs for a MUD are not avoided prior to Strimvelis treatment. It was anticipated that the ICER</w:t>
      </w:r>
      <w:r w:rsidR="008A66B1">
        <w:rPr>
          <w:rFonts w:asciiTheme="minorHAnsi" w:hAnsiTheme="minorHAnsi"/>
        </w:rPr>
        <w:t>s</w:t>
      </w:r>
      <w:r>
        <w:rPr>
          <w:rFonts w:asciiTheme="minorHAnsi" w:hAnsiTheme="minorHAnsi"/>
        </w:rPr>
        <w:t xml:space="preserve"> for Strimvelis compared to HSCT </w:t>
      </w:r>
      <w:r w:rsidR="008A66B1">
        <w:rPr>
          <w:rFonts w:asciiTheme="minorHAnsi" w:hAnsiTheme="minorHAnsi"/>
        </w:rPr>
        <w:t xml:space="preserve">from a MUD or haploidentical donor </w:t>
      </w:r>
      <w:r>
        <w:rPr>
          <w:rFonts w:asciiTheme="minorHAnsi" w:hAnsiTheme="minorHAnsi"/>
        </w:rPr>
        <w:t>may increase in patients that have a worse prognosis, including older patients and patients with active viral infection.</w:t>
      </w:r>
    </w:p>
    <w:p w:rsidR="00E111BE" w:rsidRPr="00A72C56" w:rsidRDefault="00E111BE" w:rsidP="00741B5B">
      <w:pPr>
        <w:rPr>
          <w:rFonts w:asciiTheme="minorHAnsi" w:hAnsiTheme="minorHAnsi"/>
          <w:b/>
        </w:rPr>
      </w:pPr>
      <w:r w:rsidRPr="00A72C56">
        <w:rPr>
          <w:rFonts w:asciiTheme="minorHAnsi" w:hAnsiTheme="minorHAnsi"/>
          <w:b/>
        </w:rPr>
        <w:t>3.</w:t>
      </w:r>
      <w:r>
        <w:rPr>
          <w:rFonts w:asciiTheme="minorHAnsi" w:hAnsiTheme="minorHAnsi"/>
          <w:b/>
        </w:rPr>
        <w:t>5</w:t>
      </w:r>
      <w:r w:rsidRPr="00A72C56">
        <w:rPr>
          <w:rFonts w:asciiTheme="minorHAnsi" w:hAnsiTheme="minorHAnsi"/>
          <w:b/>
        </w:rPr>
        <w:t xml:space="preserve"> Conclusions of the ERG’s </w:t>
      </w:r>
      <w:r>
        <w:rPr>
          <w:rFonts w:asciiTheme="minorHAnsi" w:hAnsiTheme="minorHAnsi"/>
          <w:b/>
        </w:rPr>
        <w:t>R</w:t>
      </w:r>
      <w:r w:rsidRPr="00A72C56">
        <w:rPr>
          <w:rFonts w:asciiTheme="minorHAnsi" w:hAnsiTheme="minorHAnsi"/>
          <w:b/>
        </w:rPr>
        <w:t>eview</w:t>
      </w:r>
    </w:p>
    <w:p w:rsidR="00E111BE" w:rsidRPr="005B5E2F" w:rsidRDefault="00E111BE" w:rsidP="00BA077D">
      <w:pPr>
        <w:rPr>
          <w:rFonts w:asciiTheme="minorHAnsi" w:hAnsiTheme="minorHAnsi"/>
        </w:rPr>
      </w:pPr>
      <w:r w:rsidRPr="005B5E2F">
        <w:rPr>
          <w:rFonts w:asciiTheme="minorHAnsi" w:hAnsiTheme="minorHAnsi"/>
        </w:rPr>
        <w:t xml:space="preserve">Overall survival was </w:t>
      </w:r>
      <w:r>
        <w:rPr>
          <w:rFonts w:asciiTheme="minorHAnsi" w:hAnsiTheme="minorHAnsi"/>
        </w:rPr>
        <w:t xml:space="preserve">100% for Strimvelis, </w:t>
      </w:r>
      <w:r w:rsidRPr="005B5E2F">
        <w:rPr>
          <w:rFonts w:asciiTheme="minorHAnsi" w:hAnsiTheme="minorHAnsi"/>
        </w:rPr>
        <w:t>substantially higher than historical comparator data</w:t>
      </w:r>
      <w:r>
        <w:rPr>
          <w:rFonts w:asciiTheme="minorHAnsi" w:hAnsiTheme="minorHAnsi"/>
        </w:rPr>
        <w:t>, and intervention</w:t>
      </w:r>
      <w:r w:rsidRPr="005B5E2F">
        <w:rPr>
          <w:rFonts w:asciiTheme="minorHAnsi" w:hAnsiTheme="minorHAnsi"/>
        </w:rPr>
        <w:t xml:space="preserve"> free survival </w:t>
      </w:r>
      <w:r>
        <w:rPr>
          <w:rFonts w:asciiTheme="minorHAnsi" w:hAnsiTheme="minorHAnsi"/>
        </w:rPr>
        <w:t>was 82.3%. However, the ERG was concerned that the extent of the estimated treatment benefit is highly uncertain due to the small patient numbers.  The ERG considered that the company base case omitted potentially important costs associated with the use of Strimvelis and may have overestimated some costs associated with the comparator treatments. The ERG was also concerned by some of the assumptions in the model, in particular that all patients who survive the initial procedure are cured and return to general population mortality and morbidity. The ERG’s preferred base case suggested that Strimvelis is cost-effective</w:t>
      </w:r>
      <w:r w:rsidRPr="00E86F1A">
        <w:rPr>
          <w:rFonts w:asciiTheme="minorHAnsi" w:hAnsiTheme="minorHAnsi"/>
        </w:rPr>
        <w:t xml:space="preserve">, with respect to NICE’s £100,000 </w:t>
      </w:r>
      <w:r>
        <w:rPr>
          <w:rFonts w:asciiTheme="minorHAnsi" w:hAnsiTheme="minorHAnsi"/>
        </w:rPr>
        <w:t>lower tier</w:t>
      </w:r>
      <w:r w:rsidRPr="00E86F1A">
        <w:rPr>
          <w:rFonts w:asciiTheme="minorHAnsi" w:hAnsiTheme="minorHAnsi"/>
        </w:rPr>
        <w:t xml:space="preserve"> threshold for HSTs</w:t>
      </w:r>
      <w:r>
        <w:rPr>
          <w:rFonts w:asciiTheme="minorHAnsi" w:hAnsiTheme="minorHAnsi"/>
        </w:rPr>
        <w:t>, for patients that have no MUD available, and in whom HSCT from a haploidentical donor is the only alternative. However, improvements in techniques that increase overall survival after HSCT from a MUD or the occurrence of a death in a patient treated with Strimvelis could cause the ICER for Strimvelis compared with HSCT from a MUD to exceed £100,000 per QALY gained.</w:t>
      </w:r>
    </w:p>
    <w:p w:rsidR="00E111BE" w:rsidRPr="005B5E2F" w:rsidRDefault="00E111BE" w:rsidP="00741B5B">
      <w:pPr>
        <w:rPr>
          <w:rFonts w:asciiTheme="minorHAnsi" w:hAnsiTheme="minorHAnsi"/>
          <w:b/>
        </w:rPr>
      </w:pPr>
      <w:r w:rsidRPr="005B5E2F">
        <w:rPr>
          <w:rFonts w:asciiTheme="minorHAnsi" w:hAnsiTheme="minorHAnsi"/>
          <w:b/>
        </w:rPr>
        <w:t>4 National Institute for Health and Care Excellence (NICE) Guidance</w:t>
      </w:r>
    </w:p>
    <w:p w:rsidR="00E111BE" w:rsidRDefault="00E111BE" w:rsidP="00E07F91">
      <w:pPr>
        <w:rPr>
          <w:rFonts w:asciiTheme="minorHAnsi" w:hAnsiTheme="minorHAnsi"/>
        </w:rPr>
      </w:pPr>
      <w:r>
        <w:rPr>
          <w:rFonts w:asciiTheme="minorHAnsi" w:hAnsiTheme="minorHAnsi"/>
        </w:rPr>
        <w:t>The HST Evaluation Committee considered the ERG report alongside evidence submitted by the manufacturer and the views of parents or carers of patients, patient representatives and clinical experts.</w:t>
      </w:r>
      <w:r>
        <w:rPr>
          <w:rFonts w:asciiTheme="minorHAnsi" w:hAnsiTheme="minorHAnsi"/>
          <w:noProof/>
        </w:rPr>
        <w:t>[33]</w:t>
      </w:r>
      <w:r>
        <w:rPr>
          <w:rFonts w:asciiTheme="minorHAnsi" w:hAnsiTheme="minorHAnsi"/>
        </w:rPr>
        <w:t xml:space="preserve"> </w:t>
      </w:r>
    </w:p>
    <w:p w:rsidR="00E111BE" w:rsidRDefault="00E111BE" w:rsidP="00E07F91">
      <w:pPr>
        <w:rPr>
          <w:rFonts w:asciiTheme="minorHAnsi" w:hAnsiTheme="minorHAnsi"/>
        </w:rPr>
      </w:pPr>
      <w:r>
        <w:rPr>
          <w:rFonts w:asciiTheme="minorHAnsi" w:hAnsiTheme="minorHAnsi"/>
        </w:rPr>
        <w:t>The committee considered the approach to the clinical effectiveness evidence taken by the company to be appropriate. Despite uncertainty on overall survival, it was decided that survival rates are higher with Strimvelis than the comparators and that data on intervention-free survival, while important, cannot be easily compared with HSCT. In terms of differences with the eligible population, the committee concluded that patients in clinical practice may be younger than those in the evidence presented, potentially leading to greater efficacy.</w:t>
      </w:r>
    </w:p>
    <w:p w:rsidR="00E111BE" w:rsidRDefault="00E111BE" w:rsidP="00E07F91">
      <w:pPr>
        <w:rPr>
          <w:rFonts w:asciiTheme="minorHAnsi" w:hAnsiTheme="minorHAnsi"/>
        </w:rPr>
      </w:pPr>
      <w:r>
        <w:rPr>
          <w:rFonts w:asciiTheme="minorHAnsi" w:hAnsiTheme="minorHAnsi"/>
        </w:rPr>
        <w:t xml:space="preserve">The committee disagreed with the ERG on the position of Strimvelis in the treatment pathway, after hearing from clinical experts that they would perform a database search for a MUD (but not contact </w:t>
      </w:r>
      <w:r>
        <w:rPr>
          <w:rFonts w:asciiTheme="minorHAnsi" w:hAnsiTheme="minorHAnsi"/>
        </w:rPr>
        <w:lastRenderedPageBreak/>
        <w:t xml:space="preserve">and test donors) before the decision to use Strimvelis is made. A database search is quick, with the main costs and wait time of finding a MUD incurred during contacting and testing potential donors. The committee also heard from experts that it would not be possible to receive Strimvelis as a rescue treatment after failure of HSCT and so concluded that the pathway used by the company was appropriate.  </w:t>
      </w:r>
    </w:p>
    <w:p w:rsidR="00E111BE" w:rsidRDefault="00E111BE" w:rsidP="00E07F91">
      <w:pPr>
        <w:rPr>
          <w:rFonts w:asciiTheme="minorHAnsi" w:hAnsiTheme="minorHAnsi"/>
        </w:rPr>
      </w:pPr>
      <w:r>
        <w:rPr>
          <w:rFonts w:asciiTheme="minorHAnsi" w:hAnsiTheme="minorHAnsi"/>
        </w:rPr>
        <w:t>The committee agreed with the company that it was appropriate to exclude data from the NPP from the economic model due to differences with the population likely to receive Strimvelis in clinical practice, and that costs associated with bilateral hearing impairment should not be included.  It also decided that a higher survival rate from HSCT with a MUD should be used to reflect the uncertainty and likely underestimate of the historical comparator data,</w:t>
      </w:r>
      <w:r>
        <w:rPr>
          <w:rFonts w:asciiTheme="minorHAnsi" w:hAnsiTheme="minorHAnsi"/>
          <w:noProof/>
        </w:rPr>
        <w:t>[3]</w:t>
      </w:r>
      <w:r>
        <w:rPr>
          <w:rFonts w:asciiTheme="minorHAnsi" w:hAnsiTheme="minorHAnsi"/>
        </w:rPr>
        <w:t xml:space="preserve"> and agreed on a value of 72.5%. Table 2 presents the associated costs, effects and cost-effectiveness in the committee’s preferred model.</w:t>
      </w:r>
    </w:p>
    <w:p w:rsidR="00E111BE" w:rsidRDefault="00E111BE" w:rsidP="00032341">
      <w:pPr>
        <w:jc w:val="center"/>
        <w:rPr>
          <w:rFonts w:asciiTheme="minorHAnsi" w:hAnsiTheme="minorHAnsi"/>
        </w:rPr>
      </w:pPr>
      <w:r>
        <w:rPr>
          <w:rFonts w:asciiTheme="minorHAnsi" w:hAnsiTheme="minorHAnsi"/>
        </w:rPr>
        <w:t>[Table 2]</w:t>
      </w:r>
    </w:p>
    <w:p w:rsidR="00E111BE" w:rsidRDefault="00E111BE" w:rsidP="00F42ABF">
      <w:pPr>
        <w:rPr>
          <w:rFonts w:asciiTheme="minorHAnsi" w:hAnsiTheme="minorHAnsi"/>
        </w:rPr>
      </w:pPr>
      <w:r>
        <w:rPr>
          <w:rFonts w:asciiTheme="minorHAnsi" w:hAnsiTheme="minorHAnsi"/>
        </w:rPr>
        <w:t>The committee had concerns about whether Strimvelis fulfilled NICE’s criteria for using a 1.5% discount rate</w:t>
      </w:r>
      <w:r>
        <w:rPr>
          <w:rFonts w:asciiTheme="minorHAnsi" w:hAnsiTheme="minorHAnsi"/>
          <w:noProof/>
        </w:rPr>
        <w:t>[1]</w:t>
      </w:r>
      <w:r>
        <w:rPr>
          <w:rFonts w:asciiTheme="minorHAnsi" w:hAnsiTheme="minorHAnsi"/>
        </w:rPr>
        <w:t xml:space="preserve"> and considered both a 1.5% and 3.5% rate. The analysis using the committee’s preferred assumptions with a 1.5% discount rate gave ICERs of £74,430 </w:t>
      </w:r>
      <w:r w:rsidR="00F91115">
        <w:rPr>
          <w:rFonts w:asciiTheme="minorHAnsi" w:hAnsiTheme="minorHAnsi"/>
        </w:rPr>
        <w:t xml:space="preserve">per QALY gained </w:t>
      </w:r>
      <w:r>
        <w:rPr>
          <w:rFonts w:asciiTheme="minorHAnsi" w:hAnsiTheme="minorHAnsi"/>
        </w:rPr>
        <w:t xml:space="preserve">for Strimvelis compared with HSCT from a MUD and Strimvelis was dominant when compared with HSCT from a haploidentical donor. Using a 3.5% discount rate, the ICER for Strimvelis compared with HSCT from a MUD was £120,506 </w:t>
      </w:r>
      <w:r w:rsidR="00F91115">
        <w:rPr>
          <w:rFonts w:asciiTheme="minorHAnsi" w:hAnsiTheme="minorHAnsi"/>
        </w:rPr>
        <w:t xml:space="preserve">per QALY gained </w:t>
      </w:r>
      <w:r>
        <w:rPr>
          <w:rFonts w:asciiTheme="minorHAnsi" w:hAnsiTheme="minorHAnsi"/>
        </w:rPr>
        <w:t xml:space="preserve">and £12,106 </w:t>
      </w:r>
      <w:r w:rsidR="00F91115">
        <w:rPr>
          <w:rFonts w:asciiTheme="minorHAnsi" w:hAnsiTheme="minorHAnsi"/>
        </w:rPr>
        <w:t xml:space="preserve">per QALY gained </w:t>
      </w:r>
      <w:r>
        <w:rPr>
          <w:rFonts w:asciiTheme="minorHAnsi" w:hAnsiTheme="minorHAnsi"/>
        </w:rPr>
        <w:t>for Strimvelis compared with HSCT from a haploidentical donor.</w:t>
      </w:r>
      <w:r w:rsidRPr="00A04078">
        <w:rPr>
          <w:rFonts w:asciiTheme="minorHAnsi" w:hAnsiTheme="minorHAnsi"/>
        </w:rPr>
        <w:t xml:space="preserve"> </w:t>
      </w:r>
      <w:r>
        <w:rPr>
          <w:rFonts w:asciiTheme="minorHAnsi" w:hAnsiTheme="minorHAnsi"/>
        </w:rPr>
        <w:t>The committee also considered a scenario in which rescue rates were equal between treatments; the ICERs for Strimvelis compared with HSCT from a MUD were lower in this scenario and the ICERs for Strimvelis compared with a haploidentical donor remained under £100,000</w:t>
      </w:r>
      <w:r w:rsidR="00F91115">
        <w:rPr>
          <w:rFonts w:asciiTheme="minorHAnsi" w:hAnsiTheme="minorHAnsi"/>
        </w:rPr>
        <w:t xml:space="preserve"> per QALY gained</w:t>
      </w:r>
      <w:r>
        <w:rPr>
          <w:rFonts w:asciiTheme="minorHAnsi" w:hAnsiTheme="minorHAnsi"/>
        </w:rPr>
        <w:t>.  As the committee believed Strimvelis offers undiscounted QALY gains of at least 14.0 compared with HSCT from a MUD, they applied a QALY weighting of 1.4 to this comparison, in accordance with the HST programme process.</w:t>
      </w:r>
      <w:r>
        <w:rPr>
          <w:rFonts w:asciiTheme="minorHAnsi" w:hAnsiTheme="minorHAnsi"/>
          <w:noProof/>
        </w:rPr>
        <w:t>[1]</w:t>
      </w:r>
    </w:p>
    <w:p w:rsidR="00E111BE" w:rsidRDefault="00E111BE" w:rsidP="00E07F91">
      <w:pPr>
        <w:rPr>
          <w:rFonts w:asciiTheme="minorHAnsi" w:hAnsiTheme="minorHAnsi"/>
        </w:rPr>
      </w:pPr>
      <w:r>
        <w:rPr>
          <w:rFonts w:asciiTheme="minorHAnsi" w:hAnsiTheme="minorHAnsi"/>
        </w:rPr>
        <w:t xml:space="preserve">The committee believed that the most plausible ICERs for Strimvelis compared with HSCT from a MUD or haploidentical donor were lower </w:t>
      </w:r>
      <w:r w:rsidRPr="00E86F1A">
        <w:rPr>
          <w:rFonts w:asciiTheme="minorHAnsi" w:hAnsiTheme="minorHAnsi"/>
        </w:rPr>
        <w:t>than the £100,000</w:t>
      </w:r>
      <w:r w:rsidR="00F91115">
        <w:rPr>
          <w:rFonts w:asciiTheme="minorHAnsi" w:hAnsiTheme="minorHAnsi"/>
        </w:rPr>
        <w:t xml:space="preserve"> per QALY gained</w:t>
      </w:r>
      <w:r w:rsidRPr="00E86F1A">
        <w:rPr>
          <w:rFonts w:asciiTheme="minorHAnsi" w:hAnsiTheme="minorHAnsi"/>
        </w:rPr>
        <w:t xml:space="preserve"> threshold</w:t>
      </w:r>
      <w:r>
        <w:rPr>
          <w:rFonts w:asciiTheme="minorHAnsi" w:hAnsiTheme="minorHAnsi"/>
        </w:rPr>
        <w:t>.</w:t>
      </w:r>
      <w:r w:rsidRPr="00A04078">
        <w:rPr>
          <w:rFonts w:asciiTheme="minorHAnsi" w:hAnsiTheme="minorHAnsi"/>
        </w:rPr>
        <w:t xml:space="preserve"> </w:t>
      </w:r>
      <w:r>
        <w:rPr>
          <w:rFonts w:asciiTheme="minorHAnsi" w:hAnsiTheme="minorHAnsi"/>
        </w:rPr>
        <w:t>While acknowledging the high cost of Strimvelis and some uncertainty in both the clinical and cost-effectiveness evidence provided, the committee considered Strimvelis to be an effective treatment that provides value for money.</w:t>
      </w:r>
    </w:p>
    <w:p w:rsidR="00E111BE" w:rsidRDefault="00E111BE" w:rsidP="00FA3DC4">
      <w:pPr>
        <w:rPr>
          <w:rFonts w:asciiTheme="minorHAnsi" w:hAnsiTheme="minorHAnsi"/>
        </w:rPr>
      </w:pPr>
      <w:r>
        <w:rPr>
          <w:rFonts w:asciiTheme="minorHAnsi" w:hAnsiTheme="minorHAnsi"/>
        </w:rPr>
        <w:t>After consultation on preliminary guidance, NICE issued the following final guidance on the use of Strimvelis:</w:t>
      </w:r>
    </w:p>
    <w:p w:rsidR="00E111BE" w:rsidRDefault="00E111BE" w:rsidP="00E52F2B">
      <w:pPr>
        <w:ind w:left="720"/>
        <w:rPr>
          <w:rFonts w:asciiTheme="minorHAnsi" w:hAnsiTheme="minorHAnsi"/>
        </w:rPr>
      </w:pPr>
      <w:r>
        <w:rPr>
          <w:rFonts w:asciiTheme="minorHAnsi" w:hAnsiTheme="minorHAnsi"/>
        </w:rPr>
        <w:t>“</w:t>
      </w:r>
      <w:r w:rsidRPr="00D434B8">
        <w:rPr>
          <w:rFonts w:asciiTheme="minorHAnsi" w:hAnsiTheme="minorHAnsi"/>
        </w:rPr>
        <w:t>Strimvelis is recommended, within its marketing authorisation, as an</w:t>
      </w:r>
      <w:r>
        <w:rPr>
          <w:rFonts w:asciiTheme="minorHAnsi" w:hAnsiTheme="minorHAnsi"/>
        </w:rPr>
        <w:t xml:space="preserve"> </w:t>
      </w:r>
      <w:r w:rsidRPr="00D434B8">
        <w:rPr>
          <w:rFonts w:asciiTheme="minorHAnsi" w:hAnsiTheme="minorHAnsi"/>
        </w:rPr>
        <w:t>option for treating adenosine deaminase deficiency–severe combined</w:t>
      </w:r>
      <w:r>
        <w:rPr>
          <w:rFonts w:asciiTheme="minorHAnsi" w:hAnsiTheme="minorHAnsi"/>
        </w:rPr>
        <w:t xml:space="preserve"> </w:t>
      </w:r>
      <w:r w:rsidRPr="00D434B8">
        <w:rPr>
          <w:rFonts w:asciiTheme="minorHAnsi" w:hAnsiTheme="minorHAnsi"/>
        </w:rPr>
        <w:t>immunodeficiency (ADA–SCID) when no suitable human leukocyte</w:t>
      </w:r>
      <w:r>
        <w:rPr>
          <w:rFonts w:asciiTheme="minorHAnsi" w:hAnsiTheme="minorHAnsi"/>
        </w:rPr>
        <w:t xml:space="preserve"> </w:t>
      </w:r>
      <w:r w:rsidRPr="00D434B8">
        <w:rPr>
          <w:rFonts w:asciiTheme="minorHAnsi" w:hAnsiTheme="minorHAnsi"/>
        </w:rPr>
        <w:t>antigen-matched related stem cell donor is available.</w:t>
      </w:r>
      <w:r>
        <w:rPr>
          <w:rFonts w:asciiTheme="minorHAnsi" w:hAnsiTheme="minorHAnsi"/>
        </w:rPr>
        <w:t>”</w:t>
      </w:r>
      <w:r>
        <w:rPr>
          <w:rFonts w:asciiTheme="minorHAnsi" w:hAnsiTheme="minorHAnsi"/>
          <w:noProof/>
        </w:rPr>
        <w:t>[34]</w:t>
      </w:r>
    </w:p>
    <w:p w:rsidR="00E111BE" w:rsidRPr="005B5E2F" w:rsidRDefault="00E111BE" w:rsidP="00741B5B">
      <w:pPr>
        <w:rPr>
          <w:rFonts w:asciiTheme="minorHAnsi" w:hAnsiTheme="minorHAnsi"/>
        </w:rPr>
      </w:pPr>
    </w:p>
    <w:p w:rsidR="00E111BE" w:rsidRDefault="00E111BE" w:rsidP="00741B5B">
      <w:pPr>
        <w:rPr>
          <w:rFonts w:asciiTheme="minorHAnsi" w:hAnsiTheme="minorHAnsi"/>
          <w:b/>
        </w:rPr>
      </w:pPr>
      <w:r w:rsidRPr="005B5E2F">
        <w:rPr>
          <w:rFonts w:asciiTheme="minorHAnsi" w:hAnsiTheme="minorHAnsi"/>
          <w:b/>
        </w:rPr>
        <w:t>5 ERG Conclusion</w:t>
      </w:r>
    </w:p>
    <w:p w:rsidR="00E111BE" w:rsidRDefault="00E111BE" w:rsidP="00741B5B">
      <w:pPr>
        <w:rPr>
          <w:rFonts w:asciiTheme="minorHAnsi" w:hAnsiTheme="minorHAnsi"/>
        </w:rPr>
      </w:pPr>
      <w:r>
        <w:rPr>
          <w:rFonts w:asciiTheme="minorHAnsi" w:hAnsiTheme="minorHAnsi"/>
        </w:rPr>
        <w:t xml:space="preserve">This HST evaluation highlighted the importance of recommendations being informed by an independent ERG critique of the evidence. In this case, the ERG identified several important limitations to the data presented and </w:t>
      </w:r>
      <w:r w:rsidRPr="00C068FC">
        <w:rPr>
          <w:rFonts w:asciiTheme="minorHAnsi" w:hAnsiTheme="minorHAnsi"/>
        </w:rPr>
        <w:t>was able to critique the economic model and provide additional analyses using the best available evidence.</w:t>
      </w:r>
      <w:r>
        <w:rPr>
          <w:rFonts w:asciiTheme="minorHAnsi" w:hAnsiTheme="minorHAnsi"/>
        </w:rPr>
        <w:t xml:space="preserve"> </w:t>
      </w:r>
    </w:p>
    <w:p w:rsidR="00E111BE" w:rsidRDefault="00E111BE" w:rsidP="00064E0F">
      <w:pPr>
        <w:rPr>
          <w:rFonts w:asciiTheme="minorHAnsi" w:hAnsiTheme="minorHAnsi"/>
        </w:rPr>
      </w:pPr>
      <w:r w:rsidRPr="00465DB7">
        <w:rPr>
          <w:rFonts w:asciiTheme="minorHAnsi" w:hAnsiTheme="minorHAnsi"/>
        </w:rPr>
        <w:t xml:space="preserve">There </w:t>
      </w:r>
      <w:r>
        <w:rPr>
          <w:rFonts w:asciiTheme="minorHAnsi" w:hAnsiTheme="minorHAnsi"/>
        </w:rPr>
        <w:t>were</w:t>
      </w:r>
      <w:r w:rsidRPr="00465DB7">
        <w:rPr>
          <w:rFonts w:asciiTheme="minorHAnsi" w:hAnsiTheme="minorHAnsi"/>
        </w:rPr>
        <w:t xml:space="preserve"> a number of general issues arising from the HST</w:t>
      </w:r>
      <w:r>
        <w:rPr>
          <w:rFonts w:asciiTheme="minorHAnsi" w:hAnsiTheme="minorHAnsi"/>
        </w:rPr>
        <w:t xml:space="preserve"> evaluation</w:t>
      </w:r>
      <w:r w:rsidRPr="00465DB7">
        <w:rPr>
          <w:rFonts w:asciiTheme="minorHAnsi" w:hAnsiTheme="minorHAnsi"/>
        </w:rPr>
        <w:t xml:space="preserve"> which may be of importance in other cases</w:t>
      </w:r>
      <w:r>
        <w:rPr>
          <w:rFonts w:asciiTheme="minorHAnsi" w:hAnsiTheme="minorHAnsi"/>
        </w:rPr>
        <w:t>, including evaluations of other gene therapy treatments</w:t>
      </w:r>
      <w:r w:rsidRPr="00465DB7">
        <w:rPr>
          <w:rFonts w:asciiTheme="minorHAnsi" w:hAnsiTheme="minorHAnsi"/>
        </w:rPr>
        <w:t>. Firstly, it highlight</w:t>
      </w:r>
      <w:r>
        <w:rPr>
          <w:rFonts w:asciiTheme="minorHAnsi" w:hAnsiTheme="minorHAnsi"/>
        </w:rPr>
        <w:t>ed</w:t>
      </w:r>
      <w:r w:rsidRPr="00465DB7">
        <w:rPr>
          <w:rFonts w:asciiTheme="minorHAnsi" w:hAnsiTheme="minorHAnsi"/>
        </w:rPr>
        <w:t xml:space="preserve"> the </w:t>
      </w:r>
      <w:r w:rsidRPr="00465DB7">
        <w:rPr>
          <w:rFonts w:asciiTheme="minorHAnsi" w:hAnsiTheme="minorHAnsi"/>
        </w:rPr>
        <w:lastRenderedPageBreak/>
        <w:t xml:space="preserve">challenges of appraising clinical and cost-effectiveness evidence on very rare conditions. </w:t>
      </w:r>
      <w:r>
        <w:rPr>
          <w:rFonts w:asciiTheme="minorHAnsi" w:hAnsiTheme="minorHAnsi"/>
        </w:rPr>
        <w:t xml:space="preserve">Conclusions were </w:t>
      </w:r>
      <w:r w:rsidRPr="00465DB7">
        <w:rPr>
          <w:rFonts w:asciiTheme="minorHAnsi" w:hAnsiTheme="minorHAnsi"/>
        </w:rPr>
        <w:t xml:space="preserve">highly sensitive to </w:t>
      </w:r>
      <w:r>
        <w:rPr>
          <w:rFonts w:asciiTheme="minorHAnsi" w:hAnsiTheme="minorHAnsi"/>
        </w:rPr>
        <w:t xml:space="preserve">the </w:t>
      </w:r>
      <w:r w:rsidRPr="00465DB7">
        <w:rPr>
          <w:rFonts w:asciiTheme="minorHAnsi" w:hAnsiTheme="minorHAnsi"/>
        </w:rPr>
        <w:t xml:space="preserve">interpretation of very limited data. </w:t>
      </w:r>
      <w:r>
        <w:rPr>
          <w:rFonts w:asciiTheme="minorHAnsi" w:hAnsiTheme="minorHAnsi"/>
        </w:rPr>
        <w:t xml:space="preserve">Evidence on Strimvelis relied on single arm studies with very small patient numbers and historical comparator data. This resulted in a high level of uncertainty both in terms of the inherent risk of bias associated with this study design and a lack of precision due to small sample sizes for both Strimvelis and historical comparators. Each patient treated could have a large influence on estimates of overall survival and treatment success. Given the rarity of the disease, there were also some issues with the representativeness of the population that had received Strimvelis to the eligible population in England. While there is a well-developed methodological literature for evaluating randomised controlled trials in much larger patient populations, there is less guidance on assessing study designs most appropriate for evaluating </w:t>
      </w:r>
      <w:r w:rsidR="002D4B84">
        <w:rPr>
          <w:rFonts w:asciiTheme="minorHAnsi" w:hAnsiTheme="minorHAnsi"/>
        </w:rPr>
        <w:t xml:space="preserve">specialised </w:t>
      </w:r>
      <w:r>
        <w:rPr>
          <w:rFonts w:asciiTheme="minorHAnsi" w:hAnsiTheme="minorHAnsi"/>
        </w:rPr>
        <w:t>technologies in rare conditions.</w:t>
      </w:r>
      <w:r w:rsidRPr="00480292">
        <w:rPr>
          <w:rFonts w:asciiTheme="minorHAnsi" w:hAnsiTheme="minorHAnsi"/>
        </w:rPr>
        <w:t xml:space="preserve"> </w:t>
      </w:r>
      <w:r>
        <w:rPr>
          <w:rFonts w:asciiTheme="minorHAnsi" w:hAnsiTheme="minorHAnsi"/>
        </w:rPr>
        <w:t>Therefore, extensive reflection and careful judgement were required to assess whether appropriate methods were used to minimise confounding and other biases.</w:t>
      </w:r>
    </w:p>
    <w:p w:rsidR="00E111BE" w:rsidRPr="00F86215" w:rsidRDefault="00E111BE" w:rsidP="00064E0F">
      <w:pPr>
        <w:rPr>
          <w:rFonts w:asciiTheme="minorHAnsi" w:hAnsiTheme="minorHAnsi"/>
        </w:rPr>
      </w:pPr>
      <w:r>
        <w:rPr>
          <w:rFonts w:asciiTheme="minorHAnsi" w:hAnsiTheme="minorHAnsi"/>
        </w:rPr>
        <w:t>Secondly, it highlighted the value of up to date published data on treatment outcomes for rare conditions, particularly in treatments such as HSCT where outcomes are improving rapidly.  Obtaining contemporary evidence to inform survival rates was challenging and an update to the latest analysis would have been very valuable in determining whether Strimvelis could be con</w:t>
      </w:r>
      <w:r w:rsidRPr="00F86215">
        <w:rPr>
          <w:rFonts w:asciiTheme="minorHAnsi" w:hAnsiTheme="minorHAnsi"/>
        </w:rPr>
        <w:t xml:space="preserve">sidered cost-effective. It also </w:t>
      </w:r>
      <w:r>
        <w:rPr>
          <w:rFonts w:asciiTheme="minorHAnsi" w:hAnsiTheme="minorHAnsi"/>
        </w:rPr>
        <w:t>emphasised</w:t>
      </w:r>
      <w:r w:rsidRPr="00F86215">
        <w:rPr>
          <w:rFonts w:asciiTheme="minorHAnsi" w:hAnsiTheme="minorHAnsi"/>
        </w:rPr>
        <w:t xml:space="preserve"> the importance of consulting with experts in the relevant field of medicine to obtain up to date survival estimates. </w:t>
      </w:r>
    </w:p>
    <w:p w:rsidR="00E111BE" w:rsidRPr="00F86215" w:rsidRDefault="00E111BE" w:rsidP="00741B5B">
      <w:pPr>
        <w:rPr>
          <w:rFonts w:asciiTheme="minorHAnsi" w:hAnsiTheme="minorHAnsi"/>
        </w:rPr>
      </w:pPr>
      <w:r w:rsidRPr="00F86215">
        <w:rPr>
          <w:rFonts w:asciiTheme="minorHAnsi" w:hAnsiTheme="minorHAnsi"/>
        </w:rPr>
        <w:t>Thirdly, it raise</w:t>
      </w:r>
      <w:r>
        <w:rPr>
          <w:rFonts w:asciiTheme="minorHAnsi" w:hAnsiTheme="minorHAnsi"/>
        </w:rPr>
        <w:t>d</w:t>
      </w:r>
      <w:r w:rsidRPr="00F86215">
        <w:rPr>
          <w:rFonts w:asciiTheme="minorHAnsi" w:hAnsiTheme="minorHAnsi"/>
        </w:rPr>
        <w:t xml:space="preserve"> questions over the relative usefulness of overall survival as a key outcome, when relying on small, single arm trials of this nature. Some patients were counted as a treatment success despite having to receive an alternative treatment, without which they may have died. The ERG considered the intervention free survival rate to be a better assessment of effectiveness</w:t>
      </w:r>
      <w:r>
        <w:rPr>
          <w:rFonts w:asciiTheme="minorHAnsi" w:hAnsiTheme="minorHAnsi"/>
        </w:rPr>
        <w:t>.</w:t>
      </w:r>
    </w:p>
    <w:p w:rsidR="00E111BE" w:rsidRPr="00F86215" w:rsidRDefault="00E111BE" w:rsidP="00695149">
      <w:pPr>
        <w:rPr>
          <w:rFonts w:asciiTheme="minorHAnsi" w:hAnsiTheme="minorHAnsi"/>
        </w:rPr>
      </w:pPr>
      <w:r w:rsidRPr="00F86215">
        <w:rPr>
          <w:rFonts w:asciiTheme="minorHAnsi" w:hAnsiTheme="minorHAnsi"/>
        </w:rPr>
        <w:t xml:space="preserve">Finally, </w:t>
      </w:r>
      <w:r>
        <w:rPr>
          <w:rFonts w:asciiTheme="minorHAnsi" w:hAnsiTheme="minorHAnsi"/>
        </w:rPr>
        <w:t>the ERG</w:t>
      </w:r>
      <w:r w:rsidRPr="00F86215">
        <w:rPr>
          <w:rFonts w:asciiTheme="minorHAnsi" w:hAnsiTheme="minorHAnsi"/>
        </w:rPr>
        <w:t xml:space="preserve"> raised the possibility of Strimvelis being offered </w:t>
      </w:r>
      <w:r>
        <w:rPr>
          <w:rFonts w:asciiTheme="minorHAnsi" w:hAnsiTheme="minorHAnsi"/>
        </w:rPr>
        <w:t>at a different point in the treatment pathway, if the requirement to move temporarily to Milan acted as a barrier to some families</w:t>
      </w:r>
      <w:r w:rsidRPr="00F86215">
        <w:rPr>
          <w:rFonts w:asciiTheme="minorHAnsi" w:hAnsiTheme="minorHAnsi"/>
        </w:rPr>
        <w:t xml:space="preserve">. This may be particularly relevant in other cases where treatment </w:t>
      </w:r>
      <w:r>
        <w:rPr>
          <w:rFonts w:asciiTheme="minorHAnsi" w:hAnsiTheme="minorHAnsi"/>
        </w:rPr>
        <w:t>is</w:t>
      </w:r>
      <w:r w:rsidRPr="00F86215">
        <w:rPr>
          <w:rFonts w:asciiTheme="minorHAnsi" w:hAnsiTheme="minorHAnsi"/>
        </w:rPr>
        <w:t xml:space="preserve"> provided in another country. The critique of the cost-effectiveness evidence also raised issues around the costs of travel to Italy and</w:t>
      </w:r>
      <w:r>
        <w:rPr>
          <w:rFonts w:asciiTheme="minorHAnsi" w:hAnsiTheme="minorHAnsi"/>
        </w:rPr>
        <w:t xml:space="preserve"> uncertainties around</w:t>
      </w:r>
      <w:r w:rsidRPr="00F86215">
        <w:rPr>
          <w:rFonts w:asciiTheme="minorHAnsi" w:hAnsiTheme="minorHAnsi"/>
        </w:rPr>
        <w:t xml:space="preserve"> treatment</w:t>
      </w:r>
      <w:r>
        <w:rPr>
          <w:rFonts w:asciiTheme="minorHAnsi" w:hAnsiTheme="minorHAnsi"/>
        </w:rPr>
        <w:t xml:space="preserve"> costs</w:t>
      </w:r>
      <w:r w:rsidRPr="00F86215">
        <w:rPr>
          <w:rFonts w:asciiTheme="minorHAnsi" w:hAnsiTheme="minorHAnsi"/>
        </w:rPr>
        <w:t xml:space="preserve"> due to exchange rates and VAT.</w:t>
      </w:r>
    </w:p>
    <w:p w:rsidR="00E111BE" w:rsidRPr="00B3524D" w:rsidRDefault="00E111BE" w:rsidP="00CF473C">
      <w:pPr>
        <w:rPr>
          <w:rFonts w:asciiTheme="minorHAnsi" w:hAnsiTheme="minorHAnsi"/>
        </w:rPr>
      </w:pPr>
      <w:r w:rsidRPr="00F86215">
        <w:rPr>
          <w:rFonts w:asciiTheme="minorHAnsi" w:hAnsiTheme="minorHAnsi"/>
        </w:rPr>
        <w:br w:type="page"/>
      </w:r>
      <w:r w:rsidRPr="00F86215">
        <w:rPr>
          <w:rFonts w:asciiTheme="minorHAnsi" w:hAnsiTheme="minorHAnsi"/>
          <w:b/>
        </w:rPr>
        <w:lastRenderedPageBreak/>
        <w:t>Acknowledgements</w:t>
      </w:r>
    </w:p>
    <w:p w:rsidR="00E111BE" w:rsidRPr="00F86215" w:rsidRDefault="00E111BE" w:rsidP="001B0E7D">
      <w:pPr>
        <w:rPr>
          <w:rFonts w:asciiTheme="minorHAnsi" w:hAnsiTheme="minorHAnsi"/>
        </w:rPr>
      </w:pPr>
      <w:r w:rsidRPr="00F86215">
        <w:rPr>
          <w:rFonts w:asciiTheme="minorHAnsi" w:hAnsiTheme="minorHAnsi"/>
        </w:rPr>
        <w:t>The authors would like to thank Dr Andrew Gennery, Clinical Reader and Consultant at Great North Children’s Hospital, for clinical advice throughout the project. They would also like to thank Melissa Harden</w:t>
      </w:r>
      <w:r>
        <w:rPr>
          <w:rFonts w:asciiTheme="minorHAnsi" w:hAnsiTheme="minorHAnsi"/>
        </w:rPr>
        <w:t>, Centre for Reviews and Dissemination,</w:t>
      </w:r>
      <w:r w:rsidRPr="00F86215">
        <w:rPr>
          <w:rFonts w:asciiTheme="minorHAnsi" w:hAnsiTheme="minorHAnsi"/>
        </w:rPr>
        <w:t xml:space="preserve"> who critiqued the literature searches in the Company’s submission and </w:t>
      </w:r>
      <w:r>
        <w:rPr>
          <w:rFonts w:asciiTheme="minorHAnsi" w:hAnsiTheme="minorHAnsi"/>
        </w:rPr>
        <w:t xml:space="preserve">Professor </w:t>
      </w:r>
      <w:r w:rsidRPr="00F86215">
        <w:rPr>
          <w:rFonts w:asciiTheme="minorHAnsi" w:hAnsiTheme="minorHAnsi"/>
        </w:rPr>
        <w:t>Stephen Palmer, Centre for Health Economics, who provided advice on the cost-effectiveness part of the project.</w:t>
      </w:r>
    </w:p>
    <w:p w:rsidR="00E111BE" w:rsidRPr="00F86215" w:rsidRDefault="00E111BE" w:rsidP="00CF473C">
      <w:pPr>
        <w:rPr>
          <w:rFonts w:asciiTheme="minorHAnsi" w:hAnsiTheme="minorHAnsi"/>
          <w:b/>
        </w:rPr>
      </w:pPr>
      <w:r w:rsidRPr="00F86215">
        <w:rPr>
          <w:rFonts w:asciiTheme="minorHAnsi" w:hAnsiTheme="minorHAnsi"/>
          <w:b/>
        </w:rPr>
        <w:t>Author Contributions</w:t>
      </w:r>
    </w:p>
    <w:p w:rsidR="00E111BE" w:rsidRPr="00F86215" w:rsidRDefault="00E111BE" w:rsidP="00CF473C">
      <w:pPr>
        <w:rPr>
          <w:rFonts w:asciiTheme="minorHAnsi" w:hAnsiTheme="minorHAnsi"/>
        </w:rPr>
      </w:pPr>
      <w:r w:rsidRPr="00F86215">
        <w:rPr>
          <w:rFonts w:asciiTheme="minorHAnsi" w:hAnsiTheme="minorHAnsi"/>
        </w:rPr>
        <w:t>Susan Griffin, Edward Cox, Nick Meader, Emily South and Nerys Woolacott all formed part of the ERG that produced the ERG report described in this paper. Susan Griffin and Nick Meader took overall responsibility for the cost and clinical effectiveness parts of the project.  Emily South wrote the draft of the manuscript. All authors commented on the manuscript and approved the final version.</w:t>
      </w:r>
      <w:r w:rsidR="00B23253">
        <w:rPr>
          <w:rFonts w:asciiTheme="minorHAnsi" w:hAnsiTheme="minorHAnsi"/>
        </w:rPr>
        <w:t xml:space="preserve"> This article has not been externally peer reviewed by </w:t>
      </w:r>
      <w:r w:rsidR="00B23253" w:rsidRPr="00B23253">
        <w:rPr>
          <w:rFonts w:asciiTheme="minorHAnsi" w:hAnsiTheme="minorHAnsi"/>
          <w:i/>
        </w:rPr>
        <w:t>PharmacoEconomics Open</w:t>
      </w:r>
      <w:r w:rsidR="00B23253">
        <w:rPr>
          <w:rFonts w:asciiTheme="minorHAnsi" w:hAnsiTheme="minorHAnsi"/>
        </w:rPr>
        <w:t>.</w:t>
      </w:r>
    </w:p>
    <w:p w:rsidR="00E111BE" w:rsidRPr="00F86215" w:rsidRDefault="00E111BE" w:rsidP="00CF473C">
      <w:pPr>
        <w:rPr>
          <w:rFonts w:asciiTheme="minorHAnsi" w:hAnsiTheme="minorHAnsi"/>
          <w:b/>
        </w:rPr>
      </w:pPr>
      <w:r w:rsidRPr="00F86215">
        <w:rPr>
          <w:rFonts w:asciiTheme="minorHAnsi" w:hAnsiTheme="minorHAnsi"/>
          <w:b/>
        </w:rPr>
        <w:t>Compliance with Ethical Standards</w:t>
      </w:r>
    </w:p>
    <w:p w:rsidR="00E111BE" w:rsidRPr="00F86215" w:rsidRDefault="00E111BE" w:rsidP="00CF473C">
      <w:pPr>
        <w:rPr>
          <w:rFonts w:asciiTheme="minorHAnsi" w:hAnsiTheme="minorHAnsi"/>
          <w:b/>
        </w:rPr>
      </w:pPr>
      <w:r w:rsidRPr="00F86215">
        <w:rPr>
          <w:rFonts w:asciiTheme="minorHAnsi" w:hAnsiTheme="minorHAnsi"/>
          <w:b/>
        </w:rPr>
        <w:t>Funding</w:t>
      </w:r>
    </w:p>
    <w:p w:rsidR="00E111BE" w:rsidRPr="00F86215" w:rsidRDefault="00E111BE" w:rsidP="00CF473C">
      <w:pPr>
        <w:rPr>
          <w:rFonts w:asciiTheme="minorHAnsi" w:hAnsiTheme="minorHAnsi"/>
        </w:rPr>
      </w:pPr>
      <w:r w:rsidRPr="00F86215">
        <w:rPr>
          <w:rFonts w:asciiTheme="minorHAnsi" w:hAnsiTheme="minorHAnsi"/>
        </w:rPr>
        <w:t>This study was funded by National Institute for Health Research (NIHR) Health Technology Assessment (HTA) programme (project number 16/27/01). The views and opinions expressed herein are those of the authors and do not necessarily reflect those of NICE or the Department of Health.</w:t>
      </w:r>
    </w:p>
    <w:p w:rsidR="00E111BE" w:rsidRPr="00F86215" w:rsidRDefault="00E111BE" w:rsidP="00CF473C">
      <w:pPr>
        <w:rPr>
          <w:rFonts w:asciiTheme="minorHAnsi" w:hAnsiTheme="minorHAnsi"/>
          <w:b/>
        </w:rPr>
      </w:pPr>
      <w:r w:rsidRPr="00F86215">
        <w:rPr>
          <w:rFonts w:asciiTheme="minorHAnsi" w:hAnsiTheme="minorHAnsi"/>
          <w:b/>
        </w:rPr>
        <w:t>Conflict of Interest</w:t>
      </w:r>
    </w:p>
    <w:p w:rsidR="00E111BE" w:rsidRPr="00F86215" w:rsidRDefault="00E111BE" w:rsidP="00CF473C">
      <w:pPr>
        <w:rPr>
          <w:rFonts w:asciiTheme="minorHAnsi" w:hAnsiTheme="minorHAnsi" w:cs="Times New Roman"/>
        </w:rPr>
      </w:pPr>
      <w:r w:rsidRPr="00F86215">
        <w:rPr>
          <w:rFonts w:asciiTheme="minorHAnsi" w:hAnsiTheme="minorHAnsi" w:cs="Times New Roman"/>
        </w:rPr>
        <w:t>Emily South, Edward Cox, Nick Meader, Nerys Woolacott and Susan Griffin</w:t>
      </w:r>
      <w:r w:rsidRPr="00F86215">
        <w:rPr>
          <w:rFonts w:asciiTheme="minorHAnsi" w:hAnsiTheme="minorHAnsi"/>
        </w:rPr>
        <w:t xml:space="preserve"> declare that they have no conflict of interest.</w:t>
      </w:r>
    </w:p>
    <w:p w:rsidR="00E111BE" w:rsidRPr="00F86215" w:rsidRDefault="00E111BE" w:rsidP="00CF473C">
      <w:pPr>
        <w:rPr>
          <w:rFonts w:asciiTheme="minorHAnsi" w:hAnsiTheme="minorHAnsi"/>
          <w:b/>
        </w:rPr>
      </w:pPr>
      <w:r w:rsidRPr="00F86215">
        <w:rPr>
          <w:rFonts w:asciiTheme="minorHAnsi" w:hAnsiTheme="minorHAnsi"/>
          <w:b/>
        </w:rPr>
        <w:t>References</w:t>
      </w:r>
    </w:p>
    <w:p w:rsidR="00E111BE" w:rsidRPr="00B2156A" w:rsidRDefault="00E111BE" w:rsidP="00B2156A">
      <w:pPr>
        <w:pStyle w:val="EndNoteBibliography"/>
        <w:spacing w:after="0"/>
      </w:pPr>
      <w:r w:rsidRPr="00B2156A">
        <w:t>1. National Institute for Health and Care Excellence. Interim Process and Methods of the Highly Specialised Technologies Programme (U</w:t>
      </w:r>
      <w:r w:rsidR="005B6162">
        <w:t>pdated to reflect 2017 changes).</w:t>
      </w:r>
      <w:r w:rsidRPr="00B2156A">
        <w:t xml:space="preserve"> NICE</w:t>
      </w:r>
      <w:r w:rsidR="00795B8D">
        <w:t xml:space="preserve">. </w:t>
      </w:r>
      <w:r w:rsidRPr="00B2156A">
        <w:t>2017.</w:t>
      </w:r>
      <w:r w:rsidR="005B6162">
        <w:t xml:space="preserve"> </w:t>
      </w:r>
      <w:hyperlink r:id="rId9" w:history="1">
        <w:r w:rsidR="005B6162" w:rsidRPr="00772191">
          <w:rPr>
            <w:rStyle w:val="Hyperlink"/>
          </w:rPr>
          <w:t>https://www.nice.org.uk/about/what-we-do/our-programmes/nice-guidance/nice-highly-specialised-technologies-guidance</w:t>
        </w:r>
      </w:hyperlink>
      <w:r w:rsidR="005B6162">
        <w:t>. Accessed 13</w:t>
      </w:r>
      <w:r w:rsidR="005B6162" w:rsidRPr="005B6162">
        <w:rPr>
          <w:vertAlign w:val="superscript"/>
        </w:rPr>
        <w:t>th</w:t>
      </w:r>
      <w:r w:rsidR="005B6162">
        <w:t xml:space="preserve"> June 2018.</w:t>
      </w:r>
    </w:p>
    <w:p w:rsidR="00E111BE" w:rsidRPr="00B2156A" w:rsidRDefault="00E111BE" w:rsidP="00B2156A">
      <w:pPr>
        <w:pStyle w:val="EndNoteBibliography"/>
        <w:spacing w:after="0"/>
      </w:pPr>
      <w:r w:rsidRPr="00B2156A">
        <w:t xml:space="preserve">2. National Institute for Health and Care Excellence. Strimvelis for treating adenosine deaminase deficiency–severe combined immunodeficiency. Highly specialised technologies guidance [HST7]. NICE. 2018. </w:t>
      </w:r>
      <w:r w:rsidRPr="00E111BE">
        <w:rPr>
          <w:u w:val="single"/>
        </w:rPr>
        <w:t>https://www.nice.org.uk/guidance/hst7</w:t>
      </w:r>
      <w:r w:rsidRPr="00B2156A">
        <w:t>. Accessed 13th June 2018.</w:t>
      </w:r>
    </w:p>
    <w:p w:rsidR="00E111BE" w:rsidRPr="00B2156A" w:rsidRDefault="00E111BE" w:rsidP="00B2156A">
      <w:pPr>
        <w:pStyle w:val="EndNoteBibliography"/>
        <w:spacing w:after="0"/>
      </w:pPr>
      <w:r w:rsidRPr="00B2156A">
        <w:t xml:space="preserve">3. Hassan A, Booth C, Brightwell A, Allwood Z, Veys P, Rao K et al. Outcome of hematopoietic stem cell transplantation for adenosine deaminase–deficient severe combined immunodeficiency. Blood. 2012;120(17):3615. </w:t>
      </w:r>
    </w:p>
    <w:p w:rsidR="00E111BE" w:rsidRPr="00B2156A" w:rsidRDefault="00E111BE" w:rsidP="00B2156A">
      <w:pPr>
        <w:pStyle w:val="EndNoteBibliography"/>
        <w:spacing w:after="0"/>
      </w:pPr>
      <w:r w:rsidRPr="00B2156A">
        <w:t>4. Hershfield M. Adenosine Deaminase Deficiency. In: Pagon RA, Adam MP, Ardinger HH, Wallace SE, Amemiya A, Bean LJ et al., editors. GeneReviews® [Internet]. Seattle: University of Washington; 2006 [updated 2017 Mar 16].</w:t>
      </w:r>
    </w:p>
    <w:p w:rsidR="00E111BE" w:rsidRPr="00B2156A" w:rsidRDefault="00E111BE" w:rsidP="00B2156A">
      <w:pPr>
        <w:pStyle w:val="EndNoteBibliography"/>
        <w:spacing w:after="0"/>
      </w:pPr>
      <w:r w:rsidRPr="00B2156A">
        <w:t>5. Adams SP, Wilson M, Harb E, Fairbanks L, Xu-Bayford J, Brown L et al. Spectrum of mutations in a cohort of UK patients with ADA deficient SCID: Segregation of genotypes with specific ethnicities. C</w:t>
      </w:r>
      <w:r w:rsidR="00795B8D">
        <w:t>lin Immunol. 2015;161(2):174-9.</w:t>
      </w:r>
    </w:p>
    <w:p w:rsidR="00E111BE" w:rsidRPr="00B2156A" w:rsidRDefault="00E111BE" w:rsidP="00B2156A">
      <w:pPr>
        <w:pStyle w:val="EndNoteBibliography"/>
        <w:spacing w:after="0"/>
      </w:pPr>
      <w:r w:rsidRPr="00B2156A">
        <w:t>6. Bazian Ltd. Screening for Severe Combined Immunodeficiency:  External review against programme appraisal criteria for the UK National Screening Committee (UK NSC): UK National Screening Committee</w:t>
      </w:r>
      <w:r w:rsidR="00795B8D">
        <w:t xml:space="preserve">. </w:t>
      </w:r>
      <w:r w:rsidRPr="00B2156A">
        <w:t>2012.</w:t>
      </w:r>
    </w:p>
    <w:p w:rsidR="00E111BE" w:rsidRPr="00B2156A" w:rsidRDefault="00E111BE" w:rsidP="00B2156A">
      <w:pPr>
        <w:pStyle w:val="EndNoteBibliography"/>
        <w:spacing w:after="0"/>
      </w:pPr>
      <w:r w:rsidRPr="00B2156A">
        <w:t>7. European Society for Blood and Marrow Transplantation, European Society for Immunodeficiencies. EBMT/ESID guidelines for haematopoietic stem cell transplantation for primary immunodeficiencies: European Society for Blood and Marrow Transplantation</w:t>
      </w:r>
      <w:r w:rsidR="00795B8D">
        <w:t xml:space="preserve">. </w:t>
      </w:r>
      <w:r w:rsidRPr="00B2156A">
        <w:t>2017.</w:t>
      </w:r>
    </w:p>
    <w:p w:rsidR="00E111BE" w:rsidRPr="00B2156A" w:rsidRDefault="00E111BE" w:rsidP="00B2156A">
      <w:pPr>
        <w:pStyle w:val="EndNoteBibliography"/>
        <w:spacing w:after="0"/>
      </w:pPr>
      <w:r w:rsidRPr="00B2156A">
        <w:lastRenderedPageBreak/>
        <w:t xml:space="preserve">8. Kohn DB, Gaspar HB. How we manage Adenosine Deaminase-Deficient Severe Combined Immune Deficiency (ADA SCID). J </w:t>
      </w:r>
      <w:r w:rsidR="00795B8D">
        <w:t>Clin Immunol. 2017;37(4):351-6.</w:t>
      </w:r>
    </w:p>
    <w:p w:rsidR="00E111BE" w:rsidRPr="00B2156A" w:rsidRDefault="00E111BE" w:rsidP="00B2156A">
      <w:pPr>
        <w:pStyle w:val="EndNoteBibliography"/>
        <w:spacing w:after="0"/>
      </w:pPr>
      <w:r w:rsidRPr="00B2156A">
        <w:t xml:space="preserve">9. Ferrara JLM, Levine JE, Reddy P, Holler E. Graft-versus-host disease. </w:t>
      </w:r>
      <w:r w:rsidR="00795B8D">
        <w:t>Lancet. 2009;373(9674):1550-61.</w:t>
      </w:r>
    </w:p>
    <w:p w:rsidR="00E111BE" w:rsidRPr="00B2156A" w:rsidRDefault="00E111BE" w:rsidP="00B2156A">
      <w:pPr>
        <w:pStyle w:val="EndNoteBibliography"/>
        <w:spacing w:after="0"/>
      </w:pPr>
      <w:r w:rsidRPr="00B2156A">
        <w:t>10. Gaspar HB, Aiuti A, Porta F, Candotti F, Hershfield MS, Notarangelo LD. How I treat ADA deficiency. Blood. 2009;114(17):3524-32.</w:t>
      </w:r>
    </w:p>
    <w:p w:rsidR="00E111BE" w:rsidRPr="00B2156A" w:rsidRDefault="00E111BE" w:rsidP="00B2156A">
      <w:pPr>
        <w:pStyle w:val="EndNoteBibliography"/>
        <w:spacing w:after="0"/>
      </w:pPr>
      <w:r w:rsidRPr="00B2156A">
        <w:t>11. Pai S-Y, Logan BR, Griffith LM, Buckley RH, Parrott RE, Dvorak CC et al. Transplantation outcomes for severe combined immunodeficiency, 2000–2009. N Engl J Med. 2014;371</w:t>
      </w:r>
      <w:r w:rsidR="00795B8D">
        <w:t>(5):434-46.</w:t>
      </w:r>
    </w:p>
    <w:p w:rsidR="00E111BE" w:rsidRPr="00B2156A" w:rsidRDefault="00E111BE" w:rsidP="00B2156A">
      <w:pPr>
        <w:pStyle w:val="EndNoteBibliography"/>
        <w:spacing w:after="0"/>
      </w:pPr>
      <w:r w:rsidRPr="00B2156A">
        <w:t xml:space="preserve">12. Gaspar HB, Qasim W, Davies EG, Rao K, Amrolia PJ, Veys P. How I treat severe combined immunodeficiency. Blood. 2013;122(23):3749. </w:t>
      </w:r>
    </w:p>
    <w:p w:rsidR="00E111BE" w:rsidRPr="00B2156A" w:rsidRDefault="00E111BE" w:rsidP="00B2156A">
      <w:pPr>
        <w:pStyle w:val="EndNoteBibliography"/>
        <w:spacing w:after="0"/>
      </w:pPr>
      <w:r w:rsidRPr="00B2156A">
        <w:t>13. Chan B, Wara D, Bastian J, Hershfield MS, Bohnsack J, Azen CG et al. Long-term efficacy of enzyme replacement therapy for Adenosine deaminase (ADA)-deficient Severe Combined Immunodeficiency (SCID). Cl</w:t>
      </w:r>
      <w:r w:rsidR="00795B8D">
        <w:t>in Immunol. 2005;117(2):133-43.</w:t>
      </w:r>
    </w:p>
    <w:p w:rsidR="00E111BE" w:rsidRPr="00B2156A" w:rsidRDefault="00E111BE" w:rsidP="00B2156A">
      <w:pPr>
        <w:pStyle w:val="EndNoteBibliography"/>
        <w:spacing w:after="0"/>
      </w:pPr>
      <w:r w:rsidRPr="00B2156A">
        <w:t>14. Cicalese MP, Ferrua F, Castagnaro L, Pajno R, Barzaghi F, Giannelli S et al. Update on the safety and efficacy of retroviral gene therapy for immunodeficiency due to adenosine deaminase deficiency. Blood. 2016;128(1):45-54</w:t>
      </w:r>
      <w:r w:rsidR="00795B8D">
        <w:t>.</w:t>
      </w:r>
    </w:p>
    <w:p w:rsidR="00795B8D" w:rsidRDefault="00E111BE" w:rsidP="00B2156A">
      <w:pPr>
        <w:pStyle w:val="EndNoteBibliography"/>
        <w:spacing w:after="0"/>
      </w:pPr>
      <w:r w:rsidRPr="00B2156A">
        <w:t>15. Booth C, Hershfield M, Notarangelo L, Buckley R, Hoenig M, Mahlaoui N et al. Management options for adenosine deaminase deficiency; proceedings of the EBMT satellite workshop (Hamburg, March 2006). Cl</w:t>
      </w:r>
      <w:r w:rsidR="00795B8D">
        <w:t>in Immunol. 2007;123(2):139-47.</w:t>
      </w:r>
    </w:p>
    <w:p w:rsidR="00795B8D" w:rsidRDefault="00E111BE" w:rsidP="00B2156A">
      <w:pPr>
        <w:pStyle w:val="EndNoteBibliography"/>
        <w:spacing w:after="0"/>
      </w:pPr>
      <w:r w:rsidRPr="00B2156A">
        <w:t xml:space="preserve">16. Rogers MH, Lwin R, Fairbanks L, Gerritsen B, Gaspar HB. Cognitive and behavioral abnormalities in adenosine deaminase deficient severe combined immunodeficiency. J Pediatr. 2001;139(1):44-50. </w:t>
      </w:r>
    </w:p>
    <w:p w:rsidR="00E111BE" w:rsidRPr="00B2156A" w:rsidRDefault="00E111BE" w:rsidP="00B2156A">
      <w:pPr>
        <w:pStyle w:val="EndNoteBibliography"/>
        <w:spacing w:after="0"/>
      </w:pPr>
      <w:r w:rsidRPr="00B2156A">
        <w:t>17. Honig M, Albert MH, Schulz A, Sparber-Sauer M, Schutz C, Belohradsky B et al. Patients with adenosine deaminase deficiency surviving after hematopoietic stem cell transplantation are at high risk of CNS complications. Blood. 2007;109(8):3595-60</w:t>
      </w:r>
      <w:r w:rsidR="00795B8D">
        <w:t>2.</w:t>
      </w:r>
    </w:p>
    <w:p w:rsidR="00E111BE" w:rsidRPr="00B2156A" w:rsidRDefault="00E111BE" w:rsidP="00B2156A">
      <w:pPr>
        <w:pStyle w:val="EndNoteBibliography"/>
        <w:spacing w:after="0"/>
      </w:pPr>
      <w:r w:rsidRPr="00B2156A">
        <w:t>18. Albuquerque W, Gaspar HB. Bilateral sensorineural deafness in adenosine deaminase-deficient severe combined immunodeficiency.</w:t>
      </w:r>
      <w:r w:rsidR="00795B8D">
        <w:t xml:space="preserve"> J Pediatr. 2004;144(2):278-80.</w:t>
      </w:r>
    </w:p>
    <w:p w:rsidR="00E111BE" w:rsidRPr="00B2156A" w:rsidRDefault="00E111BE" w:rsidP="00B2156A">
      <w:pPr>
        <w:pStyle w:val="EndNoteBibliography"/>
        <w:spacing w:after="0"/>
      </w:pPr>
      <w:r w:rsidRPr="00B2156A">
        <w:t xml:space="preserve">19. Borghans JA, Bredius RG, Hazenberg MD, Roelofs H, Jol-van der Zijde EC, Heidt J et al. Early determinants of long-term T-cell reconstitution after hematopoietic stem cell transplantation for severe combined immunodeficiency. Blood. 2006;108(2):763. </w:t>
      </w:r>
    </w:p>
    <w:p w:rsidR="00E111BE" w:rsidRPr="00B2156A" w:rsidRDefault="00E111BE" w:rsidP="00B2156A">
      <w:pPr>
        <w:pStyle w:val="EndNoteBibliography"/>
        <w:spacing w:after="0"/>
      </w:pPr>
      <w:r w:rsidRPr="00B2156A">
        <w:t xml:space="preserve">20. Bhattacharya A, Slatter MA, Chapman CE, Barge D, Jackson A, Flood TJ et al. Single centre experience of umbilical cord stem cell transplantation for primary immunodeficiency. Bone Marrow Transplant. 2005;36(4):295-9. </w:t>
      </w:r>
    </w:p>
    <w:p w:rsidR="00E111BE" w:rsidRPr="00B2156A" w:rsidRDefault="00E111BE" w:rsidP="00B2156A">
      <w:pPr>
        <w:pStyle w:val="EndNoteBibliography"/>
        <w:spacing w:after="0"/>
      </w:pPr>
      <w:r w:rsidRPr="00B2156A">
        <w:t xml:space="preserve">21. Grunebaum E, Mazzolari E, Porta F, Dallera D, Atkinson A, Reid B et al. Bone marrow transplantation for severe combined immune deficiency. JAMA. 2006;295:508-18. </w:t>
      </w:r>
    </w:p>
    <w:p w:rsidR="00E111BE" w:rsidRPr="00B2156A" w:rsidRDefault="00E111BE" w:rsidP="00B2156A">
      <w:pPr>
        <w:pStyle w:val="EndNoteBibliography"/>
        <w:spacing w:after="0"/>
      </w:pPr>
      <w:r w:rsidRPr="00B2156A">
        <w:t xml:space="preserve">22. Baffelli R, Notarangelo LD, Imberti L, Hershfield MS, Serana F, Santisteban I et al. Diagnosis, treatment and long-term follow up of patients with ADA deficiency: a single-center experience. J Clin Immunol. 2015;35:624-37. </w:t>
      </w:r>
    </w:p>
    <w:p w:rsidR="00E111BE" w:rsidRPr="00B2156A" w:rsidRDefault="00E111BE" w:rsidP="00B2156A">
      <w:pPr>
        <w:pStyle w:val="EndNoteBibliography"/>
        <w:spacing w:after="0"/>
      </w:pPr>
      <w:r w:rsidRPr="00B2156A">
        <w:t>23. Dvorak CC, Hassan A, Slatter MA, Hönig M, Lankester AC, Buckley RH et al. Comparison of outcomes of hematopoietic stem cell transplantation without chemotherapy conditioning by using matched sibling and unrelated donors for treatment of severe combined immunodeficiency. J Allergy Clin Immunol. 2014;134(4):935-43.e15.</w:t>
      </w:r>
    </w:p>
    <w:p w:rsidR="00E111BE" w:rsidRPr="00B2156A" w:rsidRDefault="00E111BE" w:rsidP="00B2156A">
      <w:pPr>
        <w:pStyle w:val="EndNoteBibliography"/>
        <w:spacing w:after="0"/>
      </w:pPr>
      <w:r w:rsidRPr="00B2156A">
        <w:t xml:space="preserve">24. Serana F, Sottini A, Chiarini M, Zanotti C, Ghidini C, Lanfranchi A et al. The Different Extent of B and T Cell Immune Reconstitution after Hematopoietic Stem Cell Transplantation and Enzyme Replacement Therapies in SCID Patients with Adenosine Deaminase Deficiency. The Journal of Immunology. 2010;185(12):7713. </w:t>
      </w:r>
    </w:p>
    <w:p w:rsidR="00E111BE" w:rsidRPr="00B2156A" w:rsidRDefault="00E111BE" w:rsidP="00B2156A">
      <w:pPr>
        <w:pStyle w:val="EndNoteBibliography"/>
        <w:spacing w:after="0"/>
      </w:pPr>
      <w:r w:rsidRPr="00B2156A">
        <w:t>25. Gennery AR, Slatter MA, Grandin L, Taupin P, Cant AJ, Veys P et al. Transplantation of hematopoietic stem cells and long-term survival for primary immunodeficiencies in Europe: entering a new century, do we do better? J Allergy Cl</w:t>
      </w:r>
      <w:r w:rsidR="00795B8D">
        <w:t>in Immunol. 2010;126(3):602-10.</w:t>
      </w:r>
    </w:p>
    <w:p w:rsidR="00E111BE" w:rsidRPr="00B2156A" w:rsidRDefault="00E111BE" w:rsidP="00B2156A">
      <w:pPr>
        <w:pStyle w:val="EndNoteBibliography"/>
        <w:spacing w:after="0"/>
      </w:pPr>
      <w:r w:rsidRPr="00B2156A">
        <w:t>26. UK Stem Cell Strategy Oversight Committee. Unrelated donor stem cell transplantation in the UK: effective affordable sustainable: NHS Blood and Transplant</w:t>
      </w:r>
      <w:r w:rsidR="00795B8D">
        <w:t xml:space="preserve">. </w:t>
      </w:r>
      <w:r w:rsidRPr="00B2156A">
        <w:t>2014.</w:t>
      </w:r>
    </w:p>
    <w:p w:rsidR="00E111BE" w:rsidRPr="00B2156A" w:rsidRDefault="00E111BE" w:rsidP="00B2156A">
      <w:pPr>
        <w:pStyle w:val="EndNoteBibliography"/>
        <w:spacing w:after="0"/>
      </w:pPr>
      <w:r w:rsidRPr="00B2156A">
        <w:lastRenderedPageBreak/>
        <w:t>27. Svenberg P, Remberger M, Uzunel M, Mattsson J, Gustafsson B, Fjaertoft G et al. Improved overall survival for pediatric patients undergoing allogeneic hematopoietic stem cell transplantation – A comparison of the last two decades. Pediatr</w:t>
      </w:r>
      <w:r w:rsidR="00795B8D">
        <w:t xml:space="preserve"> Transplant. 2016;20(5):667-74.</w:t>
      </w:r>
    </w:p>
    <w:p w:rsidR="00E111BE" w:rsidRPr="00B2156A" w:rsidRDefault="00E111BE" w:rsidP="00795B8D">
      <w:pPr>
        <w:pStyle w:val="EndNoteBibliography"/>
        <w:spacing w:after="0"/>
      </w:pPr>
      <w:r w:rsidRPr="00B2156A">
        <w:t>28. European Medicines Agency (EMA). Assessment report for strimvelis, common name: autologous CD34+ enric</w:t>
      </w:r>
      <w:r w:rsidR="00795B8D">
        <w:t xml:space="preserve">hed cell fraction that contains </w:t>
      </w:r>
      <w:r w:rsidRPr="00B2156A">
        <w:t>CD34+ cells transduced with retroviral vector that encodes for the human ADA cDNA sequence. Procedure No. EMEA/H/C/003854/0000. London: EMA</w:t>
      </w:r>
      <w:r w:rsidR="00795B8D">
        <w:t xml:space="preserve">. </w:t>
      </w:r>
      <w:r w:rsidRPr="00B2156A">
        <w:t>2016.</w:t>
      </w:r>
    </w:p>
    <w:p w:rsidR="00E111BE" w:rsidRPr="00B2156A" w:rsidRDefault="00E111BE" w:rsidP="00795B8D">
      <w:pPr>
        <w:pStyle w:val="EndNoteBibliography"/>
        <w:spacing w:after="0"/>
      </w:pPr>
      <w:r w:rsidRPr="00B2156A">
        <w:t xml:space="preserve">29. Hacein-Bey-Abina S, Von Kalle C, Schmidt M, McCormack MP, Wulffraat N, Leboulch P et al. LMO2-associated clonal T cell proliferation in two patients after gene therapy for SCID-X1. Science. 2003;3021:415-9. </w:t>
      </w:r>
    </w:p>
    <w:p w:rsidR="00E111BE" w:rsidRPr="00B2156A" w:rsidRDefault="00E111BE" w:rsidP="00B2156A">
      <w:pPr>
        <w:pStyle w:val="EndNoteBibliography"/>
        <w:spacing w:after="0"/>
      </w:pPr>
      <w:r w:rsidRPr="00B2156A">
        <w:t xml:space="preserve">30. Howe SJ, Mansour MR, Schwarzwaelder K, Bartholomae C, Hubank M, Kempski H et al. Insertional mutagenesis combined with acquired somatic mutations causes leukemogenesis following gene therapy of SCID-X1 patients. J Clin Invest. 2008;118(9):3143-50. </w:t>
      </w:r>
    </w:p>
    <w:p w:rsidR="00E111BE" w:rsidRPr="00B2156A" w:rsidRDefault="00E111BE" w:rsidP="00B2156A">
      <w:pPr>
        <w:pStyle w:val="EndNoteBibliography"/>
        <w:spacing w:after="0"/>
      </w:pPr>
      <w:r w:rsidRPr="00B2156A">
        <w:t xml:space="preserve">31. van Agthoven M, Groot MT, Verdonck LF, Lowenberg B, Schattenberg AVMB, Oudshoorn M et al. Cost analysis of HLA-identical sibling and voluntary unrelated allogeneic bone marrow and peripheral blood stem cell transplantation in adults with acute myelocytic leukaemia or acute lymphoblastic leukaemia. Bone Marrow Transplant. 2002;30(4):243-51. </w:t>
      </w:r>
    </w:p>
    <w:p w:rsidR="00E111BE" w:rsidRPr="00B2156A" w:rsidRDefault="00E111BE" w:rsidP="00B2156A">
      <w:pPr>
        <w:pStyle w:val="EndNoteBibliography"/>
        <w:spacing w:after="0"/>
      </w:pPr>
      <w:r w:rsidRPr="00B2156A">
        <w:t>32. Dignan FL, Potter MN, Ethell ME, Taylor M, Lewis L, Brennan J et al. High readmission rates are associated with a significant economic burden and poor outcome in patients with grade III/IV acute GvHD. Clin</w:t>
      </w:r>
      <w:r w:rsidR="00795B8D">
        <w:t xml:space="preserve"> Transplant. 2013;27(1):E56-63.</w:t>
      </w:r>
    </w:p>
    <w:p w:rsidR="00E111BE" w:rsidRPr="00B2156A" w:rsidRDefault="00E111BE" w:rsidP="00B2156A">
      <w:pPr>
        <w:pStyle w:val="EndNoteBibliography"/>
        <w:spacing w:after="0"/>
      </w:pPr>
      <w:r w:rsidRPr="00B2156A">
        <w:t>33. National Institute for Health and Care Excellence. Strimvelis for treating adenosine deaminase deficiency–severe combined immunodeficiency. Evaluation consultation document: NICE</w:t>
      </w:r>
      <w:r w:rsidR="00795B8D">
        <w:t xml:space="preserve">. </w:t>
      </w:r>
      <w:r w:rsidRPr="00B2156A">
        <w:t>2017.</w:t>
      </w:r>
      <w:r w:rsidR="005B6162">
        <w:t xml:space="preserve"> </w:t>
      </w:r>
      <w:hyperlink r:id="rId10" w:history="1">
        <w:r w:rsidR="005B6162" w:rsidRPr="00772191">
          <w:rPr>
            <w:rStyle w:val="Hyperlink"/>
          </w:rPr>
          <w:t>https://nice.org.uk/guidance/hst7/history</w:t>
        </w:r>
      </w:hyperlink>
      <w:r w:rsidR="005B6162">
        <w:t>. Accessed 9</w:t>
      </w:r>
      <w:r w:rsidR="005B6162" w:rsidRPr="005B6162">
        <w:rPr>
          <w:vertAlign w:val="superscript"/>
        </w:rPr>
        <w:t>th</w:t>
      </w:r>
      <w:r w:rsidR="005B6162">
        <w:t xml:space="preserve"> January 2018.</w:t>
      </w:r>
    </w:p>
    <w:p w:rsidR="00E111BE" w:rsidRPr="00B2156A" w:rsidRDefault="00E111BE" w:rsidP="00B2156A">
      <w:pPr>
        <w:pStyle w:val="EndNoteBibliography"/>
      </w:pPr>
      <w:r w:rsidRPr="00B2156A">
        <w:t>34. National Institute for Health and Care Excellence. Strimvelis for treating adenosine deaminase deficiency–severe combined immunodeficiency. Final evaluation determination: NICE</w:t>
      </w:r>
      <w:r w:rsidR="00795B8D">
        <w:t xml:space="preserve">. </w:t>
      </w:r>
      <w:r w:rsidRPr="00B2156A">
        <w:t>2017.</w:t>
      </w:r>
      <w:r w:rsidR="005B6162">
        <w:t xml:space="preserve"> </w:t>
      </w:r>
      <w:hyperlink r:id="rId11" w:history="1">
        <w:r w:rsidR="005B6162" w:rsidRPr="00772191">
          <w:rPr>
            <w:rStyle w:val="Hyperlink"/>
          </w:rPr>
          <w:t>https://nice.org.uk/guidance/hst7/history</w:t>
        </w:r>
      </w:hyperlink>
      <w:r w:rsidR="005B6162">
        <w:t>. Accessed 9</w:t>
      </w:r>
      <w:r w:rsidR="005B6162" w:rsidRPr="005B6162">
        <w:rPr>
          <w:vertAlign w:val="superscript"/>
        </w:rPr>
        <w:t>th</w:t>
      </w:r>
      <w:r w:rsidR="005B6162">
        <w:t xml:space="preserve"> January 2018.</w:t>
      </w:r>
    </w:p>
    <w:p w:rsidR="00E111BE" w:rsidRPr="00F86215" w:rsidRDefault="00E111BE" w:rsidP="00CF473C">
      <w:pPr>
        <w:rPr>
          <w:rFonts w:asciiTheme="minorHAnsi" w:hAnsiTheme="minorHAnsi"/>
        </w:rPr>
      </w:pPr>
    </w:p>
    <w:p w:rsidR="00E111BE" w:rsidRDefault="00E111BE" w:rsidP="00CF473C">
      <w:pPr>
        <w:rPr>
          <w:b/>
        </w:rPr>
      </w:pPr>
      <w:r w:rsidRPr="00F86215">
        <w:rPr>
          <w:rFonts w:asciiTheme="minorHAnsi" w:hAnsiTheme="minorHAnsi"/>
        </w:rPr>
        <w:br w:type="page"/>
      </w:r>
      <w:r>
        <w:rPr>
          <w:b/>
        </w:rPr>
        <w:lastRenderedPageBreak/>
        <w:t xml:space="preserve">Table 1: Scenario analyses included in the ERG base case </w:t>
      </w:r>
    </w:p>
    <w:tbl>
      <w:tblPr>
        <w:tblStyle w:val="TableGrid"/>
        <w:tblW w:w="5000" w:type="pct"/>
        <w:tblLayout w:type="fixed"/>
        <w:tblLook w:val="04A0" w:firstRow="1" w:lastRow="0" w:firstColumn="1" w:lastColumn="0" w:noHBand="0" w:noVBand="1"/>
      </w:tblPr>
      <w:tblGrid>
        <w:gridCol w:w="566"/>
        <w:gridCol w:w="3403"/>
        <w:gridCol w:w="5046"/>
        <w:gridCol w:w="11"/>
      </w:tblGrid>
      <w:tr w:rsidR="00E111BE" w:rsidTr="00D0626C">
        <w:trPr>
          <w:gridAfter w:val="1"/>
          <w:wAfter w:w="6" w:type="pct"/>
        </w:trPr>
        <w:tc>
          <w:tcPr>
            <w:tcW w:w="4994" w:type="pct"/>
            <w:gridSpan w:val="3"/>
            <w:tcBorders>
              <w:top w:val="single" w:sz="8" w:space="0" w:color="auto"/>
              <w:left w:val="nil"/>
              <w:bottom w:val="single" w:sz="4" w:space="0" w:color="auto"/>
              <w:right w:val="nil"/>
            </w:tcBorders>
          </w:tcPr>
          <w:p w:rsidR="00E111BE" w:rsidRPr="00AF7556" w:rsidRDefault="00E111BE" w:rsidP="00AF7556">
            <w:pPr>
              <w:jc w:val="center"/>
              <w:rPr>
                <w:rFonts w:cs="Times New Roman"/>
              </w:rPr>
            </w:pPr>
            <w:r w:rsidRPr="00AF7556">
              <w:rPr>
                <w:rFonts w:cs="Times New Roman"/>
              </w:rPr>
              <w:t>ERG base case</w:t>
            </w:r>
          </w:p>
        </w:tc>
      </w:tr>
      <w:tr w:rsidR="00E111BE" w:rsidTr="00D0626C">
        <w:trPr>
          <w:gridAfter w:val="1"/>
          <w:wAfter w:w="6" w:type="pct"/>
        </w:trPr>
        <w:tc>
          <w:tcPr>
            <w:tcW w:w="4994" w:type="pct"/>
            <w:gridSpan w:val="3"/>
            <w:tcBorders>
              <w:top w:val="single" w:sz="4" w:space="0" w:color="auto"/>
              <w:left w:val="nil"/>
              <w:bottom w:val="single" w:sz="4" w:space="0" w:color="auto"/>
              <w:right w:val="nil"/>
            </w:tcBorders>
            <w:shd w:val="clear" w:color="auto" w:fill="F2F2F2" w:themeFill="background1" w:themeFillShade="F2"/>
          </w:tcPr>
          <w:p w:rsidR="00E111BE" w:rsidRPr="0010262D" w:rsidRDefault="00E111BE" w:rsidP="00E75ED4">
            <w:pPr>
              <w:spacing w:before="60" w:after="60"/>
              <w:rPr>
                <w:rFonts w:cs="Times New Roman"/>
                <w:b/>
                <w:sz w:val="20"/>
              </w:rPr>
            </w:pPr>
            <w:r w:rsidRPr="0010262D">
              <w:rPr>
                <w:rFonts w:cs="Times New Roman"/>
                <w:b/>
                <w:sz w:val="20"/>
              </w:rPr>
              <w:t>Company scenarios</w:t>
            </w:r>
            <w:r>
              <w:rPr>
                <w:rFonts w:cs="Times New Roman"/>
                <w:b/>
                <w:sz w:val="20"/>
              </w:rPr>
              <w:t xml:space="preserve"> preferred by the ERG</w:t>
            </w:r>
          </w:p>
        </w:tc>
      </w:tr>
      <w:tr w:rsidR="00E111BE" w:rsidTr="00D0626C">
        <w:trPr>
          <w:gridAfter w:val="1"/>
          <w:wAfter w:w="6" w:type="pct"/>
        </w:trPr>
        <w:tc>
          <w:tcPr>
            <w:tcW w:w="4994" w:type="pct"/>
            <w:gridSpan w:val="3"/>
            <w:tcBorders>
              <w:top w:val="single" w:sz="4" w:space="0" w:color="auto"/>
              <w:left w:val="nil"/>
              <w:bottom w:val="nil"/>
              <w:right w:val="nil"/>
            </w:tcBorders>
          </w:tcPr>
          <w:p w:rsidR="00E111BE" w:rsidRPr="0010262D" w:rsidRDefault="00E111BE" w:rsidP="00E82AE1">
            <w:pPr>
              <w:spacing w:before="60" w:after="60"/>
              <w:rPr>
                <w:rFonts w:cs="Times New Roman"/>
                <w:sz w:val="20"/>
              </w:rPr>
            </w:pPr>
            <w:r w:rsidRPr="0010262D">
              <w:rPr>
                <w:rFonts w:cs="Times New Roman"/>
              </w:rPr>
              <w:t>U</w:t>
            </w:r>
            <w:r>
              <w:rPr>
                <w:rFonts w:cs="Times New Roman"/>
              </w:rPr>
              <w:t>t</w:t>
            </w:r>
            <w:r w:rsidRPr="0010262D">
              <w:rPr>
                <w:rFonts w:cs="Times New Roman"/>
              </w:rPr>
              <w:t>ility weight of 0.75 applied for patients treated with IVIG</w:t>
            </w:r>
          </w:p>
        </w:tc>
      </w:tr>
      <w:tr w:rsidR="00E111BE" w:rsidTr="00D0626C">
        <w:trPr>
          <w:gridAfter w:val="1"/>
          <w:wAfter w:w="6" w:type="pct"/>
        </w:trPr>
        <w:tc>
          <w:tcPr>
            <w:tcW w:w="4994" w:type="pct"/>
            <w:gridSpan w:val="3"/>
            <w:tcBorders>
              <w:top w:val="nil"/>
              <w:left w:val="nil"/>
              <w:bottom w:val="nil"/>
              <w:right w:val="nil"/>
            </w:tcBorders>
          </w:tcPr>
          <w:p w:rsidR="00E111BE" w:rsidRPr="0010262D" w:rsidRDefault="00E111BE" w:rsidP="00E82AE1">
            <w:pPr>
              <w:spacing w:before="60" w:after="60"/>
              <w:rPr>
                <w:rFonts w:cs="Times New Roman"/>
                <w:sz w:val="20"/>
              </w:rPr>
            </w:pPr>
            <w:r w:rsidRPr="0010262D">
              <w:rPr>
                <w:rFonts w:cs="Times New Roman"/>
              </w:rPr>
              <w:t>Duration of GvHD 2 years consistent with timing of rescue transplant</w:t>
            </w:r>
          </w:p>
        </w:tc>
      </w:tr>
      <w:tr w:rsidR="00E111BE" w:rsidTr="00D0626C">
        <w:trPr>
          <w:gridAfter w:val="1"/>
          <w:wAfter w:w="6" w:type="pct"/>
        </w:trPr>
        <w:tc>
          <w:tcPr>
            <w:tcW w:w="4994" w:type="pct"/>
            <w:gridSpan w:val="3"/>
            <w:tcBorders>
              <w:top w:val="nil"/>
              <w:left w:val="nil"/>
              <w:bottom w:val="nil"/>
              <w:right w:val="nil"/>
            </w:tcBorders>
          </w:tcPr>
          <w:p w:rsidR="00E111BE" w:rsidRPr="0010262D" w:rsidRDefault="00E111BE" w:rsidP="00E82AE1">
            <w:pPr>
              <w:spacing w:before="60" w:after="60"/>
              <w:rPr>
                <w:rFonts w:cs="Times New Roman"/>
                <w:sz w:val="20"/>
              </w:rPr>
            </w:pPr>
            <w:r w:rsidRPr="0010262D">
              <w:rPr>
                <w:rFonts w:cs="Times New Roman"/>
              </w:rPr>
              <w:t>Revised PEG-ADA dose determined by patient weight</w:t>
            </w:r>
          </w:p>
        </w:tc>
      </w:tr>
      <w:tr w:rsidR="00E111BE" w:rsidTr="00D0626C">
        <w:trPr>
          <w:gridAfter w:val="1"/>
          <w:wAfter w:w="6" w:type="pct"/>
        </w:trPr>
        <w:tc>
          <w:tcPr>
            <w:tcW w:w="4994" w:type="pct"/>
            <w:gridSpan w:val="3"/>
            <w:tcBorders>
              <w:top w:val="nil"/>
              <w:left w:val="nil"/>
              <w:bottom w:val="nil"/>
              <w:right w:val="nil"/>
            </w:tcBorders>
          </w:tcPr>
          <w:p w:rsidR="00E111BE" w:rsidRPr="0010262D" w:rsidRDefault="00E111BE" w:rsidP="00E82AE1">
            <w:pPr>
              <w:spacing w:before="60" w:after="60"/>
              <w:rPr>
                <w:rFonts w:cs="Times New Roman"/>
                <w:sz w:val="20"/>
              </w:rPr>
            </w:pPr>
            <w:r w:rsidRPr="0010262D">
              <w:rPr>
                <w:rFonts w:cs="Times New Roman"/>
              </w:rPr>
              <w:t xml:space="preserve">Revised administration costs for PEG-ADA and IVIG </w:t>
            </w:r>
          </w:p>
        </w:tc>
      </w:tr>
      <w:tr w:rsidR="00E111BE" w:rsidTr="00D0626C">
        <w:trPr>
          <w:gridAfter w:val="1"/>
          <w:wAfter w:w="6" w:type="pct"/>
        </w:trPr>
        <w:tc>
          <w:tcPr>
            <w:tcW w:w="4994" w:type="pct"/>
            <w:gridSpan w:val="3"/>
            <w:tcBorders>
              <w:top w:val="nil"/>
              <w:left w:val="nil"/>
              <w:bottom w:val="single" w:sz="4" w:space="0" w:color="auto"/>
              <w:right w:val="nil"/>
            </w:tcBorders>
          </w:tcPr>
          <w:p w:rsidR="00E111BE" w:rsidRPr="0010262D" w:rsidRDefault="00E111BE" w:rsidP="005F24D8">
            <w:pPr>
              <w:spacing w:before="60" w:after="60"/>
              <w:rPr>
                <w:rFonts w:cs="Times New Roman"/>
                <w:sz w:val="20"/>
              </w:rPr>
            </w:pPr>
            <w:r w:rsidRPr="0010262D">
              <w:rPr>
                <w:rFonts w:cs="Times New Roman"/>
              </w:rPr>
              <w:t xml:space="preserve">Inclusion of travel costs </w:t>
            </w:r>
            <w:r>
              <w:rPr>
                <w:rFonts w:cs="Times New Roman"/>
              </w:rPr>
              <w:t xml:space="preserve">to </w:t>
            </w:r>
            <w:r w:rsidRPr="005F24D8">
              <w:rPr>
                <w:rFonts w:cs="Times New Roman"/>
              </w:rPr>
              <w:t>and from Milan</w:t>
            </w:r>
          </w:p>
        </w:tc>
      </w:tr>
      <w:tr w:rsidR="00E111BE" w:rsidTr="00D0626C">
        <w:trPr>
          <w:gridAfter w:val="1"/>
          <w:wAfter w:w="6" w:type="pct"/>
        </w:trPr>
        <w:tc>
          <w:tcPr>
            <w:tcW w:w="4994" w:type="pct"/>
            <w:gridSpan w:val="3"/>
            <w:tcBorders>
              <w:top w:val="single" w:sz="4" w:space="0" w:color="auto"/>
              <w:left w:val="nil"/>
              <w:bottom w:val="single" w:sz="4" w:space="0" w:color="auto"/>
              <w:right w:val="nil"/>
            </w:tcBorders>
            <w:shd w:val="clear" w:color="auto" w:fill="F2F2F2" w:themeFill="background1" w:themeFillShade="F2"/>
          </w:tcPr>
          <w:p w:rsidR="00E111BE" w:rsidRPr="0010262D" w:rsidRDefault="00E111BE" w:rsidP="00E75ED4">
            <w:pPr>
              <w:spacing w:before="60" w:after="60"/>
              <w:rPr>
                <w:rFonts w:cs="Times New Roman"/>
                <w:sz w:val="20"/>
              </w:rPr>
            </w:pPr>
            <w:r w:rsidRPr="0010262D">
              <w:rPr>
                <w:rFonts w:cs="Times New Roman"/>
                <w:b/>
                <w:sz w:val="20"/>
              </w:rPr>
              <w:t>ERG scenarios</w:t>
            </w:r>
          </w:p>
        </w:tc>
      </w:tr>
      <w:tr w:rsidR="00E111BE" w:rsidTr="00D0626C">
        <w:trPr>
          <w:trHeight w:val="357"/>
        </w:trPr>
        <w:tc>
          <w:tcPr>
            <w:tcW w:w="314" w:type="pct"/>
            <w:tcBorders>
              <w:top w:val="single" w:sz="4" w:space="0" w:color="auto"/>
              <w:left w:val="nil"/>
              <w:bottom w:val="nil"/>
              <w:right w:val="nil"/>
            </w:tcBorders>
            <w:vAlign w:val="center"/>
          </w:tcPr>
          <w:p w:rsidR="00E111BE" w:rsidRPr="0010262D" w:rsidRDefault="00E111BE" w:rsidP="00AF0FB1">
            <w:pPr>
              <w:spacing w:before="60" w:after="60"/>
              <w:jc w:val="center"/>
              <w:rPr>
                <w:rFonts w:cs="Times New Roman"/>
                <w:sz w:val="20"/>
              </w:rPr>
            </w:pPr>
            <w:r w:rsidRPr="0010262D">
              <w:rPr>
                <w:rFonts w:cs="Times New Roman"/>
                <w:sz w:val="20"/>
              </w:rPr>
              <w:t>(i)</w:t>
            </w:r>
          </w:p>
        </w:tc>
        <w:tc>
          <w:tcPr>
            <w:tcW w:w="4686" w:type="pct"/>
            <w:gridSpan w:val="3"/>
            <w:tcBorders>
              <w:top w:val="single" w:sz="4" w:space="0" w:color="auto"/>
              <w:left w:val="nil"/>
              <w:bottom w:val="nil"/>
              <w:right w:val="nil"/>
            </w:tcBorders>
          </w:tcPr>
          <w:p w:rsidR="00E111BE" w:rsidRPr="0010262D" w:rsidRDefault="00E111BE" w:rsidP="00ED6577">
            <w:pPr>
              <w:spacing w:before="60" w:after="60"/>
              <w:rPr>
                <w:rFonts w:cs="Times New Roman"/>
              </w:rPr>
            </w:pPr>
            <w:r>
              <w:rPr>
                <w:rFonts w:cs="Times New Roman"/>
              </w:rPr>
              <w:t>C</w:t>
            </w:r>
            <w:r w:rsidRPr="0010262D">
              <w:rPr>
                <w:rFonts w:cs="Times New Roman"/>
              </w:rPr>
              <w:t xml:space="preserve">orrections to the company model  </w:t>
            </w:r>
          </w:p>
        </w:tc>
      </w:tr>
      <w:tr w:rsidR="00E111BE" w:rsidTr="00D0626C">
        <w:trPr>
          <w:trHeight w:val="356"/>
        </w:trPr>
        <w:tc>
          <w:tcPr>
            <w:tcW w:w="314" w:type="pct"/>
            <w:tcBorders>
              <w:top w:val="nil"/>
              <w:left w:val="nil"/>
              <w:bottom w:val="nil"/>
              <w:right w:val="nil"/>
            </w:tcBorders>
            <w:vAlign w:val="center"/>
          </w:tcPr>
          <w:p w:rsidR="00E111BE" w:rsidRPr="0010262D" w:rsidRDefault="00E111BE" w:rsidP="00AF0FB1">
            <w:pPr>
              <w:spacing w:before="60" w:after="60"/>
              <w:jc w:val="center"/>
              <w:rPr>
                <w:rFonts w:cs="Times New Roman"/>
                <w:sz w:val="20"/>
              </w:rPr>
            </w:pPr>
            <w:r w:rsidRPr="0010262D">
              <w:rPr>
                <w:rFonts w:cs="Times New Roman"/>
                <w:sz w:val="20"/>
              </w:rPr>
              <w:t>(ii)</w:t>
            </w:r>
          </w:p>
        </w:tc>
        <w:tc>
          <w:tcPr>
            <w:tcW w:w="4686" w:type="pct"/>
            <w:gridSpan w:val="3"/>
            <w:tcBorders>
              <w:top w:val="nil"/>
              <w:left w:val="nil"/>
              <w:bottom w:val="nil"/>
              <w:right w:val="nil"/>
            </w:tcBorders>
          </w:tcPr>
          <w:p w:rsidR="00E111BE" w:rsidRPr="0010262D" w:rsidRDefault="00E111BE" w:rsidP="00AF0FB1">
            <w:pPr>
              <w:spacing w:before="60" w:after="60"/>
              <w:rPr>
                <w:rFonts w:cs="Times New Roman"/>
              </w:rPr>
            </w:pPr>
            <w:r w:rsidRPr="0010262D">
              <w:rPr>
                <w:rFonts w:cs="Times New Roman"/>
              </w:rPr>
              <w:t>Incorporating the NPP to inform procedural outcomes</w:t>
            </w:r>
          </w:p>
        </w:tc>
      </w:tr>
      <w:tr w:rsidR="00E111BE" w:rsidTr="00D0626C">
        <w:trPr>
          <w:trHeight w:val="356"/>
        </w:trPr>
        <w:tc>
          <w:tcPr>
            <w:tcW w:w="314" w:type="pct"/>
            <w:tcBorders>
              <w:top w:val="nil"/>
              <w:left w:val="nil"/>
              <w:bottom w:val="nil"/>
              <w:right w:val="nil"/>
            </w:tcBorders>
            <w:vAlign w:val="center"/>
          </w:tcPr>
          <w:p w:rsidR="00E111BE" w:rsidRPr="0010262D" w:rsidRDefault="00E111BE" w:rsidP="00AF0FB1">
            <w:pPr>
              <w:spacing w:before="60" w:after="60"/>
              <w:jc w:val="center"/>
              <w:rPr>
                <w:rFonts w:cs="Times New Roman"/>
                <w:sz w:val="20"/>
              </w:rPr>
            </w:pPr>
            <w:r w:rsidRPr="0010262D">
              <w:rPr>
                <w:rFonts w:cs="Times New Roman"/>
                <w:sz w:val="20"/>
              </w:rPr>
              <w:t>(iii)</w:t>
            </w:r>
          </w:p>
        </w:tc>
        <w:tc>
          <w:tcPr>
            <w:tcW w:w="4686" w:type="pct"/>
            <w:gridSpan w:val="3"/>
            <w:tcBorders>
              <w:top w:val="nil"/>
              <w:left w:val="nil"/>
              <w:bottom w:val="nil"/>
              <w:right w:val="nil"/>
            </w:tcBorders>
          </w:tcPr>
          <w:p w:rsidR="00E111BE" w:rsidRPr="0010262D" w:rsidRDefault="00E111BE" w:rsidP="00AF0FB1">
            <w:pPr>
              <w:spacing w:before="60" w:after="60"/>
              <w:rPr>
                <w:rFonts w:cs="Times New Roman"/>
              </w:rPr>
            </w:pPr>
            <w:r w:rsidRPr="0010262D">
              <w:rPr>
                <w:rFonts w:cs="Times New Roman"/>
              </w:rPr>
              <w:t>Assuming equal wait times and pre-procedure PEG-ADA use across treatment arms</w:t>
            </w:r>
          </w:p>
        </w:tc>
      </w:tr>
      <w:tr w:rsidR="00E111BE" w:rsidTr="00D0626C">
        <w:trPr>
          <w:trHeight w:val="356"/>
        </w:trPr>
        <w:tc>
          <w:tcPr>
            <w:tcW w:w="314" w:type="pct"/>
            <w:tcBorders>
              <w:top w:val="nil"/>
              <w:left w:val="nil"/>
              <w:bottom w:val="nil"/>
              <w:right w:val="nil"/>
            </w:tcBorders>
            <w:vAlign w:val="center"/>
          </w:tcPr>
          <w:p w:rsidR="00E111BE" w:rsidRPr="0010262D" w:rsidRDefault="00E111BE" w:rsidP="00AF0FB1">
            <w:pPr>
              <w:spacing w:before="60" w:after="60"/>
              <w:jc w:val="center"/>
              <w:rPr>
                <w:rFonts w:cs="Times New Roman"/>
                <w:sz w:val="20"/>
              </w:rPr>
            </w:pPr>
            <w:r w:rsidRPr="0010262D">
              <w:rPr>
                <w:rFonts w:cs="Times New Roman"/>
                <w:sz w:val="20"/>
              </w:rPr>
              <w:t>(iv)</w:t>
            </w:r>
          </w:p>
        </w:tc>
        <w:tc>
          <w:tcPr>
            <w:tcW w:w="4686" w:type="pct"/>
            <w:gridSpan w:val="3"/>
            <w:tcBorders>
              <w:top w:val="nil"/>
              <w:left w:val="nil"/>
              <w:bottom w:val="nil"/>
              <w:right w:val="nil"/>
            </w:tcBorders>
          </w:tcPr>
          <w:p w:rsidR="00E111BE" w:rsidRPr="0010262D" w:rsidRDefault="00E111BE" w:rsidP="00AF0FB1">
            <w:pPr>
              <w:spacing w:before="60" w:after="60"/>
              <w:rPr>
                <w:rFonts w:cs="Times New Roman"/>
              </w:rPr>
            </w:pPr>
            <w:r w:rsidRPr="0010262D">
              <w:rPr>
                <w:rFonts w:cs="Times New Roman"/>
              </w:rPr>
              <w:t>Assuming rescue therapy has same cost and health outcomes as initial MUD</w:t>
            </w:r>
          </w:p>
        </w:tc>
      </w:tr>
      <w:tr w:rsidR="00E111BE" w:rsidTr="00D0626C">
        <w:trPr>
          <w:trHeight w:val="356"/>
        </w:trPr>
        <w:tc>
          <w:tcPr>
            <w:tcW w:w="314" w:type="pct"/>
            <w:tcBorders>
              <w:top w:val="nil"/>
              <w:left w:val="nil"/>
              <w:bottom w:val="nil"/>
              <w:right w:val="nil"/>
            </w:tcBorders>
            <w:vAlign w:val="center"/>
          </w:tcPr>
          <w:p w:rsidR="00E111BE" w:rsidRPr="0010262D" w:rsidRDefault="00E111BE" w:rsidP="00EA0B09">
            <w:pPr>
              <w:spacing w:before="60" w:after="60"/>
              <w:jc w:val="center"/>
              <w:rPr>
                <w:rFonts w:cs="Times New Roman"/>
                <w:sz w:val="20"/>
              </w:rPr>
            </w:pPr>
            <w:r w:rsidRPr="0010262D">
              <w:rPr>
                <w:rFonts w:cs="Times New Roman"/>
                <w:sz w:val="20"/>
              </w:rPr>
              <w:t>(v)</w:t>
            </w:r>
          </w:p>
        </w:tc>
        <w:tc>
          <w:tcPr>
            <w:tcW w:w="4686" w:type="pct"/>
            <w:gridSpan w:val="3"/>
            <w:tcBorders>
              <w:top w:val="nil"/>
              <w:left w:val="nil"/>
              <w:bottom w:val="nil"/>
              <w:right w:val="nil"/>
            </w:tcBorders>
          </w:tcPr>
          <w:p w:rsidR="00E111BE" w:rsidRPr="0010262D" w:rsidRDefault="00E111BE" w:rsidP="00EA0B09">
            <w:pPr>
              <w:spacing w:before="60" w:after="60"/>
              <w:rPr>
                <w:rFonts w:cs="Times New Roman"/>
              </w:rPr>
            </w:pPr>
            <w:r w:rsidRPr="0010262D">
              <w:rPr>
                <w:rFonts w:cs="Times New Roman"/>
              </w:rPr>
              <w:t>Adding ongoing healthcare costs and morbidity associated systemic sequelae of ADA-SCID</w:t>
            </w:r>
          </w:p>
        </w:tc>
      </w:tr>
      <w:tr w:rsidR="00E111BE" w:rsidTr="00D0626C">
        <w:trPr>
          <w:trHeight w:val="356"/>
        </w:trPr>
        <w:tc>
          <w:tcPr>
            <w:tcW w:w="314" w:type="pct"/>
            <w:tcBorders>
              <w:top w:val="nil"/>
              <w:left w:val="nil"/>
              <w:bottom w:val="nil"/>
              <w:right w:val="nil"/>
            </w:tcBorders>
            <w:vAlign w:val="center"/>
          </w:tcPr>
          <w:p w:rsidR="00E111BE" w:rsidRPr="0010262D" w:rsidRDefault="00E111BE" w:rsidP="00EA0B09">
            <w:pPr>
              <w:jc w:val="center"/>
              <w:rPr>
                <w:rFonts w:cs="Times New Roman"/>
                <w:sz w:val="20"/>
              </w:rPr>
            </w:pPr>
            <w:r w:rsidRPr="0010262D">
              <w:rPr>
                <w:rFonts w:cs="Times New Roman"/>
                <w:sz w:val="20"/>
              </w:rPr>
              <w:t>(vi)</w:t>
            </w:r>
          </w:p>
        </w:tc>
        <w:tc>
          <w:tcPr>
            <w:tcW w:w="4686" w:type="pct"/>
            <w:gridSpan w:val="3"/>
            <w:tcBorders>
              <w:top w:val="nil"/>
              <w:left w:val="nil"/>
              <w:bottom w:val="nil"/>
              <w:right w:val="nil"/>
            </w:tcBorders>
          </w:tcPr>
          <w:p w:rsidR="00E111BE" w:rsidRPr="0010262D" w:rsidRDefault="00E111BE" w:rsidP="00AF0FB1">
            <w:pPr>
              <w:spacing w:before="60" w:after="60"/>
              <w:rPr>
                <w:rFonts w:cs="Times New Roman"/>
              </w:rPr>
            </w:pPr>
            <w:r w:rsidRPr="0010262D">
              <w:rPr>
                <w:rFonts w:cs="Times New Roman"/>
              </w:rPr>
              <w:t xml:space="preserve">Adjusting unit costs for HSCT from a MUD and GvHD events </w:t>
            </w:r>
          </w:p>
        </w:tc>
      </w:tr>
      <w:tr w:rsidR="00E111BE" w:rsidTr="00D0626C">
        <w:trPr>
          <w:trHeight w:val="356"/>
        </w:trPr>
        <w:tc>
          <w:tcPr>
            <w:tcW w:w="314" w:type="pct"/>
            <w:tcBorders>
              <w:top w:val="nil"/>
              <w:left w:val="nil"/>
              <w:bottom w:val="single" w:sz="4" w:space="0" w:color="auto"/>
              <w:right w:val="nil"/>
            </w:tcBorders>
            <w:vAlign w:val="center"/>
          </w:tcPr>
          <w:p w:rsidR="00E111BE" w:rsidRPr="0010262D" w:rsidRDefault="00E111BE" w:rsidP="00AF0FB1">
            <w:pPr>
              <w:jc w:val="center"/>
              <w:rPr>
                <w:rFonts w:cs="Times New Roman"/>
                <w:sz w:val="20"/>
              </w:rPr>
            </w:pPr>
            <w:r w:rsidRPr="0010262D">
              <w:rPr>
                <w:rFonts w:cs="Times New Roman"/>
                <w:sz w:val="20"/>
              </w:rPr>
              <w:t>(vii)</w:t>
            </w:r>
          </w:p>
        </w:tc>
        <w:tc>
          <w:tcPr>
            <w:tcW w:w="4686" w:type="pct"/>
            <w:gridSpan w:val="3"/>
            <w:tcBorders>
              <w:top w:val="nil"/>
              <w:left w:val="nil"/>
              <w:bottom w:val="single" w:sz="4" w:space="0" w:color="auto"/>
              <w:right w:val="nil"/>
            </w:tcBorders>
          </w:tcPr>
          <w:p w:rsidR="00E111BE" w:rsidRPr="0010262D" w:rsidRDefault="00E111BE" w:rsidP="00AF0FB1">
            <w:pPr>
              <w:spacing w:before="60" w:after="60"/>
              <w:rPr>
                <w:rFonts w:cs="Times New Roman"/>
              </w:rPr>
            </w:pPr>
            <w:r w:rsidRPr="0010262D">
              <w:rPr>
                <w:rFonts w:cs="Times New Roman"/>
              </w:rPr>
              <w:t>Incorporating cost of baseline screening for proportion of patients ineligible for Strimvelis</w:t>
            </w:r>
          </w:p>
        </w:tc>
      </w:tr>
      <w:tr w:rsidR="00E111BE" w:rsidTr="00D0626C">
        <w:trPr>
          <w:gridAfter w:val="1"/>
          <w:wAfter w:w="6" w:type="pct"/>
          <w:trHeight w:val="358"/>
        </w:trPr>
        <w:tc>
          <w:tcPr>
            <w:tcW w:w="4994" w:type="pct"/>
            <w:gridSpan w:val="3"/>
            <w:tcBorders>
              <w:top w:val="single" w:sz="8" w:space="0" w:color="auto"/>
              <w:left w:val="nil"/>
              <w:bottom w:val="single" w:sz="8" w:space="0" w:color="auto"/>
              <w:right w:val="nil"/>
            </w:tcBorders>
            <w:shd w:val="clear" w:color="auto" w:fill="F2F2F2" w:themeFill="background1" w:themeFillShade="F2"/>
          </w:tcPr>
          <w:p w:rsidR="00E111BE" w:rsidRPr="0010262D" w:rsidRDefault="00E111BE" w:rsidP="0035384B">
            <w:pPr>
              <w:spacing w:before="60" w:after="60"/>
              <w:rPr>
                <w:rFonts w:cs="Times New Roman"/>
                <w:sz w:val="20"/>
              </w:rPr>
            </w:pPr>
            <w:r w:rsidRPr="0010262D">
              <w:rPr>
                <w:rFonts w:cs="Times New Roman"/>
                <w:b/>
                <w:sz w:val="20"/>
              </w:rPr>
              <w:t xml:space="preserve">ERG’s justification </w:t>
            </w:r>
            <w:r>
              <w:rPr>
                <w:rFonts w:cs="Times New Roman"/>
                <w:b/>
                <w:sz w:val="20"/>
              </w:rPr>
              <w:t>of</w:t>
            </w:r>
            <w:r w:rsidRPr="0010262D">
              <w:rPr>
                <w:rFonts w:cs="Times New Roman"/>
                <w:b/>
                <w:sz w:val="20"/>
              </w:rPr>
              <w:t xml:space="preserve"> alternative revisions</w:t>
            </w:r>
          </w:p>
        </w:tc>
      </w:tr>
      <w:tr w:rsidR="00E111BE" w:rsidTr="00D0626C">
        <w:trPr>
          <w:gridAfter w:val="1"/>
          <w:wAfter w:w="6" w:type="pct"/>
          <w:trHeight w:val="358"/>
        </w:trPr>
        <w:tc>
          <w:tcPr>
            <w:tcW w:w="314" w:type="pct"/>
            <w:tcBorders>
              <w:top w:val="single" w:sz="8" w:space="0" w:color="auto"/>
              <w:left w:val="nil"/>
              <w:bottom w:val="nil"/>
              <w:right w:val="nil"/>
            </w:tcBorders>
            <w:shd w:val="clear" w:color="auto" w:fill="FFFFFF" w:themeFill="background1"/>
            <w:vAlign w:val="center"/>
          </w:tcPr>
          <w:p w:rsidR="00E111BE" w:rsidRPr="0010262D" w:rsidRDefault="00E111BE" w:rsidP="00AF0FB1">
            <w:pPr>
              <w:spacing w:before="60" w:after="60"/>
              <w:jc w:val="center"/>
              <w:rPr>
                <w:rFonts w:cs="Times New Roman"/>
                <w:sz w:val="20"/>
              </w:rPr>
            </w:pPr>
            <w:r w:rsidRPr="0010262D">
              <w:rPr>
                <w:rFonts w:cs="Times New Roman"/>
                <w:sz w:val="20"/>
              </w:rPr>
              <w:t>(i)</w:t>
            </w:r>
          </w:p>
        </w:tc>
        <w:tc>
          <w:tcPr>
            <w:tcW w:w="4680" w:type="pct"/>
            <w:gridSpan w:val="2"/>
            <w:tcBorders>
              <w:top w:val="single" w:sz="8" w:space="0" w:color="auto"/>
              <w:left w:val="nil"/>
              <w:bottom w:val="nil"/>
              <w:right w:val="nil"/>
            </w:tcBorders>
            <w:shd w:val="clear" w:color="auto" w:fill="FFFFFF" w:themeFill="background1"/>
          </w:tcPr>
          <w:p w:rsidR="00E111BE" w:rsidRPr="0010262D" w:rsidRDefault="00E111BE" w:rsidP="00BF6AB8">
            <w:pPr>
              <w:spacing w:before="60" w:after="60"/>
              <w:rPr>
                <w:rFonts w:cs="Times New Roman"/>
              </w:rPr>
            </w:pPr>
            <w:r>
              <w:rPr>
                <w:rFonts w:cs="Times New Roman"/>
              </w:rPr>
              <w:t>Rescue transplant probabilities must be conditional on patients surviving initial transplant and m</w:t>
            </w:r>
            <w:r w:rsidRPr="0010262D">
              <w:rPr>
                <w:rFonts w:cs="Times New Roman"/>
              </w:rPr>
              <w:t xml:space="preserve">inor typographical errors </w:t>
            </w:r>
            <w:r>
              <w:rPr>
                <w:rFonts w:cs="Times New Roman"/>
              </w:rPr>
              <w:t>in</w:t>
            </w:r>
            <w:r w:rsidRPr="0010262D">
              <w:rPr>
                <w:rFonts w:cs="Times New Roman"/>
              </w:rPr>
              <w:t xml:space="preserve"> the post-Strimvel</w:t>
            </w:r>
            <w:r>
              <w:rPr>
                <w:rFonts w:cs="Times New Roman"/>
              </w:rPr>
              <w:t xml:space="preserve">is </w:t>
            </w:r>
            <w:r w:rsidRPr="0010262D">
              <w:rPr>
                <w:rFonts w:cs="Times New Roman"/>
              </w:rPr>
              <w:t>follow-up</w:t>
            </w:r>
            <w:r>
              <w:rPr>
                <w:rFonts w:cs="Times New Roman"/>
              </w:rPr>
              <w:t xml:space="preserve"> costs</w:t>
            </w:r>
            <w:r w:rsidRPr="0010262D">
              <w:rPr>
                <w:rFonts w:cs="Times New Roman"/>
              </w:rPr>
              <w:t xml:space="preserve"> in the first six months</w:t>
            </w:r>
            <w:r>
              <w:rPr>
                <w:rFonts w:cs="Times New Roman"/>
              </w:rPr>
              <w:t xml:space="preserve"> and the cost per vector copy number</w:t>
            </w:r>
            <w:r w:rsidRPr="0010262D">
              <w:rPr>
                <w:rFonts w:cs="Times New Roman"/>
              </w:rPr>
              <w:t xml:space="preserve"> </w:t>
            </w:r>
            <w:r>
              <w:rPr>
                <w:rFonts w:cs="Times New Roman"/>
              </w:rPr>
              <w:t>require corrections.</w:t>
            </w:r>
          </w:p>
        </w:tc>
      </w:tr>
      <w:tr w:rsidR="00E111BE" w:rsidTr="00D0626C">
        <w:trPr>
          <w:gridAfter w:val="1"/>
          <w:wAfter w:w="6" w:type="pct"/>
          <w:trHeight w:val="358"/>
        </w:trPr>
        <w:tc>
          <w:tcPr>
            <w:tcW w:w="314" w:type="pct"/>
            <w:tcBorders>
              <w:top w:val="nil"/>
              <w:left w:val="nil"/>
              <w:bottom w:val="nil"/>
              <w:right w:val="nil"/>
            </w:tcBorders>
            <w:shd w:val="clear" w:color="auto" w:fill="FFFFFF" w:themeFill="background1"/>
            <w:vAlign w:val="center"/>
          </w:tcPr>
          <w:p w:rsidR="00E111BE" w:rsidRPr="0010262D" w:rsidRDefault="00E111BE" w:rsidP="00AF0FB1">
            <w:pPr>
              <w:spacing w:before="60" w:after="60"/>
              <w:jc w:val="center"/>
              <w:rPr>
                <w:rFonts w:cs="Times New Roman"/>
                <w:sz w:val="20"/>
              </w:rPr>
            </w:pPr>
            <w:r w:rsidRPr="0010262D">
              <w:rPr>
                <w:rFonts w:cs="Times New Roman"/>
                <w:sz w:val="20"/>
              </w:rPr>
              <w:t>(ii)</w:t>
            </w:r>
          </w:p>
        </w:tc>
        <w:tc>
          <w:tcPr>
            <w:tcW w:w="4680" w:type="pct"/>
            <w:gridSpan w:val="2"/>
            <w:tcBorders>
              <w:top w:val="nil"/>
              <w:left w:val="nil"/>
              <w:bottom w:val="nil"/>
              <w:right w:val="nil"/>
            </w:tcBorders>
            <w:shd w:val="clear" w:color="auto" w:fill="FFFFFF" w:themeFill="background1"/>
          </w:tcPr>
          <w:p w:rsidR="00E111BE" w:rsidRPr="0010262D" w:rsidRDefault="00E111BE" w:rsidP="00E75ED4">
            <w:pPr>
              <w:spacing w:before="60" w:after="60"/>
              <w:rPr>
                <w:rFonts w:cs="Times New Roman"/>
                <w:sz w:val="20"/>
              </w:rPr>
            </w:pPr>
            <w:r w:rsidRPr="0010262D">
              <w:rPr>
                <w:rFonts w:cs="Times New Roman"/>
              </w:rPr>
              <w:t>Important to use all available data on Strimvelis’ efficacy to inform the model parameters. Incorporating the NPP is consistent with the company’s methods of informing outcomes.</w:t>
            </w:r>
          </w:p>
        </w:tc>
      </w:tr>
      <w:tr w:rsidR="00E111BE" w:rsidTr="00D0626C">
        <w:trPr>
          <w:gridAfter w:val="1"/>
          <w:wAfter w:w="6" w:type="pct"/>
          <w:trHeight w:val="358"/>
        </w:trPr>
        <w:tc>
          <w:tcPr>
            <w:tcW w:w="314" w:type="pct"/>
            <w:tcBorders>
              <w:top w:val="nil"/>
              <w:left w:val="nil"/>
              <w:bottom w:val="nil"/>
              <w:right w:val="nil"/>
            </w:tcBorders>
            <w:shd w:val="clear" w:color="auto" w:fill="FFFFFF" w:themeFill="background1"/>
            <w:vAlign w:val="center"/>
          </w:tcPr>
          <w:p w:rsidR="00E111BE" w:rsidRPr="0010262D" w:rsidRDefault="00E111BE" w:rsidP="00AF0FB1">
            <w:pPr>
              <w:spacing w:before="60" w:after="60"/>
              <w:jc w:val="center"/>
              <w:rPr>
                <w:rFonts w:cs="Times New Roman"/>
                <w:sz w:val="20"/>
              </w:rPr>
            </w:pPr>
            <w:r w:rsidRPr="0010262D">
              <w:rPr>
                <w:rFonts w:cs="Times New Roman"/>
                <w:sz w:val="20"/>
              </w:rPr>
              <w:t>(iii)</w:t>
            </w:r>
          </w:p>
        </w:tc>
        <w:tc>
          <w:tcPr>
            <w:tcW w:w="4680" w:type="pct"/>
            <w:gridSpan w:val="2"/>
            <w:tcBorders>
              <w:top w:val="nil"/>
              <w:left w:val="nil"/>
              <w:bottom w:val="nil"/>
              <w:right w:val="nil"/>
            </w:tcBorders>
            <w:shd w:val="clear" w:color="auto" w:fill="FFFFFF" w:themeFill="background1"/>
          </w:tcPr>
          <w:p w:rsidR="00E111BE" w:rsidRPr="0010262D" w:rsidRDefault="00E111BE" w:rsidP="00E75ED4">
            <w:pPr>
              <w:spacing w:before="60" w:after="60"/>
              <w:rPr>
                <w:rFonts w:cs="Times New Roman"/>
              </w:rPr>
            </w:pPr>
            <w:r w:rsidRPr="0010262D">
              <w:rPr>
                <w:rFonts w:cs="Times New Roman"/>
              </w:rPr>
              <w:t>Insufficient evidence exists supporting the company’s claim for a differential in wait times</w:t>
            </w:r>
            <w:r>
              <w:rPr>
                <w:rFonts w:cs="Times New Roman"/>
              </w:rPr>
              <w:t>.</w:t>
            </w:r>
            <w:r w:rsidRPr="0010262D">
              <w:rPr>
                <w:rFonts w:cs="Times New Roman"/>
              </w:rPr>
              <w:t xml:space="preserve"> </w:t>
            </w:r>
          </w:p>
        </w:tc>
      </w:tr>
      <w:tr w:rsidR="00E111BE" w:rsidTr="00D0626C">
        <w:trPr>
          <w:gridAfter w:val="1"/>
          <w:wAfter w:w="6" w:type="pct"/>
          <w:trHeight w:val="358"/>
        </w:trPr>
        <w:tc>
          <w:tcPr>
            <w:tcW w:w="314" w:type="pct"/>
            <w:tcBorders>
              <w:top w:val="nil"/>
              <w:left w:val="nil"/>
              <w:bottom w:val="nil"/>
              <w:right w:val="nil"/>
            </w:tcBorders>
            <w:shd w:val="clear" w:color="auto" w:fill="FFFFFF" w:themeFill="background1"/>
            <w:vAlign w:val="center"/>
          </w:tcPr>
          <w:p w:rsidR="00E111BE" w:rsidRPr="0010262D" w:rsidRDefault="00E111BE" w:rsidP="00AF0FB1">
            <w:pPr>
              <w:spacing w:before="60" w:after="60"/>
              <w:jc w:val="center"/>
              <w:rPr>
                <w:rFonts w:cs="Times New Roman"/>
                <w:sz w:val="20"/>
              </w:rPr>
            </w:pPr>
            <w:r w:rsidRPr="0010262D">
              <w:rPr>
                <w:rFonts w:cs="Times New Roman"/>
                <w:sz w:val="20"/>
              </w:rPr>
              <w:t>(iv)</w:t>
            </w:r>
          </w:p>
        </w:tc>
        <w:tc>
          <w:tcPr>
            <w:tcW w:w="4680" w:type="pct"/>
            <w:gridSpan w:val="2"/>
            <w:tcBorders>
              <w:top w:val="nil"/>
              <w:left w:val="nil"/>
              <w:bottom w:val="nil"/>
              <w:right w:val="nil"/>
            </w:tcBorders>
            <w:shd w:val="clear" w:color="auto" w:fill="FFFFFF" w:themeFill="background1"/>
          </w:tcPr>
          <w:p w:rsidR="00E111BE" w:rsidRPr="0010262D" w:rsidRDefault="00E111BE" w:rsidP="00F34C98">
            <w:pPr>
              <w:spacing w:before="60" w:after="60"/>
              <w:rPr>
                <w:rFonts w:cs="Times New Roman"/>
              </w:rPr>
            </w:pPr>
            <w:r w:rsidRPr="0010262D">
              <w:rPr>
                <w:rFonts w:cs="Times New Roman"/>
              </w:rPr>
              <w:t>Unrealistic to assume all rescue transplants would find a MSD, and that all transplants would achieve 100% survival with 100% successful engraftment</w:t>
            </w:r>
            <w:r>
              <w:rPr>
                <w:rFonts w:cs="Times New Roman"/>
              </w:rPr>
              <w:t>.</w:t>
            </w:r>
          </w:p>
        </w:tc>
      </w:tr>
      <w:tr w:rsidR="00E111BE" w:rsidTr="00D0626C">
        <w:trPr>
          <w:gridAfter w:val="1"/>
          <w:wAfter w:w="6" w:type="pct"/>
          <w:trHeight w:val="358"/>
        </w:trPr>
        <w:tc>
          <w:tcPr>
            <w:tcW w:w="314" w:type="pct"/>
            <w:tcBorders>
              <w:top w:val="nil"/>
              <w:left w:val="nil"/>
              <w:bottom w:val="nil"/>
              <w:right w:val="nil"/>
            </w:tcBorders>
            <w:shd w:val="clear" w:color="auto" w:fill="FFFFFF" w:themeFill="background1"/>
            <w:vAlign w:val="center"/>
          </w:tcPr>
          <w:p w:rsidR="00E111BE" w:rsidRPr="0010262D" w:rsidRDefault="00E111BE" w:rsidP="00AF0FB1">
            <w:pPr>
              <w:spacing w:before="60" w:after="60"/>
              <w:jc w:val="center"/>
              <w:rPr>
                <w:rFonts w:cs="Times New Roman"/>
                <w:sz w:val="20"/>
              </w:rPr>
            </w:pPr>
            <w:r w:rsidRPr="0010262D">
              <w:rPr>
                <w:rFonts w:cs="Times New Roman"/>
                <w:sz w:val="20"/>
              </w:rPr>
              <w:t>(v)</w:t>
            </w:r>
          </w:p>
        </w:tc>
        <w:tc>
          <w:tcPr>
            <w:tcW w:w="4680" w:type="pct"/>
            <w:gridSpan w:val="2"/>
            <w:tcBorders>
              <w:top w:val="nil"/>
              <w:left w:val="nil"/>
              <w:bottom w:val="nil"/>
              <w:right w:val="nil"/>
            </w:tcBorders>
            <w:shd w:val="clear" w:color="auto" w:fill="FFFFFF" w:themeFill="background1"/>
          </w:tcPr>
          <w:p w:rsidR="00E111BE" w:rsidRPr="0010262D" w:rsidRDefault="00E111BE" w:rsidP="00AF0FB1">
            <w:pPr>
              <w:spacing w:before="60" w:after="60"/>
              <w:rPr>
                <w:rFonts w:cs="Times New Roman"/>
              </w:rPr>
            </w:pPr>
            <w:r>
              <w:rPr>
                <w:rFonts w:cs="Times New Roman"/>
              </w:rPr>
              <w:t>E</w:t>
            </w:r>
            <w:r w:rsidRPr="008249E5">
              <w:rPr>
                <w:rFonts w:cs="Times New Roman"/>
              </w:rPr>
              <w:t>vidence suggests that patients with ADA-SCID do not experience general population mortality and HRQoL after successful treatment</w:t>
            </w:r>
            <w:r>
              <w:rPr>
                <w:rFonts w:cs="Times New Roman"/>
              </w:rPr>
              <w:t>.</w:t>
            </w:r>
          </w:p>
        </w:tc>
      </w:tr>
      <w:tr w:rsidR="00E111BE" w:rsidTr="00D0626C">
        <w:trPr>
          <w:gridAfter w:val="1"/>
          <w:wAfter w:w="6" w:type="pct"/>
          <w:trHeight w:val="358"/>
        </w:trPr>
        <w:tc>
          <w:tcPr>
            <w:tcW w:w="314" w:type="pct"/>
            <w:tcBorders>
              <w:top w:val="nil"/>
              <w:left w:val="nil"/>
              <w:bottom w:val="nil"/>
              <w:right w:val="nil"/>
            </w:tcBorders>
            <w:shd w:val="clear" w:color="auto" w:fill="FFFFFF" w:themeFill="background1"/>
            <w:vAlign w:val="center"/>
          </w:tcPr>
          <w:p w:rsidR="00E111BE" w:rsidRPr="0010262D" w:rsidRDefault="00E111BE" w:rsidP="00AF0FB1">
            <w:pPr>
              <w:jc w:val="center"/>
              <w:rPr>
                <w:rFonts w:cs="Times New Roman"/>
                <w:sz w:val="20"/>
              </w:rPr>
            </w:pPr>
            <w:r w:rsidRPr="0010262D">
              <w:rPr>
                <w:rFonts w:cs="Times New Roman"/>
                <w:sz w:val="20"/>
              </w:rPr>
              <w:t>(vi)</w:t>
            </w:r>
          </w:p>
        </w:tc>
        <w:tc>
          <w:tcPr>
            <w:tcW w:w="4680" w:type="pct"/>
            <w:gridSpan w:val="2"/>
            <w:tcBorders>
              <w:top w:val="nil"/>
              <w:left w:val="nil"/>
              <w:bottom w:val="nil"/>
              <w:right w:val="nil"/>
            </w:tcBorders>
            <w:shd w:val="clear" w:color="auto" w:fill="FFFFFF" w:themeFill="background1"/>
          </w:tcPr>
          <w:p w:rsidR="00E111BE" w:rsidRPr="0010262D" w:rsidRDefault="00E111BE" w:rsidP="00087F27">
            <w:pPr>
              <w:spacing w:before="60" w:after="60"/>
              <w:rPr>
                <w:rFonts w:cs="Times New Roman"/>
              </w:rPr>
            </w:pPr>
            <w:r w:rsidRPr="0010262D">
              <w:rPr>
                <w:rFonts w:cs="Times New Roman"/>
              </w:rPr>
              <w:t xml:space="preserve">MUD transplants should be costed by the expected transplant type (i.e. bone marrow vs cord donor) and GvHD costs should be </w:t>
            </w:r>
            <w:r>
              <w:rPr>
                <w:rFonts w:cs="Times New Roman"/>
              </w:rPr>
              <w:t>based on all events</w:t>
            </w:r>
            <w:r w:rsidRPr="0010262D">
              <w:rPr>
                <w:rFonts w:cs="Times New Roman"/>
              </w:rPr>
              <w:t xml:space="preserve"> rather than severe cases only</w:t>
            </w:r>
            <w:r>
              <w:rPr>
                <w:rFonts w:cs="Times New Roman"/>
              </w:rPr>
              <w:t>.</w:t>
            </w:r>
          </w:p>
        </w:tc>
      </w:tr>
      <w:tr w:rsidR="00E111BE" w:rsidTr="00D0626C">
        <w:trPr>
          <w:gridAfter w:val="1"/>
          <w:wAfter w:w="6" w:type="pct"/>
          <w:trHeight w:val="358"/>
        </w:trPr>
        <w:tc>
          <w:tcPr>
            <w:tcW w:w="314" w:type="pct"/>
            <w:tcBorders>
              <w:top w:val="nil"/>
              <w:left w:val="nil"/>
              <w:bottom w:val="nil"/>
              <w:right w:val="nil"/>
            </w:tcBorders>
            <w:shd w:val="clear" w:color="auto" w:fill="FFFFFF" w:themeFill="background1"/>
            <w:vAlign w:val="center"/>
          </w:tcPr>
          <w:p w:rsidR="00E111BE" w:rsidRPr="0010262D" w:rsidRDefault="00E111BE" w:rsidP="00AF0FB1">
            <w:pPr>
              <w:jc w:val="center"/>
              <w:rPr>
                <w:rFonts w:cs="Times New Roman"/>
                <w:sz w:val="20"/>
              </w:rPr>
            </w:pPr>
            <w:r w:rsidRPr="0010262D">
              <w:rPr>
                <w:rFonts w:cs="Times New Roman"/>
                <w:sz w:val="20"/>
              </w:rPr>
              <w:t>(vii)</w:t>
            </w:r>
          </w:p>
        </w:tc>
        <w:tc>
          <w:tcPr>
            <w:tcW w:w="4680" w:type="pct"/>
            <w:gridSpan w:val="2"/>
            <w:tcBorders>
              <w:top w:val="nil"/>
              <w:left w:val="nil"/>
              <w:bottom w:val="nil"/>
              <w:right w:val="nil"/>
            </w:tcBorders>
            <w:shd w:val="clear" w:color="auto" w:fill="FFFFFF" w:themeFill="background1"/>
          </w:tcPr>
          <w:p w:rsidR="00E111BE" w:rsidRPr="0010262D" w:rsidRDefault="00E111BE" w:rsidP="00597080">
            <w:pPr>
              <w:spacing w:before="60" w:after="60"/>
              <w:rPr>
                <w:rFonts w:cs="Times New Roman"/>
              </w:rPr>
            </w:pPr>
            <w:r w:rsidRPr="0010262D">
              <w:rPr>
                <w:rFonts w:cs="Times New Roman"/>
              </w:rPr>
              <w:t>Costs for screening for patients unable to donate adequate CD34+ cells should be incorporated into the model</w:t>
            </w:r>
            <w:r>
              <w:rPr>
                <w:rFonts w:cs="Times New Roman"/>
              </w:rPr>
              <w:t>.</w:t>
            </w:r>
          </w:p>
        </w:tc>
      </w:tr>
      <w:tr w:rsidR="00E111BE" w:rsidTr="00D0626C">
        <w:trPr>
          <w:gridAfter w:val="1"/>
          <w:wAfter w:w="6" w:type="pct"/>
        </w:trPr>
        <w:tc>
          <w:tcPr>
            <w:tcW w:w="2199" w:type="pct"/>
            <w:gridSpan w:val="2"/>
            <w:tcBorders>
              <w:top w:val="single" w:sz="8" w:space="0" w:color="auto"/>
              <w:left w:val="nil"/>
              <w:bottom w:val="single" w:sz="8" w:space="0" w:color="auto"/>
              <w:right w:val="nil"/>
            </w:tcBorders>
            <w:shd w:val="clear" w:color="auto" w:fill="FDFDFD"/>
          </w:tcPr>
          <w:p w:rsidR="00E111BE" w:rsidRPr="00392CA8" w:rsidRDefault="00E111BE" w:rsidP="00AF0FB1">
            <w:pPr>
              <w:shd w:val="clear" w:color="auto" w:fill="FDFDFD"/>
              <w:spacing w:before="60" w:after="60"/>
              <w:rPr>
                <w:rFonts w:eastAsia="Times New Roman" w:cs="Times New Roman"/>
              </w:rPr>
            </w:pPr>
            <w:r w:rsidRPr="00392CA8">
              <w:rPr>
                <w:rFonts w:eastAsia="Times New Roman" w:cs="Times New Roman"/>
              </w:rPr>
              <w:t>ERG revised base case MUD ICER</w:t>
            </w:r>
          </w:p>
        </w:tc>
        <w:tc>
          <w:tcPr>
            <w:tcW w:w="2795" w:type="pct"/>
            <w:tcBorders>
              <w:top w:val="single" w:sz="8" w:space="0" w:color="auto"/>
              <w:left w:val="nil"/>
              <w:bottom w:val="single" w:sz="8" w:space="0" w:color="auto"/>
              <w:right w:val="nil"/>
            </w:tcBorders>
            <w:shd w:val="clear" w:color="auto" w:fill="FDFDFD"/>
          </w:tcPr>
          <w:p w:rsidR="00E111BE" w:rsidRPr="00392CA8" w:rsidRDefault="00E111BE" w:rsidP="00AF0FB1">
            <w:pPr>
              <w:shd w:val="clear" w:color="auto" w:fill="FDFDFD"/>
              <w:spacing w:before="60" w:after="60"/>
              <w:rPr>
                <w:rFonts w:eastAsia="Times New Roman" w:cs="Times New Roman"/>
              </w:rPr>
            </w:pPr>
            <w:r w:rsidRPr="00392CA8">
              <w:rPr>
                <w:rFonts w:eastAsia="Times New Roman" w:cs="Times New Roman"/>
              </w:rPr>
              <w:t>£86,815</w:t>
            </w:r>
            <w:r w:rsidR="00F91115">
              <w:rPr>
                <w:rFonts w:eastAsia="Times New Roman" w:cs="Times New Roman"/>
              </w:rPr>
              <w:t xml:space="preserve"> per QALY gained</w:t>
            </w:r>
          </w:p>
        </w:tc>
      </w:tr>
      <w:tr w:rsidR="00E111BE" w:rsidTr="00D0626C">
        <w:trPr>
          <w:gridAfter w:val="1"/>
          <w:wAfter w:w="6" w:type="pct"/>
        </w:trPr>
        <w:tc>
          <w:tcPr>
            <w:tcW w:w="2199" w:type="pct"/>
            <w:gridSpan w:val="2"/>
            <w:tcBorders>
              <w:top w:val="single" w:sz="8" w:space="0" w:color="auto"/>
              <w:left w:val="nil"/>
              <w:bottom w:val="single" w:sz="8" w:space="0" w:color="auto"/>
              <w:right w:val="nil"/>
            </w:tcBorders>
            <w:shd w:val="clear" w:color="auto" w:fill="FDFDFD"/>
          </w:tcPr>
          <w:p w:rsidR="00E111BE" w:rsidRPr="00392CA8" w:rsidRDefault="00E111BE" w:rsidP="00AF0FB1">
            <w:pPr>
              <w:shd w:val="clear" w:color="auto" w:fill="FDFDFD"/>
              <w:spacing w:before="60" w:after="60"/>
              <w:rPr>
                <w:rFonts w:eastAsia="Times New Roman" w:cs="Times New Roman"/>
              </w:rPr>
            </w:pPr>
            <w:r w:rsidRPr="00392CA8">
              <w:rPr>
                <w:rFonts w:eastAsia="Times New Roman" w:cs="Times New Roman"/>
              </w:rPr>
              <w:t>ERG revised base case haploidentical ICER</w:t>
            </w:r>
          </w:p>
        </w:tc>
        <w:tc>
          <w:tcPr>
            <w:tcW w:w="2795" w:type="pct"/>
            <w:tcBorders>
              <w:top w:val="single" w:sz="8" w:space="0" w:color="auto"/>
              <w:left w:val="nil"/>
              <w:bottom w:val="single" w:sz="8" w:space="0" w:color="auto"/>
              <w:right w:val="nil"/>
            </w:tcBorders>
            <w:shd w:val="clear" w:color="auto" w:fill="FDFDFD"/>
          </w:tcPr>
          <w:p w:rsidR="00E111BE" w:rsidRPr="00392CA8" w:rsidRDefault="00E111BE" w:rsidP="00AF0FB1">
            <w:pPr>
              <w:shd w:val="clear" w:color="auto" w:fill="FDFDFD"/>
              <w:spacing w:before="60" w:after="60"/>
              <w:rPr>
                <w:rFonts w:eastAsia="Times New Roman" w:cs="Times New Roman"/>
              </w:rPr>
            </w:pPr>
            <w:r w:rsidRPr="00392CA8">
              <w:rPr>
                <w:rFonts w:eastAsia="Times New Roman" w:cs="Times New Roman"/>
              </w:rPr>
              <w:t>£16,704</w:t>
            </w:r>
            <w:r w:rsidR="00F91115">
              <w:rPr>
                <w:rFonts w:eastAsia="Times New Roman" w:cs="Times New Roman"/>
              </w:rPr>
              <w:t xml:space="preserve"> per QALY gained</w:t>
            </w:r>
          </w:p>
        </w:tc>
      </w:tr>
    </w:tbl>
    <w:p w:rsidR="00E111BE" w:rsidRPr="00D70D1B" w:rsidRDefault="00E111BE" w:rsidP="00AF7556">
      <w:pPr>
        <w:spacing w:before="120" w:after="0" w:line="240" w:lineRule="auto"/>
        <w:rPr>
          <w:vertAlign w:val="superscript"/>
        </w:rPr>
      </w:pPr>
      <w:r w:rsidRPr="00D70D1B">
        <w:rPr>
          <w:rFonts w:asciiTheme="minorHAnsi" w:hAnsiTheme="minorHAnsi"/>
          <w:szCs w:val="18"/>
          <w:vertAlign w:val="superscript"/>
        </w:rPr>
        <w:t>ERG: Evidence Review Group; IVIG: Intravenous Immunoglobulin; GvHD: Graft versus host disease; PEG-ADA: Pegademase bovine; NPP: Named Patient Population; MUD: matched unrelated donor; ADA-SCID: adenosine deaminase deficiency-severe combined immunodeficiency; HSCT: haematopoietic stem cell transplant; MSD: matched sibling donor; ICER: Incremental cost-effectiveness ratio.</w:t>
      </w:r>
      <w:r w:rsidRPr="00D70D1B">
        <w:rPr>
          <w:vertAlign w:val="superscript"/>
        </w:rPr>
        <w:br w:type="page"/>
      </w:r>
    </w:p>
    <w:p w:rsidR="00E111BE" w:rsidRDefault="00E111BE" w:rsidP="00BC4654">
      <w:pPr>
        <w:rPr>
          <w:b/>
        </w:rPr>
      </w:pPr>
      <w:r>
        <w:rPr>
          <w:b/>
        </w:rPr>
        <w:lastRenderedPageBreak/>
        <w:t>Table 2: Committee base case – estimated costs, effects and cost-effectiveness (discounted 1.5%)</w:t>
      </w:r>
    </w:p>
    <w:tbl>
      <w:tblPr>
        <w:tblStyle w:val="TableGrid"/>
        <w:tblW w:w="9804" w:type="dxa"/>
        <w:tblLook w:val="04A0" w:firstRow="1" w:lastRow="0" w:firstColumn="1" w:lastColumn="0" w:noHBand="0" w:noVBand="1"/>
      </w:tblPr>
      <w:tblGrid>
        <w:gridCol w:w="3191"/>
        <w:gridCol w:w="2196"/>
        <w:gridCol w:w="2180"/>
        <w:gridCol w:w="2237"/>
      </w:tblGrid>
      <w:tr w:rsidR="00E111BE" w:rsidTr="00077180">
        <w:tc>
          <w:tcPr>
            <w:tcW w:w="3191" w:type="dxa"/>
          </w:tcPr>
          <w:p w:rsidR="00E111BE" w:rsidRDefault="00E111BE" w:rsidP="00BC4654">
            <w:pPr>
              <w:rPr>
                <w:b/>
              </w:rPr>
            </w:pPr>
          </w:p>
        </w:tc>
        <w:tc>
          <w:tcPr>
            <w:tcW w:w="2196" w:type="dxa"/>
          </w:tcPr>
          <w:p w:rsidR="00E111BE" w:rsidRDefault="00E111BE" w:rsidP="00BC4654">
            <w:pPr>
              <w:jc w:val="center"/>
              <w:rPr>
                <w:b/>
              </w:rPr>
            </w:pPr>
            <w:r>
              <w:rPr>
                <w:b/>
              </w:rPr>
              <w:t>Strimvelis</w:t>
            </w:r>
          </w:p>
        </w:tc>
        <w:tc>
          <w:tcPr>
            <w:tcW w:w="2180" w:type="dxa"/>
          </w:tcPr>
          <w:p w:rsidR="00E111BE" w:rsidRDefault="00E111BE" w:rsidP="00BC4654">
            <w:pPr>
              <w:jc w:val="center"/>
              <w:rPr>
                <w:b/>
              </w:rPr>
            </w:pPr>
            <w:r>
              <w:rPr>
                <w:b/>
              </w:rPr>
              <w:t>HSCT MUD</w:t>
            </w:r>
          </w:p>
        </w:tc>
        <w:tc>
          <w:tcPr>
            <w:tcW w:w="2237" w:type="dxa"/>
          </w:tcPr>
          <w:p w:rsidR="00E111BE" w:rsidRDefault="00E111BE" w:rsidP="00BC4654">
            <w:pPr>
              <w:jc w:val="center"/>
              <w:rPr>
                <w:b/>
              </w:rPr>
            </w:pPr>
            <w:r>
              <w:rPr>
                <w:b/>
              </w:rPr>
              <w:t>HSCT Haploidentical</w:t>
            </w:r>
          </w:p>
        </w:tc>
      </w:tr>
      <w:tr w:rsidR="00E111BE" w:rsidTr="00032341">
        <w:tc>
          <w:tcPr>
            <w:tcW w:w="3191" w:type="dxa"/>
            <w:vAlign w:val="center"/>
          </w:tcPr>
          <w:p w:rsidR="00E111BE" w:rsidRDefault="00E111BE" w:rsidP="00032341">
            <w:pPr>
              <w:jc w:val="right"/>
              <w:rPr>
                <w:b/>
              </w:rPr>
            </w:pPr>
            <w:r>
              <w:rPr>
                <w:b/>
              </w:rPr>
              <w:t>Costs</w:t>
            </w:r>
          </w:p>
        </w:tc>
        <w:tc>
          <w:tcPr>
            <w:tcW w:w="2196" w:type="dxa"/>
          </w:tcPr>
          <w:p w:rsidR="00E111BE" w:rsidRDefault="00E111BE" w:rsidP="00BC4654">
            <w:pPr>
              <w:jc w:val="center"/>
              <w:rPr>
                <w:b/>
              </w:rPr>
            </w:pPr>
          </w:p>
        </w:tc>
        <w:tc>
          <w:tcPr>
            <w:tcW w:w="2180" w:type="dxa"/>
          </w:tcPr>
          <w:p w:rsidR="00E111BE" w:rsidRDefault="00E111BE" w:rsidP="00BC4654">
            <w:pPr>
              <w:jc w:val="center"/>
              <w:rPr>
                <w:b/>
              </w:rPr>
            </w:pPr>
          </w:p>
        </w:tc>
        <w:tc>
          <w:tcPr>
            <w:tcW w:w="2237" w:type="dxa"/>
          </w:tcPr>
          <w:p w:rsidR="00E111BE" w:rsidRDefault="00E111BE" w:rsidP="00BC4654">
            <w:pPr>
              <w:jc w:val="center"/>
              <w:rPr>
                <w:b/>
              </w:rPr>
            </w:pPr>
          </w:p>
        </w:tc>
      </w:tr>
      <w:tr w:rsidR="00E111BE" w:rsidTr="00077180">
        <w:tc>
          <w:tcPr>
            <w:tcW w:w="3191" w:type="dxa"/>
          </w:tcPr>
          <w:p w:rsidR="00E111BE" w:rsidRPr="003A2EEC" w:rsidRDefault="00E111BE" w:rsidP="00407625">
            <w:pPr>
              <w:jc w:val="right"/>
            </w:pPr>
            <w:r w:rsidRPr="003A2EEC">
              <w:t>Product</w:t>
            </w:r>
          </w:p>
        </w:tc>
        <w:tc>
          <w:tcPr>
            <w:tcW w:w="2196" w:type="dxa"/>
          </w:tcPr>
          <w:p w:rsidR="00E111BE" w:rsidRPr="003A2EEC" w:rsidRDefault="00E111BE" w:rsidP="00BC4654">
            <w:pPr>
              <w:jc w:val="center"/>
            </w:pPr>
            <w:r w:rsidRPr="003A2EEC">
              <w:t>£505,000</w:t>
            </w:r>
          </w:p>
        </w:tc>
        <w:tc>
          <w:tcPr>
            <w:tcW w:w="2180" w:type="dxa"/>
          </w:tcPr>
          <w:p w:rsidR="00E111BE" w:rsidRPr="003A2EEC" w:rsidRDefault="00E111BE" w:rsidP="00BC4654">
            <w:pPr>
              <w:jc w:val="center"/>
            </w:pPr>
            <w:r w:rsidRPr="003A2EEC">
              <w:t>-</w:t>
            </w:r>
          </w:p>
        </w:tc>
        <w:tc>
          <w:tcPr>
            <w:tcW w:w="2237" w:type="dxa"/>
          </w:tcPr>
          <w:p w:rsidR="00E111BE" w:rsidRPr="003A2EEC" w:rsidRDefault="00E111BE" w:rsidP="00BC4654">
            <w:pPr>
              <w:jc w:val="center"/>
            </w:pPr>
            <w:r w:rsidRPr="003A2EEC">
              <w:t>-</w:t>
            </w:r>
          </w:p>
        </w:tc>
      </w:tr>
      <w:tr w:rsidR="00E111BE" w:rsidTr="00077180">
        <w:tc>
          <w:tcPr>
            <w:tcW w:w="3191" w:type="dxa"/>
          </w:tcPr>
          <w:p w:rsidR="00E111BE" w:rsidRPr="003A2EEC" w:rsidRDefault="00E111BE" w:rsidP="00407625">
            <w:pPr>
              <w:jc w:val="right"/>
            </w:pPr>
            <w:r w:rsidRPr="003A2EEC">
              <w:t>Screening pre-procedure</w:t>
            </w:r>
          </w:p>
        </w:tc>
        <w:tc>
          <w:tcPr>
            <w:tcW w:w="2196" w:type="dxa"/>
          </w:tcPr>
          <w:p w:rsidR="00E111BE" w:rsidRPr="003A2EEC" w:rsidRDefault="00E111BE" w:rsidP="008249E5">
            <w:pPr>
              <w:jc w:val="center"/>
            </w:pPr>
            <w:r w:rsidRPr="003A2EEC">
              <w:t>£</w:t>
            </w:r>
            <w:r>
              <w:t>161</w:t>
            </w:r>
          </w:p>
        </w:tc>
        <w:tc>
          <w:tcPr>
            <w:tcW w:w="2180" w:type="dxa"/>
          </w:tcPr>
          <w:p w:rsidR="00E111BE" w:rsidRPr="003A2EEC" w:rsidRDefault="00E111BE" w:rsidP="00BC4654">
            <w:pPr>
              <w:jc w:val="center"/>
            </w:pPr>
            <w:r w:rsidRPr="003A2EEC">
              <w:t>£45,127</w:t>
            </w:r>
          </w:p>
        </w:tc>
        <w:tc>
          <w:tcPr>
            <w:tcW w:w="2237" w:type="dxa"/>
          </w:tcPr>
          <w:p w:rsidR="00E111BE" w:rsidRPr="003A2EEC" w:rsidRDefault="00E111BE" w:rsidP="00BC4654">
            <w:pPr>
              <w:jc w:val="center"/>
            </w:pPr>
            <w:r w:rsidRPr="003A2EEC">
              <w:t>£45,127</w:t>
            </w:r>
          </w:p>
        </w:tc>
      </w:tr>
      <w:tr w:rsidR="00E111BE" w:rsidTr="00077180">
        <w:tc>
          <w:tcPr>
            <w:tcW w:w="3191" w:type="dxa"/>
          </w:tcPr>
          <w:p w:rsidR="00E111BE" w:rsidRPr="003A2EEC" w:rsidRDefault="00E111BE" w:rsidP="00407625">
            <w:pPr>
              <w:jc w:val="right"/>
            </w:pPr>
            <w:r>
              <w:t>Initial hospitalisation/</w:t>
            </w:r>
            <w:r w:rsidRPr="003A2EEC">
              <w:t>transplant</w:t>
            </w:r>
          </w:p>
        </w:tc>
        <w:tc>
          <w:tcPr>
            <w:tcW w:w="2196" w:type="dxa"/>
          </w:tcPr>
          <w:p w:rsidR="00E111BE" w:rsidRPr="003A2EEC" w:rsidRDefault="00E111BE" w:rsidP="00077180">
            <w:pPr>
              <w:jc w:val="center"/>
            </w:pPr>
            <w:r w:rsidRPr="003A2EEC">
              <w:t>£92,</w:t>
            </w:r>
            <w:r>
              <w:t>217</w:t>
            </w:r>
          </w:p>
        </w:tc>
        <w:tc>
          <w:tcPr>
            <w:tcW w:w="2180" w:type="dxa"/>
          </w:tcPr>
          <w:p w:rsidR="00E111BE" w:rsidRPr="003A2EEC" w:rsidRDefault="00E111BE" w:rsidP="00077180">
            <w:pPr>
              <w:jc w:val="center"/>
            </w:pPr>
            <w:r w:rsidRPr="003A2EEC">
              <w:t>£</w:t>
            </w:r>
            <w:r>
              <w:t>81</w:t>
            </w:r>
            <w:r w:rsidRPr="003A2EEC">
              <w:t>,</w:t>
            </w:r>
            <w:r>
              <w:t>973</w:t>
            </w:r>
          </w:p>
        </w:tc>
        <w:tc>
          <w:tcPr>
            <w:tcW w:w="2237" w:type="dxa"/>
          </w:tcPr>
          <w:p w:rsidR="00E111BE" w:rsidRPr="003A2EEC" w:rsidRDefault="00E111BE" w:rsidP="00BC4654">
            <w:pPr>
              <w:jc w:val="center"/>
            </w:pPr>
            <w:r w:rsidRPr="003A2EEC">
              <w:t>£108,760</w:t>
            </w:r>
          </w:p>
        </w:tc>
      </w:tr>
      <w:tr w:rsidR="00E111BE" w:rsidTr="00077180">
        <w:tc>
          <w:tcPr>
            <w:tcW w:w="3191" w:type="dxa"/>
          </w:tcPr>
          <w:p w:rsidR="00E111BE" w:rsidRPr="003A2EEC" w:rsidRDefault="00E111BE" w:rsidP="00077180">
            <w:pPr>
              <w:jc w:val="right"/>
            </w:pPr>
            <w:r>
              <w:t>Rescue PEG-ADA/</w:t>
            </w:r>
            <w:r w:rsidRPr="003A2EEC">
              <w:t>transplant</w:t>
            </w:r>
          </w:p>
        </w:tc>
        <w:tc>
          <w:tcPr>
            <w:tcW w:w="2196" w:type="dxa"/>
          </w:tcPr>
          <w:p w:rsidR="00E111BE" w:rsidRPr="003A2EEC" w:rsidRDefault="00E111BE" w:rsidP="005E1898">
            <w:pPr>
              <w:jc w:val="center"/>
            </w:pPr>
            <w:r w:rsidRPr="003A2EEC">
              <w:t>£</w:t>
            </w:r>
            <w:r>
              <w:t>339,955</w:t>
            </w:r>
          </w:p>
        </w:tc>
        <w:tc>
          <w:tcPr>
            <w:tcW w:w="2180" w:type="dxa"/>
          </w:tcPr>
          <w:p w:rsidR="00E111BE" w:rsidRPr="003A2EEC" w:rsidRDefault="00E111BE" w:rsidP="005E1898">
            <w:pPr>
              <w:jc w:val="center"/>
            </w:pPr>
            <w:r w:rsidRPr="003A2EEC">
              <w:t>£</w:t>
            </w:r>
            <w:r>
              <w:t>203</w:t>
            </w:r>
            <w:r w:rsidRPr="003A2EEC">
              <w:t>,</w:t>
            </w:r>
            <w:r>
              <w:t>973</w:t>
            </w:r>
          </w:p>
        </w:tc>
        <w:tc>
          <w:tcPr>
            <w:tcW w:w="2237" w:type="dxa"/>
          </w:tcPr>
          <w:p w:rsidR="00E111BE" w:rsidRPr="003A2EEC" w:rsidRDefault="00E111BE" w:rsidP="005E1898">
            <w:pPr>
              <w:jc w:val="center"/>
            </w:pPr>
            <w:r w:rsidRPr="003A2EEC">
              <w:t>£</w:t>
            </w:r>
            <w:r>
              <w:t>815,893</w:t>
            </w:r>
          </w:p>
        </w:tc>
      </w:tr>
      <w:tr w:rsidR="00E111BE" w:rsidTr="00077180">
        <w:tc>
          <w:tcPr>
            <w:tcW w:w="3191" w:type="dxa"/>
          </w:tcPr>
          <w:p w:rsidR="00E111BE" w:rsidRPr="003A2EEC" w:rsidRDefault="00E111BE" w:rsidP="00407625">
            <w:pPr>
              <w:jc w:val="right"/>
            </w:pPr>
            <w:r w:rsidRPr="003A2EEC">
              <w:t>Severe infection</w:t>
            </w:r>
          </w:p>
        </w:tc>
        <w:tc>
          <w:tcPr>
            <w:tcW w:w="2196" w:type="dxa"/>
          </w:tcPr>
          <w:p w:rsidR="00E111BE" w:rsidRPr="003A2EEC" w:rsidRDefault="00E111BE" w:rsidP="005E1898">
            <w:pPr>
              <w:jc w:val="center"/>
            </w:pPr>
            <w:r w:rsidRPr="003A2EEC">
              <w:t>£1</w:t>
            </w:r>
            <w:r>
              <w:t>2</w:t>
            </w:r>
            <w:r w:rsidRPr="003A2EEC">
              <w:t>,</w:t>
            </w:r>
            <w:r>
              <w:t>786</w:t>
            </w:r>
          </w:p>
        </w:tc>
        <w:tc>
          <w:tcPr>
            <w:tcW w:w="2180" w:type="dxa"/>
          </w:tcPr>
          <w:p w:rsidR="00E111BE" w:rsidRPr="003A2EEC" w:rsidRDefault="00E111BE" w:rsidP="005E1898">
            <w:pPr>
              <w:jc w:val="center"/>
            </w:pPr>
            <w:r w:rsidRPr="003A2EEC">
              <w:t>£</w:t>
            </w:r>
            <w:r>
              <w:t>9</w:t>
            </w:r>
            <w:r w:rsidRPr="003A2EEC">
              <w:t>,</w:t>
            </w:r>
            <w:r>
              <w:t>310</w:t>
            </w:r>
          </w:p>
        </w:tc>
        <w:tc>
          <w:tcPr>
            <w:tcW w:w="2237" w:type="dxa"/>
          </w:tcPr>
          <w:p w:rsidR="00E111BE" w:rsidRPr="003A2EEC" w:rsidRDefault="00E111BE" w:rsidP="005E1898">
            <w:pPr>
              <w:jc w:val="center"/>
            </w:pPr>
            <w:r w:rsidRPr="003A2EEC">
              <w:t>£</w:t>
            </w:r>
            <w:r>
              <w:t>8</w:t>
            </w:r>
            <w:r w:rsidRPr="003A2EEC">
              <w:t>,</w:t>
            </w:r>
            <w:r>
              <w:t>600</w:t>
            </w:r>
          </w:p>
        </w:tc>
      </w:tr>
      <w:tr w:rsidR="00E111BE" w:rsidTr="00077180">
        <w:tc>
          <w:tcPr>
            <w:tcW w:w="3191" w:type="dxa"/>
          </w:tcPr>
          <w:p w:rsidR="00E111BE" w:rsidRPr="003A2EEC" w:rsidRDefault="00E111BE" w:rsidP="00407625">
            <w:pPr>
              <w:jc w:val="right"/>
            </w:pPr>
            <w:r w:rsidRPr="003A2EEC">
              <w:t>IVIG</w:t>
            </w:r>
          </w:p>
        </w:tc>
        <w:tc>
          <w:tcPr>
            <w:tcW w:w="2196" w:type="dxa"/>
          </w:tcPr>
          <w:p w:rsidR="00E111BE" w:rsidRPr="003A2EEC" w:rsidRDefault="00E111BE" w:rsidP="005E1898">
            <w:pPr>
              <w:jc w:val="center"/>
            </w:pPr>
            <w:r w:rsidRPr="003A2EEC">
              <w:t>£</w:t>
            </w:r>
            <w:r>
              <w:t>17</w:t>
            </w:r>
            <w:r w:rsidRPr="003A2EEC">
              <w:t>,</w:t>
            </w:r>
            <w:r>
              <w:t>977</w:t>
            </w:r>
          </w:p>
        </w:tc>
        <w:tc>
          <w:tcPr>
            <w:tcW w:w="2180" w:type="dxa"/>
          </w:tcPr>
          <w:p w:rsidR="00E111BE" w:rsidRPr="003A2EEC" w:rsidRDefault="00E111BE" w:rsidP="005E1898">
            <w:pPr>
              <w:jc w:val="center"/>
            </w:pPr>
            <w:r w:rsidRPr="003A2EEC">
              <w:t>£</w:t>
            </w:r>
            <w:r>
              <w:t>12</w:t>
            </w:r>
            <w:r w:rsidRPr="003A2EEC">
              <w:t>,</w:t>
            </w:r>
            <w:r>
              <w:t>863</w:t>
            </w:r>
          </w:p>
        </w:tc>
        <w:tc>
          <w:tcPr>
            <w:tcW w:w="2237" w:type="dxa"/>
          </w:tcPr>
          <w:p w:rsidR="00E111BE" w:rsidRPr="003A2EEC" w:rsidRDefault="00E111BE" w:rsidP="005E1898">
            <w:pPr>
              <w:jc w:val="center"/>
            </w:pPr>
            <w:r w:rsidRPr="003A2EEC">
              <w:t>£</w:t>
            </w:r>
            <w:r>
              <w:t>15</w:t>
            </w:r>
            <w:r w:rsidRPr="003A2EEC">
              <w:t>,</w:t>
            </w:r>
            <w:r>
              <w:t>147</w:t>
            </w:r>
          </w:p>
        </w:tc>
      </w:tr>
      <w:tr w:rsidR="00E111BE" w:rsidTr="00077180">
        <w:tc>
          <w:tcPr>
            <w:tcW w:w="3191" w:type="dxa"/>
          </w:tcPr>
          <w:p w:rsidR="00E111BE" w:rsidRPr="003A2EEC" w:rsidRDefault="00E111BE" w:rsidP="00407625">
            <w:pPr>
              <w:jc w:val="right"/>
            </w:pPr>
            <w:r w:rsidRPr="003A2EEC">
              <w:t>GvHD</w:t>
            </w:r>
          </w:p>
        </w:tc>
        <w:tc>
          <w:tcPr>
            <w:tcW w:w="2196" w:type="dxa"/>
          </w:tcPr>
          <w:p w:rsidR="00E111BE" w:rsidRPr="003A2EEC" w:rsidRDefault="00E111BE" w:rsidP="00B82604">
            <w:pPr>
              <w:jc w:val="center"/>
            </w:pPr>
            <w:r>
              <w:t>£635*</w:t>
            </w:r>
          </w:p>
        </w:tc>
        <w:tc>
          <w:tcPr>
            <w:tcW w:w="2180" w:type="dxa"/>
          </w:tcPr>
          <w:p w:rsidR="00E111BE" w:rsidRPr="003A2EEC" w:rsidRDefault="00E111BE" w:rsidP="00234847">
            <w:pPr>
              <w:jc w:val="center"/>
            </w:pPr>
            <w:r>
              <w:t>£5,089</w:t>
            </w:r>
          </w:p>
        </w:tc>
        <w:tc>
          <w:tcPr>
            <w:tcW w:w="2237" w:type="dxa"/>
          </w:tcPr>
          <w:p w:rsidR="00E111BE" w:rsidRPr="003A2EEC" w:rsidRDefault="00E111BE" w:rsidP="00B82604">
            <w:pPr>
              <w:jc w:val="center"/>
            </w:pPr>
            <w:r w:rsidRPr="003A2EEC">
              <w:t>£</w:t>
            </w:r>
            <w:r>
              <w:t>6,376</w:t>
            </w:r>
          </w:p>
        </w:tc>
      </w:tr>
      <w:tr w:rsidR="00E111BE" w:rsidTr="00077180">
        <w:tc>
          <w:tcPr>
            <w:tcW w:w="3191" w:type="dxa"/>
          </w:tcPr>
          <w:p w:rsidR="00E111BE" w:rsidRPr="003A2EEC" w:rsidRDefault="00E111BE" w:rsidP="00407625">
            <w:pPr>
              <w:jc w:val="right"/>
            </w:pPr>
            <w:r w:rsidRPr="003A2EEC">
              <w:t>Follow-up</w:t>
            </w:r>
          </w:p>
        </w:tc>
        <w:tc>
          <w:tcPr>
            <w:tcW w:w="2196" w:type="dxa"/>
          </w:tcPr>
          <w:p w:rsidR="00E111BE" w:rsidRPr="003A2EEC" w:rsidRDefault="00E111BE" w:rsidP="00234847">
            <w:pPr>
              <w:jc w:val="center"/>
            </w:pPr>
            <w:r>
              <w:t>£65,457</w:t>
            </w:r>
          </w:p>
        </w:tc>
        <w:tc>
          <w:tcPr>
            <w:tcW w:w="2180" w:type="dxa"/>
          </w:tcPr>
          <w:p w:rsidR="00E111BE" w:rsidRPr="003A2EEC" w:rsidRDefault="00E111BE" w:rsidP="00B82604">
            <w:pPr>
              <w:jc w:val="center"/>
            </w:pPr>
            <w:r w:rsidRPr="003A2EEC">
              <w:t>£4</w:t>
            </w:r>
            <w:r>
              <w:t>6</w:t>
            </w:r>
            <w:r w:rsidRPr="003A2EEC">
              <w:t>,</w:t>
            </w:r>
            <w:r>
              <w:t>792</w:t>
            </w:r>
          </w:p>
        </w:tc>
        <w:tc>
          <w:tcPr>
            <w:tcW w:w="2237" w:type="dxa"/>
          </w:tcPr>
          <w:p w:rsidR="00E111BE" w:rsidRPr="003A2EEC" w:rsidRDefault="00E111BE" w:rsidP="00B82604">
            <w:pPr>
              <w:jc w:val="center"/>
            </w:pPr>
            <w:r w:rsidRPr="003A2EEC">
              <w:t>£58,</w:t>
            </w:r>
            <w:r>
              <w:t>502</w:t>
            </w:r>
          </w:p>
        </w:tc>
      </w:tr>
      <w:tr w:rsidR="00E111BE" w:rsidTr="00077180">
        <w:tc>
          <w:tcPr>
            <w:tcW w:w="3191" w:type="dxa"/>
          </w:tcPr>
          <w:p w:rsidR="00E111BE" w:rsidRPr="003A2EEC" w:rsidRDefault="00E111BE" w:rsidP="005E1898">
            <w:pPr>
              <w:jc w:val="right"/>
            </w:pPr>
            <w:r>
              <w:t xml:space="preserve">Travel to </w:t>
            </w:r>
            <w:r w:rsidRPr="005B5E2F">
              <w:t>HSR-TIGET in Milan</w:t>
            </w:r>
            <w:r>
              <w:t xml:space="preserve"> </w:t>
            </w:r>
          </w:p>
        </w:tc>
        <w:tc>
          <w:tcPr>
            <w:tcW w:w="2196" w:type="dxa"/>
          </w:tcPr>
          <w:p w:rsidR="00E111BE" w:rsidRPr="003A2EEC" w:rsidRDefault="00E111BE" w:rsidP="00234847">
            <w:pPr>
              <w:jc w:val="center"/>
            </w:pPr>
            <w:r>
              <w:t>£1,412</w:t>
            </w:r>
          </w:p>
        </w:tc>
        <w:tc>
          <w:tcPr>
            <w:tcW w:w="2180" w:type="dxa"/>
          </w:tcPr>
          <w:p w:rsidR="00E111BE" w:rsidRPr="003A2EEC" w:rsidRDefault="00E111BE" w:rsidP="00234847">
            <w:pPr>
              <w:jc w:val="center"/>
            </w:pPr>
            <w:r>
              <w:t>£0</w:t>
            </w:r>
          </w:p>
        </w:tc>
        <w:tc>
          <w:tcPr>
            <w:tcW w:w="2237" w:type="dxa"/>
          </w:tcPr>
          <w:p w:rsidR="00E111BE" w:rsidRPr="003A2EEC" w:rsidRDefault="00E111BE" w:rsidP="00234847">
            <w:pPr>
              <w:jc w:val="center"/>
            </w:pPr>
            <w:r>
              <w:t>£0</w:t>
            </w:r>
          </w:p>
        </w:tc>
      </w:tr>
      <w:tr w:rsidR="00E111BE" w:rsidTr="00077180">
        <w:tc>
          <w:tcPr>
            <w:tcW w:w="3191" w:type="dxa"/>
          </w:tcPr>
          <w:p w:rsidR="00E111BE" w:rsidRPr="003A2EEC" w:rsidRDefault="00E111BE" w:rsidP="00407625">
            <w:pPr>
              <w:jc w:val="right"/>
            </w:pPr>
            <w:r w:rsidRPr="003A2EEC">
              <w:t>Total</w:t>
            </w:r>
          </w:p>
        </w:tc>
        <w:tc>
          <w:tcPr>
            <w:tcW w:w="2196" w:type="dxa"/>
          </w:tcPr>
          <w:p w:rsidR="00E111BE" w:rsidRPr="003A2EEC" w:rsidRDefault="00E111BE" w:rsidP="00B82604">
            <w:pPr>
              <w:jc w:val="center"/>
            </w:pPr>
            <w:r w:rsidRPr="003A2EEC">
              <w:t>£</w:t>
            </w:r>
            <w:r>
              <w:t>1,035</w:t>
            </w:r>
            <w:r w:rsidRPr="003A2EEC">
              <w:t>,</w:t>
            </w:r>
            <w:r>
              <w:t>601</w:t>
            </w:r>
          </w:p>
        </w:tc>
        <w:tc>
          <w:tcPr>
            <w:tcW w:w="2180" w:type="dxa"/>
          </w:tcPr>
          <w:p w:rsidR="00E111BE" w:rsidRPr="003A2EEC" w:rsidRDefault="00E111BE" w:rsidP="00B82604">
            <w:pPr>
              <w:jc w:val="center"/>
            </w:pPr>
            <w:r w:rsidRPr="003A2EEC">
              <w:t>£</w:t>
            </w:r>
            <w:r>
              <w:t>405</w:t>
            </w:r>
            <w:r w:rsidRPr="003A2EEC">
              <w:t>,</w:t>
            </w:r>
            <w:r>
              <w:t>126</w:t>
            </w:r>
          </w:p>
        </w:tc>
        <w:tc>
          <w:tcPr>
            <w:tcW w:w="2237" w:type="dxa"/>
          </w:tcPr>
          <w:p w:rsidR="00E111BE" w:rsidRPr="003A2EEC" w:rsidRDefault="00E111BE" w:rsidP="00B82604">
            <w:pPr>
              <w:jc w:val="center"/>
            </w:pPr>
            <w:r w:rsidRPr="003A2EEC">
              <w:t>£</w:t>
            </w:r>
            <w:r>
              <w:t>1</w:t>
            </w:r>
            <w:r w:rsidRPr="003A2EEC">
              <w:t>,</w:t>
            </w:r>
            <w:r>
              <w:t>058,405</w:t>
            </w:r>
          </w:p>
        </w:tc>
      </w:tr>
      <w:tr w:rsidR="00E111BE" w:rsidTr="00077180">
        <w:tc>
          <w:tcPr>
            <w:tcW w:w="3191" w:type="dxa"/>
          </w:tcPr>
          <w:p w:rsidR="00E111BE" w:rsidRPr="00032341" w:rsidRDefault="00E111BE" w:rsidP="00407625">
            <w:pPr>
              <w:jc w:val="right"/>
              <w:rPr>
                <w:b/>
              </w:rPr>
            </w:pPr>
            <w:r w:rsidRPr="00032341">
              <w:rPr>
                <w:b/>
              </w:rPr>
              <w:t>Effects</w:t>
            </w:r>
          </w:p>
        </w:tc>
        <w:tc>
          <w:tcPr>
            <w:tcW w:w="2196" w:type="dxa"/>
          </w:tcPr>
          <w:p w:rsidR="00E111BE" w:rsidRPr="003A2EEC" w:rsidRDefault="00E111BE" w:rsidP="00B82604">
            <w:pPr>
              <w:jc w:val="center"/>
            </w:pPr>
          </w:p>
        </w:tc>
        <w:tc>
          <w:tcPr>
            <w:tcW w:w="2180" w:type="dxa"/>
          </w:tcPr>
          <w:p w:rsidR="00E111BE" w:rsidRPr="003A2EEC" w:rsidRDefault="00E111BE" w:rsidP="00B82604">
            <w:pPr>
              <w:jc w:val="center"/>
            </w:pPr>
          </w:p>
        </w:tc>
        <w:tc>
          <w:tcPr>
            <w:tcW w:w="2237" w:type="dxa"/>
          </w:tcPr>
          <w:p w:rsidR="00E111BE" w:rsidRPr="003A2EEC" w:rsidRDefault="00E111BE" w:rsidP="00B82604">
            <w:pPr>
              <w:jc w:val="center"/>
            </w:pPr>
          </w:p>
        </w:tc>
      </w:tr>
      <w:tr w:rsidR="00E111BE" w:rsidTr="00077180">
        <w:tc>
          <w:tcPr>
            <w:tcW w:w="3191" w:type="dxa"/>
          </w:tcPr>
          <w:p w:rsidR="00E111BE" w:rsidRPr="00032341" w:rsidRDefault="00E111BE" w:rsidP="00783530">
            <w:pPr>
              <w:jc w:val="right"/>
            </w:pPr>
            <w:r>
              <w:t>QALYs</w:t>
            </w:r>
          </w:p>
        </w:tc>
        <w:tc>
          <w:tcPr>
            <w:tcW w:w="2196" w:type="dxa"/>
          </w:tcPr>
          <w:p w:rsidR="00E111BE" w:rsidRPr="003A2EEC" w:rsidRDefault="00E111BE" w:rsidP="00B82604">
            <w:pPr>
              <w:jc w:val="center"/>
            </w:pPr>
            <w:r>
              <w:t>31.3</w:t>
            </w:r>
          </w:p>
        </w:tc>
        <w:tc>
          <w:tcPr>
            <w:tcW w:w="2180" w:type="dxa"/>
          </w:tcPr>
          <w:p w:rsidR="00E111BE" w:rsidRPr="003A2EEC" w:rsidRDefault="00E111BE" w:rsidP="00B82604">
            <w:pPr>
              <w:jc w:val="center"/>
            </w:pPr>
            <w:r>
              <w:t>22.8</w:t>
            </w:r>
          </w:p>
        </w:tc>
        <w:tc>
          <w:tcPr>
            <w:tcW w:w="2237" w:type="dxa"/>
          </w:tcPr>
          <w:p w:rsidR="00E111BE" w:rsidRPr="003A2EEC" w:rsidRDefault="00E111BE" w:rsidP="00B82604">
            <w:pPr>
              <w:jc w:val="center"/>
            </w:pPr>
            <w:r>
              <w:t>19.7</w:t>
            </w:r>
          </w:p>
        </w:tc>
      </w:tr>
      <w:tr w:rsidR="00E111BE" w:rsidTr="00077180">
        <w:tc>
          <w:tcPr>
            <w:tcW w:w="3191" w:type="dxa"/>
          </w:tcPr>
          <w:p w:rsidR="00E111BE" w:rsidRPr="00783530" w:rsidRDefault="00E111BE" w:rsidP="00407625">
            <w:pPr>
              <w:jc w:val="right"/>
              <w:rPr>
                <w:b/>
              </w:rPr>
            </w:pPr>
            <w:r w:rsidRPr="00783530">
              <w:rPr>
                <w:b/>
              </w:rPr>
              <w:t>Cost-effectiveness</w:t>
            </w:r>
          </w:p>
        </w:tc>
        <w:tc>
          <w:tcPr>
            <w:tcW w:w="2196" w:type="dxa"/>
          </w:tcPr>
          <w:p w:rsidR="00E111BE" w:rsidRDefault="00E111BE" w:rsidP="00B82604">
            <w:pPr>
              <w:jc w:val="center"/>
            </w:pPr>
          </w:p>
        </w:tc>
        <w:tc>
          <w:tcPr>
            <w:tcW w:w="2180" w:type="dxa"/>
          </w:tcPr>
          <w:p w:rsidR="00E111BE" w:rsidRDefault="00E111BE" w:rsidP="00B82604">
            <w:pPr>
              <w:jc w:val="center"/>
            </w:pPr>
          </w:p>
        </w:tc>
        <w:tc>
          <w:tcPr>
            <w:tcW w:w="2237" w:type="dxa"/>
          </w:tcPr>
          <w:p w:rsidR="00E111BE" w:rsidRDefault="00E111BE" w:rsidP="00B82604">
            <w:pPr>
              <w:jc w:val="center"/>
            </w:pPr>
          </w:p>
        </w:tc>
      </w:tr>
      <w:tr w:rsidR="00E111BE" w:rsidTr="00783530">
        <w:tc>
          <w:tcPr>
            <w:tcW w:w="3191" w:type="dxa"/>
            <w:shd w:val="clear" w:color="auto" w:fill="F2F2F2" w:themeFill="background1" w:themeFillShade="F2"/>
          </w:tcPr>
          <w:p w:rsidR="00E111BE" w:rsidRDefault="00257D16" w:rsidP="00257D16">
            <w:pPr>
              <w:jc w:val="right"/>
            </w:pPr>
            <w:bookmarkStart w:id="0" w:name="_GoBack"/>
            <w:r>
              <w:t>ICER per QALY gained</w:t>
            </w:r>
            <w:bookmarkEnd w:id="0"/>
          </w:p>
        </w:tc>
        <w:tc>
          <w:tcPr>
            <w:tcW w:w="2196" w:type="dxa"/>
            <w:shd w:val="clear" w:color="auto" w:fill="F2F2F2" w:themeFill="background1" w:themeFillShade="F2"/>
          </w:tcPr>
          <w:p w:rsidR="00E111BE" w:rsidRDefault="00E111BE" w:rsidP="00B82604">
            <w:pPr>
              <w:jc w:val="center"/>
            </w:pPr>
            <w:r>
              <w:t>-</w:t>
            </w:r>
          </w:p>
        </w:tc>
        <w:tc>
          <w:tcPr>
            <w:tcW w:w="2180" w:type="dxa"/>
            <w:shd w:val="clear" w:color="auto" w:fill="F2F2F2" w:themeFill="background1" w:themeFillShade="F2"/>
          </w:tcPr>
          <w:p w:rsidR="00E111BE" w:rsidRDefault="00E111BE" w:rsidP="00B82604">
            <w:pPr>
              <w:jc w:val="center"/>
            </w:pPr>
            <w:r>
              <w:t>£74,430</w:t>
            </w:r>
          </w:p>
        </w:tc>
        <w:tc>
          <w:tcPr>
            <w:tcW w:w="2237" w:type="dxa"/>
            <w:shd w:val="clear" w:color="auto" w:fill="F2F2F2" w:themeFill="background1" w:themeFillShade="F2"/>
          </w:tcPr>
          <w:p w:rsidR="00E111BE" w:rsidRDefault="00E111BE" w:rsidP="00B82604">
            <w:pPr>
              <w:jc w:val="center"/>
            </w:pPr>
            <w:r>
              <w:t>Dominated</w:t>
            </w:r>
          </w:p>
        </w:tc>
      </w:tr>
    </w:tbl>
    <w:p w:rsidR="00E111BE" w:rsidRPr="00AF7556" w:rsidRDefault="00E111BE" w:rsidP="00AF7556">
      <w:pPr>
        <w:spacing w:before="120" w:after="0" w:line="240" w:lineRule="auto"/>
        <w:rPr>
          <w:rFonts w:asciiTheme="minorHAnsi" w:hAnsiTheme="minorHAnsi" w:cs="Arial"/>
          <w:vertAlign w:val="superscript"/>
        </w:rPr>
      </w:pPr>
      <w:r w:rsidRPr="00AF7556">
        <w:rPr>
          <w:rFonts w:asciiTheme="minorHAnsi" w:hAnsiTheme="minorHAnsi" w:cs="Arial"/>
          <w:vertAlign w:val="superscript"/>
        </w:rPr>
        <w:t xml:space="preserve">*All GvHD costs associated with Strimvelis emanate </w:t>
      </w:r>
      <w:r>
        <w:rPr>
          <w:rFonts w:asciiTheme="minorHAnsi" w:hAnsiTheme="minorHAnsi" w:cs="Arial"/>
          <w:vertAlign w:val="superscript"/>
        </w:rPr>
        <w:t>from</w:t>
      </w:r>
      <w:r w:rsidRPr="00D91E0A">
        <w:rPr>
          <w:rFonts w:asciiTheme="minorHAnsi" w:hAnsiTheme="minorHAnsi" w:cs="Arial"/>
          <w:vertAlign w:val="superscript"/>
        </w:rPr>
        <w:t xml:space="preserve"> </w:t>
      </w:r>
      <w:r>
        <w:rPr>
          <w:rFonts w:asciiTheme="minorHAnsi" w:hAnsiTheme="minorHAnsi" w:cs="Arial"/>
          <w:vertAlign w:val="superscript"/>
        </w:rPr>
        <w:t xml:space="preserve">MUD </w:t>
      </w:r>
      <w:r w:rsidRPr="00D91E0A">
        <w:rPr>
          <w:rFonts w:asciiTheme="minorHAnsi" w:hAnsiTheme="minorHAnsi" w:cs="Arial"/>
          <w:vertAlign w:val="superscript"/>
        </w:rPr>
        <w:t xml:space="preserve">rescue therapy transplants </w:t>
      </w:r>
      <w:r w:rsidRPr="00662728">
        <w:rPr>
          <w:rFonts w:asciiTheme="minorHAnsi" w:hAnsiTheme="minorHAnsi" w:cs="Arial"/>
          <w:vertAlign w:val="superscript"/>
        </w:rPr>
        <w:t xml:space="preserve">assumed </w:t>
      </w:r>
      <w:r>
        <w:rPr>
          <w:rFonts w:asciiTheme="minorHAnsi" w:hAnsiTheme="minorHAnsi" w:cs="Arial"/>
          <w:vertAlign w:val="superscript"/>
        </w:rPr>
        <w:t>in</w:t>
      </w:r>
      <w:r w:rsidRPr="00662728">
        <w:rPr>
          <w:rFonts w:asciiTheme="minorHAnsi" w:hAnsiTheme="minorHAnsi" w:cs="Arial"/>
          <w:vertAlign w:val="superscript"/>
        </w:rPr>
        <w:t xml:space="preserve"> the committee</w:t>
      </w:r>
      <w:r>
        <w:rPr>
          <w:rFonts w:asciiTheme="minorHAnsi" w:hAnsiTheme="minorHAnsi" w:cs="Arial"/>
          <w:vertAlign w:val="superscript"/>
        </w:rPr>
        <w:t xml:space="preserve"> base case model</w:t>
      </w:r>
      <w:r w:rsidRPr="00D91E0A">
        <w:rPr>
          <w:rFonts w:asciiTheme="minorHAnsi" w:hAnsiTheme="minorHAnsi" w:cs="Arial"/>
          <w:vertAlign w:val="superscript"/>
        </w:rPr>
        <w:t xml:space="preserve"> (which have </w:t>
      </w:r>
      <w:r w:rsidRPr="00AF7556">
        <w:rPr>
          <w:rFonts w:asciiTheme="minorHAnsi" w:hAnsiTheme="minorHAnsi" w:cs="Arial"/>
          <w:vertAlign w:val="superscript"/>
        </w:rPr>
        <w:t>an associated</w:t>
      </w:r>
      <w:r>
        <w:rPr>
          <w:rFonts w:asciiTheme="minorHAnsi" w:hAnsiTheme="minorHAnsi" w:cs="Arial"/>
          <w:vertAlign w:val="superscript"/>
        </w:rPr>
        <w:t xml:space="preserve"> </w:t>
      </w:r>
      <w:r w:rsidRPr="00AF7556">
        <w:rPr>
          <w:rFonts w:asciiTheme="minorHAnsi" w:hAnsiTheme="minorHAnsi" w:cs="Arial"/>
          <w:vertAlign w:val="superscript"/>
        </w:rPr>
        <w:t xml:space="preserve">GvHD risk). </w:t>
      </w:r>
    </w:p>
    <w:p w:rsidR="00E111BE" w:rsidRPr="00AF7556" w:rsidRDefault="00E111BE" w:rsidP="00AF7556">
      <w:pPr>
        <w:spacing w:after="0" w:line="240" w:lineRule="auto"/>
        <w:rPr>
          <w:rFonts w:asciiTheme="minorHAnsi" w:hAnsiTheme="minorHAnsi" w:cs="Arial"/>
          <w:vertAlign w:val="superscript"/>
        </w:rPr>
      </w:pPr>
      <w:r w:rsidRPr="00AF7556">
        <w:rPr>
          <w:rFonts w:asciiTheme="minorHAnsi" w:hAnsiTheme="minorHAnsi" w:cs="Arial"/>
          <w:vertAlign w:val="superscript"/>
        </w:rPr>
        <w:t>PEG-ADA: Pegademase bovine; IVIG: Intravenous Immunoglobulin; GvHD: Graft versus host disease; HSR-TIGET: Hospital San Raffaele Telethon Institute for Gene Therapy; QALY: Quality adjusted life year; ICER: Incremental cost-effectiveness ratio</w:t>
      </w:r>
    </w:p>
    <w:p w:rsidR="00E111BE" w:rsidRDefault="00E111BE">
      <w:pPr>
        <w:rPr>
          <w:b/>
        </w:rPr>
        <w:sectPr w:rsidR="00E111BE" w:rsidSect="00172CE8">
          <w:footerReference w:type="default" r:id="rId12"/>
          <w:pgSz w:w="11906" w:h="16838"/>
          <w:pgMar w:top="1440" w:right="1440" w:bottom="1440" w:left="1440" w:header="708" w:footer="708" w:gutter="0"/>
          <w:cols w:space="708"/>
          <w:docGrid w:linePitch="360"/>
        </w:sectPr>
      </w:pPr>
    </w:p>
    <w:p w:rsidR="00E111BE" w:rsidRDefault="00E111BE">
      <w:pPr>
        <w:rPr>
          <w:b/>
        </w:rPr>
      </w:pPr>
      <w:r>
        <w:rPr>
          <w:noProof/>
          <w:lang w:eastAsia="en-GB"/>
        </w:rPr>
        <w:lastRenderedPageBreak/>
        <mc:AlternateContent>
          <mc:Choice Requires="wpc">
            <w:drawing>
              <wp:inline distT="0" distB="0" distL="0" distR="0" wp14:anchorId="235C7130" wp14:editId="72E97272">
                <wp:extent cx="8555355" cy="489585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Flowchart: Alternate Process 7"/>
                        <wps:cNvSpPr>
                          <a:spLocks noChangeArrowheads="1"/>
                        </wps:cNvSpPr>
                        <wps:spPr bwMode="auto">
                          <a:xfrm>
                            <a:off x="1561429" y="2845509"/>
                            <a:ext cx="1134000" cy="270000"/>
                          </a:xfrm>
                          <a:prstGeom prst="flowChartAlternateProcess">
                            <a:avLst/>
                          </a:prstGeom>
                          <a:solidFill>
                            <a:srgbClr val="FFFFFF"/>
                          </a:solidFill>
                          <a:ln w="9525">
                            <a:solidFill>
                              <a:srgbClr val="000000"/>
                            </a:solidFill>
                            <a:miter lim="800000"/>
                            <a:headEnd/>
                            <a:tailEnd/>
                          </a:ln>
                        </wps:spPr>
                        <wps:txbx>
                          <w:txbxContent>
                            <w:p w:rsidR="00E111BE" w:rsidRPr="00E01238" w:rsidRDefault="00E111BE" w:rsidP="002F6CD6">
                              <w:pPr>
                                <w:spacing w:after="0" w:line="240" w:lineRule="auto"/>
                                <w:jc w:val="center"/>
                                <w:rPr>
                                  <w:rFonts w:ascii="Arial" w:hAnsi="Arial" w:cs="Arial"/>
                                  <w:sz w:val="18"/>
                                </w:rPr>
                              </w:pPr>
                              <w:r w:rsidRPr="00E01238">
                                <w:rPr>
                                  <w:rFonts w:ascii="Arial" w:hAnsi="Arial" w:cs="Arial"/>
                                  <w:sz w:val="18"/>
                                </w:rPr>
                                <w:t>HSCT procedures</w:t>
                              </w:r>
                            </w:p>
                          </w:txbxContent>
                        </wps:txbx>
                        <wps:bodyPr rot="0" vert="horz" wrap="square" lIns="91440" tIns="45720" rIns="91440" bIns="45720" anchor="ctr" anchorCtr="0" upright="1">
                          <a:noAutofit/>
                        </wps:bodyPr>
                      </wps:wsp>
                      <wps:wsp>
                        <wps:cNvPr id="8" name="Flowchart: Alternate Process 8"/>
                        <wps:cNvSpPr>
                          <a:spLocks noChangeArrowheads="1"/>
                        </wps:cNvSpPr>
                        <wps:spPr bwMode="auto">
                          <a:xfrm>
                            <a:off x="1561429" y="1214954"/>
                            <a:ext cx="1134000" cy="270000"/>
                          </a:xfrm>
                          <a:prstGeom prst="flowChartAlternateProcess">
                            <a:avLst/>
                          </a:prstGeom>
                          <a:solidFill>
                            <a:srgbClr val="FFFFFF"/>
                          </a:solidFill>
                          <a:ln w="9525">
                            <a:solidFill>
                              <a:srgbClr val="000000"/>
                            </a:solidFill>
                            <a:miter lim="800000"/>
                            <a:headEnd/>
                            <a:tailEnd/>
                          </a:ln>
                        </wps:spPr>
                        <wps:txbx>
                          <w:txbxContent>
                            <w:p w:rsidR="00E111BE" w:rsidRPr="00D50C3C" w:rsidRDefault="00E111BE" w:rsidP="002F6CD6">
                              <w:pPr>
                                <w:pStyle w:val="NormalWeb"/>
                                <w:spacing w:before="0" w:beforeAutospacing="0" w:after="0" w:afterAutospacing="0"/>
                                <w:jc w:val="center"/>
                                <w:rPr>
                                  <w:sz w:val="20"/>
                                </w:rPr>
                              </w:pPr>
                              <w:r w:rsidRPr="00D50C3C">
                                <w:rPr>
                                  <w:rFonts w:ascii="Arial" w:hAnsi="Arial" w:cs="Arial"/>
                                  <w:sz w:val="18"/>
                                  <w:szCs w:val="18"/>
                                </w:rPr>
                                <w:t>Strimvelis</w:t>
                              </w:r>
                              <w:r w:rsidRPr="00D50C3C">
                                <w:rPr>
                                  <w:rFonts w:ascii="Arial" w:hAnsi="Arial" w:cs="Arial"/>
                                  <w:sz w:val="14"/>
                                  <w:szCs w:val="18"/>
                                </w:rPr>
                                <w:t xml:space="preserve"> </w:t>
                              </w:r>
                            </w:p>
                          </w:txbxContent>
                        </wps:txbx>
                        <wps:bodyPr rot="0" vert="horz" wrap="square" lIns="91440" tIns="0" rIns="91440" bIns="0" anchor="ctr" anchorCtr="0" upright="1">
                          <a:noAutofit/>
                        </wps:bodyPr>
                      </wps:wsp>
                      <wps:wsp>
                        <wps:cNvPr id="6" name="Flowchart: Off-page Connector 6"/>
                        <wps:cNvSpPr>
                          <a:spLocks noChangeArrowheads="1"/>
                        </wps:cNvSpPr>
                        <wps:spPr bwMode="auto">
                          <a:xfrm rot="16200000">
                            <a:off x="247650" y="1666876"/>
                            <a:ext cx="982049" cy="1020148"/>
                          </a:xfrm>
                          <a:prstGeom prst="flowChartOffpageConnector">
                            <a:avLst/>
                          </a:prstGeom>
                          <a:solidFill>
                            <a:srgbClr val="FFFFFF"/>
                          </a:solidFill>
                          <a:ln w="9525">
                            <a:solidFill>
                              <a:srgbClr val="000000"/>
                            </a:solidFill>
                            <a:miter lim="800000"/>
                            <a:headEnd/>
                            <a:tailEnd/>
                          </a:ln>
                        </wps:spPr>
                        <wps:txbx>
                          <w:txbxContent>
                            <w:p w:rsidR="00E111BE" w:rsidRDefault="00E111BE" w:rsidP="002F6CD6">
                              <w:pPr>
                                <w:pStyle w:val="NormalWeb"/>
                              </w:pPr>
                              <w:r>
                                <w:rPr>
                                  <w:rFonts w:ascii="Arial" w:eastAsia="Times New Roman" w:hAnsi="Arial"/>
                                  <w:sz w:val="20"/>
                                  <w:szCs w:val="20"/>
                                </w:rPr>
                                <w:t>Patients with ADA-SCID and no MRD</w:t>
                              </w:r>
                            </w:p>
                          </w:txbxContent>
                        </wps:txbx>
                        <wps:bodyPr rot="0" vert="horz" wrap="square" lIns="0" tIns="0" rIns="0" bIns="0" anchor="b" anchorCtr="0" upright="1">
                          <a:noAutofit/>
                        </wps:bodyPr>
                      </wps:wsp>
                      <wps:wsp>
                        <wps:cNvPr id="14" name="Elbow Connector 14"/>
                        <wps:cNvCnPr>
                          <a:stCxn id="6" idx="2"/>
                          <a:endCxn id="8" idx="1"/>
                        </wps:cNvCnPr>
                        <wps:spPr>
                          <a:xfrm flipV="1">
                            <a:off x="1248749" y="1349954"/>
                            <a:ext cx="312680" cy="82699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Elbow Connector 16"/>
                        <wps:cNvCnPr>
                          <a:stCxn id="6" idx="2"/>
                          <a:endCxn id="7" idx="1"/>
                        </wps:cNvCnPr>
                        <wps:spPr>
                          <a:xfrm>
                            <a:off x="1248749" y="2176950"/>
                            <a:ext cx="312680" cy="803559"/>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Flowchart: Alternate Process 23"/>
                        <wps:cNvSpPr>
                          <a:spLocks noChangeArrowheads="1"/>
                        </wps:cNvSpPr>
                        <wps:spPr bwMode="auto">
                          <a:xfrm>
                            <a:off x="2962347" y="2897045"/>
                            <a:ext cx="1497330" cy="1394057"/>
                          </a:xfrm>
                          <a:prstGeom prst="flowChartAlternateProcess">
                            <a:avLst/>
                          </a:prstGeom>
                          <a:solidFill>
                            <a:srgbClr val="FFFFFF"/>
                          </a:solidFill>
                          <a:ln w="9525">
                            <a:solidFill>
                              <a:srgbClr val="000000"/>
                            </a:solidFill>
                            <a:miter lim="800000"/>
                            <a:headEnd/>
                            <a:tailEnd/>
                          </a:ln>
                        </wps:spPr>
                        <wps:txbx>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Successful transplant, long term survival</w:t>
                              </w:r>
                              <w:r>
                                <w:rPr>
                                  <w:rFonts w:ascii="Arial" w:eastAsia="Times New Roman" w:hAnsi="Arial" w:cs="Arial"/>
                                  <w:sz w:val="14"/>
                                  <w:szCs w:val="14"/>
                                </w:rPr>
                                <w:t xml:space="preserve"> </w:t>
                              </w:r>
                            </w:p>
                          </w:txbxContent>
                        </wps:txbx>
                        <wps:bodyPr rot="0" vert="horz" wrap="square" lIns="91440" tIns="0" rIns="91440" bIns="0" anchor="t" anchorCtr="0" upright="1">
                          <a:noAutofit/>
                        </wps:bodyPr>
                      </wps:wsp>
                      <wps:wsp>
                        <wps:cNvPr id="52" name="Flowchart: Manual Operation 52"/>
                        <wps:cNvSpPr/>
                        <wps:spPr bwMode="auto">
                          <a:xfrm rot="16200000">
                            <a:off x="4790123" y="3280035"/>
                            <a:ext cx="810895" cy="628015"/>
                          </a:xfrm>
                          <a:prstGeom prst="flowChartManualOperation">
                            <a:avLst/>
                          </a:prstGeom>
                          <a:solidFill>
                            <a:srgbClr val="FFFFFF"/>
                          </a:solidFill>
                          <a:ln w="9525">
                            <a:solidFill>
                              <a:srgbClr val="000000"/>
                            </a:solidFill>
                            <a:miter lim="800000"/>
                            <a:headEnd/>
                            <a:tailEnd/>
                          </a:ln>
                        </wps:spPr>
                        <wps:txbx>
                          <w:txbxContent>
                            <w:p w:rsidR="00E111BE" w:rsidRPr="00E7620D" w:rsidRDefault="00E111BE" w:rsidP="002F6CD6">
                              <w:pPr>
                                <w:pStyle w:val="NormalWeb"/>
                                <w:spacing w:before="0" w:beforeAutospacing="0" w:after="160" w:afterAutospacing="0" w:line="256" w:lineRule="auto"/>
                                <w:jc w:val="center"/>
                                <w:rPr>
                                  <w:rFonts w:ascii="Arial" w:hAnsi="Arial" w:cs="Arial"/>
                                  <w:sz w:val="20"/>
                                </w:rPr>
                              </w:pPr>
                              <w:r w:rsidRPr="00E7620D">
                                <w:rPr>
                                  <w:rFonts w:ascii="Arial" w:eastAsia="Calibri" w:hAnsi="Arial" w:cs="Arial"/>
                                  <w:sz w:val="18"/>
                                  <w:szCs w:val="22"/>
                                </w:rPr>
                                <w:t>Dead</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g:wgp>
                        <wpg:cNvPr id="62" name="Group 62"/>
                        <wpg:cNvGrpSpPr/>
                        <wpg:grpSpPr>
                          <a:xfrm>
                            <a:off x="2962519" y="1754606"/>
                            <a:ext cx="5367428" cy="810895"/>
                            <a:chOff x="2962519" y="1873628"/>
                            <a:chExt cx="5367428" cy="810895"/>
                          </a:xfrm>
                        </wpg:grpSpPr>
                        <wps:wsp>
                          <wps:cNvPr id="21" name="Flowchart: Alternate Process 21"/>
                          <wps:cNvSpPr>
                            <a:spLocks noChangeArrowheads="1"/>
                          </wps:cNvSpPr>
                          <wps:spPr bwMode="auto">
                            <a:xfrm>
                              <a:off x="2962519" y="2114899"/>
                              <a:ext cx="1498288" cy="342052"/>
                            </a:xfrm>
                            <a:custGeom>
                              <a:avLst/>
                              <a:gdLst>
                                <a:gd name="connsiteX0" fmla="*/ 0 w 1497330"/>
                                <a:gd name="connsiteY0" fmla="*/ 57009 h 342052"/>
                                <a:gd name="connsiteX1" fmla="*/ 57009 w 1497330"/>
                                <a:gd name="connsiteY1" fmla="*/ 0 h 342052"/>
                                <a:gd name="connsiteX2" fmla="*/ 1440321 w 1497330"/>
                                <a:gd name="connsiteY2" fmla="*/ 0 h 342052"/>
                                <a:gd name="connsiteX3" fmla="*/ 1497330 w 1497330"/>
                                <a:gd name="connsiteY3" fmla="*/ 57009 h 342052"/>
                                <a:gd name="connsiteX4" fmla="*/ 1497330 w 1497330"/>
                                <a:gd name="connsiteY4" fmla="*/ 285043 h 342052"/>
                                <a:gd name="connsiteX5" fmla="*/ 1440321 w 1497330"/>
                                <a:gd name="connsiteY5" fmla="*/ 342052 h 342052"/>
                                <a:gd name="connsiteX6" fmla="*/ 57009 w 1497330"/>
                                <a:gd name="connsiteY6" fmla="*/ 342052 h 342052"/>
                                <a:gd name="connsiteX7" fmla="*/ 0 w 1497330"/>
                                <a:gd name="connsiteY7" fmla="*/ 285043 h 342052"/>
                                <a:gd name="connsiteX8" fmla="*/ 0 w 1497330"/>
                                <a:gd name="connsiteY8" fmla="*/ 57009 h 342052"/>
                                <a:gd name="connsiteX0" fmla="*/ 4509 w 1501839"/>
                                <a:gd name="connsiteY0" fmla="*/ 57009 h 342052"/>
                                <a:gd name="connsiteX1" fmla="*/ 61518 w 1501839"/>
                                <a:gd name="connsiteY1" fmla="*/ 0 h 342052"/>
                                <a:gd name="connsiteX2" fmla="*/ 1444830 w 1501839"/>
                                <a:gd name="connsiteY2" fmla="*/ 0 h 342052"/>
                                <a:gd name="connsiteX3" fmla="*/ 1501839 w 1501839"/>
                                <a:gd name="connsiteY3" fmla="*/ 57009 h 342052"/>
                                <a:gd name="connsiteX4" fmla="*/ 1501839 w 1501839"/>
                                <a:gd name="connsiteY4" fmla="*/ 285043 h 342052"/>
                                <a:gd name="connsiteX5" fmla="*/ 1444830 w 1501839"/>
                                <a:gd name="connsiteY5" fmla="*/ 342052 h 342052"/>
                                <a:gd name="connsiteX6" fmla="*/ 61518 w 1501839"/>
                                <a:gd name="connsiteY6" fmla="*/ 342052 h 342052"/>
                                <a:gd name="connsiteX7" fmla="*/ 4509 w 1501839"/>
                                <a:gd name="connsiteY7" fmla="*/ 285043 h 342052"/>
                                <a:gd name="connsiteX8" fmla="*/ 0 w 1501839"/>
                                <a:gd name="connsiteY8" fmla="*/ 111466 h 342052"/>
                                <a:gd name="connsiteX9" fmla="*/ 4509 w 1501839"/>
                                <a:gd name="connsiteY9" fmla="*/ 57009 h 342052"/>
                                <a:gd name="connsiteX0" fmla="*/ 0 w 1497330"/>
                                <a:gd name="connsiteY0" fmla="*/ 57009 h 342052"/>
                                <a:gd name="connsiteX1" fmla="*/ 57009 w 1497330"/>
                                <a:gd name="connsiteY1" fmla="*/ 0 h 342052"/>
                                <a:gd name="connsiteX2" fmla="*/ 1440321 w 1497330"/>
                                <a:gd name="connsiteY2" fmla="*/ 0 h 342052"/>
                                <a:gd name="connsiteX3" fmla="*/ 1497330 w 1497330"/>
                                <a:gd name="connsiteY3" fmla="*/ 57009 h 342052"/>
                                <a:gd name="connsiteX4" fmla="*/ 1497330 w 1497330"/>
                                <a:gd name="connsiteY4" fmla="*/ 285043 h 342052"/>
                                <a:gd name="connsiteX5" fmla="*/ 1440321 w 1497330"/>
                                <a:gd name="connsiteY5" fmla="*/ 342052 h 342052"/>
                                <a:gd name="connsiteX6" fmla="*/ 57009 w 1497330"/>
                                <a:gd name="connsiteY6" fmla="*/ 342052 h 342052"/>
                                <a:gd name="connsiteX7" fmla="*/ 0 w 1497330"/>
                                <a:gd name="connsiteY7" fmla="*/ 285043 h 342052"/>
                                <a:gd name="connsiteX8" fmla="*/ 0 w 1497330"/>
                                <a:gd name="connsiteY8" fmla="*/ 57009 h 342052"/>
                                <a:gd name="connsiteX0" fmla="*/ 0 w 1498288"/>
                                <a:gd name="connsiteY0" fmla="*/ 57009 h 342052"/>
                                <a:gd name="connsiteX1" fmla="*/ 57009 w 1498288"/>
                                <a:gd name="connsiteY1" fmla="*/ 0 h 342052"/>
                                <a:gd name="connsiteX2" fmla="*/ 1440321 w 1498288"/>
                                <a:gd name="connsiteY2" fmla="*/ 0 h 342052"/>
                                <a:gd name="connsiteX3" fmla="*/ 1497330 w 1498288"/>
                                <a:gd name="connsiteY3" fmla="*/ 57009 h 342052"/>
                                <a:gd name="connsiteX4" fmla="*/ 1498288 w 1498288"/>
                                <a:gd name="connsiteY4" fmla="*/ 159174 h 342052"/>
                                <a:gd name="connsiteX5" fmla="*/ 1497330 w 1498288"/>
                                <a:gd name="connsiteY5" fmla="*/ 285043 h 342052"/>
                                <a:gd name="connsiteX6" fmla="*/ 1440321 w 1498288"/>
                                <a:gd name="connsiteY6" fmla="*/ 342052 h 342052"/>
                                <a:gd name="connsiteX7" fmla="*/ 57009 w 1498288"/>
                                <a:gd name="connsiteY7" fmla="*/ 342052 h 342052"/>
                                <a:gd name="connsiteX8" fmla="*/ 0 w 1498288"/>
                                <a:gd name="connsiteY8" fmla="*/ 285043 h 342052"/>
                                <a:gd name="connsiteX9" fmla="*/ 0 w 1498288"/>
                                <a:gd name="connsiteY9" fmla="*/ 57009 h 342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288" h="342052">
                                  <a:moveTo>
                                    <a:pt x="0" y="57009"/>
                                  </a:moveTo>
                                  <a:cubicBezTo>
                                    <a:pt x="0" y="25524"/>
                                    <a:pt x="25524" y="0"/>
                                    <a:pt x="57009" y="0"/>
                                  </a:cubicBezTo>
                                  <a:lnTo>
                                    <a:pt x="1440321" y="0"/>
                                  </a:lnTo>
                                  <a:cubicBezTo>
                                    <a:pt x="1471806" y="0"/>
                                    <a:pt x="1497330" y="25524"/>
                                    <a:pt x="1497330" y="57009"/>
                                  </a:cubicBezTo>
                                  <a:cubicBezTo>
                                    <a:pt x="1497649" y="91064"/>
                                    <a:pt x="1497969" y="125119"/>
                                    <a:pt x="1498288" y="159174"/>
                                  </a:cubicBezTo>
                                  <a:cubicBezTo>
                                    <a:pt x="1497969" y="201130"/>
                                    <a:pt x="1497649" y="243087"/>
                                    <a:pt x="1497330" y="285043"/>
                                  </a:cubicBezTo>
                                  <a:cubicBezTo>
                                    <a:pt x="1497330" y="316528"/>
                                    <a:pt x="1471806" y="342052"/>
                                    <a:pt x="1440321" y="342052"/>
                                  </a:cubicBezTo>
                                  <a:lnTo>
                                    <a:pt x="57009" y="342052"/>
                                  </a:lnTo>
                                  <a:cubicBezTo>
                                    <a:pt x="25524" y="342052"/>
                                    <a:pt x="0" y="316528"/>
                                    <a:pt x="0" y="285043"/>
                                  </a:cubicBezTo>
                                  <a:lnTo>
                                    <a:pt x="0" y="57009"/>
                                  </a:lnTo>
                                  <a:close/>
                                </a:path>
                              </a:pathLst>
                            </a:custGeom>
                            <a:solidFill>
                              <a:srgbClr val="FFFFFF"/>
                            </a:solidFill>
                            <a:ln w="9525">
                              <a:solidFill>
                                <a:srgbClr val="000000"/>
                              </a:solidFill>
                              <a:miter lim="800000"/>
                              <a:headEnd/>
                              <a:tailEnd/>
                            </a:ln>
                          </wps:spPr>
                          <wps:txbx>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Failed engraftment: awaiting rescue HSCT</w:t>
                                </w:r>
                                <w:r>
                                  <w:rPr>
                                    <w:rFonts w:ascii="Arial" w:eastAsia="Times New Roman" w:hAnsi="Arial" w:cs="Arial"/>
                                    <w:sz w:val="14"/>
                                    <w:szCs w:val="14"/>
                                  </w:rPr>
                                  <w:t xml:space="preserve"> </w:t>
                                </w:r>
                              </w:p>
                            </w:txbxContent>
                          </wps:txbx>
                          <wps:bodyPr rot="0" vert="horz" wrap="square" lIns="91440" tIns="0" rIns="91440" bIns="0" anchor="ctr" anchorCtr="0" upright="1">
                            <a:noAutofit/>
                          </wps:bodyPr>
                        </wps:wsp>
                        <wps:wsp>
                          <wps:cNvPr id="41" name="Flowchart: Terminator 41"/>
                          <wps:cNvSpPr/>
                          <wps:spPr bwMode="auto">
                            <a:xfrm>
                              <a:off x="4707172" y="2099002"/>
                              <a:ext cx="1081378" cy="412090"/>
                            </a:xfrm>
                            <a:prstGeom prst="flowChartTerminator">
                              <a:avLst/>
                            </a:prstGeom>
                            <a:solidFill>
                              <a:srgbClr val="FFFFFF"/>
                            </a:solidFill>
                            <a:ln w="9525">
                              <a:solidFill>
                                <a:srgbClr val="000000"/>
                              </a:solidFill>
                              <a:miter lim="800000"/>
                              <a:headEnd/>
                              <a:tailEnd/>
                            </a:ln>
                          </wps:spPr>
                          <wps:txbx>
                            <w:txbxContent>
                              <w:p w:rsidR="00E111BE" w:rsidRPr="006F49CA" w:rsidRDefault="00E111BE" w:rsidP="002F6CD6">
                                <w:pPr>
                                  <w:jc w:val="center"/>
                                  <w:rPr>
                                    <w:rFonts w:ascii="Arial" w:hAnsi="Arial" w:cs="Arial"/>
                                    <w:sz w:val="18"/>
                                  </w:rPr>
                                </w:pPr>
                                <w:r w:rsidRPr="006F49CA">
                                  <w:rPr>
                                    <w:rFonts w:ascii="Arial" w:hAnsi="Arial" w:cs="Arial"/>
                                    <w:sz w:val="18"/>
                                  </w:rPr>
                                  <w:t>Rescue MSD HSCT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46" name="Flowchart: Alternate Process 46"/>
                          <wps:cNvSpPr>
                            <a:spLocks noChangeArrowheads="1"/>
                          </wps:cNvSpPr>
                          <wps:spPr bwMode="auto">
                            <a:xfrm>
                              <a:off x="6024210" y="2107385"/>
                              <a:ext cx="1386406" cy="341630"/>
                            </a:xfrm>
                            <a:prstGeom prst="flowChartAlternateProcess">
                              <a:avLst/>
                            </a:prstGeom>
                            <a:solidFill>
                              <a:srgbClr val="FFFFFF"/>
                            </a:solidFill>
                            <a:ln w="9525">
                              <a:solidFill>
                                <a:srgbClr val="000000"/>
                              </a:solidFill>
                              <a:miter lim="800000"/>
                              <a:headEnd/>
                              <a:tailEnd/>
                            </a:ln>
                          </wps:spPr>
                          <wps:txbx>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Successful transplant, long term survival</w:t>
                                </w:r>
                                <w:r>
                                  <w:rPr>
                                    <w:rFonts w:ascii="Arial" w:eastAsia="Times New Roman" w:hAnsi="Arial" w:cs="Arial"/>
                                    <w:sz w:val="14"/>
                                    <w:szCs w:val="14"/>
                                  </w:rPr>
                                  <w:t xml:space="preserve"> </w:t>
                                </w:r>
                              </w:p>
                            </w:txbxContent>
                          </wps:txbx>
                          <wps:bodyPr rot="0" vert="horz" wrap="square" lIns="91440" tIns="0" rIns="91440" bIns="0" anchor="ctr" anchorCtr="0" upright="1">
                            <a:noAutofit/>
                          </wps:bodyPr>
                        </wps:wsp>
                        <wps:wsp>
                          <wps:cNvPr id="48" name="Straight Arrow Connector 48"/>
                          <wps:cNvCnPr>
                            <a:stCxn id="41" idx="3"/>
                            <a:endCxn id="46" idx="1"/>
                          </wps:cNvCnPr>
                          <wps:spPr>
                            <a:xfrm flipV="1">
                              <a:off x="5788550" y="2278200"/>
                              <a:ext cx="235660" cy="268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Flowchart: Manual Operation 49"/>
                          <wps:cNvSpPr/>
                          <wps:spPr bwMode="auto">
                            <a:xfrm rot="16200000">
                              <a:off x="7610492" y="1965068"/>
                              <a:ext cx="810895" cy="628015"/>
                            </a:xfrm>
                            <a:prstGeom prst="flowChartManualOperation">
                              <a:avLst/>
                            </a:prstGeom>
                            <a:solidFill>
                              <a:srgbClr val="FFFFFF"/>
                            </a:solidFill>
                            <a:ln w="9525">
                              <a:solidFill>
                                <a:srgbClr val="000000"/>
                              </a:solidFill>
                              <a:miter lim="800000"/>
                              <a:headEnd/>
                              <a:tailEnd/>
                            </a:ln>
                          </wps:spPr>
                          <wps:txbx>
                            <w:txbxContent>
                              <w:p w:rsidR="00E111BE" w:rsidRPr="00E7620D" w:rsidRDefault="00E111BE" w:rsidP="002F6CD6">
                                <w:pPr>
                                  <w:pStyle w:val="NormalWeb"/>
                                  <w:spacing w:before="0" w:beforeAutospacing="0" w:after="160" w:afterAutospacing="0" w:line="256" w:lineRule="auto"/>
                                  <w:jc w:val="center"/>
                                  <w:rPr>
                                    <w:rFonts w:ascii="Arial" w:hAnsi="Arial" w:cs="Arial"/>
                                    <w:sz w:val="20"/>
                                  </w:rPr>
                                </w:pPr>
                                <w:r w:rsidRPr="00E7620D">
                                  <w:rPr>
                                    <w:rFonts w:ascii="Arial" w:eastAsia="Calibri" w:hAnsi="Arial" w:cs="Arial"/>
                                    <w:sz w:val="18"/>
                                    <w:szCs w:val="22"/>
                                  </w:rPr>
                                  <w:t>Dead</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51" name="Straight Arrow Connector 51"/>
                          <wps:cNvCnPr>
                            <a:stCxn id="46" idx="3"/>
                            <a:endCxn id="49" idx="0"/>
                          </wps:cNvCnPr>
                          <wps:spPr>
                            <a:xfrm>
                              <a:off x="7410616" y="2278200"/>
                              <a:ext cx="291316" cy="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a:stCxn id="21" idx="4"/>
                            <a:endCxn id="41" idx="1"/>
                          </wps:cNvCnPr>
                          <wps:spPr>
                            <a:xfrm>
                              <a:off x="4460807" y="2274073"/>
                              <a:ext cx="246365" cy="309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s:wsp>
                        <wps:cNvPr id="59" name="Flowchart: Manual Operation 59"/>
                        <wps:cNvSpPr/>
                        <wps:spPr bwMode="auto">
                          <a:xfrm rot="16200000">
                            <a:off x="4740394" y="328089"/>
                            <a:ext cx="810260" cy="628015"/>
                          </a:xfrm>
                          <a:prstGeom prst="flowChartManualOperation">
                            <a:avLst/>
                          </a:prstGeom>
                          <a:solidFill>
                            <a:srgbClr val="FFFFFF"/>
                          </a:solidFill>
                          <a:ln w="9525">
                            <a:solidFill>
                              <a:srgbClr val="000000"/>
                            </a:solidFill>
                            <a:miter lim="800000"/>
                            <a:headEnd/>
                            <a:tailEnd/>
                          </a:ln>
                        </wps:spPr>
                        <wps:txbx>
                          <w:txbxContent>
                            <w:p w:rsidR="00E111BE" w:rsidRPr="00E7620D" w:rsidRDefault="00E111BE" w:rsidP="002F6CD6">
                              <w:pPr>
                                <w:pStyle w:val="NormalWeb"/>
                                <w:spacing w:before="0" w:beforeAutospacing="0" w:after="160" w:afterAutospacing="0" w:line="254" w:lineRule="auto"/>
                                <w:jc w:val="center"/>
                                <w:rPr>
                                  <w:rFonts w:ascii="Arial" w:hAnsi="Arial" w:cs="Arial"/>
                                  <w:sz w:val="20"/>
                                </w:rPr>
                              </w:pPr>
                              <w:r w:rsidRPr="00E7620D">
                                <w:rPr>
                                  <w:rFonts w:ascii="Arial" w:eastAsia="Calibri" w:hAnsi="Arial" w:cs="Arial"/>
                                  <w:sz w:val="18"/>
                                  <w:szCs w:val="22"/>
                                </w:rPr>
                                <w:t>Dead</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60" name="Straight Arrow Connector 60"/>
                        <wps:cNvCnPr>
                          <a:stCxn id="19" idx="3"/>
                          <a:endCxn id="59" idx="0"/>
                        </wps:cNvCnPr>
                        <wps:spPr>
                          <a:xfrm>
                            <a:off x="4459849" y="641609"/>
                            <a:ext cx="371668" cy="4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Elbow Connector 63"/>
                        <wps:cNvCnPr/>
                        <wps:spPr>
                          <a:xfrm>
                            <a:off x="2696435" y="2988946"/>
                            <a:ext cx="266700" cy="702310"/>
                          </a:xfrm>
                          <a:prstGeom prst="bentConnector3">
                            <a:avLst>
                              <a:gd name="adj1" fmla="val 43912"/>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Elbow Connector 64"/>
                        <wps:cNvCnPr/>
                        <wps:spPr>
                          <a:xfrm flipV="1">
                            <a:off x="2696435" y="2271396"/>
                            <a:ext cx="266065" cy="717550"/>
                          </a:xfrm>
                          <a:prstGeom prst="bentConnector3">
                            <a:avLst>
                              <a:gd name="adj1" fmla="val 44006"/>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Flowchart: Alternate Process 66"/>
                        <wps:cNvSpPr>
                          <a:spLocks noChangeArrowheads="1"/>
                        </wps:cNvSpPr>
                        <wps:spPr bwMode="auto">
                          <a:xfrm>
                            <a:off x="3095409" y="3608258"/>
                            <a:ext cx="1252220" cy="255600"/>
                          </a:xfrm>
                          <a:prstGeom prst="flowChartAlternateProcess">
                            <a:avLst/>
                          </a:prstGeom>
                          <a:solidFill>
                            <a:srgbClr val="FFFFFF"/>
                          </a:solidFill>
                          <a:ln w="9525">
                            <a:solidFill>
                              <a:srgbClr val="000000"/>
                            </a:solidFill>
                            <a:miter lim="800000"/>
                            <a:headEnd/>
                            <a:tailEnd/>
                          </a:ln>
                        </wps:spPr>
                        <wps:txbx>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GvHD risk</w:t>
                              </w:r>
                            </w:p>
                          </w:txbxContent>
                        </wps:txbx>
                        <wps:bodyPr rot="0" vert="horz" wrap="square" lIns="91440" tIns="0" rIns="91440" bIns="0" anchor="ctr" anchorCtr="0" upright="1">
                          <a:noAutofit/>
                        </wps:bodyPr>
                      </wps:wsp>
                      <wps:wsp>
                        <wps:cNvPr id="67" name="Flowchart: Alternate Process 67"/>
                        <wps:cNvSpPr>
                          <a:spLocks noChangeArrowheads="1"/>
                        </wps:cNvSpPr>
                        <wps:spPr bwMode="auto">
                          <a:xfrm>
                            <a:off x="3095493" y="3925756"/>
                            <a:ext cx="1252220" cy="255600"/>
                          </a:xfrm>
                          <a:prstGeom prst="flowChartAlternateProcess">
                            <a:avLst/>
                          </a:prstGeom>
                          <a:solidFill>
                            <a:srgbClr val="FFFFFF"/>
                          </a:solidFill>
                          <a:ln w="9525">
                            <a:solidFill>
                              <a:srgbClr val="000000"/>
                            </a:solidFill>
                            <a:miter lim="800000"/>
                            <a:headEnd/>
                            <a:tailEnd/>
                          </a:ln>
                        </wps:spPr>
                        <wps:txbx>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IVIG usage</w:t>
                              </w:r>
                            </w:p>
                          </w:txbxContent>
                        </wps:txbx>
                        <wps:bodyPr rot="0" vert="horz" wrap="square" lIns="91440" tIns="0" rIns="91440" bIns="0" anchor="ctr" anchorCtr="0" upright="1">
                          <a:noAutofit/>
                        </wps:bodyPr>
                      </wps:wsp>
                      <wpg:wgp>
                        <wpg:cNvPr id="69" name="Group 69"/>
                        <wpg:cNvGrpSpPr/>
                        <wpg:grpSpPr>
                          <a:xfrm>
                            <a:off x="2962124" y="137609"/>
                            <a:ext cx="1497725" cy="1008000"/>
                            <a:chOff x="2962124" y="280521"/>
                            <a:chExt cx="1497725" cy="988841"/>
                          </a:xfrm>
                        </wpg:grpSpPr>
                        <wpg:grpSp>
                          <wpg:cNvPr id="30" name="Group 30"/>
                          <wpg:cNvGrpSpPr/>
                          <wpg:grpSpPr>
                            <a:xfrm>
                              <a:off x="2962124" y="280521"/>
                              <a:ext cx="1497725" cy="988841"/>
                              <a:chOff x="2867540" y="116390"/>
                              <a:chExt cx="1497725" cy="988841"/>
                            </a:xfrm>
                          </wpg:grpSpPr>
                          <wps:wsp>
                            <wps:cNvPr id="19" name="Flowchart: Alternate Process 19"/>
                            <wps:cNvSpPr>
                              <a:spLocks noChangeArrowheads="1"/>
                            </wps:cNvSpPr>
                            <wps:spPr bwMode="auto">
                              <a:xfrm>
                                <a:off x="2867540" y="116390"/>
                                <a:ext cx="1497725" cy="988841"/>
                              </a:xfrm>
                              <a:prstGeom prst="flowChartAlternateProcess">
                                <a:avLst/>
                              </a:prstGeom>
                              <a:solidFill>
                                <a:srgbClr val="FFFFFF"/>
                              </a:solidFill>
                              <a:ln w="9525">
                                <a:solidFill>
                                  <a:srgbClr val="000000"/>
                                </a:solidFill>
                                <a:miter lim="800000"/>
                                <a:headEnd/>
                                <a:tailEnd/>
                              </a:ln>
                            </wps:spPr>
                            <wps:txbx>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Successful transplant, long term survival</w:t>
                                  </w:r>
                                  <w:r>
                                    <w:rPr>
                                      <w:rFonts w:ascii="Arial" w:eastAsia="Times New Roman" w:hAnsi="Arial" w:cs="Arial"/>
                                      <w:sz w:val="14"/>
                                      <w:szCs w:val="14"/>
                                    </w:rPr>
                                    <w:t xml:space="preserve"> </w:t>
                                  </w:r>
                                </w:p>
                              </w:txbxContent>
                            </wps:txbx>
                            <wps:bodyPr rot="0" vert="horz" wrap="square" lIns="91440" tIns="0" rIns="91440" bIns="0" anchor="t" anchorCtr="0" upright="1">
                              <a:noAutofit/>
                            </wps:bodyPr>
                          </wps:wsp>
                          <wps:wsp>
                            <wps:cNvPr id="17" name="Flowchart: Alternate Process 17"/>
                            <wps:cNvSpPr>
                              <a:spLocks noChangeArrowheads="1"/>
                            </wps:cNvSpPr>
                            <wps:spPr bwMode="auto">
                              <a:xfrm>
                                <a:off x="2991972" y="475548"/>
                                <a:ext cx="1252532" cy="252000"/>
                              </a:xfrm>
                              <a:prstGeom prst="flowChartAlternateProcess">
                                <a:avLst/>
                              </a:prstGeom>
                              <a:solidFill>
                                <a:srgbClr val="FFFFFF"/>
                              </a:solidFill>
                              <a:ln w="9525">
                                <a:solidFill>
                                  <a:srgbClr val="000000"/>
                                </a:solidFill>
                                <a:miter lim="800000"/>
                                <a:headEnd/>
                                <a:tailEnd/>
                              </a:ln>
                            </wps:spPr>
                            <wps:txbx>
                              <w:txbxContent>
                                <w:p w:rsidR="00E111BE" w:rsidRPr="007062EA" w:rsidRDefault="00E111BE" w:rsidP="002F6CD6">
                                  <w:pPr>
                                    <w:pStyle w:val="NormalWeb"/>
                                    <w:spacing w:before="0" w:beforeAutospacing="0" w:after="0" w:afterAutospacing="0"/>
                                    <w:jc w:val="center"/>
                                    <w:rPr>
                                      <w:sz w:val="18"/>
                                      <w:szCs w:val="18"/>
                                    </w:rPr>
                                  </w:pPr>
                                  <w:r w:rsidRPr="007062EA">
                                    <w:rPr>
                                      <w:rFonts w:ascii="Arial" w:eastAsia="Times New Roman" w:hAnsi="Arial" w:cs="Arial"/>
                                      <w:sz w:val="18"/>
                                      <w:szCs w:val="18"/>
                                    </w:rPr>
                                    <w:t>Severe infection risk</w:t>
                                  </w:r>
                                </w:p>
                              </w:txbxContent>
                            </wps:txbx>
                            <wps:bodyPr rot="0" vert="horz" wrap="square" lIns="91440" tIns="0" rIns="91440" bIns="0" anchor="ctr" anchorCtr="0" upright="1">
                              <a:noAutofit/>
                            </wps:bodyPr>
                          </wps:wsp>
                        </wpg:grpSp>
                        <wps:wsp>
                          <wps:cNvPr id="68" name="Flowchart: Alternate Process 68"/>
                          <wps:cNvSpPr>
                            <a:spLocks noChangeArrowheads="1"/>
                          </wps:cNvSpPr>
                          <wps:spPr bwMode="auto">
                            <a:xfrm>
                              <a:off x="3086783" y="953583"/>
                              <a:ext cx="1252220" cy="252000"/>
                            </a:xfrm>
                            <a:prstGeom prst="flowChartAlternateProcess">
                              <a:avLst/>
                            </a:prstGeom>
                            <a:solidFill>
                              <a:srgbClr val="FFFFFF"/>
                            </a:solidFill>
                            <a:ln w="9525">
                              <a:solidFill>
                                <a:srgbClr val="000000"/>
                              </a:solidFill>
                              <a:miter lim="800000"/>
                              <a:headEnd/>
                              <a:tailEnd/>
                            </a:ln>
                          </wps:spPr>
                          <wps:txbx>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IVIG usage</w:t>
                                </w:r>
                              </w:p>
                            </w:txbxContent>
                          </wps:txbx>
                          <wps:bodyPr rot="0" vert="horz" wrap="square" lIns="91440" tIns="0" rIns="91440" bIns="0" anchor="ctr" anchorCtr="0" upright="1">
                            <a:noAutofit/>
                          </wps:bodyPr>
                        </wps:wsp>
                      </wpg:wgp>
                      <wps:wsp>
                        <wps:cNvPr id="70" name="Flowchart: Alternate Process 70"/>
                        <wps:cNvSpPr>
                          <a:spLocks noChangeArrowheads="1"/>
                        </wps:cNvSpPr>
                        <wps:spPr bwMode="auto">
                          <a:xfrm>
                            <a:off x="3095409" y="3289221"/>
                            <a:ext cx="1252220" cy="255600"/>
                          </a:xfrm>
                          <a:prstGeom prst="flowChartAlternateProcess">
                            <a:avLst/>
                          </a:prstGeom>
                          <a:solidFill>
                            <a:srgbClr val="FFFFFF"/>
                          </a:solidFill>
                          <a:ln w="9525">
                            <a:solidFill>
                              <a:srgbClr val="000000"/>
                            </a:solidFill>
                            <a:miter lim="800000"/>
                            <a:headEnd/>
                            <a:tailEnd/>
                          </a:ln>
                        </wps:spPr>
                        <wps:txbx>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Severe infection risk</w:t>
                              </w:r>
                            </w:p>
                          </w:txbxContent>
                        </wps:txbx>
                        <wps:bodyPr rot="0" vert="horz" wrap="square" lIns="91440" tIns="0" rIns="91440" bIns="0" anchor="ctr" anchorCtr="0" upright="1">
                          <a:noAutofit/>
                        </wps:bodyPr>
                      </wps:wsp>
                      <wps:wsp>
                        <wps:cNvPr id="71" name="Straight Arrow Connector 71"/>
                        <wps:cNvCnPr>
                          <a:stCxn id="23" idx="3"/>
                          <a:endCxn id="52" idx="0"/>
                        </wps:cNvCnPr>
                        <wps:spPr>
                          <a:xfrm flipV="1">
                            <a:off x="4459548" y="3594042"/>
                            <a:ext cx="421864" cy="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Text Box 72"/>
                        <wps:cNvSpPr txBox="1"/>
                        <wps:spPr>
                          <a:xfrm>
                            <a:off x="1681437" y="1530868"/>
                            <a:ext cx="914734" cy="339056"/>
                          </a:xfrm>
                          <a:prstGeom prst="rect">
                            <a:avLst/>
                          </a:prstGeom>
                          <a:solidFill>
                            <a:schemeClr val="lt1"/>
                          </a:solidFill>
                          <a:ln w="6350">
                            <a:noFill/>
                          </a:ln>
                        </wps:spPr>
                        <wps:txbx>
                          <w:txbxContent>
                            <w:p w:rsidR="00E111BE" w:rsidRPr="007062EA" w:rsidRDefault="00E111BE" w:rsidP="002F6CD6">
                              <w:pPr>
                                <w:jc w:val="center"/>
                                <w:rPr>
                                  <w:rFonts w:ascii="Arial" w:hAnsi="Arial" w:cs="Arial"/>
                                  <w:i/>
                                  <w:sz w:val="16"/>
                                </w:rPr>
                              </w:pPr>
                              <w:r w:rsidRPr="007062EA">
                                <w:rPr>
                                  <w:rFonts w:ascii="Arial" w:hAnsi="Arial" w:cs="Arial"/>
                                  <w:i/>
                                  <w:sz w:val="16"/>
                                </w:rPr>
                                <w:t>PEG-ADA time 9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2"/>
                        <wps:cNvSpPr txBox="1"/>
                        <wps:spPr>
                          <a:xfrm>
                            <a:off x="1681771" y="3177583"/>
                            <a:ext cx="914400" cy="338455"/>
                          </a:xfrm>
                          <a:prstGeom prst="rect">
                            <a:avLst/>
                          </a:prstGeom>
                          <a:solidFill>
                            <a:schemeClr val="lt1"/>
                          </a:solidFill>
                          <a:ln w="6350">
                            <a:noFill/>
                          </a:ln>
                        </wps:spPr>
                        <wps:txbx>
                          <w:txbxContent>
                            <w:p w:rsidR="00E111BE" w:rsidRDefault="00E111BE" w:rsidP="002F6CD6">
                              <w:pPr>
                                <w:pStyle w:val="NormalWeb"/>
                                <w:spacing w:before="0" w:beforeAutospacing="0" w:after="160" w:afterAutospacing="0" w:line="256" w:lineRule="auto"/>
                                <w:jc w:val="center"/>
                              </w:pPr>
                              <w:r>
                                <w:rPr>
                                  <w:rFonts w:ascii="Arial" w:eastAsia="Calibri" w:hAnsi="Arial"/>
                                  <w:i/>
                                  <w:iCs/>
                                  <w:sz w:val="16"/>
                                  <w:szCs w:val="16"/>
                                </w:rPr>
                                <w:t>PEG-ADA time 19 weeks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Curved Connector 76"/>
                        <wps:cNvCnPr/>
                        <wps:spPr>
                          <a:xfrm rot="16200000" flipH="1">
                            <a:off x="5279439" y="342417"/>
                            <a:ext cx="179705" cy="179705"/>
                          </a:xfrm>
                          <a:prstGeom prst="curvedConnector4">
                            <a:avLst>
                              <a:gd name="adj1" fmla="val -46242"/>
                              <a:gd name="adj2" fmla="val 130526"/>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Curved Connector 77"/>
                        <wps:cNvCnPr/>
                        <wps:spPr>
                          <a:xfrm rot="16200000" flipH="1">
                            <a:off x="4280172" y="137962"/>
                            <a:ext cx="179705" cy="179070"/>
                          </a:xfrm>
                          <a:prstGeom prst="curvedConnector4">
                            <a:avLst>
                              <a:gd name="adj1" fmla="val -46242"/>
                              <a:gd name="adj2" fmla="val 130526"/>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Curved Connector 78"/>
                        <wps:cNvCnPr/>
                        <wps:spPr>
                          <a:xfrm rot="16200000" flipH="1">
                            <a:off x="8150531" y="1870339"/>
                            <a:ext cx="179705" cy="179070"/>
                          </a:xfrm>
                          <a:prstGeom prst="curvedConnector4">
                            <a:avLst>
                              <a:gd name="adj1" fmla="val -46242"/>
                              <a:gd name="adj2" fmla="val 130526"/>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Curved Connector 79"/>
                        <wps:cNvCnPr/>
                        <wps:spPr>
                          <a:xfrm rot="16200000" flipH="1">
                            <a:off x="5323459" y="3307214"/>
                            <a:ext cx="179705" cy="179070"/>
                          </a:xfrm>
                          <a:prstGeom prst="curvedConnector4">
                            <a:avLst>
                              <a:gd name="adj1" fmla="val -46242"/>
                              <a:gd name="adj2" fmla="val 130526"/>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Curved Connector 81"/>
                        <wps:cNvCnPr/>
                        <wps:spPr>
                          <a:xfrm rot="16200000" flipH="1">
                            <a:off x="4267755" y="2897010"/>
                            <a:ext cx="179705" cy="179070"/>
                          </a:xfrm>
                          <a:prstGeom prst="curvedConnector4">
                            <a:avLst>
                              <a:gd name="adj1" fmla="val -46242"/>
                              <a:gd name="adj2" fmla="val 130526"/>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Elbow Connector 82"/>
                        <wps:cNvCnPr/>
                        <wps:spPr>
                          <a:xfrm>
                            <a:off x="2696435" y="1359082"/>
                            <a:ext cx="266700" cy="701675"/>
                          </a:xfrm>
                          <a:prstGeom prst="bentConnector3">
                            <a:avLst>
                              <a:gd name="adj1" fmla="val 43912"/>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Elbow Connector 83"/>
                        <wps:cNvCnPr/>
                        <wps:spPr>
                          <a:xfrm flipV="1">
                            <a:off x="2696435" y="641532"/>
                            <a:ext cx="266065" cy="716915"/>
                          </a:xfrm>
                          <a:prstGeom prst="bentConnector3">
                            <a:avLst>
                              <a:gd name="adj1" fmla="val 44006"/>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Curved Connector 39"/>
                        <wps:cNvCnPr/>
                        <wps:spPr>
                          <a:xfrm rot="16200000" flipH="1">
                            <a:off x="7269646" y="1986899"/>
                            <a:ext cx="144000" cy="144000"/>
                          </a:xfrm>
                          <a:prstGeom prst="curvedConnector4">
                            <a:avLst>
                              <a:gd name="adj1" fmla="val -46242"/>
                              <a:gd name="adj2" fmla="val 130526"/>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Elbow Connector 4"/>
                        <wps:cNvCnPr>
                          <a:endCxn id="52" idx="1"/>
                        </wps:cNvCnPr>
                        <wps:spPr>
                          <a:xfrm>
                            <a:off x="2696435" y="2988946"/>
                            <a:ext cx="2499136" cy="929454"/>
                          </a:xfrm>
                          <a:prstGeom prst="bentConnector4">
                            <a:avLst>
                              <a:gd name="adj1" fmla="val 4665"/>
                              <a:gd name="adj2" fmla="val 155872"/>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Text Box 72"/>
                        <wps:cNvSpPr txBox="1"/>
                        <wps:spPr>
                          <a:xfrm>
                            <a:off x="3402054" y="4461628"/>
                            <a:ext cx="1145241" cy="218296"/>
                          </a:xfrm>
                          <a:prstGeom prst="rect">
                            <a:avLst/>
                          </a:prstGeom>
                          <a:solidFill>
                            <a:schemeClr val="lt1"/>
                          </a:solidFill>
                          <a:ln w="6350">
                            <a:noFill/>
                          </a:ln>
                        </wps:spPr>
                        <wps:txbx>
                          <w:txbxContent>
                            <w:p w:rsidR="00E111BE" w:rsidRPr="00155DE4" w:rsidRDefault="00E111BE" w:rsidP="00155DE4">
                              <w:pPr>
                                <w:pStyle w:val="NormalWeb"/>
                                <w:spacing w:before="0" w:beforeAutospacing="0" w:after="160" w:afterAutospacing="0" w:line="254" w:lineRule="auto"/>
                                <w:jc w:val="center"/>
                                <w:rPr>
                                  <w:i/>
                                </w:rPr>
                              </w:pPr>
                              <w:r w:rsidRPr="00155DE4">
                                <w:rPr>
                                  <w:rFonts w:ascii="Arial" w:eastAsia="Calibri" w:hAnsi="Arial"/>
                                  <w:i/>
                                  <w:iCs/>
                                  <w:sz w:val="16"/>
                                  <w:szCs w:val="16"/>
                                </w:rPr>
                                <w:t xml:space="preserve">Procedural mortality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35C7130" id="Canvas 5" o:spid="_x0000_s1026" editas="canvas" style="width:673.65pt;height:385.5pt;mso-position-horizontal-relative:char;mso-position-vertical-relative:line" coordsize="85553,4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553;height:48958;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left:15614;top:28455;width:1134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">
                  <v:textbox>
                    <w:txbxContent>
                      <w:p w:rsidR="00E111BE" w:rsidRPr="00E01238" w:rsidRDefault="00E111BE" w:rsidP="002F6CD6">
                        <w:pPr>
                          <w:spacing w:after="0" w:line="240" w:lineRule="auto"/>
                          <w:jc w:val="center"/>
                          <w:rPr>
                            <w:rFonts w:ascii="Arial" w:hAnsi="Arial" w:cs="Arial"/>
                            <w:sz w:val="18"/>
                          </w:rPr>
                        </w:pPr>
                        <w:r w:rsidRPr="00E01238">
                          <w:rPr>
                            <w:rFonts w:ascii="Arial" w:hAnsi="Arial" w:cs="Arial"/>
                            <w:sz w:val="18"/>
                          </w:rPr>
                          <w:t>HSCT procedures</w:t>
                        </w:r>
                      </w:p>
                    </w:txbxContent>
                  </v:textbox>
                </v:shape>
                <v:shape id="Flowchart: Alternate Process 8" o:spid="_x0000_s1029" type="#_x0000_t176" style="position:absolute;left:15614;top:12149;width:1134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">
                  <v:textbox inset=",0,,0">
                    <w:txbxContent>
                      <w:p w:rsidR="00E111BE" w:rsidRPr="00D50C3C" w:rsidRDefault="00E111BE" w:rsidP="002F6CD6">
                        <w:pPr>
                          <w:pStyle w:val="NormalWeb"/>
                          <w:spacing w:before="0" w:beforeAutospacing="0" w:after="0" w:afterAutospacing="0"/>
                          <w:jc w:val="center"/>
                          <w:rPr>
                            <w:sz w:val="20"/>
                          </w:rPr>
                        </w:pPr>
                        <w:proofErr w:type="spellStart"/>
                        <w:r w:rsidRPr="00D50C3C">
                          <w:rPr>
                            <w:rFonts w:ascii="Arial" w:hAnsi="Arial" w:cs="Arial"/>
                            <w:sz w:val="18"/>
                            <w:szCs w:val="18"/>
                          </w:rPr>
                          <w:t>Strimvelis</w:t>
                        </w:r>
                        <w:proofErr w:type="spellEnd"/>
                        <w:r w:rsidRPr="00D50C3C">
                          <w:rPr>
                            <w:rFonts w:ascii="Arial" w:hAnsi="Arial" w:cs="Arial"/>
                            <w:sz w:val="14"/>
                            <w:szCs w:val="18"/>
                          </w:rPr>
                          <w:t xml:space="preserve"> </w:t>
                        </w:r>
                      </w:p>
                    </w:txbxContent>
                  </v:textbox>
                </v:shape>
                <v:shapetype id="_x0000_t177" coordsize="21600,21600" o:spt="177" path="m,l21600,r,17255l10800,21600,,17255xe">
                  <v:stroke joinstyle="miter"/>
                  <v:path gradientshapeok="t" o:connecttype="rect" textboxrect="0,0,21600,17255"/>
                </v:shapetype>
                <v:shape id="Flowchart: Off-page Connector 6" o:spid="_x0000_s1030" type="#_x0000_t177" style="position:absolute;left:2477;top:16668;width:9820;height:10201;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">
                  <v:textbox inset="0,0,0,0">
                    <w:txbxContent>
                      <w:p w:rsidR="00E111BE" w:rsidRDefault="00E111BE" w:rsidP="002F6CD6">
                        <w:pPr>
                          <w:pStyle w:val="NormalWeb"/>
                        </w:pPr>
                        <w:r>
                          <w:rPr>
                            <w:rFonts w:ascii="Arial" w:eastAsia="Times New Roman" w:hAnsi="Arial"/>
                            <w:sz w:val="20"/>
                            <w:szCs w:val="20"/>
                          </w:rPr>
                          <w:t>Patients with ADA-SCID and no MRD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1" type="#_x0000_t34" style="position:absolute;left:12487;top:13499;width:3127;height:827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" strokecolor="black [3200]" strokeweight=".5pt">
                  <v:stroke endarrow="block"/>
                </v:shape>
                <v:shape id="Elbow Connector 16" o:spid="_x0000_s1032" type="#_x0000_t34" style="position:absolute;left:12487;top:21769;width:3127;height:803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" strokecolor="black [3200]" strokeweight=".5pt">
                  <v:stroke endarrow="block"/>
                </v:shape>
                <v:shape id="Flowchart: Alternate Process 23" o:spid="_x0000_s1033" type="#_x0000_t176" style="position:absolute;left:29623;top:28970;width:14973;height:1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">
                  <v:textbox inset=",0,,0">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Successful transplant, long term survival</w:t>
                        </w:r>
                        <w:r>
                          <w:rPr>
                            <w:rFonts w:ascii="Arial" w:eastAsia="Times New Roman" w:hAnsi="Arial" w:cs="Arial"/>
                            <w:sz w:val="14"/>
                            <w:szCs w:val="14"/>
                          </w:rPr>
                          <w:t xml:space="preserve"> </w:t>
                        </w:r>
                      </w:p>
                    </w:txbxContent>
                  </v:textbox>
                </v:shape>
                <v:shapetype id="_x0000_t119" coordsize="21600,21600" o:spt="119" path="m,l21600,,17240,21600r-12880,xe">
                  <v:stroke joinstyle="miter"/>
                  <v:path gradientshapeok="t" o:connecttype="custom" o:connectlocs="10800,0;2180,10800;10800,21600;19420,10800" textboxrect="4321,0,17204,21600"/>
                </v:shapetype>
                <v:shape id="Flowchart: Manual Operation 52" o:spid="_x0000_s1034" type="#_x0000_t119" style="position:absolute;left:47900;top:32800;width:8109;height:6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">
                  <v:textbox>
                    <w:txbxContent>
                      <w:p w:rsidR="00E111BE" w:rsidRPr="00E7620D" w:rsidRDefault="00E111BE" w:rsidP="002F6CD6">
                        <w:pPr>
                          <w:pStyle w:val="NormalWeb"/>
                          <w:spacing w:before="0" w:beforeAutospacing="0" w:after="160" w:afterAutospacing="0" w:line="256" w:lineRule="auto"/>
                          <w:jc w:val="center"/>
                          <w:rPr>
                            <w:rFonts w:ascii="Arial" w:hAnsi="Arial" w:cs="Arial"/>
                            <w:sz w:val="20"/>
                          </w:rPr>
                        </w:pPr>
                        <w:r w:rsidRPr="00E7620D">
                          <w:rPr>
                            <w:rFonts w:ascii="Arial" w:eastAsia="Calibri" w:hAnsi="Arial" w:cs="Arial"/>
                            <w:sz w:val="18"/>
                            <w:szCs w:val="22"/>
                          </w:rPr>
                          <w:t>Dead</w:t>
                        </w:r>
                      </w:p>
                    </w:txbxContent>
                  </v:textbox>
                </v:shape>
                <v:group id="Group 62" o:spid="_x0000_s1035" style="position:absolute;left:29625;top:17546;width:53674;height:8109" coordorigin="29625,18736" coordsize="53674,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lowchart: Alternate Process 21" o:spid="_x0000_s1036" style="position:absolute;left:29625;top:21148;width:14983;height:3421;visibility:visible;mso-wrap-style:square;v-text-anchor:middle" coordsize="1498288,3420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" adj="-11796480,,5400" path="m,57009c,25524,25524,,57009,l1440321,v31485,,57009,25524,57009,57009c1497649,91064,1497969,125119,1498288,159174v-319,41956,-639,83913,-958,125869c1497330,316528,1471806,342052,1440321,342052r-1383312,c25524,342052,,316528,,285043l,57009xe">
                    <v:stroke joinstyle="miter"/>
                    <v:formulas/>
                    <v:path o:connecttype="custom" o:connectlocs="0,57009;57009,0;1440321,0;1497330,57009;1498288,159174;1497330,285043;1440321,342052;57009,342052;0,285043;0,57009" o:connectangles="0,0,0,0,0,0,0,0,0,0" textboxrect="0,0,1498288,342052"/>
                    <v:textbox inset=",0,,0">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Failed engraftment: awaiting rescue HSCT</w:t>
                          </w:r>
                          <w:r>
                            <w:rPr>
                              <w:rFonts w:ascii="Arial" w:eastAsia="Times New Roman" w:hAnsi="Arial" w:cs="Arial"/>
                              <w:sz w:val="14"/>
                              <w:szCs w:val="14"/>
                            </w:rPr>
                            <w:t xml:space="preserve"> </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41" o:spid="_x0000_s1037" type="#_x0000_t116" style="position:absolute;left:47071;top:20990;width:10814;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">
                    <v:textbox inset=",0,,0">
                      <w:txbxContent>
                        <w:p w:rsidR="00E111BE" w:rsidRPr="006F49CA" w:rsidRDefault="00E111BE" w:rsidP="002F6CD6">
                          <w:pPr>
                            <w:jc w:val="center"/>
                            <w:rPr>
                              <w:rFonts w:ascii="Arial" w:hAnsi="Arial" w:cs="Arial"/>
                              <w:sz w:val="18"/>
                            </w:rPr>
                          </w:pPr>
                          <w:r w:rsidRPr="006F49CA">
                            <w:rPr>
                              <w:rFonts w:ascii="Arial" w:hAnsi="Arial" w:cs="Arial"/>
                              <w:sz w:val="18"/>
                            </w:rPr>
                            <w:t>Rescue MSD HSCT</w:t>
                          </w:r>
                        </w:p>
                      </w:txbxContent>
                    </v:textbox>
                  </v:shape>
                  <v:shape id="Flowchart: Alternate Process 46" o:spid="_x0000_s1038" type="#_x0000_t176" style="position:absolute;left:60242;top:21073;width:13864;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">
                    <v:textbox inset=",0,,0">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Successful transplant, long term survival</w:t>
                          </w:r>
                          <w:r>
                            <w:rPr>
                              <w:rFonts w:ascii="Arial" w:eastAsia="Times New Roman" w:hAnsi="Arial" w:cs="Arial"/>
                              <w:sz w:val="14"/>
                              <w:szCs w:val="14"/>
                            </w:rPr>
                            <w:t xml:space="preserve"> </w:t>
                          </w:r>
                        </w:p>
                      </w:txbxContent>
                    </v:textbox>
                  </v:shape>
                  <v:shapetype id="_x0000_t32" coordsize="21600,21600" o:spt="32" o:oned="t" path="m,l21600,21600e" filled="f">
                    <v:path arrowok="t" fillok="f" o:connecttype="none"/>
                    <o:lock v:ext="edit" shapetype="t"/>
                  </v:shapetype>
                  <v:shape id="Straight Arrow Connector 48" o:spid="_x0000_s1039" type="#_x0000_t32" style="position:absolute;left:57885;top:22782;width:2357;height:2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" strokecolor="black [3200]" strokeweight=".5pt">
                    <v:stroke endarrow="block" joinstyle="miter"/>
                  </v:shape>
                  <v:shape id="Flowchart: Manual Operation 49" o:spid="_x0000_s1040" type="#_x0000_t119" style="position:absolute;left:76104;top:19651;width:8109;height:6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">
                    <v:textbox>
                      <w:txbxContent>
                        <w:p w:rsidR="00E111BE" w:rsidRPr="00E7620D" w:rsidRDefault="00E111BE" w:rsidP="002F6CD6">
                          <w:pPr>
                            <w:pStyle w:val="NormalWeb"/>
                            <w:spacing w:before="0" w:beforeAutospacing="0" w:after="160" w:afterAutospacing="0" w:line="256" w:lineRule="auto"/>
                            <w:jc w:val="center"/>
                            <w:rPr>
                              <w:rFonts w:ascii="Arial" w:hAnsi="Arial" w:cs="Arial"/>
                              <w:sz w:val="20"/>
                            </w:rPr>
                          </w:pPr>
                          <w:r w:rsidRPr="00E7620D">
                            <w:rPr>
                              <w:rFonts w:ascii="Arial" w:eastAsia="Calibri" w:hAnsi="Arial" w:cs="Arial"/>
                              <w:sz w:val="18"/>
                              <w:szCs w:val="22"/>
                            </w:rPr>
                            <w:t>Dead</w:t>
                          </w:r>
                        </w:p>
                      </w:txbxContent>
                    </v:textbox>
                  </v:shape>
                  <v:shape id="Straight Arrow Connector 51" o:spid="_x0000_s1041" type="#_x0000_t32" style="position:absolute;left:74106;top:22782;width:291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" strokecolor="black [3200]" strokeweight=".5pt">
                    <v:stroke endarrow="block" joinstyle="miter"/>
                  </v:shape>
                  <v:shape id="Straight Arrow Connector 54" o:spid="_x0000_s1042" type="#_x0000_t32" style="position:absolute;left:44608;top:22740;width:2463;height: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ahwgAAANsAAAAPAAAAZHJzL2Rvd25yZXYueG1sRI9Lq8Iw&#10;FIT3gv8hHOHuNFWu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DbOTahwgAAANsAAAAPAAAA&#10;AAAAAAAAAAAAAAcCAABkcnMvZG93bnJldi54bWxQSwUGAAAAAAMAAwC3AAAA9gIAAAAA&#10;" strokecolor="black [3200]" strokeweight=".5pt">
                    <v:stroke endarrow="block" joinstyle="miter"/>
                  </v:shape>
                </v:group>
                <v:shape id="Flowchart: Manual Operation 59" o:spid="_x0000_s1043" type="#_x0000_t119" style="position:absolute;left:47403;top:3281;width:8103;height:6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">
                  <v:textbox>
                    <w:txbxContent>
                      <w:p w:rsidR="00E111BE" w:rsidRPr="00E7620D" w:rsidRDefault="00E111BE" w:rsidP="002F6CD6">
                        <w:pPr>
                          <w:pStyle w:val="NormalWeb"/>
                          <w:spacing w:before="0" w:beforeAutospacing="0" w:after="160" w:afterAutospacing="0" w:line="254" w:lineRule="auto"/>
                          <w:jc w:val="center"/>
                          <w:rPr>
                            <w:rFonts w:ascii="Arial" w:hAnsi="Arial" w:cs="Arial"/>
                            <w:sz w:val="20"/>
                          </w:rPr>
                        </w:pPr>
                        <w:r w:rsidRPr="00E7620D">
                          <w:rPr>
                            <w:rFonts w:ascii="Arial" w:eastAsia="Calibri" w:hAnsi="Arial" w:cs="Arial"/>
                            <w:sz w:val="18"/>
                            <w:szCs w:val="22"/>
                          </w:rPr>
                          <w:t>Dead</w:t>
                        </w:r>
                      </w:p>
                    </w:txbxContent>
                  </v:textbox>
                </v:shape>
                <v:shape id="Straight Arrow Connector 60" o:spid="_x0000_s1044" type="#_x0000_t32" style="position:absolute;left:44598;top:6416;width:3717;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" strokecolor="black [3200]" strokeweight=".5pt">
                  <v:stroke endarrow="block" joinstyle="miter"/>
                </v:shape>
                <v:shape id="Elbow Connector 63" o:spid="_x0000_s1045" type="#_x0000_t34" style="position:absolute;left:26964;top:29889;width:2667;height:70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" adj="9485" strokecolor="black [3200]" strokeweight=".5pt">
                  <v:stroke endarrow="block"/>
                </v:shape>
                <v:shape id="Elbow Connector 64" o:spid="_x0000_s1046" type="#_x0000_t34" style="position:absolute;left:26964;top:22713;width:2661;height:717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" adj="9505" strokecolor="black [3200]" strokeweight=".5pt">
                  <v:stroke endarrow="block"/>
                </v:shape>
                <v:shape id="Flowchart: Alternate Process 66" o:spid="_x0000_s1047" type="#_x0000_t176" style="position:absolute;left:30954;top:36082;width:12522;height:2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">
                  <v:textbox inset=",0,,0">
                    <w:txbxContent>
                      <w:p w:rsidR="00E111BE" w:rsidRDefault="00E111BE" w:rsidP="002F6CD6">
                        <w:pPr>
                          <w:pStyle w:val="NormalWeb"/>
                          <w:spacing w:before="0" w:beforeAutospacing="0" w:after="0" w:afterAutospacing="0"/>
                          <w:jc w:val="center"/>
                        </w:pPr>
                        <w:proofErr w:type="spellStart"/>
                        <w:r>
                          <w:rPr>
                            <w:rFonts w:ascii="Arial" w:eastAsia="Times New Roman" w:hAnsi="Arial" w:cs="Arial"/>
                            <w:sz w:val="18"/>
                            <w:szCs w:val="18"/>
                          </w:rPr>
                          <w:t>GvHD</w:t>
                        </w:r>
                        <w:proofErr w:type="spellEnd"/>
                        <w:r>
                          <w:rPr>
                            <w:rFonts w:ascii="Arial" w:eastAsia="Times New Roman" w:hAnsi="Arial" w:cs="Arial"/>
                            <w:sz w:val="18"/>
                            <w:szCs w:val="18"/>
                          </w:rPr>
                          <w:t xml:space="preserve"> risk</w:t>
                        </w:r>
                      </w:p>
                    </w:txbxContent>
                  </v:textbox>
                </v:shape>
                <v:shape id="Flowchart: Alternate Process 67" o:spid="_x0000_s1048" type="#_x0000_t176" style="position:absolute;left:30954;top:39257;width:12523;height:2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">
                  <v:textbox inset=",0,,0">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IVIG usage</w:t>
                        </w:r>
                      </w:p>
                    </w:txbxContent>
                  </v:textbox>
                </v:shape>
                <v:group id="Group 69" o:spid="_x0000_s1049" style="position:absolute;left:29621;top:1376;width:14977;height:10080" coordorigin="29621,2805" coordsize="14977,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30" o:spid="_x0000_s1050" style="position:absolute;left:29621;top:2805;width:14977;height:9888" coordorigin="28675,1163" coordsize="14977,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lowchart: Alternate Process 19" o:spid="_x0000_s1051" type="#_x0000_t176" style="position:absolute;left:28675;top:1163;width:14977;height:9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">
                      <v:textbox inset=",0,,0">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Successful transplant, long term survival</w:t>
                            </w:r>
                            <w:r>
                              <w:rPr>
                                <w:rFonts w:ascii="Arial" w:eastAsia="Times New Roman" w:hAnsi="Arial" w:cs="Arial"/>
                                <w:sz w:val="14"/>
                                <w:szCs w:val="14"/>
                              </w:rPr>
                              <w:t xml:space="preserve"> </w:t>
                            </w:r>
                          </w:p>
                        </w:txbxContent>
                      </v:textbox>
                    </v:shape>
                    <v:shape id="Flowchart: Alternate Process 17" o:spid="_x0000_s1052" type="#_x0000_t176" style="position:absolute;left:29919;top:4755;width:12526;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">
                      <v:textbox inset=",0,,0">
                        <w:txbxContent>
                          <w:p w:rsidR="00E111BE" w:rsidRPr="007062EA" w:rsidRDefault="00E111BE" w:rsidP="002F6CD6">
                            <w:pPr>
                              <w:pStyle w:val="NormalWeb"/>
                              <w:spacing w:before="0" w:beforeAutospacing="0" w:after="0" w:afterAutospacing="0"/>
                              <w:jc w:val="center"/>
                              <w:rPr>
                                <w:sz w:val="18"/>
                                <w:szCs w:val="18"/>
                              </w:rPr>
                            </w:pPr>
                            <w:r w:rsidRPr="007062EA">
                              <w:rPr>
                                <w:rFonts w:ascii="Arial" w:eastAsia="Times New Roman" w:hAnsi="Arial" w:cs="Arial"/>
                                <w:sz w:val="18"/>
                                <w:szCs w:val="18"/>
                              </w:rPr>
                              <w:t>Severe infection risk</w:t>
                            </w:r>
                          </w:p>
                        </w:txbxContent>
                      </v:textbox>
                    </v:shape>
                  </v:group>
                  <v:shape id="Flowchart: Alternate Process 68" o:spid="_x0000_s1053" type="#_x0000_t176" style="position:absolute;left:30867;top:9535;width:12523;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">
                    <v:textbox inset=",0,,0">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IVIG usage</w:t>
                          </w:r>
                        </w:p>
                      </w:txbxContent>
                    </v:textbox>
                  </v:shape>
                </v:group>
                <v:shape id="Flowchart: Alternate Process 70" o:spid="_x0000_s1054" type="#_x0000_t176" style="position:absolute;left:30954;top:32892;width:12522;height:2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">
                  <v:textbox inset=",0,,0">
                    <w:txbxContent>
                      <w:p w:rsidR="00E111BE" w:rsidRDefault="00E111BE" w:rsidP="002F6CD6">
                        <w:pPr>
                          <w:pStyle w:val="NormalWeb"/>
                          <w:spacing w:before="0" w:beforeAutospacing="0" w:after="0" w:afterAutospacing="0"/>
                          <w:jc w:val="center"/>
                        </w:pPr>
                        <w:r>
                          <w:rPr>
                            <w:rFonts w:ascii="Arial" w:eastAsia="Times New Roman" w:hAnsi="Arial" w:cs="Arial"/>
                            <w:sz w:val="18"/>
                            <w:szCs w:val="18"/>
                          </w:rPr>
                          <w:t>Severe infection risk</w:t>
                        </w:r>
                      </w:p>
                    </w:txbxContent>
                  </v:textbox>
                </v:shape>
                <v:shape id="Straight Arrow Connector 71" o:spid="_x0000_s1055" type="#_x0000_t32" style="position:absolute;left:44595;top:35940;width:42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" strokecolor="black [3200]" strokeweight=".5pt">
                  <v:stroke endarrow="block" joinstyle="miter"/>
                </v:shape>
                <v:shapetype id="_x0000_t202" coordsize="21600,21600" o:spt="202" path="m,l,21600r21600,l21600,xe">
                  <v:stroke joinstyle="miter"/>
                  <v:path gradientshapeok="t" o:connecttype="rect"/>
                </v:shapetype>
                <v:shape id="Text Box 72" o:spid="_x0000_s1056" type="#_x0000_t202" style="position:absolute;left:16814;top:15308;width:914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rsidR="00E111BE" w:rsidRPr="007062EA" w:rsidRDefault="00E111BE" w:rsidP="002F6CD6">
                        <w:pPr>
                          <w:jc w:val="center"/>
                          <w:rPr>
                            <w:rFonts w:ascii="Arial" w:hAnsi="Arial" w:cs="Arial"/>
                            <w:i/>
                            <w:sz w:val="16"/>
                          </w:rPr>
                        </w:pPr>
                        <w:r w:rsidRPr="007062EA">
                          <w:rPr>
                            <w:rFonts w:ascii="Arial" w:hAnsi="Arial" w:cs="Arial"/>
                            <w:i/>
                            <w:sz w:val="16"/>
                          </w:rPr>
                          <w:t>PEG-ADA time 9 weeks</w:t>
                        </w:r>
                      </w:p>
                    </w:txbxContent>
                  </v:textbox>
                </v:shape>
                <v:shape id="Text Box 72" o:spid="_x0000_s1057" type="#_x0000_t202" style="position:absolute;left:16817;top:31775;width:914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" fillcolor="white [3201]" stroked="f" strokeweight=".5pt">
                  <v:textbox>
                    <w:txbxContent>
                      <w:p w:rsidR="00E111BE" w:rsidRDefault="00E111BE" w:rsidP="002F6CD6">
                        <w:pPr>
                          <w:pStyle w:val="NormalWeb"/>
                          <w:spacing w:before="0" w:beforeAutospacing="0" w:after="160" w:afterAutospacing="0" w:line="256" w:lineRule="auto"/>
                          <w:jc w:val="center"/>
                        </w:pPr>
                        <w:r>
                          <w:rPr>
                            <w:rFonts w:ascii="Arial" w:eastAsia="Calibri" w:hAnsi="Arial"/>
                            <w:i/>
                            <w:iCs/>
                            <w:sz w:val="16"/>
                            <w:szCs w:val="16"/>
                          </w:rPr>
                          <w:t>PEG-ADA time 19 weeks</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76" o:spid="_x0000_s1058" type="#_x0000_t39" style="position:absolute;left:52794;top:3424;width:1797;height:179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" adj="-9988,28194" strokecolor="black [3200]" strokeweight=".5pt">
                  <v:stroke endarrow="block" joinstyle="miter"/>
                </v:shape>
                <v:shape id="Curved Connector 77" o:spid="_x0000_s1059" type="#_x0000_t39" style="position:absolute;left:42801;top:1379;width:1797;height:179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" adj="-9988,28194" strokecolor="black [3200]" strokeweight=".5pt">
                  <v:stroke endarrow="block" joinstyle="miter"/>
                </v:shape>
                <v:shape id="Curved Connector 78" o:spid="_x0000_s1060" type="#_x0000_t39" style="position:absolute;left:81505;top:18703;width:1797;height:179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" adj="-9988,28194" strokecolor="black [3200]" strokeweight=".5pt">
                  <v:stroke endarrow="block" joinstyle="miter"/>
                </v:shape>
                <v:shape id="Curved Connector 79" o:spid="_x0000_s1061" type="#_x0000_t39" style="position:absolute;left:53234;top:33071;width:1798;height:179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" adj="-9988,28194" strokecolor="black [3200]" strokeweight=".5pt">
                  <v:stroke endarrow="block" joinstyle="miter"/>
                </v:shape>
                <v:shape id="Curved Connector 81" o:spid="_x0000_s1062" type="#_x0000_t39" style="position:absolute;left:42677;top:28969;width:1797;height:179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" adj="-9988,28194" strokecolor="black [3200]" strokeweight=".5pt">
                  <v:stroke endarrow="block" joinstyle="miter"/>
                </v:shape>
                <v:shape id="Elbow Connector 82" o:spid="_x0000_s1063" type="#_x0000_t34" style="position:absolute;left:26964;top:13590;width:2667;height:70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" adj="9485" strokecolor="black [3200]" strokeweight=".5pt">
                  <v:stroke endarrow="block"/>
                </v:shape>
                <v:shape id="Elbow Connector 83" o:spid="_x0000_s1064" type="#_x0000_t34" style="position:absolute;left:26964;top:6415;width:2661;height:71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" adj="9505" strokecolor="black [3200]" strokeweight=".5pt">
                  <v:stroke endarrow="block"/>
                </v:shape>
                <v:shape id="Curved Connector 39" o:spid="_x0000_s1065" type="#_x0000_t39" style="position:absolute;left:72696;top:19868;width:1440;height:1440;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" adj="-9988,28194" strokecolor="black [3200]" strokeweight=".5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4" o:spid="_x0000_s1066" type="#_x0000_t35" style="position:absolute;left:26964;top:29889;width:24991;height:92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" adj="1008,33668" strokecolor="black [3200]" strokeweight=".5pt">
                  <v:stroke endarrow="block"/>
                </v:shape>
                <v:shape id="Text Box 72" o:spid="_x0000_s1067" type="#_x0000_t202" style="position:absolute;left:34020;top:44616;width:11452;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rsidR="00E111BE" w:rsidRPr="00155DE4" w:rsidRDefault="00E111BE" w:rsidP="00155DE4">
                        <w:pPr>
                          <w:pStyle w:val="NormalWeb"/>
                          <w:spacing w:before="0" w:beforeAutospacing="0" w:after="160" w:afterAutospacing="0" w:line="254" w:lineRule="auto"/>
                          <w:jc w:val="center"/>
                          <w:rPr>
                            <w:i/>
                          </w:rPr>
                        </w:pPr>
                        <w:r w:rsidRPr="00155DE4">
                          <w:rPr>
                            <w:rFonts w:ascii="Arial" w:eastAsia="Calibri" w:hAnsi="Arial"/>
                            <w:i/>
                            <w:iCs/>
                            <w:sz w:val="16"/>
                            <w:szCs w:val="16"/>
                          </w:rPr>
                          <w:t xml:space="preserve">Procedural mortality </w:t>
                        </w:r>
                      </w:p>
                    </w:txbxContent>
                  </v:textbox>
                </v:shape>
                <w10:anchorlock/>
              </v:group>
            </w:pict>
          </mc:Fallback>
        </mc:AlternateContent>
      </w:r>
    </w:p>
    <w:p w:rsidR="00E111BE" w:rsidRDefault="00E111BE" w:rsidP="00CF473C">
      <w:pPr>
        <w:rPr>
          <w:b/>
        </w:rPr>
      </w:pPr>
      <w:r>
        <w:rPr>
          <w:b/>
        </w:rPr>
        <w:t xml:space="preserve">Fig 1 </w:t>
      </w:r>
      <w:r w:rsidRPr="00E34F05">
        <w:t>Schematic of the company’s model structure</w:t>
      </w:r>
    </w:p>
    <w:p w:rsidR="00803AB8" w:rsidRPr="009640D2" w:rsidRDefault="00E111BE">
      <w:pPr>
        <w:rPr>
          <w:b/>
        </w:rPr>
      </w:pPr>
      <w:r w:rsidRPr="00D70D1B">
        <w:rPr>
          <w:rFonts w:asciiTheme="minorHAnsi" w:hAnsiTheme="minorHAnsi" w:cs="Arial"/>
          <w:vertAlign w:val="superscript"/>
        </w:rPr>
        <w:t>GvHD: Graft versus host disease; IVIG: Intravenous Immunoglobulin; MSD: Matched sibling donor; MRD: Matched related donor; HSCT: Haematopoietic stem cell transplant; PEG-ADA: Pegademase bovine;</w:t>
      </w:r>
      <w:r w:rsidRPr="00D70D1B">
        <w:rPr>
          <w:rFonts w:asciiTheme="minorHAnsi" w:hAnsiTheme="minorHAnsi"/>
          <w:sz w:val="28"/>
          <w:vertAlign w:val="superscript"/>
        </w:rPr>
        <w:t xml:space="preserve"> </w:t>
      </w:r>
      <w:r w:rsidRPr="00D70D1B">
        <w:rPr>
          <w:rFonts w:asciiTheme="minorHAnsi" w:hAnsiTheme="minorHAnsi" w:cs="Arial"/>
          <w:vertAlign w:val="superscript"/>
        </w:rPr>
        <w:t>ADA-SCID: Adenosine deaminase deficiency severe combined immunodeficiency</w:t>
      </w:r>
    </w:p>
    <w:sectPr w:rsidR="00803AB8" w:rsidRPr="009640D2" w:rsidSect="00AF75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EA7" w:rsidRDefault="007F4DB4">
      <w:pPr>
        <w:spacing w:after="0" w:line="240" w:lineRule="auto"/>
      </w:pPr>
      <w:r>
        <w:separator/>
      </w:r>
    </w:p>
  </w:endnote>
  <w:endnote w:type="continuationSeparator" w:id="0">
    <w:p w:rsidR="00461EA7" w:rsidRDefault="007F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906241"/>
      <w:docPartObj>
        <w:docPartGallery w:val="Page Numbers (Bottom of Page)"/>
        <w:docPartUnique/>
      </w:docPartObj>
    </w:sdtPr>
    <w:sdtEndPr>
      <w:rPr>
        <w:noProof/>
      </w:rPr>
    </w:sdtEndPr>
    <w:sdtContent>
      <w:p w:rsidR="000F2052" w:rsidRDefault="00F14951">
        <w:pPr>
          <w:pStyle w:val="Footer"/>
          <w:jc w:val="right"/>
        </w:pPr>
        <w:r>
          <w:fldChar w:fldCharType="begin"/>
        </w:r>
        <w:r>
          <w:instrText xml:space="preserve"> PAGE   \* MERGEFORMAT </w:instrText>
        </w:r>
        <w:r>
          <w:fldChar w:fldCharType="separate"/>
        </w:r>
        <w:r w:rsidR="0079757A">
          <w:rPr>
            <w:noProof/>
          </w:rPr>
          <w:t>1</w:t>
        </w:r>
        <w:r>
          <w:rPr>
            <w:noProof/>
          </w:rPr>
          <w:fldChar w:fldCharType="end"/>
        </w:r>
      </w:p>
    </w:sdtContent>
  </w:sdt>
  <w:p w:rsidR="000F2052" w:rsidRDefault="00797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EA7" w:rsidRDefault="007F4DB4">
      <w:pPr>
        <w:spacing w:after="0" w:line="240" w:lineRule="auto"/>
      </w:pPr>
      <w:r>
        <w:separator/>
      </w:r>
    </w:p>
  </w:footnote>
  <w:footnote w:type="continuationSeparator" w:id="0">
    <w:p w:rsidR="00461EA7" w:rsidRDefault="007F4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C7C"/>
    <w:multiLevelType w:val="hybridMultilevel"/>
    <w:tmpl w:val="D4660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41A6C"/>
    <w:multiLevelType w:val="hybridMultilevel"/>
    <w:tmpl w:val="AFB6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A44C1"/>
    <w:multiLevelType w:val="hybridMultilevel"/>
    <w:tmpl w:val="C67AB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C22034"/>
    <w:multiLevelType w:val="multilevel"/>
    <w:tmpl w:val="2734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723B4"/>
    <w:multiLevelType w:val="hybridMultilevel"/>
    <w:tmpl w:val="0CBAB4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91F04"/>
    <w:multiLevelType w:val="hybridMultilevel"/>
    <w:tmpl w:val="0CBAB4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81596"/>
    <w:multiLevelType w:val="hybridMultilevel"/>
    <w:tmpl w:val="9550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53C9B"/>
    <w:multiLevelType w:val="hybridMultilevel"/>
    <w:tmpl w:val="7EE6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35FF3"/>
    <w:multiLevelType w:val="hybridMultilevel"/>
    <w:tmpl w:val="DDE05F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51B423BE"/>
    <w:multiLevelType w:val="hybridMultilevel"/>
    <w:tmpl w:val="11C8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3105D"/>
    <w:multiLevelType w:val="hybridMultilevel"/>
    <w:tmpl w:val="A3F8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E5F73"/>
    <w:multiLevelType w:val="hybridMultilevel"/>
    <w:tmpl w:val="0CBAB4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4904D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DD41292"/>
    <w:multiLevelType w:val="hybridMultilevel"/>
    <w:tmpl w:val="0CBAB4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1"/>
  </w:num>
  <w:num w:numId="5">
    <w:abstractNumId w:val="10"/>
  </w:num>
  <w:num w:numId="6">
    <w:abstractNumId w:val="8"/>
  </w:num>
  <w:num w:numId="7">
    <w:abstractNumId w:val="9"/>
  </w:num>
  <w:num w:numId="8">
    <w:abstractNumId w:val="4"/>
  </w:num>
  <w:num w:numId="9">
    <w:abstractNumId w:val="2"/>
  </w:num>
  <w:num w:numId="10">
    <w:abstractNumId w:val="13"/>
  </w:num>
  <w:num w:numId="11">
    <w:abstractNumId w:val="11"/>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111BE"/>
    <w:rsid w:val="00223EC4"/>
    <w:rsid w:val="00257D16"/>
    <w:rsid w:val="002A524B"/>
    <w:rsid w:val="002D4B84"/>
    <w:rsid w:val="003D688F"/>
    <w:rsid w:val="003F29A6"/>
    <w:rsid w:val="00461EA7"/>
    <w:rsid w:val="004B47B9"/>
    <w:rsid w:val="005B6162"/>
    <w:rsid w:val="005E3BE3"/>
    <w:rsid w:val="00795B8D"/>
    <w:rsid w:val="00797242"/>
    <w:rsid w:val="0079757A"/>
    <w:rsid w:val="007F4DB4"/>
    <w:rsid w:val="00803AB8"/>
    <w:rsid w:val="008A66B1"/>
    <w:rsid w:val="009640D2"/>
    <w:rsid w:val="00A26CBA"/>
    <w:rsid w:val="00A52B6C"/>
    <w:rsid w:val="00AA0D9C"/>
    <w:rsid w:val="00AE1EEA"/>
    <w:rsid w:val="00B046AD"/>
    <w:rsid w:val="00B23253"/>
    <w:rsid w:val="00CB3CED"/>
    <w:rsid w:val="00D21566"/>
    <w:rsid w:val="00E111BE"/>
    <w:rsid w:val="00F14951"/>
    <w:rsid w:val="00F91115"/>
    <w:rsid w:val="00FD4399"/>
    <w:rsid w:val="00FE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00DDD-1FBF-4E87-A28E-0AF31DBB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1BE"/>
    <w:rPr>
      <w:rFonts w:asciiTheme="majorHAnsi" w:hAnsiTheme="majorHAnsi"/>
    </w:rPr>
  </w:style>
  <w:style w:type="paragraph" w:styleId="Heading1">
    <w:name w:val="heading 1"/>
    <w:basedOn w:val="Normal"/>
    <w:next w:val="Normal"/>
    <w:link w:val="Heading1Char"/>
    <w:uiPriority w:val="9"/>
    <w:qFormat/>
    <w:rsid w:val="00E111BE"/>
    <w:pPr>
      <w:keepNext/>
      <w:keepLines/>
      <w:numPr>
        <w:numId w:val="2"/>
      </w:numPr>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11BE"/>
    <w:pPr>
      <w:keepNext/>
      <w:keepLines/>
      <w:numPr>
        <w:ilvl w:val="1"/>
        <w:numId w:val="2"/>
      </w:numPr>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11BE"/>
    <w:pPr>
      <w:keepNext/>
      <w:keepLines/>
      <w:numPr>
        <w:ilvl w:val="2"/>
        <w:numId w:val="2"/>
      </w:numPr>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111BE"/>
    <w:pPr>
      <w:keepNext/>
      <w:keepLines/>
      <w:numPr>
        <w:ilvl w:val="3"/>
        <w:numId w:val="2"/>
      </w:numPr>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111BE"/>
    <w:pPr>
      <w:keepNext/>
      <w:keepLines/>
      <w:numPr>
        <w:ilvl w:val="4"/>
        <w:numId w:val="2"/>
      </w:numPr>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111BE"/>
    <w:pPr>
      <w:keepNext/>
      <w:keepLines/>
      <w:numPr>
        <w:ilvl w:val="5"/>
        <w:numId w:val="2"/>
      </w:numPr>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E111BE"/>
    <w:pPr>
      <w:keepNext/>
      <w:keepLines/>
      <w:numPr>
        <w:ilvl w:val="6"/>
        <w:numId w:val="2"/>
      </w:numPr>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E111BE"/>
    <w:pPr>
      <w:keepNext/>
      <w:keepLines/>
      <w:numPr>
        <w:ilvl w:val="7"/>
        <w:numId w:val="2"/>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1BE"/>
    <w:pPr>
      <w:keepNext/>
      <w:keepLines/>
      <w:numPr>
        <w:ilvl w:val="8"/>
        <w:numId w:val="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1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11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11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111B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11B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11B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111B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11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1B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E111BE"/>
    <w:pPr>
      <w:ind w:left="720"/>
      <w:contextualSpacing/>
    </w:pPr>
  </w:style>
  <w:style w:type="paragraph" w:styleId="BalloonText">
    <w:name w:val="Balloon Text"/>
    <w:basedOn w:val="Normal"/>
    <w:link w:val="BalloonTextChar"/>
    <w:uiPriority w:val="99"/>
    <w:semiHidden/>
    <w:unhideWhenUsed/>
    <w:rsid w:val="00E11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1BE"/>
    <w:rPr>
      <w:rFonts w:ascii="Segoe UI" w:hAnsi="Segoe UI" w:cs="Segoe UI"/>
      <w:sz w:val="18"/>
      <w:szCs w:val="18"/>
    </w:rPr>
  </w:style>
  <w:style w:type="character" w:styleId="Hyperlink">
    <w:name w:val="Hyperlink"/>
    <w:basedOn w:val="DefaultParagraphFont"/>
    <w:uiPriority w:val="99"/>
    <w:unhideWhenUsed/>
    <w:rsid w:val="00E111BE"/>
    <w:rPr>
      <w:color w:val="0563C1" w:themeColor="hyperlink"/>
      <w:u w:val="single"/>
    </w:rPr>
  </w:style>
  <w:style w:type="paragraph" w:customStyle="1" w:styleId="EndNoteBibliographyTitle">
    <w:name w:val="EndNote Bibliography Title"/>
    <w:basedOn w:val="Normal"/>
    <w:link w:val="EndNoteBibliographyTitleChar"/>
    <w:rsid w:val="00E111BE"/>
    <w:pPr>
      <w:spacing w:after="0"/>
      <w:jc w:val="center"/>
    </w:pPr>
    <w:rPr>
      <w:rFonts w:ascii="Calibri Light" w:hAnsi="Calibri Light" w:cs="Calibri Light"/>
      <w:noProof/>
      <w:lang w:val="en-US"/>
    </w:rPr>
  </w:style>
  <w:style w:type="character" w:customStyle="1" w:styleId="EndNoteBibliographyTitleChar">
    <w:name w:val="EndNote Bibliography Title Char"/>
    <w:basedOn w:val="DefaultParagraphFont"/>
    <w:link w:val="EndNoteBibliographyTitle"/>
    <w:rsid w:val="00E111BE"/>
    <w:rPr>
      <w:rFonts w:ascii="Calibri Light" w:hAnsi="Calibri Light" w:cs="Calibri Light"/>
      <w:noProof/>
      <w:lang w:val="en-US"/>
    </w:rPr>
  </w:style>
  <w:style w:type="paragraph" w:customStyle="1" w:styleId="EndNoteBibliography">
    <w:name w:val="EndNote Bibliography"/>
    <w:basedOn w:val="Normal"/>
    <w:link w:val="EndNoteBibliographyChar"/>
    <w:rsid w:val="00E111BE"/>
    <w:pPr>
      <w:spacing w:line="240" w:lineRule="auto"/>
    </w:pPr>
    <w:rPr>
      <w:rFonts w:ascii="Calibri Light" w:hAnsi="Calibri Light" w:cs="Calibri Light"/>
      <w:noProof/>
      <w:lang w:val="en-US"/>
    </w:rPr>
  </w:style>
  <w:style w:type="character" w:customStyle="1" w:styleId="EndNoteBibliographyChar">
    <w:name w:val="EndNote Bibliography Char"/>
    <w:basedOn w:val="DefaultParagraphFont"/>
    <w:link w:val="EndNoteBibliography"/>
    <w:rsid w:val="00E111BE"/>
    <w:rPr>
      <w:rFonts w:ascii="Calibri Light" w:hAnsi="Calibri Light" w:cs="Calibri Light"/>
      <w:noProof/>
      <w:lang w:val="en-US"/>
    </w:rPr>
  </w:style>
  <w:style w:type="character" w:styleId="CommentReference">
    <w:name w:val="annotation reference"/>
    <w:basedOn w:val="DefaultParagraphFont"/>
    <w:uiPriority w:val="99"/>
    <w:semiHidden/>
    <w:unhideWhenUsed/>
    <w:rsid w:val="00E111BE"/>
    <w:rPr>
      <w:sz w:val="16"/>
      <w:szCs w:val="16"/>
    </w:rPr>
  </w:style>
  <w:style w:type="paragraph" w:styleId="CommentText">
    <w:name w:val="annotation text"/>
    <w:basedOn w:val="Normal"/>
    <w:link w:val="CommentTextChar"/>
    <w:uiPriority w:val="99"/>
    <w:unhideWhenUsed/>
    <w:rsid w:val="00E111BE"/>
    <w:pPr>
      <w:spacing w:line="240" w:lineRule="auto"/>
    </w:pPr>
    <w:rPr>
      <w:sz w:val="20"/>
      <w:szCs w:val="20"/>
    </w:rPr>
  </w:style>
  <w:style w:type="character" w:customStyle="1" w:styleId="CommentTextChar">
    <w:name w:val="Comment Text Char"/>
    <w:basedOn w:val="DefaultParagraphFont"/>
    <w:link w:val="CommentText"/>
    <w:uiPriority w:val="99"/>
    <w:rsid w:val="00E111BE"/>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E111BE"/>
    <w:rPr>
      <w:b/>
      <w:bCs/>
    </w:rPr>
  </w:style>
  <w:style w:type="character" w:customStyle="1" w:styleId="CommentSubjectChar">
    <w:name w:val="Comment Subject Char"/>
    <w:basedOn w:val="CommentTextChar"/>
    <w:link w:val="CommentSubject"/>
    <w:uiPriority w:val="99"/>
    <w:semiHidden/>
    <w:rsid w:val="00E111BE"/>
    <w:rPr>
      <w:rFonts w:asciiTheme="majorHAnsi" w:hAnsiTheme="majorHAnsi"/>
      <w:b/>
      <w:bCs/>
      <w:sz w:val="20"/>
      <w:szCs w:val="20"/>
    </w:rPr>
  </w:style>
  <w:style w:type="paragraph" w:styleId="Header">
    <w:name w:val="header"/>
    <w:basedOn w:val="Normal"/>
    <w:link w:val="HeaderChar"/>
    <w:uiPriority w:val="99"/>
    <w:unhideWhenUsed/>
    <w:rsid w:val="00E11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BE"/>
    <w:rPr>
      <w:rFonts w:asciiTheme="majorHAnsi" w:hAnsiTheme="majorHAnsi"/>
    </w:rPr>
  </w:style>
  <w:style w:type="paragraph" w:styleId="Footer">
    <w:name w:val="footer"/>
    <w:basedOn w:val="Normal"/>
    <w:link w:val="FooterChar"/>
    <w:uiPriority w:val="99"/>
    <w:unhideWhenUsed/>
    <w:rsid w:val="00E1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BE"/>
    <w:rPr>
      <w:rFonts w:asciiTheme="majorHAnsi" w:hAnsiTheme="majorHAnsi"/>
    </w:rPr>
  </w:style>
  <w:style w:type="paragraph" w:styleId="NoSpacing">
    <w:name w:val="No Spacing"/>
    <w:basedOn w:val="Normal"/>
    <w:uiPriority w:val="1"/>
    <w:qFormat/>
    <w:rsid w:val="00E111BE"/>
    <w:pPr>
      <w:spacing w:before="120" w:after="0" w:line="240" w:lineRule="auto"/>
    </w:pPr>
    <w:rPr>
      <w:rFonts w:ascii="Times New Roman" w:eastAsiaTheme="minorEastAsia" w:hAnsi="Times New Roman"/>
    </w:rPr>
  </w:style>
  <w:style w:type="character" w:styleId="FollowedHyperlink">
    <w:name w:val="FollowedHyperlink"/>
    <w:basedOn w:val="DefaultParagraphFont"/>
    <w:uiPriority w:val="99"/>
    <w:semiHidden/>
    <w:unhideWhenUsed/>
    <w:rsid w:val="00E111BE"/>
    <w:rPr>
      <w:color w:val="954F72" w:themeColor="followedHyperlink"/>
      <w:u w:val="single"/>
    </w:rPr>
  </w:style>
  <w:style w:type="table" w:styleId="TableGrid">
    <w:name w:val="Table Grid"/>
    <w:basedOn w:val="TableNormal"/>
    <w:uiPriority w:val="39"/>
    <w:rsid w:val="00E1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111BE"/>
    <w:rPr>
      <w:rFonts w:asciiTheme="majorHAnsi" w:hAnsiTheme="majorHAnsi"/>
    </w:rPr>
  </w:style>
  <w:style w:type="paragraph" w:styleId="Revision">
    <w:name w:val="Revision"/>
    <w:hidden/>
    <w:uiPriority w:val="99"/>
    <w:semiHidden/>
    <w:rsid w:val="00E111BE"/>
    <w:pPr>
      <w:spacing w:after="0" w:line="240" w:lineRule="auto"/>
    </w:pPr>
    <w:rPr>
      <w:rFonts w:asciiTheme="majorHAnsi" w:hAnsiTheme="majorHAnsi"/>
    </w:rPr>
  </w:style>
  <w:style w:type="paragraph" w:styleId="NormalWeb">
    <w:name w:val="Normal (Web)"/>
    <w:basedOn w:val="Normal"/>
    <w:uiPriority w:val="99"/>
    <w:unhideWhenUsed/>
    <w:rsid w:val="00E111B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south@yor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ce.org.uk/guidance/hst7/history" TargetMode="External"/><Relationship Id="rId5" Type="http://schemas.openxmlformats.org/officeDocument/2006/relationships/webSettings" Target="webSettings.xml"/><Relationship Id="rId10" Type="http://schemas.openxmlformats.org/officeDocument/2006/relationships/hyperlink" Target="https://nice.org.uk/guidance/hst7/history" TargetMode="External"/><Relationship Id="rId4" Type="http://schemas.openxmlformats.org/officeDocument/2006/relationships/settings" Target="settings.xml"/><Relationship Id="rId9" Type="http://schemas.openxmlformats.org/officeDocument/2006/relationships/hyperlink" Target="https://www.nice.org.uk/about/what-we-do/our-programmes/nice-guidance/nice-highly-specialised-technologies-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CE78-1822-4A6D-AF71-F18FE9A7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7423</Words>
  <Characters>42313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Emily South</cp:lastModifiedBy>
  <cp:revision>3</cp:revision>
  <dcterms:created xsi:type="dcterms:W3CDTF">2018-10-02T09:13:00Z</dcterms:created>
  <dcterms:modified xsi:type="dcterms:W3CDTF">2018-10-02T09:13:00Z</dcterms:modified>
</cp:coreProperties>
</file>